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33C82" w14:textId="77777777" w:rsidR="00B9088B" w:rsidRPr="004478BA" w:rsidRDefault="00B9088B" w:rsidP="00B9088B">
      <w:pPr>
        <w:pStyle w:val="Default"/>
        <w:jc w:val="center"/>
        <w:rPr>
          <w:rFonts w:ascii="Times New Roman" w:hAnsi="Times New Roman" w:cs="Times New Roman"/>
          <w:bCs/>
        </w:rPr>
      </w:pPr>
      <w:bookmarkStart w:id="0" w:name="OLE_LINK1"/>
      <w:bookmarkStart w:id="1" w:name="OLE_LINK2"/>
      <w:bookmarkStart w:id="2" w:name="_GoBack"/>
      <w:bookmarkEnd w:id="2"/>
      <w:r w:rsidRPr="004478BA">
        <w:rPr>
          <w:rFonts w:ascii="Times New Roman" w:hAnsi="Times New Roman" w:cs="Times New Roman"/>
          <w:bCs/>
        </w:rPr>
        <w:t>Supporting Statement A for:</w:t>
      </w:r>
    </w:p>
    <w:p w14:paraId="54F53632" w14:textId="04BB0243" w:rsidR="00B9088B" w:rsidRPr="004478BA" w:rsidRDefault="009400EC" w:rsidP="00B9088B">
      <w:pPr>
        <w:pStyle w:val="Default"/>
        <w:jc w:val="center"/>
        <w:rPr>
          <w:rFonts w:ascii="Times New Roman" w:hAnsi="Times New Roman" w:cs="Times New Roman"/>
          <w:bCs/>
        </w:rPr>
      </w:pPr>
      <w:r>
        <w:rPr>
          <w:rFonts w:ascii="Times New Roman" w:hAnsi="Times New Roman" w:cs="Times New Roman"/>
          <w:bCs/>
        </w:rPr>
        <w:t xml:space="preserve"> </w:t>
      </w:r>
    </w:p>
    <w:p w14:paraId="5E2CF660" w14:textId="77777777" w:rsidR="00B9088B" w:rsidRPr="004478BA" w:rsidRDefault="00B9088B" w:rsidP="00B9088B">
      <w:pPr>
        <w:pStyle w:val="Default"/>
        <w:jc w:val="center"/>
        <w:rPr>
          <w:rFonts w:ascii="Times New Roman" w:hAnsi="Times New Roman" w:cs="Times New Roman"/>
          <w:bCs/>
        </w:rPr>
      </w:pPr>
    </w:p>
    <w:p w14:paraId="7DF4B563" w14:textId="77777777" w:rsidR="00B9088B" w:rsidRPr="004478BA" w:rsidRDefault="00B9088B" w:rsidP="00B9088B">
      <w:pPr>
        <w:pStyle w:val="Default"/>
        <w:jc w:val="center"/>
        <w:rPr>
          <w:rFonts w:ascii="Times New Roman" w:hAnsi="Times New Roman" w:cs="Times New Roman"/>
          <w:bCs/>
        </w:rPr>
      </w:pPr>
    </w:p>
    <w:p w14:paraId="2FDF821D" w14:textId="77777777" w:rsidR="00B9088B" w:rsidRPr="004478BA" w:rsidRDefault="00B9088B" w:rsidP="00B9088B">
      <w:pPr>
        <w:pStyle w:val="Default"/>
        <w:jc w:val="center"/>
        <w:rPr>
          <w:rFonts w:ascii="Times New Roman" w:hAnsi="Times New Roman" w:cs="Times New Roman"/>
          <w:bCs/>
        </w:rPr>
      </w:pPr>
    </w:p>
    <w:p w14:paraId="2C8F62C9" w14:textId="77777777" w:rsidR="00B9088B" w:rsidRPr="004478BA" w:rsidRDefault="00B9088B" w:rsidP="00B9088B">
      <w:pPr>
        <w:pStyle w:val="Default"/>
        <w:jc w:val="center"/>
        <w:rPr>
          <w:rFonts w:ascii="Times New Roman" w:hAnsi="Times New Roman" w:cs="Times New Roman"/>
          <w:bCs/>
        </w:rPr>
      </w:pPr>
    </w:p>
    <w:p w14:paraId="13CD811B" w14:textId="77777777" w:rsidR="00B9088B" w:rsidRPr="004478BA" w:rsidRDefault="00B9088B" w:rsidP="00B9088B">
      <w:pPr>
        <w:pStyle w:val="Default"/>
        <w:jc w:val="center"/>
        <w:rPr>
          <w:rFonts w:ascii="Times New Roman" w:hAnsi="Times New Roman" w:cs="Times New Roman"/>
          <w:bCs/>
        </w:rPr>
      </w:pPr>
    </w:p>
    <w:p w14:paraId="4DDE923E" w14:textId="77777777" w:rsidR="00B9088B" w:rsidRPr="004478BA" w:rsidRDefault="00B9088B" w:rsidP="00B9088B">
      <w:pPr>
        <w:pStyle w:val="Default"/>
        <w:jc w:val="center"/>
        <w:rPr>
          <w:rFonts w:ascii="Times New Roman" w:hAnsi="Times New Roman" w:cs="Times New Roman"/>
          <w:bCs/>
        </w:rPr>
      </w:pPr>
      <w:r w:rsidRPr="004478BA">
        <w:rPr>
          <w:rFonts w:ascii="Times New Roman" w:hAnsi="Times New Roman" w:cs="Times New Roman"/>
          <w:bCs/>
        </w:rPr>
        <w:t xml:space="preserve">Generic Clearance to Support the Safe to Sleep Campaign at the </w:t>
      </w:r>
      <w:r w:rsidRPr="00132F16">
        <w:rPr>
          <w:rFonts w:ascii="Times New Roman" w:hAnsi="Times New Roman" w:cs="Times New Roman"/>
          <w:bCs/>
          <w:i/>
        </w:rPr>
        <w:t>Eunice Kennedy Shriver</w:t>
      </w:r>
      <w:r w:rsidRPr="004478BA">
        <w:rPr>
          <w:rFonts w:ascii="Times New Roman" w:hAnsi="Times New Roman" w:cs="Times New Roman"/>
          <w:bCs/>
        </w:rPr>
        <w:t xml:space="preserve"> National Institute for Child Health and Human Development (NICHD)</w:t>
      </w:r>
    </w:p>
    <w:p w14:paraId="6E9D3F85" w14:textId="77777777" w:rsidR="00B9088B" w:rsidRPr="004478BA" w:rsidRDefault="00B9088B" w:rsidP="00B9088B">
      <w:pPr>
        <w:pStyle w:val="Default"/>
        <w:jc w:val="center"/>
        <w:rPr>
          <w:rFonts w:ascii="Times New Roman" w:hAnsi="Times New Roman" w:cs="Times New Roman"/>
          <w:bCs/>
        </w:rPr>
      </w:pPr>
    </w:p>
    <w:p w14:paraId="219AB9D8" w14:textId="77777777" w:rsidR="00B9088B" w:rsidRPr="004478BA" w:rsidRDefault="00B9088B" w:rsidP="00B9088B">
      <w:pPr>
        <w:pStyle w:val="Default"/>
        <w:jc w:val="center"/>
        <w:rPr>
          <w:rFonts w:ascii="Times New Roman" w:hAnsi="Times New Roman" w:cs="Times New Roman"/>
          <w:bCs/>
        </w:rPr>
      </w:pPr>
    </w:p>
    <w:p w14:paraId="516569B8" w14:textId="0CA4C667" w:rsidR="00121F13" w:rsidRPr="004478BA" w:rsidRDefault="00121F13" w:rsidP="00B9088B">
      <w:pPr>
        <w:pStyle w:val="Default"/>
        <w:jc w:val="center"/>
        <w:rPr>
          <w:rFonts w:ascii="Times New Roman" w:hAnsi="Times New Roman" w:cs="Times New Roman"/>
          <w:bCs/>
        </w:rPr>
      </w:pPr>
      <w:r>
        <w:rPr>
          <w:rFonts w:ascii="Times New Roman" w:hAnsi="Times New Roman" w:cs="Times New Roman"/>
          <w:bCs/>
        </w:rPr>
        <w:t>OMB# 0925-0701</w:t>
      </w:r>
      <w:r w:rsidR="00EC005A">
        <w:rPr>
          <w:rFonts w:ascii="Times New Roman" w:hAnsi="Times New Roman" w:cs="Times New Roman"/>
          <w:bCs/>
        </w:rPr>
        <w:t xml:space="preserve">, </w:t>
      </w:r>
      <w:r>
        <w:rPr>
          <w:rFonts w:ascii="Times New Roman" w:hAnsi="Times New Roman" w:cs="Times New Roman"/>
          <w:bCs/>
        </w:rPr>
        <w:t>Exp: 7/31/2017</w:t>
      </w:r>
    </w:p>
    <w:p w14:paraId="3A95A504" w14:textId="77777777" w:rsidR="00B9088B" w:rsidRPr="004478BA" w:rsidRDefault="00B9088B" w:rsidP="00B9088B">
      <w:pPr>
        <w:pStyle w:val="Default"/>
        <w:jc w:val="center"/>
        <w:rPr>
          <w:rFonts w:ascii="Times New Roman" w:hAnsi="Times New Roman" w:cs="Times New Roman"/>
          <w:bCs/>
        </w:rPr>
      </w:pPr>
    </w:p>
    <w:p w14:paraId="19E856E2" w14:textId="77777777" w:rsidR="00B9088B" w:rsidRPr="004478BA" w:rsidRDefault="00B9088B" w:rsidP="00B9088B">
      <w:pPr>
        <w:pStyle w:val="Default"/>
        <w:jc w:val="center"/>
        <w:rPr>
          <w:rFonts w:ascii="Times New Roman" w:hAnsi="Times New Roman" w:cs="Times New Roman"/>
          <w:bCs/>
        </w:rPr>
      </w:pPr>
    </w:p>
    <w:p w14:paraId="0159DA12" w14:textId="77777777" w:rsidR="00B9088B" w:rsidRPr="004478BA" w:rsidRDefault="00B9088B" w:rsidP="00B9088B">
      <w:pPr>
        <w:pStyle w:val="Default"/>
        <w:jc w:val="center"/>
        <w:rPr>
          <w:rFonts w:ascii="Times New Roman" w:hAnsi="Times New Roman" w:cs="Times New Roman"/>
          <w:bCs/>
        </w:rPr>
      </w:pPr>
    </w:p>
    <w:p w14:paraId="6F0FA054" w14:textId="68F12844" w:rsidR="00B9088B" w:rsidRPr="004478BA" w:rsidRDefault="00146D3A" w:rsidP="00B9088B">
      <w:pPr>
        <w:pStyle w:val="Default"/>
        <w:jc w:val="center"/>
        <w:rPr>
          <w:rFonts w:ascii="Times New Roman" w:hAnsi="Times New Roman" w:cs="Times New Roman"/>
          <w:bCs/>
        </w:rPr>
      </w:pPr>
      <w:r>
        <w:rPr>
          <w:rFonts w:ascii="Times New Roman" w:hAnsi="Times New Roman" w:cs="Times New Roman"/>
          <w:bCs/>
          <w:highlight w:val="yellow"/>
        </w:rPr>
        <w:t>October</w:t>
      </w:r>
      <w:r w:rsidR="00D60A26" w:rsidRPr="00716BB2">
        <w:rPr>
          <w:rFonts w:ascii="Times New Roman" w:hAnsi="Times New Roman" w:cs="Times New Roman"/>
          <w:bCs/>
          <w:highlight w:val="yellow"/>
        </w:rPr>
        <w:t xml:space="preserve"> </w:t>
      </w:r>
      <w:r>
        <w:rPr>
          <w:rFonts w:ascii="Times New Roman" w:hAnsi="Times New Roman" w:cs="Times New Roman"/>
          <w:bCs/>
          <w:highlight w:val="yellow"/>
        </w:rPr>
        <w:t>30</w:t>
      </w:r>
      <w:r w:rsidR="00F92D7D" w:rsidRPr="00716BB2">
        <w:rPr>
          <w:rFonts w:ascii="Times New Roman" w:hAnsi="Times New Roman" w:cs="Times New Roman"/>
          <w:bCs/>
          <w:highlight w:val="yellow"/>
        </w:rPr>
        <w:t>, 2017</w:t>
      </w:r>
    </w:p>
    <w:p w14:paraId="4586B4C5" w14:textId="77777777" w:rsidR="00B9088B" w:rsidRPr="004478BA" w:rsidRDefault="00B9088B" w:rsidP="00B9088B">
      <w:pPr>
        <w:pStyle w:val="Default"/>
        <w:jc w:val="center"/>
        <w:rPr>
          <w:rFonts w:ascii="Times New Roman" w:hAnsi="Times New Roman" w:cs="Times New Roman"/>
          <w:bCs/>
        </w:rPr>
      </w:pPr>
    </w:p>
    <w:p w14:paraId="5BD1D17E" w14:textId="77777777" w:rsidR="00B9088B" w:rsidRPr="004478BA" w:rsidRDefault="00B9088B" w:rsidP="00B9088B">
      <w:pPr>
        <w:rPr>
          <w:b/>
          <w:bCs/>
          <w:sz w:val="24"/>
          <w:szCs w:val="24"/>
        </w:rPr>
      </w:pPr>
    </w:p>
    <w:p w14:paraId="1B5EA624" w14:textId="77777777" w:rsidR="00B9088B" w:rsidRPr="004478BA" w:rsidRDefault="00B9088B" w:rsidP="00B9088B">
      <w:pPr>
        <w:rPr>
          <w:b/>
          <w:bCs/>
          <w:sz w:val="24"/>
          <w:szCs w:val="24"/>
        </w:rPr>
      </w:pPr>
    </w:p>
    <w:p w14:paraId="191884FA" w14:textId="77777777" w:rsidR="00121F13" w:rsidRPr="008942E9" w:rsidRDefault="00121F13" w:rsidP="00121F13">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5CB232C0" w14:textId="77777777" w:rsidR="00121F13" w:rsidRDefault="00121F13" w:rsidP="00121F13">
      <w:pPr>
        <w:pStyle w:val="ListParagraph"/>
        <w:numPr>
          <w:ilvl w:val="0"/>
          <w:numId w:val="30"/>
        </w:numPr>
        <w:spacing w:after="0" w:line="240" w:lineRule="auto"/>
      </w:pPr>
      <w:r>
        <w:t xml:space="preserve">New </w:t>
      </w:r>
    </w:p>
    <w:p w14:paraId="3B51D7FA" w14:textId="77777777" w:rsidR="00D50493" w:rsidRDefault="00121F13" w:rsidP="00146D3A">
      <w:pPr>
        <w:widowControl/>
        <w:numPr>
          <w:ilvl w:val="0"/>
          <w:numId w:val="30"/>
        </w:numPr>
        <w:spacing w:line="360" w:lineRule="auto"/>
      </w:pPr>
      <w:r>
        <w:t>Revision</w:t>
      </w:r>
      <w:r>
        <w:tab/>
      </w:r>
    </w:p>
    <w:p w14:paraId="0266C0D1" w14:textId="77028263" w:rsidR="00146D3A" w:rsidRPr="00146D3A" w:rsidRDefault="00146D3A" w:rsidP="00146D3A">
      <w:pPr>
        <w:ind w:left="360"/>
        <w:rPr>
          <w:b/>
        </w:rPr>
      </w:pPr>
      <w:r w:rsidRPr="00146D3A">
        <w:rPr>
          <w:b/>
        </w:rPr>
        <w:t>X</w:t>
      </w:r>
      <w:r w:rsidRPr="00146D3A">
        <w:rPr>
          <w:b/>
        </w:rPr>
        <w:tab/>
        <w:t>Reinstatement with Change</w:t>
      </w:r>
    </w:p>
    <w:p w14:paraId="4DD75EB2" w14:textId="0AB5F0EC" w:rsidR="00492186" w:rsidRPr="00D50493" w:rsidRDefault="00121F13" w:rsidP="00D50493">
      <w:pPr>
        <w:widowControl/>
        <w:numPr>
          <w:ilvl w:val="0"/>
          <w:numId w:val="30"/>
        </w:numPr>
        <w:spacing w:line="360" w:lineRule="auto"/>
      </w:pPr>
      <w:r w:rsidRPr="00D50493">
        <w:t>Reinstatement with</w:t>
      </w:r>
      <w:r w:rsidR="00146D3A">
        <w:t>out</w:t>
      </w:r>
      <w:r w:rsidRPr="00D50493">
        <w:t xml:space="preserve"> Change</w:t>
      </w:r>
    </w:p>
    <w:p w14:paraId="18F54A7C" w14:textId="77777777" w:rsidR="00121F13" w:rsidRDefault="00121F13" w:rsidP="00121F13">
      <w:pPr>
        <w:widowControl/>
        <w:numPr>
          <w:ilvl w:val="0"/>
          <w:numId w:val="30"/>
        </w:numPr>
      </w:pPr>
      <w:r>
        <w:t>Extension</w:t>
      </w:r>
    </w:p>
    <w:p w14:paraId="15372AD3" w14:textId="77777777" w:rsidR="00121F13" w:rsidRDefault="00121F13" w:rsidP="00121F13">
      <w:pPr>
        <w:widowControl/>
        <w:numPr>
          <w:ilvl w:val="0"/>
          <w:numId w:val="30"/>
        </w:numPr>
      </w:pPr>
      <w:r>
        <w:t>Emergency</w:t>
      </w:r>
    </w:p>
    <w:p w14:paraId="0072A7D7" w14:textId="77777777" w:rsidR="00121F13" w:rsidRDefault="00121F13" w:rsidP="00121F13">
      <w:pPr>
        <w:widowControl/>
        <w:numPr>
          <w:ilvl w:val="0"/>
          <w:numId w:val="30"/>
        </w:numPr>
      </w:pPr>
      <w:r>
        <w:t>Existing</w:t>
      </w:r>
    </w:p>
    <w:p w14:paraId="3B1D0108" w14:textId="77777777" w:rsidR="00B9088B" w:rsidRDefault="00B9088B" w:rsidP="00B9088B">
      <w:pPr>
        <w:rPr>
          <w:b/>
          <w:bCs/>
          <w:sz w:val="24"/>
          <w:szCs w:val="24"/>
        </w:rPr>
      </w:pPr>
    </w:p>
    <w:p w14:paraId="62BD5909" w14:textId="77777777" w:rsidR="00B9088B" w:rsidRDefault="00B9088B" w:rsidP="00B9088B">
      <w:pPr>
        <w:rPr>
          <w:b/>
          <w:bCs/>
          <w:sz w:val="24"/>
          <w:szCs w:val="24"/>
        </w:rPr>
      </w:pPr>
    </w:p>
    <w:p w14:paraId="150D92E7" w14:textId="77777777" w:rsidR="00B9088B" w:rsidRDefault="00B9088B" w:rsidP="00B9088B">
      <w:pPr>
        <w:rPr>
          <w:b/>
          <w:bCs/>
          <w:sz w:val="24"/>
          <w:szCs w:val="24"/>
        </w:rPr>
      </w:pPr>
    </w:p>
    <w:p w14:paraId="44C95939" w14:textId="77777777" w:rsidR="00B9088B" w:rsidRDefault="00B9088B" w:rsidP="00B9088B">
      <w:pPr>
        <w:rPr>
          <w:b/>
          <w:bCs/>
          <w:sz w:val="24"/>
          <w:szCs w:val="24"/>
        </w:rPr>
      </w:pPr>
    </w:p>
    <w:p w14:paraId="7B70A71C" w14:textId="77777777" w:rsidR="00B9088B" w:rsidRPr="00B9088B" w:rsidRDefault="00F92D7D" w:rsidP="00B9088B">
      <w:pPr>
        <w:rPr>
          <w:bCs/>
          <w:sz w:val="24"/>
          <w:szCs w:val="24"/>
        </w:rPr>
      </w:pPr>
      <w:r>
        <w:rPr>
          <w:bCs/>
          <w:sz w:val="24"/>
          <w:szCs w:val="24"/>
        </w:rPr>
        <w:t xml:space="preserve">Lorena Kaplan, </w:t>
      </w:r>
      <w:r w:rsidR="00B9088B" w:rsidRPr="00B9088B">
        <w:rPr>
          <w:bCs/>
          <w:sz w:val="24"/>
          <w:szCs w:val="24"/>
        </w:rPr>
        <w:t>M.P.H.</w:t>
      </w:r>
      <w:r>
        <w:rPr>
          <w:bCs/>
          <w:sz w:val="24"/>
          <w:szCs w:val="24"/>
        </w:rPr>
        <w:t>, CHES</w:t>
      </w:r>
    </w:p>
    <w:p w14:paraId="2BC7E159" w14:textId="77777777" w:rsidR="00B9088B" w:rsidRPr="00B9088B" w:rsidRDefault="00B9088B" w:rsidP="00B9088B">
      <w:pPr>
        <w:rPr>
          <w:sz w:val="24"/>
          <w:szCs w:val="24"/>
        </w:rPr>
      </w:pPr>
      <w:r w:rsidRPr="00B9088B">
        <w:rPr>
          <w:sz w:val="24"/>
          <w:szCs w:val="24"/>
        </w:rPr>
        <w:t>Safe to Sleep Campaign</w:t>
      </w:r>
    </w:p>
    <w:p w14:paraId="2E1CD6B2" w14:textId="77777777" w:rsidR="00B9088B" w:rsidRPr="00B9088B" w:rsidRDefault="00F92D7D" w:rsidP="00B9088B">
      <w:pPr>
        <w:rPr>
          <w:sz w:val="24"/>
          <w:szCs w:val="24"/>
        </w:rPr>
      </w:pPr>
      <w:r>
        <w:rPr>
          <w:sz w:val="24"/>
          <w:szCs w:val="24"/>
        </w:rPr>
        <w:t>Office of Communications</w:t>
      </w:r>
    </w:p>
    <w:p w14:paraId="23652975" w14:textId="77777777" w:rsidR="00B9088B" w:rsidRPr="00B9088B" w:rsidRDefault="00B9088B" w:rsidP="00B9088B">
      <w:pPr>
        <w:rPr>
          <w:sz w:val="24"/>
          <w:szCs w:val="24"/>
        </w:rPr>
      </w:pPr>
      <w:r w:rsidRPr="00B9088B">
        <w:rPr>
          <w:i/>
          <w:iCs/>
          <w:sz w:val="24"/>
          <w:szCs w:val="24"/>
        </w:rPr>
        <w:t>Eunice Kennedy Shriver</w:t>
      </w:r>
      <w:r w:rsidRPr="00B9088B">
        <w:rPr>
          <w:b/>
          <w:bCs/>
          <w:i/>
          <w:iCs/>
          <w:sz w:val="24"/>
          <w:szCs w:val="24"/>
        </w:rPr>
        <w:t xml:space="preserve"> </w:t>
      </w:r>
      <w:r w:rsidRPr="00B9088B">
        <w:rPr>
          <w:sz w:val="24"/>
          <w:szCs w:val="24"/>
        </w:rPr>
        <w:t>National Institute of Child Health and Human Development</w:t>
      </w:r>
    </w:p>
    <w:p w14:paraId="7AF42938" w14:textId="77777777" w:rsidR="00B9088B" w:rsidRPr="00B9088B" w:rsidRDefault="00B9088B" w:rsidP="00B9088B">
      <w:pPr>
        <w:rPr>
          <w:sz w:val="24"/>
          <w:szCs w:val="24"/>
        </w:rPr>
      </w:pPr>
      <w:r w:rsidRPr="00B9088B">
        <w:rPr>
          <w:sz w:val="24"/>
          <w:szCs w:val="24"/>
        </w:rPr>
        <w:t>National Institutes of Health</w:t>
      </w:r>
    </w:p>
    <w:p w14:paraId="03DE40A2" w14:textId="77777777" w:rsidR="00B9088B" w:rsidRPr="00B9088B" w:rsidRDefault="00B9088B" w:rsidP="00B9088B">
      <w:pPr>
        <w:rPr>
          <w:sz w:val="24"/>
          <w:szCs w:val="24"/>
        </w:rPr>
      </w:pPr>
      <w:r w:rsidRPr="00B9088B">
        <w:rPr>
          <w:sz w:val="24"/>
          <w:szCs w:val="24"/>
        </w:rPr>
        <w:t>31 Center Drive, 2A32</w:t>
      </w:r>
    </w:p>
    <w:p w14:paraId="006240ED" w14:textId="77777777" w:rsidR="00B9088B" w:rsidRPr="00B9088B" w:rsidRDefault="00B9088B" w:rsidP="00B9088B">
      <w:pPr>
        <w:rPr>
          <w:sz w:val="24"/>
          <w:szCs w:val="24"/>
        </w:rPr>
      </w:pPr>
      <w:r w:rsidRPr="00B9088B">
        <w:rPr>
          <w:sz w:val="24"/>
          <w:szCs w:val="24"/>
        </w:rPr>
        <w:t>Bethesda, MD 20892</w:t>
      </w:r>
    </w:p>
    <w:p w14:paraId="54616ECE" w14:textId="77777777" w:rsidR="00B9088B" w:rsidRPr="00B9088B" w:rsidRDefault="00B9088B" w:rsidP="00B9088B">
      <w:pPr>
        <w:rPr>
          <w:sz w:val="24"/>
          <w:szCs w:val="24"/>
        </w:rPr>
      </w:pPr>
      <w:r w:rsidRPr="00B9088B">
        <w:rPr>
          <w:sz w:val="24"/>
          <w:szCs w:val="24"/>
        </w:rPr>
        <w:t>Phone: 301-</w:t>
      </w:r>
      <w:r w:rsidR="00F92D7D">
        <w:rPr>
          <w:sz w:val="24"/>
          <w:szCs w:val="24"/>
        </w:rPr>
        <w:t>496-6670</w:t>
      </w:r>
    </w:p>
    <w:p w14:paraId="38E4C335" w14:textId="77777777" w:rsidR="00B9088B" w:rsidRPr="00B9088B" w:rsidRDefault="00B9088B" w:rsidP="00B9088B">
      <w:pPr>
        <w:rPr>
          <w:sz w:val="24"/>
          <w:szCs w:val="24"/>
        </w:rPr>
      </w:pPr>
      <w:r w:rsidRPr="00B9088B">
        <w:rPr>
          <w:sz w:val="24"/>
          <w:szCs w:val="24"/>
        </w:rPr>
        <w:t>Fax: 301-496-7101</w:t>
      </w:r>
    </w:p>
    <w:p w14:paraId="3B219F79" w14:textId="77777777" w:rsidR="00B9088B" w:rsidRPr="00B9088B" w:rsidRDefault="002D1D4F" w:rsidP="00B9088B">
      <w:pPr>
        <w:rPr>
          <w:sz w:val="24"/>
          <w:szCs w:val="24"/>
        </w:rPr>
      </w:pPr>
      <w:hyperlink r:id="rId9" w:history="1">
        <w:r w:rsidR="00F92D7D">
          <w:rPr>
            <w:rStyle w:val="Hyperlink"/>
            <w:color w:val="auto"/>
            <w:sz w:val="24"/>
            <w:szCs w:val="24"/>
          </w:rPr>
          <w:t>lorena.kaplan@nih.gov</w:t>
        </w:r>
      </w:hyperlink>
    </w:p>
    <w:p w14:paraId="13EFA8EC" w14:textId="101A1B95" w:rsidR="00B9088B" w:rsidRPr="00787CF6" w:rsidRDefault="00B9088B" w:rsidP="00B9088B">
      <w:pPr>
        <w:tabs>
          <w:tab w:val="left" w:pos="3510"/>
        </w:tabs>
        <w:jc w:val="center"/>
        <w:rPr>
          <w:b/>
          <w:sz w:val="24"/>
          <w:szCs w:val="24"/>
        </w:rPr>
      </w:pPr>
      <w:r>
        <w:rPr>
          <w:bCs/>
        </w:rPr>
        <w:br w:type="page"/>
      </w:r>
      <w:r w:rsidRPr="00787CF6">
        <w:rPr>
          <w:b/>
          <w:sz w:val="24"/>
          <w:szCs w:val="24"/>
        </w:rPr>
        <w:lastRenderedPageBreak/>
        <w:t>Table of Contents</w:t>
      </w:r>
    </w:p>
    <w:p w14:paraId="6C300F8B" w14:textId="77777777" w:rsidR="00B9088B" w:rsidRPr="00B9088B" w:rsidRDefault="00B9088B" w:rsidP="00B9088B">
      <w:pPr>
        <w:pStyle w:val="TOC2"/>
        <w:rPr>
          <w:noProof/>
          <w:sz w:val="24"/>
          <w:szCs w:val="24"/>
        </w:rPr>
      </w:pPr>
      <w:r w:rsidRPr="00787CF6">
        <w:rPr>
          <w:noProof/>
          <w:sz w:val="24"/>
          <w:szCs w:val="24"/>
        </w:rPr>
        <w:fldChar w:fldCharType="begin"/>
      </w:r>
      <w:r w:rsidRPr="00787CF6">
        <w:rPr>
          <w:noProof/>
          <w:sz w:val="24"/>
          <w:szCs w:val="24"/>
        </w:rPr>
        <w:instrText xml:space="preserve"> TOC \o "1-2" \u </w:instrText>
      </w:r>
      <w:r w:rsidRPr="00787CF6">
        <w:rPr>
          <w:noProof/>
          <w:sz w:val="24"/>
          <w:szCs w:val="24"/>
        </w:rPr>
        <w:fldChar w:fldCharType="separate"/>
      </w:r>
      <w:r w:rsidRPr="00787CF6">
        <w:rPr>
          <w:b/>
          <w:noProof/>
          <w:sz w:val="24"/>
          <w:szCs w:val="24"/>
        </w:rPr>
        <w:t>A.</w:t>
      </w:r>
      <w:r w:rsidRPr="00787CF6">
        <w:rPr>
          <w:b/>
          <w:noProof/>
          <w:sz w:val="24"/>
          <w:szCs w:val="24"/>
        </w:rPr>
        <w:tab/>
      </w:r>
      <w:r w:rsidR="001B6F5D">
        <w:rPr>
          <w:noProof/>
          <w:sz w:val="24"/>
          <w:szCs w:val="24"/>
        </w:rPr>
        <w:t>Justification</w:t>
      </w:r>
      <w:r w:rsidR="001B6F5D">
        <w:rPr>
          <w:noProof/>
          <w:sz w:val="24"/>
          <w:szCs w:val="24"/>
        </w:rPr>
        <w:tab/>
      </w:r>
      <w:r w:rsidR="001B6F5D">
        <w:rPr>
          <w:noProof/>
          <w:sz w:val="24"/>
          <w:szCs w:val="24"/>
        </w:rPr>
        <w:tab/>
        <w:t>4</w:t>
      </w:r>
    </w:p>
    <w:p w14:paraId="0AD12EFA" w14:textId="77777777" w:rsidR="00B9088B" w:rsidRPr="00787CF6" w:rsidRDefault="00B9088B" w:rsidP="00B9088B">
      <w:pPr>
        <w:pStyle w:val="TOC2"/>
        <w:rPr>
          <w:noProof/>
          <w:sz w:val="24"/>
          <w:szCs w:val="24"/>
        </w:rPr>
      </w:pPr>
      <w:r w:rsidRPr="00787CF6">
        <w:rPr>
          <w:noProof/>
          <w:sz w:val="24"/>
          <w:szCs w:val="24"/>
        </w:rPr>
        <w:t>A1.</w:t>
      </w:r>
      <w:r w:rsidRPr="00787CF6">
        <w:rPr>
          <w:noProof/>
          <w:sz w:val="24"/>
          <w:szCs w:val="24"/>
        </w:rPr>
        <w:tab/>
        <w:t>circumstances making the collection of information necessary</w:t>
      </w:r>
      <w:r w:rsidRPr="00787CF6">
        <w:rPr>
          <w:noProof/>
          <w:sz w:val="24"/>
          <w:szCs w:val="24"/>
        </w:rPr>
        <w:tab/>
      </w:r>
      <w:r w:rsidRPr="00787CF6">
        <w:rPr>
          <w:noProof/>
          <w:sz w:val="24"/>
          <w:szCs w:val="24"/>
        </w:rPr>
        <w:tab/>
      </w:r>
      <w:r w:rsidR="001B6F5D">
        <w:rPr>
          <w:noProof/>
          <w:sz w:val="24"/>
          <w:szCs w:val="24"/>
        </w:rPr>
        <w:t>4</w:t>
      </w:r>
    </w:p>
    <w:p w14:paraId="1603DA74" w14:textId="072019E6" w:rsidR="00B9088B" w:rsidRPr="00787CF6" w:rsidRDefault="00B9088B" w:rsidP="00B9088B">
      <w:pPr>
        <w:pStyle w:val="TOC2"/>
        <w:rPr>
          <w:noProof/>
          <w:sz w:val="24"/>
          <w:szCs w:val="24"/>
        </w:rPr>
      </w:pPr>
      <w:r w:rsidRPr="00787CF6">
        <w:rPr>
          <w:noProof/>
          <w:sz w:val="24"/>
          <w:szCs w:val="24"/>
        </w:rPr>
        <w:t>A2.</w:t>
      </w:r>
      <w:r w:rsidRPr="00787CF6">
        <w:rPr>
          <w:noProof/>
          <w:sz w:val="24"/>
          <w:szCs w:val="24"/>
        </w:rPr>
        <w:tab/>
        <w:t>Purpose and Use of the Information Collection</w:t>
      </w:r>
      <w:r w:rsidRPr="00787CF6">
        <w:rPr>
          <w:noProof/>
          <w:sz w:val="24"/>
          <w:szCs w:val="24"/>
        </w:rPr>
        <w:tab/>
      </w:r>
      <w:r w:rsidRPr="00787CF6">
        <w:rPr>
          <w:noProof/>
          <w:sz w:val="24"/>
          <w:szCs w:val="24"/>
        </w:rPr>
        <w:tab/>
      </w:r>
      <w:r w:rsidR="00C9791B">
        <w:rPr>
          <w:noProof/>
          <w:sz w:val="24"/>
          <w:szCs w:val="24"/>
        </w:rPr>
        <w:t>10</w:t>
      </w:r>
    </w:p>
    <w:p w14:paraId="2CE05F5F" w14:textId="6CD6A91A" w:rsidR="00B9088B" w:rsidRPr="00787CF6" w:rsidRDefault="00B9088B" w:rsidP="00B9088B">
      <w:pPr>
        <w:pStyle w:val="TOC2"/>
        <w:rPr>
          <w:noProof/>
          <w:sz w:val="24"/>
          <w:szCs w:val="24"/>
        </w:rPr>
      </w:pPr>
      <w:r w:rsidRPr="00787CF6">
        <w:rPr>
          <w:noProof/>
          <w:sz w:val="24"/>
          <w:szCs w:val="24"/>
        </w:rPr>
        <w:t>A3.</w:t>
      </w:r>
      <w:r w:rsidRPr="00787CF6">
        <w:rPr>
          <w:noProof/>
          <w:sz w:val="24"/>
          <w:szCs w:val="24"/>
        </w:rPr>
        <w:tab/>
        <w:t>Use of Improved Information Technology and Burden Reduction</w:t>
      </w:r>
      <w:r w:rsidRPr="00787CF6">
        <w:rPr>
          <w:noProof/>
          <w:sz w:val="24"/>
          <w:szCs w:val="24"/>
        </w:rPr>
        <w:tab/>
      </w:r>
      <w:r w:rsidRPr="00787CF6">
        <w:rPr>
          <w:noProof/>
          <w:sz w:val="24"/>
          <w:szCs w:val="24"/>
        </w:rPr>
        <w:tab/>
      </w:r>
      <w:r w:rsidR="008C266B">
        <w:rPr>
          <w:noProof/>
          <w:sz w:val="24"/>
          <w:szCs w:val="24"/>
        </w:rPr>
        <w:t>1</w:t>
      </w:r>
      <w:r w:rsidR="00C9791B">
        <w:rPr>
          <w:noProof/>
          <w:sz w:val="24"/>
          <w:szCs w:val="24"/>
        </w:rPr>
        <w:t>2</w:t>
      </w:r>
    </w:p>
    <w:p w14:paraId="36B78113" w14:textId="7726A49A" w:rsidR="00B9088B" w:rsidRPr="00787CF6" w:rsidRDefault="00B9088B" w:rsidP="00B9088B">
      <w:pPr>
        <w:pStyle w:val="TOC2"/>
        <w:rPr>
          <w:noProof/>
          <w:sz w:val="24"/>
          <w:szCs w:val="24"/>
        </w:rPr>
      </w:pPr>
      <w:r w:rsidRPr="00787CF6">
        <w:rPr>
          <w:noProof/>
          <w:sz w:val="24"/>
          <w:szCs w:val="24"/>
        </w:rPr>
        <w:t>A4.</w:t>
      </w:r>
      <w:r w:rsidRPr="00787CF6">
        <w:rPr>
          <w:noProof/>
          <w:sz w:val="24"/>
          <w:szCs w:val="24"/>
        </w:rPr>
        <w:tab/>
        <w:t>Efforts to Identify Duplication and Use of Similar Information</w:t>
      </w:r>
      <w:r w:rsidRPr="00787CF6">
        <w:rPr>
          <w:noProof/>
          <w:sz w:val="24"/>
          <w:szCs w:val="24"/>
        </w:rPr>
        <w:tab/>
      </w:r>
      <w:r w:rsidRPr="00787CF6">
        <w:rPr>
          <w:noProof/>
          <w:sz w:val="24"/>
          <w:szCs w:val="24"/>
        </w:rPr>
        <w:tab/>
      </w:r>
      <w:r w:rsidR="008C266B">
        <w:rPr>
          <w:noProof/>
          <w:sz w:val="24"/>
          <w:szCs w:val="24"/>
        </w:rPr>
        <w:t>1</w:t>
      </w:r>
      <w:r w:rsidR="00C9791B">
        <w:rPr>
          <w:noProof/>
          <w:sz w:val="24"/>
          <w:szCs w:val="24"/>
        </w:rPr>
        <w:t>3</w:t>
      </w:r>
    </w:p>
    <w:p w14:paraId="38DF8D45" w14:textId="421AC7DB" w:rsidR="00B9088B" w:rsidRPr="00787CF6" w:rsidRDefault="00B9088B" w:rsidP="00B9088B">
      <w:pPr>
        <w:pStyle w:val="TOC2"/>
        <w:rPr>
          <w:noProof/>
          <w:sz w:val="24"/>
          <w:szCs w:val="24"/>
        </w:rPr>
      </w:pPr>
      <w:r w:rsidRPr="00787CF6">
        <w:rPr>
          <w:noProof/>
          <w:sz w:val="24"/>
          <w:szCs w:val="24"/>
        </w:rPr>
        <w:t>A5.</w:t>
      </w:r>
      <w:r w:rsidRPr="00787CF6">
        <w:rPr>
          <w:noProof/>
          <w:sz w:val="24"/>
          <w:szCs w:val="24"/>
        </w:rPr>
        <w:tab/>
        <w:t>Impact on Small Businesses or Other Small Entities</w:t>
      </w:r>
      <w:r w:rsidRPr="00787CF6">
        <w:rPr>
          <w:noProof/>
          <w:sz w:val="24"/>
          <w:szCs w:val="24"/>
        </w:rPr>
        <w:tab/>
      </w:r>
      <w:r w:rsidRPr="00787CF6">
        <w:rPr>
          <w:noProof/>
          <w:sz w:val="24"/>
          <w:szCs w:val="24"/>
        </w:rPr>
        <w:tab/>
      </w:r>
      <w:r w:rsidR="008C266B">
        <w:rPr>
          <w:noProof/>
          <w:sz w:val="24"/>
          <w:szCs w:val="24"/>
        </w:rPr>
        <w:t>1</w:t>
      </w:r>
      <w:r w:rsidR="00C9791B">
        <w:rPr>
          <w:noProof/>
          <w:sz w:val="24"/>
          <w:szCs w:val="24"/>
        </w:rPr>
        <w:t>3</w:t>
      </w:r>
    </w:p>
    <w:p w14:paraId="733B61F6" w14:textId="68F7C25A" w:rsidR="00B9088B" w:rsidRPr="00787CF6" w:rsidRDefault="00B9088B" w:rsidP="00B9088B">
      <w:pPr>
        <w:pStyle w:val="TOC2"/>
        <w:rPr>
          <w:noProof/>
          <w:sz w:val="24"/>
          <w:szCs w:val="24"/>
        </w:rPr>
      </w:pPr>
      <w:r w:rsidRPr="00787CF6">
        <w:rPr>
          <w:noProof/>
          <w:sz w:val="24"/>
          <w:szCs w:val="24"/>
        </w:rPr>
        <w:t>A6.</w:t>
      </w:r>
      <w:r w:rsidRPr="00787CF6">
        <w:rPr>
          <w:noProof/>
          <w:sz w:val="24"/>
          <w:szCs w:val="24"/>
        </w:rPr>
        <w:tab/>
        <w:t>Consequences of Collecting the Information Less Frequently</w:t>
      </w:r>
      <w:r w:rsidRPr="00787CF6">
        <w:rPr>
          <w:noProof/>
          <w:sz w:val="24"/>
          <w:szCs w:val="24"/>
        </w:rPr>
        <w:tab/>
      </w:r>
      <w:r w:rsidRPr="00787CF6">
        <w:rPr>
          <w:noProof/>
          <w:sz w:val="24"/>
          <w:szCs w:val="24"/>
        </w:rPr>
        <w:tab/>
      </w:r>
      <w:r w:rsidR="008C266B">
        <w:rPr>
          <w:noProof/>
          <w:sz w:val="24"/>
          <w:szCs w:val="24"/>
        </w:rPr>
        <w:t>1</w:t>
      </w:r>
      <w:r w:rsidR="00C9791B">
        <w:rPr>
          <w:noProof/>
          <w:sz w:val="24"/>
          <w:szCs w:val="24"/>
        </w:rPr>
        <w:t>4</w:t>
      </w:r>
    </w:p>
    <w:p w14:paraId="482A08A9" w14:textId="718AEEAB" w:rsidR="00B9088B" w:rsidRPr="00787CF6" w:rsidRDefault="00B9088B" w:rsidP="00B9088B">
      <w:pPr>
        <w:pStyle w:val="TOC2"/>
        <w:rPr>
          <w:noProof/>
          <w:sz w:val="24"/>
          <w:szCs w:val="24"/>
        </w:rPr>
      </w:pPr>
      <w:r w:rsidRPr="00787CF6">
        <w:rPr>
          <w:noProof/>
          <w:sz w:val="24"/>
          <w:szCs w:val="24"/>
        </w:rPr>
        <w:t>A7.</w:t>
      </w:r>
      <w:r w:rsidRPr="00787CF6">
        <w:rPr>
          <w:noProof/>
          <w:sz w:val="24"/>
          <w:szCs w:val="24"/>
        </w:rPr>
        <w:tab/>
        <w:t>Special Circumstances Relating to the Guidelines of 5 CFR 1320.5</w:t>
      </w:r>
      <w:r w:rsidRPr="00787CF6">
        <w:rPr>
          <w:noProof/>
          <w:sz w:val="24"/>
          <w:szCs w:val="24"/>
        </w:rPr>
        <w:tab/>
      </w:r>
      <w:r w:rsidRPr="00787CF6">
        <w:rPr>
          <w:noProof/>
          <w:sz w:val="24"/>
          <w:szCs w:val="24"/>
        </w:rPr>
        <w:tab/>
      </w:r>
      <w:r w:rsidR="008C266B">
        <w:rPr>
          <w:noProof/>
          <w:sz w:val="24"/>
          <w:szCs w:val="24"/>
        </w:rPr>
        <w:t>1</w:t>
      </w:r>
      <w:r w:rsidR="00C9791B">
        <w:rPr>
          <w:noProof/>
          <w:sz w:val="24"/>
          <w:szCs w:val="24"/>
        </w:rPr>
        <w:t>4</w:t>
      </w:r>
    </w:p>
    <w:p w14:paraId="0F9B23A0" w14:textId="7C3F303F" w:rsidR="00B9088B" w:rsidRPr="00787CF6" w:rsidRDefault="00B9088B" w:rsidP="00B9088B">
      <w:pPr>
        <w:pStyle w:val="TOC2"/>
        <w:rPr>
          <w:noProof/>
          <w:sz w:val="24"/>
          <w:szCs w:val="24"/>
        </w:rPr>
      </w:pPr>
      <w:r w:rsidRPr="00787CF6">
        <w:rPr>
          <w:noProof/>
          <w:sz w:val="24"/>
          <w:szCs w:val="24"/>
        </w:rPr>
        <w:t>A8.</w:t>
      </w:r>
      <w:r w:rsidRPr="00787CF6">
        <w:rPr>
          <w:noProof/>
          <w:sz w:val="24"/>
          <w:szCs w:val="24"/>
        </w:rPr>
        <w:tab/>
        <w:t>Comments in Response to the Federal Register Notice and Efforts to Consult Outside the Agency</w:t>
      </w:r>
      <w:r w:rsidR="00EF0F8F">
        <w:rPr>
          <w:noProof/>
          <w:sz w:val="24"/>
          <w:szCs w:val="24"/>
        </w:rPr>
        <w:tab/>
      </w:r>
      <w:r w:rsidR="00EF0F8F">
        <w:rPr>
          <w:noProof/>
          <w:sz w:val="24"/>
          <w:szCs w:val="24"/>
        </w:rPr>
        <w:tab/>
        <w:t>1</w:t>
      </w:r>
      <w:r w:rsidR="00C9791B">
        <w:rPr>
          <w:noProof/>
          <w:sz w:val="24"/>
          <w:szCs w:val="24"/>
        </w:rPr>
        <w:t>4</w:t>
      </w:r>
    </w:p>
    <w:p w14:paraId="4DB257A3" w14:textId="4E747A4E" w:rsidR="00B9088B" w:rsidRPr="00787CF6" w:rsidRDefault="00B9088B" w:rsidP="00B9088B">
      <w:pPr>
        <w:pStyle w:val="TOC2"/>
        <w:rPr>
          <w:noProof/>
          <w:sz w:val="24"/>
          <w:szCs w:val="24"/>
        </w:rPr>
      </w:pPr>
      <w:r w:rsidRPr="00787CF6">
        <w:rPr>
          <w:noProof/>
          <w:sz w:val="24"/>
          <w:szCs w:val="24"/>
        </w:rPr>
        <w:t>A9.</w:t>
      </w:r>
      <w:r w:rsidRPr="00787CF6">
        <w:rPr>
          <w:noProof/>
          <w:sz w:val="24"/>
          <w:szCs w:val="24"/>
        </w:rPr>
        <w:tab/>
        <w:t>Explanation of Any Payment or Gift to Respondents</w:t>
      </w:r>
      <w:r w:rsidRPr="00787CF6">
        <w:rPr>
          <w:noProof/>
          <w:sz w:val="24"/>
          <w:szCs w:val="24"/>
        </w:rPr>
        <w:tab/>
      </w:r>
      <w:r w:rsidR="008C266B">
        <w:rPr>
          <w:noProof/>
          <w:sz w:val="24"/>
          <w:szCs w:val="24"/>
        </w:rPr>
        <w:tab/>
        <w:t>1</w:t>
      </w:r>
      <w:r w:rsidR="00C9791B">
        <w:rPr>
          <w:noProof/>
          <w:sz w:val="24"/>
          <w:szCs w:val="24"/>
        </w:rPr>
        <w:t>5</w:t>
      </w:r>
    </w:p>
    <w:p w14:paraId="4DD8EFFD" w14:textId="39FC7FE7" w:rsidR="00B9088B" w:rsidRPr="00787CF6" w:rsidRDefault="00B9088B" w:rsidP="00B9088B">
      <w:pPr>
        <w:pStyle w:val="TOC2"/>
        <w:rPr>
          <w:noProof/>
          <w:sz w:val="24"/>
          <w:szCs w:val="24"/>
        </w:rPr>
      </w:pPr>
      <w:r w:rsidRPr="00787CF6">
        <w:rPr>
          <w:noProof/>
          <w:sz w:val="24"/>
          <w:szCs w:val="24"/>
        </w:rPr>
        <w:t>A10.</w:t>
      </w:r>
      <w:r w:rsidRPr="00787CF6">
        <w:rPr>
          <w:noProof/>
          <w:sz w:val="24"/>
          <w:szCs w:val="24"/>
        </w:rPr>
        <w:tab/>
        <w:t>Assurance of Confidentiality Provided to Respondents</w:t>
      </w:r>
      <w:r w:rsidRPr="00787CF6">
        <w:rPr>
          <w:noProof/>
          <w:sz w:val="24"/>
          <w:szCs w:val="24"/>
        </w:rPr>
        <w:tab/>
      </w:r>
      <w:r w:rsidR="001B6F5D">
        <w:rPr>
          <w:noProof/>
          <w:sz w:val="24"/>
          <w:szCs w:val="24"/>
        </w:rPr>
        <w:tab/>
        <w:t>1</w:t>
      </w:r>
      <w:r w:rsidR="00C9791B">
        <w:rPr>
          <w:noProof/>
          <w:sz w:val="24"/>
          <w:szCs w:val="24"/>
        </w:rPr>
        <w:t>6</w:t>
      </w:r>
    </w:p>
    <w:p w14:paraId="167BACB5" w14:textId="49B0E197" w:rsidR="00B9088B" w:rsidRPr="00787CF6" w:rsidRDefault="00B9088B" w:rsidP="00B9088B">
      <w:pPr>
        <w:pStyle w:val="TOC2"/>
        <w:rPr>
          <w:noProof/>
          <w:sz w:val="24"/>
          <w:szCs w:val="24"/>
        </w:rPr>
      </w:pPr>
      <w:r w:rsidRPr="00787CF6">
        <w:rPr>
          <w:noProof/>
          <w:sz w:val="24"/>
          <w:szCs w:val="24"/>
        </w:rPr>
        <w:t>A11.</w:t>
      </w:r>
      <w:r w:rsidRPr="00787CF6">
        <w:rPr>
          <w:noProof/>
          <w:sz w:val="24"/>
          <w:szCs w:val="24"/>
        </w:rPr>
        <w:tab/>
        <w:t>Justification for Sensitive Questions</w:t>
      </w:r>
      <w:r w:rsidRPr="00787CF6">
        <w:rPr>
          <w:noProof/>
          <w:sz w:val="24"/>
          <w:szCs w:val="24"/>
        </w:rPr>
        <w:tab/>
      </w:r>
      <w:r w:rsidR="00C9791B">
        <w:rPr>
          <w:noProof/>
          <w:sz w:val="24"/>
          <w:szCs w:val="24"/>
        </w:rPr>
        <w:tab/>
        <w:t>17</w:t>
      </w:r>
    </w:p>
    <w:p w14:paraId="219D4F88" w14:textId="6044C68B" w:rsidR="00B9088B" w:rsidRPr="00787CF6" w:rsidRDefault="00B9088B" w:rsidP="00B9088B">
      <w:pPr>
        <w:pStyle w:val="TOC2"/>
        <w:rPr>
          <w:noProof/>
          <w:sz w:val="24"/>
          <w:szCs w:val="24"/>
        </w:rPr>
      </w:pPr>
      <w:r w:rsidRPr="00787CF6">
        <w:rPr>
          <w:noProof/>
          <w:sz w:val="24"/>
          <w:szCs w:val="24"/>
        </w:rPr>
        <w:t>A12.</w:t>
      </w:r>
      <w:r w:rsidRPr="00787CF6">
        <w:rPr>
          <w:noProof/>
          <w:sz w:val="24"/>
          <w:szCs w:val="24"/>
        </w:rPr>
        <w:tab/>
        <w:t>Estimates of Annualized Burden Hours And Costs</w:t>
      </w:r>
      <w:r w:rsidRPr="00787CF6">
        <w:rPr>
          <w:noProof/>
          <w:sz w:val="24"/>
          <w:szCs w:val="24"/>
        </w:rPr>
        <w:tab/>
      </w:r>
      <w:r w:rsidR="00C9791B">
        <w:rPr>
          <w:noProof/>
          <w:sz w:val="24"/>
          <w:szCs w:val="24"/>
        </w:rPr>
        <w:tab/>
        <w:t>18</w:t>
      </w:r>
    </w:p>
    <w:p w14:paraId="2B00DB97" w14:textId="77777777" w:rsidR="00B9088B" w:rsidRPr="00787CF6" w:rsidRDefault="00B9088B" w:rsidP="00B9088B">
      <w:pPr>
        <w:pStyle w:val="TOC2"/>
        <w:rPr>
          <w:noProof/>
          <w:sz w:val="24"/>
          <w:szCs w:val="24"/>
        </w:rPr>
      </w:pPr>
      <w:r w:rsidRPr="00787CF6">
        <w:rPr>
          <w:noProof/>
          <w:sz w:val="24"/>
          <w:szCs w:val="24"/>
        </w:rPr>
        <w:t>A13.</w:t>
      </w:r>
      <w:r w:rsidRPr="00787CF6">
        <w:rPr>
          <w:noProof/>
          <w:sz w:val="24"/>
          <w:szCs w:val="24"/>
        </w:rPr>
        <w:tab/>
        <w:t xml:space="preserve">Estimates of Other Total Annual Cost Burden to Respondents and </w:t>
      </w:r>
    </w:p>
    <w:p w14:paraId="5AF4F8C2" w14:textId="77814DE1" w:rsidR="00B9088B" w:rsidRPr="00787CF6" w:rsidRDefault="00B9088B" w:rsidP="00B9088B">
      <w:pPr>
        <w:pStyle w:val="TOC2"/>
        <w:rPr>
          <w:noProof/>
          <w:sz w:val="24"/>
          <w:szCs w:val="24"/>
        </w:rPr>
      </w:pPr>
      <w:r w:rsidRPr="00787CF6">
        <w:rPr>
          <w:noProof/>
          <w:sz w:val="24"/>
          <w:szCs w:val="24"/>
        </w:rPr>
        <w:tab/>
        <w:t>Record Keepers</w:t>
      </w:r>
      <w:r w:rsidRPr="00787CF6">
        <w:rPr>
          <w:noProof/>
          <w:sz w:val="24"/>
          <w:szCs w:val="24"/>
        </w:rPr>
        <w:tab/>
      </w:r>
      <w:r w:rsidR="00C9791B">
        <w:rPr>
          <w:noProof/>
          <w:sz w:val="24"/>
          <w:szCs w:val="24"/>
        </w:rPr>
        <w:tab/>
        <w:t>19</w:t>
      </w:r>
    </w:p>
    <w:p w14:paraId="02F82091" w14:textId="32CFBB57" w:rsidR="00B9088B" w:rsidRPr="00787CF6" w:rsidRDefault="00B9088B" w:rsidP="00B9088B">
      <w:pPr>
        <w:pStyle w:val="TOC2"/>
        <w:rPr>
          <w:noProof/>
          <w:sz w:val="24"/>
          <w:szCs w:val="24"/>
        </w:rPr>
      </w:pPr>
      <w:r w:rsidRPr="00787CF6">
        <w:rPr>
          <w:noProof/>
          <w:sz w:val="24"/>
          <w:szCs w:val="24"/>
        </w:rPr>
        <w:t>A14.</w:t>
      </w:r>
      <w:r w:rsidRPr="00787CF6">
        <w:rPr>
          <w:noProof/>
          <w:sz w:val="24"/>
          <w:szCs w:val="24"/>
        </w:rPr>
        <w:tab/>
        <w:t>Annualized Cost to the Federal Government</w:t>
      </w:r>
      <w:r w:rsidRPr="00787CF6">
        <w:rPr>
          <w:noProof/>
          <w:sz w:val="24"/>
          <w:szCs w:val="24"/>
        </w:rPr>
        <w:tab/>
      </w:r>
      <w:r w:rsidR="00C9791B">
        <w:rPr>
          <w:noProof/>
          <w:sz w:val="24"/>
          <w:szCs w:val="24"/>
        </w:rPr>
        <w:tab/>
        <w:t>19</w:t>
      </w:r>
    </w:p>
    <w:p w14:paraId="04061859" w14:textId="7F56233A" w:rsidR="00B9088B" w:rsidRPr="00787CF6" w:rsidRDefault="00B9088B" w:rsidP="00B9088B">
      <w:pPr>
        <w:pStyle w:val="TOC2"/>
        <w:rPr>
          <w:noProof/>
          <w:sz w:val="24"/>
          <w:szCs w:val="24"/>
        </w:rPr>
      </w:pPr>
      <w:r w:rsidRPr="00787CF6">
        <w:rPr>
          <w:noProof/>
          <w:sz w:val="24"/>
          <w:szCs w:val="24"/>
        </w:rPr>
        <w:t>A15.</w:t>
      </w:r>
      <w:r w:rsidRPr="00787CF6">
        <w:rPr>
          <w:noProof/>
          <w:sz w:val="24"/>
          <w:szCs w:val="24"/>
        </w:rPr>
        <w:tab/>
        <w:t>Explanation for Program Changes or Adjustments</w:t>
      </w:r>
      <w:r w:rsidRPr="00787CF6">
        <w:rPr>
          <w:noProof/>
          <w:sz w:val="24"/>
          <w:szCs w:val="24"/>
        </w:rPr>
        <w:tab/>
      </w:r>
      <w:r w:rsidR="008C266B">
        <w:rPr>
          <w:noProof/>
          <w:sz w:val="24"/>
          <w:szCs w:val="24"/>
        </w:rPr>
        <w:tab/>
      </w:r>
      <w:r w:rsidR="00C9791B">
        <w:rPr>
          <w:noProof/>
          <w:sz w:val="24"/>
          <w:szCs w:val="24"/>
        </w:rPr>
        <w:t>20</w:t>
      </w:r>
    </w:p>
    <w:p w14:paraId="78E0AE40" w14:textId="3ED4E8BE" w:rsidR="00B9088B" w:rsidRPr="00787CF6" w:rsidRDefault="00B9088B" w:rsidP="00B9088B">
      <w:pPr>
        <w:pStyle w:val="TOC2"/>
        <w:rPr>
          <w:noProof/>
          <w:sz w:val="24"/>
          <w:szCs w:val="24"/>
        </w:rPr>
      </w:pPr>
      <w:r w:rsidRPr="00787CF6">
        <w:rPr>
          <w:noProof/>
          <w:sz w:val="24"/>
          <w:szCs w:val="24"/>
        </w:rPr>
        <w:t>A16.</w:t>
      </w:r>
      <w:r w:rsidRPr="00787CF6">
        <w:rPr>
          <w:noProof/>
          <w:sz w:val="24"/>
          <w:szCs w:val="24"/>
        </w:rPr>
        <w:tab/>
        <w:t>Plans for Tabulation and Publication and Project Time Schedule</w:t>
      </w:r>
      <w:r w:rsidRPr="00787CF6">
        <w:rPr>
          <w:noProof/>
          <w:sz w:val="24"/>
          <w:szCs w:val="24"/>
        </w:rPr>
        <w:tab/>
      </w:r>
      <w:r w:rsidR="00E92FAE">
        <w:rPr>
          <w:noProof/>
          <w:sz w:val="24"/>
          <w:szCs w:val="24"/>
        </w:rPr>
        <w:tab/>
      </w:r>
      <w:r w:rsidR="00C9791B">
        <w:rPr>
          <w:noProof/>
          <w:sz w:val="24"/>
          <w:szCs w:val="24"/>
        </w:rPr>
        <w:t>21</w:t>
      </w:r>
    </w:p>
    <w:p w14:paraId="5E89CC9E" w14:textId="63988C3C" w:rsidR="00B9088B" w:rsidRPr="00787CF6" w:rsidRDefault="00B9088B" w:rsidP="00B9088B">
      <w:pPr>
        <w:pStyle w:val="TOC2"/>
        <w:rPr>
          <w:noProof/>
          <w:sz w:val="24"/>
          <w:szCs w:val="24"/>
        </w:rPr>
      </w:pPr>
      <w:r w:rsidRPr="00787CF6">
        <w:rPr>
          <w:noProof/>
          <w:sz w:val="24"/>
          <w:szCs w:val="24"/>
        </w:rPr>
        <w:t>A17.</w:t>
      </w:r>
      <w:r w:rsidRPr="00787CF6">
        <w:rPr>
          <w:noProof/>
          <w:sz w:val="24"/>
          <w:szCs w:val="24"/>
        </w:rPr>
        <w:tab/>
        <w:t>Reason(s) Display of OMB Expiration Date is Inappropriate</w:t>
      </w:r>
      <w:r w:rsidRPr="00787CF6">
        <w:rPr>
          <w:noProof/>
          <w:sz w:val="24"/>
          <w:szCs w:val="24"/>
        </w:rPr>
        <w:tab/>
      </w:r>
      <w:r w:rsidR="001B6F5D">
        <w:rPr>
          <w:noProof/>
          <w:sz w:val="24"/>
          <w:szCs w:val="24"/>
        </w:rPr>
        <w:tab/>
      </w:r>
      <w:r w:rsidR="00C9791B">
        <w:rPr>
          <w:noProof/>
          <w:sz w:val="24"/>
          <w:szCs w:val="24"/>
        </w:rPr>
        <w:t>22</w:t>
      </w:r>
    </w:p>
    <w:p w14:paraId="677BB25F" w14:textId="1795D41D" w:rsidR="00B9088B" w:rsidRPr="00787CF6" w:rsidRDefault="00B9088B" w:rsidP="00B9088B">
      <w:pPr>
        <w:pStyle w:val="TOC2"/>
        <w:rPr>
          <w:noProof/>
          <w:sz w:val="24"/>
          <w:szCs w:val="24"/>
        </w:rPr>
      </w:pPr>
      <w:r w:rsidRPr="00787CF6">
        <w:rPr>
          <w:noProof/>
          <w:sz w:val="24"/>
          <w:szCs w:val="24"/>
        </w:rPr>
        <w:t>A18.</w:t>
      </w:r>
      <w:r w:rsidRPr="00787CF6">
        <w:rPr>
          <w:noProof/>
          <w:sz w:val="24"/>
          <w:szCs w:val="24"/>
        </w:rPr>
        <w:tab/>
        <w:t>Exceptions to Certification for Paperwork Reduction Act Submissions</w:t>
      </w:r>
      <w:r w:rsidRPr="00787CF6">
        <w:rPr>
          <w:noProof/>
          <w:sz w:val="24"/>
          <w:szCs w:val="24"/>
        </w:rPr>
        <w:tab/>
      </w:r>
      <w:r>
        <w:rPr>
          <w:noProof/>
          <w:sz w:val="24"/>
          <w:szCs w:val="24"/>
        </w:rPr>
        <w:tab/>
      </w:r>
      <w:r w:rsidR="00C9791B">
        <w:rPr>
          <w:noProof/>
          <w:sz w:val="24"/>
          <w:szCs w:val="24"/>
        </w:rPr>
        <w:t>22</w:t>
      </w:r>
    </w:p>
    <w:p w14:paraId="0F76D2B6" w14:textId="51E34727" w:rsidR="00B9088B" w:rsidRPr="00787CF6" w:rsidRDefault="00B9088B" w:rsidP="00B9088B">
      <w:pPr>
        <w:pStyle w:val="TOC2"/>
        <w:rPr>
          <w:caps/>
          <w:noProof/>
          <w:sz w:val="24"/>
          <w:szCs w:val="24"/>
        </w:rPr>
      </w:pPr>
      <w:r w:rsidRPr="00787CF6">
        <w:rPr>
          <w:noProof/>
          <w:sz w:val="24"/>
          <w:szCs w:val="24"/>
        </w:rPr>
        <w:fldChar w:fldCharType="end"/>
      </w:r>
    </w:p>
    <w:p w14:paraId="5C7E4EAE" w14:textId="77777777" w:rsidR="00B9088B" w:rsidRPr="009D7770" w:rsidRDefault="00B9088B" w:rsidP="009D7770">
      <w:pPr>
        <w:jc w:val="center"/>
        <w:rPr>
          <w:caps/>
          <w:noProof/>
          <w:sz w:val="24"/>
          <w:szCs w:val="24"/>
        </w:rPr>
      </w:pPr>
      <w:r w:rsidRPr="00787CF6">
        <w:rPr>
          <w:caps/>
          <w:noProof/>
          <w:sz w:val="24"/>
          <w:szCs w:val="24"/>
        </w:rPr>
        <w:br w:type="page"/>
      </w:r>
      <w:r w:rsidRPr="000C1A5A">
        <w:rPr>
          <w:b/>
          <w:sz w:val="24"/>
          <w:szCs w:val="24"/>
        </w:rPr>
        <w:lastRenderedPageBreak/>
        <w:t>ATTACHMENTS</w:t>
      </w:r>
    </w:p>
    <w:p w14:paraId="749D5CBF" w14:textId="77777777" w:rsidR="00B9088B" w:rsidRDefault="00B9088B" w:rsidP="00B9088B">
      <w:pPr>
        <w:rPr>
          <w:sz w:val="24"/>
          <w:szCs w:val="24"/>
        </w:rPr>
      </w:pPr>
    </w:p>
    <w:p w14:paraId="7B29D7AD" w14:textId="77777777" w:rsidR="00417090" w:rsidRDefault="00417090" w:rsidP="00B9088B">
      <w:pPr>
        <w:rPr>
          <w:sz w:val="24"/>
          <w:szCs w:val="24"/>
        </w:rPr>
      </w:pPr>
    </w:p>
    <w:p w14:paraId="0A9940C5" w14:textId="28FC893E" w:rsidR="00396FF5" w:rsidRDefault="00B9088B" w:rsidP="00B9088B">
      <w:pPr>
        <w:rPr>
          <w:sz w:val="24"/>
          <w:szCs w:val="24"/>
        </w:rPr>
      </w:pPr>
      <w:r w:rsidRPr="00787CF6">
        <w:rPr>
          <w:sz w:val="24"/>
          <w:szCs w:val="24"/>
        </w:rPr>
        <w:t xml:space="preserve">Attachment </w:t>
      </w:r>
      <w:r w:rsidR="00D50493">
        <w:rPr>
          <w:sz w:val="24"/>
          <w:szCs w:val="24"/>
        </w:rPr>
        <w:t xml:space="preserve">1 </w:t>
      </w:r>
      <w:r w:rsidR="005800F6">
        <w:rPr>
          <w:sz w:val="24"/>
          <w:szCs w:val="24"/>
        </w:rPr>
        <w:t>–</w:t>
      </w:r>
      <w:r w:rsidR="0026619C">
        <w:rPr>
          <w:sz w:val="24"/>
          <w:szCs w:val="24"/>
        </w:rPr>
        <w:t xml:space="preserve"> </w:t>
      </w:r>
      <w:r w:rsidR="00396FF5">
        <w:rPr>
          <w:sz w:val="24"/>
          <w:szCs w:val="24"/>
        </w:rPr>
        <w:t>Generic Information Collection Request (ICR) Template</w:t>
      </w:r>
      <w:r w:rsidR="002275BC">
        <w:rPr>
          <w:sz w:val="24"/>
          <w:szCs w:val="24"/>
        </w:rPr>
        <w:t xml:space="preserve"> for Substudies</w:t>
      </w:r>
    </w:p>
    <w:p w14:paraId="681F633E" w14:textId="172F3F7B" w:rsidR="00417090" w:rsidRDefault="00417090" w:rsidP="00B9088B">
      <w:pPr>
        <w:rPr>
          <w:sz w:val="24"/>
          <w:szCs w:val="24"/>
        </w:rPr>
      </w:pPr>
    </w:p>
    <w:p w14:paraId="0AA31220" w14:textId="7D7C6A07" w:rsidR="00417090" w:rsidRDefault="00417090" w:rsidP="00B9088B">
      <w:pPr>
        <w:rPr>
          <w:sz w:val="24"/>
          <w:szCs w:val="24"/>
        </w:rPr>
      </w:pPr>
      <w:r>
        <w:rPr>
          <w:sz w:val="24"/>
          <w:szCs w:val="24"/>
        </w:rPr>
        <w:t xml:space="preserve">Attachment 2 – </w:t>
      </w:r>
      <w:r w:rsidRPr="00417090">
        <w:rPr>
          <w:sz w:val="24"/>
          <w:szCs w:val="24"/>
        </w:rPr>
        <w:t>Comment</w:t>
      </w:r>
      <w:r>
        <w:rPr>
          <w:sz w:val="24"/>
          <w:szCs w:val="24"/>
        </w:rPr>
        <w:t xml:space="preserve"> </w:t>
      </w:r>
      <w:r w:rsidRPr="00417090">
        <w:rPr>
          <w:sz w:val="24"/>
          <w:szCs w:val="24"/>
        </w:rPr>
        <w:t>in Response to the 60-Day Federal Register Notice</w:t>
      </w:r>
    </w:p>
    <w:p w14:paraId="76D870DC" w14:textId="7616A5B1" w:rsidR="00396FF5" w:rsidRDefault="00396FF5" w:rsidP="00B9088B">
      <w:pPr>
        <w:rPr>
          <w:sz w:val="24"/>
          <w:szCs w:val="24"/>
        </w:rPr>
      </w:pPr>
    </w:p>
    <w:p w14:paraId="5DDF7029" w14:textId="60C1B259" w:rsidR="00EC005A" w:rsidRDefault="00EC005A" w:rsidP="00B9088B">
      <w:pPr>
        <w:rPr>
          <w:sz w:val="24"/>
          <w:szCs w:val="24"/>
        </w:rPr>
      </w:pPr>
      <w:r>
        <w:rPr>
          <w:sz w:val="24"/>
          <w:szCs w:val="24"/>
        </w:rPr>
        <w:t>Attachment 3 – Safe to Sleep Generic NICHD Instruments</w:t>
      </w:r>
    </w:p>
    <w:p w14:paraId="686EA400" w14:textId="77777777" w:rsidR="00F20AF1" w:rsidRDefault="00F20AF1" w:rsidP="00F20AF1">
      <w:pPr>
        <w:rPr>
          <w:sz w:val="24"/>
          <w:szCs w:val="24"/>
        </w:rPr>
      </w:pPr>
    </w:p>
    <w:p w14:paraId="77968C68" w14:textId="77777777" w:rsidR="00F20AF1" w:rsidRDefault="00F20AF1" w:rsidP="00B9088B">
      <w:pPr>
        <w:rPr>
          <w:sz w:val="24"/>
          <w:szCs w:val="24"/>
        </w:rPr>
      </w:pPr>
    </w:p>
    <w:p w14:paraId="65956E03" w14:textId="77777777" w:rsidR="00F20AF1" w:rsidRDefault="00F20AF1" w:rsidP="00B9088B">
      <w:pPr>
        <w:rPr>
          <w:sz w:val="24"/>
          <w:szCs w:val="24"/>
        </w:rPr>
      </w:pPr>
    </w:p>
    <w:p w14:paraId="30AA4939" w14:textId="77777777" w:rsidR="00396FF5" w:rsidRDefault="00396FF5" w:rsidP="00B9088B">
      <w:pPr>
        <w:rPr>
          <w:sz w:val="24"/>
          <w:szCs w:val="24"/>
        </w:rPr>
      </w:pPr>
    </w:p>
    <w:p w14:paraId="0FC7EB46" w14:textId="77777777" w:rsidR="00396FF5" w:rsidRDefault="00396FF5" w:rsidP="00B9088B">
      <w:pPr>
        <w:rPr>
          <w:sz w:val="24"/>
          <w:szCs w:val="24"/>
        </w:rPr>
      </w:pPr>
    </w:p>
    <w:p w14:paraId="03998E90" w14:textId="77777777" w:rsidR="00396FF5" w:rsidRDefault="00396FF5" w:rsidP="00B9088B">
      <w:pPr>
        <w:rPr>
          <w:sz w:val="24"/>
          <w:szCs w:val="24"/>
        </w:rPr>
      </w:pPr>
    </w:p>
    <w:p w14:paraId="34FECB48" w14:textId="77777777" w:rsidR="002007EC" w:rsidRDefault="00B9088B" w:rsidP="00735302">
      <w:pPr>
        <w:pStyle w:val="CM26"/>
        <w:spacing w:after="0"/>
        <w:rPr>
          <w:rFonts w:ascii="Times New Roman" w:hAnsi="Times New Roman"/>
          <w:b/>
          <w:bCs/>
        </w:rPr>
      </w:pPr>
      <w:r>
        <w:rPr>
          <w:bCs/>
        </w:rPr>
        <w:br w:type="page"/>
      </w:r>
      <w:r w:rsidR="00735302" w:rsidRPr="00735302">
        <w:rPr>
          <w:b/>
          <w:bCs/>
        </w:rPr>
        <w:t>A.</w:t>
      </w:r>
      <w:r w:rsidR="00735302">
        <w:rPr>
          <w:bCs/>
        </w:rPr>
        <w:t xml:space="preserve"> </w:t>
      </w:r>
      <w:r w:rsidR="006A1D9F" w:rsidRPr="009D2138">
        <w:rPr>
          <w:rFonts w:ascii="Times New Roman" w:hAnsi="Times New Roman"/>
          <w:b/>
          <w:bCs/>
        </w:rPr>
        <w:t>JUSTIFICATION</w:t>
      </w:r>
    </w:p>
    <w:p w14:paraId="2DC96000" w14:textId="77777777" w:rsidR="00735302" w:rsidRDefault="00735302" w:rsidP="00735302">
      <w:pPr>
        <w:pStyle w:val="Default"/>
      </w:pPr>
    </w:p>
    <w:p w14:paraId="2174A77C" w14:textId="77777777" w:rsidR="007C21B2" w:rsidRDefault="007C21B2" w:rsidP="00735302">
      <w:pPr>
        <w:pStyle w:val="Default"/>
      </w:pPr>
      <w:r w:rsidRPr="00362D6B">
        <w:t>Abstract:</w:t>
      </w:r>
    </w:p>
    <w:p w14:paraId="1349FE77" w14:textId="77777777" w:rsidR="002963F7" w:rsidRDefault="002963F7" w:rsidP="00735302">
      <w:pPr>
        <w:pStyle w:val="Default"/>
      </w:pPr>
    </w:p>
    <w:p w14:paraId="18B3DA79" w14:textId="01452943" w:rsidR="00B5082A" w:rsidRDefault="00B5082A" w:rsidP="00B5082A">
      <w:pPr>
        <w:spacing w:line="480" w:lineRule="auto"/>
        <w:ind w:firstLine="720"/>
        <w:rPr>
          <w:sz w:val="24"/>
          <w:szCs w:val="24"/>
        </w:rPr>
      </w:pPr>
      <w:bookmarkStart w:id="3" w:name="_Hlk485828745"/>
      <w:r w:rsidRPr="00B5082A">
        <w:rPr>
          <w:sz w:val="24"/>
          <w:szCs w:val="24"/>
        </w:rPr>
        <w:t xml:space="preserve">The </w:t>
      </w:r>
      <w:r w:rsidRPr="00B5082A">
        <w:rPr>
          <w:i/>
          <w:sz w:val="24"/>
          <w:szCs w:val="24"/>
        </w:rPr>
        <w:t xml:space="preserve">Eunice Kennedy Shriver </w:t>
      </w:r>
      <w:r w:rsidRPr="00B5082A">
        <w:rPr>
          <w:sz w:val="24"/>
          <w:szCs w:val="24"/>
        </w:rPr>
        <w:t>National Institute of Child Health and Human Development (NICHD), along with its partners, has led efforts on safe infant sleep education since the 1990s. Beginning as the Back to Sleep campaign in 1994 and expanding to the Safe to Sleep</w:t>
      </w:r>
      <w:r w:rsidRPr="00B5082A">
        <w:rPr>
          <w:sz w:val="24"/>
          <w:szCs w:val="24"/>
          <w:vertAlign w:val="superscript"/>
        </w:rPr>
        <w:t>®</w:t>
      </w:r>
      <w:r w:rsidRPr="00B5082A">
        <w:rPr>
          <w:sz w:val="24"/>
          <w:szCs w:val="24"/>
        </w:rPr>
        <w:t xml:space="preserve"> </w:t>
      </w:r>
      <w:r w:rsidR="005E1919">
        <w:rPr>
          <w:sz w:val="24"/>
          <w:szCs w:val="24"/>
        </w:rPr>
        <w:t xml:space="preserve">(STS) </w:t>
      </w:r>
      <w:r w:rsidRPr="00B5082A">
        <w:rPr>
          <w:sz w:val="24"/>
          <w:szCs w:val="24"/>
        </w:rPr>
        <w:t>campaign in 2012</w:t>
      </w:r>
      <w:r>
        <w:rPr>
          <w:sz w:val="24"/>
          <w:szCs w:val="24"/>
        </w:rPr>
        <w:t xml:space="preserve">, </w:t>
      </w:r>
      <w:r w:rsidRPr="00B5082A">
        <w:rPr>
          <w:sz w:val="24"/>
          <w:szCs w:val="24"/>
        </w:rPr>
        <w:t>these programs have helped raise awareness about ways to reduce the risk of sudden infant death syndrome (SIDS) and other sleep-related causes of infant death, such as suffocation. The NICHD Back to Sleep and Safe to Sleep</w:t>
      </w:r>
      <w:r w:rsidRPr="00B5082A">
        <w:rPr>
          <w:sz w:val="24"/>
          <w:szCs w:val="24"/>
          <w:vertAlign w:val="superscript"/>
        </w:rPr>
        <w:t>®</w:t>
      </w:r>
      <w:r w:rsidRPr="00B5082A">
        <w:rPr>
          <w:sz w:val="24"/>
          <w:szCs w:val="24"/>
        </w:rPr>
        <w:t xml:space="preserve"> campaigns have used several methods to test new messages and assess the usefulness of campaign materials and training workshops. </w:t>
      </w:r>
      <w:r w:rsidR="00716BB2" w:rsidRPr="001453C3">
        <w:rPr>
          <w:sz w:val="24"/>
          <w:szCs w:val="24"/>
        </w:rPr>
        <w:t xml:space="preserve">The </w:t>
      </w:r>
      <w:r w:rsidRPr="001453C3">
        <w:rPr>
          <w:sz w:val="24"/>
          <w:szCs w:val="24"/>
        </w:rPr>
        <w:t xml:space="preserve">campaign </w:t>
      </w:r>
      <w:r w:rsidR="00716BB2" w:rsidRPr="001453C3">
        <w:rPr>
          <w:sz w:val="24"/>
          <w:szCs w:val="24"/>
        </w:rPr>
        <w:t>regularly</w:t>
      </w:r>
      <w:r w:rsidRPr="001453C3">
        <w:rPr>
          <w:sz w:val="24"/>
          <w:szCs w:val="24"/>
        </w:rPr>
        <w:t xml:space="preserve"> assess</w:t>
      </w:r>
      <w:r w:rsidR="00716BB2" w:rsidRPr="001453C3">
        <w:rPr>
          <w:sz w:val="24"/>
          <w:szCs w:val="24"/>
        </w:rPr>
        <w:t>es</w:t>
      </w:r>
      <w:r w:rsidRPr="001453C3">
        <w:rPr>
          <w:sz w:val="24"/>
          <w:szCs w:val="24"/>
        </w:rPr>
        <w:t xml:space="preserve"> activities so feedback can be incorporated in a timely manner to better target campaign messages to audiences and improve training workshops. Frequent</w:t>
      </w:r>
      <w:r w:rsidRPr="00B5082A">
        <w:rPr>
          <w:sz w:val="24"/>
          <w:szCs w:val="24"/>
        </w:rPr>
        <w:t xml:space="preserve"> reporting creates opportunities for adjustments to prevent shortcomings and address concerns quickly.  </w:t>
      </w:r>
      <w:r w:rsidR="00716BB2" w:rsidRPr="001453C3">
        <w:rPr>
          <w:sz w:val="24"/>
          <w:szCs w:val="24"/>
        </w:rPr>
        <w:t xml:space="preserve">A Reinstatement </w:t>
      </w:r>
      <w:r w:rsidR="00716BB2" w:rsidRPr="00716BB2">
        <w:rPr>
          <w:sz w:val="24"/>
          <w:szCs w:val="24"/>
          <w:highlight w:val="yellow"/>
        </w:rPr>
        <w:t>with</w:t>
      </w:r>
      <w:r w:rsidR="001453C3">
        <w:rPr>
          <w:sz w:val="24"/>
          <w:szCs w:val="24"/>
          <w:highlight w:val="yellow"/>
        </w:rPr>
        <w:t xml:space="preserve"> C</w:t>
      </w:r>
      <w:r w:rsidR="00716BB2" w:rsidRPr="00716BB2">
        <w:rPr>
          <w:sz w:val="24"/>
          <w:szCs w:val="24"/>
          <w:highlight w:val="yellow"/>
        </w:rPr>
        <w:t xml:space="preserve">hange </w:t>
      </w:r>
      <w:r w:rsidR="00716BB2" w:rsidRPr="001453C3">
        <w:rPr>
          <w:sz w:val="24"/>
          <w:szCs w:val="24"/>
        </w:rPr>
        <w:t xml:space="preserve">for the </w:t>
      </w:r>
      <w:r w:rsidR="00716BB2" w:rsidRPr="001453C3">
        <w:rPr>
          <w:bCs/>
          <w:sz w:val="24"/>
          <w:szCs w:val="24"/>
        </w:rPr>
        <w:t xml:space="preserve">Generic Clearance to Support the Safe to Sleep Campaign at the </w:t>
      </w:r>
      <w:r w:rsidR="00716BB2" w:rsidRPr="001453C3">
        <w:rPr>
          <w:bCs/>
          <w:i/>
          <w:sz w:val="24"/>
          <w:szCs w:val="24"/>
        </w:rPr>
        <w:t>Eunice Kennedy Shriver</w:t>
      </w:r>
      <w:r w:rsidR="00716BB2" w:rsidRPr="001453C3">
        <w:rPr>
          <w:bCs/>
          <w:sz w:val="24"/>
          <w:szCs w:val="24"/>
        </w:rPr>
        <w:t xml:space="preserve"> National Institute for Child Health and Human Development</w:t>
      </w:r>
      <w:r w:rsidRPr="00716BB2">
        <w:rPr>
          <w:sz w:val="24"/>
          <w:szCs w:val="24"/>
        </w:rPr>
        <w:t xml:space="preserve"> will</w:t>
      </w:r>
      <w:r w:rsidRPr="00B5082A">
        <w:rPr>
          <w:sz w:val="24"/>
          <w:szCs w:val="24"/>
        </w:rPr>
        <w:t xml:space="preserve"> allow campaign staff to: 1) gather feedback on campaign activities expeditiously and effectively; 2) be better able to monitor and improve campaign implementation; and 3) assess the utilization and practice activities of target audiences. </w:t>
      </w:r>
      <w:r>
        <w:rPr>
          <w:sz w:val="24"/>
          <w:szCs w:val="24"/>
        </w:rPr>
        <w:t xml:space="preserve">The STS campaign generic clearance will fill a need that exists at NICHD to assess the STS campaign activities, particularly the train-the-trainer, mini-grant, and continuing education programs. </w:t>
      </w:r>
    </w:p>
    <w:p w14:paraId="4B2944E5" w14:textId="77777777" w:rsidR="004D5FA7" w:rsidRPr="00B5082A" w:rsidRDefault="004D5FA7" w:rsidP="00B5082A">
      <w:pPr>
        <w:spacing w:line="480" w:lineRule="auto"/>
        <w:ind w:firstLine="720"/>
        <w:rPr>
          <w:sz w:val="24"/>
          <w:szCs w:val="24"/>
        </w:rPr>
      </w:pPr>
    </w:p>
    <w:bookmarkEnd w:id="0"/>
    <w:bookmarkEnd w:id="1"/>
    <w:bookmarkEnd w:id="3"/>
    <w:p w14:paraId="5D0EF866" w14:textId="77777777" w:rsidR="006A1D9F" w:rsidRPr="009D2138" w:rsidRDefault="007A1E5F" w:rsidP="00293F38">
      <w:pPr>
        <w:pStyle w:val="Default"/>
        <w:spacing w:line="480" w:lineRule="auto"/>
        <w:rPr>
          <w:rFonts w:ascii="Times New Roman" w:hAnsi="Times New Roman" w:cs="Times New Roman"/>
          <w:b/>
          <w:bCs/>
          <w:color w:val="auto"/>
        </w:rPr>
      </w:pPr>
      <w:r>
        <w:rPr>
          <w:rFonts w:ascii="Times New Roman" w:hAnsi="Times New Roman" w:cs="Times New Roman"/>
          <w:b/>
          <w:bCs/>
          <w:color w:val="auto"/>
        </w:rPr>
        <w:t>A.</w:t>
      </w:r>
      <w:r w:rsidR="008C318B">
        <w:rPr>
          <w:rFonts w:ascii="Times New Roman" w:hAnsi="Times New Roman" w:cs="Times New Roman"/>
          <w:b/>
          <w:bCs/>
          <w:color w:val="auto"/>
        </w:rPr>
        <w:t xml:space="preserve">1 </w:t>
      </w:r>
      <w:r w:rsidR="006A1D9F" w:rsidRPr="009D2138">
        <w:rPr>
          <w:rFonts w:ascii="Times New Roman" w:hAnsi="Times New Roman" w:cs="Times New Roman"/>
          <w:b/>
          <w:bCs/>
          <w:color w:val="auto"/>
        </w:rPr>
        <w:t xml:space="preserve">Circumstances Making the Collection of Information Necessary </w:t>
      </w:r>
    </w:p>
    <w:p w14:paraId="225C46E2" w14:textId="245C1A27" w:rsidR="00B61C0D" w:rsidRDefault="006A1D9F" w:rsidP="00735688">
      <w:pPr>
        <w:pStyle w:val="CM27"/>
        <w:spacing w:after="0" w:line="480" w:lineRule="auto"/>
        <w:ind w:firstLine="720"/>
        <w:rPr>
          <w:rFonts w:ascii="Times New Roman" w:hAnsi="Times New Roman"/>
        </w:rPr>
      </w:pPr>
      <w:r w:rsidRPr="009D2138">
        <w:rPr>
          <w:rFonts w:ascii="Times New Roman" w:hAnsi="Times New Roman"/>
        </w:rPr>
        <w:t>This is a request</w:t>
      </w:r>
      <w:r w:rsidR="00735688">
        <w:rPr>
          <w:rFonts w:ascii="Times New Roman" w:hAnsi="Times New Roman"/>
        </w:rPr>
        <w:t xml:space="preserve"> </w:t>
      </w:r>
      <w:r w:rsidR="0064422F">
        <w:rPr>
          <w:rFonts w:ascii="Times New Roman" w:hAnsi="Times New Roman"/>
        </w:rPr>
        <w:t xml:space="preserve">to reinstate </w:t>
      </w:r>
      <w:r w:rsidR="00716BB2" w:rsidRPr="00716BB2">
        <w:rPr>
          <w:rFonts w:ascii="Times New Roman" w:hAnsi="Times New Roman"/>
          <w:highlight w:val="yellow"/>
        </w:rPr>
        <w:t>with change</w:t>
      </w:r>
      <w:r w:rsidR="00716BB2">
        <w:rPr>
          <w:rFonts w:ascii="Times New Roman" w:hAnsi="Times New Roman"/>
        </w:rPr>
        <w:t xml:space="preserve"> </w:t>
      </w:r>
      <w:r w:rsidR="0064422F">
        <w:rPr>
          <w:rFonts w:ascii="Times New Roman" w:hAnsi="Times New Roman"/>
        </w:rPr>
        <w:t>a</w:t>
      </w:r>
      <w:r w:rsidR="00735688">
        <w:rPr>
          <w:rFonts w:ascii="Times New Roman" w:hAnsi="Times New Roman"/>
        </w:rPr>
        <w:t xml:space="preserve"> generic clearance that would be used for submissions specific to the </w:t>
      </w:r>
      <w:r w:rsidR="00B165CD" w:rsidRPr="008F269B">
        <w:rPr>
          <w:rFonts w:ascii="Times New Roman" w:hAnsi="Times New Roman"/>
          <w:i/>
        </w:rPr>
        <w:t>Eunice Kennedy Shriver</w:t>
      </w:r>
      <w:r w:rsidR="00B165CD" w:rsidRPr="00DA147D">
        <w:rPr>
          <w:rFonts w:ascii="Times New Roman" w:hAnsi="Times New Roman"/>
        </w:rPr>
        <w:t xml:space="preserve"> National Institute of Child Health and Human Development (NICHD)</w:t>
      </w:r>
      <w:r w:rsidR="00735688">
        <w:rPr>
          <w:rFonts w:ascii="Times New Roman" w:hAnsi="Times New Roman"/>
        </w:rPr>
        <w:t xml:space="preserve"> Safe to Sleep</w:t>
      </w:r>
      <w:r w:rsidR="00D81432">
        <w:rPr>
          <w:rFonts w:ascii="Calibri" w:hAnsi="Calibri"/>
        </w:rPr>
        <w:t>®</w:t>
      </w:r>
      <w:r w:rsidR="00735688">
        <w:rPr>
          <w:rFonts w:ascii="Times New Roman" w:hAnsi="Times New Roman"/>
        </w:rPr>
        <w:t xml:space="preserve"> (STS) </w:t>
      </w:r>
      <w:r w:rsidR="005469F5">
        <w:rPr>
          <w:rFonts w:ascii="Times New Roman" w:hAnsi="Times New Roman"/>
        </w:rPr>
        <w:t>public education c</w:t>
      </w:r>
      <w:r w:rsidR="00735688">
        <w:rPr>
          <w:rFonts w:ascii="Times New Roman" w:hAnsi="Times New Roman"/>
        </w:rPr>
        <w:t xml:space="preserve">ampaign.  </w:t>
      </w:r>
      <w:r w:rsidR="00716BB2" w:rsidRPr="001453C3">
        <w:rPr>
          <w:rFonts w:ascii="Times New Roman" w:hAnsi="Times New Roman"/>
        </w:rPr>
        <w:t xml:space="preserve">Reinstatement </w:t>
      </w:r>
      <w:r w:rsidR="00716BB2" w:rsidRPr="00716BB2">
        <w:rPr>
          <w:rFonts w:ascii="Times New Roman" w:hAnsi="Times New Roman"/>
          <w:highlight w:val="yellow"/>
        </w:rPr>
        <w:t xml:space="preserve">with change </w:t>
      </w:r>
      <w:r w:rsidR="00716BB2" w:rsidRPr="001453C3">
        <w:rPr>
          <w:rFonts w:ascii="Times New Roman" w:hAnsi="Times New Roman"/>
        </w:rPr>
        <w:t>is requested</w:t>
      </w:r>
      <w:r w:rsidR="005A580A" w:rsidRPr="001453C3">
        <w:rPr>
          <w:rFonts w:ascii="Times New Roman" w:hAnsi="Times New Roman"/>
        </w:rPr>
        <w:t>,</w:t>
      </w:r>
      <w:r w:rsidR="00716BB2" w:rsidRPr="001453C3">
        <w:rPr>
          <w:rFonts w:ascii="Times New Roman" w:hAnsi="Times New Roman"/>
        </w:rPr>
        <w:t xml:space="preserve"> as the STS is ongoing and continues to update and refine information collection materials as needed.  </w:t>
      </w:r>
      <w:r w:rsidR="005A580A" w:rsidRPr="001453C3">
        <w:rPr>
          <w:rFonts w:ascii="Times New Roman" w:hAnsi="Times New Roman"/>
        </w:rPr>
        <w:t>Information collections</w:t>
      </w:r>
      <w:r w:rsidR="00735688" w:rsidRPr="001453C3">
        <w:rPr>
          <w:rFonts w:ascii="Times New Roman" w:hAnsi="Times New Roman"/>
        </w:rPr>
        <w:t xml:space="preserve"> for the STS </w:t>
      </w:r>
      <w:r w:rsidR="006372EE" w:rsidRPr="001453C3">
        <w:rPr>
          <w:rFonts w:ascii="Times New Roman" w:hAnsi="Times New Roman"/>
        </w:rPr>
        <w:t>c</w:t>
      </w:r>
      <w:r w:rsidR="00735688" w:rsidRPr="001453C3">
        <w:rPr>
          <w:rFonts w:ascii="Times New Roman" w:hAnsi="Times New Roman"/>
        </w:rPr>
        <w:t>ampaign will be used to</w:t>
      </w:r>
      <w:r w:rsidR="00735688">
        <w:rPr>
          <w:rFonts w:ascii="Times New Roman" w:hAnsi="Times New Roman"/>
        </w:rPr>
        <w:t xml:space="preserve"> assess the </w:t>
      </w:r>
      <w:r w:rsidR="001D44D5">
        <w:rPr>
          <w:rFonts w:ascii="Times New Roman" w:hAnsi="Times New Roman"/>
        </w:rPr>
        <w:t>understanding</w:t>
      </w:r>
      <w:r w:rsidR="00735688">
        <w:rPr>
          <w:rFonts w:ascii="Times New Roman" w:hAnsi="Times New Roman"/>
        </w:rPr>
        <w:t xml:space="preserve"> and</w:t>
      </w:r>
      <w:r w:rsidR="001D44D5">
        <w:rPr>
          <w:rFonts w:ascii="Times New Roman" w:hAnsi="Times New Roman"/>
        </w:rPr>
        <w:t xml:space="preserve"> reach </w:t>
      </w:r>
      <w:r w:rsidR="00735688">
        <w:rPr>
          <w:rFonts w:ascii="Times New Roman" w:hAnsi="Times New Roman"/>
        </w:rPr>
        <w:t xml:space="preserve">of STS </w:t>
      </w:r>
      <w:r w:rsidR="005469F5">
        <w:rPr>
          <w:rFonts w:ascii="Times New Roman" w:hAnsi="Times New Roman"/>
        </w:rPr>
        <w:t>c</w:t>
      </w:r>
      <w:r w:rsidR="00735688">
        <w:rPr>
          <w:rFonts w:ascii="Times New Roman" w:hAnsi="Times New Roman"/>
        </w:rPr>
        <w:t xml:space="preserve">ampaign materials and messages, and to monitor and improve </w:t>
      </w:r>
      <w:r w:rsidR="00132F16">
        <w:rPr>
          <w:rFonts w:ascii="Times New Roman" w:hAnsi="Times New Roman"/>
        </w:rPr>
        <w:t>campaign</w:t>
      </w:r>
      <w:r w:rsidR="00735688">
        <w:rPr>
          <w:rFonts w:ascii="Times New Roman" w:hAnsi="Times New Roman"/>
        </w:rPr>
        <w:t xml:space="preserve"> activities.  </w:t>
      </w:r>
    </w:p>
    <w:p w14:paraId="4918202C" w14:textId="3521EF09" w:rsidR="00B61C0D" w:rsidRPr="008F269B" w:rsidRDefault="00B165CD" w:rsidP="008F269B">
      <w:pPr>
        <w:spacing w:line="480" w:lineRule="auto"/>
        <w:rPr>
          <w:sz w:val="24"/>
          <w:szCs w:val="24"/>
        </w:rPr>
      </w:pPr>
      <w:r>
        <w:tab/>
      </w:r>
      <w:r w:rsidRPr="008F269B">
        <w:rPr>
          <w:sz w:val="24"/>
          <w:szCs w:val="24"/>
        </w:rPr>
        <w:t>Established in 1962, by the request of the President</w:t>
      </w:r>
      <w:r w:rsidR="005E1919">
        <w:rPr>
          <w:sz w:val="24"/>
          <w:szCs w:val="24"/>
        </w:rPr>
        <w:t xml:space="preserve"> of the United States</w:t>
      </w:r>
      <w:r w:rsidRPr="008F269B">
        <w:rPr>
          <w:sz w:val="24"/>
          <w:szCs w:val="24"/>
        </w:rPr>
        <w:t>, the</w:t>
      </w:r>
      <w:r w:rsidRPr="00B165CD">
        <w:t xml:space="preserve"> </w:t>
      </w:r>
      <w:r w:rsidRPr="008F269B">
        <w:rPr>
          <w:sz w:val="24"/>
          <w:szCs w:val="24"/>
        </w:rPr>
        <w:t xml:space="preserve">NICHD was initially founded to </w:t>
      </w:r>
      <w:r w:rsidR="00B61C0D" w:rsidRPr="008F269B">
        <w:rPr>
          <w:color w:val="000000"/>
          <w:sz w:val="24"/>
          <w:szCs w:val="24"/>
        </w:rPr>
        <w:t>support investigat</w:t>
      </w:r>
      <w:r w:rsidR="00937D45">
        <w:rPr>
          <w:color w:val="000000"/>
          <w:sz w:val="24"/>
          <w:szCs w:val="24"/>
        </w:rPr>
        <w:t>ions of</w:t>
      </w:r>
      <w:r w:rsidR="00B61C0D" w:rsidRPr="008F269B">
        <w:rPr>
          <w:color w:val="000000"/>
          <w:sz w:val="24"/>
          <w:szCs w:val="24"/>
        </w:rPr>
        <w:t xml:space="preserve"> human development throughout the entire life process, focusing on understanding developmental disabilities, including intellectual disabilities, and </w:t>
      </w:r>
      <w:r w:rsidR="00937D45">
        <w:rPr>
          <w:color w:val="000000"/>
          <w:sz w:val="24"/>
          <w:szCs w:val="24"/>
        </w:rPr>
        <w:t>i</w:t>
      </w:r>
      <w:r w:rsidR="00B61C0D" w:rsidRPr="008F269B">
        <w:rPr>
          <w:color w:val="000000"/>
          <w:sz w:val="24"/>
          <w:szCs w:val="24"/>
        </w:rPr>
        <w:t xml:space="preserve">mportant events that occur during pregnancy. </w:t>
      </w:r>
      <w:r w:rsidRPr="008F269B">
        <w:rPr>
          <w:sz w:val="24"/>
          <w:szCs w:val="24"/>
        </w:rPr>
        <w:t xml:space="preserve">  </w:t>
      </w:r>
      <w:r w:rsidR="006372EE">
        <w:rPr>
          <w:sz w:val="24"/>
          <w:szCs w:val="24"/>
        </w:rPr>
        <w:t>T</w:t>
      </w:r>
      <w:r>
        <w:rPr>
          <w:sz w:val="24"/>
          <w:szCs w:val="24"/>
        </w:rPr>
        <w:t xml:space="preserve">he </w:t>
      </w:r>
      <w:r w:rsidRPr="008F269B">
        <w:rPr>
          <w:sz w:val="24"/>
          <w:szCs w:val="24"/>
        </w:rPr>
        <w:t>Public Health Service Act, (P.L. 42 USC 285</w:t>
      </w:r>
      <w:r w:rsidRPr="00937D45">
        <w:rPr>
          <w:sz w:val="24"/>
          <w:szCs w:val="24"/>
        </w:rPr>
        <w:t>)</w:t>
      </w:r>
      <w:r w:rsidR="006372EE">
        <w:rPr>
          <w:sz w:val="24"/>
          <w:szCs w:val="24"/>
        </w:rPr>
        <w:t xml:space="preserve"> describes</w:t>
      </w:r>
      <w:r>
        <w:rPr>
          <w:sz w:val="24"/>
          <w:szCs w:val="24"/>
        </w:rPr>
        <w:t xml:space="preserve"> </w:t>
      </w:r>
      <w:r w:rsidRPr="008F269B">
        <w:rPr>
          <w:sz w:val="24"/>
          <w:szCs w:val="24"/>
        </w:rPr>
        <w:t xml:space="preserve">the NICHD mission </w:t>
      </w:r>
      <w:r w:rsidR="006372EE">
        <w:rPr>
          <w:sz w:val="24"/>
          <w:szCs w:val="24"/>
        </w:rPr>
        <w:t>a</w:t>
      </w:r>
      <w:r w:rsidR="004B397F">
        <w:rPr>
          <w:sz w:val="24"/>
          <w:szCs w:val="24"/>
        </w:rPr>
        <w:t>s</w:t>
      </w:r>
      <w:r w:rsidRPr="008F269B">
        <w:rPr>
          <w:sz w:val="24"/>
          <w:szCs w:val="24"/>
        </w:rPr>
        <w:t xml:space="preserve"> </w:t>
      </w:r>
      <w:r>
        <w:rPr>
          <w:sz w:val="24"/>
          <w:szCs w:val="24"/>
        </w:rPr>
        <w:t>“</w:t>
      </w:r>
      <w:r w:rsidRPr="008F269B">
        <w:rPr>
          <w:sz w:val="24"/>
          <w:szCs w:val="24"/>
        </w:rPr>
        <w:t>ensur</w:t>
      </w:r>
      <w:r w:rsidR="006372EE">
        <w:rPr>
          <w:sz w:val="24"/>
          <w:szCs w:val="24"/>
        </w:rPr>
        <w:t xml:space="preserve">ing </w:t>
      </w:r>
      <w:r w:rsidRPr="008F269B">
        <w:rPr>
          <w:sz w:val="24"/>
          <w:szCs w:val="24"/>
        </w:rPr>
        <w:t>that every person is born healthy and wanted, that women suffer no harmful effects from reproductive processes, and that all children have the chance to achieve their full potential for healthy and productive lives, free from disease or disability, and to ensure the health, productivity, independence, and well-being of all people through optimal rehabilitation</w:t>
      </w:r>
      <w:r w:rsidR="00937D45">
        <w:rPr>
          <w:sz w:val="24"/>
          <w:szCs w:val="24"/>
        </w:rPr>
        <w:t>.</w:t>
      </w:r>
      <w:r w:rsidR="00132F16">
        <w:rPr>
          <w:sz w:val="24"/>
          <w:szCs w:val="24"/>
        </w:rPr>
        <w:t>”</w:t>
      </w:r>
      <w:r w:rsidR="00937D45">
        <w:rPr>
          <w:sz w:val="24"/>
          <w:szCs w:val="24"/>
        </w:rPr>
        <w:t xml:space="preserve">  Working towards</w:t>
      </w:r>
      <w:r>
        <w:rPr>
          <w:sz w:val="24"/>
          <w:szCs w:val="24"/>
        </w:rPr>
        <w:t xml:space="preserve"> this mission, the NICHD </w:t>
      </w:r>
      <w:r w:rsidR="00B61C0D" w:rsidRPr="008F269B">
        <w:rPr>
          <w:color w:val="000000"/>
          <w:sz w:val="24"/>
          <w:szCs w:val="24"/>
        </w:rPr>
        <w:t xml:space="preserve">has achieved an array of scientific advances in its pursuit to enhance lives throughout all stages of human development, from preconception through adulthood, improving the health of children, adults, families, communities, and populations. </w:t>
      </w:r>
      <w:r w:rsidR="00AA786E">
        <w:rPr>
          <w:color w:val="000000"/>
          <w:sz w:val="24"/>
          <w:szCs w:val="24"/>
        </w:rPr>
        <w:t xml:space="preserve"> </w:t>
      </w:r>
      <w:r w:rsidR="00B61C0D" w:rsidRPr="008F269B">
        <w:rPr>
          <w:color w:val="000000"/>
          <w:sz w:val="24"/>
          <w:szCs w:val="24"/>
        </w:rPr>
        <w:t>Research supported and conducted by the NICHD has helped to explain the unique health needs of man</w:t>
      </w:r>
      <w:r w:rsidR="00ED09AF">
        <w:rPr>
          <w:color w:val="000000"/>
          <w:sz w:val="24"/>
          <w:szCs w:val="24"/>
        </w:rPr>
        <w:t xml:space="preserve">y, </w:t>
      </w:r>
      <w:r w:rsidR="00B61C0D" w:rsidRPr="008F269B">
        <w:rPr>
          <w:color w:val="000000"/>
          <w:sz w:val="24"/>
          <w:szCs w:val="24"/>
        </w:rPr>
        <w:t xml:space="preserve">and has brought about novel and effective ways to fulfill them. </w:t>
      </w:r>
    </w:p>
    <w:p w14:paraId="3D970A2E" w14:textId="420ACBF6" w:rsidR="00D854E7" w:rsidRPr="00D854E7" w:rsidRDefault="00D854E7" w:rsidP="008F269B">
      <w:pPr>
        <w:pStyle w:val="ListBullet"/>
        <w:numPr>
          <w:ilvl w:val="0"/>
          <w:numId w:val="0"/>
        </w:numPr>
        <w:tabs>
          <w:tab w:val="clear" w:pos="720"/>
          <w:tab w:val="left" w:pos="0"/>
        </w:tabs>
        <w:spacing w:line="480" w:lineRule="auto"/>
      </w:pPr>
      <w:r>
        <w:tab/>
      </w:r>
      <w:r w:rsidR="001D44D5">
        <w:t xml:space="preserve">One area of research </w:t>
      </w:r>
      <w:r w:rsidR="005469F5">
        <w:t xml:space="preserve">focus </w:t>
      </w:r>
      <w:r w:rsidR="001D44D5">
        <w:t xml:space="preserve">for the NICHD </w:t>
      </w:r>
      <w:r w:rsidR="00132F16">
        <w:t>is</w:t>
      </w:r>
      <w:r w:rsidR="001D44D5">
        <w:t xml:space="preserve"> sudden and unexpected infant deaths (SUID).  </w:t>
      </w:r>
      <w:r w:rsidR="00AA786E" w:rsidRPr="00D854E7">
        <w:t xml:space="preserve">Each year in the United States, more than </w:t>
      </w:r>
      <w:r w:rsidR="005E1919">
        <w:t>3</w:t>
      </w:r>
      <w:r w:rsidR="00AA786E" w:rsidRPr="00D854E7">
        <w:t>,500 infants die suddenly of no immediately, obvious cause</w:t>
      </w:r>
      <w:r w:rsidR="00AA786E" w:rsidRPr="00132F16">
        <w:t>.</w:t>
      </w:r>
      <w:r w:rsidR="00132F16" w:rsidRPr="00132F16">
        <w:rPr>
          <w:rStyle w:val="FootnoteReference"/>
        </w:rPr>
        <w:t xml:space="preserve"> </w:t>
      </w:r>
      <w:r w:rsidR="00132F16" w:rsidRPr="00132F16">
        <w:rPr>
          <w:rStyle w:val="FootnoteReference"/>
        </w:rPr>
        <w:footnoteReference w:id="1"/>
      </w:r>
      <w:r w:rsidR="00132F16" w:rsidRPr="00D854E7">
        <w:t xml:space="preserve"> </w:t>
      </w:r>
      <w:r w:rsidR="00AA786E" w:rsidRPr="00D854E7">
        <w:t xml:space="preserve">  </w:t>
      </w:r>
      <w:r w:rsidR="001928A2">
        <w:t>Approximately, h</w:t>
      </w:r>
      <w:r w:rsidR="00AA786E" w:rsidRPr="00D854E7">
        <w:t xml:space="preserve">alf of these </w:t>
      </w:r>
      <w:r w:rsidR="001D44D5">
        <w:t xml:space="preserve">deaths </w:t>
      </w:r>
      <w:r w:rsidR="00AA786E" w:rsidRPr="00D854E7">
        <w:t xml:space="preserve">are </w:t>
      </w:r>
      <w:r w:rsidR="001928A2">
        <w:t>due to</w:t>
      </w:r>
      <w:r w:rsidR="00AA786E" w:rsidRPr="00D854E7">
        <w:t xml:space="preserve"> Sudden Infant Death Syndrome (SIDS), the leading cause of SUID and of all deaths among infants aged 1-12 months</w:t>
      </w:r>
      <w:r w:rsidR="00AA786E" w:rsidRPr="00132F16">
        <w:t>.</w:t>
      </w:r>
      <w:r w:rsidR="00AA786E" w:rsidRPr="00132F16">
        <w:rPr>
          <w:rStyle w:val="FootnoteReference"/>
        </w:rPr>
        <w:footnoteReference w:id="2"/>
      </w:r>
      <w:r w:rsidR="00AA786E" w:rsidRPr="00D854E7">
        <w:t xml:space="preserve">  </w:t>
      </w:r>
      <w:r w:rsidR="005469F5">
        <w:t xml:space="preserve">In 1994, the </w:t>
      </w:r>
      <w:r w:rsidR="00AA786E" w:rsidRPr="005469F5">
        <w:t xml:space="preserve">NICHD launched Back to Sleep, a national public education campaign, to raise awareness to reduce the risk of SIDS. The overarching campaign </w:t>
      </w:r>
      <w:r w:rsidR="005469F5">
        <w:t>wa</w:t>
      </w:r>
      <w:r w:rsidR="00AA786E" w:rsidRPr="005469F5">
        <w:t xml:space="preserve">s based on the recommendation by the American Academy of Pediatrics (AAP) to have babies sleep on their backs </w:t>
      </w:r>
      <w:r w:rsidR="001928A2">
        <w:t xml:space="preserve">in order </w:t>
      </w:r>
      <w:r w:rsidR="00AA786E" w:rsidRPr="005469F5">
        <w:t xml:space="preserve">to reduce their risk of SIDS.  In 2011, the AAP released </w:t>
      </w:r>
      <w:r w:rsidR="001928A2">
        <w:t xml:space="preserve">updated </w:t>
      </w:r>
      <w:r w:rsidR="00AA786E" w:rsidRPr="005469F5">
        <w:t>recommendations for safe infant sleep that went beyond</w:t>
      </w:r>
      <w:r w:rsidR="001928A2">
        <w:t xml:space="preserve"> reducing</w:t>
      </w:r>
      <w:r w:rsidR="00AA786E" w:rsidRPr="005469F5">
        <w:t xml:space="preserve"> SIDS </w:t>
      </w:r>
      <w:r w:rsidR="001928A2">
        <w:t xml:space="preserve">risk </w:t>
      </w:r>
      <w:r w:rsidR="00AA786E" w:rsidRPr="005469F5">
        <w:t xml:space="preserve">and addressed the shared risk factors for other sleep-related </w:t>
      </w:r>
      <w:r w:rsidR="002B1EAB">
        <w:t xml:space="preserve">causes of </w:t>
      </w:r>
      <w:r w:rsidR="00AA786E" w:rsidRPr="005469F5">
        <w:t>infant death (e.g., suffocation, entrapment, overlay). The NICHD expanded</w:t>
      </w:r>
      <w:r w:rsidR="00AA786E" w:rsidRPr="007273B3">
        <w:t xml:space="preserve"> the Back to Sleep campaign to incorporate these new messages and launched the Safe to Sleep</w:t>
      </w:r>
      <w:r w:rsidR="00A21485">
        <w:rPr>
          <w:rFonts w:ascii="Calibri" w:hAnsi="Calibri"/>
        </w:rPr>
        <w:t>®</w:t>
      </w:r>
      <w:r w:rsidR="00AA786E" w:rsidRPr="007273B3">
        <w:t xml:space="preserve"> campaign in September 2012.  In addition to reinforcing the message that back sleeping is best, the expanded campaign communicates the overall </w:t>
      </w:r>
      <w:r w:rsidR="001928A2">
        <w:t xml:space="preserve">importance and </w:t>
      </w:r>
      <w:r w:rsidR="00AA786E" w:rsidRPr="007273B3">
        <w:t>impact of a safe sleep environment on a baby’s health.</w:t>
      </w:r>
      <w:r w:rsidR="00524930" w:rsidRPr="00524930">
        <w:t xml:space="preserve"> </w:t>
      </w:r>
      <w:r w:rsidR="00524930">
        <w:t xml:space="preserve"> </w:t>
      </w:r>
      <w:r w:rsidR="00524930" w:rsidRPr="007E1FBE">
        <w:t>The new campaign also aims to address racial and ethnic disparities through tailored outreach</w:t>
      </w:r>
      <w:r w:rsidR="005E1919">
        <w:t xml:space="preserve"> to audiences of interest, such as health care providers, </w:t>
      </w:r>
      <w:r w:rsidR="00524930" w:rsidRPr="007E1FBE">
        <w:t>and collaboration</w:t>
      </w:r>
      <w:r w:rsidR="005E1919">
        <w:t xml:space="preserve">s with state and local organizations that serve </w:t>
      </w:r>
      <w:r w:rsidR="00EF6199">
        <w:t>disenfranchised groups</w:t>
      </w:r>
      <w:r w:rsidR="00524930" w:rsidRPr="007E1FBE">
        <w:t>.</w:t>
      </w:r>
      <w:r w:rsidR="00524930">
        <w:t xml:space="preserve">  </w:t>
      </w:r>
      <w:r w:rsidR="00524930" w:rsidRPr="007E1FBE">
        <w:t>Safe to Sleep</w:t>
      </w:r>
      <w:r w:rsidR="00735302">
        <w:rPr>
          <w:rFonts w:ascii="Calibri" w:hAnsi="Calibri"/>
        </w:rPr>
        <w:t>®</w:t>
      </w:r>
      <w:r w:rsidR="00524930" w:rsidRPr="007E1FBE">
        <w:t xml:space="preserve"> includes general and racial/ethnic tailored materials (e.g., brochures, fact sheets, door hangers) as well as a campaign website</w:t>
      </w:r>
      <w:r w:rsidR="00524930">
        <w:t xml:space="preserve"> that launch</w:t>
      </w:r>
      <w:r w:rsidR="005469F5">
        <w:t>ed in</w:t>
      </w:r>
      <w:r w:rsidR="00524930" w:rsidRPr="007E1FBE">
        <w:t xml:space="preserve"> </w:t>
      </w:r>
      <w:r w:rsidR="003B12D5">
        <w:t xml:space="preserve">the </w:t>
      </w:r>
      <w:r w:rsidR="00524930" w:rsidRPr="007E1FBE">
        <w:t xml:space="preserve">fall </w:t>
      </w:r>
      <w:r w:rsidR="003B12D5">
        <w:t xml:space="preserve">of </w:t>
      </w:r>
      <w:r w:rsidR="00524930" w:rsidRPr="007E1FBE">
        <w:t>2013</w:t>
      </w:r>
      <w:r w:rsidR="00735302">
        <w:t xml:space="preserve"> and is continually updated to reflect </w:t>
      </w:r>
      <w:r w:rsidR="009358D0">
        <w:t>evidence-based research and safe sleep recommendations</w:t>
      </w:r>
      <w:r w:rsidR="00524930" w:rsidRPr="007E1FBE">
        <w:t xml:space="preserve">.  </w:t>
      </w:r>
      <w:r w:rsidRPr="00D854E7">
        <w:t xml:space="preserve">The goals of the STS </w:t>
      </w:r>
      <w:r w:rsidR="00132F16">
        <w:t>c</w:t>
      </w:r>
      <w:r w:rsidRPr="00D854E7">
        <w:t>ampaign are</w:t>
      </w:r>
      <w:r w:rsidR="005469F5">
        <w:t xml:space="preserve"> to</w:t>
      </w:r>
      <w:r w:rsidRPr="00D854E7">
        <w:t>:</w:t>
      </w:r>
    </w:p>
    <w:p w14:paraId="666E6A83" w14:textId="77777777" w:rsidR="00E669D2" w:rsidRDefault="00E669D2" w:rsidP="00E669D2">
      <w:pPr>
        <w:pStyle w:val="ListBullet"/>
        <w:numPr>
          <w:ilvl w:val="0"/>
          <w:numId w:val="27"/>
        </w:numPr>
        <w:spacing w:line="480" w:lineRule="auto"/>
      </w:pPr>
      <w:r>
        <w:t xml:space="preserve">Improve knowledge of SIDS and other sleep-related causes of infant death and risk-reduction behaviors among parents, caregivers, and the medical community; </w:t>
      </w:r>
    </w:p>
    <w:p w14:paraId="34F921B2" w14:textId="177D454B" w:rsidR="00E669D2" w:rsidRDefault="00E669D2" w:rsidP="00E669D2">
      <w:pPr>
        <w:pStyle w:val="ListBullet"/>
        <w:numPr>
          <w:ilvl w:val="0"/>
          <w:numId w:val="27"/>
        </w:numPr>
        <w:spacing w:line="480" w:lineRule="auto"/>
      </w:pPr>
      <w:r>
        <w:t>Increase stakeholder groups</w:t>
      </w:r>
      <w:r w:rsidR="00EF6199">
        <w:t>’ (e.g., parents, caregivers, health care professionals) awareness and understanding of the</w:t>
      </w:r>
      <w:r>
        <w:t xml:space="preserve"> expanded Safe to Sleep</w:t>
      </w:r>
      <w:r w:rsidRPr="0043565D">
        <w:rPr>
          <w:vertAlign w:val="superscript"/>
        </w:rPr>
        <w:t>®</w:t>
      </w:r>
      <w:r>
        <w:t xml:space="preserve"> campaign and its new resources; and </w:t>
      </w:r>
    </w:p>
    <w:p w14:paraId="548E780A" w14:textId="77777777" w:rsidR="003B12D5" w:rsidRPr="003B12D5" w:rsidRDefault="003B12D5" w:rsidP="003B12D5">
      <w:pPr>
        <w:numPr>
          <w:ilvl w:val="0"/>
          <w:numId w:val="27"/>
        </w:numPr>
        <w:spacing w:line="480" w:lineRule="auto"/>
        <w:rPr>
          <w:sz w:val="24"/>
          <w:szCs w:val="24"/>
        </w:rPr>
      </w:pPr>
      <w:r w:rsidRPr="003B12D5">
        <w:rPr>
          <w:sz w:val="24"/>
          <w:szCs w:val="24"/>
        </w:rPr>
        <w:t>Contribute to the reduction of the SIDS death rate and other sleep-related causes of infant death.</w:t>
      </w:r>
    </w:p>
    <w:p w14:paraId="789FF152" w14:textId="45F2447A" w:rsidR="002B1EAB" w:rsidRDefault="00507F62" w:rsidP="003B12D5">
      <w:pPr>
        <w:spacing w:line="480" w:lineRule="auto"/>
        <w:ind w:firstLine="360"/>
        <w:rPr>
          <w:sz w:val="24"/>
          <w:szCs w:val="24"/>
        </w:rPr>
      </w:pPr>
      <w:r>
        <w:rPr>
          <w:sz w:val="24"/>
          <w:szCs w:val="24"/>
        </w:rPr>
        <w:t>The STS c</w:t>
      </w:r>
      <w:r w:rsidRPr="008F269B">
        <w:rPr>
          <w:sz w:val="24"/>
          <w:szCs w:val="24"/>
        </w:rPr>
        <w:t>ampaign is s</w:t>
      </w:r>
      <w:r>
        <w:rPr>
          <w:sz w:val="24"/>
          <w:szCs w:val="24"/>
        </w:rPr>
        <w:t>upported</w:t>
      </w:r>
      <w:r w:rsidRPr="008F269B">
        <w:rPr>
          <w:sz w:val="24"/>
          <w:szCs w:val="24"/>
        </w:rPr>
        <w:t xml:space="preserve"> by </w:t>
      </w:r>
      <w:r w:rsidR="00D81432">
        <w:rPr>
          <w:sz w:val="24"/>
          <w:szCs w:val="24"/>
        </w:rPr>
        <w:t xml:space="preserve">official campaign collaborators, which include </w:t>
      </w:r>
      <w:r w:rsidRPr="008F269B">
        <w:rPr>
          <w:sz w:val="24"/>
          <w:szCs w:val="24"/>
        </w:rPr>
        <w:t>federal</w:t>
      </w:r>
      <w:r w:rsidR="00870A6A">
        <w:rPr>
          <w:sz w:val="24"/>
          <w:szCs w:val="24"/>
        </w:rPr>
        <w:t xml:space="preserve"> </w:t>
      </w:r>
      <w:r w:rsidRPr="008F269B">
        <w:rPr>
          <w:sz w:val="24"/>
          <w:szCs w:val="24"/>
        </w:rPr>
        <w:t xml:space="preserve">agencies and several professional and national organizations. </w:t>
      </w:r>
      <w:r>
        <w:rPr>
          <w:sz w:val="24"/>
          <w:szCs w:val="24"/>
        </w:rPr>
        <w:t xml:space="preserve"> </w:t>
      </w:r>
      <w:r w:rsidRPr="008F269B">
        <w:rPr>
          <w:sz w:val="24"/>
          <w:szCs w:val="24"/>
        </w:rPr>
        <w:t xml:space="preserve">The federal agencies include the Maternal and Child Health Bureau </w:t>
      </w:r>
      <w:r w:rsidR="00D81432">
        <w:rPr>
          <w:sz w:val="24"/>
          <w:szCs w:val="24"/>
        </w:rPr>
        <w:t xml:space="preserve">(MCHB) </w:t>
      </w:r>
      <w:r w:rsidRPr="008F269B">
        <w:rPr>
          <w:sz w:val="24"/>
          <w:szCs w:val="24"/>
        </w:rPr>
        <w:t>at the Health Resources and Services Administration</w:t>
      </w:r>
      <w:r w:rsidR="00D81432">
        <w:rPr>
          <w:sz w:val="24"/>
          <w:szCs w:val="24"/>
        </w:rPr>
        <w:t xml:space="preserve"> (HRSA)</w:t>
      </w:r>
      <w:r w:rsidRPr="008F269B">
        <w:rPr>
          <w:sz w:val="24"/>
          <w:szCs w:val="24"/>
        </w:rPr>
        <w:t>, the Division of Reproductive Health at the Centers for Disease Control and Prevention</w:t>
      </w:r>
      <w:r w:rsidR="006372EE">
        <w:rPr>
          <w:sz w:val="24"/>
          <w:szCs w:val="24"/>
        </w:rPr>
        <w:t xml:space="preserve"> (CDC)</w:t>
      </w:r>
      <w:r w:rsidRPr="008F269B">
        <w:rPr>
          <w:sz w:val="24"/>
          <w:szCs w:val="24"/>
        </w:rPr>
        <w:t>,</w:t>
      </w:r>
      <w:r w:rsidR="009358D0">
        <w:rPr>
          <w:sz w:val="24"/>
          <w:szCs w:val="24"/>
        </w:rPr>
        <w:t xml:space="preserve"> and</w:t>
      </w:r>
      <w:r w:rsidRPr="008F269B">
        <w:rPr>
          <w:sz w:val="24"/>
          <w:szCs w:val="24"/>
        </w:rPr>
        <w:t xml:space="preserve"> </w:t>
      </w:r>
      <w:r w:rsidR="009358D0">
        <w:rPr>
          <w:sz w:val="24"/>
          <w:szCs w:val="24"/>
        </w:rPr>
        <w:t xml:space="preserve">the Consumer Product Safety Commission (CPSC). National and professional organizations </w:t>
      </w:r>
      <w:r w:rsidR="00521132">
        <w:rPr>
          <w:sz w:val="24"/>
          <w:szCs w:val="24"/>
        </w:rPr>
        <w:t xml:space="preserve">that serve as official collaborators </w:t>
      </w:r>
      <w:r w:rsidR="009358D0">
        <w:rPr>
          <w:sz w:val="24"/>
          <w:szCs w:val="24"/>
        </w:rPr>
        <w:t xml:space="preserve">include </w:t>
      </w:r>
      <w:r w:rsidRPr="008F269B">
        <w:rPr>
          <w:sz w:val="24"/>
          <w:szCs w:val="24"/>
        </w:rPr>
        <w:t>the AA</w:t>
      </w:r>
      <w:r w:rsidR="006372EE">
        <w:rPr>
          <w:sz w:val="24"/>
          <w:szCs w:val="24"/>
        </w:rPr>
        <w:t>P</w:t>
      </w:r>
      <w:r w:rsidRPr="008F269B">
        <w:rPr>
          <w:sz w:val="24"/>
          <w:szCs w:val="24"/>
        </w:rPr>
        <w:t>, the American College of Obstetricians and Gynecologists</w:t>
      </w:r>
      <w:r w:rsidR="00D81432">
        <w:rPr>
          <w:sz w:val="24"/>
          <w:szCs w:val="24"/>
        </w:rPr>
        <w:t xml:space="preserve"> (ACOG)</w:t>
      </w:r>
      <w:r w:rsidRPr="008F269B">
        <w:rPr>
          <w:sz w:val="24"/>
          <w:szCs w:val="24"/>
        </w:rPr>
        <w:t xml:space="preserve">, </w:t>
      </w:r>
      <w:r w:rsidR="009358D0">
        <w:rPr>
          <w:sz w:val="24"/>
          <w:szCs w:val="24"/>
        </w:rPr>
        <w:t xml:space="preserve">CJ </w:t>
      </w:r>
      <w:r w:rsidRPr="008F269B">
        <w:rPr>
          <w:sz w:val="24"/>
          <w:szCs w:val="24"/>
        </w:rPr>
        <w:t xml:space="preserve">First Candle, </w:t>
      </w:r>
      <w:r w:rsidR="00D81432">
        <w:rPr>
          <w:sz w:val="24"/>
          <w:szCs w:val="24"/>
        </w:rPr>
        <w:t xml:space="preserve">and </w:t>
      </w:r>
      <w:r w:rsidRPr="008F269B">
        <w:rPr>
          <w:sz w:val="24"/>
          <w:szCs w:val="24"/>
        </w:rPr>
        <w:t>the Association of SIDS and Infant Mortality Program</w:t>
      </w:r>
      <w:r w:rsidR="00D81432">
        <w:rPr>
          <w:sz w:val="24"/>
          <w:szCs w:val="24"/>
        </w:rPr>
        <w:t>s (ASIP)</w:t>
      </w:r>
      <w:r w:rsidRPr="008F269B">
        <w:rPr>
          <w:sz w:val="24"/>
          <w:szCs w:val="24"/>
        </w:rPr>
        <w:t>.</w:t>
      </w:r>
      <w:r w:rsidR="002B1EAB">
        <w:rPr>
          <w:sz w:val="24"/>
          <w:szCs w:val="24"/>
        </w:rPr>
        <w:t xml:space="preserve">  </w:t>
      </w:r>
      <w:r w:rsidR="00521132">
        <w:rPr>
          <w:sz w:val="24"/>
          <w:szCs w:val="24"/>
        </w:rPr>
        <w:t xml:space="preserve">In addition, a </w:t>
      </w:r>
      <w:r w:rsidR="00521132" w:rsidRPr="002B1EAB">
        <w:rPr>
          <w:sz w:val="24"/>
          <w:szCs w:val="24"/>
        </w:rPr>
        <w:t xml:space="preserve">Federal SUID/SIDS Workgroup </w:t>
      </w:r>
      <w:r w:rsidR="00521132">
        <w:rPr>
          <w:sz w:val="24"/>
          <w:szCs w:val="24"/>
        </w:rPr>
        <w:t xml:space="preserve">representing </w:t>
      </w:r>
      <w:r w:rsidR="002B1EAB" w:rsidRPr="002B1EAB">
        <w:rPr>
          <w:sz w:val="24"/>
          <w:szCs w:val="24"/>
        </w:rPr>
        <w:t xml:space="preserve">nine federal agencies </w:t>
      </w:r>
      <w:r w:rsidR="00521132">
        <w:rPr>
          <w:sz w:val="24"/>
          <w:szCs w:val="24"/>
        </w:rPr>
        <w:t xml:space="preserve">was </w:t>
      </w:r>
      <w:r w:rsidR="002B1EAB" w:rsidRPr="002B1EAB">
        <w:rPr>
          <w:sz w:val="24"/>
          <w:szCs w:val="24"/>
        </w:rPr>
        <w:t xml:space="preserve">formed </w:t>
      </w:r>
      <w:r w:rsidR="00521132" w:rsidRPr="002B1EAB">
        <w:rPr>
          <w:sz w:val="24"/>
          <w:szCs w:val="24"/>
        </w:rPr>
        <w:t xml:space="preserve">in 2009 </w:t>
      </w:r>
      <w:r w:rsidR="002B1EAB" w:rsidRPr="002B1EAB">
        <w:rPr>
          <w:sz w:val="24"/>
          <w:szCs w:val="24"/>
        </w:rPr>
        <w:t xml:space="preserve">to </w:t>
      </w:r>
      <w:r w:rsidR="00521132">
        <w:rPr>
          <w:sz w:val="24"/>
          <w:szCs w:val="24"/>
        </w:rPr>
        <w:t xml:space="preserve">complement the efforts of NICHD’s STS by </w:t>
      </w:r>
      <w:r w:rsidR="002B1EAB" w:rsidRPr="002B1EAB">
        <w:rPr>
          <w:sz w:val="24"/>
          <w:szCs w:val="24"/>
        </w:rPr>
        <w:t>address</w:t>
      </w:r>
      <w:r w:rsidR="00521132">
        <w:rPr>
          <w:sz w:val="24"/>
          <w:szCs w:val="24"/>
        </w:rPr>
        <w:t>ing</w:t>
      </w:r>
      <w:r w:rsidR="002B1EAB" w:rsidRPr="002B1EAB">
        <w:rPr>
          <w:sz w:val="24"/>
          <w:szCs w:val="24"/>
        </w:rPr>
        <w:t xml:space="preserve"> the public health challenges of SIDS and SUID and </w:t>
      </w:r>
      <w:r w:rsidR="00521132">
        <w:rPr>
          <w:sz w:val="24"/>
          <w:szCs w:val="24"/>
        </w:rPr>
        <w:t xml:space="preserve">advancing </w:t>
      </w:r>
      <w:r w:rsidR="002B1EAB" w:rsidRPr="002B1EAB">
        <w:rPr>
          <w:sz w:val="24"/>
          <w:szCs w:val="24"/>
        </w:rPr>
        <w:t xml:space="preserve">opportunities for prevention. The </w:t>
      </w:r>
      <w:r w:rsidR="00F31BE5">
        <w:rPr>
          <w:sz w:val="24"/>
          <w:szCs w:val="24"/>
        </w:rPr>
        <w:t>W</w:t>
      </w:r>
      <w:r w:rsidR="002B1EAB" w:rsidRPr="002B1EAB">
        <w:rPr>
          <w:sz w:val="24"/>
          <w:szCs w:val="24"/>
        </w:rPr>
        <w:t xml:space="preserve">orkgroup agencies include the Administration for Children and Families (ACF);   Division of Reproductive Health, National Center for Chronic Disease Prevention and Health Promotion, and  Division of Unintentional Injury Prevention, National Center for Injury Prevention and Control, CDC;  NICHD, National Institutes of Health (NIH);  Food and Drug Administration (FDA);  MCHB, HRSA; the Indian Health Service (IHS); Division of Information and Education, HHS Office of Minority Health (OMH);  Consumer Product Safety Commission (CPSC); and  </w:t>
      </w:r>
      <w:r w:rsidR="00F31BE5">
        <w:rPr>
          <w:sz w:val="24"/>
          <w:szCs w:val="24"/>
        </w:rPr>
        <w:t xml:space="preserve">the </w:t>
      </w:r>
      <w:r w:rsidR="002B1EAB" w:rsidRPr="002B1EAB">
        <w:rPr>
          <w:sz w:val="24"/>
          <w:szCs w:val="24"/>
        </w:rPr>
        <w:t>Office of the Deputy Assistant Secretary of Defense, Military and Community Family Policy, Family Advocacy Program, Department of Defense (DoD).</w:t>
      </w:r>
      <w:r w:rsidR="002B1EAB" w:rsidRPr="0010231D">
        <w:rPr>
          <w:sz w:val="22"/>
          <w:szCs w:val="22"/>
        </w:rPr>
        <w:t xml:space="preserve"> </w:t>
      </w:r>
      <w:r w:rsidRPr="008F269B">
        <w:rPr>
          <w:sz w:val="24"/>
          <w:szCs w:val="24"/>
        </w:rPr>
        <w:t xml:space="preserve">Each agency develops and implements its own </w:t>
      </w:r>
      <w:r w:rsidR="00D81432">
        <w:rPr>
          <w:sz w:val="24"/>
          <w:szCs w:val="24"/>
        </w:rPr>
        <w:t xml:space="preserve">safe infant sleep </w:t>
      </w:r>
      <w:r w:rsidRPr="008F269B">
        <w:rPr>
          <w:sz w:val="24"/>
          <w:szCs w:val="24"/>
        </w:rPr>
        <w:t xml:space="preserve">activities on an independent basis. </w:t>
      </w:r>
      <w:r w:rsidRPr="007273B3">
        <w:rPr>
          <w:sz w:val="24"/>
          <w:szCs w:val="24"/>
        </w:rPr>
        <w:t xml:space="preserve"> </w:t>
      </w:r>
      <w:r w:rsidRPr="008F269B">
        <w:rPr>
          <w:sz w:val="24"/>
          <w:szCs w:val="24"/>
        </w:rPr>
        <w:t xml:space="preserve">For example, the CDC’s Division of Reproductive Health has been working to improve </w:t>
      </w:r>
      <w:r w:rsidR="00620756">
        <w:rPr>
          <w:sz w:val="24"/>
          <w:szCs w:val="24"/>
        </w:rPr>
        <w:t>surveillance of SUID by creating a standardized method for characterizing different types of SUID based on the levels of evidence available from death investigations.</w:t>
      </w:r>
    </w:p>
    <w:p w14:paraId="2AF9C0E4" w14:textId="6C4A71B6" w:rsidR="00D4730E" w:rsidRDefault="00507F62" w:rsidP="002B1EAB">
      <w:pPr>
        <w:spacing w:line="480" w:lineRule="auto"/>
        <w:ind w:firstLine="720"/>
        <w:rPr>
          <w:sz w:val="24"/>
          <w:szCs w:val="24"/>
        </w:rPr>
      </w:pPr>
      <w:r w:rsidRPr="007273B3">
        <w:rPr>
          <w:sz w:val="24"/>
          <w:szCs w:val="24"/>
        </w:rPr>
        <w:t xml:space="preserve">The NICHD also has a number of campaign activities implemented nationally and </w:t>
      </w:r>
      <w:r w:rsidR="00EA71AA">
        <w:rPr>
          <w:sz w:val="24"/>
          <w:szCs w:val="24"/>
        </w:rPr>
        <w:t xml:space="preserve">several </w:t>
      </w:r>
      <w:r w:rsidRPr="007273B3">
        <w:rPr>
          <w:sz w:val="24"/>
          <w:szCs w:val="24"/>
        </w:rPr>
        <w:t xml:space="preserve">that are focused on states with the highest SIDS mortality rates or the highest absolute number of SIDS deaths.  </w:t>
      </w:r>
      <w:r w:rsidR="00EA71AA">
        <w:rPr>
          <w:sz w:val="24"/>
          <w:szCs w:val="24"/>
        </w:rPr>
        <w:t xml:space="preserve">The NICHD STS campaign activities include </w:t>
      </w:r>
      <w:r w:rsidR="00EA71AA" w:rsidRPr="008F269B">
        <w:rPr>
          <w:sz w:val="24"/>
          <w:szCs w:val="24"/>
        </w:rPr>
        <w:t xml:space="preserve">trainings in African-American communities in </w:t>
      </w:r>
      <w:r w:rsidR="000F5354">
        <w:rPr>
          <w:sz w:val="24"/>
          <w:szCs w:val="24"/>
        </w:rPr>
        <w:t>Alabama</w:t>
      </w:r>
      <w:r w:rsidR="000F5354" w:rsidRPr="008F269B">
        <w:rPr>
          <w:sz w:val="24"/>
          <w:szCs w:val="24"/>
        </w:rPr>
        <w:t xml:space="preserve"> </w:t>
      </w:r>
      <w:r w:rsidR="00EA71AA" w:rsidRPr="008F269B">
        <w:rPr>
          <w:sz w:val="24"/>
          <w:szCs w:val="24"/>
        </w:rPr>
        <w:t xml:space="preserve">(NICHD provides </w:t>
      </w:r>
      <w:r w:rsidR="00D81432">
        <w:rPr>
          <w:sz w:val="24"/>
          <w:szCs w:val="24"/>
        </w:rPr>
        <w:t>mini-</w:t>
      </w:r>
      <w:r w:rsidR="00EA71AA" w:rsidRPr="008F269B">
        <w:rPr>
          <w:sz w:val="24"/>
          <w:szCs w:val="24"/>
        </w:rPr>
        <w:t>grant funding for these trainings); African-American faith-based training outreach</w:t>
      </w:r>
      <w:r w:rsidR="00CC2091">
        <w:rPr>
          <w:sz w:val="24"/>
          <w:szCs w:val="24"/>
        </w:rPr>
        <w:t xml:space="preserve"> in states with high SUID/SIDS rates</w:t>
      </w:r>
      <w:r w:rsidR="00EA71AA" w:rsidRPr="008F269B">
        <w:rPr>
          <w:sz w:val="24"/>
          <w:szCs w:val="24"/>
        </w:rPr>
        <w:t xml:space="preserve">; general </w:t>
      </w:r>
      <w:r w:rsidR="006372EE">
        <w:rPr>
          <w:sz w:val="24"/>
          <w:szCs w:val="24"/>
        </w:rPr>
        <w:t>STS</w:t>
      </w:r>
      <w:r w:rsidR="00EA71AA" w:rsidRPr="008F269B">
        <w:rPr>
          <w:sz w:val="24"/>
          <w:szCs w:val="24"/>
        </w:rPr>
        <w:t xml:space="preserve"> training workshops presented aro</w:t>
      </w:r>
      <w:r w:rsidR="00CC2091">
        <w:rPr>
          <w:sz w:val="24"/>
          <w:szCs w:val="24"/>
        </w:rPr>
        <w:t>und the country as requested; a national</w:t>
      </w:r>
      <w:r w:rsidR="00EA71AA" w:rsidRPr="008F269B">
        <w:rPr>
          <w:sz w:val="24"/>
          <w:szCs w:val="24"/>
        </w:rPr>
        <w:t xml:space="preserve"> online nurs</w:t>
      </w:r>
      <w:r w:rsidR="00E669D2">
        <w:rPr>
          <w:sz w:val="24"/>
          <w:szCs w:val="24"/>
        </w:rPr>
        <w:t>e</w:t>
      </w:r>
      <w:r w:rsidR="00EA71AA" w:rsidRPr="008F269B">
        <w:rPr>
          <w:sz w:val="24"/>
          <w:szCs w:val="24"/>
        </w:rPr>
        <w:t xml:space="preserve"> </w:t>
      </w:r>
      <w:r w:rsidR="00D81432">
        <w:rPr>
          <w:sz w:val="24"/>
          <w:szCs w:val="24"/>
        </w:rPr>
        <w:t>c</w:t>
      </w:r>
      <w:r w:rsidR="00EA71AA" w:rsidRPr="008F269B">
        <w:rPr>
          <w:sz w:val="24"/>
          <w:szCs w:val="24"/>
        </w:rPr>
        <w:t xml:space="preserve">ontinuing </w:t>
      </w:r>
      <w:r w:rsidR="00D81432">
        <w:rPr>
          <w:sz w:val="24"/>
          <w:szCs w:val="24"/>
        </w:rPr>
        <w:t>e</w:t>
      </w:r>
      <w:r w:rsidR="00EA71AA" w:rsidRPr="008F269B">
        <w:rPr>
          <w:sz w:val="24"/>
          <w:szCs w:val="24"/>
        </w:rPr>
        <w:t xml:space="preserve">ducation </w:t>
      </w:r>
      <w:r w:rsidR="00CC2091">
        <w:rPr>
          <w:sz w:val="24"/>
          <w:szCs w:val="24"/>
        </w:rPr>
        <w:t>activity</w:t>
      </w:r>
      <w:r w:rsidR="00EA71AA" w:rsidRPr="008F269B">
        <w:rPr>
          <w:sz w:val="24"/>
          <w:szCs w:val="24"/>
        </w:rPr>
        <w:t xml:space="preserve"> on SIDS risk reduction; a Healthy Native Babies </w:t>
      </w:r>
      <w:r w:rsidR="00D81432">
        <w:rPr>
          <w:sz w:val="24"/>
          <w:szCs w:val="24"/>
        </w:rPr>
        <w:t>t</w:t>
      </w:r>
      <w:r w:rsidR="00EA71AA" w:rsidRPr="008F269B">
        <w:rPr>
          <w:sz w:val="24"/>
          <w:szCs w:val="24"/>
        </w:rPr>
        <w:t>rain-the-</w:t>
      </w:r>
      <w:r w:rsidR="00D81432">
        <w:rPr>
          <w:sz w:val="24"/>
          <w:szCs w:val="24"/>
        </w:rPr>
        <w:t>t</w:t>
      </w:r>
      <w:r w:rsidR="00EA71AA" w:rsidRPr="008F269B">
        <w:rPr>
          <w:sz w:val="24"/>
          <w:szCs w:val="24"/>
        </w:rPr>
        <w:t xml:space="preserve">rainer outreach program that </w:t>
      </w:r>
      <w:r w:rsidR="000F5354">
        <w:rPr>
          <w:sz w:val="24"/>
          <w:szCs w:val="24"/>
        </w:rPr>
        <w:t>is tailored to meet the learning needs of</w:t>
      </w:r>
      <w:r w:rsidR="000F5354" w:rsidRPr="008F269B">
        <w:rPr>
          <w:sz w:val="24"/>
          <w:szCs w:val="24"/>
        </w:rPr>
        <w:t xml:space="preserve"> </w:t>
      </w:r>
      <w:r w:rsidR="00EA71AA" w:rsidRPr="008F269B">
        <w:rPr>
          <w:sz w:val="24"/>
          <w:szCs w:val="24"/>
        </w:rPr>
        <w:t>American Indian/Alaskan Native communities</w:t>
      </w:r>
      <w:r w:rsidR="001162AB">
        <w:rPr>
          <w:sz w:val="24"/>
          <w:szCs w:val="24"/>
        </w:rPr>
        <w:t xml:space="preserve"> in the Northern Plains region of the United States</w:t>
      </w:r>
      <w:r w:rsidR="00EA71AA">
        <w:rPr>
          <w:sz w:val="24"/>
          <w:szCs w:val="24"/>
        </w:rPr>
        <w:t xml:space="preserve">; </w:t>
      </w:r>
      <w:r w:rsidR="000F5354">
        <w:rPr>
          <w:sz w:val="24"/>
          <w:szCs w:val="24"/>
        </w:rPr>
        <w:t xml:space="preserve">and </w:t>
      </w:r>
      <w:r w:rsidR="001162AB">
        <w:rPr>
          <w:sz w:val="24"/>
          <w:szCs w:val="24"/>
        </w:rPr>
        <w:t xml:space="preserve">national </w:t>
      </w:r>
      <w:r w:rsidR="00D81432">
        <w:rPr>
          <w:sz w:val="24"/>
          <w:szCs w:val="24"/>
        </w:rPr>
        <w:t>p</w:t>
      </w:r>
      <w:r w:rsidR="00EA71AA">
        <w:rPr>
          <w:sz w:val="24"/>
          <w:szCs w:val="24"/>
        </w:rPr>
        <w:t xml:space="preserve">hysician </w:t>
      </w:r>
      <w:r w:rsidR="00D81432">
        <w:rPr>
          <w:sz w:val="24"/>
          <w:szCs w:val="24"/>
        </w:rPr>
        <w:t>o</w:t>
      </w:r>
      <w:r w:rsidR="00EA71AA">
        <w:rPr>
          <w:sz w:val="24"/>
          <w:szCs w:val="24"/>
        </w:rPr>
        <w:t xml:space="preserve">ffice </w:t>
      </w:r>
      <w:r w:rsidR="00D81432">
        <w:rPr>
          <w:sz w:val="24"/>
          <w:szCs w:val="24"/>
        </w:rPr>
        <w:t>m</w:t>
      </w:r>
      <w:r w:rsidR="00EA71AA">
        <w:rPr>
          <w:sz w:val="24"/>
          <w:szCs w:val="24"/>
        </w:rPr>
        <w:t xml:space="preserve">edia </w:t>
      </w:r>
      <w:r w:rsidR="00D81432">
        <w:rPr>
          <w:sz w:val="24"/>
          <w:szCs w:val="24"/>
        </w:rPr>
        <w:t>p</w:t>
      </w:r>
      <w:r w:rsidR="00EA71AA">
        <w:rPr>
          <w:sz w:val="24"/>
          <w:szCs w:val="24"/>
        </w:rPr>
        <w:t xml:space="preserve">romotions.  </w:t>
      </w:r>
      <w:r w:rsidR="00D4730E">
        <w:rPr>
          <w:sz w:val="24"/>
          <w:szCs w:val="24"/>
        </w:rPr>
        <w:t xml:space="preserve">These STS campaign activities help to promote campaign messages to professional and lay audiences, train individuals and health professionals on safe sleep </w:t>
      </w:r>
      <w:r w:rsidR="000F5354">
        <w:rPr>
          <w:sz w:val="24"/>
          <w:szCs w:val="24"/>
        </w:rPr>
        <w:t xml:space="preserve">practices </w:t>
      </w:r>
      <w:r w:rsidR="00D4730E">
        <w:rPr>
          <w:sz w:val="24"/>
          <w:szCs w:val="24"/>
        </w:rPr>
        <w:t xml:space="preserve">and environments for infants, and teach ways to reduce SUID/SIDS.  </w:t>
      </w:r>
    </w:p>
    <w:p w14:paraId="4A69A619" w14:textId="2A01A201" w:rsidR="006372EE" w:rsidRDefault="00D4730E" w:rsidP="008F269B">
      <w:pPr>
        <w:spacing w:line="480" w:lineRule="auto"/>
        <w:ind w:firstLine="720"/>
        <w:rPr>
          <w:sz w:val="24"/>
          <w:szCs w:val="24"/>
        </w:rPr>
      </w:pPr>
      <w:r w:rsidRPr="008F269B">
        <w:rPr>
          <w:sz w:val="24"/>
          <w:szCs w:val="24"/>
        </w:rPr>
        <w:t xml:space="preserve">In the past, the NICHD </w:t>
      </w:r>
      <w:r w:rsidR="004164A7" w:rsidRPr="008F269B">
        <w:rPr>
          <w:sz w:val="24"/>
          <w:szCs w:val="24"/>
        </w:rPr>
        <w:t xml:space="preserve">Back to Sleep and </w:t>
      </w:r>
      <w:r w:rsidRPr="008F269B">
        <w:rPr>
          <w:sz w:val="24"/>
          <w:szCs w:val="24"/>
        </w:rPr>
        <w:t>Safe to Sleep</w:t>
      </w:r>
      <w:r w:rsidR="00A21485">
        <w:rPr>
          <w:rFonts w:ascii="Calibri" w:hAnsi="Calibri"/>
          <w:sz w:val="24"/>
          <w:szCs w:val="24"/>
        </w:rPr>
        <w:t>®</w:t>
      </w:r>
      <w:r w:rsidRPr="008F269B">
        <w:rPr>
          <w:sz w:val="24"/>
          <w:szCs w:val="24"/>
        </w:rPr>
        <w:t xml:space="preserve"> campaign</w:t>
      </w:r>
      <w:r w:rsidR="004164A7" w:rsidRPr="008F269B">
        <w:rPr>
          <w:sz w:val="24"/>
          <w:szCs w:val="24"/>
        </w:rPr>
        <w:t>s</w:t>
      </w:r>
      <w:r w:rsidRPr="008F269B">
        <w:rPr>
          <w:sz w:val="24"/>
          <w:szCs w:val="24"/>
        </w:rPr>
        <w:t xml:space="preserve"> ha</w:t>
      </w:r>
      <w:r w:rsidR="004164A7" w:rsidRPr="008F269B">
        <w:rPr>
          <w:sz w:val="24"/>
          <w:szCs w:val="24"/>
        </w:rPr>
        <w:t xml:space="preserve">ve </w:t>
      </w:r>
      <w:r w:rsidRPr="008F269B">
        <w:rPr>
          <w:sz w:val="24"/>
          <w:szCs w:val="24"/>
        </w:rPr>
        <w:t xml:space="preserve">used several methods to test new messages and assess the </w:t>
      </w:r>
      <w:r w:rsidR="00CA0694">
        <w:rPr>
          <w:sz w:val="24"/>
          <w:szCs w:val="24"/>
        </w:rPr>
        <w:t>effectiveness</w:t>
      </w:r>
      <w:r w:rsidRPr="008F269B">
        <w:rPr>
          <w:sz w:val="24"/>
          <w:szCs w:val="24"/>
        </w:rPr>
        <w:t xml:space="preserve"> of campaign materials and training</w:t>
      </w:r>
      <w:r w:rsidR="00220D6D" w:rsidRPr="008F269B">
        <w:rPr>
          <w:sz w:val="24"/>
          <w:szCs w:val="24"/>
        </w:rPr>
        <w:t xml:space="preserve"> workshops</w:t>
      </w:r>
      <w:r w:rsidRPr="008F269B">
        <w:rPr>
          <w:sz w:val="24"/>
          <w:szCs w:val="24"/>
        </w:rPr>
        <w:t xml:space="preserve">.  These methods have included focus groups with target audiences to </w:t>
      </w:r>
      <w:r w:rsidR="00220D6D" w:rsidRPr="008F269B">
        <w:rPr>
          <w:sz w:val="24"/>
          <w:szCs w:val="24"/>
        </w:rPr>
        <w:t>understand their knowledge, attitudes, and behaviors around safe sleeping environments (OMB #: 0925-0643</w:t>
      </w:r>
      <w:r w:rsidR="00DD0313">
        <w:rPr>
          <w:sz w:val="24"/>
          <w:szCs w:val="24"/>
        </w:rPr>
        <w:t xml:space="preserve">, </w:t>
      </w:r>
      <w:r w:rsidR="000F2741">
        <w:rPr>
          <w:sz w:val="24"/>
          <w:szCs w:val="24"/>
        </w:rPr>
        <w:t xml:space="preserve">sub-study </w:t>
      </w:r>
      <w:r w:rsidR="00DD0313">
        <w:rPr>
          <w:sz w:val="24"/>
          <w:szCs w:val="24"/>
        </w:rPr>
        <w:t>approved</w:t>
      </w:r>
      <w:r w:rsidR="003B4A63">
        <w:rPr>
          <w:sz w:val="24"/>
          <w:szCs w:val="24"/>
        </w:rPr>
        <w:t xml:space="preserve"> 8/16/13</w:t>
      </w:r>
      <w:r w:rsidR="00220D6D" w:rsidRPr="008F269B">
        <w:rPr>
          <w:sz w:val="24"/>
          <w:szCs w:val="24"/>
        </w:rPr>
        <w:t>), focus groups and interviews</w:t>
      </w:r>
      <w:r w:rsidR="004164A7" w:rsidRPr="008F269B">
        <w:rPr>
          <w:sz w:val="24"/>
          <w:szCs w:val="24"/>
        </w:rPr>
        <w:t xml:space="preserve"> to</w:t>
      </w:r>
      <w:r w:rsidR="00220D6D" w:rsidRPr="008F269B">
        <w:rPr>
          <w:sz w:val="24"/>
          <w:szCs w:val="24"/>
        </w:rPr>
        <w:t xml:space="preserve"> </w:t>
      </w:r>
      <w:r w:rsidRPr="008F269B">
        <w:rPr>
          <w:sz w:val="24"/>
          <w:szCs w:val="24"/>
        </w:rPr>
        <w:t xml:space="preserve">test new </w:t>
      </w:r>
      <w:r w:rsidR="007273B3">
        <w:rPr>
          <w:sz w:val="24"/>
          <w:szCs w:val="24"/>
        </w:rPr>
        <w:t xml:space="preserve">campaign </w:t>
      </w:r>
      <w:r w:rsidRPr="008F269B">
        <w:rPr>
          <w:sz w:val="24"/>
          <w:szCs w:val="24"/>
        </w:rPr>
        <w:t>messages</w:t>
      </w:r>
      <w:r w:rsidR="00220D6D" w:rsidRPr="008F269B">
        <w:rPr>
          <w:sz w:val="24"/>
          <w:szCs w:val="24"/>
        </w:rPr>
        <w:t xml:space="preserve"> (OMB #: 0924-0643</w:t>
      </w:r>
      <w:r w:rsidR="000F2741">
        <w:rPr>
          <w:sz w:val="24"/>
          <w:szCs w:val="24"/>
        </w:rPr>
        <w:t>, sub-studies approved 1/27/15 and 2/2/15</w:t>
      </w:r>
      <w:r w:rsidR="00220D6D" w:rsidRPr="008F269B">
        <w:rPr>
          <w:sz w:val="24"/>
          <w:szCs w:val="24"/>
        </w:rPr>
        <w:t>)</w:t>
      </w:r>
      <w:r w:rsidRPr="008F269B">
        <w:rPr>
          <w:sz w:val="24"/>
          <w:szCs w:val="24"/>
        </w:rPr>
        <w:t xml:space="preserve">, </w:t>
      </w:r>
      <w:r w:rsidR="00220D6D" w:rsidRPr="008F269B">
        <w:rPr>
          <w:sz w:val="24"/>
          <w:szCs w:val="24"/>
        </w:rPr>
        <w:t xml:space="preserve">and </w:t>
      </w:r>
      <w:r w:rsidRPr="008F269B">
        <w:rPr>
          <w:sz w:val="24"/>
          <w:szCs w:val="24"/>
        </w:rPr>
        <w:t>surveys</w:t>
      </w:r>
      <w:r w:rsidR="00220D6D" w:rsidRPr="008F269B">
        <w:rPr>
          <w:sz w:val="24"/>
          <w:szCs w:val="24"/>
        </w:rPr>
        <w:t xml:space="preserve"> with training participants</w:t>
      </w:r>
      <w:r w:rsidRPr="008F269B">
        <w:rPr>
          <w:sz w:val="24"/>
          <w:szCs w:val="24"/>
        </w:rPr>
        <w:t xml:space="preserve">’ </w:t>
      </w:r>
      <w:r w:rsidR="00220D6D" w:rsidRPr="008F269B">
        <w:rPr>
          <w:sz w:val="24"/>
          <w:szCs w:val="24"/>
        </w:rPr>
        <w:t xml:space="preserve">to learn about their </w:t>
      </w:r>
      <w:r w:rsidRPr="008F269B">
        <w:rPr>
          <w:sz w:val="24"/>
          <w:szCs w:val="24"/>
        </w:rPr>
        <w:t>activities and utilization of materials post-training</w:t>
      </w:r>
      <w:r w:rsidR="00220D6D" w:rsidRPr="008F269B">
        <w:rPr>
          <w:sz w:val="24"/>
          <w:szCs w:val="24"/>
        </w:rPr>
        <w:t xml:space="preserve"> (OMB #: </w:t>
      </w:r>
      <w:r w:rsidR="004164A7" w:rsidRPr="008F269B">
        <w:rPr>
          <w:sz w:val="24"/>
          <w:szCs w:val="24"/>
        </w:rPr>
        <w:t>0925-</w:t>
      </w:r>
      <w:r w:rsidR="000F2741">
        <w:rPr>
          <w:sz w:val="24"/>
          <w:szCs w:val="24"/>
        </w:rPr>
        <w:t xml:space="preserve">0701, sub-studies approved 11/20/14, </w:t>
      </w:r>
      <w:r w:rsidR="003B4A63">
        <w:rPr>
          <w:sz w:val="24"/>
          <w:szCs w:val="24"/>
        </w:rPr>
        <w:t xml:space="preserve">12/12/14, </w:t>
      </w:r>
      <w:r w:rsidR="000F2741">
        <w:rPr>
          <w:sz w:val="24"/>
          <w:szCs w:val="24"/>
        </w:rPr>
        <w:t>11/9/16</w:t>
      </w:r>
      <w:r w:rsidR="004164A7" w:rsidRPr="007B6173">
        <w:rPr>
          <w:sz w:val="24"/>
          <w:szCs w:val="24"/>
        </w:rPr>
        <w:t>).</w:t>
      </w:r>
      <w:r w:rsidRPr="007B6173">
        <w:rPr>
          <w:sz w:val="24"/>
          <w:szCs w:val="24"/>
        </w:rPr>
        <w:t xml:space="preserve">  </w:t>
      </w:r>
      <w:r w:rsidR="004164A7" w:rsidRPr="008F269B">
        <w:rPr>
          <w:sz w:val="24"/>
          <w:szCs w:val="24"/>
        </w:rPr>
        <w:t xml:space="preserve">The information collected from these assessment activities have helped to </w:t>
      </w:r>
      <w:r w:rsidR="00B15387" w:rsidRPr="008F269B">
        <w:rPr>
          <w:sz w:val="24"/>
          <w:szCs w:val="24"/>
        </w:rPr>
        <w:t>modify</w:t>
      </w:r>
      <w:r w:rsidR="004164A7" w:rsidRPr="008F269B">
        <w:rPr>
          <w:sz w:val="24"/>
          <w:szCs w:val="24"/>
        </w:rPr>
        <w:t xml:space="preserve"> </w:t>
      </w:r>
      <w:r w:rsidR="00132F16">
        <w:rPr>
          <w:sz w:val="24"/>
          <w:szCs w:val="24"/>
        </w:rPr>
        <w:t xml:space="preserve">campaign </w:t>
      </w:r>
      <w:r w:rsidR="003B12D5">
        <w:rPr>
          <w:sz w:val="24"/>
          <w:szCs w:val="24"/>
        </w:rPr>
        <w:t xml:space="preserve">messages </w:t>
      </w:r>
      <w:r w:rsidR="00B15387" w:rsidRPr="008F269B">
        <w:rPr>
          <w:sz w:val="24"/>
          <w:szCs w:val="24"/>
        </w:rPr>
        <w:t xml:space="preserve">and improve overall implementation of </w:t>
      </w:r>
      <w:r w:rsidR="00132F16">
        <w:rPr>
          <w:sz w:val="24"/>
          <w:szCs w:val="24"/>
        </w:rPr>
        <w:t xml:space="preserve">campaign </w:t>
      </w:r>
      <w:r w:rsidR="00B15387" w:rsidRPr="008F269B">
        <w:rPr>
          <w:sz w:val="24"/>
          <w:szCs w:val="24"/>
        </w:rPr>
        <w:t xml:space="preserve">activities.  </w:t>
      </w:r>
      <w:r w:rsidR="004164A7" w:rsidRPr="008F269B">
        <w:rPr>
          <w:sz w:val="24"/>
          <w:szCs w:val="24"/>
        </w:rPr>
        <w:t>With the expanded campaign</w:t>
      </w:r>
      <w:r w:rsidR="00D81432">
        <w:rPr>
          <w:sz w:val="24"/>
          <w:szCs w:val="24"/>
        </w:rPr>
        <w:t>,</w:t>
      </w:r>
      <w:r w:rsidR="004164A7" w:rsidRPr="008F269B">
        <w:rPr>
          <w:sz w:val="24"/>
          <w:szCs w:val="24"/>
        </w:rPr>
        <w:t xml:space="preserve"> there </w:t>
      </w:r>
      <w:r w:rsidR="006372EE">
        <w:rPr>
          <w:sz w:val="24"/>
          <w:szCs w:val="24"/>
        </w:rPr>
        <w:t>is</w:t>
      </w:r>
      <w:r w:rsidR="004164A7" w:rsidRPr="008F269B">
        <w:rPr>
          <w:sz w:val="24"/>
          <w:szCs w:val="24"/>
        </w:rPr>
        <w:t xml:space="preserve"> </w:t>
      </w:r>
      <w:r w:rsidR="00B15387" w:rsidRPr="008F269B">
        <w:rPr>
          <w:sz w:val="24"/>
          <w:szCs w:val="24"/>
        </w:rPr>
        <w:t xml:space="preserve">an increased </w:t>
      </w:r>
      <w:r w:rsidR="006372EE">
        <w:rPr>
          <w:sz w:val="24"/>
          <w:szCs w:val="24"/>
        </w:rPr>
        <w:t xml:space="preserve">need to assess activities frequently so </w:t>
      </w:r>
      <w:r w:rsidR="00620756">
        <w:rPr>
          <w:sz w:val="24"/>
          <w:szCs w:val="24"/>
        </w:rPr>
        <w:t xml:space="preserve">that </w:t>
      </w:r>
      <w:r w:rsidR="006372EE">
        <w:rPr>
          <w:sz w:val="24"/>
          <w:szCs w:val="24"/>
        </w:rPr>
        <w:t>feedback can be incorporated</w:t>
      </w:r>
      <w:r w:rsidR="00166BA2">
        <w:rPr>
          <w:sz w:val="24"/>
          <w:szCs w:val="24"/>
        </w:rPr>
        <w:t xml:space="preserve"> in a timely manner</w:t>
      </w:r>
      <w:r w:rsidR="006372EE">
        <w:rPr>
          <w:sz w:val="24"/>
          <w:szCs w:val="24"/>
        </w:rPr>
        <w:t xml:space="preserve"> to </w:t>
      </w:r>
      <w:r w:rsidR="00D515C5">
        <w:rPr>
          <w:sz w:val="24"/>
          <w:szCs w:val="24"/>
        </w:rPr>
        <w:t>better target campaign messages to audiences</w:t>
      </w:r>
      <w:r w:rsidR="006372EE">
        <w:rPr>
          <w:sz w:val="24"/>
          <w:szCs w:val="24"/>
        </w:rPr>
        <w:t xml:space="preserve"> and </w:t>
      </w:r>
      <w:r w:rsidR="00D515C5">
        <w:rPr>
          <w:sz w:val="24"/>
          <w:szCs w:val="24"/>
        </w:rPr>
        <w:t xml:space="preserve">improve </w:t>
      </w:r>
      <w:r w:rsidR="006372EE">
        <w:rPr>
          <w:sz w:val="24"/>
          <w:szCs w:val="24"/>
        </w:rPr>
        <w:t xml:space="preserve">training workshops. </w:t>
      </w:r>
      <w:r w:rsidR="006352DB">
        <w:rPr>
          <w:sz w:val="24"/>
          <w:szCs w:val="24"/>
        </w:rPr>
        <w:t>Frequent reporting creates opportunities for adjustments to prevent shortcomings and address concerns quickly.</w:t>
      </w:r>
      <w:r w:rsidR="006372EE">
        <w:rPr>
          <w:sz w:val="24"/>
          <w:szCs w:val="24"/>
        </w:rPr>
        <w:t xml:space="preserve"> </w:t>
      </w:r>
      <w:r w:rsidR="006352DB">
        <w:rPr>
          <w:sz w:val="24"/>
          <w:szCs w:val="24"/>
        </w:rPr>
        <w:t xml:space="preserve"> </w:t>
      </w:r>
      <w:r w:rsidR="006372EE">
        <w:rPr>
          <w:sz w:val="24"/>
          <w:szCs w:val="24"/>
        </w:rPr>
        <w:t xml:space="preserve">This generic clearance will allow </w:t>
      </w:r>
      <w:r w:rsidR="00B15387" w:rsidRPr="008F269B">
        <w:rPr>
          <w:sz w:val="24"/>
          <w:szCs w:val="24"/>
        </w:rPr>
        <w:t>campaign staff to</w:t>
      </w:r>
      <w:r w:rsidR="003B12D5">
        <w:rPr>
          <w:sz w:val="24"/>
          <w:szCs w:val="24"/>
        </w:rPr>
        <w:t>:</w:t>
      </w:r>
      <w:r w:rsidR="00B15387" w:rsidRPr="008F269B">
        <w:rPr>
          <w:sz w:val="24"/>
          <w:szCs w:val="24"/>
        </w:rPr>
        <w:t xml:space="preserve"> </w:t>
      </w:r>
      <w:r w:rsidR="003B12D5">
        <w:rPr>
          <w:sz w:val="24"/>
          <w:szCs w:val="24"/>
        </w:rPr>
        <w:t xml:space="preserve">1) </w:t>
      </w:r>
      <w:r w:rsidR="004164A7" w:rsidRPr="008F269B">
        <w:rPr>
          <w:sz w:val="24"/>
          <w:szCs w:val="24"/>
        </w:rPr>
        <w:t xml:space="preserve">gather feedback on </w:t>
      </w:r>
      <w:r w:rsidR="006372EE">
        <w:rPr>
          <w:sz w:val="24"/>
          <w:szCs w:val="24"/>
        </w:rPr>
        <w:t>campaign</w:t>
      </w:r>
      <w:r w:rsidR="004164A7" w:rsidRPr="008F269B">
        <w:rPr>
          <w:sz w:val="24"/>
          <w:szCs w:val="24"/>
        </w:rPr>
        <w:t xml:space="preserve"> activities expeditious</w:t>
      </w:r>
      <w:r w:rsidR="00166BA2">
        <w:rPr>
          <w:sz w:val="24"/>
          <w:szCs w:val="24"/>
        </w:rPr>
        <w:t>ly</w:t>
      </w:r>
      <w:r w:rsidR="003B12D5">
        <w:rPr>
          <w:sz w:val="24"/>
          <w:szCs w:val="24"/>
        </w:rPr>
        <w:t xml:space="preserve"> and </w:t>
      </w:r>
      <w:r w:rsidR="004164A7" w:rsidRPr="008F269B">
        <w:rPr>
          <w:sz w:val="24"/>
          <w:szCs w:val="24"/>
        </w:rPr>
        <w:t>effective</w:t>
      </w:r>
      <w:r w:rsidR="00166BA2">
        <w:rPr>
          <w:sz w:val="24"/>
          <w:szCs w:val="24"/>
        </w:rPr>
        <w:t>ly</w:t>
      </w:r>
      <w:r w:rsidR="003B12D5">
        <w:rPr>
          <w:sz w:val="24"/>
          <w:szCs w:val="24"/>
        </w:rPr>
        <w:t>; 2)</w:t>
      </w:r>
      <w:r w:rsidR="004164A7" w:rsidRPr="008F269B">
        <w:rPr>
          <w:sz w:val="24"/>
          <w:szCs w:val="24"/>
        </w:rPr>
        <w:t xml:space="preserve"> </w:t>
      </w:r>
      <w:r w:rsidR="006372EE">
        <w:rPr>
          <w:sz w:val="24"/>
          <w:szCs w:val="24"/>
        </w:rPr>
        <w:t xml:space="preserve">be better able to </w:t>
      </w:r>
      <w:r w:rsidR="004164A7" w:rsidRPr="008F269B">
        <w:rPr>
          <w:sz w:val="24"/>
          <w:szCs w:val="24"/>
        </w:rPr>
        <w:t xml:space="preserve">monitor and improve </w:t>
      </w:r>
      <w:r w:rsidR="00132F16">
        <w:rPr>
          <w:sz w:val="24"/>
          <w:szCs w:val="24"/>
        </w:rPr>
        <w:t xml:space="preserve">campaign </w:t>
      </w:r>
      <w:r w:rsidR="004164A7" w:rsidRPr="008F269B">
        <w:rPr>
          <w:sz w:val="24"/>
          <w:szCs w:val="24"/>
        </w:rPr>
        <w:t>implementation</w:t>
      </w:r>
      <w:r w:rsidR="003B12D5">
        <w:rPr>
          <w:sz w:val="24"/>
          <w:szCs w:val="24"/>
        </w:rPr>
        <w:t xml:space="preserve">; and 3) </w:t>
      </w:r>
      <w:r w:rsidR="003B12D5" w:rsidRPr="008F269B">
        <w:rPr>
          <w:sz w:val="24"/>
          <w:szCs w:val="24"/>
        </w:rPr>
        <w:t>assess the utilization and practice</w:t>
      </w:r>
      <w:r w:rsidR="003B12D5">
        <w:rPr>
          <w:sz w:val="24"/>
          <w:szCs w:val="24"/>
        </w:rPr>
        <w:t xml:space="preserve"> activities of target audiences</w:t>
      </w:r>
      <w:r w:rsidR="004164A7" w:rsidRPr="008F269B">
        <w:rPr>
          <w:sz w:val="24"/>
          <w:szCs w:val="24"/>
        </w:rPr>
        <w:t xml:space="preserve">.  </w:t>
      </w:r>
    </w:p>
    <w:p w14:paraId="5215DA8F" w14:textId="422A524F" w:rsidR="004A57BC" w:rsidRPr="001453C3" w:rsidRDefault="001F7B8D" w:rsidP="008F269B">
      <w:pPr>
        <w:spacing w:line="480" w:lineRule="auto"/>
        <w:ind w:firstLine="720"/>
        <w:rPr>
          <w:sz w:val="24"/>
          <w:szCs w:val="24"/>
        </w:rPr>
      </w:pPr>
      <w:r>
        <w:rPr>
          <w:sz w:val="24"/>
          <w:szCs w:val="24"/>
        </w:rPr>
        <w:t>T</w:t>
      </w:r>
      <w:r w:rsidR="005A580A" w:rsidRPr="001453C3">
        <w:rPr>
          <w:sz w:val="24"/>
          <w:szCs w:val="24"/>
        </w:rPr>
        <w:t xml:space="preserve">he NICHD seeks to reinstate </w:t>
      </w:r>
      <w:r w:rsidR="005A580A" w:rsidRPr="00D71F71">
        <w:rPr>
          <w:sz w:val="24"/>
          <w:szCs w:val="24"/>
          <w:highlight w:val="yellow"/>
        </w:rPr>
        <w:t xml:space="preserve">with change </w:t>
      </w:r>
      <w:r w:rsidR="00D71F71" w:rsidRPr="001453C3">
        <w:rPr>
          <w:sz w:val="24"/>
          <w:szCs w:val="24"/>
        </w:rPr>
        <w:t>t</w:t>
      </w:r>
      <w:r w:rsidR="005A580A" w:rsidRPr="001453C3">
        <w:rPr>
          <w:sz w:val="24"/>
          <w:szCs w:val="24"/>
        </w:rPr>
        <w:t xml:space="preserve">he </w:t>
      </w:r>
      <w:r w:rsidR="005A580A" w:rsidRPr="001453C3">
        <w:rPr>
          <w:bCs/>
          <w:sz w:val="24"/>
          <w:szCs w:val="24"/>
        </w:rPr>
        <w:t xml:space="preserve">Generic Clearance to Support the Safe to Sleep Campaign at </w:t>
      </w:r>
      <w:r w:rsidR="005A580A" w:rsidRPr="001453C3">
        <w:rPr>
          <w:sz w:val="24"/>
          <w:szCs w:val="24"/>
        </w:rPr>
        <w:t>NICHD</w:t>
      </w:r>
      <w:r w:rsidR="00D71F71" w:rsidRPr="001453C3">
        <w:rPr>
          <w:sz w:val="24"/>
          <w:szCs w:val="24"/>
        </w:rPr>
        <w:t>,</w:t>
      </w:r>
      <w:r w:rsidR="005A580A" w:rsidRPr="001453C3">
        <w:rPr>
          <w:sz w:val="24"/>
          <w:szCs w:val="24"/>
        </w:rPr>
        <w:t xml:space="preserve"> </w:t>
      </w:r>
      <w:r w:rsidR="00D71F71" w:rsidRPr="001453C3">
        <w:rPr>
          <w:sz w:val="24"/>
          <w:szCs w:val="24"/>
        </w:rPr>
        <w:t>which</w:t>
      </w:r>
      <w:r w:rsidR="00C26A3B" w:rsidRPr="001453C3">
        <w:rPr>
          <w:sz w:val="24"/>
          <w:szCs w:val="24"/>
        </w:rPr>
        <w:t xml:space="preserve"> fill</w:t>
      </w:r>
      <w:r w:rsidR="005A580A" w:rsidRPr="001453C3">
        <w:rPr>
          <w:sz w:val="24"/>
          <w:szCs w:val="24"/>
        </w:rPr>
        <w:t>s</w:t>
      </w:r>
      <w:r w:rsidR="00C26A3B" w:rsidRPr="001453C3">
        <w:rPr>
          <w:sz w:val="24"/>
          <w:szCs w:val="24"/>
        </w:rPr>
        <w:t xml:space="preserve"> a need that exists at NICHD</w:t>
      </w:r>
      <w:r w:rsidR="004A57BC" w:rsidRPr="001453C3">
        <w:rPr>
          <w:sz w:val="24"/>
          <w:szCs w:val="24"/>
        </w:rPr>
        <w:t xml:space="preserve"> to assess the STS </w:t>
      </w:r>
      <w:r w:rsidR="00D71F71" w:rsidRPr="001453C3">
        <w:rPr>
          <w:sz w:val="24"/>
          <w:szCs w:val="24"/>
        </w:rPr>
        <w:t>campaign activities.</w:t>
      </w:r>
      <w:r w:rsidR="004A57BC" w:rsidRPr="001453C3">
        <w:rPr>
          <w:sz w:val="24"/>
          <w:szCs w:val="24"/>
        </w:rPr>
        <w:t xml:space="preserve">    </w:t>
      </w:r>
    </w:p>
    <w:p w14:paraId="2B6E72BF" w14:textId="1DD9AEF8" w:rsidR="00B15387" w:rsidRDefault="005A580A" w:rsidP="00D81432">
      <w:pPr>
        <w:pStyle w:val="CM2"/>
        <w:spacing w:line="480" w:lineRule="auto"/>
        <w:ind w:firstLine="720"/>
      </w:pPr>
      <w:r w:rsidRPr="001453C3">
        <w:t>T</w:t>
      </w:r>
      <w:r w:rsidR="004A57BC" w:rsidRPr="001453C3">
        <w:t xml:space="preserve">he </w:t>
      </w:r>
      <w:r w:rsidRPr="001453C3">
        <w:rPr>
          <w:rFonts w:ascii="Times New Roman" w:hAnsi="Times New Roman"/>
          <w:bCs/>
        </w:rPr>
        <w:t xml:space="preserve">Generic Clearance to Support the Safe to Sleep Campaign at </w:t>
      </w:r>
      <w:r w:rsidR="004A57BC" w:rsidRPr="001453C3">
        <w:t xml:space="preserve">NICHD </w:t>
      </w:r>
      <w:r w:rsidRPr="001453C3">
        <w:t xml:space="preserve">has provided a mechanism to request approval for </w:t>
      </w:r>
      <w:r w:rsidR="004A57BC" w:rsidRPr="001453C3">
        <w:t xml:space="preserve">information </w:t>
      </w:r>
      <w:r w:rsidRPr="001453C3">
        <w:t xml:space="preserve">collection </w:t>
      </w:r>
      <w:r w:rsidR="004A57BC" w:rsidRPr="001453C3">
        <w:t xml:space="preserve">on the STS campaign activities, including materials, messages and training workshops, and overall </w:t>
      </w:r>
      <w:r w:rsidR="00132F16" w:rsidRPr="001453C3">
        <w:t xml:space="preserve">campaign </w:t>
      </w:r>
      <w:r w:rsidR="004A57BC" w:rsidRPr="001453C3">
        <w:t xml:space="preserve">implementation.  </w:t>
      </w:r>
      <w:r w:rsidR="00D71F71" w:rsidRPr="001453C3">
        <w:t>Reinstating t</w:t>
      </w:r>
      <w:r w:rsidR="00B61C0D" w:rsidRPr="001453C3">
        <w:t xml:space="preserve">his generic clearance will enable the STS </w:t>
      </w:r>
      <w:r w:rsidR="00D81432" w:rsidRPr="001453C3">
        <w:t>c</w:t>
      </w:r>
      <w:r w:rsidR="00B61C0D" w:rsidRPr="001453C3">
        <w:t>ampaign and the NICHD</w:t>
      </w:r>
      <w:r w:rsidR="00D71F71" w:rsidRPr="001453C3">
        <w:t xml:space="preserve"> continue</w:t>
      </w:r>
      <w:r w:rsidR="00B61C0D" w:rsidRPr="001453C3">
        <w:t xml:space="preserve"> to</w:t>
      </w:r>
      <w:r w:rsidR="00B15387" w:rsidRPr="001453C3">
        <w:t>:</w:t>
      </w:r>
      <w:r w:rsidR="00524930" w:rsidRPr="001453C3">
        <w:t xml:space="preserve"> 1)</w:t>
      </w:r>
      <w:r w:rsidR="00B61C0D" w:rsidRPr="008F269B">
        <w:t xml:space="preserve"> </w:t>
      </w:r>
      <w:r w:rsidR="00524930" w:rsidRPr="008F269B">
        <w:t xml:space="preserve">more efficiently </w:t>
      </w:r>
      <w:r w:rsidR="00B61C0D" w:rsidRPr="008F269B">
        <w:t xml:space="preserve">assess the implementation of </w:t>
      </w:r>
      <w:r w:rsidR="00132F16">
        <w:t xml:space="preserve">campaign </w:t>
      </w:r>
      <w:r w:rsidR="00B61C0D" w:rsidRPr="008F269B">
        <w:t>activities</w:t>
      </w:r>
      <w:r w:rsidR="00524930" w:rsidRPr="008F269B">
        <w:t>; 2)</w:t>
      </w:r>
      <w:r w:rsidR="00B61C0D" w:rsidRPr="008F269B">
        <w:t xml:space="preserve"> better understand the target audiences’ knowledge, attitudes, and beliefs toward STS messages and materials</w:t>
      </w:r>
      <w:r w:rsidR="00524930" w:rsidRPr="008F269B">
        <w:t>; 3)</w:t>
      </w:r>
      <w:r w:rsidR="00B61C0D" w:rsidRPr="008F269B">
        <w:t xml:space="preserve"> better understand how the </w:t>
      </w:r>
      <w:r w:rsidR="00B15387" w:rsidRPr="008F269B">
        <w:t>c</w:t>
      </w:r>
      <w:r w:rsidR="00B61C0D" w:rsidRPr="008F269B">
        <w:t>ampaign activities have influenced the target audiences</w:t>
      </w:r>
      <w:r w:rsidR="00524930" w:rsidRPr="008F269B">
        <w:t>’</w:t>
      </w:r>
      <w:r w:rsidR="00B61C0D" w:rsidRPr="008F269B">
        <w:t xml:space="preserve"> behaviors and practices</w:t>
      </w:r>
      <w:r w:rsidR="00524930" w:rsidRPr="008F269B">
        <w:t>;</w:t>
      </w:r>
      <w:r w:rsidR="00B61C0D" w:rsidRPr="008F269B">
        <w:t xml:space="preserve"> and </w:t>
      </w:r>
      <w:r w:rsidR="00524930" w:rsidRPr="008F269B">
        <w:t xml:space="preserve">4) monitor and </w:t>
      </w:r>
      <w:r w:rsidR="00B61C0D" w:rsidRPr="008F269B">
        <w:t xml:space="preserve">improve </w:t>
      </w:r>
      <w:r w:rsidR="00524930" w:rsidRPr="008F269B">
        <w:t xml:space="preserve">activities such as trainings, </w:t>
      </w:r>
      <w:r w:rsidR="00B61C0D" w:rsidRPr="008F269B">
        <w:t xml:space="preserve">materials, </w:t>
      </w:r>
      <w:r w:rsidR="00524930" w:rsidRPr="008F269B">
        <w:t xml:space="preserve">and </w:t>
      </w:r>
      <w:r w:rsidR="00B61C0D" w:rsidRPr="008F269B">
        <w:t xml:space="preserve">messages.  </w:t>
      </w:r>
      <w:r w:rsidR="00735688" w:rsidRPr="008F269B">
        <w:t xml:space="preserve"> </w:t>
      </w:r>
      <w:r w:rsidR="00B15387" w:rsidRPr="008F269B">
        <w:t xml:space="preserve">Having a way to gather feedback on the STS campaign </w:t>
      </w:r>
      <w:r w:rsidR="005469F5" w:rsidRPr="008F269B">
        <w:t xml:space="preserve">activities is critical to assessing the reach and </w:t>
      </w:r>
      <w:r w:rsidR="004A57BC">
        <w:t>effect</w:t>
      </w:r>
      <w:r w:rsidR="005469F5" w:rsidRPr="008F269B">
        <w:t xml:space="preserve"> of campaign efforts.  </w:t>
      </w:r>
      <w:r w:rsidR="00B15387" w:rsidRPr="008F269B">
        <w:t>Data collected for the campaign c</w:t>
      </w:r>
      <w:r w:rsidR="005469F5" w:rsidRPr="008F269B">
        <w:t xml:space="preserve">an inform where future </w:t>
      </w:r>
      <w:r w:rsidR="00D81432">
        <w:t xml:space="preserve">STS </w:t>
      </w:r>
      <w:r w:rsidR="005469F5" w:rsidRPr="008F269B">
        <w:t xml:space="preserve">campaign resources can </w:t>
      </w:r>
      <w:r w:rsidR="004A57BC">
        <w:t xml:space="preserve">produce the most </w:t>
      </w:r>
      <w:r w:rsidR="00E669D2">
        <w:t>meaningful</w:t>
      </w:r>
      <w:r w:rsidR="00166BA2">
        <w:t xml:space="preserve"> </w:t>
      </w:r>
      <w:r w:rsidR="004A57BC">
        <w:t>results.  Additionally, the sub-studies under this generic clearance will conform to the criteria determined by the Office of Management and Budget</w:t>
      </w:r>
      <w:r w:rsidR="00132F16">
        <w:t xml:space="preserve"> (OMB)</w:t>
      </w:r>
      <w:r w:rsidR="00620756">
        <w:t>,</w:t>
      </w:r>
      <w:r w:rsidR="004A57BC">
        <w:t xml:space="preserve"> which states that generic clearances are “considered only when the agency is able to demonstrate that there is a need for multiple, similar collections, but that the specifics of each collection cannot be determined until shortly before the data are to be collected.”  Further, sub-studies will be low</w:t>
      </w:r>
      <w:r w:rsidR="00620756">
        <w:t>-</w:t>
      </w:r>
      <w:r w:rsidR="004A57BC">
        <w:t>burden for the participants, non-controversial in nature, and are not performed with the intent to provide information for a report to Congress or influence policy decisions</w:t>
      </w:r>
      <w:r w:rsidR="00166BA2">
        <w:t xml:space="preserve">.  </w:t>
      </w:r>
      <w:r w:rsidR="005469F5" w:rsidRPr="008F269B">
        <w:t xml:space="preserve"> </w:t>
      </w:r>
      <w:r w:rsidR="00735688" w:rsidRPr="008F269B">
        <w:rPr>
          <w:rFonts w:ascii="Times New Roman" w:hAnsi="Times New Roman"/>
        </w:rPr>
        <w:tab/>
      </w:r>
    </w:p>
    <w:p w14:paraId="4734D836" w14:textId="77777777" w:rsidR="00002ECE" w:rsidRDefault="007A1E5F" w:rsidP="008F269B">
      <w:pPr>
        <w:pStyle w:val="Default"/>
      </w:pPr>
      <w:r>
        <w:rPr>
          <w:rFonts w:ascii="Times New Roman" w:hAnsi="Times New Roman"/>
          <w:b/>
          <w:bCs/>
        </w:rPr>
        <w:t>A.</w:t>
      </w:r>
      <w:r w:rsidR="006A1D9F" w:rsidRPr="009D2138">
        <w:rPr>
          <w:rFonts w:ascii="Times New Roman" w:hAnsi="Times New Roman"/>
          <w:b/>
          <w:bCs/>
        </w:rPr>
        <w:t xml:space="preserve">2 Purpose and Use of the Information Collection </w:t>
      </w:r>
    </w:p>
    <w:p w14:paraId="51576CC1" w14:textId="77777777" w:rsidR="00002ECE" w:rsidRPr="00276833" w:rsidRDefault="00002ECE" w:rsidP="008F269B">
      <w:pPr>
        <w:pStyle w:val="Default"/>
      </w:pPr>
    </w:p>
    <w:p w14:paraId="21F3F97D" w14:textId="272C8670" w:rsidR="008A19AB" w:rsidRDefault="005800F6" w:rsidP="008A19AB">
      <w:pPr>
        <w:pStyle w:val="CM27"/>
        <w:spacing w:after="0" w:line="480" w:lineRule="auto"/>
        <w:ind w:right="148" w:firstLine="720"/>
        <w:rPr>
          <w:rFonts w:ascii="Times New Roman" w:hAnsi="Times New Roman"/>
        </w:rPr>
      </w:pPr>
      <w:r>
        <w:rPr>
          <w:rFonts w:ascii="Times New Roman" w:hAnsi="Times New Roman"/>
        </w:rPr>
        <w:t xml:space="preserve">This generic clearance was initially approved by OMB in 2014.  </w:t>
      </w:r>
      <w:r w:rsidRPr="005800F6">
        <w:rPr>
          <w:rFonts w:ascii="Times New Roman" w:hAnsi="Times New Roman"/>
        </w:rPr>
        <w:t>OMB approval is being sought for a reinstatement</w:t>
      </w:r>
      <w:r w:rsidR="00620756">
        <w:rPr>
          <w:rFonts w:ascii="Times New Roman" w:hAnsi="Times New Roman"/>
        </w:rPr>
        <w:t>,</w:t>
      </w:r>
      <w:r w:rsidRPr="005800F6">
        <w:rPr>
          <w:rFonts w:ascii="Times New Roman" w:hAnsi="Times New Roman"/>
        </w:rPr>
        <w:t xml:space="preserve"> with change</w:t>
      </w:r>
      <w:r w:rsidR="00620756">
        <w:rPr>
          <w:rFonts w:ascii="Times New Roman" w:hAnsi="Times New Roman"/>
        </w:rPr>
        <w:t>,</w:t>
      </w:r>
      <w:r w:rsidRPr="005800F6">
        <w:rPr>
          <w:rFonts w:ascii="Times New Roman" w:hAnsi="Times New Roman"/>
        </w:rPr>
        <w:t xml:space="preserve"> </w:t>
      </w:r>
      <w:r>
        <w:rPr>
          <w:rFonts w:ascii="Times New Roman" w:hAnsi="Times New Roman"/>
        </w:rPr>
        <w:t>for a period of 3 years</w:t>
      </w:r>
      <w:r w:rsidR="00620756">
        <w:rPr>
          <w:rFonts w:ascii="Times New Roman" w:hAnsi="Times New Roman"/>
        </w:rPr>
        <w:t xml:space="preserve">; </w:t>
      </w:r>
      <w:r w:rsidR="0045753E">
        <w:rPr>
          <w:rFonts w:ascii="Times New Roman" w:hAnsi="Times New Roman"/>
        </w:rPr>
        <w:t>to</w:t>
      </w:r>
      <w:r w:rsidRPr="005800F6">
        <w:rPr>
          <w:rFonts w:ascii="Times New Roman" w:hAnsi="Times New Roman"/>
        </w:rPr>
        <w:t xml:space="preserve"> continue to </w:t>
      </w:r>
      <w:r w:rsidR="008A19AB">
        <w:rPr>
          <w:rFonts w:ascii="Times New Roman" w:hAnsi="Times New Roman"/>
        </w:rPr>
        <w:t>monitor and modify campaign activities, to plan future campaign activities, to develop messages and materials, and to develop distribution and outreach strategies that are effective at communicating their message and bring about the intended response, awareness, and/or behavioral change for the target audiences.</w:t>
      </w:r>
    </w:p>
    <w:p w14:paraId="7968DA40" w14:textId="3E4268F1" w:rsidR="00CA0694" w:rsidRPr="004D2B3B" w:rsidRDefault="009D1E87" w:rsidP="008A19AB">
      <w:pPr>
        <w:pStyle w:val="CM27"/>
        <w:spacing w:after="0" w:line="480" w:lineRule="auto"/>
        <w:ind w:right="148" w:firstLine="720"/>
        <w:rPr>
          <w:rFonts w:ascii="Times New Roman" w:hAnsi="Times New Roman"/>
          <w:highlight w:val="yellow"/>
        </w:rPr>
      </w:pPr>
      <w:r w:rsidRPr="004D2B3B">
        <w:rPr>
          <w:rFonts w:ascii="Times New Roman" w:hAnsi="Times New Roman"/>
          <w:highlight w:val="yellow"/>
        </w:rPr>
        <w:t xml:space="preserve">Since the last </w:t>
      </w:r>
      <w:r w:rsidR="007F192A" w:rsidRPr="004D2B3B">
        <w:rPr>
          <w:rFonts w:ascii="Times New Roman" w:hAnsi="Times New Roman"/>
          <w:highlight w:val="yellow"/>
        </w:rPr>
        <w:t xml:space="preserve">original </w:t>
      </w:r>
      <w:r w:rsidRPr="004D2B3B">
        <w:rPr>
          <w:rFonts w:ascii="Times New Roman" w:hAnsi="Times New Roman"/>
          <w:highlight w:val="yellow"/>
        </w:rPr>
        <w:t xml:space="preserve">submission for clearance, </w:t>
      </w:r>
      <w:r w:rsidR="007F192A" w:rsidRPr="004D2B3B">
        <w:rPr>
          <w:rFonts w:ascii="Times New Roman" w:hAnsi="Times New Roman"/>
          <w:highlight w:val="yellow"/>
        </w:rPr>
        <w:t>information collections</w:t>
      </w:r>
      <w:r w:rsidR="00E1525E" w:rsidRPr="004D2B3B">
        <w:rPr>
          <w:rFonts w:ascii="Times New Roman" w:hAnsi="Times New Roman"/>
          <w:highlight w:val="yellow"/>
        </w:rPr>
        <w:t xml:space="preserve"> have been gathered for the </w:t>
      </w:r>
      <w:r w:rsidR="007F192A" w:rsidRPr="004D2B3B">
        <w:rPr>
          <w:rFonts w:ascii="Times New Roman" w:hAnsi="Times New Roman"/>
          <w:highlight w:val="yellow"/>
        </w:rPr>
        <w:t>STS campaign activities listed below.  Reinstatement is requested for collections is requested for those labeled with an asterisk.</w:t>
      </w:r>
      <w:r w:rsidR="00E1525E" w:rsidRPr="004D2B3B">
        <w:rPr>
          <w:rFonts w:ascii="Times New Roman" w:hAnsi="Times New Roman"/>
          <w:highlight w:val="yellow"/>
        </w:rPr>
        <w:t xml:space="preserve"> </w:t>
      </w:r>
    </w:p>
    <w:p w14:paraId="02256D13" w14:textId="5A5E904C" w:rsidR="007F192A" w:rsidRPr="004D2B3B" w:rsidRDefault="007F192A" w:rsidP="007F192A">
      <w:pPr>
        <w:pStyle w:val="CM27"/>
        <w:numPr>
          <w:ilvl w:val="0"/>
          <w:numId w:val="37"/>
        </w:numPr>
        <w:spacing w:after="0" w:line="480" w:lineRule="auto"/>
        <w:ind w:right="148"/>
        <w:rPr>
          <w:rFonts w:ascii="Times New Roman" w:hAnsi="Times New Roman"/>
          <w:highlight w:val="yellow"/>
        </w:rPr>
      </w:pPr>
      <w:r w:rsidRPr="004D2B3B">
        <w:rPr>
          <w:rFonts w:ascii="Times New Roman" w:hAnsi="Times New Roman"/>
          <w:highlight w:val="yellow"/>
        </w:rPr>
        <w:t>Healthy Native Babies Project</w:t>
      </w:r>
      <w:r w:rsidR="00F57F30" w:rsidRPr="004D2B3B">
        <w:rPr>
          <w:rFonts w:ascii="Times New Roman" w:hAnsi="Times New Roman"/>
          <w:highlight w:val="yellow"/>
        </w:rPr>
        <w:t>*</w:t>
      </w:r>
      <w:r w:rsidRPr="004D2B3B">
        <w:rPr>
          <w:rFonts w:ascii="Times New Roman" w:hAnsi="Times New Roman"/>
          <w:highlight w:val="yellow"/>
        </w:rPr>
        <w:t xml:space="preserve"> </w:t>
      </w:r>
    </w:p>
    <w:p w14:paraId="0EF4EF3A" w14:textId="7C1202AD" w:rsidR="007F192A" w:rsidRPr="004D2B3B" w:rsidRDefault="007F192A" w:rsidP="007F192A">
      <w:pPr>
        <w:pStyle w:val="CM27"/>
        <w:numPr>
          <w:ilvl w:val="1"/>
          <w:numId w:val="37"/>
        </w:numPr>
        <w:spacing w:after="0" w:line="480" w:lineRule="auto"/>
        <w:ind w:right="148"/>
        <w:rPr>
          <w:rFonts w:ascii="Times New Roman" w:hAnsi="Times New Roman"/>
          <w:highlight w:val="yellow"/>
        </w:rPr>
      </w:pPr>
      <w:r w:rsidRPr="004D2B3B">
        <w:rPr>
          <w:rFonts w:ascii="Times New Roman" w:hAnsi="Times New Roman"/>
          <w:highlight w:val="yellow"/>
        </w:rPr>
        <w:t>Project Materials Distribution Tracking Forms</w:t>
      </w:r>
    </w:p>
    <w:p w14:paraId="0F1A9D51" w14:textId="74B91B8D" w:rsidR="007F192A" w:rsidRPr="004D2B3B" w:rsidRDefault="007F192A" w:rsidP="007F192A">
      <w:pPr>
        <w:pStyle w:val="CM27"/>
        <w:numPr>
          <w:ilvl w:val="1"/>
          <w:numId w:val="37"/>
        </w:numPr>
        <w:spacing w:after="0" w:line="480" w:lineRule="auto"/>
        <w:ind w:right="148"/>
        <w:rPr>
          <w:rFonts w:ascii="Times New Roman" w:hAnsi="Times New Roman"/>
          <w:highlight w:val="yellow"/>
        </w:rPr>
      </w:pPr>
      <w:r w:rsidRPr="004D2B3B">
        <w:rPr>
          <w:rFonts w:ascii="Times New Roman" w:hAnsi="Times New Roman"/>
          <w:highlight w:val="yellow"/>
        </w:rPr>
        <w:t>Train-the-Trainer Follow-Up Assessment Survey</w:t>
      </w:r>
    </w:p>
    <w:p w14:paraId="53AAA50D" w14:textId="4D2A138A" w:rsidR="007F192A" w:rsidRPr="004D2B3B" w:rsidRDefault="00E1525E" w:rsidP="007F192A">
      <w:pPr>
        <w:pStyle w:val="CM27"/>
        <w:numPr>
          <w:ilvl w:val="0"/>
          <w:numId w:val="37"/>
        </w:numPr>
        <w:spacing w:after="0" w:line="480" w:lineRule="auto"/>
        <w:ind w:right="148"/>
        <w:rPr>
          <w:rFonts w:ascii="Times New Roman" w:hAnsi="Times New Roman"/>
          <w:highlight w:val="yellow"/>
        </w:rPr>
      </w:pPr>
      <w:r w:rsidRPr="004D2B3B">
        <w:rPr>
          <w:rFonts w:ascii="Times New Roman" w:hAnsi="Times New Roman"/>
          <w:highlight w:val="yellow"/>
        </w:rPr>
        <w:t>Safe Sleep Outreach Project in states with high infant mortality rates</w:t>
      </w:r>
      <w:r w:rsidR="007F192A" w:rsidRPr="004D2B3B">
        <w:rPr>
          <w:rFonts w:ascii="Times New Roman" w:hAnsi="Times New Roman"/>
          <w:highlight w:val="yellow"/>
        </w:rPr>
        <w:t xml:space="preserve"> (Alabama: 2015 to 2017)</w:t>
      </w:r>
      <w:r w:rsidR="00F57F30" w:rsidRPr="004D2B3B">
        <w:rPr>
          <w:rFonts w:ascii="Times New Roman" w:hAnsi="Times New Roman"/>
          <w:highlight w:val="yellow"/>
        </w:rPr>
        <w:t>*</w:t>
      </w:r>
    </w:p>
    <w:p w14:paraId="42B0E12F" w14:textId="78894FF8" w:rsidR="00F57F30" w:rsidRPr="004D2B3B" w:rsidRDefault="00F57F30" w:rsidP="00F57F30">
      <w:pPr>
        <w:pStyle w:val="CM27"/>
        <w:numPr>
          <w:ilvl w:val="1"/>
          <w:numId w:val="37"/>
        </w:numPr>
        <w:spacing w:after="0" w:line="480" w:lineRule="auto"/>
        <w:ind w:right="148"/>
        <w:rPr>
          <w:rFonts w:ascii="Times New Roman" w:hAnsi="Times New Roman"/>
          <w:highlight w:val="yellow"/>
        </w:rPr>
      </w:pPr>
      <w:r w:rsidRPr="004D2B3B">
        <w:rPr>
          <w:rFonts w:ascii="Times New Roman" w:hAnsi="Times New Roman"/>
          <w:highlight w:val="yellow"/>
        </w:rPr>
        <w:t>Activity/Tracking</w:t>
      </w:r>
    </w:p>
    <w:p w14:paraId="42FF6FEA" w14:textId="77777777" w:rsidR="00F57F30" w:rsidRPr="004D2B3B" w:rsidRDefault="00F57F30" w:rsidP="0028306D">
      <w:pPr>
        <w:pStyle w:val="CM27"/>
        <w:numPr>
          <w:ilvl w:val="1"/>
          <w:numId w:val="37"/>
        </w:numPr>
        <w:spacing w:after="0" w:line="480" w:lineRule="auto"/>
        <w:ind w:right="148"/>
        <w:rPr>
          <w:rFonts w:ascii="Times New Roman" w:hAnsi="Times New Roman"/>
          <w:highlight w:val="yellow"/>
        </w:rPr>
      </w:pPr>
      <w:r w:rsidRPr="004D2B3B">
        <w:rPr>
          <w:rFonts w:ascii="Times New Roman" w:hAnsi="Times New Roman"/>
          <w:highlight w:val="yellow"/>
        </w:rPr>
        <w:t>Paperwork Checklist</w:t>
      </w:r>
    </w:p>
    <w:p w14:paraId="76E9BDC6" w14:textId="46F513A5" w:rsidR="00F57F30" w:rsidRPr="004D2B3B" w:rsidRDefault="00F57F30" w:rsidP="0028306D">
      <w:pPr>
        <w:pStyle w:val="CM27"/>
        <w:numPr>
          <w:ilvl w:val="1"/>
          <w:numId w:val="37"/>
        </w:numPr>
        <w:spacing w:after="0" w:line="480" w:lineRule="auto"/>
        <w:ind w:right="148"/>
        <w:rPr>
          <w:rFonts w:ascii="Times New Roman" w:hAnsi="Times New Roman"/>
          <w:highlight w:val="yellow"/>
        </w:rPr>
      </w:pPr>
      <w:r w:rsidRPr="004D2B3B">
        <w:rPr>
          <w:rFonts w:ascii="Times New Roman" w:hAnsi="Times New Roman"/>
          <w:highlight w:val="yellow"/>
        </w:rPr>
        <w:t>Sign-In Sheet</w:t>
      </w:r>
    </w:p>
    <w:p w14:paraId="3DB56F1F" w14:textId="0AA03E29" w:rsidR="00F57F30" w:rsidRPr="004D2B3B" w:rsidRDefault="00F57F30" w:rsidP="00E50AF8">
      <w:pPr>
        <w:pStyle w:val="CM27"/>
        <w:numPr>
          <w:ilvl w:val="1"/>
          <w:numId w:val="37"/>
        </w:numPr>
        <w:spacing w:after="0" w:line="480" w:lineRule="auto"/>
        <w:ind w:right="148"/>
        <w:rPr>
          <w:rFonts w:ascii="Times New Roman" w:hAnsi="Times New Roman"/>
          <w:highlight w:val="yellow"/>
        </w:rPr>
      </w:pPr>
      <w:r w:rsidRPr="004D2B3B">
        <w:rPr>
          <w:rFonts w:ascii="Times New Roman" w:hAnsi="Times New Roman"/>
          <w:highlight w:val="yellow"/>
        </w:rPr>
        <w:t>Photo/Video Consent Form</w:t>
      </w:r>
    </w:p>
    <w:p w14:paraId="296C9222" w14:textId="3C0F9AE1" w:rsidR="00CA0694" w:rsidRPr="004D2B3B" w:rsidRDefault="00577770" w:rsidP="007F192A">
      <w:pPr>
        <w:pStyle w:val="CM27"/>
        <w:numPr>
          <w:ilvl w:val="1"/>
          <w:numId w:val="37"/>
        </w:numPr>
        <w:spacing w:after="0" w:line="480" w:lineRule="auto"/>
        <w:ind w:right="148"/>
        <w:rPr>
          <w:rFonts w:ascii="Times New Roman" w:hAnsi="Times New Roman"/>
          <w:highlight w:val="yellow"/>
        </w:rPr>
      </w:pPr>
      <w:r w:rsidRPr="004D2B3B">
        <w:rPr>
          <w:rFonts w:ascii="Times New Roman" w:hAnsi="Times New Roman"/>
          <w:highlight w:val="yellow"/>
        </w:rPr>
        <w:t>Pre-and</w:t>
      </w:r>
      <w:r w:rsidR="00E1525E" w:rsidRPr="004D2B3B">
        <w:rPr>
          <w:rFonts w:ascii="Times New Roman" w:hAnsi="Times New Roman"/>
          <w:highlight w:val="yellow"/>
        </w:rPr>
        <w:t xml:space="preserve"> post-training assessment on knowledge change and satisfa</w:t>
      </w:r>
      <w:r w:rsidR="007F192A" w:rsidRPr="004D2B3B">
        <w:rPr>
          <w:rFonts w:ascii="Times New Roman" w:hAnsi="Times New Roman"/>
          <w:highlight w:val="yellow"/>
        </w:rPr>
        <w:t>ction with training materials</w:t>
      </w:r>
    </w:p>
    <w:p w14:paraId="2B93E053" w14:textId="7DB3704F" w:rsidR="008208EF" w:rsidRPr="004D2B3B" w:rsidRDefault="00F57F30" w:rsidP="007F192A">
      <w:pPr>
        <w:pStyle w:val="CM27"/>
        <w:numPr>
          <w:ilvl w:val="0"/>
          <w:numId w:val="37"/>
        </w:numPr>
        <w:spacing w:after="0" w:line="480" w:lineRule="auto"/>
        <w:ind w:right="148"/>
        <w:rPr>
          <w:rFonts w:ascii="Times New Roman" w:hAnsi="Times New Roman"/>
          <w:highlight w:val="yellow"/>
        </w:rPr>
      </w:pPr>
      <w:r w:rsidRPr="004D2B3B">
        <w:rPr>
          <w:rFonts w:ascii="Times New Roman" w:hAnsi="Times New Roman"/>
          <w:highlight w:val="yellow"/>
        </w:rPr>
        <w:t>STS National Champions</w:t>
      </w:r>
    </w:p>
    <w:p w14:paraId="4CCF3E3D" w14:textId="49A2404E" w:rsidR="00F23763" w:rsidRPr="004D2B3B" w:rsidRDefault="00F23763" w:rsidP="00F23763">
      <w:pPr>
        <w:pStyle w:val="Default"/>
        <w:numPr>
          <w:ilvl w:val="0"/>
          <w:numId w:val="39"/>
        </w:numPr>
        <w:spacing w:line="480" w:lineRule="auto"/>
        <w:rPr>
          <w:highlight w:val="yellow"/>
        </w:rPr>
      </w:pPr>
      <w:r w:rsidRPr="004D2B3B">
        <w:rPr>
          <w:highlight w:val="yellow"/>
        </w:rPr>
        <w:t xml:space="preserve">Tracking form </w:t>
      </w:r>
    </w:p>
    <w:p w14:paraId="67E88660" w14:textId="73102102" w:rsidR="00F23763" w:rsidRPr="004D2B3B" w:rsidRDefault="00F23763" w:rsidP="00F23763">
      <w:pPr>
        <w:pStyle w:val="Default"/>
        <w:numPr>
          <w:ilvl w:val="0"/>
          <w:numId w:val="39"/>
        </w:numPr>
        <w:rPr>
          <w:highlight w:val="yellow"/>
        </w:rPr>
      </w:pPr>
      <w:r w:rsidRPr="004D2B3B">
        <w:rPr>
          <w:highlight w:val="yellow"/>
        </w:rPr>
        <w:t>Feedback form</w:t>
      </w:r>
    </w:p>
    <w:p w14:paraId="5FDB1EF2" w14:textId="77777777" w:rsidR="00F57F30" w:rsidRPr="00F57F30" w:rsidRDefault="00F57F30" w:rsidP="00F57F30">
      <w:pPr>
        <w:pStyle w:val="Default"/>
      </w:pPr>
    </w:p>
    <w:p w14:paraId="2FD27BCF" w14:textId="350D3EC3" w:rsidR="008A19AB" w:rsidRDefault="00CA0694" w:rsidP="008A19AB">
      <w:pPr>
        <w:pStyle w:val="CM27"/>
        <w:spacing w:after="0" w:line="480" w:lineRule="auto"/>
        <w:ind w:right="148" w:firstLine="720"/>
        <w:rPr>
          <w:rFonts w:ascii="Times New Roman" w:hAnsi="Times New Roman"/>
        </w:rPr>
      </w:pPr>
      <w:r>
        <w:rPr>
          <w:rFonts w:ascii="Times New Roman" w:hAnsi="Times New Roman"/>
        </w:rPr>
        <w:t>D</w:t>
      </w:r>
      <w:r w:rsidR="008A19AB">
        <w:rPr>
          <w:rFonts w:ascii="Times New Roman" w:hAnsi="Times New Roman"/>
        </w:rPr>
        <w:t xml:space="preserve">ata </w:t>
      </w:r>
      <w:r w:rsidR="00E1525E">
        <w:rPr>
          <w:rFonts w:ascii="Times New Roman" w:hAnsi="Times New Roman"/>
        </w:rPr>
        <w:t xml:space="preserve">gathered </w:t>
      </w:r>
      <w:r w:rsidR="008A19AB">
        <w:rPr>
          <w:rFonts w:ascii="Times New Roman" w:hAnsi="Times New Roman"/>
        </w:rPr>
        <w:t xml:space="preserve">from the STS campaign information collections </w:t>
      </w:r>
      <w:r w:rsidR="009D1E87">
        <w:rPr>
          <w:rFonts w:ascii="Times New Roman" w:hAnsi="Times New Roman"/>
        </w:rPr>
        <w:t xml:space="preserve">were and will continue to </w:t>
      </w:r>
      <w:r w:rsidR="008A19AB">
        <w:rPr>
          <w:rFonts w:ascii="Times New Roman" w:hAnsi="Times New Roman"/>
        </w:rPr>
        <w:t xml:space="preserve">be used by a number of audiences, including STS campaign staff, NICHD leadership, STS </w:t>
      </w:r>
      <w:r w:rsidR="00D81432">
        <w:rPr>
          <w:rFonts w:ascii="Times New Roman" w:hAnsi="Times New Roman"/>
        </w:rPr>
        <w:t>campaign collaborators</w:t>
      </w:r>
      <w:r w:rsidR="008A19AB">
        <w:rPr>
          <w:rFonts w:ascii="Times New Roman" w:hAnsi="Times New Roman"/>
        </w:rPr>
        <w:t xml:space="preserve">, </w:t>
      </w:r>
      <w:r w:rsidR="002B1EAB">
        <w:rPr>
          <w:rFonts w:ascii="Times New Roman" w:hAnsi="Times New Roman"/>
        </w:rPr>
        <w:t>Federal SUID/SIDS Workgroup</w:t>
      </w:r>
      <w:r w:rsidR="00F31BE5">
        <w:rPr>
          <w:rFonts w:ascii="Times New Roman" w:hAnsi="Times New Roman"/>
        </w:rPr>
        <w:t xml:space="preserve"> members</w:t>
      </w:r>
      <w:r w:rsidR="002B1EAB">
        <w:rPr>
          <w:rFonts w:ascii="Times New Roman" w:hAnsi="Times New Roman"/>
        </w:rPr>
        <w:t xml:space="preserve">, </w:t>
      </w:r>
      <w:r w:rsidR="008A19AB">
        <w:rPr>
          <w:rFonts w:ascii="Times New Roman" w:hAnsi="Times New Roman"/>
        </w:rPr>
        <w:t>SUID/SID</w:t>
      </w:r>
      <w:r w:rsidR="00D81432">
        <w:rPr>
          <w:rFonts w:ascii="Times New Roman" w:hAnsi="Times New Roman"/>
        </w:rPr>
        <w:t>S</w:t>
      </w:r>
      <w:r w:rsidR="008A19AB">
        <w:rPr>
          <w:rFonts w:ascii="Times New Roman" w:hAnsi="Times New Roman"/>
        </w:rPr>
        <w:t xml:space="preserve"> stakeholders, clinical and maternal and child health professionals.  These audiences </w:t>
      </w:r>
      <w:r w:rsidR="009D1E87">
        <w:rPr>
          <w:rFonts w:ascii="Times New Roman" w:hAnsi="Times New Roman"/>
        </w:rPr>
        <w:t>used</w:t>
      </w:r>
      <w:r w:rsidR="001242C2">
        <w:rPr>
          <w:rFonts w:ascii="Times New Roman" w:hAnsi="Times New Roman"/>
        </w:rPr>
        <w:t>,</w:t>
      </w:r>
      <w:r w:rsidR="009D1E87">
        <w:rPr>
          <w:rFonts w:ascii="Times New Roman" w:hAnsi="Times New Roman"/>
        </w:rPr>
        <w:t xml:space="preserve"> and in the </w:t>
      </w:r>
      <w:r>
        <w:rPr>
          <w:rFonts w:ascii="Times New Roman" w:hAnsi="Times New Roman"/>
        </w:rPr>
        <w:t>future</w:t>
      </w:r>
      <w:r w:rsidR="009D1E87">
        <w:rPr>
          <w:rFonts w:ascii="Times New Roman" w:hAnsi="Times New Roman"/>
        </w:rPr>
        <w:t xml:space="preserve"> may</w:t>
      </w:r>
      <w:r w:rsidR="008A19AB">
        <w:rPr>
          <w:rFonts w:ascii="Times New Roman" w:hAnsi="Times New Roman"/>
        </w:rPr>
        <w:t xml:space="preserve"> use</w:t>
      </w:r>
      <w:r>
        <w:rPr>
          <w:rFonts w:ascii="Times New Roman" w:hAnsi="Times New Roman"/>
        </w:rPr>
        <w:t>,</w:t>
      </w:r>
      <w:r w:rsidR="008A19AB">
        <w:rPr>
          <w:rFonts w:ascii="Times New Roman" w:hAnsi="Times New Roman"/>
        </w:rPr>
        <w:t xml:space="preserve"> the </w:t>
      </w:r>
      <w:r w:rsidR="00132F16">
        <w:rPr>
          <w:rFonts w:ascii="Times New Roman" w:hAnsi="Times New Roman"/>
        </w:rPr>
        <w:t>information collections to: 1) d</w:t>
      </w:r>
      <w:r w:rsidR="008A19AB">
        <w:rPr>
          <w:rFonts w:ascii="Times New Roman" w:hAnsi="Times New Roman"/>
        </w:rPr>
        <w:t xml:space="preserve">evelop new </w:t>
      </w:r>
      <w:r w:rsidR="00132F16">
        <w:rPr>
          <w:rFonts w:ascii="Times New Roman" w:hAnsi="Times New Roman"/>
        </w:rPr>
        <w:t xml:space="preserve">campaign </w:t>
      </w:r>
      <w:r w:rsidR="008A19AB">
        <w:rPr>
          <w:rFonts w:ascii="Times New Roman" w:hAnsi="Times New Roman"/>
        </w:rPr>
        <w:t xml:space="preserve">messages, materials, and/or training curricula; 2) </w:t>
      </w:r>
      <w:r w:rsidR="00132F16">
        <w:rPr>
          <w:rFonts w:ascii="Times New Roman" w:hAnsi="Times New Roman"/>
        </w:rPr>
        <w:t>m</w:t>
      </w:r>
      <w:r w:rsidR="008A19AB">
        <w:rPr>
          <w:rFonts w:ascii="Times New Roman" w:hAnsi="Times New Roman"/>
        </w:rPr>
        <w:t>onitor and i</w:t>
      </w:r>
      <w:r w:rsidR="00132F16">
        <w:rPr>
          <w:rFonts w:ascii="Times New Roman" w:hAnsi="Times New Roman"/>
        </w:rPr>
        <w:t>mprove campaign activities; 3) m</w:t>
      </w:r>
      <w:r w:rsidR="008A19AB">
        <w:rPr>
          <w:rFonts w:ascii="Times New Roman" w:hAnsi="Times New Roman"/>
        </w:rPr>
        <w:t xml:space="preserve">ake decisions about </w:t>
      </w:r>
      <w:r w:rsidR="00132F16">
        <w:rPr>
          <w:rFonts w:ascii="Times New Roman" w:hAnsi="Times New Roman"/>
        </w:rPr>
        <w:t>campaign</w:t>
      </w:r>
      <w:r w:rsidR="002015BB">
        <w:rPr>
          <w:rFonts w:ascii="Times New Roman" w:hAnsi="Times New Roman"/>
        </w:rPr>
        <w:t xml:space="preserve"> </w:t>
      </w:r>
      <w:r w:rsidR="008A19AB">
        <w:rPr>
          <w:rFonts w:ascii="Times New Roman" w:hAnsi="Times New Roman"/>
        </w:rPr>
        <w:t xml:space="preserve">activities; </w:t>
      </w:r>
      <w:r w:rsidR="001670B9" w:rsidRPr="001670B9">
        <w:rPr>
          <w:rFonts w:ascii="Times New Roman" w:hAnsi="Times New Roman"/>
        </w:rPr>
        <w:t xml:space="preserve">4) inform current campaign activities; and </w:t>
      </w:r>
      <w:r w:rsidR="009D1E87">
        <w:rPr>
          <w:rFonts w:ascii="Times New Roman" w:hAnsi="Times New Roman"/>
        </w:rPr>
        <w:t>5</w:t>
      </w:r>
      <w:r w:rsidR="001670B9" w:rsidRPr="001670B9">
        <w:rPr>
          <w:rFonts w:ascii="Times New Roman" w:hAnsi="Times New Roman"/>
        </w:rPr>
        <w:t xml:space="preserve">) inform and/or change practices and behaviors of program participants.  </w:t>
      </w:r>
      <w:r w:rsidR="008A19AB">
        <w:rPr>
          <w:rFonts w:ascii="Times New Roman" w:hAnsi="Times New Roman"/>
        </w:rPr>
        <w:t xml:space="preserve">The STS campaign staff and the NICHD </w:t>
      </w:r>
      <w:r w:rsidR="00F5141B">
        <w:rPr>
          <w:rFonts w:ascii="Times New Roman" w:hAnsi="Times New Roman"/>
        </w:rPr>
        <w:t xml:space="preserve">leadership </w:t>
      </w:r>
      <w:r w:rsidR="008A19AB">
        <w:rPr>
          <w:rFonts w:ascii="Times New Roman" w:hAnsi="Times New Roman"/>
        </w:rPr>
        <w:t xml:space="preserve">will be the </w:t>
      </w:r>
      <w:r w:rsidR="00713F29">
        <w:rPr>
          <w:rFonts w:ascii="Times New Roman" w:hAnsi="Times New Roman"/>
        </w:rPr>
        <w:t>primary</w:t>
      </w:r>
      <w:r w:rsidR="008A19AB">
        <w:rPr>
          <w:rFonts w:ascii="Times New Roman" w:hAnsi="Times New Roman"/>
        </w:rPr>
        <w:t xml:space="preserve"> users of the information.  Most of the information collections for this audience will be for </w:t>
      </w:r>
      <w:r w:rsidR="00132F16">
        <w:rPr>
          <w:rFonts w:ascii="Times New Roman" w:hAnsi="Times New Roman"/>
        </w:rPr>
        <w:t xml:space="preserve">campaign </w:t>
      </w:r>
      <w:r w:rsidR="008A19AB">
        <w:rPr>
          <w:rFonts w:ascii="Times New Roman" w:hAnsi="Times New Roman"/>
        </w:rPr>
        <w:t xml:space="preserve">assessments.  The </w:t>
      </w:r>
      <w:r w:rsidR="00132F16">
        <w:rPr>
          <w:rFonts w:ascii="Times New Roman" w:hAnsi="Times New Roman"/>
        </w:rPr>
        <w:t xml:space="preserve">campaign </w:t>
      </w:r>
      <w:r w:rsidR="008A19AB">
        <w:rPr>
          <w:rFonts w:ascii="Times New Roman" w:hAnsi="Times New Roman"/>
        </w:rPr>
        <w:t>assessment data will not be generalizable</w:t>
      </w:r>
      <w:r w:rsidR="00132F16">
        <w:rPr>
          <w:rFonts w:ascii="Times New Roman" w:hAnsi="Times New Roman"/>
        </w:rPr>
        <w:t>,</w:t>
      </w:r>
      <w:r w:rsidR="008A19AB">
        <w:rPr>
          <w:rFonts w:ascii="Times New Roman" w:hAnsi="Times New Roman"/>
        </w:rPr>
        <w:t xml:space="preserve"> but will be contextually based.  The information w</w:t>
      </w:r>
      <w:r w:rsidR="00F5141B">
        <w:rPr>
          <w:rFonts w:ascii="Times New Roman" w:hAnsi="Times New Roman"/>
        </w:rPr>
        <w:t>ill</w:t>
      </w:r>
      <w:r w:rsidR="008A19AB">
        <w:rPr>
          <w:rFonts w:ascii="Times New Roman" w:hAnsi="Times New Roman"/>
        </w:rPr>
        <w:t xml:space="preserve"> also be used internally to make decisions about ongoing monitoring and </w:t>
      </w:r>
      <w:r w:rsidR="00E669D2">
        <w:rPr>
          <w:rFonts w:ascii="Times New Roman" w:hAnsi="Times New Roman"/>
        </w:rPr>
        <w:t xml:space="preserve">to </w:t>
      </w:r>
      <w:r w:rsidR="008A19AB">
        <w:rPr>
          <w:rFonts w:ascii="Times New Roman" w:hAnsi="Times New Roman"/>
        </w:rPr>
        <w:t>improv</w:t>
      </w:r>
      <w:r w:rsidR="00E669D2">
        <w:rPr>
          <w:rFonts w:ascii="Times New Roman" w:hAnsi="Times New Roman"/>
        </w:rPr>
        <w:t>e</w:t>
      </w:r>
      <w:r w:rsidR="008A19AB">
        <w:rPr>
          <w:rFonts w:ascii="Times New Roman" w:hAnsi="Times New Roman"/>
        </w:rPr>
        <w:t xml:space="preserve"> </w:t>
      </w:r>
      <w:r w:rsidR="00132F16">
        <w:rPr>
          <w:rFonts w:ascii="Times New Roman" w:hAnsi="Times New Roman"/>
        </w:rPr>
        <w:t xml:space="preserve">campaign </w:t>
      </w:r>
      <w:r w:rsidR="008A19AB">
        <w:rPr>
          <w:rFonts w:ascii="Times New Roman" w:hAnsi="Times New Roman"/>
        </w:rPr>
        <w:t xml:space="preserve">components or the </w:t>
      </w:r>
      <w:r w:rsidR="00132F16">
        <w:rPr>
          <w:rFonts w:ascii="Times New Roman" w:hAnsi="Times New Roman"/>
        </w:rPr>
        <w:t xml:space="preserve">campaign </w:t>
      </w:r>
      <w:r w:rsidR="008A19AB">
        <w:rPr>
          <w:rFonts w:ascii="Times New Roman" w:hAnsi="Times New Roman"/>
        </w:rPr>
        <w:t xml:space="preserve">as a whole.  </w:t>
      </w:r>
    </w:p>
    <w:p w14:paraId="38E47E74" w14:textId="77777777" w:rsidR="00F5141B" w:rsidRPr="009D2138" w:rsidRDefault="00F5141B" w:rsidP="008F269B">
      <w:pPr>
        <w:pStyle w:val="CM27"/>
        <w:spacing w:after="0" w:line="480" w:lineRule="auto"/>
        <w:ind w:right="148" w:firstLine="360"/>
      </w:pPr>
      <w:r>
        <w:rPr>
          <w:rFonts w:ascii="Times New Roman" w:hAnsi="Times New Roman"/>
        </w:rPr>
        <w:t>Examples of the types of information collections that could be included under this generic clearance include:</w:t>
      </w:r>
    </w:p>
    <w:p w14:paraId="30D40235" w14:textId="77777777" w:rsidR="00F5141B" w:rsidRPr="00611E88" w:rsidRDefault="00F5141B" w:rsidP="00F5141B">
      <w:pPr>
        <w:pStyle w:val="CM7"/>
        <w:numPr>
          <w:ilvl w:val="0"/>
          <w:numId w:val="20"/>
        </w:numPr>
        <w:spacing w:line="480" w:lineRule="auto"/>
        <w:ind w:left="360"/>
        <w:rPr>
          <w:rFonts w:ascii="Times New Roman" w:hAnsi="Times New Roman"/>
        </w:rPr>
      </w:pPr>
      <w:r>
        <w:rPr>
          <w:rFonts w:ascii="Times New Roman" w:hAnsi="Times New Roman"/>
          <w:b/>
          <w:i/>
        </w:rPr>
        <w:t>Focus groups (in-person and/or telephone)</w:t>
      </w:r>
      <w:r>
        <w:rPr>
          <w:rFonts w:ascii="Times New Roman" w:hAnsi="Times New Roman"/>
        </w:rPr>
        <w:t xml:space="preserve"> with parents/caregivers and/or health professionals to get feedback on distribution and outreach activities, and/or campaign messages.</w:t>
      </w:r>
    </w:p>
    <w:p w14:paraId="50656B77" w14:textId="77777777" w:rsidR="00F5141B" w:rsidRPr="00611E88" w:rsidRDefault="00F5141B" w:rsidP="00F5141B">
      <w:pPr>
        <w:pStyle w:val="CM7"/>
        <w:numPr>
          <w:ilvl w:val="0"/>
          <w:numId w:val="20"/>
        </w:numPr>
        <w:spacing w:line="480" w:lineRule="auto"/>
        <w:ind w:left="360"/>
        <w:rPr>
          <w:rFonts w:ascii="Times New Roman" w:hAnsi="Times New Roman"/>
        </w:rPr>
      </w:pPr>
      <w:r w:rsidRPr="002B382A">
        <w:rPr>
          <w:rFonts w:ascii="Times New Roman" w:hAnsi="Times New Roman"/>
          <w:b/>
          <w:i/>
        </w:rPr>
        <w:t>In-depth interviews</w:t>
      </w:r>
      <w:r>
        <w:rPr>
          <w:rFonts w:ascii="Times New Roman" w:hAnsi="Times New Roman"/>
          <w:b/>
          <w:i/>
        </w:rPr>
        <w:t xml:space="preserve"> (</w:t>
      </w:r>
      <w:r w:rsidR="00E669D2">
        <w:rPr>
          <w:rFonts w:ascii="Times New Roman" w:hAnsi="Times New Roman"/>
          <w:b/>
          <w:i/>
        </w:rPr>
        <w:t xml:space="preserve">in-person and/or </w:t>
      </w:r>
      <w:r>
        <w:rPr>
          <w:rFonts w:ascii="Times New Roman" w:hAnsi="Times New Roman"/>
          <w:b/>
          <w:i/>
        </w:rPr>
        <w:t>telephone)</w:t>
      </w:r>
      <w:r>
        <w:rPr>
          <w:rFonts w:ascii="Times New Roman" w:hAnsi="Times New Roman"/>
        </w:rPr>
        <w:t xml:space="preserve"> with parents/caregivers and/or health professionals to get feedback on distribution and outreach activities, and/or campaign messages.</w:t>
      </w:r>
    </w:p>
    <w:p w14:paraId="5DD8A79E" w14:textId="77777777" w:rsidR="00F5141B" w:rsidRDefault="00F31BE5" w:rsidP="00F5141B">
      <w:pPr>
        <w:numPr>
          <w:ilvl w:val="0"/>
          <w:numId w:val="20"/>
        </w:numPr>
        <w:spacing w:line="480" w:lineRule="auto"/>
        <w:ind w:left="360"/>
        <w:rPr>
          <w:sz w:val="24"/>
          <w:szCs w:val="24"/>
        </w:rPr>
      </w:pPr>
      <w:r>
        <w:rPr>
          <w:b/>
          <w:i/>
          <w:sz w:val="24"/>
          <w:szCs w:val="24"/>
        </w:rPr>
        <w:t>S</w:t>
      </w:r>
      <w:r w:rsidR="00F5141B">
        <w:rPr>
          <w:b/>
          <w:i/>
          <w:sz w:val="24"/>
          <w:szCs w:val="24"/>
        </w:rPr>
        <w:t>urveys</w:t>
      </w:r>
      <w:r w:rsidR="00F5141B">
        <w:rPr>
          <w:sz w:val="24"/>
          <w:szCs w:val="24"/>
        </w:rPr>
        <w:t xml:space="preserve"> with parents/caregivers and/or health professionals to:</w:t>
      </w:r>
    </w:p>
    <w:p w14:paraId="5BA34E1C" w14:textId="77777777" w:rsidR="00F5141B" w:rsidRDefault="00F5141B" w:rsidP="00F5141B">
      <w:pPr>
        <w:numPr>
          <w:ilvl w:val="0"/>
          <w:numId w:val="21"/>
        </w:numPr>
        <w:spacing w:line="480" w:lineRule="auto"/>
        <w:rPr>
          <w:sz w:val="24"/>
          <w:szCs w:val="24"/>
        </w:rPr>
      </w:pPr>
      <w:r>
        <w:rPr>
          <w:sz w:val="24"/>
          <w:szCs w:val="24"/>
        </w:rPr>
        <w:t>A</w:t>
      </w:r>
      <w:r w:rsidRPr="002B382A">
        <w:rPr>
          <w:sz w:val="24"/>
          <w:szCs w:val="24"/>
        </w:rPr>
        <w:t xml:space="preserve">ssess the usefulness of the new </w:t>
      </w:r>
      <w:r w:rsidR="002015BB">
        <w:rPr>
          <w:sz w:val="24"/>
          <w:szCs w:val="24"/>
        </w:rPr>
        <w:t xml:space="preserve">STS </w:t>
      </w:r>
      <w:r>
        <w:rPr>
          <w:sz w:val="24"/>
          <w:szCs w:val="24"/>
        </w:rPr>
        <w:t xml:space="preserve">campaign materials, </w:t>
      </w:r>
      <w:r w:rsidRPr="002B382A">
        <w:rPr>
          <w:sz w:val="24"/>
          <w:szCs w:val="24"/>
        </w:rPr>
        <w:t>including prin</w:t>
      </w:r>
      <w:r w:rsidR="002015BB">
        <w:rPr>
          <w:sz w:val="24"/>
          <w:szCs w:val="24"/>
        </w:rPr>
        <w:t xml:space="preserve">t and on-line </w:t>
      </w:r>
      <w:r w:rsidRPr="002B382A">
        <w:rPr>
          <w:sz w:val="24"/>
          <w:szCs w:val="24"/>
        </w:rPr>
        <w:t>materials and a video</w:t>
      </w:r>
      <w:r w:rsidR="00132F16">
        <w:rPr>
          <w:sz w:val="24"/>
          <w:szCs w:val="24"/>
        </w:rPr>
        <w:t>;</w:t>
      </w:r>
    </w:p>
    <w:p w14:paraId="22F86FBA" w14:textId="77777777" w:rsidR="00F5141B" w:rsidRPr="002B382A" w:rsidRDefault="00F5141B" w:rsidP="00F5141B">
      <w:pPr>
        <w:numPr>
          <w:ilvl w:val="0"/>
          <w:numId w:val="21"/>
        </w:numPr>
        <w:spacing w:line="480" w:lineRule="auto"/>
        <w:rPr>
          <w:sz w:val="24"/>
          <w:szCs w:val="24"/>
        </w:rPr>
      </w:pPr>
      <w:r>
        <w:rPr>
          <w:sz w:val="24"/>
          <w:szCs w:val="24"/>
        </w:rPr>
        <w:t>T</w:t>
      </w:r>
      <w:r w:rsidRPr="002B382A">
        <w:rPr>
          <w:sz w:val="24"/>
          <w:szCs w:val="24"/>
        </w:rPr>
        <w:t xml:space="preserve">rack outreach experiences of </w:t>
      </w:r>
      <w:r w:rsidR="001670B9">
        <w:rPr>
          <w:sz w:val="24"/>
          <w:szCs w:val="24"/>
        </w:rPr>
        <w:t>campaign staff</w:t>
      </w:r>
      <w:r w:rsidRPr="002B382A">
        <w:rPr>
          <w:sz w:val="24"/>
          <w:szCs w:val="24"/>
        </w:rPr>
        <w:t xml:space="preserve"> an</w:t>
      </w:r>
      <w:r w:rsidR="00132F16">
        <w:rPr>
          <w:sz w:val="24"/>
          <w:szCs w:val="24"/>
        </w:rPr>
        <w:t>d types of activities conducted;</w:t>
      </w:r>
    </w:p>
    <w:p w14:paraId="2FE2E719" w14:textId="77777777" w:rsidR="00F5141B" w:rsidRPr="002B382A" w:rsidRDefault="00F5141B" w:rsidP="00F5141B">
      <w:pPr>
        <w:numPr>
          <w:ilvl w:val="0"/>
          <w:numId w:val="21"/>
        </w:numPr>
        <w:spacing w:line="480" w:lineRule="auto"/>
        <w:rPr>
          <w:sz w:val="24"/>
          <w:szCs w:val="24"/>
        </w:rPr>
      </w:pPr>
      <w:r>
        <w:rPr>
          <w:sz w:val="24"/>
          <w:szCs w:val="24"/>
        </w:rPr>
        <w:t>A</w:t>
      </w:r>
      <w:r w:rsidRPr="002B382A">
        <w:rPr>
          <w:sz w:val="24"/>
          <w:szCs w:val="24"/>
        </w:rPr>
        <w:t xml:space="preserve">ssess </w:t>
      </w:r>
      <w:r>
        <w:rPr>
          <w:sz w:val="24"/>
          <w:szCs w:val="24"/>
        </w:rPr>
        <w:t>state</w:t>
      </w:r>
      <w:r w:rsidRPr="002B382A">
        <w:rPr>
          <w:sz w:val="24"/>
          <w:szCs w:val="24"/>
        </w:rPr>
        <w:t xml:space="preserve"> SIDS </w:t>
      </w:r>
      <w:r w:rsidR="002015BB">
        <w:rPr>
          <w:sz w:val="24"/>
          <w:szCs w:val="24"/>
        </w:rPr>
        <w:t>o</w:t>
      </w:r>
      <w:r w:rsidRPr="002B382A">
        <w:rPr>
          <w:sz w:val="24"/>
          <w:szCs w:val="24"/>
        </w:rPr>
        <w:t>utreach project mini-grantee outreach activities</w:t>
      </w:r>
      <w:r w:rsidR="00132F16">
        <w:rPr>
          <w:sz w:val="24"/>
          <w:szCs w:val="24"/>
        </w:rPr>
        <w:t>;</w:t>
      </w:r>
    </w:p>
    <w:p w14:paraId="2EC86A39" w14:textId="77777777" w:rsidR="00F5141B" w:rsidRPr="002B382A" w:rsidRDefault="00F5141B" w:rsidP="00F5141B">
      <w:pPr>
        <w:numPr>
          <w:ilvl w:val="0"/>
          <w:numId w:val="21"/>
        </w:numPr>
        <w:spacing w:line="480" w:lineRule="auto"/>
        <w:rPr>
          <w:sz w:val="24"/>
          <w:szCs w:val="24"/>
        </w:rPr>
      </w:pPr>
      <w:r>
        <w:rPr>
          <w:sz w:val="24"/>
          <w:szCs w:val="24"/>
        </w:rPr>
        <w:t>A</w:t>
      </w:r>
      <w:r w:rsidRPr="002B382A">
        <w:rPr>
          <w:sz w:val="24"/>
          <w:szCs w:val="24"/>
        </w:rPr>
        <w:t xml:space="preserve">ssess training participants’ </w:t>
      </w:r>
      <w:r>
        <w:rPr>
          <w:sz w:val="24"/>
          <w:szCs w:val="24"/>
        </w:rPr>
        <w:t xml:space="preserve">changes in </w:t>
      </w:r>
      <w:r w:rsidRPr="002B382A">
        <w:rPr>
          <w:sz w:val="24"/>
          <w:szCs w:val="24"/>
        </w:rPr>
        <w:t xml:space="preserve">knowledge </w:t>
      </w:r>
      <w:r>
        <w:rPr>
          <w:sz w:val="24"/>
          <w:szCs w:val="24"/>
        </w:rPr>
        <w:t>related to</w:t>
      </w:r>
      <w:r w:rsidRPr="002B382A">
        <w:rPr>
          <w:sz w:val="24"/>
          <w:szCs w:val="24"/>
        </w:rPr>
        <w:t xml:space="preserve"> safe infant sleep behavior and implementation</w:t>
      </w:r>
      <w:r w:rsidR="00132F16">
        <w:rPr>
          <w:sz w:val="24"/>
          <w:szCs w:val="24"/>
        </w:rPr>
        <w:t xml:space="preserve"> of outreach methods taught;</w:t>
      </w:r>
    </w:p>
    <w:p w14:paraId="599FD2C4" w14:textId="0A0D716E" w:rsidR="00F5141B" w:rsidRPr="002B382A" w:rsidRDefault="00F5141B" w:rsidP="00F5141B">
      <w:pPr>
        <w:numPr>
          <w:ilvl w:val="0"/>
          <w:numId w:val="21"/>
        </w:numPr>
        <w:spacing w:line="480" w:lineRule="auto"/>
        <w:rPr>
          <w:sz w:val="24"/>
          <w:szCs w:val="24"/>
        </w:rPr>
      </w:pPr>
      <w:r>
        <w:rPr>
          <w:sz w:val="24"/>
          <w:szCs w:val="24"/>
        </w:rPr>
        <w:t>A</w:t>
      </w:r>
      <w:r w:rsidRPr="002B382A">
        <w:rPr>
          <w:sz w:val="24"/>
          <w:szCs w:val="24"/>
        </w:rPr>
        <w:t xml:space="preserve">ssess </w:t>
      </w:r>
      <w:r w:rsidR="005800F6">
        <w:rPr>
          <w:sz w:val="24"/>
          <w:szCs w:val="24"/>
        </w:rPr>
        <w:t xml:space="preserve">health </w:t>
      </w:r>
      <w:r w:rsidR="001242C2">
        <w:rPr>
          <w:sz w:val="24"/>
          <w:szCs w:val="24"/>
        </w:rPr>
        <w:t>professionals’</w:t>
      </w:r>
      <w:r w:rsidR="005800F6">
        <w:rPr>
          <w:sz w:val="24"/>
          <w:szCs w:val="24"/>
        </w:rPr>
        <w:t xml:space="preserve"> </w:t>
      </w:r>
      <w:r w:rsidRPr="002B382A">
        <w:rPr>
          <w:sz w:val="24"/>
          <w:szCs w:val="24"/>
        </w:rPr>
        <w:t xml:space="preserve">satisfaction with </w:t>
      </w:r>
      <w:r w:rsidR="000E6394" w:rsidRPr="000E6394">
        <w:rPr>
          <w:sz w:val="24"/>
          <w:szCs w:val="24"/>
          <w:highlight w:val="yellow"/>
        </w:rPr>
        <w:t>and knowledge gained from</w:t>
      </w:r>
      <w:r w:rsidR="000E6394">
        <w:rPr>
          <w:sz w:val="24"/>
          <w:szCs w:val="24"/>
        </w:rPr>
        <w:t xml:space="preserve"> </w:t>
      </w:r>
      <w:r w:rsidRPr="002B382A">
        <w:rPr>
          <w:sz w:val="24"/>
          <w:szCs w:val="24"/>
        </w:rPr>
        <w:t xml:space="preserve">the </w:t>
      </w:r>
      <w:r w:rsidR="002015BB">
        <w:rPr>
          <w:sz w:val="24"/>
          <w:szCs w:val="24"/>
        </w:rPr>
        <w:t>c</w:t>
      </w:r>
      <w:r w:rsidRPr="002B382A">
        <w:rPr>
          <w:sz w:val="24"/>
          <w:szCs w:val="24"/>
        </w:rPr>
        <w:t xml:space="preserve">ontinuing </w:t>
      </w:r>
      <w:r w:rsidR="002015BB">
        <w:rPr>
          <w:sz w:val="24"/>
          <w:szCs w:val="24"/>
        </w:rPr>
        <w:t>e</w:t>
      </w:r>
      <w:r w:rsidRPr="002B382A">
        <w:rPr>
          <w:sz w:val="24"/>
          <w:szCs w:val="24"/>
        </w:rPr>
        <w:t>ducation program</w:t>
      </w:r>
      <w:r w:rsidR="00436E72">
        <w:rPr>
          <w:sz w:val="24"/>
          <w:szCs w:val="24"/>
        </w:rPr>
        <w:t>s</w:t>
      </w:r>
      <w:r w:rsidRPr="002B382A">
        <w:rPr>
          <w:sz w:val="24"/>
          <w:szCs w:val="24"/>
        </w:rPr>
        <w:t xml:space="preserve"> and the programs</w:t>
      </w:r>
      <w:r w:rsidR="00436E72">
        <w:rPr>
          <w:sz w:val="24"/>
          <w:szCs w:val="24"/>
        </w:rPr>
        <w:t>’</w:t>
      </w:r>
      <w:r w:rsidRPr="002B382A">
        <w:rPr>
          <w:sz w:val="24"/>
          <w:szCs w:val="24"/>
        </w:rPr>
        <w:t xml:space="preserve"> </w:t>
      </w:r>
      <w:r w:rsidR="00436E72">
        <w:rPr>
          <w:sz w:val="24"/>
          <w:szCs w:val="24"/>
        </w:rPr>
        <w:t>effect</w:t>
      </w:r>
      <w:r w:rsidRPr="002B382A">
        <w:rPr>
          <w:sz w:val="24"/>
          <w:szCs w:val="24"/>
        </w:rPr>
        <w:t xml:space="preserve"> on practice changes i</w:t>
      </w:r>
      <w:r w:rsidR="00436E72">
        <w:rPr>
          <w:sz w:val="24"/>
          <w:szCs w:val="24"/>
        </w:rPr>
        <w:t>n health care delivery settings; and</w:t>
      </w:r>
    </w:p>
    <w:p w14:paraId="63657CAC" w14:textId="77777777" w:rsidR="00F5141B" w:rsidRPr="002B382A" w:rsidRDefault="00F5141B" w:rsidP="00F5141B">
      <w:pPr>
        <w:numPr>
          <w:ilvl w:val="0"/>
          <w:numId w:val="21"/>
        </w:numPr>
        <w:spacing w:line="480" w:lineRule="auto"/>
        <w:rPr>
          <w:sz w:val="24"/>
          <w:szCs w:val="24"/>
        </w:rPr>
      </w:pPr>
      <w:r>
        <w:rPr>
          <w:sz w:val="24"/>
          <w:szCs w:val="24"/>
        </w:rPr>
        <w:t>A</w:t>
      </w:r>
      <w:r w:rsidRPr="002B382A">
        <w:rPr>
          <w:sz w:val="24"/>
          <w:szCs w:val="24"/>
        </w:rPr>
        <w:t>ssess health professionals’ resource material needs.</w:t>
      </w:r>
    </w:p>
    <w:p w14:paraId="476CB9A9" w14:textId="39F8099C" w:rsidR="00D50493" w:rsidRPr="00D50493" w:rsidRDefault="008A19AB" w:rsidP="00D50493">
      <w:pPr>
        <w:pStyle w:val="CM27"/>
        <w:spacing w:after="0" w:line="480" w:lineRule="auto"/>
        <w:ind w:right="148" w:firstLine="360"/>
      </w:pPr>
      <w:r>
        <w:rPr>
          <w:rFonts w:ascii="Times New Roman" w:hAnsi="Times New Roman"/>
        </w:rPr>
        <w:t xml:space="preserve">In summary, the sub-studies for this generic </w:t>
      </w:r>
      <w:r w:rsidR="00ED7893">
        <w:rPr>
          <w:rFonts w:ascii="Times New Roman" w:hAnsi="Times New Roman"/>
        </w:rPr>
        <w:t xml:space="preserve">clearance </w:t>
      </w:r>
      <w:r>
        <w:rPr>
          <w:rFonts w:ascii="Times New Roman" w:hAnsi="Times New Roman"/>
        </w:rPr>
        <w:t xml:space="preserve">will be small scale, designed to obtain results frequently and quickly to guide </w:t>
      </w:r>
      <w:r w:rsidR="00132F16">
        <w:rPr>
          <w:rFonts w:ascii="Times New Roman" w:hAnsi="Times New Roman"/>
        </w:rPr>
        <w:t xml:space="preserve">campaign </w:t>
      </w:r>
      <w:r>
        <w:rPr>
          <w:rFonts w:ascii="Times New Roman" w:hAnsi="Times New Roman"/>
        </w:rPr>
        <w:t xml:space="preserve">development and implementation, inform </w:t>
      </w:r>
      <w:r w:rsidR="00132F16">
        <w:rPr>
          <w:rFonts w:ascii="Times New Roman" w:hAnsi="Times New Roman"/>
        </w:rPr>
        <w:t xml:space="preserve">campaign </w:t>
      </w:r>
      <w:r>
        <w:rPr>
          <w:rFonts w:ascii="Times New Roman" w:hAnsi="Times New Roman"/>
        </w:rPr>
        <w:t xml:space="preserve">direction, and be used internally for </w:t>
      </w:r>
      <w:r w:rsidR="00132F16">
        <w:rPr>
          <w:rFonts w:ascii="Times New Roman" w:hAnsi="Times New Roman"/>
        </w:rPr>
        <w:t xml:space="preserve">campaign </w:t>
      </w:r>
      <w:r>
        <w:rPr>
          <w:rFonts w:ascii="Times New Roman" w:hAnsi="Times New Roman"/>
        </w:rPr>
        <w:t xml:space="preserve">management purposes.  </w:t>
      </w:r>
    </w:p>
    <w:p w14:paraId="311B66CE" w14:textId="77777777" w:rsidR="006A1D9F" w:rsidRPr="008F269B" w:rsidRDefault="006C4DD5" w:rsidP="008F269B">
      <w:pPr>
        <w:pStyle w:val="CM27"/>
        <w:tabs>
          <w:tab w:val="left" w:pos="2522"/>
          <w:tab w:val="left" w:pos="4158"/>
          <w:tab w:val="left" w:pos="5508"/>
          <w:tab w:val="left" w:pos="6948"/>
          <w:tab w:val="left" w:pos="8388"/>
        </w:tabs>
        <w:spacing w:after="0" w:line="480" w:lineRule="auto"/>
        <w:ind w:right="144"/>
        <w:rPr>
          <w:b/>
        </w:rPr>
      </w:pPr>
      <w:r>
        <w:rPr>
          <w:b/>
        </w:rPr>
        <w:t>A.</w:t>
      </w:r>
      <w:r w:rsidR="006A1D9F" w:rsidRPr="008F269B">
        <w:rPr>
          <w:b/>
        </w:rPr>
        <w:t xml:space="preserve">3 Use of Improved Information Technology and Burden Reduction </w:t>
      </w:r>
    </w:p>
    <w:p w14:paraId="0343C195" w14:textId="3F28BA06" w:rsidR="006A1D9F" w:rsidRDefault="006A1D9F" w:rsidP="00CA0694">
      <w:pPr>
        <w:pStyle w:val="CM4"/>
        <w:spacing w:line="480" w:lineRule="auto"/>
        <w:ind w:right="243" w:firstLine="720"/>
        <w:rPr>
          <w:rFonts w:ascii="Times New Roman" w:hAnsi="Times New Roman"/>
        </w:rPr>
      </w:pPr>
      <w:r w:rsidRPr="009D2138">
        <w:rPr>
          <w:rFonts w:ascii="Times New Roman" w:hAnsi="Times New Roman"/>
        </w:rPr>
        <w:t xml:space="preserve">Whenever possible, the NICHD will use advanced technology to collect and process data to reduce respondent burden and make data processing </w:t>
      </w:r>
      <w:r w:rsidR="00BD51DD" w:rsidRPr="009D2138">
        <w:rPr>
          <w:rFonts w:ascii="Times New Roman" w:hAnsi="Times New Roman"/>
        </w:rPr>
        <w:t xml:space="preserve">and </w:t>
      </w:r>
      <w:r w:rsidRPr="009D2138">
        <w:rPr>
          <w:rFonts w:ascii="Times New Roman" w:hAnsi="Times New Roman"/>
        </w:rPr>
        <w:t>reporting more timely and efficient.  The majority of data collections will take place online using automated survey</w:t>
      </w:r>
      <w:r w:rsidR="00EC5D9D">
        <w:rPr>
          <w:rFonts w:ascii="Times New Roman" w:hAnsi="Times New Roman"/>
        </w:rPr>
        <w:t>s</w:t>
      </w:r>
      <w:r w:rsidRPr="009D2138">
        <w:rPr>
          <w:rFonts w:ascii="Times New Roman" w:hAnsi="Times New Roman"/>
        </w:rPr>
        <w:t xml:space="preserve"> </w:t>
      </w:r>
      <w:r w:rsidR="002B382A">
        <w:rPr>
          <w:rFonts w:ascii="Times New Roman" w:hAnsi="Times New Roman"/>
        </w:rPr>
        <w:t>or via the telephone</w:t>
      </w:r>
      <w:r w:rsidRPr="009D2138">
        <w:rPr>
          <w:rFonts w:ascii="Times New Roman" w:hAnsi="Times New Roman"/>
        </w:rPr>
        <w:t xml:space="preserve">. </w:t>
      </w:r>
      <w:r w:rsidR="001242C2">
        <w:rPr>
          <w:rFonts w:ascii="Times New Roman" w:hAnsi="Times New Roman"/>
        </w:rPr>
        <w:t>For these data collections</w:t>
      </w:r>
      <w:r w:rsidR="00ED7893">
        <w:rPr>
          <w:rFonts w:ascii="Times New Roman" w:hAnsi="Times New Roman"/>
        </w:rPr>
        <w:t>,</w:t>
      </w:r>
      <w:r w:rsidR="001242C2">
        <w:rPr>
          <w:rFonts w:ascii="Times New Roman" w:hAnsi="Times New Roman"/>
        </w:rPr>
        <w:t xml:space="preserve"> a p</w:t>
      </w:r>
      <w:r w:rsidR="001242C2" w:rsidRPr="001242C2">
        <w:t xml:space="preserve">rivacy impact assessment has not been completed because the privacy act does not apply.  </w:t>
      </w:r>
      <w:r w:rsidR="001242C2">
        <w:t>All STS data collections exclude</w:t>
      </w:r>
      <w:r w:rsidR="001242C2" w:rsidRPr="001242C2">
        <w:t xml:space="preserve"> sensitive information and/or </w:t>
      </w:r>
      <w:r w:rsidR="001242C2">
        <w:t xml:space="preserve">personally-identifiable information </w:t>
      </w:r>
      <w:r w:rsidR="00577770">
        <w:t xml:space="preserve">are </w:t>
      </w:r>
      <w:r w:rsidR="001242C2" w:rsidRPr="001242C2">
        <w:t xml:space="preserve">not </w:t>
      </w:r>
      <w:r w:rsidR="00577770">
        <w:t xml:space="preserve">stored </w:t>
      </w:r>
      <w:r w:rsidR="001242C2" w:rsidRPr="001242C2">
        <w:t xml:space="preserve">in </w:t>
      </w:r>
      <w:r w:rsidR="001242C2">
        <w:t xml:space="preserve">a </w:t>
      </w:r>
      <w:r w:rsidR="001242C2" w:rsidRPr="001242C2">
        <w:t>database.</w:t>
      </w:r>
      <w:r w:rsidR="001242C2">
        <w:t xml:space="preserve"> </w:t>
      </w:r>
      <w:r w:rsidRPr="009D2138">
        <w:rPr>
          <w:rFonts w:ascii="Times New Roman" w:hAnsi="Times New Roman"/>
        </w:rPr>
        <w:t xml:space="preserve"> In all data collections, the number of questions will be held to the absolute minimum required fo</w:t>
      </w:r>
      <w:r w:rsidR="00D527BC">
        <w:rPr>
          <w:rFonts w:ascii="Times New Roman" w:hAnsi="Times New Roman"/>
        </w:rPr>
        <w:t>r the intended use of the data.</w:t>
      </w:r>
    </w:p>
    <w:p w14:paraId="59663550" w14:textId="77777777" w:rsidR="00D527BC" w:rsidRPr="00D527BC" w:rsidRDefault="00FB33C7" w:rsidP="00335232">
      <w:pPr>
        <w:pStyle w:val="Default"/>
        <w:spacing w:line="480" w:lineRule="auto"/>
      </w:pPr>
      <w:r>
        <w:tab/>
      </w:r>
      <w:r w:rsidR="00D527BC">
        <w:t>Focus group participant recruitment will be conducted on the phone, using screening tools that ensure only the most qualified and eligible participants are selected.  In-depth interviews will be conducted over the telephone to reduce travel costs and time burden for interviewees.  Online survey promotion will be conducted via the Internet to a preselected universe of possible respondents.</w:t>
      </w:r>
    </w:p>
    <w:p w14:paraId="41182325" w14:textId="77777777" w:rsidR="006A1D9F" w:rsidRPr="009D2138" w:rsidRDefault="006C4DD5" w:rsidP="008F269B">
      <w:pPr>
        <w:pStyle w:val="CM2"/>
        <w:spacing w:line="480" w:lineRule="auto"/>
        <w:rPr>
          <w:rFonts w:ascii="Times New Roman" w:hAnsi="Times New Roman"/>
        </w:rPr>
      </w:pPr>
      <w:r>
        <w:rPr>
          <w:rFonts w:ascii="Times New Roman" w:hAnsi="Times New Roman"/>
          <w:b/>
          <w:bCs/>
        </w:rPr>
        <w:t>A.</w:t>
      </w:r>
      <w:r w:rsidR="006A1D9F" w:rsidRPr="009D2138">
        <w:rPr>
          <w:rFonts w:ascii="Times New Roman" w:hAnsi="Times New Roman"/>
          <w:b/>
          <w:bCs/>
        </w:rPr>
        <w:t xml:space="preserve">4 Efforts to Identify Duplication and Use of Similar Information </w:t>
      </w:r>
    </w:p>
    <w:p w14:paraId="56090E31" w14:textId="1D6C1CEB" w:rsidR="006A1D9F" w:rsidRPr="009D2138" w:rsidRDefault="00BE4555" w:rsidP="008F269B">
      <w:pPr>
        <w:pStyle w:val="CM27"/>
        <w:spacing w:after="0" w:line="480" w:lineRule="auto"/>
        <w:ind w:firstLine="720"/>
        <w:rPr>
          <w:rFonts w:ascii="Times New Roman" w:hAnsi="Times New Roman"/>
        </w:rPr>
      </w:pPr>
      <w:r>
        <w:rPr>
          <w:rFonts w:ascii="Times New Roman" w:hAnsi="Times New Roman"/>
        </w:rPr>
        <w:t xml:space="preserve">The NICHD STS campaign works closely with the STS </w:t>
      </w:r>
      <w:r w:rsidR="00476FC1">
        <w:rPr>
          <w:rFonts w:ascii="Times New Roman" w:hAnsi="Times New Roman"/>
        </w:rPr>
        <w:t>campaign collaborators and other national partners</w:t>
      </w:r>
      <w:r>
        <w:rPr>
          <w:rFonts w:ascii="Times New Roman" w:hAnsi="Times New Roman"/>
        </w:rPr>
        <w:t>.  The</w:t>
      </w:r>
      <w:r w:rsidR="00276833">
        <w:rPr>
          <w:rFonts w:ascii="Times New Roman" w:hAnsi="Times New Roman"/>
        </w:rPr>
        <w:t xml:space="preserve"> </w:t>
      </w:r>
      <w:r w:rsidR="00476FC1">
        <w:rPr>
          <w:rFonts w:ascii="Times New Roman" w:hAnsi="Times New Roman"/>
        </w:rPr>
        <w:t xml:space="preserve">collaborators and partners </w:t>
      </w:r>
      <w:r w:rsidR="00276833">
        <w:rPr>
          <w:rFonts w:ascii="Times New Roman" w:hAnsi="Times New Roman"/>
        </w:rPr>
        <w:t>represent</w:t>
      </w:r>
      <w:r>
        <w:rPr>
          <w:rFonts w:ascii="Times New Roman" w:hAnsi="Times New Roman"/>
        </w:rPr>
        <w:t xml:space="preserve"> the federal, professional, and national leaders in the field of SUID/SIDS.  </w:t>
      </w:r>
      <w:r w:rsidR="00476FC1">
        <w:rPr>
          <w:rFonts w:ascii="Times New Roman" w:hAnsi="Times New Roman"/>
        </w:rPr>
        <w:t xml:space="preserve">The collaborators and partners </w:t>
      </w:r>
      <w:r w:rsidR="00276833">
        <w:rPr>
          <w:rFonts w:ascii="Times New Roman" w:hAnsi="Times New Roman"/>
        </w:rPr>
        <w:t xml:space="preserve">monitor campaign activities and </w:t>
      </w:r>
      <w:r>
        <w:rPr>
          <w:rFonts w:ascii="Times New Roman" w:hAnsi="Times New Roman"/>
        </w:rPr>
        <w:t xml:space="preserve">meet regularly to provide updates on individual </w:t>
      </w:r>
      <w:r w:rsidR="00132F16">
        <w:rPr>
          <w:rFonts w:ascii="Times New Roman" w:hAnsi="Times New Roman"/>
        </w:rPr>
        <w:t xml:space="preserve">campaign </w:t>
      </w:r>
      <w:r>
        <w:rPr>
          <w:rFonts w:ascii="Times New Roman" w:hAnsi="Times New Roman"/>
        </w:rPr>
        <w:t xml:space="preserve">activities </w:t>
      </w:r>
      <w:r w:rsidR="00276833">
        <w:rPr>
          <w:rFonts w:ascii="Times New Roman" w:hAnsi="Times New Roman"/>
        </w:rPr>
        <w:t xml:space="preserve">as well as </w:t>
      </w:r>
      <w:r>
        <w:rPr>
          <w:rFonts w:ascii="Times New Roman" w:hAnsi="Times New Roman"/>
        </w:rPr>
        <w:t>collaborati</w:t>
      </w:r>
      <w:r w:rsidR="00276833">
        <w:rPr>
          <w:rFonts w:ascii="Times New Roman" w:hAnsi="Times New Roman"/>
        </w:rPr>
        <w:t>ve projects</w:t>
      </w:r>
      <w:r>
        <w:rPr>
          <w:rFonts w:ascii="Times New Roman" w:hAnsi="Times New Roman"/>
        </w:rPr>
        <w:t xml:space="preserve">.  </w:t>
      </w:r>
      <w:r w:rsidR="00476FC1">
        <w:rPr>
          <w:rFonts w:ascii="Times New Roman" w:hAnsi="Times New Roman"/>
        </w:rPr>
        <w:t xml:space="preserve">The </w:t>
      </w:r>
      <w:r w:rsidR="00276833">
        <w:rPr>
          <w:rFonts w:ascii="Times New Roman" w:hAnsi="Times New Roman"/>
        </w:rPr>
        <w:t xml:space="preserve">NICHD staff receives information on other collections of the </w:t>
      </w:r>
      <w:r w:rsidR="00476FC1">
        <w:rPr>
          <w:rFonts w:ascii="Times New Roman" w:hAnsi="Times New Roman"/>
        </w:rPr>
        <w:t>collaborators and partners</w:t>
      </w:r>
      <w:r w:rsidR="00276833">
        <w:rPr>
          <w:rFonts w:ascii="Times New Roman" w:hAnsi="Times New Roman"/>
        </w:rPr>
        <w:t xml:space="preserve">.  As such, they are apprised of efforts in progress and can identify similar information collection efforts to avoid duplication.  Additionally, because each </w:t>
      </w:r>
      <w:r w:rsidR="00476FC1">
        <w:rPr>
          <w:rFonts w:ascii="Times New Roman" w:hAnsi="Times New Roman"/>
        </w:rPr>
        <w:t xml:space="preserve">organization has </w:t>
      </w:r>
      <w:r w:rsidR="00276833">
        <w:rPr>
          <w:rFonts w:ascii="Times New Roman" w:hAnsi="Times New Roman"/>
        </w:rPr>
        <w:t xml:space="preserve">a different mission and function, it is unlikely </w:t>
      </w:r>
      <w:r w:rsidR="005618B9">
        <w:rPr>
          <w:rFonts w:ascii="Times New Roman" w:hAnsi="Times New Roman"/>
        </w:rPr>
        <w:t xml:space="preserve">that </w:t>
      </w:r>
      <w:r w:rsidR="00276833">
        <w:rPr>
          <w:rFonts w:ascii="Times New Roman" w:hAnsi="Times New Roman"/>
        </w:rPr>
        <w:t xml:space="preserve">information collection efforts will overlap.  The NICHD staff will perform an internal review of proposed information collections as a preliminary step in avoiding duplication and will only </w:t>
      </w:r>
      <w:r w:rsidR="006A1D9F" w:rsidRPr="009D2138">
        <w:rPr>
          <w:rFonts w:ascii="Times New Roman" w:hAnsi="Times New Roman"/>
        </w:rPr>
        <w:t>conduct data collections after determining</w:t>
      </w:r>
      <w:r w:rsidR="00E543A3" w:rsidRPr="009D2138">
        <w:rPr>
          <w:rFonts w:ascii="Times New Roman" w:hAnsi="Times New Roman"/>
        </w:rPr>
        <w:t xml:space="preserve"> </w:t>
      </w:r>
      <w:r w:rsidR="006A1D9F" w:rsidRPr="009D2138">
        <w:rPr>
          <w:rFonts w:ascii="Times New Roman" w:hAnsi="Times New Roman"/>
        </w:rPr>
        <w:t>that similar information does not exist</w:t>
      </w:r>
      <w:r w:rsidR="002B382A">
        <w:rPr>
          <w:rFonts w:ascii="Times New Roman" w:hAnsi="Times New Roman"/>
        </w:rPr>
        <w:t xml:space="preserve">.  </w:t>
      </w:r>
    </w:p>
    <w:p w14:paraId="34726024" w14:textId="77777777" w:rsidR="006A1D9F" w:rsidRPr="009D2138" w:rsidRDefault="006C4DD5" w:rsidP="00293F38">
      <w:pPr>
        <w:pStyle w:val="CM2"/>
        <w:spacing w:line="480" w:lineRule="auto"/>
        <w:rPr>
          <w:rFonts w:ascii="Times New Roman" w:hAnsi="Times New Roman"/>
        </w:rPr>
      </w:pPr>
      <w:r>
        <w:rPr>
          <w:rFonts w:ascii="Times New Roman" w:hAnsi="Times New Roman"/>
          <w:b/>
          <w:bCs/>
        </w:rPr>
        <w:t>A.</w:t>
      </w:r>
      <w:r w:rsidR="006A1D9F" w:rsidRPr="009D2138">
        <w:rPr>
          <w:rFonts w:ascii="Times New Roman" w:hAnsi="Times New Roman"/>
          <w:b/>
          <w:bCs/>
        </w:rPr>
        <w:t xml:space="preserve">5 Impact on Small Businesses or Other Small Entities </w:t>
      </w:r>
    </w:p>
    <w:p w14:paraId="22DF25F6" w14:textId="2D5F947F" w:rsidR="005721A7" w:rsidRPr="007A3B9A" w:rsidRDefault="005721A7" w:rsidP="008F269B">
      <w:pPr>
        <w:spacing w:line="480" w:lineRule="auto"/>
        <w:ind w:firstLine="720"/>
        <w:rPr>
          <w:noProof/>
          <w:sz w:val="24"/>
          <w:szCs w:val="24"/>
        </w:rPr>
      </w:pPr>
      <w:r w:rsidRPr="007A3B9A">
        <w:rPr>
          <w:noProof/>
          <w:sz w:val="24"/>
          <w:szCs w:val="24"/>
        </w:rPr>
        <w:t xml:space="preserve">The target groups for </w:t>
      </w:r>
      <w:r>
        <w:rPr>
          <w:noProof/>
          <w:sz w:val="24"/>
          <w:szCs w:val="24"/>
        </w:rPr>
        <w:t>these sub-studies include, but are not limited to:  parents/caretakers, clinical health professionals (e.g., doctors</w:t>
      </w:r>
      <w:r w:rsidR="005250BE">
        <w:rPr>
          <w:noProof/>
          <w:sz w:val="24"/>
          <w:szCs w:val="24"/>
        </w:rPr>
        <w:t xml:space="preserve"> and</w:t>
      </w:r>
      <w:r w:rsidR="004A0CE2">
        <w:rPr>
          <w:noProof/>
          <w:sz w:val="24"/>
          <w:szCs w:val="24"/>
        </w:rPr>
        <w:t xml:space="preserve"> </w:t>
      </w:r>
      <w:r>
        <w:rPr>
          <w:noProof/>
          <w:sz w:val="24"/>
          <w:szCs w:val="24"/>
        </w:rPr>
        <w:t>nurses),  maternal and child health professionals (e.g., professional an</w:t>
      </w:r>
      <w:r w:rsidR="00436E72">
        <w:rPr>
          <w:noProof/>
          <w:sz w:val="24"/>
          <w:szCs w:val="24"/>
        </w:rPr>
        <w:t>d advocacy organizations</w:t>
      </w:r>
      <w:r w:rsidR="00CA0694">
        <w:rPr>
          <w:noProof/>
          <w:sz w:val="24"/>
          <w:szCs w:val="24"/>
        </w:rPr>
        <w:t>)</w:t>
      </w:r>
      <w:r w:rsidR="00436E72">
        <w:rPr>
          <w:noProof/>
          <w:sz w:val="24"/>
          <w:szCs w:val="24"/>
        </w:rPr>
        <w:t xml:space="preserve"> state, </w:t>
      </w:r>
      <w:r>
        <w:rPr>
          <w:noProof/>
          <w:sz w:val="24"/>
          <w:szCs w:val="24"/>
        </w:rPr>
        <w:t>local</w:t>
      </w:r>
      <w:r w:rsidR="00416DDB">
        <w:rPr>
          <w:noProof/>
          <w:sz w:val="24"/>
          <w:szCs w:val="24"/>
        </w:rPr>
        <w:t>,</w:t>
      </w:r>
      <w:r w:rsidR="00436E72">
        <w:rPr>
          <w:noProof/>
          <w:sz w:val="24"/>
          <w:szCs w:val="24"/>
        </w:rPr>
        <w:t xml:space="preserve"> and </w:t>
      </w:r>
      <w:r w:rsidR="00794CEC">
        <w:rPr>
          <w:noProof/>
          <w:sz w:val="24"/>
          <w:szCs w:val="24"/>
        </w:rPr>
        <w:t>t</w:t>
      </w:r>
      <w:r w:rsidR="00436E72">
        <w:rPr>
          <w:noProof/>
          <w:sz w:val="24"/>
          <w:szCs w:val="24"/>
        </w:rPr>
        <w:t>ribal</w:t>
      </w:r>
      <w:r>
        <w:rPr>
          <w:noProof/>
          <w:sz w:val="24"/>
          <w:szCs w:val="24"/>
        </w:rPr>
        <w:t xml:space="preserve"> governments, general public, and </w:t>
      </w:r>
      <w:r w:rsidRPr="004222A0">
        <w:rPr>
          <w:noProof/>
          <w:sz w:val="24"/>
          <w:szCs w:val="24"/>
        </w:rPr>
        <w:t xml:space="preserve">owners of small businesses such as independently-owned medical practices.  </w:t>
      </w:r>
      <w:r>
        <w:rPr>
          <w:noProof/>
          <w:sz w:val="24"/>
          <w:szCs w:val="24"/>
        </w:rPr>
        <w:t xml:space="preserve">It may be possible that small businesses or other small entities would participate in an information collection.  </w:t>
      </w:r>
      <w:r w:rsidRPr="004222A0">
        <w:rPr>
          <w:noProof/>
          <w:sz w:val="24"/>
          <w:szCs w:val="24"/>
        </w:rPr>
        <w:t xml:space="preserve">As such, the </w:t>
      </w:r>
      <w:r>
        <w:rPr>
          <w:noProof/>
          <w:sz w:val="24"/>
          <w:szCs w:val="24"/>
        </w:rPr>
        <w:t>sub-studies</w:t>
      </w:r>
      <w:r w:rsidRPr="004222A0">
        <w:rPr>
          <w:noProof/>
          <w:sz w:val="24"/>
          <w:szCs w:val="24"/>
        </w:rPr>
        <w:t xml:space="preserve"> w</w:t>
      </w:r>
      <w:r>
        <w:rPr>
          <w:noProof/>
          <w:sz w:val="24"/>
          <w:szCs w:val="24"/>
        </w:rPr>
        <w:t>ould</w:t>
      </w:r>
      <w:r w:rsidRPr="004222A0">
        <w:rPr>
          <w:noProof/>
          <w:sz w:val="24"/>
          <w:szCs w:val="24"/>
        </w:rPr>
        <w:t xml:space="preserve"> be conducted in a manner that reduces the burden of time and effort, by keeping the </w:t>
      </w:r>
      <w:r>
        <w:rPr>
          <w:noProof/>
          <w:sz w:val="24"/>
          <w:szCs w:val="24"/>
        </w:rPr>
        <w:t>forms</w:t>
      </w:r>
      <w:r w:rsidRPr="004222A0">
        <w:rPr>
          <w:noProof/>
          <w:sz w:val="24"/>
          <w:szCs w:val="24"/>
        </w:rPr>
        <w:t xml:space="preserve"> brief</w:t>
      </w:r>
      <w:r w:rsidR="00E13569">
        <w:rPr>
          <w:noProof/>
          <w:sz w:val="24"/>
          <w:szCs w:val="24"/>
        </w:rPr>
        <w:t xml:space="preserve">, </w:t>
      </w:r>
      <w:r>
        <w:rPr>
          <w:noProof/>
          <w:sz w:val="24"/>
          <w:szCs w:val="24"/>
        </w:rPr>
        <w:t>making the data collections voluntary</w:t>
      </w:r>
      <w:r w:rsidR="00E13569">
        <w:rPr>
          <w:noProof/>
          <w:sz w:val="24"/>
          <w:szCs w:val="24"/>
        </w:rPr>
        <w:t>, and by requiring fewer or less frequent collections from small businesses</w:t>
      </w:r>
      <w:r w:rsidRPr="004222A0">
        <w:rPr>
          <w:noProof/>
          <w:sz w:val="24"/>
          <w:szCs w:val="24"/>
        </w:rPr>
        <w:t xml:space="preserve">.  </w:t>
      </w:r>
      <w:r>
        <w:rPr>
          <w:noProof/>
          <w:sz w:val="24"/>
          <w:szCs w:val="24"/>
        </w:rPr>
        <w:t>Additionally, if a small business or other small entity is part of the population sample, the program staff for the i</w:t>
      </w:r>
      <w:r w:rsidRPr="004222A0">
        <w:rPr>
          <w:noProof/>
          <w:sz w:val="24"/>
          <w:szCs w:val="24"/>
        </w:rPr>
        <w:t>ndividual sub-</w:t>
      </w:r>
      <w:r>
        <w:rPr>
          <w:noProof/>
          <w:sz w:val="24"/>
          <w:szCs w:val="24"/>
        </w:rPr>
        <w:t>stud</w:t>
      </w:r>
      <w:r w:rsidR="00436E72">
        <w:rPr>
          <w:noProof/>
          <w:sz w:val="24"/>
          <w:szCs w:val="24"/>
        </w:rPr>
        <w:t>y</w:t>
      </w:r>
      <w:r w:rsidRPr="004222A0">
        <w:rPr>
          <w:noProof/>
          <w:sz w:val="24"/>
          <w:szCs w:val="24"/>
        </w:rPr>
        <w:t xml:space="preserve"> will provide justification for participation of small businesses</w:t>
      </w:r>
      <w:r w:rsidRPr="007A3B9A">
        <w:rPr>
          <w:noProof/>
          <w:sz w:val="24"/>
          <w:szCs w:val="24"/>
        </w:rPr>
        <w:t>.</w:t>
      </w:r>
    </w:p>
    <w:p w14:paraId="65C022E2" w14:textId="77777777" w:rsidR="006A1D9F" w:rsidRPr="008F269B" w:rsidRDefault="006C4DD5" w:rsidP="008F269B">
      <w:pPr>
        <w:pStyle w:val="CM27"/>
        <w:spacing w:after="0" w:line="480" w:lineRule="auto"/>
        <w:rPr>
          <w:b/>
        </w:rPr>
      </w:pPr>
      <w:r>
        <w:rPr>
          <w:b/>
        </w:rPr>
        <w:t>A.</w:t>
      </w:r>
      <w:r w:rsidR="006A1D9F" w:rsidRPr="008F269B">
        <w:rPr>
          <w:b/>
        </w:rPr>
        <w:t xml:space="preserve">6 Consequences of Collecting the Information Less Frequently </w:t>
      </w:r>
    </w:p>
    <w:p w14:paraId="1707341C" w14:textId="43833ECC" w:rsidR="006A1D9F" w:rsidRDefault="002A4CFA" w:rsidP="00293F38">
      <w:pPr>
        <w:pStyle w:val="CM27"/>
        <w:spacing w:after="0" w:line="480" w:lineRule="auto"/>
        <w:ind w:right="243"/>
        <w:rPr>
          <w:rFonts w:ascii="Times New Roman" w:hAnsi="Times New Roman"/>
        </w:rPr>
      </w:pPr>
      <w:r>
        <w:rPr>
          <w:rFonts w:ascii="Times New Roman" w:hAnsi="Times New Roman"/>
        </w:rPr>
        <w:tab/>
      </w:r>
      <w:r w:rsidR="00EE7D09">
        <w:rPr>
          <w:rFonts w:ascii="Times New Roman" w:hAnsi="Times New Roman"/>
        </w:rPr>
        <w:t>Most of</w:t>
      </w:r>
      <w:r>
        <w:rPr>
          <w:rFonts w:ascii="Times New Roman" w:hAnsi="Times New Roman"/>
        </w:rPr>
        <w:t xml:space="preserve"> the sub-studies planned for this generic</w:t>
      </w:r>
      <w:r w:rsidR="00416DDB">
        <w:rPr>
          <w:rFonts w:ascii="Times New Roman" w:hAnsi="Times New Roman"/>
        </w:rPr>
        <w:t xml:space="preserve"> clearance</w:t>
      </w:r>
      <w:r>
        <w:rPr>
          <w:rFonts w:ascii="Times New Roman" w:hAnsi="Times New Roman"/>
        </w:rPr>
        <w:t xml:space="preserve"> are intended to be information collections from a single contact with participants.  </w:t>
      </w:r>
      <w:r w:rsidR="006A1D9F" w:rsidRPr="009D2138">
        <w:rPr>
          <w:rFonts w:ascii="Times New Roman" w:hAnsi="Times New Roman"/>
        </w:rPr>
        <w:t xml:space="preserve">A single </w:t>
      </w:r>
      <w:r w:rsidR="005B4C7D">
        <w:rPr>
          <w:rFonts w:ascii="Times New Roman" w:hAnsi="Times New Roman"/>
        </w:rPr>
        <w:t>methodology (e.g., focus group, interview, survey)</w:t>
      </w:r>
      <w:r w:rsidR="006A1D9F" w:rsidRPr="009D2138">
        <w:rPr>
          <w:rFonts w:ascii="Times New Roman" w:hAnsi="Times New Roman"/>
        </w:rPr>
        <w:t xml:space="preserve"> </w:t>
      </w:r>
      <w:r>
        <w:rPr>
          <w:rFonts w:ascii="Times New Roman" w:hAnsi="Times New Roman"/>
        </w:rPr>
        <w:t>is planned to be</w:t>
      </w:r>
      <w:r w:rsidR="006A1D9F" w:rsidRPr="009D2138">
        <w:rPr>
          <w:rFonts w:ascii="Times New Roman" w:hAnsi="Times New Roman"/>
        </w:rPr>
        <w:t xml:space="preserve"> administered once per </w:t>
      </w:r>
      <w:r w:rsidR="00BB469B" w:rsidRPr="009D2138">
        <w:rPr>
          <w:rFonts w:ascii="Times New Roman" w:hAnsi="Times New Roman"/>
        </w:rPr>
        <w:t>project</w:t>
      </w:r>
      <w:r w:rsidR="00416DDB">
        <w:rPr>
          <w:rFonts w:ascii="Times New Roman" w:hAnsi="Times New Roman"/>
        </w:rPr>
        <w:t>,</w:t>
      </w:r>
      <w:r w:rsidR="00BB469B" w:rsidRPr="009D2138">
        <w:rPr>
          <w:rFonts w:ascii="Times New Roman" w:hAnsi="Times New Roman"/>
        </w:rPr>
        <w:t xml:space="preserve"> </w:t>
      </w:r>
      <w:r w:rsidR="006A1D9F" w:rsidRPr="009D2138">
        <w:rPr>
          <w:rFonts w:ascii="Times New Roman" w:hAnsi="Times New Roman"/>
        </w:rPr>
        <w:t xml:space="preserve">per specific respondent group. </w:t>
      </w:r>
      <w:r w:rsidR="002B382A">
        <w:rPr>
          <w:rFonts w:ascii="Times New Roman" w:hAnsi="Times New Roman"/>
        </w:rPr>
        <w:t xml:space="preserve"> </w:t>
      </w:r>
      <w:r w:rsidR="006A1D9F" w:rsidRPr="009D2138">
        <w:rPr>
          <w:rFonts w:ascii="Times New Roman" w:hAnsi="Times New Roman"/>
        </w:rPr>
        <w:t xml:space="preserve">Any less frequent response would not yield useful data for </w:t>
      </w:r>
      <w:r>
        <w:rPr>
          <w:rFonts w:ascii="Times New Roman" w:hAnsi="Times New Roman"/>
        </w:rPr>
        <w:t>campaign</w:t>
      </w:r>
      <w:r w:rsidRPr="009D2138">
        <w:rPr>
          <w:rFonts w:ascii="Times New Roman" w:hAnsi="Times New Roman"/>
        </w:rPr>
        <w:t xml:space="preserve"> </w:t>
      </w:r>
      <w:r w:rsidR="006A1D9F" w:rsidRPr="009D2138">
        <w:rPr>
          <w:rFonts w:ascii="Times New Roman" w:hAnsi="Times New Roman"/>
        </w:rPr>
        <w:t>planning and management improvements.</w:t>
      </w:r>
      <w:r>
        <w:rPr>
          <w:rFonts w:ascii="Times New Roman" w:hAnsi="Times New Roman"/>
        </w:rPr>
        <w:t xml:space="preserve">  When instances occur that </w:t>
      </w:r>
      <w:r w:rsidR="00ED7893">
        <w:rPr>
          <w:rFonts w:ascii="Times New Roman" w:hAnsi="Times New Roman"/>
        </w:rPr>
        <w:t xml:space="preserve">require </w:t>
      </w:r>
      <w:r>
        <w:rPr>
          <w:rFonts w:ascii="Times New Roman" w:hAnsi="Times New Roman"/>
        </w:rPr>
        <w:t xml:space="preserve">multiple contacts, the </w:t>
      </w:r>
      <w:r w:rsidR="00577770">
        <w:rPr>
          <w:rFonts w:ascii="Times New Roman" w:hAnsi="Times New Roman"/>
        </w:rPr>
        <w:t>person submitting</w:t>
      </w:r>
      <w:r>
        <w:rPr>
          <w:rFonts w:ascii="Times New Roman" w:hAnsi="Times New Roman"/>
        </w:rPr>
        <w:t xml:space="preserve"> the individual sub-study will make provisions for the additional contact and provide justification in terms or meaningful results.  </w:t>
      </w:r>
    </w:p>
    <w:p w14:paraId="44E6B9C5" w14:textId="77777777" w:rsidR="006A1D9F" w:rsidRPr="008F269B" w:rsidRDefault="006C4DD5" w:rsidP="00293F38">
      <w:pPr>
        <w:pStyle w:val="CM2"/>
        <w:spacing w:line="480" w:lineRule="auto"/>
        <w:rPr>
          <w:rFonts w:ascii="Times New Roman" w:hAnsi="Times New Roman"/>
        </w:rPr>
      </w:pPr>
      <w:r>
        <w:rPr>
          <w:rFonts w:ascii="Times New Roman" w:hAnsi="Times New Roman"/>
          <w:b/>
          <w:bCs/>
        </w:rPr>
        <w:t>A.</w:t>
      </w:r>
      <w:r w:rsidR="006A1D9F" w:rsidRPr="008F269B">
        <w:rPr>
          <w:rFonts w:ascii="Times New Roman" w:hAnsi="Times New Roman"/>
          <w:b/>
          <w:bCs/>
        </w:rPr>
        <w:t xml:space="preserve">7 Special Circumstances Relating to the Guidelines of 5CFR 1320.5 </w:t>
      </w:r>
    </w:p>
    <w:p w14:paraId="62718BB6" w14:textId="77777777" w:rsidR="002B382A" w:rsidRPr="008F269B" w:rsidRDefault="002A4CFA" w:rsidP="00293F38">
      <w:pPr>
        <w:pStyle w:val="CM27"/>
        <w:spacing w:after="0" w:line="480" w:lineRule="auto"/>
        <w:rPr>
          <w:rFonts w:ascii="Times New Roman" w:hAnsi="Times New Roman"/>
        </w:rPr>
      </w:pPr>
      <w:r>
        <w:rPr>
          <w:rFonts w:ascii="Times New Roman" w:hAnsi="Times New Roman"/>
        </w:rPr>
        <w:tab/>
        <w:t>NICHD recognizes</w:t>
      </w:r>
      <w:r w:rsidRPr="002A4CFA">
        <w:rPr>
          <w:rFonts w:ascii="Times New Roman" w:hAnsi="Times New Roman"/>
          <w:noProof/>
        </w:rPr>
        <w:t xml:space="preserve"> </w:t>
      </w:r>
      <w:r w:rsidRPr="007A3B9A">
        <w:rPr>
          <w:rFonts w:ascii="Times New Roman" w:hAnsi="Times New Roman"/>
          <w:noProof/>
        </w:rPr>
        <w:t>the requirement of OMB review as a mechanism to reduce burden on information collection participants and will ensure that information collections conducted under this generic clearance will comply with 5 CFR 1320.5.  Investigators of specific sub-</w:t>
      </w:r>
      <w:r>
        <w:rPr>
          <w:rFonts w:ascii="Times New Roman" w:hAnsi="Times New Roman"/>
          <w:noProof/>
        </w:rPr>
        <w:t>studies</w:t>
      </w:r>
      <w:r w:rsidRPr="007A3B9A">
        <w:rPr>
          <w:rFonts w:ascii="Times New Roman" w:hAnsi="Times New Roman"/>
          <w:noProof/>
        </w:rPr>
        <w:t xml:space="preserve"> will provide indication of and justification for exceptions</w:t>
      </w:r>
      <w:r>
        <w:rPr>
          <w:rFonts w:ascii="Times New Roman" w:hAnsi="Times New Roman"/>
          <w:noProof/>
        </w:rPr>
        <w:t xml:space="preserve"> to these guidelines</w:t>
      </w:r>
      <w:r w:rsidRPr="007A3B9A">
        <w:rPr>
          <w:rFonts w:ascii="Times New Roman" w:hAnsi="Times New Roman"/>
          <w:noProof/>
        </w:rPr>
        <w:t>.</w:t>
      </w:r>
    </w:p>
    <w:p w14:paraId="3909BA75" w14:textId="77777777" w:rsidR="002007EC" w:rsidRPr="008F269B" w:rsidRDefault="006C4DD5" w:rsidP="00293F38">
      <w:pPr>
        <w:pStyle w:val="Heading2"/>
        <w:spacing w:line="480" w:lineRule="auto"/>
        <w:rPr>
          <w:szCs w:val="24"/>
        </w:rPr>
      </w:pPr>
      <w:r>
        <w:rPr>
          <w:szCs w:val="24"/>
        </w:rPr>
        <w:t>A.</w:t>
      </w:r>
      <w:r w:rsidR="00E21C1F" w:rsidRPr="008F269B">
        <w:rPr>
          <w:szCs w:val="24"/>
        </w:rPr>
        <w:t>8.</w:t>
      </w:r>
      <w:r>
        <w:rPr>
          <w:szCs w:val="24"/>
        </w:rPr>
        <w:t>1</w:t>
      </w:r>
      <w:r w:rsidR="00E21C1F" w:rsidRPr="008F269B">
        <w:rPr>
          <w:szCs w:val="24"/>
        </w:rPr>
        <w:t xml:space="preserve"> Comments in Response to the </w:t>
      </w:r>
      <w:r w:rsidR="00E21C1F" w:rsidRPr="008F269B">
        <w:rPr>
          <w:i/>
          <w:szCs w:val="24"/>
        </w:rPr>
        <w:t>Federal Register</w:t>
      </w:r>
      <w:r w:rsidR="00E21C1F" w:rsidRPr="008F269B">
        <w:rPr>
          <w:szCs w:val="24"/>
        </w:rPr>
        <w:t xml:space="preserve"> Notice and Efforts to Consult Outside the Agency</w:t>
      </w:r>
    </w:p>
    <w:p w14:paraId="4542DF37" w14:textId="5D333DF9" w:rsidR="00E21C1F" w:rsidRDefault="00E21C1F" w:rsidP="008F269B">
      <w:pPr>
        <w:pStyle w:val="Heading2"/>
        <w:tabs>
          <w:tab w:val="clear" w:pos="1440"/>
          <w:tab w:val="clear" w:pos="2160"/>
          <w:tab w:val="left" w:pos="720"/>
        </w:tabs>
        <w:spacing w:line="480" w:lineRule="auto"/>
        <w:rPr>
          <w:b w:val="0"/>
        </w:rPr>
      </w:pPr>
      <w:r w:rsidRPr="008F269B">
        <w:rPr>
          <w:szCs w:val="24"/>
        </w:rPr>
        <w:t xml:space="preserve"> </w:t>
      </w:r>
      <w:r w:rsidR="00601E5A">
        <w:rPr>
          <w:szCs w:val="24"/>
        </w:rPr>
        <w:tab/>
      </w:r>
      <w:r w:rsidRPr="009D7770">
        <w:rPr>
          <w:b w:val="0"/>
        </w:rPr>
        <w:t xml:space="preserve">As required by 5CFR 1320.8(d), a notice of this proposed data collection appeared in the </w:t>
      </w:r>
      <w:r w:rsidRPr="009D7770">
        <w:rPr>
          <w:b w:val="0"/>
          <w:i/>
        </w:rPr>
        <w:t>Federal Register</w:t>
      </w:r>
      <w:r w:rsidRPr="009D7770">
        <w:rPr>
          <w:b w:val="0"/>
        </w:rPr>
        <w:t xml:space="preserve">, </w:t>
      </w:r>
      <w:r w:rsidRPr="004D2B3B">
        <w:rPr>
          <w:b w:val="0"/>
          <w:highlight w:val="yellow"/>
        </w:rPr>
        <w:t xml:space="preserve">Vol. </w:t>
      </w:r>
      <w:r w:rsidR="004D2B3B" w:rsidRPr="004D2B3B">
        <w:rPr>
          <w:b w:val="0"/>
          <w:highlight w:val="yellow"/>
        </w:rPr>
        <w:t>82</w:t>
      </w:r>
      <w:r w:rsidRPr="004D2B3B">
        <w:rPr>
          <w:b w:val="0"/>
          <w:highlight w:val="yellow"/>
        </w:rPr>
        <w:t xml:space="preserve">, No. </w:t>
      </w:r>
      <w:r w:rsidR="004D2B3B" w:rsidRPr="004D2B3B">
        <w:rPr>
          <w:b w:val="0"/>
          <w:highlight w:val="yellow"/>
        </w:rPr>
        <w:t>165</w:t>
      </w:r>
      <w:r w:rsidRPr="004D2B3B">
        <w:rPr>
          <w:b w:val="0"/>
          <w:highlight w:val="yellow"/>
        </w:rPr>
        <w:t xml:space="preserve">, pg. </w:t>
      </w:r>
      <w:bookmarkStart w:id="4" w:name="_Hlk496882084"/>
      <w:r w:rsidR="004D2B3B" w:rsidRPr="004D2B3B">
        <w:rPr>
          <w:b w:val="0"/>
          <w:highlight w:val="yellow"/>
        </w:rPr>
        <w:t>40776-40777</w:t>
      </w:r>
      <w:bookmarkEnd w:id="4"/>
      <w:r w:rsidR="00601E5A" w:rsidRPr="004D2B3B">
        <w:rPr>
          <w:b w:val="0"/>
          <w:highlight w:val="yellow"/>
        </w:rPr>
        <w:t>,</w:t>
      </w:r>
      <w:r w:rsidRPr="004D2B3B">
        <w:rPr>
          <w:b w:val="0"/>
          <w:highlight w:val="yellow"/>
        </w:rPr>
        <w:t xml:space="preserve"> on </w:t>
      </w:r>
      <w:bookmarkStart w:id="5" w:name="_Hlk496882069"/>
      <w:r w:rsidR="004D2B3B" w:rsidRPr="004D2B3B">
        <w:rPr>
          <w:b w:val="0"/>
          <w:highlight w:val="yellow"/>
        </w:rPr>
        <w:t>Monday, August 28, 2017</w:t>
      </w:r>
      <w:bookmarkEnd w:id="5"/>
      <w:r w:rsidRPr="004D2B3B">
        <w:rPr>
          <w:b w:val="0"/>
          <w:highlight w:val="yellow"/>
        </w:rPr>
        <w:t>.</w:t>
      </w:r>
      <w:r w:rsidRPr="009D7770">
        <w:rPr>
          <w:b w:val="0"/>
        </w:rPr>
        <w:t xml:space="preserve"> </w:t>
      </w:r>
      <w:r w:rsidR="005B4C7D" w:rsidRPr="009D7770">
        <w:rPr>
          <w:b w:val="0"/>
        </w:rPr>
        <w:t xml:space="preserve"> </w:t>
      </w:r>
      <w:r w:rsidR="00417090" w:rsidRPr="00417090">
        <w:rPr>
          <w:b w:val="0"/>
          <w:highlight w:val="yellow"/>
        </w:rPr>
        <w:t>NICHD received one comment in response to the 60-Day Federal Register Notice [Attachment 2], questioning the overall utility of the proposed data collection.</w:t>
      </w:r>
    </w:p>
    <w:p w14:paraId="317A0A1D" w14:textId="77777777" w:rsidR="006C4DD5" w:rsidRPr="006C4DD5" w:rsidRDefault="006C4DD5" w:rsidP="006C4DD5">
      <w:pPr>
        <w:pStyle w:val="Heading2"/>
        <w:spacing w:line="480" w:lineRule="auto"/>
        <w:rPr>
          <w:szCs w:val="24"/>
        </w:rPr>
      </w:pPr>
      <w:r w:rsidRPr="006C4DD5">
        <w:rPr>
          <w:szCs w:val="24"/>
        </w:rPr>
        <w:t xml:space="preserve">A.8.2 </w:t>
      </w:r>
      <w:r w:rsidRPr="006C4DD5">
        <w:rPr>
          <w:szCs w:val="22"/>
        </w:rPr>
        <w:t>Efforts to Consult Outside Agency</w:t>
      </w:r>
    </w:p>
    <w:p w14:paraId="31E2B8CD" w14:textId="77777777" w:rsidR="008272F1" w:rsidRPr="009D7770" w:rsidRDefault="00601E5A" w:rsidP="00293F38">
      <w:pPr>
        <w:pStyle w:val="Default"/>
        <w:spacing w:line="480" w:lineRule="auto"/>
        <w:rPr>
          <w:rFonts w:ascii="Times New Roman" w:hAnsi="Times New Roman" w:cs="Times New Roman"/>
        </w:rPr>
      </w:pPr>
      <w:r w:rsidRPr="009D7770">
        <w:rPr>
          <w:rFonts w:ascii="Times New Roman" w:hAnsi="Times New Roman" w:cs="Times New Roman"/>
        </w:rPr>
        <w:tab/>
        <w:t xml:space="preserve">The STS </w:t>
      </w:r>
      <w:r w:rsidR="00B2652B" w:rsidRPr="009D7770">
        <w:rPr>
          <w:rFonts w:ascii="Times New Roman" w:hAnsi="Times New Roman" w:cs="Times New Roman"/>
        </w:rPr>
        <w:t>campaign collaborators at HRSA and CDC,</w:t>
      </w:r>
      <w:r w:rsidRPr="009D7770">
        <w:rPr>
          <w:rFonts w:ascii="Times New Roman" w:hAnsi="Times New Roman" w:cs="Times New Roman"/>
        </w:rPr>
        <w:t xml:space="preserve"> as well as NICHD staff </w:t>
      </w:r>
      <w:r w:rsidR="00335232" w:rsidRPr="009D7770">
        <w:rPr>
          <w:rFonts w:ascii="Times New Roman" w:hAnsi="Times New Roman" w:cs="Times New Roman"/>
        </w:rPr>
        <w:t xml:space="preserve">who have PRA experience </w:t>
      </w:r>
      <w:r w:rsidRPr="009D7770">
        <w:rPr>
          <w:rFonts w:ascii="Times New Roman" w:hAnsi="Times New Roman" w:cs="Times New Roman"/>
        </w:rPr>
        <w:t xml:space="preserve">have </w:t>
      </w:r>
      <w:r w:rsidR="00B2652B" w:rsidRPr="009D7770">
        <w:rPr>
          <w:rFonts w:ascii="Times New Roman" w:hAnsi="Times New Roman" w:cs="Times New Roman"/>
        </w:rPr>
        <w:t xml:space="preserve">reviewed this package.  </w:t>
      </w:r>
      <w:r w:rsidR="008272F1" w:rsidRPr="009D7770">
        <w:rPr>
          <w:rFonts w:ascii="Times New Roman" w:hAnsi="Times New Roman" w:cs="Times New Roman"/>
        </w:rPr>
        <w:t>Contact information for representatives from HRSA and CDC are below.</w:t>
      </w:r>
    </w:p>
    <w:p w14:paraId="07A8E146" w14:textId="77777777" w:rsidR="00CA211C" w:rsidRDefault="00CA211C" w:rsidP="008272F1">
      <w:pPr>
        <w:widowControl/>
        <w:rPr>
          <w:rFonts w:eastAsia="Calibri"/>
          <w:bCs/>
          <w:sz w:val="24"/>
          <w:szCs w:val="24"/>
        </w:rPr>
      </w:pPr>
    </w:p>
    <w:p w14:paraId="0E53B674" w14:textId="77777777" w:rsidR="00CA211C" w:rsidRDefault="00CA211C" w:rsidP="008272F1">
      <w:pPr>
        <w:widowControl/>
        <w:rPr>
          <w:rFonts w:eastAsia="Calibri"/>
          <w:bCs/>
          <w:sz w:val="24"/>
          <w:szCs w:val="24"/>
        </w:rPr>
      </w:pPr>
    </w:p>
    <w:p w14:paraId="61D86823" w14:textId="5B5030AE" w:rsidR="008272F1" w:rsidRPr="00F502A2" w:rsidRDefault="00337E70" w:rsidP="008272F1">
      <w:pPr>
        <w:widowControl/>
        <w:rPr>
          <w:rFonts w:eastAsia="Calibri"/>
          <w:bCs/>
          <w:sz w:val="24"/>
          <w:szCs w:val="24"/>
        </w:rPr>
      </w:pPr>
      <w:r>
        <w:rPr>
          <w:rFonts w:eastAsia="Calibri"/>
          <w:bCs/>
          <w:sz w:val="24"/>
          <w:szCs w:val="24"/>
        </w:rPr>
        <w:t>Bethany D. Miller, LCSW-C, M.Ed.</w:t>
      </w:r>
    </w:p>
    <w:p w14:paraId="461FF47C" w14:textId="5EFC91DE" w:rsidR="008272F1" w:rsidRPr="00F502A2" w:rsidRDefault="00416DDB" w:rsidP="008272F1">
      <w:pPr>
        <w:widowControl/>
        <w:rPr>
          <w:rFonts w:eastAsia="Calibri"/>
          <w:bCs/>
          <w:sz w:val="24"/>
          <w:szCs w:val="24"/>
        </w:rPr>
      </w:pPr>
      <w:r w:rsidRPr="00F502A2">
        <w:rPr>
          <w:rFonts w:eastAsia="Calibri"/>
          <w:bCs/>
          <w:sz w:val="24"/>
          <w:szCs w:val="24"/>
        </w:rPr>
        <w:t>Director</w:t>
      </w:r>
      <w:r w:rsidR="00337E70">
        <w:rPr>
          <w:rFonts w:eastAsia="Calibri"/>
          <w:bCs/>
          <w:sz w:val="24"/>
          <w:szCs w:val="24"/>
        </w:rPr>
        <w:t xml:space="preserve">, </w:t>
      </w:r>
      <w:r w:rsidRPr="00F502A2">
        <w:rPr>
          <w:sz w:val="24"/>
          <w:szCs w:val="24"/>
          <w:shd w:val="clear" w:color="auto" w:fill="FFFFFF"/>
        </w:rPr>
        <w:t>Child</w:t>
      </w:r>
      <w:r w:rsidR="00337E70">
        <w:rPr>
          <w:sz w:val="24"/>
          <w:szCs w:val="24"/>
          <w:shd w:val="clear" w:color="auto" w:fill="FFFFFF"/>
        </w:rPr>
        <w:t xml:space="preserve"> Injury and Violence Prevention Programs</w:t>
      </w:r>
    </w:p>
    <w:p w14:paraId="52F316DB" w14:textId="77777777" w:rsidR="008272F1" w:rsidRPr="00F502A2" w:rsidRDefault="008272F1" w:rsidP="008272F1">
      <w:pPr>
        <w:widowControl/>
        <w:rPr>
          <w:rFonts w:eastAsia="Calibri"/>
          <w:bCs/>
          <w:sz w:val="24"/>
          <w:szCs w:val="24"/>
        </w:rPr>
      </w:pPr>
      <w:r w:rsidRPr="00F502A2">
        <w:rPr>
          <w:rFonts w:eastAsia="Calibri"/>
          <w:bCs/>
          <w:sz w:val="24"/>
          <w:szCs w:val="24"/>
        </w:rPr>
        <w:t>MCHB/HRSA</w:t>
      </w:r>
    </w:p>
    <w:p w14:paraId="52C0B948" w14:textId="1A74E351" w:rsidR="008272F1" w:rsidRPr="00F502A2" w:rsidRDefault="008272F1" w:rsidP="008272F1">
      <w:pPr>
        <w:widowControl/>
        <w:rPr>
          <w:rFonts w:eastAsia="Calibri"/>
          <w:bCs/>
          <w:sz w:val="24"/>
          <w:szCs w:val="24"/>
        </w:rPr>
      </w:pPr>
      <w:r w:rsidRPr="00F502A2">
        <w:rPr>
          <w:rFonts w:eastAsia="Calibri"/>
          <w:sz w:val="24"/>
          <w:szCs w:val="24"/>
        </w:rPr>
        <w:t xml:space="preserve">5600 Fishers Lane, </w:t>
      </w:r>
      <w:r w:rsidR="00416DDB" w:rsidRPr="00F502A2">
        <w:rPr>
          <w:rFonts w:eastAsia="Calibri"/>
          <w:sz w:val="24"/>
          <w:szCs w:val="24"/>
        </w:rPr>
        <w:t>RM18N</w:t>
      </w:r>
      <w:r w:rsidRPr="00F502A2">
        <w:rPr>
          <w:rFonts w:eastAsia="Calibri"/>
          <w:sz w:val="24"/>
          <w:szCs w:val="24"/>
        </w:rPr>
        <w:t>-</w:t>
      </w:r>
      <w:r w:rsidR="00416DDB" w:rsidRPr="00F502A2">
        <w:rPr>
          <w:rFonts w:eastAsia="Calibri"/>
          <w:sz w:val="24"/>
          <w:szCs w:val="24"/>
        </w:rPr>
        <w:t>4</w:t>
      </w:r>
      <w:r w:rsidR="00337E70">
        <w:rPr>
          <w:rFonts w:eastAsia="Calibri"/>
          <w:sz w:val="24"/>
          <w:szCs w:val="24"/>
        </w:rPr>
        <w:t>4</w:t>
      </w:r>
    </w:p>
    <w:p w14:paraId="4690E44F" w14:textId="77777777" w:rsidR="008272F1" w:rsidRPr="00F502A2" w:rsidRDefault="008272F1" w:rsidP="008272F1">
      <w:pPr>
        <w:widowControl/>
        <w:rPr>
          <w:rFonts w:eastAsia="Calibri"/>
          <w:sz w:val="24"/>
          <w:szCs w:val="24"/>
        </w:rPr>
      </w:pPr>
      <w:r w:rsidRPr="00F502A2">
        <w:rPr>
          <w:rFonts w:eastAsia="Calibri"/>
          <w:sz w:val="24"/>
          <w:szCs w:val="24"/>
        </w:rPr>
        <w:t>Rockville, MD 20857</w:t>
      </w:r>
    </w:p>
    <w:p w14:paraId="3F938CC8" w14:textId="114162F6" w:rsidR="008272F1" w:rsidRPr="00F502A2" w:rsidRDefault="008272F1" w:rsidP="008415F4">
      <w:pPr>
        <w:pStyle w:val="Default"/>
        <w:rPr>
          <w:rFonts w:ascii="Times New Roman" w:eastAsia="Calibri" w:hAnsi="Times New Roman" w:cs="Times New Roman"/>
          <w:color w:val="auto"/>
        </w:rPr>
      </w:pPr>
      <w:r w:rsidRPr="00F502A2">
        <w:rPr>
          <w:rFonts w:ascii="Times New Roman" w:eastAsia="Calibri" w:hAnsi="Times New Roman" w:cs="Times New Roman"/>
          <w:color w:val="auto"/>
        </w:rPr>
        <w:t>Phone: 301-</w:t>
      </w:r>
      <w:r w:rsidR="00337E70">
        <w:rPr>
          <w:rFonts w:ascii="Times New Roman" w:eastAsia="Calibri" w:hAnsi="Times New Roman" w:cs="Times New Roman"/>
          <w:color w:val="auto"/>
        </w:rPr>
        <w:t>945-5156</w:t>
      </w:r>
    </w:p>
    <w:p w14:paraId="1A8CA595" w14:textId="147E2441" w:rsidR="008272F1" w:rsidRPr="008272F1" w:rsidRDefault="008272F1" w:rsidP="008415F4">
      <w:pPr>
        <w:widowControl/>
        <w:rPr>
          <w:rFonts w:eastAsia="Calibri"/>
          <w:sz w:val="24"/>
          <w:szCs w:val="24"/>
        </w:rPr>
      </w:pPr>
      <w:r>
        <w:rPr>
          <w:rFonts w:eastAsia="Calibri"/>
          <w:sz w:val="24"/>
          <w:szCs w:val="24"/>
        </w:rPr>
        <w:t xml:space="preserve">Email: </w:t>
      </w:r>
      <w:hyperlink r:id="rId10" w:history="1">
        <w:r w:rsidR="00337E70">
          <w:rPr>
            <w:rFonts w:eastAsia="Calibri"/>
            <w:sz w:val="24"/>
            <w:szCs w:val="24"/>
            <w:u w:val="single"/>
          </w:rPr>
          <w:t>bmiller</w:t>
        </w:r>
        <w:r w:rsidR="00337E70" w:rsidRPr="008272F1">
          <w:rPr>
            <w:rFonts w:eastAsia="Calibri"/>
            <w:sz w:val="24"/>
            <w:szCs w:val="24"/>
            <w:u w:val="single"/>
          </w:rPr>
          <w:t>@hrsa.gov</w:t>
        </w:r>
      </w:hyperlink>
    </w:p>
    <w:p w14:paraId="20B8FF33" w14:textId="77777777" w:rsidR="00870A6A" w:rsidRDefault="00870A6A" w:rsidP="008272F1">
      <w:pPr>
        <w:pStyle w:val="PlainText"/>
        <w:rPr>
          <w:rFonts w:ascii="Times New Roman" w:hAnsi="Times New Roman"/>
          <w:sz w:val="24"/>
          <w:szCs w:val="24"/>
        </w:rPr>
      </w:pPr>
    </w:p>
    <w:p w14:paraId="155E7012" w14:textId="77777777" w:rsidR="008415F4" w:rsidRPr="008415F4" w:rsidRDefault="008415F4" w:rsidP="008415F4">
      <w:pPr>
        <w:rPr>
          <w:bCs/>
          <w:sz w:val="24"/>
          <w:szCs w:val="24"/>
        </w:rPr>
      </w:pPr>
      <w:r w:rsidRPr="008415F4">
        <w:rPr>
          <w:bCs/>
          <w:sz w:val="24"/>
          <w:szCs w:val="24"/>
        </w:rPr>
        <w:t>Sharyn Parks Brown, PhD, MPH</w:t>
      </w:r>
    </w:p>
    <w:p w14:paraId="62FE1C28" w14:textId="77777777" w:rsidR="008415F4" w:rsidRPr="008415F4" w:rsidRDefault="008415F4" w:rsidP="008415F4">
      <w:pPr>
        <w:rPr>
          <w:sz w:val="24"/>
          <w:szCs w:val="24"/>
        </w:rPr>
      </w:pPr>
      <w:r w:rsidRPr="008415F4">
        <w:rPr>
          <w:sz w:val="24"/>
          <w:szCs w:val="24"/>
        </w:rPr>
        <w:t>CDR US Public Health Service</w:t>
      </w:r>
    </w:p>
    <w:p w14:paraId="498B1E85" w14:textId="77777777" w:rsidR="008415F4" w:rsidRPr="008415F4" w:rsidRDefault="008415F4" w:rsidP="008415F4">
      <w:pPr>
        <w:rPr>
          <w:sz w:val="24"/>
          <w:szCs w:val="24"/>
        </w:rPr>
      </w:pPr>
      <w:r w:rsidRPr="008415F4">
        <w:rPr>
          <w:sz w:val="24"/>
          <w:szCs w:val="24"/>
        </w:rPr>
        <w:t>Epidemiologist</w:t>
      </w:r>
    </w:p>
    <w:p w14:paraId="791EB50C" w14:textId="77777777" w:rsidR="008415F4" w:rsidRPr="008415F4" w:rsidRDefault="008415F4" w:rsidP="008415F4">
      <w:pPr>
        <w:rPr>
          <w:sz w:val="24"/>
          <w:szCs w:val="24"/>
        </w:rPr>
      </w:pPr>
      <w:r w:rsidRPr="008415F4">
        <w:rPr>
          <w:sz w:val="24"/>
          <w:szCs w:val="24"/>
        </w:rPr>
        <w:t>Sudden Unexpected Infant Death Initiative</w:t>
      </w:r>
      <w:r w:rsidRPr="008415F4">
        <w:rPr>
          <w:sz w:val="24"/>
          <w:szCs w:val="24"/>
        </w:rPr>
        <w:br/>
        <w:t>Maternal and Infant Health Branch, Division of Reproductive Health</w:t>
      </w:r>
    </w:p>
    <w:p w14:paraId="2A147A4F" w14:textId="77777777" w:rsidR="008415F4" w:rsidRPr="008415F4" w:rsidRDefault="008415F4" w:rsidP="008415F4">
      <w:pPr>
        <w:rPr>
          <w:sz w:val="24"/>
          <w:szCs w:val="24"/>
        </w:rPr>
      </w:pPr>
      <w:r w:rsidRPr="008415F4">
        <w:rPr>
          <w:sz w:val="24"/>
          <w:szCs w:val="24"/>
        </w:rPr>
        <w:t>National Center for Chronic Disease Prevention and Health Promotion</w:t>
      </w:r>
    </w:p>
    <w:p w14:paraId="6EA4E05E" w14:textId="77777777" w:rsidR="008415F4" w:rsidRPr="008415F4" w:rsidRDefault="008415F4" w:rsidP="008415F4">
      <w:pPr>
        <w:rPr>
          <w:sz w:val="24"/>
          <w:szCs w:val="24"/>
        </w:rPr>
      </w:pPr>
      <w:r w:rsidRPr="008415F4">
        <w:rPr>
          <w:sz w:val="24"/>
          <w:szCs w:val="24"/>
        </w:rPr>
        <w:t>Centers for Disease Control and Prevention</w:t>
      </w:r>
    </w:p>
    <w:p w14:paraId="464074C7" w14:textId="77777777" w:rsidR="008415F4" w:rsidRPr="008415F4" w:rsidRDefault="008415F4" w:rsidP="008415F4">
      <w:pPr>
        <w:rPr>
          <w:sz w:val="24"/>
          <w:szCs w:val="24"/>
        </w:rPr>
      </w:pPr>
      <w:r w:rsidRPr="008415F4">
        <w:rPr>
          <w:sz w:val="24"/>
          <w:szCs w:val="24"/>
        </w:rPr>
        <w:t>4770 Buford Hwy, N.E. MS F74</w:t>
      </w:r>
    </w:p>
    <w:p w14:paraId="31CCCF3C" w14:textId="77777777" w:rsidR="008415F4" w:rsidRPr="008415F4" w:rsidRDefault="008415F4" w:rsidP="008415F4">
      <w:pPr>
        <w:rPr>
          <w:sz w:val="24"/>
          <w:szCs w:val="24"/>
        </w:rPr>
      </w:pPr>
      <w:r w:rsidRPr="008415F4">
        <w:rPr>
          <w:sz w:val="24"/>
          <w:szCs w:val="24"/>
        </w:rPr>
        <w:t>Chamblee, GA 30341</w:t>
      </w:r>
    </w:p>
    <w:p w14:paraId="1936FB94" w14:textId="77777777" w:rsidR="008415F4" w:rsidRPr="008415F4" w:rsidRDefault="008415F4" w:rsidP="008415F4">
      <w:pPr>
        <w:rPr>
          <w:sz w:val="24"/>
          <w:szCs w:val="24"/>
        </w:rPr>
      </w:pPr>
      <w:r w:rsidRPr="008415F4">
        <w:rPr>
          <w:sz w:val="24"/>
          <w:szCs w:val="24"/>
        </w:rPr>
        <w:t>phone: 770-488-4058</w:t>
      </w:r>
    </w:p>
    <w:p w14:paraId="4E3A19D5" w14:textId="77777777" w:rsidR="008415F4" w:rsidRPr="008415F4" w:rsidRDefault="008415F4" w:rsidP="008415F4">
      <w:pPr>
        <w:rPr>
          <w:sz w:val="24"/>
          <w:szCs w:val="24"/>
        </w:rPr>
      </w:pPr>
      <w:r w:rsidRPr="008415F4">
        <w:rPr>
          <w:sz w:val="24"/>
          <w:szCs w:val="24"/>
        </w:rPr>
        <w:t xml:space="preserve">email: </w:t>
      </w:r>
      <w:hyperlink r:id="rId11" w:history="1">
        <w:r w:rsidRPr="008415F4">
          <w:rPr>
            <w:rStyle w:val="Hyperlink"/>
            <w:color w:val="auto"/>
            <w:sz w:val="24"/>
            <w:szCs w:val="24"/>
          </w:rPr>
          <w:t>svp2@cdc.gov</w:t>
        </w:r>
      </w:hyperlink>
    </w:p>
    <w:p w14:paraId="67F6160B" w14:textId="77777777" w:rsidR="001C3F04" w:rsidRDefault="001C3F04" w:rsidP="00293F38">
      <w:pPr>
        <w:pStyle w:val="CM2"/>
        <w:spacing w:line="480" w:lineRule="auto"/>
        <w:rPr>
          <w:b/>
          <w:bCs/>
        </w:rPr>
      </w:pPr>
    </w:p>
    <w:p w14:paraId="66B881E1" w14:textId="679D0BF7" w:rsidR="00C60088" w:rsidRPr="009D2138" w:rsidRDefault="00DF5990" w:rsidP="00293F38">
      <w:pPr>
        <w:pStyle w:val="CM2"/>
        <w:spacing w:line="480" w:lineRule="auto"/>
        <w:rPr>
          <w:rFonts w:ascii="Times New Roman" w:hAnsi="Times New Roman"/>
        </w:rPr>
      </w:pPr>
      <w:r>
        <w:rPr>
          <w:b/>
          <w:bCs/>
        </w:rPr>
        <w:t>A.</w:t>
      </w:r>
      <w:r w:rsidR="006A1D9F" w:rsidRPr="009D2138">
        <w:rPr>
          <w:b/>
          <w:bCs/>
        </w:rPr>
        <w:t xml:space="preserve">9 Explanation of Any Payment or Gift to Respondents </w:t>
      </w:r>
      <w:r w:rsidR="00C60088">
        <w:rPr>
          <w:rFonts w:ascii="Times New Roman" w:hAnsi="Times New Roman"/>
          <w:b/>
          <w:bCs/>
          <w:sz w:val="20"/>
          <w:szCs w:val="20"/>
        </w:rPr>
        <w:tab/>
      </w:r>
    </w:p>
    <w:p w14:paraId="4F5B856E" w14:textId="27994531" w:rsidR="00FB0586" w:rsidRDefault="00C60088" w:rsidP="001F7B8D">
      <w:pPr>
        <w:spacing w:line="480" w:lineRule="auto"/>
        <w:rPr>
          <w:sz w:val="24"/>
          <w:szCs w:val="24"/>
        </w:rPr>
      </w:pPr>
      <w:r>
        <w:tab/>
      </w:r>
      <w:r w:rsidR="003659EF" w:rsidRPr="00C60088">
        <w:rPr>
          <w:sz w:val="24"/>
          <w:szCs w:val="24"/>
        </w:rPr>
        <w:t xml:space="preserve">There will be </w:t>
      </w:r>
      <w:r>
        <w:rPr>
          <w:sz w:val="24"/>
          <w:szCs w:val="24"/>
        </w:rPr>
        <w:t xml:space="preserve">a </w:t>
      </w:r>
      <w:r w:rsidR="003659EF" w:rsidRPr="00C60088">
        <w:rPr>
          <w:sz w:val="24"/>
          <w:szCs w:val="24"/>
        </w:rPr>
        <w:t>few sub-studies that include remuneration to respondents for participation</w:t>
      </w:r>
      <w:r w:rsidR="001F7B8D">
        <w:rPr>
          <w:sz w:val="24"/>
          <w:szCs w:val="24"/>
        </w:rPr>
        <w:t xml:space="preserve">. </w:t>
      </w:r>
      <w:r w:rsidR="001F7B8D" w:rsidRPr="00213B0A">
        <w:rPr>
          <w:sz w:val="24"/>
          <w:szCs w:val="24"/>
          <w:highlight w:val="yellow"/>
        </w:rPr>
        <w:t>For in-person focus groups or in-depth interviews 90 minutes or longer, NICHD may provide tokens of appreciation up to $75. For focus groups/in depth interviews up to 60 minutes, NICHD may provide tokens of appreciation up to $40.</w:t>
      </w:r>
      <w:r w:rsidR="001F7B8D">
        <w:rPr>
          <w:sz w:val="24"/>
          <w:szCs w:val="24"/>
        </w:rPr>
        <w:t xml:space="preserve"> </w:t>
      </w:r>
      <w:r w:rsidRPr="00C60088">
        <w:rPr>
          <w:sz w:val="24"/>
          <w:szCs w:val="24"/>
        </w:rPr>
        <w:t xml:space="preserve">If respondents participate in </w:t>
      </w:r>
      <w:r>
        <w:rPr>
          <w:sz w:val="24"/>
          <w:szCs w:val="24"/>
        </w:rPr>
        <w:t>focus groups</w:t>
      </w:r>
      <w:r w:rsidRPr="00C60088">
        <w:rPr>
          <w:sz w:val="24"/>
          <w:szCs w:val="24"/>
        </w:rPr>
        <w:t xml:space="preserve"> </w:t>
      </w:r>
      <w:r>
        <w:rPr>
          <w:sz w:val="24"/>
          <w:szCs w:val="24"/>
        </w:rPr>
        <w:t xml:space="preserve">or interviews </w:t>
      </w:r>
      <w:r w:rsidRPr="00C60088">
        <w:rPr>
          <w:sz w:val="24"/>
          <w:szCs w:val="24"/>
        </w:rPr>
        <w:t xml:space="preserve">remotely, via phone, or Internet, any proposed stipend will be justified to OMB in the sub-study request, and this amount will be considerably less than that provided to respondents attending in-person </w:t>
      </w:r>
      <w:r>
        <w:rPr>
          <w:sz w:val="24"/>
          <w:szCs w:val="24"/>
        </w:rPr>
        <w:t xml:space="preserve">studies </w:t>
      </w:r>
      <w:r w:rsidRPr="00C60088">
        <w:rPr>
          <w:sz w:val="24"/>
          <w:szCs w:val="24"/>
        </w:rPr>
        <w:t xml:space="preserve">who have to travel to the agency or other facility to participate.  If such information collections include hard-to-reach </w:t>
      </w:r>
      <w:r w:rsidRPr="008F269B">
        <w:rPr>
          <w:sz w:val="24"/>
          <w:szCs w:val="24"/>
        </w:rPr>
        <w:t>groups</w:t>
      </w:r>
      <w:r w:rsidRPr="00C60088">
        <w:rPr>
          <w:sz w:val="24"/>
          <w:szCs w:val="24"/>
        </w:rPr>
        <w:t xml:space="preserve">, the NICHD may offer </w:t>
      </w:r>
      <w:r w:rsidRPr="008F269B">
        <w:rPr>
          <w:sz w:val="24"/>
          <w:szCs w:val="24"/>
        </w:rPr>
        <w:t>non-stan</w:t>
      </w:r>
      <w:r w:rsidRPr="00C60088">
        <w:rPr>
          <w:sz w:val="24"/>
          <w:szCs w:val="24"/>
        </w:rPr>
        <w:t>dard stipends</w:t>
      </w:r>
      <w:r>
        <w:rPr>
          <w:sz w:val="24"/>
          <w:szCs w:val="24"/>
        </w:rPr>
        <w:t xml:space="preserve">.  The NICHD will </w:t>
      </w:r>
      <w:r w:rsidRPr="008F269B">
        <w:rPr>
          <w:sz w:val="24"/>
          <w:szCs w:val="24"/>
        </w:rPr>
        <w:t>provide OMB with additional justifications in the request for clearance of these specific activities.</w:t>
      </w:r>
      <w:r w:rsidRPr="00C60088">
        <w:rPr>
          <w:sz w:val="24"/>
          <w:szCs w:val="24"/>
        </w:rPr>
        <w:t xml:space="preserve"> </w:t>
      </w:r>
      <w:r>
        <w:rPr>
          <w:sz w:val="24"/>
          <w:szCs w:val="24"/>
        </w:rPr>
        <w:t xml:space="preserve"> </w:t>
      </w:r>
      <w:r w:rsidRPr="0035317F">
        <w:rPr>
          <w:sz w:val="24"/>
          <w:szCs w:val="24"/>
        </w:rPr>
        <w:t xml:space="preserve">There is extensive literature to support the use of incentives, primarily monetary incentives, as a supplement or complement to other efforts of persuasion to ensure recruitment of a representative sample, especially among </w:t>
      </w:r>
      <w:r>
        <w:rPr>
          <w:sz w:val="24"/>
          <w:szCs w:val="24"/>
        </w:rPr>
        <w:t>not-yet-reached</w:t>
      </w:r>
      <w:r w:rsidRPr="0035317F">
        <w:rPr>
          <w:sz w:val="24"/>
          <w:szCs w:val="24"/>
        </w:rPr>
        <w:t xml:space="preserve"> and minority populations.</w:t>
      </w:r>
      <w:r w:rsidRPr="0035317F">
        <w:rPr>
          <w:sz w:val="24"/>
          <w:szCs w:val="24"/>
          <w:vertAlign w:val="superscript"/>
        </w:rPr>
        <w:footnoteReference w:id="3"/>
      </w:r>
      <w:r w:rsidRPr="0035317F">
        <w:rPr>
          <w:sz w:val="24"/>
          <w:szCs w:val="24"/>
          <w:vertAlign w:val="superscript"/>
        </w:rPr>
        <w:t>,</w:t>
      </w:r>
      <w:r w:rsidRPr="0035317F">
        <w:rPr>
          <w:sz w:val="24"/>
          <w:szCs w:val="24"/>
          <w:vertAlign w:val="superscript"/>
        </w:rPr>
        <w:footnoteReference w:id="4"/>
      </w:r>
      <w:r w:rsidR="001C3F04">
        <w:rPr>
          <w:sz w:val="24"/>
          <w:szCs w:val="24"/>
          <w:vertAlign w:val="superscript"/>
        </w:rPr>
        <w:t>,5</w:t>
      </w:r>
      <w:r>
        <w:rPr>
          <w:sz w:val="24"/>
          <w:szCs w:val="24"/>
        </w:rPr>
        <w:t xml:space="preserve">  </w:t>
      </w:r>
      <w:r w:rsidRPr="0035317F">
        <w:rPr>
          <w:sz w:val="24"/>
          <w:szCs w:val="24"/>
        </w:rPr>
        <w:t>In studies for both commercial market research and social sciences, findings indicate that respondents who receive these tokens of appreciation provide valid input, and their inclusion makes for a more representative sample.</w:t>
      </w:r>
      <w:r>
        <w:rPr>
          <w:sz w:val="24"/>
          <w:szCs w:val="24"/>
        </w:rPr>
        <w:t xml:space="preserve">  </w:t>
      </w:r>
      <w:r w:rsidR="00FB0586" w:rsidRPr="0035317F">
        <w:rPr>
          <w:sz w:val="24"/>
          <w:szCs w:val="24"/>
        </w:rPr>
        <w:t>It is standard practice in commercial market research to offer recruited respondents some form of remuneration for the time they spend engaged in a focus gr</w:t>
      </w:r>
      <w:r w:rsidR="007649F3">
        <w:rPr>
          <w:sz w:val="24"/>
          <w:szCs w:val="24"/>
        </w:rPr>
        <w:t>oup,</w:t>
      </w:r>
      <w:r w:rsidR="00FB0586" w:rsidRPr="0035317F">
        <w:rPr>
          <w:sz w:val="24"/>
          <w:szCs w:val="24"/>
        </w:rPr>
        <w:t xml:space="preserve"> in-depth interview</w:t>
      </w:r>
      <w:r w:rsidR="007649F3">
        <w:rPr>
          <w:sz w:val="24"/>
          <w:szCs w:val="24"/>
        </w:rPr>
        <w:t>, and sometimes an online survey</w:t>
      </w:r>
      <w:r w:rsidR="00FB0586" w:rsidRPr="0035317F">
        <w:rPr>
          <w:sz w:val="24"/>
          <w:szCs w:val="24"/>
        </w:rPr>
        <w:t>.</w:t>
      </w:r>
      <w:r w:rsidR="00A10B1A">
        <w:rPr>
          <w:sz w:val="24"/>
          <w:szCs w:val="24"/>
        </w:rPr>
        <w:t xml:space="preserve">  </w:t>
      </w:r>
      <w:r w:rsidR="00FB0586" w:rsidRPr="0035317F">
        <w:rPr>
          <w:sz w:val="24"/>
          <w:szCs w:val="24"/>
        </w:rPr>
        <w:t>Small amounts of money, a free meal or snack, remuneration for parking and/or transportation</w:t>
      </w:r>
      <w:r w:rsidR="007649F3">
        <w:rPr>
          <w:sz w:val="24"/>
          <w:szCs w:val="24"/>
        </w:rPr>
        <w:t>, and/or a raffle</w:t>
      </w:r>
      <w:r w:rsidR="00FB0586" w:rsidRPr="0035317F">
        <w:rPr>
          <w:sz w:val="24"/>
          <w:szCs w:val="24"/>
        </w:rPr>
        <w:t xml:space="preserve"> are most often used.</w:t>
      </w:r>
    </w:p>
    <w:p w14:paraId="051AADFF" w14:textId="77777777" w:rsidR="006A1D9F" w:rsidRPr="009D2138" w:rsidRDefault="00DF5990" w:rsidP="00293F38">
      <w:pPr>
        <w:pStyle w:val="CM2"/>
        <w:spacing w:line="480" w:lineRule="auto"/>
        <w:rPr>
          <w:rFonts w:ascii="Times New Roman" w:hAnsi="Times New Roman"/>
        </w:rPr>
      </w:pPr>
      <w:r>
        <w:rPr>
          <w:rFonts w:ascii="Times New Roman" w:hAnsi="Times New Roman"/>
          <w:b/>
          <w:bCs/>
        </w:rPr>
        <w:t>A.</w:t>
      </w:r>
      <w:r w:rsidR="006A1D9F" w:rsidRPr="009D2138">
        <w:rPr>
          <w:rFonts w:ascii="Times New Roman" w:hAnsi="Times New Roman"/>
          <w:b/>
          <w:bCs/>
        </w:rPr>
        <w:t xml:space="preserve">10 Assurance of Confidentiality Provided to Respondents </w:t>
      </w:r>
    </w:p>
    <w:p w14:paraId="6B91CBBA" w14:textId="50EBC52C" w:rsidR="0015766A" w:rsidRPr="007A3B9A" w:rsidRDefault="0015766A" w:rsidP="008F269B">
      <w:pPr>
        <w:spacing w:line="480" w:lineRule="auto"/>
        <w:ind w:firstLine="720"/>
        <w:rPr>
          <w:noProof/>
          <w:sz w:val="24"/>
          <w:szCs w:val="24"/>
        </w:rPr>
      </w:pPr>
      <w:r w:rsidRPr="007A3B9A">
        <w:rPr>
          <w:noProof/>
          <w:sz w:val="24"/>
          <w:szCs w:val="24"/>
        </w:rPr>
        <w:t xml:space="preserve">In keeping with human subjects research protections, the information collections conducted under this generic clearance will take steps to guarantee that all personally indentifiable information (PII), and all data collected, are secure and </w:t>
      </w:r>
      <w:r w:rsidR="006240A6" w:rsidRPr="00DF5990">
        <w:rPr>
          <w:noProof/>
          <w:sz w:val="24"/>
          <w:szCs w:val="24"/>
        </w:rPr>
        <w:t xml:space="preserve">private, </w:t>
      </w:r>
      <w:r w:rsidR="006240A6">
        <w:rPr>
          <w:noProof/>
          <w:sz w:val="24"/>
          <w:szCs w:val="24"/>
        </w:rPr>
        <w:t>to</w:t>
      </w:r>
      <w:r w:rsidR="00DF5990" w:rsidRPr="00DF5990">
        <w:rPr>
          <w:sz w:val="24"/>
          <w:szCs w:val="24"/>
        </w:rPr>
        <w:t xml:space="preserve"> the extent permitted by law</w:t>
      </w:r>
      <w:r w:rsidRPr="00DF5990">
        <w:rPr>
          <w:noProof/>
          <w:sz w:val="24"/>
          <w:szCs w:val="24"/>
        </w:rPr>
        <w:t xml:space="preserve">.  PII will only be collected to the extent necessary. </w:t>
      </w:r>
      <w:r w:rsidR="006240A6">
        <w:rPr>
          <w:noProof/>
          <w:sz w:val="24"/>
          <w:szCs w:val="24"/>
        </w:rPr>
        <w:t>Data will be stored</w:t>
      </w:r>
      <w:r w:rsidRPr="00DF5990">
        <w:rPr>
          <w:noProof/>
          <w:sz w:val="24"/>
          <w:szCs w:val="24"/>
        </w:rPr>
        <w:t xml:space="preserve"> </w:t>
      </w:r>
      <w:r w:rsidR="006240A6">
        <w:rPr>
          <w:noProof/>
          <w:sz w:val="24"/>
          <w:szCs w:val="24"/>
        </w:rPr>
        <w:t xml:space="preserve">in locked filed cabinets, with limited staff access, at NICHD offices or approved and secure off-site storage sites. </w:t>
      </w:r>
      <w:r w:rsidRPr="00DF5990">
        <w:rPr>
          <w:noProof/>
          <w:sz w:val="24"/>
          <w:szCs w:val="24"/>
        </w:rPr>
        <w:t>Respondents will be inf</w:t>
      </w:r>
      <w:r w:rsidRPr="007A3B9A">
        <w:rPr>
          <w:noProof/>
          <w:sz w:val="24"/>
          <w:szCs w:val="24"/>
        </w:rPr>
        <w:t xml:space="preserve">ormed of </w:t>
      </w:r>
      <w:r>
        <w:rPr>
          <w:noProof/>
          <w:sz w:val="24"/>
          <w:szCs w:val="24"/>
        </w:rPr>
        <w:t>security</w:t>
      </w:r>
      <w:r w:rsidRPr="007A3B9A">
        <w:rPr>
          <w:noProof/>
          <w:sz w:val="24"/>
          <w:szCs w:val="24"/>
        </w:rPr>
        <w:t xml:space="preserve"> through explanatory text on the cover of </w:t>
      </w:r>
      <w:r>
        <w:rPr>
          <w:noProof/>
          <w:sz w:val="24"/>
          <w:szCs w:val="24"/>
        </w:rPr>
        <w:t xml:space="preserve">forms and applications.  </w:t>
      </w:r>
      <w:r w:rsidRPr="007A3B9A">
        <w:rPr>
          <w:noProof/>
          <w:sz w:val="24"/>
          <w:szCs w:val="24"/>
        </w:rPr>
        <w:t xml:space="preserve">In addition, respondents will be advised of the purpose of the </w:t>
      </w:r>
      <w:r>
        <w:rPr>
          <w:noProof/>
          <w:sz w:val="24"/>
          <w:szCs w:val="24"/>
        </w:rPr>
        <w:t>information collection</w:t>
      </w:r>
      <w:r w:rsidRPr="007A3B9A">
        <w:rPr>
          <w:noProof/>
          <w:sz w:val="24"/>
          <w:szCs w:val="24"/>
        </w:rPr>
        <w:t xml:space="preserve">, the </w:t>
      </w:r>
      <w:r>
        <w:rPr>
          <w:noProof/>
          <w:sz w:val="24"/>
          <w:szCs w:val="24"/>
        </w:rPr>
        <w:t>use</w:t>
      </w:r>
      <w:r w:rsidRPr="007A3B9A">
        <w:rPr>
          <w:noProof/>
          <w:sz w:val="24"/>
          <w:szCs w:val="24"/>
        </w:rPr>
        <w:t xml:space="preserve"> of </w:t>
      </w:r>
      <w:r>
        <w:rPr>
          <w:noProof/>
          <w:sz w:val="24"/>
          <w:szCs w:val="24"/>
        </w:rPr>
        <w:t>information</w:t>
      </w:r>
      <w:r w:rsidRPr="007A3B9A">
        <w:rPr>
          <w:noProof/>
          <w:sz w:val="24"/>
          <w:szCs w:val="24"/>
        </w:rPr>
        <w:t xml:space="preserve"> collection, NI</w:t>
      </w:r>
      <w:r>
        <w:rPr>
          <w:noProof/>
          <w:sz w:val="24"/>
          <w:szCs w:val="24"/>
        </w:rPr>
        <w:t>CHD</w:t>
      </w:r>
      <w:r w:rsidRPr="007A3B9A">
        <w:rPr>
          <w:noProof/>
          <w:sz w:val="24"/>
          <w:szCs w:val="24"/>
        </w:rPr>
        <w:t xml:space="preserve"> sponsorship, that their participation is voluntary</w:t>
      </w:r>
      <w:r w:rsidR="00C1643F">
        <w:rPr>
          <w:noProof/>
          <w:sz w:val="24"/>
          <w:szCs w:val="24"/>
        </w:rPr>
        <w:t>,</w:t>
      </w:r>
      <w:r w:rsidRPr="007A3B9A">
        <w:rPr>
          <w:noProof/>
          <w:sz w:val="24"/>
          <w:szCs w:val="24"/>
        </w:rPr>
        <w:t xml:space="preserve"> and that </w:t>
      </w:r>
      <w:r>
        <w:rPr>
          <w:noProof/>
          <w:sz w:val="24"/>
          <w:szCs w:val="24"/>
        </w:rPr>
        <w:t xml:space="preserve">they may choose to discontinue or have their name and/or related information </w:t>
      </w:r>
      <w:r w:rsidRPr="007A3B9A">
        <w:rPr>
          <w:noProof/>
          <w:sz w:val="24"/>
          <w:szCs w:val="24"/>
        </w:rPr>
        <w:t xml:space="preserve">withdrawn at any time.  </w:t>
      </w:r>
      <w:r w:rsidR="00CA0694">
        <w:rPr>
          <w:noProof/>
          <w:sz w:val="24"/>
          <w:szCs w:val="24"/>
        </w:rPr>
        <w:t>I</w:t>
      </w:r>
      <w:r w:rsidRPr="007A3B9A">
        <w:rPr>
          <w:noProof/>
          <w:sz w:val="24"/>
          <w:szCs w:val="24"/>
        </w:rPr>
        <w:t xml:space="preserve">nformation will be presented in </w:t>
      </w:r>
      <w:r w:rsidR="00CA0694">
        <w:rPr>
          <w:noProof/>
          <w:sz w:val="24"/>
          <w:szCs w:val="24"/>
        </w:rPr>
        <w:t xml:space="preserve">de-identified and </w:t>
      </w:r>
      <w:r w:rsidRPr="007A3B9A">
        <w:rPr>
          <w:noProof/>
          <w:sz w:val="24"/>
          <w:szCs w:val="24"/>
        </w:rPr>
        <w:t>aggregate form</w:t>
      </w:r>
      <w:r w:rsidR="00CA0694">
        <w:rPr>
          <w:noProof/>
          <w:sz w:val="24"/>
          <w:szCs w:val="24"/>
        </w:rPr>
        <w:t>.</w:t>
      </w:r>
      <w:r w:rsidRPr="007A3B9A">
        <w:rPr>
          <w:noProof/>
          <w:sz w:val="24"/>
          <w:szCs w:val="24"/>
        </w:rPr>
        <w:t xml:space="preserve">  </w:t>
      </w:r>
    </w:p>
    <w:p w14:paraId="53419255" w14:textId="77777777" w:rsidR="0015766A" w:rsidRPr="007A3B9A" w:rsidRDefault="0015766A" w:rsidP="008F269B">
      <w:pPr>
        <w:spacing w:line="480" w:lineRule="auto"/>
        <w:ind w:firstLine="720"/>
        <w:rPr>
          <w:sz w:val="24"/>
          <w:szCs w:val="24"/>
        </w:rPr>
      </w:pPr>
      <w:r w:rsidRPr="00FB54DC">
        <w:rPr>
          <w:noProof/>
          <w:sz w:val="24"/>
          <w:szCs w:val="24"/>
        </w:rPr>
        <w:t>It may be necessary for some inform</w:t>
      </w:r>
      <w:r>
        <w:rPr>
          <w:noProof/>
          <w:sz w:val="24"/>
          <w:szCs w:val="24"/>
        </w:rPr>
        <w:t>a</w:t>
      </w:r>
      <w:r w:rsidRPr="00FB54DC">
        <w:rPr>
          <w:noProof/>
          <w:sz w:val="24"/>
          <w:szCs w:val="24"/>
        </w:rPr>
        <w:t>tion collections to retain name</w:t>
      </w:r>
      <w:r>
        <w:rPr>
          <w:noProof/>
          <w:sz w:val="24"/>
          <w:szCs w:val="24"/>
        </w:rPr>
        <w:t xml:space="preserve"> and </w:t>
      </w:r>
      <w:r w:rsidRPr="00FB54DC">
        <w:rPr>
          <w:noProof/>
          <w:sz w:val="24"/>
          <w:szCs w:val="24"/>
        </w:rPr>
        <w:t xml:space="preserve">contact information collected on a </w:t>
      </w:r>
      <w:r>
        <w:rPr>
          <w:noProof/>
          <w:sz w:val="24"/>
          <w:szCs w:val="24"/>
        </w:rPr>
        <w:t xml:space="preserve">screening </w:t>
      </w:r>
      <w:r w:rsidRPr="00FB54DC">
        <w:rPr>
          <w:noProof/>
          <w:sz w:val="24"/>
          <w:szCs w:val="24"/>
        </w:rPr>
        <w:t xml:space="preserve">form to be used to contact potential respondents. </w:t>
      </w:r>
      <w:r w:rsidRPr="00FB54DC">
        <w:rPr>
          <w:sz w:val="24"/>
          <w:szCs w:val="24"/>
        </w:rPr>
        <w:t>In these instances, the rationale for retention of PII will b</w:t>
      </w:r>
      <w:r>
        <w:rPr>
          <w:sz w:val="24"/>
          <w:szCs w:val="24"/>
        </w:rPr>
        <w:t>e fully explained</w:t>
      </w:r>
      <w:r w:rsidRPr="00FB54DC">
        <w:rPr>
          <w:sz w:val="24"/>
          <w:szCs w:val="24"/>
        </w:rPr>
        <w:t>.</w:t>
      </w:r>
      <w:r>
        <w:rPr>
          <w:sz w:val="24"/>
          <w:szCs w:val="24"/>
        </w:rPr>
        <w:t xml:space="preserve"> </w:t>
      </w:r>
      <w:r w:rsidR="00436E72">
        <w:rPr>
          <w:sz w:val="24"/>
          <w:szCs w:val="24"/>
        </w:rPr>
        <w:t xml:space="preserve"> </w:t>
      </w:r>
      <w:r w:rsidRPr="00FB54DC">
        <w:rPr>
          <w:sz w:val="24"/>
          <w:szCs w:val="24"/>
        </w:rPr>
        <w:t xml:space="preserve">Most of the information collections to be conducted under this clearance are considered exempt from </w:t>
      </w:r>
      <w:r w:rsidR="00794CEC" w:rsidRPr="007A3B9A">
        <w:rPr>
          <w:sz w:val="24"/>
          <w:szCs w:val="24"/>
        </w:rPr>
        <w:t>Institutional Review Board</w:t>
      </w:r>
      <w:r w:rsidR="00794CEC" w:rsidRPr="00FB54DC">
        <w:rPr>
          <w:sz w:val="24"/>
          <w:szCs w:val="24"/>
        </w:rPr>
        <w:t xml:space="preserve"> </w:t>
      </w:r>
      <w:r w:rsidR="00794CEC">
        <w:rPr>
          <w:sz w:val="24"/>
          <w:szCs w:val="24"/>
        </w:rPr>
        <w:t>(</w:t>
      </w:r>
      <w:r w:rsidRPr="00FB54DC">
        <w:rPr>
          <w:sz w:val="24"/>
          <w:szCs w:val="24"/>
        </w:rPr>
        <w:t>IRB</w:t>
      </w:r>
      <w:r w:rsidR="00794CEC">
        <w:rPr>
          <w:sz w:val="24"/>
          <w:szCs w:val="24"/>
        </w:rPr>
        <w:t>)</w:t>
      </w:r>
      <w:r w:rsidRPr="00FB54DC">
        <w:rPr>
          <w:sz w:val="24"/>
          <w:szCs w:val="24"/>
        </w:rPr>
        <w:t xml:space="preserve"> review at NIH.  However, if it is determined that the information collection involves non-exempt activities, the </w:t>
      </w:r>
      <w:r>
        <w:rPr>
          <w:sz w:val="24"/>
          <w:szCs w:val="24"/>
        </w:rPr>
        <w:t>staff will be</w:t>
      </w:r>
      <w:r w:rsidRPr="00FB54DC">
        <w:rPr>
          <w:sz w:val="24"/>
          <w:szCs w:val="24"/>
        </w:rPr>
        <w:t xml:space="preserve"> required to submit the information collection </w:t>
      </w:r>
      <w:r w:rsidRPr="007A3B9A">
        <w:rPr>
          <w:sz w:val="24"/>
          <w:szCs w:val="24"/>
        </w:rPr>
        <w:t>for review by the N</w:t>
      </w:r>
      <w:r>
        <w:rPr>
          <w:sz w:val="24"/>
          <w:szCs w:val="24"/>
        </w:rPr>
        <w:t>ICHD</w:t>
      </w:r>
      <w:r w:rsidRPr="007A3B9A">
        <w:rPr>
          <w:sz w:val="24"/>
          <w:szCs w:val="24"/>
        </w:rPr>
        <w:t xml:space="preserve"> </w:t>
      </w:r>
      <w:r w:rsidR="00794CEC">
        <w:rPr>
          <w:sz w:val="24"/>
          <w:szCs w:val="24"/>
        </w:rPr>
        <w:t xml:space="preserve">IRB </w:t>
      </w:r>
      <w:r w:rsidRPr="007A3B9A">
        <w:rPr>
          <w:sz w:val="24"/>
          <w:szCs w:val="24"/>
        </w:rPr>
        <w:t xml:space="preserve">for approval.  </w:t>
      </w:r>
    </w:p>
    <w:p w14:paraId="1597B926" w14:textId="77777777" w:rsidR="006A1D9F" w:rsidRPr="009D2138" w:rsidRDefault="00DF5990" w:rsidP="00293F38">
      <w:pPr>
        <w:pStyle w:val="CM2"/>
        <w:spacing w:line="480" w:lineRule="auto"/>
        <w:rPr>
          <w:rFonts w:ascii="Times New Roman" w:hAnsi="Times New Roman"/>
        </w:rPr>
      </w:pPr>
      <w:r>
        <w:rPr>
          <w:rFonts w:ascii="Times New Roman" w:hAnsi="Times New Roman"/>
          <w:b/>
          <w:bCs/>
        </w:rPr>
        <w:t>A.</w:t>
      </w:r>
      <w:r w:rsidR="006A1D9F" w:rsidRPr="009D2138">
        <w:rPr>
          <w:rFonts w:ascii="Times New Roman" w:hAnsi="Times New Roman"/>
          <w:b/>
          <w:bCs/>
        </w:rPr>
        <w:t xml:space="preserve">11 Justification for Sensitive Questions </w:t>
      </w:r>
    </w:p>
    <w:p w14:paraId="78A69A5A" w14:textId="44273761" w:rsidR="00401CA3" w:rsidRPr="009D2138" w:rsidRDefault="00862BCD" w:rsidP="008F269B">
      <w:pPr>
        <w:pStyle w:val="CM27"/>
        <w:spacing w:after="0" w:line="480" w:lineRule="auto"/>
        <w:ind w:firstLine="720"/>
        <w:rPr>
          <w:rFonts w:ascii="Times New Roman" w:hAnsi="Times New Roman"/>
        </w:rPr>
      </w:pPr>
      <w:r>
        <w:rPr>
          <w:rFonts w:ascii="Times New Roman" w:hAnsi="Times New Roman"/>
        </w:rPr>
        <w:t>Information collections m</w:t>
      </w:r>
      <w:r w:rsidR="00BE4B57">
        <w:rPr>
          <w:rFonts w:ascii="Times New Roman" w:hAnsi="Times New Roman"/>
        </w:rPr>
        <w:t xml:space="preserve">ay contain sensitive questions </w:t>
      </w:r>
      <w:r>
        <w:rPr>
          <w:rFonts w:ascii="Times New Roman" w:hAnsi="Times New Roman"/>
        </w:rPr>
        <w:t>of a moderate nature</w:t>
      </w:r>
      <w:r w:rsidR="00BE4B57">
        <w:rPr>
          <w:rFonts w:ascii="Times New Roman" w:hAnsi="Times New Roman"/>
        </w:rPr>
        <w:t xml:space="preserve">, for example: </w:t>
      </w:r>
      <w:r>
        <w:rPr>
          <w:rFonts w:ascii="Times New Roman" w:hAnsi="Times New Roman"/>
        </w:rPr>
        <w:t>income, age, education, race/ethnicity, and gender</w:t>
      </w:r>
      <w:r w:rsidR="00BE4B57">
        <w:rPr>
          <w:rFonts w:ascii="Times New Roman" w:hAnsi="Times New Roman"/>
        </w:rPr>
        <w:t xml:space="preserve">. Such factors </w:t>
      </w:r>
      <w:r>
        <w:rPr>
          <w:rFonts w:ascii="Times New Roman" w:hAnsi="Times New Roman"/>
        </w:rPr>
        <w:t>are critical to characterizing respondent groups.  Each sub-study will provide a description of sensitive questions and justification for their use.  Additionally, t</w:t>
      </w:r>
      <w:r w:rsidR="006A1D9F" w:rsidRPr="009D2138">
        <w:rPr>
          <w:rFonts w:ascii="Times New Roman" w:hAnsi="Times New Roman"/>
        </w:rPr>
        <w:t xml:space="preserve">o avoid fear of disclosure of sensitive information, </w:t>
      </w:r>
      <w:r w:rsidR="005B6058">
        <w:rPr>
          <w:rFonts w:ascii="Times New Roman" w:hAnsi="Times New Roman"/>
        </w:rPr>
        <w:t>respondents</w:t>
      </w:r>
      <w:r w:rsidR="006A1D9F" w:rsidRPr="009D2138">
        <w:rPr>
          <w:rFonts w:ascii="Times New Roman" w:hAnsi="Times New Roman"/>
        </w:rPr>
        <w:t xml:space="preserve"> will be told that their responses will be </w:t>
      </w:r>
      <w:r>
        <w:rPr>
          <w:rFonts w:ascii="Times New Roman" w:hAnsi="Times New Roman"/>
        </w:rPr>
        <w:t xml:space="preserve">kept confidential to the extent allowed by law </w:t>
      </w:r>
      <w:r w:rsidR="006A1D9F" w:rsidRPr="009D2138">
        <w:rPr>
          <w:rFonts w:ascii="Times New Roman" w:hAnsi="Times New Roman"/>
        </w:rPr>
        <w:t xml:space="preserve">and will be reported in aggregate </w:t>
      </w:r>
      <w:r w:rsidR="005B6058">
        <w:rPr>
          <w:rFonts w:ascii="Times New Roman" w:hAnsi="Times New Roman"/>
        </w:rPr>
        <w:t>summaries</w:t>
      </w:r>
      <w:r w:rsidR="006A1D9F" w:rsidRPr="009D2138">
        <w:rPr>
          <w:rFonts w:ascii="Times New Roman" w:hAnsi="Times New Roman"/>
        </w:rPr>
        <w:t xml:space="preserve">.  Respondents will also be informed that they </w:t>
      </w:r>
      <w:r>
        <w:rPr>
          <w:rFonts w:ascii="Times New Roman" w:hAnsi="Times New Roman"/>
        </w:rPr>
        <w:t xml:space="preserve">do not </w:t>
      </w:r>
      <w:r w:rsidR="006A1D9F" w:rsidRPr="009D2138">
        <w:rPr>
          <w:rFonts w:ascii="Times New Roman" w:hAnsi="Times New Roman"/>
        </w:rPr>
        <w:t xml:space="preserve">need </w:t>
      </w:r>
      <w:r>
        <w:rPr>
          <w:rFonts w:ascii="Times New Roman" w:hAnsi="Times New Roman"/>
        </w:rPr>
        <w:t>to</w:t>
      </w:r>
      <w:r w:rsidR="006A1D9F" w:rsidRPr="009D2138">
        <w:rPr>
          <w:rFonts w:ascii="Times New Roman" w:hAnsi="Times New Roman"/>
        </w:rPr>
        <w:t xml:space="preserve"> answer any question that makes them feel uncomfortable or that they simply do not wish to answer. </w:t>
      </w:r>
      <w:r w:rsidR="00401CA3" w:rsidRPr="009D2138">
        <w:rPr>
          <w:rFonts w:ascii="Times New Roman" w:hAnsi="Times New Roman"/>
        </w:rPr>
        <w:t xml:space="preserve"> </w:t>
      </w:r>
      <w:r w:rsidR="006A1D9F" w:rsidRPr="009D2138">
        <w:rPr>
          <w:rFonts w:ascii="Times New Roman" w:hAnsi="Times New Roman"/>
        </w:rPr>
        <w:t>Interviewers administering telephone surveys and in-person interviews will be trained</w:t>
      </w:r>
      <w:r w:rsidR="00BE4B57">
        <w:rPr>
          <w:rFonts w:ascii="Times New Roman" w:hAnsi="Times New Roman"/>
        </w:rPr>
        <w:t xml:space="preserve"> on confidentiality requirements,</w:t>
      </w:r>
      <w:r w:rsidR="006A1D9F" w:rsidRPr="009D2138">
        <w:rPr>
          <w:rFonts w:ascii="Times New Roman" w:hAnsi="Times New Roman"/>
        </w:rPr>
        <w:t xml:space="preserve"> to ask questions in a sensitive manner</w:t>
      </w:r>
      <w:r w:rsidR="00BE4B57">
        <w:rPr>
          <w:rFonts w:ascii="Times New Roman" w:hAnsi="Times New Roman"/>
        </w:rPr>
        <w:t>,</w:t>
      </w:r>
      <w:r w:rsidR="006A1D9F" w:rsidRPr="009D2138">
        <w:rPr>
          <w:rFonts w:ascii="Times New Roman" w:hAnsi="Times New Roman"/>
        </w:rPr>
        <w:t xml:space="preserve"> and to handle any su</w:t>
      </w:r>
      <w:r w:rsidR="00FD64AC">
        <w:rPr>
          <w:rFonts w:ascii="Times New Roman" w:hAnsi="Times New Roman"/>
        </w:rPr>
        <w:t>bsequent discussion skillfully.</w:t>
      </w:r>
      <w:r w:rsidR="002E6071">
        <w:rPr>
          <w:rFonts w:ascii="Times New Roman" w:hAnsi="Times New Roman"/>
        </w:rPr>
        <w:t xml:space="preserve">  Researchers </w:t>
      </w:r>
      <w:r w:rsidR="00436E72">
        <w:rPr>
          <w:rFonts w:ascii="Times New Roman" w:hAnsi="Times New Roman"/>
        </w:rPr>
        <w:t>that</w:t>
      </w:r>
      <w:r w:rsidR="002E6071">
        <w:rPr>
          <w:rFonts w:ascii="Times New Roman" w:hAnsi="Times New Roman"/>
        </w:rPr>
        <w:t xml:space="preserve"> design the online survey questions and items will be professionals trained and experienced in this area.</w:t>
      </w:r>
    </w:p>
    <w:p w14:paraId="2A7C6DB3" w14:textId="77777777" w:rsidR="006A1D9F" w:rsidRPr="009D2138" w:rsidRDefault="00DF5990" w:rsidP="00293F38">
      <w:pPr>
        <w:pStyle w:val="CM27"/>
        <w:spacing w:after="0" w:line="480" w:lineRule="auto"/>
        <w:rPr>
          <w:rFonts w:ascii="Times New Roman" w:hAnsi="Times New Roman"/>
          <w:b/>
          <w:bCs/>
        </w:rPr>
      </w:pPr>
      <w:r>
        <w:rPr>
          <w:rFonts w:ascii="Times New Roman" w:hAnsi="Times New Roman"/>
          <w:b/>
          <w:bCs/>
        </w:rPr>
        <w:t>A.</w:t>
      </w:r>
      <w:r w:rsidR="006A1D9F" w:rsidRPr="009D2138">
        <w:rPr>
          <w:rFonts w:ascii="Times New Roman" w:hAnsi="Times New Roman"/>
          <w:b/>
          <w:bCs/>
        </w:rPr>
        <w:t>12.</w:t>
      </w:r>
      <w:r>
        <w:rPr>
          <w:rFonts w:ascii="Times New Roman" w:hAnsi="Times New Roman"/>
          <w:b/>
          <w:bCs/>
        </w:rPr>
        <w:t>1</w:t>
      </w:r>
      <w:r w:rsidR="006A1D9F" w:rsidRPr="009D2138">
        <w:rPr>
          <w:rFonts w:ascii="Times New Roman" w:hAnsi="Times New Roman"/>
          <w:b/>
          <w:bCs/>
        </w:rPr>
        <w:t xml:space="preserve"> Estimates of Hour Burden Including Annualized Hourly Costs </w:t>
      </w:r>
    </w:p>
    <w:p w14:paraId="5E02A919" w14:textId="2F860DD0" w:rsidR="006240A6" w:rsidRDefault="007B3019" w:rsidP="008F269B">
      <w:pPr>
        <w:spacing w:line="480" w:lineRule="auto"/>
        <w:ind w:firstLine="720"/>
        <w:rPr>
          <w:sz w:val="24"/>
          <w:szCs w:val="24"/>
        </w:rPr>
      </w:pPr>
      <w:r w:rsidRPr="008F269B">
        <w:rPr>
          <w:sz w:val="24"/>
          <w:szCs w:val="24"/>
        </w:rPr>
        <w:t>A variety of instruments and platforms will be used to collect information from respondents</w:t>
      </w:r>
      <w:r w:rsidR="00017D76">
        <w:rPr>
          <w:sz w:val="24"/>
          <w:szCs w:val="24"/>
        </w:rPr>
        <w:t xml:space="preserve"> and each sub-study will vary by number of respondents and average time per response</w:t>
      </w:r>
      <w:r w:rsidRPr="008F269B">
        <w:rPr>
          <w:sz w:val="24"/>
          <w:szCs w:val="24"/>
        </w:rPr>
        <w:t xml:space="preserve">.  </w:t>
      </w:r>
      <w:r w:rsidR="00017D76">
        <w:rPr>
          <w:sz w:val="24"/>
          <w:szCs w:val="24"/>
        </w:rPr>
        <w:t>However, t</w:t>
      </w:r>
      <w:r w:rsidRPr="008F269B">
        <w:rPr>
          <w:sz w:val="24"/>
          <w:szCs w:val="24"/>
        </w:rPr>
        <w:t>he annual burden hours requested (</w:t>
      </w:r>
      <w:r w:rsidR="00EF7BB1">
        <w:rPr>
          <w:sz w:val="24"/>
          <w:szCs w:val="24"/>
        </w:rPr>
        <w:t>12,920</w:t>
      </w:r>
      <w:r w:rsidRPr="008F269B">
        <w:rPr>
          <w:sz w:val="24"/>
          <w:szCs w:val="24"/>
        </w:rPr>
        <w:t xml:space="preserve">) are based on the number of collections we expect to conduct over the requested period for this clearance.  </w:t>
      </w:r>
      <w:r w:rsidR="00B302E8" w:rsidRPr="008E12FB">
        <w:rPr>
          <w:sz w:val="24"/>
          <w:szCs w:val="24"/>
        </w:rPr>
        <w:t xml:space="preserve">Table 1 presents the </w:t>
      </w:r>
      <w:r w:rsidR="00436E72">
        <w:rPr>
          <w:sz w:val="24"/>
          <w:szCs w:val="24"/>
        </w:rPr>
        <w:t xml:space="preserve">annual </w:t>
      </w:r>
      <w:r w:rsidR="00B302E8" w:rsidRPr="008E12FB">
        <w:rPr>
          <w:sz w:val="24"/>
          <w:szCs w:val="24"/>
        </w:rPr>
        <w:t xml:space="preserve">burden hour estimates for this data collection.  </w:t>
      </w:r>
    </w:p>
    <w:p w14:paraId="44CCBEB4" w14:textId="77777777" w:rsidR="00F13B9A" w:rsidRPr="00217B21" w:rsidRDefault="00F13B9A" w:rsidP="008F269B">
      <w:pPr>
        <w:spacing w:line="480" w:lineRule="auto"/>
        <w:ind w:firstLine="720"/>
        <w:rPr>
          <w:sz w:val="24"/>
          <w:szCs w:val="24"/>
        </w:rPr>
      </w:pPr>
    </w:p>
    <w:p w14:paraId="18E2E2B1" w14:textId="77B98111" w:rsidR="00C61D31" w:rsidRDefault="00C61D31" w:rsidP="00C61D31">
      <w:pPr>
        <w:ind w:left="1440" w:firstLine="720"/>
        <w:rPr>
          <w:sz w:val="24"/>
          <w:szCs w:val="24"/>
        </w:rPr>
      </w:pPr>
      <w:r w:rsidRPr="00217B21">
        <w:rPr>
          <w:sz w:val="24"/>
          <w:szCs w:val="24"/>
        </w:rPr>
        <w:t>Table 12-1 Estimated Annualized Burden Hours</w:t>
      </w:r>
    </w:p>
    <w:p w14:paraId="22996D6D" w14:textId="77777777" w:rsidR="00217B21" w:rsidRPr="00217B21" w:rsidRDefault="00217B21" w:rsidP="00C61D31">
      <w:pPr>
        <w:ind w:left="1440" w:firstLine="720"/>
        <w:rPr>
          <w:sz w:val="24"/>
          <w:szCs w:val="24"/>
        </w:rPr>
      </w:pPr>
    </w:p>
    <w:tbl>
      <w:tblPr>
        <w:tblW w:w="4748" w:type="pct"/>
        <w:tblCellMar>
          <w:left w:w="120" w:type="dxa"/>
          <w:right w:w="120" w:type="dxa"/>
        </w:tblCellMar>
        <w:tblLook w:val="04A0" w:firstRow="1" w:lastRow="0" w:firstColumn="1" w:lastColumn="0" w:noHBand="0" w:noVBand="1"/>
      </w:tblPr>
      <w:tblGrid>
        <w:gridCol w:w="2093"/>
        <w:gridCol w:w="1520"/>
        <w:gridCol w:w="1769"/>
        <w:gridCol w:w="1374"/>
        <w:gridCol w:w="1259"/>
        <w:gridCol w:w="1101"/>
      </w:tblGrid>
      <w:tr w:rsidR="00C61D31" w:rsidRPr="00217B21" w14:paraId="3F6C1B67" w14:textId="77777777" w:rsidTr="00C61D31">
        <w:trPr>
          <w:cantSplit/>
          <w:trHeight w:val="462"/>
        </w:trPr>
        <w:tc>
          <w:tcPr>
            <w:tcW w:w="1005" w:type="pct"/>
            <w:tcBorders>
              <w:top w:val="single" w:sz="6" w:space="0" w:color="auto"/>
              <w:left w:val="single" w:sz="4" w:space="0" w:color="auto"/>
              <w:bottom w:val="nil"/>
              <w:right w:val="nil"/>
            </w:tcBorders>
            <w:vAlign w:val="center"/>
            <w:hideMark/>
          </w:tcPr>
          <w:p w14:paraId="531F4E4E" w14:textId="77777777" w:rsidR="00C61D31" w:rsidRPr="00217B21" w:rsidRDefault="00C61D31">
            <w:pPr>
              <w:jc w:val="center"/>
              <w:rPr>
                <w:sz w:val="24"/>
                <w:szCs w:val="24"/>
              </w:rPr>
            </w:pPr>
            <w:bookmarkStart w:id="6" w:name="_Hlk490132595"/>
            <w:r w:rsidRPr="00217B21">
              <w:rPr>
                <w:sz w:val="24"/>
                <w:szCs w:val="24"/>
              </w:rPr>
              <w:t xml:space="preserve">Form Name </w:t>
            </w:r>
          </w:p>
        </w:tc>
        <w:tc>
          <w:tcPr>
            <w:tcW w:w="711" w:type="pct"/>
            <w:tcBorders>
              <w:top w:val="single" w:sz="6" w:space="0" w:color="auto"/>
              <w:left w:val="single" w:sz="6" w:space="0" w:color="auto"/>
              <w:bottom w:val="nil"/>
              <w:right w:val="single" w:sz="6" w:space="0" w:color="auto"/>
            </w:tcBorders>
            <w:vAlign w:val="center"/>
            <w:hideMark/>
          </w:tcPr>
          <w:p w14:paraId="730BF467" w14:textId="77777777" w:rsidR="00C61D31" w:rsidRPr="00217B21" w:rsidRDefault="00C61D31">
            <w:pPr>
              <w:jc w:val="center"/>
              <w:rPr>
                <w:sz w:val="24"/>
                <w:szCs w:val="24"/>
              </w:rPr>
            </w:pPr>
            <w:r w:rsidRPr="00217B21">
              <w:rPr>
                <w:sz w:val="24"/>
                <w:szCs w:val="24"/>
              </w:rPr>
              <w:t>Type of Respondents</w:t>
            </w:r>
          </w:p>
        </w:tc>
        <w:tc>
          <w:tcPr>
            <w:tcW w:w="1088" w:type="pct"/>
            <w:tcBorders>
              <w:top w:val="single" w:sz="6" w:space="0" w:color="auto"/>
              <w:left w:val="single" w:sz="6" w:space="0" w:color="auto"/>
              <w:bottom w:val="nil"/>
              <w:right w:val="nil"/>
            </w:tcBorders>
            <w:vAlign w:val="center"/>
            <w:hideMark/>
          </w:tcPr>
          <w:p w14:paraId="2CAC0D1A" w14:textId="77777777" w:rsidR="00C61D31" w:rsidRPr="00217B21" w:rsidRDefault="00C61D31">
            <w:pPr>
              <w:jc w:val="center"/>
              <w:rPr>
                <w:sz w:val="24"/>
                <w:szCs w:val="24"/>
              </w:rPr>
            </w:pPr>
            <w:r w:rsidRPr="00217B21">
              <w:rPr>
                <w:sz w:val="24"/>
                <w:szCs w:val="24"/>
              </w:rPr>
              <w:t>Number of Respondents</w:t>
            </w:r>
          </w:p>
        </w:tc>
        <w:tc>
          <w:tcPr>
            <w:tcW w:w="667" w:type="pct"/>
            <w:tcBorders>
              <w:top w:val="single" w:sz="6" w:space="0" w:color="auto"/>
              <w:left w:val="single" w:sz="6" w:space="0" w:color="auto"/>
              <w:bottom w:val="nil"/>
              <w:right w:val="nil"/>
            </w:tcBorders>
            <w:vAlign w:val="center"/>
            <w:hideMark/>
          </w:tcPr>
          <w:p w14:paraId="5F7F77AF" w14:textId="77777777" w:rsidR="00C61D31" w:rsidRPr="00217B21" w:rsidRDefault="00C61D31">
            <w:pPr>
              <w:jc w:val="center"/>
              <w:rPr>
                <w:sz w:val="24"/>
                <w:szCs w:val="24"/>
              </w:rPr>
            </w:pPr>
            <w:r w:rsidRPr="00217B21">
              <w:rPr>
                <w:sz w:val="24"/>
                <w:szCs w:val="24"/>
              </w:rPr>
              <w:t>Number of Responses per Respondent</w:t>
            </w:r>
          </w:p>
        </w:tc>
        <w:tc>
          <w:tcPr>
            <w:tcW w:w="808" w:type="pct"/>
            <w:tcBorders>
              <w:top w:val="single" w:sz="6" w:space="0" w:color="auto"/>
              <w:left w:val="single" w:sz="6" w:space="0" w:color="auto"/>
              <w:bottom w:val="nil"/>
              <w:right w:val="nil"/>
            </w:tcBorders>
            <w:vAlign w:val="center"/>
            <w:hideMark/>
          </w:tcPr>
          <w:p w14:paraId="381F5B3A" w14:textId="77777777" w:rsidR="00C61D31" w:rsidRPr="00217B21" w:rsidRDefault="00C61D31">
            <w:pPr>
              <w:tabs>
                <w:tab w:val="right" w:pos="2361"/>
              </w:tabs>
              <w:jc w:val="center"/>
              <w:rPr>
                <w:sz w:val="24"/>
                <w:szCs w:val="24"/>
              </w:rPr>
            </w:pPr>
            <w:r w:rsidRPr="00217B21">
              <w:rPr>
                <w:sz w:val="24"/>
                <w:szCs w:val="24"/>
              </w:rPr>
              <w:t>Average Burden Per  Response (in hours)</w:t>
            </w:r>
          </w:p>
        </w:tc>
        <w:tc>
          <w:tcPr>
            <w:tcW w:w="721" w:type="pct"/>
            <w:tcBorders>
              <w:top w:val="single" w:sz="6" w:space="0" w:color="auto"/>
              <w:left w:val="single" w:sz="6" w:space="0" w:color="auto"/>
              <w:bottom w:val="nil"/>
              <w:right w:val="single" w:sz="4" w:space="0" w:color="auto"/>
            </w:tcBorders>
            <w:vAlign w:val="center"/>
            <w:hideMark/>
          </w:tcPr>
          <w:p w14:paraId="25FB9411" w14:textId="77777777" w:rsidR="00C61D31" w:rsidRPr="00217B21" w:rsidRDefault="00C61D31">
            <w:pPr>
              <w:jc w:val="center"/>
              <w:rPr>
                <w:sz w:val="24"/>
                <w:szCs w:val="24"/>
              </w:rPr>
            </w:pPr>
            <w:r w:rsidRPr="00217B21">
              <w:rPr>
                <w:sz w:val="24"/>
                <w:szCs w:val="24"/>
              </w:rPr>
              <w:t>Total Annual Burden Hours</w:t>
            </w:r>
          </w:p>
        </w:tc>
      </w:tr>
      <w:tr w:rsidR="00C61D31" w:rsidRPr="00217B21" w14:paraId="67D63ACE" w14:textId="77777777" w:rsidTr="00C61D31">
        <w:trPr>
          <w:cantSplit/>
          <w:trHeight w:val="49"/>
        </w:trPr>
        <w:tc>
          <w:tcPr>
            <w:tcW w:w="1005" w:type="pct"/>
            <w:tcBorders>
              <w:top w:val="single" w:sz="6" w:space="0" w:color="auto"/>
              <w:left w:val="single" w:sz="4" w:space="0" w:color="auto"/>
              <w:bottom w:val="nil"/>
              <w:right w:val="nil"/>
            </w:tcBorders>
            <w:vAlign w:val="center"/>
            <w:hideMark/>
          </w:tcPr>
          <w:p w14:paraId="31642658" w14:textId="77777777" w:rsidR="00C61D31" w:rsidRPr="00217B21" w:rsidRDefault="00C61D31">
            <w:pPr>
              <w:jc w:val="center"/>
              <w:rPr>
                <w:sz w:val="24"/>
                <w:szCs w:val="24"/>
              </w:rPr>
            </w:pPr>
            <w:r w:rsidRPr="00217B21">
              <w:rPr>
                <w:sz w:val="24"/>
                <w:szCs w:val="24"/>
              </w:rPr>
              <w:t>Focus Groups</w:t>
            </w:r>
          </w:p>
        </w:tc>
        <w:tc>
          <w:tcPr>
            <w:tcW w:w="711" w:type="pct"/>
            <w:tcBorders>
              <w:top w:val="single" w:sz="6" w:space="0" w:color="auto"/>
              <w:left w:val="single" w:sz="6" w:space="0" w:color="auto"/>
              <w:bottom w:val="nil"/>
              <w:right w:val="single" w:sz="6" w:space="0" w:color="auto"/>
            </w:tcBorders>
            <w:vAlign w:val="center"/>
            <w:hideMark/>
          </w:tcPr>
          <w:p w14:paraId="6A1FD555" w14:textId="77777777" w:rsidR="00C61D31" w:rsidRPr="004D2B3B" w:rsidRDefault="00C61D31">
            <w:pPr>
              <w:jc w:val="center"/>
              <w:rPr>
                <w:sz w:val="24"/>
                <w:szCs w:val="24"/>
                <w:highlight w:val="yellow"/>
              </w:rPr>
            </w:pPr>
            <w:r w:rsidRPr="004D2B3B">
              <w:rPr>
                <w:sz w:val="24"/>
                <w:szCs w:val="24"/>
                <w:highlight w:val="yellow"/>
              </w:rPr>
              <w:t>General Public</w:t>
            </w:r>
          </w:p>
        </w:tc>
        <w:tc>
          <w:tcPr>
            <w:tcW w:w="1088" w:type="pct"/>
            <w:tcBorders>
              <w:top w:val="single" w:sz="6" w:space="0" w:color="auto"/>
              <w:left w:val="single" w:sz="6" w:space="0" w:color="auto"/>
              <w:bottom w:val="nil"/>
              <w:right w:val="nil"/>
            </w:tcBorders>
            <w:vAlign w:val="center"/>
            <w:hideMark/>
          </w:tcPr>
          <w:p w14:paraId="62481623" w14:textId="77777777" w:rsidR="00C61D31" w:rsidRPr="004D2B3B" w:rsidRDefault="00C61D31">
            <w:pPr>
              <w:jc w:val="center"/>
              <w:rPr>
                <w:sz w:val="24"/>
                <w:szCs w:val="24"/>
                <w:highlight w:val="yellow"/>
              </w:rPr>
            </w:pPr>
            <w:r w:rsidRPr="004D2B3B">
              <w:rPr>
                <w:sz w:val="24"/>
                <w:szCs w:val="24"/>
                <w:highlight w:val="yellow"/>
              </w:rPr>
              <w:t>45</w:t>
            </w:r>
          </w:p>
        </w:tc>
        <w:tc>
          <w:tcPr>
            <w:tcW w:w="667" w:type="pct"/>
            <w:tcBorders>
              <w:top w:val="single" w:sz="6" w:space="0" w:color="auto"/>
              <w:left w:val="single" w:sz="6" w:space="0" w:color="auto"/>
              <w:bottom w:val="nil"/>
              <w:right w:val="nil"/>
            </w:tcBorders>
            <w:vAlign w:val="center"/>
            <w:hideMark/>
          </w:tcPr>
          <w:p w14:paraId="02862B03" w14:textId="77777777" w:rsidR="00C61D31" w:rsidRPr="004D2B3B" w:rsidRDefault="00C61D31">
            <w:pPr>
              <w:jc w:val="center"/>
              <w:rPr>
                <w:sz w:val="24"/>
                <w:szCs w:val="24"/>
                <w:highlight w:val="yellow"/>
              </w:rPr>
            </w:pPr>
            <w:r w:rsidRPr="004D2B3B">
              <w:rPr>
                <w:sz w:val="24"/>
                <w:szCs w:val="24"/>
                <w:highlight w:val="yellow"/>
              </w:rPr>
              <w:t>1</w:t>
            </w:r>
          </w:p>
        </w:tc>
        <w:tc>
          <w:tcPr>
            <w:tcW w:w="808" w:type="pct"/>
            <w:tcBorders>
              <w:top w:val="single" w:sz="6" w:space="0" w:color="auto"/>
              <w:left w:val="single" w:sz="6" w:space="0" w:color="auto"/>
              <w:bottom w:val="nil"/>
              <w:right w:val="nil"/>
            </w:tcBorders>
            <w:vAlign w:val="center"/>
            <w:hideMark/>
          </w:tcPr>
          <w:p w14:paraId="702CD3F3" w14:textId="77777777" w:rsidR="00C61D31" w:rsidRPr="004D2B3B" w:rsidRDefault="00C61D31">
            <w:pPr>
              <w:jc w:val="center"/>
              <w:rPr>
                <w:sz w:val="24"/>
                <w:szCs w:val="24"/>
                <w:highlight w:val="yellow"/>
              </w:rPr>
            </w:pPr>
            <w:r w:rsidRPr="004D2B3B">
              <w:rPr>
                <w:sz w:val="24"/>
                <w:szCs w:val="24"/>
                <w:highlight w:val="yellow"/>
              </w:rPr>
              <w:t>1</w:t>
            </w:r>
          </w:p>
        </w:tc>
        <w:tc>
          <w:tcPr>
            <w:tcW w:w="721" w:type="pct"/>
            <w:tcBorders>
              <w:top w:val="single" w:sz="6" w:space="0" w:color="auto"/>
              <w:left w:val="single" w:sz="6" w:space="0" w:color="auto"/>
              <w:bottom w:val="nil"/>
              <w:right w:val="single" w:sz="4" w:space="0" w:color="auto"/>
            </w:tcBorders>
            <w:vAlign w:val="center"/>
            <w:hideMark/>
          </w:tcPr>
          <w:p w14:paraId="02CC0486" w14:textId="77777777" w:rsidR="00C61D31" w:rsidRPr="004D2B3B" w:rsidRDefault="00C61D31">
            <w:pPr>
              <w:jc w:val="center"/>
              <w:rPr>
                <w:sz w:val="24"/>
                <w:szCs w:val="24"/>
                <w:highlight w:val="yellow"/>
              </w:rPr>
            </w:pPr>
            <w:r w:rsidRPr="004D2B3B">
              <w:rPr>
                <w:sz w:val="24"/>
                <w:szCs w:val="24"/>
                <w:highlight w:val="yellow"/>
              </w:rPr>
              <w:t>45</w:t>
            </w:r>
          </w:p>
        </w:tc>
      </w:tr>
      <w:tr w:rsidR="00C61D31" w:rsidRPr="00217B21" w14:paraId="742E4270" w14:textId="77777777" w:rsidTr="00C61D31">
        <w:trPr>
          <w:cantSplit/>
          <w:trHeight w:val="76"/>
        </w:trPr>
        <w:tc>
          <w:tcPr>
            <w:tcW w:w="1005" w:type="pct"/>
            <w:tcBorders>
              <w:top w:val="single" w:sz="6" w:space="0" w:color="auto"/>
              <w:left w:val="single" w:sz="4" w:space="0" w:color="auto"/>
              <w:bottom w:val="nil"/>
              <w:right w:val="nil"/>
            </w:tcBorders>
            <w:vAlign w:val="center"/>
            <w:hideMark/>
          </w:tcPr>
          <w:p w14:paraId="209ADE89" w14:textId="77777777" w:rsidR="00C61D31" w:rsidRPr="00217B21" w:rsidRDefault="00C61D31">
            <w:pPr>
              <w:jc w:val="center"/>
              <w:rPr>
                <w:sz w:val="24"/>
                <w:szCs w:val="24"/>
              </w:rPr>
            </w:pPr>
            <w:r w:rsidRPr="00217B21">
              <w:rPr>
                <w:sz w:val="24"/>
                <w:szCs w:val="24"/>
              </w:rPr>
              <w:t>Interviews</w:t>
            </w:r>
          </w:p>
        </w:tc>
        <w:tc>
          <w:tcPr>
            <w:tcW w:w="711" w:type="pct"/>
            <w:tcBorders>
              <w:top w:val="single" w:sz="6" w:space="0" w:color="auto"/>
              <w:left w:val="single" w:sz="6" w:space="0" w:color="auto"/>
              <w:bottom w:val="nil"/>
              <w:right w:val="single" w:sz="6" w:space="0" w:color="auto"/>
            </w:tcBorders>
            <w:vAlign w:val="center"/>
            <w:hideMark/>
          </w:tcPr>
          <w:p w14:paraId="7057F540" w14:textId="77777777" w:rsidR="00C61D31" w:rsidRPr="004D2B3B" w:rsidRDefault="00C61D31">
            <w:pPr>
              <w:jc w:val="center"/>
              <w:rPr>
                <w:sz w:val="24"/>
                <w:szCs w:val="24"/>
                <w:highlight w:val="yellow"/>
              </w:rPr>
            </w:pPr>
            <w:r w:rsidRPr="004D2B3B">
              <w:rPr>
                <w:sz w:val="24"/>
                <w:szCs w:val="24"/>
                <w:highlight w:val="yellow"/>
              </w:rPr>
              <w:t>General Public</w:t>
            </w:r>
          </w:p>
        </w:tc>
        <w:tc>
          <w:tcPr>
            <w:tcW w:w="1088" w:type="pct"/>
            <w:tcBorders>
              <w:top w:val="single" w:sz="6" w:space="0" w:color="auto"/>
              <w:left w:val="single" w:sz="6" w:space="0" w:color="auto"/>
              <w:bottom w:val="nil"/>
              <w:right w:val="nil"/>
            </w:tcBorders>
            <w:vAlign w:val="center"/>
            <w:hideMark/>
          </w:tcPr>
          <w:p w14:paraId="79687D06" w14:textId="77777777" w:rsidR="00C61D31" w:rsidRPr="004D2B3B" w:rsidRDefault="00C61D31">
            <w:pPr>
              <w:jc w:val="center"/>
              <w:rPr>
                <w:sz w:val="24"/>
                <w:szCs w:val="24"/>
                <w:highlight w:val="yellow"/>
              </w:rPr>
            </w:pPr>
            <w:r w:rsidRPr="004D2B3B">
              <w:rPr>
                <w:sz w:val="24"/>
                <w:szCs w:val="24"/>
                <w:highlight w:val="yellow"/>
              </w:rPr>
              <w:t>45</w:t>
            </w:r>
          </w:p>
        </w:tc>
        <w:tc>
          <w:tcPr>
            <w:tcW w:w="667" w:type="pct"/>
            <w:tcBorders>
              <w:top w:val="single" w:sz="6" w:space="0" w:color="auto"/>
              <w:left w:val="single" w:sz="6" w:space="0" w:color="auto"/>
              <w:bottom w:val="nil"/>
              <w:right w:val="nil"/>
            </w:tcBorders>
            <w:vAlign w:val="center"/>
            <w:hideMark/>
          </w:tcPr>
          <w:p w14:paraId="38915B39" w14:textId="77777777" w:rsidR="00C61D31" w:rsidRPr="004D2B3B" w:rsidRDefault="00C61D31">
            <w:pPr>
              <w:jc w:val="center"/>
              <w:rPr>
                <w:sz w:val="24"/>
                <w:szCs w:val="24"/>
                <w:highlight w:val="yellow"/>
              </w:rPr>
            </w:pPr>
            <w:r w:rsidRPr="004D2B3B">
              <w:rPr>
                <w:sz w:val="24"/>
                <w:szCs w:val="24"/>
                <w:highlight w:val="yellow"/>
              </w:rPr>
              <w:t>1</w:t>
            </w:r>
          </w:p>
        </w:tc>
        <w:tc>
          <w:tcPr>
            <w:tcW w:w="808" w:type="pct"/>
            <w:tcBorders>
              <w:top w:val="single" w:sz="6" w:space="0" w:color="auto"/>
              <w:left w:val="single" w:sz="6" w:space="0" w:color="auto"/>
              <w:bottom w:val="nil"/>
              <w:right w:val="nil"/>
            </w:tcBorders>
            <w:vAlign w:val="center"/>
            <w:hideMark/>
          </w:tcPr>
          <w:p w14:paraId="3B655FEA" w14:textId="77777777" w:rsidR="00C61D31" w:rsidRPr="004D2B3B" w:rsidRDefault="00C61D31">
            <w:pPr>
              <w:jc w:val="center"/>
              <w:rPr>
                <w:sz w:val="24"/>
                <w:szCs w:val="24"/>
                <w:highlight w:val="yellow"/>
              </w:rPr>
            </w:pPr>
            <w:r w:rsidRPr="004D2B3B">
              <w:rPr>
                <w:sz w:val="24"/>
                <w:szCs w:val="24"/>
                <w:highlight w:val="yellow"/>
              </w:rPr>
              <w:t>1</w:t>
            </w:r>
          </w:p>
        </w:tc>
        <w:tc>
          <w:tcPr>
            <w:tcW w:w="721" w:type="pct"/>
            <w:tcBorders>
              <w:top w:val="single" w:sz="6" w:space="0" w:color="auto"/>
              <w:left w:val="single" w:sz="6" w:space="0" w:color="auto"/>
              <w:bottom w:val="nil"/>
              <w:right w:val="single" w:sz="4" w:space="0" w:color="auto"/>
            </w:tcBorders>
            <w:vAlign w:val="center"/>
            <w:hideMark/>
          </w:tcPr>
          <w:p w14:paraId="3B1D756A" w14:textId="77777777" w:rsidR="00C61D31" w:rsidRPr="004D2B3B" w:rsidRDefault="00C61D31">
            <w:pPr>
              <w:jc w:val="center"/>
              <w:rPr>
                <w:sz w:val="24"/>
                <w:szCs w:val="24"/>
                <w:highlight w:val="yellow"/>
              </w:rPr>
            </w:pPr>
            <w:r w:rsidRPr="004D2B3B">
              <w:rPr>
                <w:sz w:val="24"/>
                <w:szCs w:val="24"/>
                <w:highlight w:val="yellow"/>
              </w:rPr>
              <w:t>45</w:t>
            </w:r>
          </w:p>
        </w:tc>
      </w:tr>
      <w:tr w:rsidR="00C61D31" w:rsidRPr="00217B21" w14:paraId="1BB8C1C6" w14:textId="77777777" w:rsidTr="00C61D31">
        <w:trPr>
          <w:cantSplit/>
          <w:trHeight w:val="76"/>
        </w:trPr>
        <w:tc>
          <w:tcPr>
            <w:tcW w:w="1005" w:type="pct"/>
            <w:tcBorders>
              <w:top w:val="single" w:sz="6" w:space="0" w:color="auto"/>
              <w:left w:val="single" w:sz="4" w:space="0" w:color="auto"/>
              <w:bottom w:val="nil"/>
              <w:right w:val="nil"/>
            </w:tcBorders>
            <w:vAlign w:val="center"/>
            <w:hideMark/>
          </w:tcPr>
          <w:p w14:paraId="2DB7C836" w14:textId="77777777" w:rsidR="00C61D31" w:rsidRPr="00217B21" w:rsidRDefault="00C61D31">
            <w:pPr>
              <w:jc w:val="center"/>
              <w:rPr>
                <w:sz w:val="24"/>
                <w:szCs w:val="24"/>
              </w:rPr>
            </w:pPr>
            <w:r w:rsidRPr="00217B21">
              <w:rPr>
                <w:sz w:val="24"/>
                <w:szCs w:val="24"/>
              </w:rPr>
              <w:t>Pre/Post Tests</w:t>
            </w:r>
          </w:p>
        </w:tc>
        <w:tc>
          <w:tcPr>
            <w:tcW w:w="711" w:type="pct"/>
            <w:tcBorders>
              <w:top w:val="single" w:sz="6" w:space="0" w:color="auto"/>
              <w:left w:val="single" w:sz="6" w:space="0" w:color="auto"/>
              <w:bottom w:val="nil"/>
              <w:right w:val="single" w:sz="6" w:space="0" w:color="auto"/>
            </w:tcBorders>
            <w:vAlign w:val="center"/>
            <w:hideMark/>
          </w:tcPr>
          <w:p w14:paraId="7E888D77" w14:textId="77777777" w:rsidR="00C61D31" w:rsidRPr="004D2B3B" w:rsidRDefault="00C61D31">
            <w:pPr>
              <w:jc w:val="center"/>
              <w:rPr>
                <w:sz w:val="24"/>
                <w:szCs w:val="24"/>
                <w:highlight w:val="yellow"/>
              </w:rPr>
            </w:pPr>
            <w:r w:rsidRPr="004D2B3B">
              <w:rPr>
                <w:sz w:val="24"/>
                <w:szCs w:val="24"/>
                <w:highlight w:val="yellow"/>
              </w:rPr>
              <w:t>General Public</w:t>
            </w:r>
          </w:p>
        </w:tc>
        <w:tc>
          <w:tcPr>
            <w:tcW w:w="1088" w:type="pct"/>
            <w:tcBorders>
              <w:top w:val="single" w:sz="6" w:space="0" w:color="auto"/>
              <w:left w:val="single" w:sz="6" w:space="0" w:color="auto"/>
              <w:bottom w:val="nil"/>
              <w:right w:val="nil"/>
            </w:tcBorders>
            <w:vAlign w:val="center"/>
            <w:hideMark/>
          </w:tcPr>
          <w:p w14:paraId="57A803DE" w14:textId="4292DD85" w:rsidR="00C61D31" w:rsidRPr="004D2B3B" w:rsidRDefault="00C61D31">
            <w:pPr>
              <w:jc w:val="center"/>
              <w:rPr>
                <w:sz w:val="24"/>
                <w:szCs w:val="24"/>
                <w:highlight w:val="yellow"/>
              </w:rPr>
            </w:pPr>
            <w:r w:rsidRPr="004D2B3B">
              <w:rPr>
                <w:sz w:val="24"/>
                <w:szCs w:val="24"/>
                <w:highlight w:val="yellow"/>
              </w:rPr>
              <w:t>3,</w:t>
            </w:r>
            <w:r w:rsidR="00217B21" w:rsidRPr="004D2B3B">
              <w:rPr>
                <w:sz w:val="24"/>
                <w:szCs w:val="24"/>
                <w:highlight w:val="yellow"/>
              </w:rPr>
              <w:t>500</w:t>
            </w:r>
          </w:p>
        </w:tc>
        <w:tc>
          <w:tcPr>
            <w:tcW w:w="667" w:type="pct"/>
            <w:tcBorders>
              <w:top w:val="single" w:sz="6" w:space="0" w:color="auto"/>
              <w:left w:val="single" w:sz="6" w:space="0" w:color="auto"/>
              <w:bottom w:val="nil"/>
              <w:right w:val="nil"/>
            </w:tcBorders>
            <w:vAlign w:val="center"/>
            <w:hideMark/>
          </w:tcPr>
          <w:p w14:paraId="63A93C61" w14:textId="77777777" w:rsidR="00C61D31" w:rsidRPr="004D2B3B" w:rsidRDefault="00C61D31">
            <w:pPr>
              <w:jc w:val="center"/>
              <w:rPr>
                <w:sz w:val="24"/>
                <w:szCs w:val="24"/>
                <w:highlight w:val="yellow"/>
              </w:rPr>
            </w:pPr>
            <w:r w:rsidRPr="004D2B3B">
              <w:rPr>
                <w:sz w:val="24"/>
                <w:szCs w:val="24"/>
                <w:highlight w:val="yellow"/>
              </w:rPr>
              <w:t>2</w:t>
            </w:r>
          </w:p>
        </w:tc>
        <w:tc>
          <w:tcPr>
            <w:tcW w:w="808" w:type="pct"/>
            <w:tcBorders>
              <w:top w:val="single" w:sz="6" w:space="0" w:color="auto"/>
              <w:left w:val="single" w:sz="6" w:space="0" w:color="auto"/>
              <w:bottom w:val="nil"/>
              <w:right w:val="nil"/>
            </w:tcBorders>
            <w:vAlign w:val="center"/>
            <w:hideMark/>
          </w:tcPr>
          <w:p w14:paraId="6E7E422E" w14:textId="0B6C7483" w:rsidR="00C61D31" w:rsidRPr="004D2B3B" w:rsidRDefault="003B35F8">
            <w:pPr>
              <w:jc w:val="center"/>
              <w:rPr>
                <w:sz w:val="24"/>
                <w:szCs w:val="24"/>
                <w:highlight w:val="yellow"/>
              </w:rPr>
            </w:pPr>
            <w:r w:rsidRPr="004D2B3B">
              <w:rPr>
                <w:sz w:val="24"/>
                <w:szCs w:val="24"/>
                <w:highlight w:val="yellow"/>
              </w:rPr>
              <w:t>15</w:t>
            </w:r>
            <w:r w:rsidR="00717BAE" w:rsidRPr="004D2B3B">
              <w:rPr>
                <w:sz w:val="24"/>
                <w:szCs w:val="24"/>
                <w:highlight w:val="yellow"/>
              </w:rPr>
              <w:t>/60</w:t>
            </w:r>
          </w:p>
        </w:tc>
        <w:tc>
          <w:tcPr>
            <w:tcW w:w="721" w:type="pct"/>
            <w:tcBorders>
              <w:top w:val="single" w:sz="6" w:space="0" w:color="auto"/>
              <w:left w:val="single" w:sz="6" w:space="0" w:color="auto"/>
              <w:bottom w:val="nil"/>
              <w:right w:val="single" w:sz="4" w:space="0" w:color="auto"/>
            </w:tcBorders>
            <w:vAlign w:val="center"/>
            <w:hideMark/>
          </w:tcPr>
          <w:p w14:paraId="7CBDE2F5" w14:textId="04029C32" w:rsidR="00C61D31" w:rsidRPr="004D2B3B" w:rsidRDefault="003B35F8">
            <w:pPr>
              <w:jc w:val="center"/>
              <w:rPr>
                <w:sz w:val="24"/>
                <w:szCs w:val="24"/>
                <w:highlight w:val="yellow"/>
              </w:rPr>
            </w:pPr>
            <w:r w:rsidRPr="004D2B3B">
              <w:rPr>
                <w:sz w:val="24"/>
                <w:szCs w:val="24"/>
                <w:highlight w:val="yellow"/>
              </w:rPr>
              <w:t>1,750</w:t>
            </w:r>
          </w:p>
        </w:tc>
      </w:tr>
      <w:tr w:rsidR="003B35F8" w:rsidRPr="00217B21" w14:paraId="3BDB8AC6" w14:textId="77777777" w:rsidTr="00C61D31">
        <w:trPr>
          <w:cantSplit/>
          <w:trHeight w:val="76"/>
        </w:trPr>
        <w:tc>
          <w:tcPr>
            <w:tcW w:w="1005" w:type="pct"/>
            <w:tcBorders>
              <w:top w:val="single" w:sz="6" w:space="0" w:color="auto"/>
              <w:left w:val="single" w:sz="4" w:space="0" w:color="auto"/>
              <w:bottom w:val="nil"/>
              <w:right w:val="nil"/>
            </w:tcBorders>
            <w:vAlign w:val="center"/>
          </w:tcPr>
          <w:p w14:paraId="00C231A5" w14:textId="05501015" w:rsidR="003B35F8" w:rsidRPr="00217B21" w:rsidRDefault="003B35F8">
            <w:pPr>
              <w:jc w:val="center"/>
              <w:rPr>
                <w:sz w:val="24"/>
                <w:szCs w:val="24"/>
              </w:rPr>
            </w:pPr>
            <w:r>
              <w:rPr>
                <w:sz w:val="24"/>
                <w:szCs w:val="24"/>
              </w:rPr>
              <w:t>Pre/Post Tests</w:t>
            </w:r>
          </w:p>
        </w:tc>
        <w:tc>
          <w:tcPr>
            <w:tcW w:w="711" w:type="pct"/>
            <w:tcBorders>
              <w:top w:val="single" w:sz="6" w:space="0" w:color="auto"/>
              <w:left w:val="single" w:sz="6" w:space="0" w:color="auto"/>
              <w:bottom w:val="nil"/>
              <w:right w:val="single" w:sz="6" w:space="0" w:color="auto"/>
            </w:tcBorders>
            <w:vAlign w:val="center"/>
          </w:tcPr>
          <w:p w14:paraId="34F742CF" w14:textId="5F1F187E" w:rsidR="003B35F8" w:rsidRPr="004D2B3B" w:rsidRDefault="003B35F8">
            <w:pPr>
              <w:jc w:val="center"/>
              <w:rPr>
                <w:sz w:val="24"/>
                <w:szCs w:val="24"/>
                <w:highlight w:val="yellow"/>
              </w:rPr>
            </w:pPr>
            <w:r w:rsidRPr="004D2B3B">
              <w:rPr>
                <w:sz w:val="24"/>
                <w:szCs w:val="24"/>
                <w:highlight w:val="yellow"/>
              </w:rPr>
              <w:t>Health Professionals</w:t>
            </w:r>
          </w:p>
        </w:tc>
        <w:tc>
          <w:tcPr>
            <w:tcW w:w="1088" w:type="pct"/>
            <w:tcBorders>
              <w:top w:val="single" w:sz="6" w:space="0" w:color="auto"/>
              <w:left w:val="single" w:sz="6" w:space="0" w:color="auto"/>
              <w:bottom w:val="nil"/>
              <w:right w:val="nil"/>
            </w:tcBorders>
            <w:vAlign w:val="center"/>
          </w:tcPr>
          <w:p w14:paraId="0CCADE10" w14:textId="3995C8D2" w:rsidR="003B35F8" w:rsidRPr="004D2B3B" w:rsidRDefault="003B35F8">
            <w:pPr>
              <w:jc w:val="center"/>
              <w:rPr>
                <w:sz w:val="24"/>
                <w:szCs w:val="24"/>
                <w:highlight w:val="yellow"/>
              </w:rPr>
            </w:pPr>
            <w:r w:rsidRPr="004D2B3B">
              <w:rPr>
                <w:sz w:val="24"/>
                <w:szCs w:val="24"/>
                <w:highlight w:val="yellow"/>
              </w:rPr>
              <w:t>20,000</w:t>
            </w:r>
          </w:p>
        </w:tc>
        <w:tc>
          <w:tcPr>
            <w:tcW w:w="667" w:type="pct"/>
            <w:tcBorders>
              <w:top w:val="single" w:sz="6" w:space="0" w:color="auto"/>
              <w:left w:val="single" w:sz="6" w:space="0" w:color="auto"/>
              <w:bottom w:val="nil"/>
              <w:right w:val="nil"/>
            </w:tcBorders>
            <w:vAlign w:val="center"/>
          </w:tcPr>
          <w:p w14:paraId="5DB5C924" w14:textId="50ACFA8E" w:rsidR="003B35F8" w:rsidRPr="004D2B3B" w:rsidRDefault="003B35F8">
            <w:pPr>
              <w:jc w:val="center"/>
              <w:rPr>
                <w:sz w:val="24"/>
                <w:szCs w:val="24"/>
                <w:highlight w:val="yellow"/>
              </w:rPr>
            </w:pPr>
            <w:r w:rsidRPr="004D2B3B">
              <w:rPr>
                <w:sz w:val="24"/>
                <w:szCs w:val="24"/>
                <w:highlight w:val="yellow"/>
              </w:rPr>
              <w:t>2</w:t>
            </w:r>
          </w:p>
        </w:tc>
        <w:tc>
          <w:tcPr>
            <w:tcW w:w="808" w:type="pct"/>
            <w:tcBorders>
              <w:top w:val="single" w:sz="6" w:space="0" w:color="auto"/>
              <w:left w:val="single" w:sz="6" w:space="0" w:color="auto"/>
              <w:bottom w:val="nil"/>
              <w:right w:val="nil"/>
            </w:tcBorders>
            <w:vAlign w:val="center"/>
          </w:tcPr>
          <w:p w14:paraId="21F24A8D" w14:textId="3C12D881" w:rsidR="003B35F8" w:rsidRPr="004D2B3B" w:rsidRDefault="003B35F8">
            <w:pPr>
              <w:jc w:val="center"/>
              <w:rPr>
                <w:sz w:val="24"/>
                <w:szCs w:val="24"/>
                <w:highlight w:val="yellow"/>
              </w:rPr>
            </w:pPr>
            <w:r w:rsidRPr="004D2B3B">
              <w:rPr>
                <w:sz w:val="24"/>
                <w:szCs w:val="24"/>
                <w:highlight w:val="yellow"/>
              </w:rPr>
              <w:t>15/60</w:t>
            </w:r>
          </w:p>
        </w:tc>
        <w:tc>
          <w:tcPr>
            <w:tcW w:w="721" w:type="pct"/>
            <w:tcBorders>
              <w:top w:val="single" w:sz="6" w:space="0" w:color="auto"/>
              <w:left w:val="single" w:sz="6" w:space="0" w:color="auto"/>
              <w:bottom w:val="nil"/>
              <w:right w:val="single" w:sz="4" w:space="0" w:color="auto"/>
            </w:tcBorders>
            <w:vAlign w:val="center"/>
          </w:tcPr>
          <w:p w14:paraId="6722C48F" w14:textId="5F57E392" w:rsidR="003B35F8" w:rsidRPr="004D2B3B" w:rsidRDefault="003B35F8">
            <w:pPr>
              <w:jc w:val="center"/>
              <w:rPr>
                <w:sz w:val="24"/>
                <w:szCs w:val="24"/>
                <w:highlight w:val="yellow"/>
              </w:rPr>
            </w:pPr>
            <w:r w:rsidRPr="004D2B3B">
              <w:rPr>
                <w:sz w:val="24"/>
                <w:szCs w:val="24"/>
                <w:highlight w:val="yellow"/>
              </w:rPr>
              <w:t>10,000</w:t>
            </w:r>
          </w:p>
        </w:tc>
      </w:tr>
      <w:tr w:rsidR="00C61D31" w:rsidRPr="00217B21" w14:paraId="463305D8" w14:textId="77777777" w:rsidTr="00C61D31">
        <w:trPr>
          <w:cantSplit/>
          <w:trHeight w:val="76"/>
        </w:trPr>
        <w:tc>
          <w:tcPr>
            <w:tcW w:w="1005" w:type="pct"/>
            <w:tcBorders>
              <w:top w:val="single" w:sz="6" w:space="0" w:color="auto"/>
              <w:left w:val="single" w:sz="4" w:space="0" w:color="auto"/>
              <w:bottom w:val="nil"/>
              <w:right w:val="nil"/>
            </w:tcBorders>
            <w:vAlign w:val="center"/>
            <w:hideMark/>
          </w:tcPr>
          <w:p w14:paraId="19EE8AA5" w14:textId="77777777" w:rsidR="00C61D31" w:rsidRPr="00217B21" w:rsidRDefault="00C61D31">
            <w:pPr>
              <w:jc w:val="center"/>
              <w:rPr>
                <w:sz w:val="24"/>
                <w:szCs w:val="24"/>
              </w:rPr>
            </w:pPr>
            <w:r w:rsidRPr="00217B21">
              <w:rPr>
                <w:sz w:val="24"/>
                <w:szCs w:val="24"/>
              </w:rPr>
              <w:t>Surveys</w:t>
            </w:r>
          </w:p>
        </w:tc>
        <w:tc>
          <w:tcPr>
            <w:tcW w:w="711" w:type="pct"/>
            <w:tcBorders>
              <w:top w:val="single" w:sz="6" w:space="0" w:color="auto"/>
              <w:left w:val="single" w:sz="6" w:space="0" w:color="auto"/>
              <w:bottom w:val="nil"/>
              <w:right w:val="single" w:sz="6" w:space="0" w:color="auto"/>
            </w:tcBorders>
            <w:vAlign w:val="center"/>
            <w:hideMark/>
          </w:tcPr>
          <w:p w14:paraId="6F499AE1" w14:textId="77777777" w:rsidR="00C61D31" w:rsidRPr="004D2B3B" w:rsidRDefault="00C61D31">
            <w:pPr>
              <w:jc w:val="center"/>
              <w:rPr>
                <w:sz w:val="24"/>
                <w:szCs w:val="24"/>
                <w:highlight w:val="yellow"/>
              </w:rPr>
            </w:pPr>
            <w:r w:rsidRPr="004D2B3B">
              <w:rPr>
                <w:sz w:val="24"/>
                <w:szCs w:val="24"/>
                <w:highlight w:val="yellow"/>
              </w:rPr>
              <w:t>Health Professionals</w:t>
            </w:r>
          </w:p>
        </w:tc>
        <w:tc>
          <w:tcPr>
            <w:tcW w:w="1088" w:type="pct"/>
            <w:tcBorders>
              <w:top w:val="single" w:sz="6" w:space="0" w:color="auto"/>
              <w:left w:val="single" w:sz="6" w:space="0" w:color="auto"/>
              <w:bottom w:val="nil"/>
              <w:right w:val="nil"/>
            </w:tcBorders>
            <w:vAlign w:val="center"/>
            <w:hideMark/>
          </w:tcPr>
          <w:p w14:paraId="75C799C1" w14:textId="77777777" w:rsidR="00C61D31" w:rsidRPr="004D2B3B" w:rsidRDefault="00C61D31">
            <w:pPr>
              <w:jc w:val="center"/>
              <w:rPr>
                <w:color w:val="FF0000"/>
                <w:sz w:val="24"/>
                <w:szCs w:val="24"/>
                <w:highlight w:val="yellow"/>
              </w:rPr>
            </w:pPr>
            <w:r w:rsidRPr="004D2B3B">
              <w:rPr>
                <w:sz w:val="24"/>
                <w:szCs w:val="24"/>
                <w:highlight w:val="yellow"/>
              </w:rPr>
              <w:t>2,000</w:t>
            </w:r>
          </w:p>
        </w:tc>
        <w:tc>
          <w:tcPr>
            <w:tcW w:w="667" w:type="pct"/>
            <w:tcBorders>
              <w:top w:val="single" w:sz="6" w:space="0" w:color="auto"/>
              <w:left w:val="single" w:sz="6" w:space="0" w:color="auto"/>
              <w:bottom w:val="nil"/>
              <w:right w:val="nil"/>
            </w:tcBorders>
            <w:vAlign w:val="center"/>
            <w:hideMark/>
          </w:tcPr>
          <w:p w14:paraId="0562703C" w14:textId="77777777" w:rsidR="00C61D31" w:rsidRPr="004D2B3B" w:rsidRDefault="00C61D31">
            <w:pPr>
              <w:jc w:val="center"/>
              <w:rPr>
                <w:sz w:val="24"/>
                <w:szCs w:val="24"/>
                <w:highlight w:val="yellow"/>
              </w:rPr>
            </w:pPr>
            <w:r w:rsidRPr="004D2B3B">
              <w:rPr>
                <w:sz w:val="24"/>
                <w:szCs w:val="24"/>
                <w:highlight w:val="yellow"/>
              </w:rPr>
              <w:t>1</w:t>
            </w:r>
          </w:p>
        </w:tc>
        <w:tc>
          <w:tcPr>
            <w:tcW w:w="808" w:type="pct"/>
            <w:tcBorders>
              <w:top w:val="single" w:sz="6" w:space="0" w:color="auto"/>
              <w:left w:val="single" w:sz="6" w:space="0" w:color="auto"/>
              <w:bottom w:val="nil"/>
              <w:right w:val="nil"/>
            </w:tcBorders>
            <w:vAlign w:val="center"/>
            <w:hideMark/>
          </w:tcPr>
          <w:p w14:paraId="2C786FA9" w14:textId="4388A78B" w:rsidR="00C61D31" w:rsidRPr="004D2B3B" w:rsidRDefault="00717BAE">
            <w:pPr>
              <w:jc w:val="center"/>
              <w:rPr>
                <w:sz w:val="24"/>
                <w:szCs w:val="24"/>
                <w:highlight w:val="yellow"/>
              </w:rPr>
            </w:pPr>
            <w:r w:rsidRPr="004D2B3B">
              <w:rPr>
                <w:sz w:val="24"/>
                <w:szCs w:val="24"/>
                <w:highlight w:val="yellow"/>
              </w:rPr>
              <w:t>30/60</w:t>
            </w:r>
          </w:p>
        </w:tc>
        <w:tc>
          <w:tcPr>
            <w:tcW w:w="721" w:type="pct"/>
            <w:tcBorders>
              <w:top w:val="single" w:sz="6" w:space="0" w:color="auto"/>
              <w:left w:val="single" w:sz="6" w:space="0" w:color="auto"/>
              <w:bottom w:val="nil"/>
              <w:right w:val="single" w:sz="4" w:space="0" w:color="auto"/>
            </w:tcBorders>
            <w:vAlign w:val="center"/>
            <w:hideMark/>
          </w:tcPr>
          <w:p w14:paraId="23607346" w14:textId="77777777" w:rsidR="00C61D31" w:rsidRPr="004D2B3B" w:rsidRDefault="00C61D31">
            <w:pPr>
              <w:jc w:val="center"/>
              <w:rPr>
                <w:sz w:val="24"/>
                <w:szCs w:val="24"/>
                <w:highlight w:val="yellow"/>
              </w:rPr>
            </w:pPr>
            <w:r w:rsidRPr="004D2B3B">
              <w:rPr>
                <w:sz w:val="24"/>
                <w:szCs w:val="24"/>
                <w:highlight w:val="yellow"/>
              </w:rPr>
              <w:t>1,000</w:t>
            </w:r>
          </w:p>
        </w:tc>
      </w:tr>
      <w:tr w:rsidR="00C61D31" w:rsidRPr="00217B21" w14:paraId="7C02BF22" w14:textId="77777777" w:rsidTr="00C61D31">
        <w:trPr>
          <w:cantSplit/>
          <w:trHeight w:val="76"/>
        </w:trPr>
        <w:tc>
          <w:tcPr>
            <w:tcW w:w="1005" w:type="pct"/>
            <w:tcBorders>
              <w:top w:val="single" w:sz="6" w:space="0" w:color="auto"/>
              <w:left w:val="single" w:sz="4" w:space="0" w:color="auto"/>
              <w:bottom w:val="nil"/>
              <w:right w:val="nil"/>
            </w:tcBorders>
            <w:vAlign w:val="center"/>
            <w:hideMark/>
          </w:tcPr>
          <w:p w14:paraId="2E73F8E6" w14:textId="77777777" w:rsidR="00C61D31" w:rsidRPr="00217B21" w:rsidRDefault="00C61D31">
            <w:pPr>
              <w:jc w:val="center"/>
              <w:rPr>
                <w:sz w:val="24"/>
                <w:szCs w:val="24"/>
              </w:rPr>
            </w:pPr>
            <w:r w:rsidRPr="00217B21">
              <w:rPr>
                <w:sz w:val="24"/>
                <w:szCs w:val="24"/>
              </w:rPr>
              <w:t>Tracking/Feedback Form</w:t>
            </w:r>
          </w:p>
        </w:tc>
        <w:tc>
          <w:tcPr>
            <w:tcW w:w="711" w:type="pct"/>
            <w:tcBorders>
              <w:top w:val="single" w:sz="6" w:space="0" w:color="auto"/>
              <w:left w:val="single" w:sz="6" w:space="0" w:color="auto"/>
              <w:bottom w:val="nil"/>
              <w:right w:val="single" w:sz="6" w:space="0" w:color="auto"/>
            </w:tcBorders>
            <w:vAlign w:val="center"/>
            <w:hideMark/>
          </w:tcPr>
          <w:p w14:paraId="322069B2" w14:textId="77777777" w:rsidR="00C61D31" w:rsidRPr="004D2B3B" w:rsidRDefault="00C61D31">
            <w:pPr>
              <w:jc w:val="center"/>
              <w:rPr>
                <w:sz w:val="24"/>
                <w:szCs w:val="24"/>
                <w:highlight w:val="yellow"/>
              </w:rPr>
            </w:pPr>
            <w:r w:rsidRPr="004D2B3B">
              <w:rPr>
                <w:sz w:val="24"/>
                <w:szCs w:val="24"/>
                <w:highlight w:val="yellow"/>
              </w:rPr>
              <w:t>Health Educators</w:t>
            </w:r>
          </w:p>
        </w:tc>
        <w:tc>
          <w:tcPr>
            <w:tcW w:w="1088" w:type="pct"/>
            <w:tcBorders>
              <w:top w:val="single" w:sz="6" w:space="0" w:color="auto"/>
              <w:left w:val="single" w:sz="6" w:space="0" w:color="auto"/>
              <w:bottom w:val="nil"/>
              <w:right w:val="nil"/>
            </w:tcBorders>
            <w:vAlign w:val="center"/>
            <w:hideMark/>
          </w:tcPr>
          <w:p w14:paraId="208398D9" w14:textId="77777777" w:rsidR="00C61D31" w:rsidRPr="004D2B3B" w:rsidRDefault="00C61D31">
            <w:pPr>
              <w:jc w:val="center"/>
              <w:rPr>
                <w:sz w:val="24"/>
                <w:szCs w:val="24"/>
                <w:highlight w:val="yellow"/>
              </w:rPr>
            </w:pPr>
            <w:r w:rsidRPr="004D2B3B">
              <w:rPr>
                <w:sz w:val="24"/>
                <w:szCs w:val="24"/>
                <w:highlight w:val="yellow"/>
              </w:rPr>
              <w:t>40</w:t>
            </w:r>
          </w:p>
        </w:tc>
        <w:tc>
          <w:tcPr>
            <w:tcW w:w="667" w:type="pct"/>
            <w:tcBorders>
              <w:top w:val="single" w:sz="6" w:space="0" w:color="auto"/>
              <w:left w:val="single" w:sz="6" w:space="0" w:color="auto"/>
              <w:bottom w:val="nil"/>
              <w:right w:val="nil"/>
            </w:tcBorders>
            <w:vAlign w:val="center"/>
            <w:hideMark/>
          </w:tcPr>
          <w:p w14:paraId="738B85BC" w14:textId="77777777" w:rsidR="00C61D31" w:rsidRPr="004D2B3B" w:rsidRDefault="00C61D31">
            <w:pPr>
              <w:jc w:val="center"/>
              <w:rPr>
                <w:sz w:val="24"/>
                <w:szCs w:val="24"/>
                <w:highlight w:val="yellow"/>
              </w:rPr>
            </w:pPr>
            <w:r w:rsidRPr="004D2B3B">
              <w:rPr>
                <w:sz w:val="24"/>
                <w:szCs w:val="24"/>
                <w:highlight w:val="yellow"/>
              </w:rPr>
              <w:t>2</w:t>
            </w:r>
          </w:p>
        </w:tc>
        <w:tc>
          <w:tcPr>
            <w:tcW w:w="808" w:type="pct"/>
            <w:tcBorders>
              <w:top w:val="single" w:sz="6" w:space="0" w:color="auto"/>
              <w:left w:val="single" w:sz="6" w:space="0" w:color="auto"/>
              <w:bottom w:val="nil"/>
              <w:right w:val="nil"/>
            </w:tcBorders>
            <w:vAlign w:val="center"/>
            <w:hideMark/>
          </w:tcPr>
          <w:p w14:paraId="4A967362" w14:textId="46CEACB2" w:rsidR="00C61D31" w:rsidRPr="004D2B3B" w:rsidRDefault="00B506E1">
            <w:pPr>
              <w:jc w:val="center"/>
              <w:rPr>
                <w:sz w:val="24"/>
                <w:szCs w:val="24"/>
                <w:highlight w:val="yellow"/>
              </w:rPr>
            </w:pPr>
            <w:r w:rsidRPr="004D2B3B">
              <w:rPr>
                <w:sz w:val="24"/>
                <w:szCs w:val="24"/>
                <w:highlight w:val="yellow"/>
              </w:rPr>
              <w:t>1</w:t>
            </w:r>
          </w:p>
        </w:tc>
        <w:tc>
          <w:tcPr>
            <w:tcW w:w="721" w:type="pct"/>
            <w:tcBorders>
              <w:top w:val="single" w:sz="6" w:space="0" w:color="auto"/>
              <w:left w:val="single" w:sz="6" w:space="0" w:color="auto"/>
              <w:bottom w:val="nil"/>
              <w:right w:val="single" w:sz="4" w:space="0" w:color="auto"/>
            </w:tcBorders>
            <w:vAlign w:val="center"/>
            <w:hideMark/>
          </w:tcPr>
          <w:p w14:paraId="08D55AA2" w14:textId="77777777" w:rsidR="00C61D31" w:rsidRPr="004D2B3B" w:rsidRDefault="00C61D31">
            <w:pPr>
              <w:jc w:val="center"/>
              <w:rPr>
                <w:sz w:val="24"/>
                <w:szCs w:val="24"/>
                <w:highlight w:val="yellow"/>
              </w:rPr>
            </w:pPr>
            <w:r w:rsidRPr="004D2B3B">
              <w:rPr>
                <w:sz w:val="24"/>
                <w:szCs w:val="24"/>
                <w:highlight w:val="yellow"/>
              </w:rPr>
              <w:t>80</w:t>
            </w:r>
          </w:p>
        </w:tc>
      </w:tr>
      <w:tr w:rsidR="00C61D31" w:rsidRPr="00217B21" w14:paraId="168EE735" w14:textId="77777777" w:rsidTr="00C61D31">
        <w:trPr>
          <w:cantSplit/>
          <w:trHeight w:val="76"/>
        </w:trPr>
        <w:tc>
          <w:tcPr>
            <w:tcW w:w="1005" w:type="pct"/>
            <w:tcBorders>
              <w:top w:val="single" w:sz="6" w:space="0" w:color="auto"/>
              <w:left w:val="single" w:sz="4" w:space="0" w:color="auto"/>
              <w:bottom w:val="single" w:sz="4" w:space="0" w:color="auto"/>
              <w:right w:val="nil"/>
            </w:tcBorders>
            <w:vAlign w:val="center"/>
            <w:hideMark/>
          </w:tcPr>
          <w:p w14:paraId="106B63BB" w14:textId="77777777" w:rsidR="00C61D31" w:rsidRPr="00217B21" w:rsidRDefault="00C61D31">
            <w:pPr>
              <w:jc w:val="center"/>
              <w:rPr>
                <w:sz w:val="24"/>
                <w:szCs w:val="24"/>
              </w:rPr>
            </w:pPr>
            <w:r w:rsidRPr="00217B21">
              <w:rPr>
                <w:sz w:val="24"/>
                <w:szCs w:val="24"/>
              </w:rPr>
              <w:t>Total</w:t>
            </w:r>
          </w:p>
        </w:tc>
        <w:tc>
          <w:tcPr>
            <w:tcW w:w="711" w:type="pct"/>
            <w:tcBorders>
              <w:top w:val="single" w:sz="6" w:space="0" w:color="auto"/>
              <w:left w:val="single" w:sz="6" w:space="0" w:color="auto"/>
              <w:bottom w:val="single" w:sz="4" w:space="0" w:color="auto"/>
              <w:right w:val="single" w:sz="6" w:space="0" w:color="auto"/>
            </w:tcBorders>
            <w:vAlign w:val="center"/>
          </w:tcPr>
          <w:p w14:paraId="02DDB176" w14:textId="77777777" w:rsidR="00C61D31" w:rsidRPr="004D2B3B" w:rsidRDefault="00C61D31">
            <w:pPr>
              <w:jc w:val="center"/>
              <w:rPr>
                <w:sz w:val="24"/>
                <w:szCs w:val="24"/>
                <w:highlight w:val="yellow"/>
              </w:rPr>
            </w:pPr>
          </w:p>
        </w:tc>
        <w:tc>
          <w:tcPr>
            <w:tcW w:w="1088" w:type="pct"/>
            <w:tcBorders>
              <w:top w:val="single" w:sz="6" w:space="0" w:color="auto"/>
              <w:left w:val="single" w:sz="6" w:space="0" w:color="auto"/>
              <w:bottom w:val="single" w:sz="4" w:space="0" w:color="auto"/>
              <w:right w:val="nil"/>
            </w:tcBorders>
            <w:vAlign w:val="center"/>
          </w:tcPr>
          <w:p w14:paraId="0DEDBC02" w14:textId="6C9FCB6F" w:rsidR="00C61D31" w:rsidRPr="004D2B3B" w:rsidRDefault="00717BAE">
            <w:pPr>
              <w:jc w:val="center"/>
              <w:rPr>
                <w:sz w:val="24"/>
                <w:szCs w:val="24"/>
                <w:highlight w:val="yellow"/>
              </w:rPr>
            </w:pPr>
            <w:r w:rsidRPr="004D2B3B">
              <w:rPr>
                <w:sz w:val="24"/>
                <w:szCs w:val="24"/>
                <w:highlight w:val="yellow"/>
              </w:rPr>
              <w:t>2</w:t>
            </w:r>
            <w:r w:rsidR="006424A6" w:rsidRPr="004D2B3B">
              <w:rPr>
                <w:sz w:val="24"/>
                <w:szCs w:val="24"/>
                <w:highlight w:val="yellow"/>
              </w:rPr>
              <w:t>5,6</w:t>
            </w:r>
            <w:r w:rsidRPr="004D2B3B">
              <w:rPr>
                <w:sz w:val="24"/>
                <w:szCs w:val="24"/>
                <w:highlight w:val="yellow"/>
              </w:rPr>
              <w:t>30</w:t>
            </w:r>
          </w:p>
        </w:tc>
        <w:tc>
          <w:tcPr>
            <w:tcW w:w="667" w:type="pct"/>
            <w:tcBorders>
              <w:top w:val="single" w:sz="6" w:space="0" w:color="auto"/>
              <w:left w:val="single" w:sz="6" w:space="0" w:color="auto"/>
              <w:bottom w:val="single" w:sz="4" w:space="0" w:color="auto"/>
              <w:right w:val="nil"/>
            </w:tcBorders>
            <w:vAlign w:val="center"/>
          </w:tcPr>
          <w:p w14:paraId="74525EC9" w14:textId="19BB08A3" w:rsidR="00C61D31" w:rsidRPr="004D2B3B" w:rsidRDefault="00E2681F">
            <w:pPr>
              <w:jc w:val="center"/>
              <w:rPr>
                <w:sz w:val="24"/>
                <w:szCs w:val="24"/>
                <w:highlight w:val="yellow"/>
              </w:rPr>
            </w:pPr>
            <w:r w:rsidRPr="004D2B3B">
              <w:rPr>
                <w:sz w:val="24"/>
                <w:szCs w:val="24"/>
                <w:highlight w:val="yellow"/>
              </w:rPr>
              <w:t>49,170</w:t>
            </w:r>
          </w:p>
        </w:tc>
        <w:tc>
          <w:tcPr>
            <w:tcW w:w="808" w:type="pct"/>
            <w:tcBorders>
              <w:top w:val="single" w:sz="6" w:space="0" w:color="auto"/>
              <w:left w:val="single" w:sz="6" w:space="0" w:color="auto"/>
              <w:bottom w:val="single" w:sz="4" w:space="0" w:color="auto"/>
              <w:right w:val="nil"/>
            </w:tcBorders>
            <w:shd w:val="pct25" w:color="auto" w:fill="auto"/>
            <w:vAlign w:val="center"/>
          </w:tcPr>
          <w:p w14:paraId="170B2F7F" w14:textId="77777777" w:rsidR="00C61D31" w:rsidRPr="004D2B3B" w:rsidRDefault="00C61D31">
            <w:pPr>
              <w:jc w:val="center"/>
              <w:rPr>
                <w:sz w:val="24"/>
                <w:szCs w:val="24"/>
                <w:highlight w:val="yellow"/>
              </w:rPr>
            </w:pPr>
          </w:p>
        </w:tc>
        <w:tc>
          <w:tcPr>
            <w:tcW w:w="721" w:type="pct"/>
            <w:tcBorders>
              <w:top w:val="single" w:sz="6" w:space="0" w:color="auto"/>
              <w:left w:val="single" w:sz="6" w:space="0" w:color="auto"/>
              <w:bottom w:val="single" w:sz="4" w:space="0" w:color="auto"/>
              <w:right w:val="single" w:sz="4" w:space="0" w:color="auto"/>
            </w:tcBorders>
            <w:vAlign w:val="center"/>
          </w:tcPr>
          <w:p w14:paraId="2329D2F6" w14:textId="0CF0C635" w:rsidR="00C61D31" w:rsidRPr="004D2B3B" w:rsidRDefault="003B35F8">
            <w:pPr>
              <w:jc w:val="center"/>
              <w:rPr>
                <w:sz w:val="24"/>
                <w:szCs w:val="24"/>
                <w:highlight w:val="yellow"/>
              </w:rPr>
            </w:pPr>
            <w:r w:rsidRPr="004D2B3B">
              <w:rPr>
                <w:sz w:val="24"/>
                <w:szCs w:val="24"/>
                <w:highlight w:val="yellow"/>
              </w:rPr>
              <w:t>12,920</w:t>
            </w:r>
          </w:p>
        </w:tc>
      </w:tr>
      <w:bookmarkEnd w:id="6"/>
    </w:tbl>
    <w:p w14:paraId="0348ACCE" w14:textId="77777777" w:rsidR="00C61D31" w:rsidRDefault="00C61D31" w:rsidP="00C61D31"/>
    <w:p w14:paraId="161A186E" w14:textId="77777777" w:rsidR="00C61D31" w:rsidRDefault="00C61D31" w:rsidP="00C61D31"/>
    <w:p w14:paraId="443683E6" w14:textId="77777777" w:rsidR="00E5391D" w:rsidRPr="00E5391D" w:rsidRDefault="00E5391D" w:rsidP="00460035">
      <w:pPr>
        <w:spacing w:line="480" w:lineRule="auto"/>
        <w:rPr>
          <w:b/>
          <w:sz w:val="24"/>
          <w:szCs w:val="24"/>
        </w:rPr>
      </w:pPr>
      <w:r>
        <w:rPr>
          <w:b/>
          <w:sz w:val="24"/>
          <w:szCs w:val="24"/>
        </w:rPr>
        <w:t>A.12.</w:t>
      </w:r>
      <w:r w:rsidRPr="00E5391D">
        <w:rPr>
          <w:b/>
          <w:sz w:val="24"/>
          <w:szCs w:val="24"/>
        </w:rPr>
        <w:t>2</w:t>
      </w:r>
      <w:r w:rsidRPr="00E5391D">
        <w:rPr>
          <w:b/>
          <w:sz w:val="24"/>
          <w:szCs w:val="24"/>
        </w:rPr>
        <w:tab/>
        <w:t>ANNUAL COST TO RESPONDENT</w:t>
      </w:r>
    </w:p>
    <w:p w14:paraId="7A6EF0B5" w14:textId="1194DDC1" w:rsidR="00017D76" w:rsidRDefault="00017D76" w:rsidP="00460035">
      <w:pPr>
        <w:spacing w:line="480" w:lineRule="auto"/>
        <w:rPr>
          <w:sz w:val="24"/>
          <w:szCs w:val="24"/>
        </w:rPr>
      </w:pPr>
      <w:r>
        <w:rPr>
          <w:sz w:val="24"/>
          <w:szCs w:val="24"/>
        </w:rPr>
        <w:tab/>
        <w:t>The estimated annualized cost to respondents is based on the Bureau of Labor Statistics for June 201</w:t>
      </w:r>
      <w:r w:rsidR="00217B21">
        <w:rPr>
          <w:sz w:val="24"/>
          <w:szCs w:val="24"/>
        </w:rPr>
        <w:t>6</w:t>
      </w:r>
      <w:hyperlink r:id="rId12" w:anchor="00-0000" w:history="1">
        <w:r w:rsidR="00217B21">
          <w:rPr>
            <w:rStyle w:val="Hyperlink"/>
            <w:sz w:val="24"/>
            <w:szCs w:val="24"/>
            <w:vertAlign w:val="superscript"/>
          </w:rPr>
          <w:t>6</w:t>
        </w:r>
      </w:hyperlink>
      <w:r>
        <w:rPr>
          <w:sz w:val="24"/>
          <w:szCs w:val="24"/>
        </w:rPr>
        <w:t>.</w:t>
      </w:r>
      <w:r w:rsidR="00D913E1">
        <w:rPr>
          <w:sz w:val="24"/>
          <w:szCs w:val="24"/>
        </w:rPr>
        <w:t xml:space="preserve"> </w:t>
      </w:r>
      <w:r>
        <w:rPr>
          <w:sz w:val="24"/>
          <w:szCs w:val="24"/>
        </w:rPr>
        <w:t xml:space="preserve"> The mean hourly wage </w:t>
      </w:r>
      <w:r w:rsidR="00C024E3">
        <w:rPr>
          <w:sz w:val="24"/>
          <w:szCs w:val="24"/>
        </w:rPr>
        <w:t xml:space="preserve">for all occupations </w:t>
      </w:r>
      <w:r w:rsidR="00C024E3" w:rsidRPr="00217B21">
        <w:rPr>
          <w:sz w:val="24"/>
          <w:szCs w:val="24"/>
        </w:rPr>
        <w:t>is $</w:t>
      </w:r>
      <w:r w:rsidR="00217B21" w:rsidRPr="00217B21">
        <w:rPr>
          <w:sz w:val="24"/>
          <w:szCs w:val="24"/>
        </w:rPr>
        <w:t>23.86</w:t>
      </w:r>
      <w:r w:rsidR="00D913E1" w:rsidRPr="00217B21">
        <w:rPr>
          <w:sz w:val="24"/>
          <w:szCs w:val="24"/>
        </w:rPr>
        <w:t>.</w:t>
      </w:r>
      <w:r w:rsidR="00D913E1">
        <w:rPr>
          <w:sz w:val="24"/>
          <w:szCs w:val="24"/>
        </w:rPr>
        <w:t xml:space="preserve">  </w:t>
      </w:r>
      <w:r>
        <w:rPr>
          <w:sz w:val="24"/>
          <w:szCs w:val="24"/>
        </w:rPr>
        <w:t>Table 2 below provides an estimate for costs to respondents annually</w:t>
      </w:r>
      <w:r w:rsidR="00934399">
        <w:rPr>
          <w:sz w:val="24"/>
          <w:szCs w:val="24"/>
        </w:rPr>
        <w:t xml:space="preserve"> </w:t>
      </w:r>
      <w:r w:rsidR="00934399" w:rsidRPr="00EF7BB1">
        <w:rPr>
          <w:sz w:val="24"/>
          <w:szCs w:val="24"/>
        </w:rPr>
        <w:t>(</w:t>
      </w:r>
      <w:r w:rsidR="00EF7BB1" w:rsidRPr="00EF7BB1">
        <w:rPr>
          <w:sz w:val="24"/>
          <w:szCs w:val="24"/>
        </w:rPr>
        <w:t>$352,699.6</w:t>
      </w:r>
      <w:r w:rsidR="00D913E1" w:rsidRPr="00EF7BB1">
        <w:rPr>
          <w:sz w:val="24"/>
          <w:szCs w:val="24"/>
        </w:rPr>
        <w:t>)</w:t>
      </w:r>
      <w:r w:rsidRPr="00EF7BB1">
        <w:rPr>
          <w:sz w:val="24"/>
          <w:szCs w:val="24"/>
        </w:rPr>
        <w:t>.</w:t>
      </w:r>
    </w:p>
    <w:p w14:paraId="47A73544" w14:textId="5E235F5B" w:rsidR="00C61D31" w:rsidRPr="00EF7BB1" w:rsidRDefault="00C61D31" w:rsidP="00C9791B">
      <w:pPr>
        <w:widowControl/>
        <w:jc w:val="center"/>
        <w:rPr>
          <w:sz w:val="24"/>
          <w:szCs w:val="24"/>
        </w:rPr>
      </w:pPr>
      <w:r w:rsidRPr="00EF7BB1">
        <w:rPr>
          <w:sz w:val="24"/>
          <w:szCs w:val="24"/>
        </w:rPr>
        <w:t>Table 12-2 Annualized Cost to Respondents</w:t>
      </w:r>
    </w:p>
    <w:p w14:paraId="5C15D125" w14:textId="77777777" w:rsidR="00217B21" w:rsidRDefault="00217B21" w:rsidP="00C61D31">
      <w:pPr>
        <w:ind w:left="1440" w:firstLine="720"/>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2"/>
        <w:gridCol w:w="2032"/>
        <w:gridCol w:w="2307"/>
        <w:gridCol w:w="2429"/>
      </w:tblGrid>
      <w:tr w:rsidR="00C61D31" w:rsidRPr="00EF7BB1" w14:paraId="5F5D3DAD" w14:textId="77777777" w:rsidTr="00F13B9A">
        <w:trPr>
          <w:trHeight w:val="708"/>
        </w:trPr>
        <w:tc>
          <w:tcPr>
            <w:tcW w:w="2142" w:type="dxa"/>
            <w:tcBorders>
              <w:top w:val="single" w:sz="4" w:space="0" w:color="auto"/>
              <w:left w:val="single" w:sz="4" w:space="0" w:color="auto"/>
              <w:bottom w:val="single" w:sz="4" w:space="0" w:color="auto"/>
              <w:right w:val="single" w:sz="4" w:space="0" w:color="auto"/>
            </w:tcBorders>
            <w:hideMark/>
          </w:tcPr>
          <w:p w14:paraId="74B34EB0" w14:textId="77777777" w:rsidR="00C61D31" w:rsidRPr="00EF7BB1"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rPr>
            </w:pPr>
            <w:r w:rsidRPr="00EF7BB1">
              <w:rPr>
                <w:sz w:val="24"/>
                <w:szCs w:val="24"/>
              </w:rPr>
              <w:t>Type of Respondents</w:t>
            </w:r>
          </w:p>
        </w:tc>
        <w:tc>
          <w:tcPr>
            <w:tcW w:w="2032" w:type="dxa"/>
            <w:tcBorders>
              <w:top w:val="single" w:sz="4" w:space="0" w:color="auto"/>
              <w:left w:val="single" w:sz="4" w:space="0" w:color="auto"/>
              <w:bottom w:val="single" w:sz="4" w:space="0" w:color="auto"/>
              <w:right w:val="single" w:sz="4" w:space="0" w:color="auto"/>
            </w:tcBorders>
            <w:hideMark/>
          </w:tcPr>
          <w:p w14:paraId="1DDE9FBD" w14:textId="77777777" w:rsidR="00C61D31" w:rsidRPr="00EF7BB1"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rPr>
            </w:pPr>
            <w:r w:rsidRPr="00EF7BB1">
              <w:rPr>
                <w:sz w:val="24"/>
                <w:szCs w:val="24"/>
              </w:rPr>
              <w:t>Total Annual Burden Hours</w:t>
            </w:r>
          </w:p>
        </w:tc>
        <w:tc>
          <w:tcPr>
            <w:tcW w:w="2307" w:type="dxa"/>
            <w:tcBorders>
              <w:top w:val="single" w:sz="4" w:space="0" w:color="auto"/>
              <w:left w:val="single" w:sz="4" w:space="0" w:color="auto"/>
              <w:bottom w:val="single" w:sz="4" w:space="0" w:color="auto"/>
              <w:right w:val="single" w:sz="4" w:space="0" w:color="auto"/>
            </w:tcBorders>
            <w:hideMark/>
          </w:tcPr>
          <w:p w14:paraId="00A2DB6C" w14:textId="1286B1F1" w:rsidR="00C61D31" w:rsidRPr="00EF7BB1"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rPr>
            </w:pPr>
            <w:r w:rsidRPr="00EF7BB1">
              <w:rPr>
                <w:sz w:val="24"/>
                <w:szCs w:val="24"/>
              </w:rPr>
              <w:t>Hourly Respondent Wage Rate</w:t>
            </w:r>
          </w:p>
        </w:tc>
        <w:tc>
          <w:tcPr>
            <w:tcW w:w="2429" w:type="dxa"/>
            <w:tcBorders>
              <w:top w:val="single" w:sz="4" w:space="0" w:color="auto"/>
              <w:left w:val="single" w:sz="4" w:space="0" w:color="auto"/>
              <w:bottom w:val="single" w:sz="4" w:space="0" w:color="auto"/>
              <w:right w:val="single" w:sz="4" w:space="0" w:color="auto"/>
            </w:tcBorders>
            <w:hideMark/>
          </w:tcPr>
          <w:p w14:paraId="02C875D6" w14:textId="77777777" w:rsidR="00C61D31" w:rsidRPr="00EF7BB1"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rPr>
            </w:pPr>
            <w:r w:rsidRPr="00EF7BB1">
              <w:rPr>
                <w:sz w:val="24"/>
                <w:szCs w:val="24"/>
              </w:rPr>
              <w:t>Respondent Cost</w:t>
            </w:r>
          </w:p>
        </w:tc>
      </w:tr>
      <w:tr w:rsidR="00C61D31" w:rsidRPr="00EF7BB1" w14:paraId="78DC7F89" w14:textId="77777777" w:rsidTr="00F13B9A">
        <w:trPr>
          <w:trHeight w:val="791"/>
        </w:trPr>
        <w:tc>
          <w:tcPr>
            <w:tcW w:w="2142" w:type="dxa"/>
            <w:tcBorders>
              <w:top w:val="single" w:sz="4" w:space="0" w:color="auto"/>
              <w:left w:val="single" w:sz="4" w:space="0" w:color="auto"/>
              <w:bottom w:val="single" w:sz="4" w:space="0" w:color="auto"/>
              <w:right w:val="single" w:sz="4" w:space="0" w:color="auto"/>
            </w:tcBorders>
          </w:tcPr>
          <w:p w14:paraId="1713FE43" w14:textId="77777777" w:rsidR="00C61D31" w:rsidRPr="00EF7BB1"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rPr>
            </w:pPr>
          </w:p>
          <w:p w14:paraId="750E047D" w14:textId="77777777" w:rsidR="00C61D31" w:rsidRPr="00EF7BB1"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rPr>
            </w:pPr>
            <w:r w:rsidRPr="00EF7BB1">
              <w:rPr>
                <w:sz w:val="24"/>
                <w:szCs w:val="24"/>
              </w:rPr>
              <w:t>General Public</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5CF196F" w14:textId="7C2BA392" w:rsidR="00C61D31" w:rsidRPr="004D2B3B" w:rsidRDefault="00EF7B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highlight w:val="yellow"/>
              </w:rPr>
            </w:pPr>
            <w:r w:rsidRPr="004D2B3B">
              <w:rPr>
                <w:sz w:val="24"/>
                <w:szCs w:val="24"/>
                <w:highlight w:val="yellow"/>
              </w:rPr>
              <w:t>1,840</w:t>
            </w:r>
          </w:p>
        </w:tc>
        <w:tc>
          <w:tcPr>
            <w:tcW w:w="2307" w:type="dxa"/>
            <w:tcBorders>
              <w:top w:val="single" w:sz="4" w:space="0" w:color="auto"/>
              <w:left w:val="single" w:sz="4" w:space="0" w:color="auto"/>
              <w:bottom w:val="single" w:sz="4" w:space="0" w:color="auto"/>
              <w:right w:val="single" w:sz="4" w:space="0" w:color="auto"/>
            </w:tcBorders>
            <w:vAlign w:val="center"/>
            <w:hideMark/>
          </w:tcPr>
          <w:p w14:paraId="650F920F" w14:textId="77777777" w:rsidR="00C61D31" w:rsidRPr="004D2B3B"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highlight w:val="yellow"/>
              </w:rPr>
            </w:pPr>
            <w:r w:rsidRPr="004D2B3B">
              <w:rPr>
                <w:sz w:val="24"/>
                <w:szCs w:val="24"/>
                <w:highlight w:val="yellow"/>
              </w:rPr>
              <w:t>$23.86</w:t>
            </w:r>
          </w:p>
        </w:tc>
        <w:tc>
          <w:tcPr>
            <w:tcW w:w="2429" w:type="dxa"/>
            <w:tcBorders>
              <w:top w:val="single" w:sz="4" w:space="0" w:color="auto"/>
              <w:left w:val="single" w:sz="4" w:space="0" w:color="auto"/>
              <w:bottom w:val="single" w:sz="4" w:space="0" w:color="auto"/>
              <w:right w:val="single" w:sz="4" w:space="0" w:color="auto"/>
            </w:tcBorders>
            <w:vAlign w:val="center"/>
            <w:hideMark/>
          </w:tcPr>
          <w:p w14:paraId="21634861" w14:textId="0BFDC4B4" w:rsidR="00C61D31" w:rsidRPr="004D2B3B"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highlight w:val="yellow"/>
              </w:rPr>
            </w:pPr>
            <w:r w:rsidRPr="004D2B3B">
              <w:rPr>
                <w:sz w:val="24"/>
                <w:szCs w:val="24"/>
                <w:highlight w:val="yellow"/>
              </w:rPr>
              <w:t>$</w:t>
            </w:r>
            <w:r w:rsidR="00EF7BB1" w:rsidRPr="004D2B3B">
              <w:rPr>
                <w:sz w:val="24"/>
                <w:szCs w:val="24"/>
                <w:highlight w:val="yellow"/>
              </w:rPr>
              <w:t>43,902.4</w:t>
            </w:r>
          </w:p>
        </w:tc>
      </w:tr>
      <w:tr w:rsidR="00C61D31" w:rsidRPr="00EF7BB1" w14:paraId="6984BBE3" w14:textId="77777777" w:rsidTr="00F13B9A">
        <w:trPr>
          <w:trHeight w:val="791"/>
        </w:trPr>
        <w:tc>
          <w:tcPr>
            <w:tcW w:w="2142" w:type="dxa"/>
            <w:tcBorders>
              <w:top w:val="single" w:sz="4" w:space="0" w:color="auto"/>
              <w:left w:val="single" w:sz="4" w:space="0" w:color="auto"/>
              <w:bottom w:val="single" w:sz="4" w:space="0" w:color="auto"/>
              <w:right w:val="single" w:sz="4" w:space="0" w:color="auto"/>
            </w:tcBorders>
          </w:tcPr>
          <w:p w14:paraId="3E15A3DB" w14:textId="77777777" w:rsidR="00C61D31" w:rsidRPr="00EF7BB1"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5F3BD06A" w14:textId="77777777" w:rsidR="00C61D31" w:rsidRPr="00EF7BB1"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EF7BB1">
              <w:rPr>
                <w:sz w:val="24"/>
                <w:szCs w:val="24"/>
              </w:rPr>
              <w:t xml:space="preserve">Health Professionals </w:t>
            </w:r>
          </w:p>
          <w:p w14:paraId="14B753C5" w14:textId="77777777" w:rsidR="00C61D31" w:rsidRPr="00EF7BB1"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rPr>
            </w:pPr>
          </w:p>
        </w:tc>
        <w:tc>
          <w:tcPr>
            <w:tcW w:w="2032" w:type="dxa"/>
            <w:tcBorders>
              <w:top w:val="single" w:sz="4" w:space="0" w:color="auto"/>
              <w:left w:val="single" w:sz="4" w:space="0" w:color="auto"/>
              <w:bottom w:val="single" w:sz="4" w:space="0" w:color="auto"/>
              <w:right w:val="single" w:sz="4" w:space="0" w:color="auto"/>
            </w:tcBorders>
            <w:vAlign w:val="center"/>
            <w:hideMark/>
          </w:tcPr>
          <w:p w14:paraId="58155733" w14:textId="0F370EF9" w:rsidR="00C61D31" w:rsidRPr="004D2B3B" w:rsidRDefault="00EF7B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highlight w:val="yellow"/>
              </w:rPr>
            </w:pPr>
            <w:r w:rsidRPr="004D2B3B">
              <w:rPr>
                <w:sz w:val="24"/>
                <w:szCs w:val="24"/>
                <w:highlight w:val="yellow"/>
              </w:rPr>
              <w:t>11,000</w:t>
            </w:r>
          </w:p>
        </w:tc>
        <w:tc>
          <w:tcPr>
            <w:tcW w:w="2307" w:type="dxa"/>
            <w:tcBorders>
              <w:top w:val="single" w:sz="4" w:space="0" w:color="auto"/>
              <w:left w:val="single" w:sz="4" w:space="0" w:color="auto"/>
              <w:bottom w:val="single" w:sz="4" w:space="0" w:color="auto"/>
              <w:right w:val="single" w:sz="4" w:space="0" w:color="auto"/>
            </w:tcBorders>
            <w:vAlign w:val="center"/>
            <w:hideMark/>
          </w:tcPr>
          <w:p w14:paraId="45BF26EE" w14:textId="4A5F2683" w:rsidR="00C61D31" w:rsidRPr="004D2B3B"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highlight w:val="yellow"/>
              </w:rPr>
            </w:pPr>
            <w:r w:rsidRPr="004D2B3B">
              <w:rPr>
                <w:sz w:val="24"/>
                <w:szCs w:val="24"/>
                <w:highlight w:val="yellow"/>
              </w:rPr>
              <w:t>$</w:t>
            </w:r>
            <w:r w:rsidR="00EF7BB1" w:rsidRPr="004D2B3B">
              <w:rPr>
                <w:sz w:val="24"/>
                <w:szCs w:val="24"/>
                <w:highlight w:val="yellow"/>
              </w:rPr>
              <w:t>27.87</w:t>
            </w:r>
          </w:p>
        </w:tc>
        <w:tc>
          <w:tcPr>
            <w:tcW w:w="2429" w:type="dxa"/>
            <w:tcBorders>
              <w:top w:val="single" w:sz="4" w:space="0" w:color="auto"/>
              <w:left w:val="single" w:sz="4" w:space="0" w:color="auto"/>
              <w:bottom w:val="single" w:sz="4" w:space="0" w:color="auto"/>
              <w:right w:val="single" w:sz="4" w:space="0" w:color="auto"/>
            </w:tcBorders>
            <w:vAlign w:val="center"/>
            <w:hideMark/>
          </w:tcPr>
          <w:p w14:paraId="51454569" w14:textId="474DE533" w:rsidR="00C61D31" w:rsidRPr="004D2B3B"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highlight w:val="yellow"/>
              </w:rPr>
            </w:pPr>
            <w:r w:rsidRPr="004D2B3B">
              <w:rPr>
                <w:sz w:val="24"/>
                <w:szCs w:val="24"/>
                <w:highlight w:val="yellow"/>
              </w:rPr>
              <w:t>$</w:t>
            </w:r>
            <w:r w:rsidR="00EF7BB1" w:rsidRPr="004D2B3B">
              <w:rPr>
                <w:sz w:val="24"/>
                <w:szCs w:val="24"/>
                <w:highlight w:val="yellow"/>
              </w:rPr>
              <w:t>306,570</w:t>
            </w:r>
          </w:p>
        </w:tc>
      </w:tr>
      <w:tr w:rsidR="00C61D31" w:rsidRPr="00EF7BB1" w14:paraId="196F19A0" w14:textId="77777777" w:rsidTr="00F13B9A">
        <w:trPr>
          <w:trHeight w:val="236"/>
        </w:trPr>
        <w:tc>
          <w:tcPr>
            <w:tcW w:w="2142" w:type="dxa"/>
            <w:tcBorders>
              <w:top w:val="single" w:sz="4" w:space="0" w:color="auto"/>
              <w:left w:val="single" w:sz="4" w:space="0" w:color="auto"/>
              <w:bottom w:val="single" w:sz="4" w:space="0" w:color="auto"/>
              <w:right w:val="single" w:sz="4" w:space="0" w:color="auto"/>
            </w:tcBorders>
          </w:tcPr>
          <w:p w14:paraId="2428DF24" w14:textId="77777777" w:rsidR="00C61D31" w:rsidRPr="00EF7BB1"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rPr>
            </w:pPr>
          </w:p>
          <w:p w14:paraId="4F051C3A" w14:textId="77777777" w:rsidR="00C61D31" w:rsidRPr="00EF7BB1"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rPr>
            </w:pPr>
            <w:r w:rsidRPr="00EF7BB1">
              <w:rPr>
                <w:sz w:val="24"/>
                <w:szCs w:val="24"/>
              </w:rPr>
              <w:t>Health Educators</w:t>
            </w:r>
          </w:p>
          <w:p w14:paraId="1218C719" w14:textId="77777777" w:rsidR="00C61D31" w:rsidRPr="00EF7BB1"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rPr>
            </w:pPr>
          </w:p>
        </w:tc>
        <w:tc>
          <w:tcPr>
            <w:tcW w:w="2032" w:type="dxa"/>
            <w:tcBorders>
              <w:top w:val="single" w:sz="4" w:space="0" w:color="auto"/>
              <w:left w:val="single" w:sz="4" w:space="0" w:color="auto"/>
              <w:bottom w:val="single" w:sz="4" w:space="0" w:color="auto"/>
              <w:right w:val="single" w:sz="4" w:space="0" w:color="auto"/>
            </w:tcBorders>
            <w:vAlign w:val="center"/>
            <w:hideMark/>
          </w:tcPr>
          <w:p w14:paraId="5B9ABE61" w14:textId="77777777" w:rsidR="00C61D31" w:rsidRPr="004D2B3B"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highlight w:val="yellow"/>
              </w:rPr>
            </w:pPr>
            <w:r w:rsidRPr="004D2B3B">
              <w:rPr>
                <w:sz w:val="24"/>
                <w:szCs w:val="24"/>
                <w:highlight w:val="yellow"/>
              </w:rPr>
              <w:t>80</w:t>
            </w:r>
          </w:p>
        </w:tc>
        <w:tc>
          <w:tcPr>
            <w:tcW w:w="2307" w:type="dxa"/>
            <w:tcBorders>
              <w:top w:val="single" w:sz="4" w:space="0" w:color="auto"/>
              <w:left w:val="single" w:sz="4" w:space="0" w:color="auto"/>
              <w:bottom w:val="single" w:sz="4" w:space="0" w:color="auto"/>
              <w:right w:val="single" w:sz="4" w:space="0" w:color="auto"/>
            </w:tcBorders>
            <w:vAlign w:val="center"/>
            <w:hideMark/>
          </w:tcPr>
          <w:p w14:paraId="5A868732" w14:textId="77777777" w:rsidR="00C61D31" w:rsidRPr="004D2B3B"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highlight w:val="yellow"/>
              </w:rPr>
            </w:pPr>
            <w:r w:rsidRPr="004D2B3B">
              <w:rPr>
                <w:sz w:val="24"/>
                <w:szCs w:val="24"/>
                <w:highlight w:val="yellow"/>
              </w:rPr>
              <w:t>$27.84</w:t>
            </w:r>
          </w:p>
        </w:tc>
        <w:tc>
          <w:tcPr>
            <w:tcW w:w="2429" w:type="dxa"/>
            <w:tcBorders>
              <w:top w:val="single" w:sz="4" w:space="0" w:color="auto"/>
              <w:left w:val="single" w:sz="4" w:space="0" w:color="auto"/>
              <w:bottom w:val="single" w:sz="4" w:space="0" w:color="auto"/>
              <w:right w:val="single" w:sz="4" w:space="0" w:color="auto"/>
            </w:tcBorders>
            <w:vAlign w:val="center"/>
            <w:hideMark/>
          </w:tcPr>
          <w:p w14:paraId="75FD81F2" w14:textId="49042101" w:rsidR="00C61D31" w:rsidRPr="004D2B3B" w:rsidRDefault="00EF7B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highlight w:val="yellow"/>
              </w:rPr>
            </w:pPr>
            <w:r w:rsidRPr="004D2B3B">
              <w:rPr>
                <w:sz w:val="24"/>
                <w:szCs w:val="24"/>
                <w:highlight w:val="yellow"/>
              </w:rPr>
              <w:t>$2,227.</w:t>
            </w:r>
            <w:r w:rsidR="00C61D31" w:rsidRPr="004D2B3B">
              <w:rPr>
                <w:sz w:val="24"/>
                <w:szCs w:val="24"/>
                <w:highlight w:val="yellow"/>
              </w:rPr>
              <w:t>20</w:t>
            </w:r>
          </w:p>
        </w:tc>
      </w:tr>
      <w:tr w:rsidR="00C61D31" w:rsidRPr="00EF7BB1" w14:paraId="64A25A80" w14:textId="77777777" w:rsidTr="00F13B9A">
        <w:trPr>
          <w:trHeight w:val="236"/>
        </w:trPr>
        <w:tc>
          <w:tcPr>
            <w:tcW w:w="2142" w:type="dxa"/>
            <w:tcBorders>
              <w:top w:val="single" w:sz="4" w:space="0" w:color="auto"/>
              <w:left w:val="single" w:sz="4" w:space="0" w:color="auto"/>
              <w:bottom w:val="single" w:sz="4" w:space="0" w:color="auto"/>
              <w:right w:val="single" w:sz="4" w:space="0" w:color="auto"/>
            </w:tcBorders>
            <w:hideMark/>
          </w:tcPr>
          <w:p w14:paraId="5636DA94" w14:textId="77777777" w:rsidR="00C61D31" w:rsidRPr="00EF7BB1"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rPr>
            </w:pPr>
            <w:r w:rsidRPr="00EF7BB1">
              <w:rPr>
                <w:b/>
                <w:sz w:val="24"/>
                <w:szCs w:val="24"/>
              </w:rPr>
              <w:t>TOTAL</w:t>
            </w:r>
          </w:p>
        </w:tc>
        <w:tc>
          <w:tcPr>
            <w:tcW w:w="2032" w:type="dxa"/>
            <w:tcBorders>
              <w:top w:val="single" w:sz="4" w:space="0" w:color="auto"/>
              <w:left w:val="single" w:sz="4" w:space="0" w:color="auto"/>
              <w:bottom w:val="single" w:sz="4" w:space="0" w:color="auto"/>
              <w:right w:val="single" w:sz="4" w:space="0" w:color="auto"/>
            </w:tcBorders>
            <w:vAlign w:val="center"/>
          </w:tcPr>
          <w:p w14:paraId="116C363C" w14:textId="5343ED14" w:rsidR="00C61D31" w:rsidRPr="004D2B3B" w:rsidRDefault="00EF7B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highlight w:val="yellow"/>
              </w:rPr>
            </w:pPr>
            <w:r w:rsidRPr="004D2B3B">
              <w:rPr>
                <w:sz w:val="24"/>
                <w:szCs w:val="24"/>
                <w:highlight w:val="yellow"/>
              </w:rPr>
              <w:t>12,920</w:t>
            </w:r>
          </w:p>
        </w:tc>
        <w:tc>
          <w:tcPr>
            <w:tcW w:w="2307" w:type="dxa"/>
            <w:tcBorders>
              <w:top w:val="single" w:sz="4" w:space="0" w:color="auto"/>
              <w:left w:val="single" w:sz="4" w:space="0" w:color="auto"/>
              <w:bottom w:val="single" w:sz="4" w:space="0" w:color="auto"/>
              <w:right w:val="single" w:sz="4" w:space="0" w:color="auto"/>
            </w:tcBorders>
            <w:shd w:val="pct25" w:color="auto" w:fill="auto"/>
            <w:vAlign w:val="center"/>
          </w:tcPr>
          <w:p w14:paraId="7F6966CC" w14:textId="77777777" w:rsidR="00C61D31" w:rsidRPr="004D2B3B"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color w:val="FF0000"/>
                <w:sz w:val="24"/>
                <w:szCs w:val="24"/>
                <w:highlight w:val="yellow"/>
              </w:rPr>
            </w:pPr>
          </w:p>
        </w:tc>
        <w:tc>
          <w:tcPr>
            <w:tcW w:w="2429" w:type="dxa"/>
            <w:tcBorders>
              <w:top w:val="single" w:sz="4" w:space="0" w:color="auto"/>
              <w:left w:val="single" w:sz="4" w:space="0" w:color="auto"/>
              <w:bottom w:val="single" w:sz="4" w:space="0" w:color="auto"/>
              <w:right w:val="single" w:sz="4" w:space="0" w:color="auto"/>
            </w:tcBorders>
            <w:vAlign w:val="center"/>
            <w:hideMark/>
          </w:tcPr>
          <w:p w14:paraId="0999997F" w14:textId="308F48FC" w:rsidR="00C61D31" w:rsidRPr="004D2B3B" w:rsidRDefault="00C61D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highlight w:val="yellow"/>
              </w:rPr>
            </w:pPr>
            <w:r w:rsidRPr="004D2B3B">
              <w:rPr>
                <w:sz w:val="24"/>
                <w:szCs w:val="24"/>
                <w:highlight w:val="yellow"/>
              </w:rPr>
              <w:t>$</w:t>
            </w:r>
            <w:r w:rsidR="00EF7BB1" w:rsidRPr="004D2B3B">
              <w:rPr>
                <w:sz w:val="24"/>
                <w:szCs w:val="24"/>
                <w:highlight w:val="yellow"/>
              </w:rPr>
              <w:t>352,699.6</w:t>
            </w:r>
          </w:p>
        </w:tc>
      </w:tr>
    </w:tbl>
    <w:p w14:paraId="1F4A3578" w14:textId="77777777" w:rsidR="00F13B9A" w:rsidRDefault="00F13B9A" w:rsidP="00F13B9A">
      <w:pPr>
        <w:pStyle w:val="CM27"/>
        <w:spacing w:after="0"/>
        <w:rPr>
          <w:rFonts w:ascii="Times New Roman" w:hAnsi="Times New Roman"/>
          <w:bCs/>
          <w:color w:val="000000"/>
          <w:sz w:val="20"/>
          <w:szCs w:val="20"/>
        </w:rPr>
      </w:pPr>
      <w:r w:rsidRPr="00217B21">
        <w:rPr>
          <w:rFonts w:ascii="Times New Roman" w:hAnsi="Times New Roman"/>
          <w:bCs/>
          <w:color w:val="000000"/>
          <w:sz w:val="20"/>
          <w:szCs w:val="20"/>
          <w:vertAlign w:val="superscript"/>
        </w:rPr>
        <w:t>6</w:t>
      </w:r>
      <w:r w:rsidRPr="00217B21">
        <w:rPr>
          <w:rFonts w:ascii="Times New Roman" w:hAnsi="Times New Roman"/>
          <w:bCs/>
          <w:color w:val="000000"/>
          <w:sz w:val="20"/>
          <w:szCs w:val="20"/>
        </w:rPr>
        <w:t xml:space="preserve"> National Bureau of Labor Statistics. </w:t>
      </w:r>
      <w:hyperlink r:id="rId13" w:anchor="00-0000" w:history="1">
        <w:r w:rsidRPr="00217B21">
          <w:rPr>
            <w:rStyle w:val="Hyperlink"/>
            <w:rFonts w:ascii="Times New Roman" w:hAnsi="Times New Roman"/>
            <w:sz w:val="20"/>
            <w:szCs w:val="20"/>
          </w:rPr>
          <w:t>https://www.bls.gov/oes/current/oes_nat.htm#00-0000</w:t>
        </w:r>
      </w:hyperlink>
      <w:r w:rsidRPr="00217B21">
        <w:rPr>
          <w:rFonts w:ascii="Times New Roman" w:hAnsi="Times New Roman"/>
          <w:bCs/>
          <w:color w:val="000000"/>
          <w:sz w:val="20"/>
          <w:szCs w:val="20"/>
        </w:rPr>
        <w:t xml:space="preserve"> accessed on July 27, 2017. </w:t>
      </w:r>
    </w:p>
    <w:p w14:paraId="5183B3D7" w14:textId="77777777" w:rsidR="00410EAE" w:rsidRDefault="00410EAE" w:rsidP="008E12FB">
      <w:pPr>
        <w:spacing w:line="480" w:lineRule="auto"/>
        <w:rPr>
          <w:sz w:val="24"/>
          <w:szCs w:val="24"/>
        </w:rPr>
      </w:pPr>
    </w:p>
    <w:p w14:paraId="449726CE" w14:textId="0EE0FF0A" w:rsidR="006A1D9F" w:rsidRPr="009D2138" w:rsidRDefault="00410EAE" w:rsidP="00293F38">
      <w:pPr>
        <w:pStyle w:val="CM26"/>
        <w:spacing w:after="0" w:line="480" w:lineRule="auto"/>
        <w:rPr>
          <w:rFonts w:ascii="Times New Roman" w:hAnsi="Times New Roman"/>
        </w:rPr>
      </w:pPr>
      <w:r>
        <w:rPr>
          <w:rFonts w:ascii="Times New Roman" w:hAnsi="Times New Roman"/>
          <w:b/>
          <w:bCs/>
        </w:rPr>
        <w:t>A.</w:t>
      </w:r>
      <w:r w:rsidR="008E12FB">
        <w:rPr>
          <w:rFonts w:ascii="Times New Roman" w:hAnsi="Times New Roman"/>
          <w:b/>
          <w:bCs/>
        </w:rPr>
        <w:t>1</w:t>
      </w:r>
      <w:r w:rsidR="006A1D9F" w:rsidRPr="008E12FB">
        <w:rPr>
          <w:rFonts w:ascii="Times New Roman" w:hAnsi="Times New Roman"/>
          <w:b/>
          <w:bCs/>
        </w:rPr>
        <w:t>3</w:t>
      </w:r>
      <w:r w:rsidR="006A1D9F" w:rsidRPr="009D2138">
        <w:rPr>
          <w:rFonts w:ascii="Times New Roman" w:hAnsi="Times New Roman"/>
          <w:b/>
          <w:bCs/>
        </w:rPr>
        <w:t xml:space="preserve"> Estimate of Other Total Annual Cost Burden to Respondent or Record</w:t>
      </w:r>
      <w:r w:rsidR="00466F16" w:rsidRPr="009D2138">
        <w:rPr>
          <w:rFonts w:ascii="Times New Roman" w:hAnsi="Times New Roman"/>
          <w:b/>
          <w:bCs/>
        </w:rPr>
        <w:t xml:space="preserve"> K</w:t>
      </w:r>
      <w:r w:rsidR="006A1D9F" w:rsidRPr="009D2138">
        <w:rPr>
          <w:rFonts w:ascii="Times New Roman" w:hAnsi="Times New Roman"/>
          <w:b/>
          <w:bCs/>
        </w:rPr>
        <w:t xml:space="preserve">eepers </w:t>
      </w:r>
    </w:p>
    <w:p w14:paraId="75B895A8" w14:textId="77777777" w:rsidR="00A01B81" w:rsidRDefault="00E63545" w:rsidP="00293F38">
      <w:pPr>
        <w:pStyle w:val="CM2"/>
        <w:spacing w:line="480" w:lineRule="auto"/>
        <w:rPr>
          <w:rFonts w:ascii="Times New Roman" w:hAnsi="Times New Roman"/>
        </w:rPr>
      </w:pPr>
      <w:r>
        <w:rPr>
          <w:rFonts w:ascii="Times New Roman" w:hAnsi="Times New Roman"/>
        </w:rPr>
        <w:tab/>
      </w:r>
      <w:r w:rsidR="00424C69">
        <w:rPr>
          <w:rFonts w:ascii="Times New Roman" w:hAnsi="Times New Roman"/>
        </w:rPr>
        <w:t xml:space="preserve">No costs are anticipated.  </w:t>
      </w:r>
      <w:r w:rsidR="00A01B81" w:rsidRPr="0035317F">
        <w:rPr>
          <w:rFonts w:ascii="Times New Roman" w:hAnsi="Times New Roman"/>
        </w:rPr>
        <w:t>Respondents will not need capital equipment, on-going recordkeeping operations, or services to comple</w:t>
      </w:r>
      <w:r w:rsidR="00A01B81">
        <w:rPr>
          <w:rFonts w:ascii="Times New Roman" w:hAnsi="Times New Roman"/>
        </w:rPr>
        <w:t>te the information collection.</w:t>
      </w:r>
    </w:p>
    <w:p w14:paraId="455252A8" w14:textId="77777777" w:rsidR="006A1D9F" w:rsidRPr="009D2138" w:rsidRDefault="007377B2" w:rsidP="00293F38">
      <w:pPr>
        <w:pStyle w:val="Default"/>
        <w:spacing w:line="480" w:lineRule="auto"/>
        <w:rPr>
          <w:rFonts w:ascii="Times New Roman" w:hAnsi="Times New Roman" w:cs="Times New Roman"/>
          <w:color w:val="auto"/>
        </w:rPr>
      </w:pPr>
      <w:r>
        <w:rPr>
          <w:rFonts w:ascii="Times New Roman" w:hAnsi="Times New Roman" w:cs="Times New Roman"/>
          <w:b/>
          <w:bCs/>
          <w:color w:val="auto"/>
        </w:rPr>
        <w:t>A.</w:t>
      </w:r>
      <w:r w:rsidR="006A1D9F" w:rsidRPr="009D2138">
        <w:rPr>
          <w:rFonts w:ascii="Times New Roman" w:hAnsi="Times New Roman" w:cs="Times New Roman"/>
          <w:b/>
          <w:bCs/>
          <w:color w:val="auto"/>
        </w:rPr>
        <w:t xml:space="preserve">14 Annualized Cost to the Federal Government </w:t>
      </w:r>
    </w:p>
    <w:p w14:paraId="0239BDFE" w14:textId="12FC46B4" w:rsidR="00493553" w:rsidRDefault="00E63545" w:rsidP="00293F38">
      <w:pPr>
        <w:pStyle w:val="CM27"/>
        <w:spacing w:after="0" w:line="480" w:lineRule="auto"/>
        <w:rPr>
          <w:rFonts w:ascii="Times New Roman" w:hAnsi="Times New Roman"/>
        </w:rPr>
      </w:pPr>
      <w:r>
        <w:rPr>
          <w:rFonts w:ascii="Times New Roman" w:hAnsi="Times New Roman"/>
        </w:rPr>
        <w:tab/>
      </w:r>
      <w:r w:rsidR="006A1D9F" w:rsidRPr="009D2138">
        <w:rPr>
          <w:rFonts w:ascii="Times New Roman" w:hAnsi="Times New Roman"/>
        </w:rPr>
        <w:t>The approximate annualized cost to the government for this data collection effort is $</w:t>
      </w:r>
      <w:r w:rsidR="008C0700">
        <w:rPr>
          <w:rFonts w:ascii="Times New Roman" w:hAnsi="Times New Roman"/>
        </w:rPr>
        <w:t>44,769</w:t>
      </w:r>
      <w:r w:rsidR="006A1D9F" w:rsidRPr="000C1A5A">
        <w:rPr>
          <w:rFonts w:ascii="Times New Roman" w:hAnsi="Times New Roman"/>
        </w:rPr>
        <w:t>.</w:t>
      </w:r>
      <w:r w:rsidR="006A1D9F" w:rsidRPr="009D2138">
        <w:rPr>
          <w:rFonts w:ascii="Times New Roman" w:hAnsi="Times New Roman"/>
        </w:rPr>
        <w:t xml:space="preserve">  </w:t>
      </w:r>
      <w:r w:rsidR="00801B97">
        <w:rPr>
          <w:rFonts w:ascii="Times New Roman" w:hAnsi="Times New Roman"/>
        </w:rPr>
        <w:t xml:space="preserve">These costs are comprised of: </w:t>
      </w:r>
      <w:r w:rsidR="00493553">
        <w:rPr>
          <w:rFonts w:ascii="Times New Roman" w:hAnsi="Times New Roman"/>
        </w:rPr>
        <w:t xml:space="preserve">federal employee salaries, contractor staff salaries, and </w:t>
      </w:r>
      <w:r w:rsidR="00801B97">
        <w:rPr>
          <w:rFonts w:ascii="Times New Roman" w:hAnsi="Times New Roman"/>
        </w:rPr>
        <w:t xml:space="preserve">operational expenses (e.g., equipment, printing, </w:t>
      </w:r>
      <w:r w:rsidR="00E92FAE">
        <w:rPr>
          <w:rFonts w:ascii="Times New Roman" w:hAnsi="Times New Roman"/>
        </w:rPr>
        <w:t xml:space="preserve">and </w:t>
      </w:r>
      <w:r w:rsidR="00801B97">
        <w:rPr>
          <w:rFonts w:ascii="Times New Roman" w:hAnsi="Times New Roman"/>
        </w:rPr>
        <w:t>postage</w:t>
      </w:r>
      <w:r w:rsidR="00493553">
        <w:rPr>
          <w:rFonts w:ascii="Times New Roman" w:hAnsi="Times New Roman"/>
        </w:rPr>
        <w:t>).</w:t>
      </w:r>
      <w:r w:rsidR="00801B97">
        <w:rPr>
          <w:rFonts w:ascii="Times New Roman" w:hAnsi="Times New Roman"/>
        </w:rPr>
        <w:t xml:space="preserve"> </w:t>
      </w:r>
      <w:r w:rsidR="00E92FAE">
        <w:rPr>
          <w:rFonts w:ascii="Times New Roman" w:hAnsi="Times New Roman"/>
        </w:rPr>
        <w:t xml:space="preserve">  Table 3 below provides the cost breakdown for the annualized cost to the federal government.  </w:t>
      </w:r>
    </w:p>
    <w:p w14:paraId="3E532C35" w14:textId="77777777" w:rsidR="00F13B9A" w:rsidRDefault="00F13B9A">
      <w:pPr>
        <w:widowControl/>
        <w:rPr>
          <w:sz w:val="24"/>
          <w:szCs w:val="24"/>
        </w:rPr>
      </w:pPr>
      <w:r>
        <w:rPr>
          <w:sz w:val="24"/>
          <w:szCs w:val="24"/>
        </w:rPr>
        <w:br w:type="page"/>
      </w:r>
    </w:p>
    <w:p w14:paraId="4AA18AEE" w14:textId="454D3766" w:rsidR="008C0700" w:rsidRPr="00EF7BB1" w:rsidRDefault="008C0700" w:rsidP="008C0700">
      <w:pPr>
        <w:ind w:left="1440" w:firstLine="720"/>
        <w:rPr>
          <w:sz w:val="24"/>
          <w:szCs w:val="24"/>
        </w:rPr>
      </w:pPr>
      <w:r w:rsidRPr="00EF7BB1">
        <w:rPr>
          <w:sz w:val="24"/>
          <w:szCs w:val="24"/>
        </w:rPr>
        <w:t>Table 12-</w:t>
      </w:r>
      <w:r>
        <w:rPr>
          <w:sz w:val="24"/>
          <w:szCs w:val="24"/>
        </w:rPr>
        <w:t>3</w:t>
      </w:r>
      <w:r w:rsidRPr="00EF7BB1">
        <w:rPr>
          <w:sz w:val="24"/>
          <w:szCs w:val="24"/>
        </w:rPr>
        <w:t xml:space="preserve"> Annualized Cost to </w:t>
      </w:r>
      <w:r>
        <w:rPr>
          <w:sz w:val="24"/>
          <w:szCs w:val="24"/>
        </w:rPr>
        <w:t>Federal Government</w:t>
      </w:r>
    </w:p>
    <w:p w14:paraId="6F503D26" w14:textId="77777777" w:rsidR="00217B21" w:rsidRPr="00217B21" w:rsidRDefault="00217B21" w:rsidP="00217B21">
      <w:pPr>
        <w:pStyle w:val="Default"/>
      </w:pPr>
    </w:p>
    <w:tbl>
      <w:tblPr>
        <w:tblW w:w="8717" w:type="dxa"/>
        <w:jc w:val="center"/>
        <w:tblCellMar>
          <w:left w:w="0" w:type="dxa"/>
          <w:right w:w="0" w:type="dxa"/>
        </w:tblCellMar>
        <w:tblLook w:val="04A0" w:firstRow="1" w:lastRow="0" w:firstColumn="1" w:lastColumn="0" w:noHBand="0" w:noVBand="1"/>
      </w:tblPr>
      <w:tblGrid>
        <w:gridCol w:w="2502"/>
        <w:gridCol w:w="1073"/>
        <w:gridCol w:w="1532"/>
        <w:gridCol w:w="1248"/>
        <w:gridCol w:w="1032"/>
        <w:gridCol w:w="1330"/>
      </w:tblGrid>
      <w:tr w:rsidR="00C61D31" w14:paraId="49353610" w14:textId="77777777" w:rsidTr="00C61D31">
        <w:trPr>
          <w:trHeight w:val="762"/>
          <w:jc w:val="center"/>
        </w:trPr>
        <w:tc>
          <w:tcPr>
            <w:tcW w:w="250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54B5EB" w14:textId="77777777" w:rsidR="00C61D31" w:rsidRDefault="00C61D31">
            <w:pPr>
              <w:jc w:val="center"/>
              <w:rPr>
                <w:b/>
                <w:bCs/>
                <w:color w:val="000000"/>
              </w:rPr>
            </w:pPr>
            <w:r>
              <w:rPr>
                <w:b/>
                <w:bCs/>
                <w:color w:val="000000"/>
              </w:rPr>
              <w:t>Cost Descriptions</w:t>
            </w:r>
          </w:p>
        </w:tc>
        <w:tc>
          <w:tcPr>
            <w:tcW w:w="1073" w:type="dxa"/>
            <w:tcBorders>
              <w:top w:val="single" w:sz="8" w:space="0" w:color="auto"/>
              <w:left w:val="nil"/>
              <w:bottom w:val="single" w:sz="8" w:space="0" w:color="auto"/>
              <w:right w:val="single" w:sz="8" w:space="0" w:color="auto"/>
            </w:tcBorders>
            <w:vAlign w:val="bottom"/>
          </w:tcPr>
          <w:p w14:paraId="1AD3B657" w14:textId="77777777" w:rsidR="00C61D31" w:rsidRDefault="00C61D31">
            <w:pPr>
              <w:jc w:val="center"/>
              <w:rPr>
                <w:rFonts w:ascii="Calibri" w:hAnsi="Calibri"/>
                <w:b/>
                <w:bCs/>
                <w:color w:val="1F497D"/>
              </w:rPr>
            </w:pPr>
          </w:p>
          <w:p w14:paraId="4706E366" w14:textId="77777777" w:rsidR="00C61D31" w:rsidRDefault="00C61D31">
            <w:pPr>
              <w:jc w:val="center"/>
              <w:rPr>
                <w:b/>
                <w:bCs/>
                <w:color w:val="000000"/>
              </w:rPr>
            </w:pPr>
            <w:r>
              <w:rPr>
                <w:b/>
                <w:bCs/>
                <w:color w:val="000000"/>
              </w:rPr>
              <w:t>Grade/Step</w:t>
            </w:r>
          </w:p>
        </w:tc>
        <w:tc>
          <w:tcPr>
            <w:tcW w:w="15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E4E97F1" w14:textId="77777777" w:rsidR="00C61D31" w:rsidRDefault="00C61D31">
            <w:pPr>
              <w:jc w:val="center"/>
              <w:rPr>
                <w:b/>
                <w:bCs/>
              </w:rPr>
            </w:pPr>
            <w:r>
              <w:rPr>
                <w:b/>
                <w:bCs/>
              </w:rPr>
              <w:t>Salary</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827FB39" w14:textId="77777777" w:rsidR="00C61D31" w:rsidRDefault="00C61D31">
            <w:pPr>
              <w:jc w:val="center"/>
              <w:rPr>
                <w:b/>
                <w:bCs/>
              </w:rPr>
            </w:pPr>
            <w:r>
              <w:rPr>
                <w:b/>
                <w:bCs/>
              </w:rPr>
              <w:t>% of Effort</w:t>
            </w:r>
          </w:p>
        </w:tc>
        <w:tc>
          <w:tcPr>
            <w:tcW w:w="1032" w:type="dxa"/>
            <w:tcBorders>
              <w:top w:val="single" w:sz="8" w:space="0" w:color="auto"/>
              <w:left w:val="nil"/>
              <w:bottom w:val="single" w:sz="8" w:space="0" w:color="auto"/>
              <w:right w:val="single" w:sz="8" w:space="0" w:color="auto"/>
            </w:tcBorders>
            <w:hideMark/>
          </w:tcPr>
          <w:p w14:paraId="10DDB185" w14:textId="77777777" w:rsidR="00C61D31" w:rsidRDefault="00C61D31">
            <w:pPr>
              <w:jc w:val="center"/>
              <w:rPr>
                <w:b/>
                <w:bCs/>
              </w:rPr>
            </w:pPr>
            <w:r>
              <w:rPr>
                <w:b/>
                <w:bCs/>
              </w:rPr>
              <w:t>Fringe (if applicable)</w:t>
            </w:r>
          </w:p>
        </w:tc>
        <w:tc>
          <w:tcPr>
            <w:tcW w:w="1330" w:type="dxa"/>
            <w:tcBorders>
              <w:top w:val="single" w:sz="8" w:space="0" w:color="auto"/>
              <w:left w:val="nil"/>
              <w:bottom w:val="single" w:sz="8" w:space="0" w:color="auto"/>
              <w:right w:val="single" w:sz="8" w:space="0" w:color="auto"/>
            </w:tcBorders>
            <w:hideMark/>
          </w:tcPr>
          <w:p w14:paraId="23EFFFCE" w14:textId="77777777" w:rsidR="00C61D31" w:rsidRDefault="00C61D31">
            <w:pPr>
              <w:jc w:val="center"/>
              <w:rPr>
                <w:b/>
                <w:bCs/>
              </w:rPr>
            </w:pPr>
            <w:r>
              <w:rPr>
                <w:b/>
                <w:bCs/>
              </w:rPr>
              <w:t>Total Cost to Gov’t</w:t>
            </w:r>
          </w:p>
        </w:tc>
      </w:tr>
      <w:tr w:rsidR="00C61D31" w14:paraId="2D5DFE33" w14:textId="77777777" w:rsidTr="00C61D31">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67CE72" w14:textId="77777777" w:rsidR="00C61D31" w:rsidRDefault="00C61D31">
            <w:pPr>
              <w:rPr>
                <w:b/>
                <w:bCs/>
                <w:color w:val="000000"/>
                <w:highlight w:val="yellow"/>
              </w:rPr>
            </w:pPr>
            <w:r>
              <w:rPr>
                <w:b/>
                <w:bCs/>
                <w:color w:val="000000"/>
              </w:rPr>
              <w:t>Federal Oversight</w:t>
            </w:r>
          </w:p>
        </w:tc>
        <w:tc>
          <w:tcPr>
            <w:tcW w:w="1073" w:type="dxa"/>
            <w:tcBorders>
              <w:top w:val="nil"/>
              <w:left w:val="nil"/>
              <w:bottom w:val="single" w:sz="8" w:space="0" w:color="auto"/>
              <w:right w:val="single" w:sz="8" w:space="0" w:color="auto"/>
            </w:tcBorders>
          </w:tcPr>
          <w:p w14:paraId="3E679B98" w14:textId="77777777" w:rsidR="00C61D31" w:rsidRDefault="00C61D31">
            <w:pPr>
              <w:jc w:val="right"/>
              <w:rPr>
                <w:color w:val="000000"/>
                <w:highlight w:val="yellow"/>
              </w:rPr>
            </w:pPr>
          </w:p>
        </w:tc>
        <w:tc>
          <w:tcPr>
            <w:tcW w:w="15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C8E831" w14:textId="77777777" w:rsidR="00C61D31" w:rsidRDefault="00C61D31"/>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806EB3" w14:textId="77777777" w:rsidR="00C61D31" w:rsidRDefault="00C61D31"/>
        </w:tc>
        <w:tc>
          <w:tcPr>
            <w:tcW w:w="1032" w:type="dxa"/>
            <w:tcBorders>
              <w:top w:val="nil"/>
              <w:left w:val="nil"/>
              <w:bottom w:val="single" w:sz="8" w:space="0" w:color="auto"/>
              <w:right w:val="single" w:sz="8" w:space="0" w:color="auto"/>
            </w:tcBorders>
            <w:shd w:val="clear" w:color="auto" w:fill="BFBFBF"/>
          </w:tcPr>
          <w:p w14:paraId="1723AD22" w14:textId="77777777" w:rsidR="00C61D31" w:rsidRDefault="00C61D31"/>
        </w:tc>
        <w:tc>
          <w:tcPr>
            <w:tcW w:w="1330" w:type="dxa"/>
            <w:tcBorders>
              <w:top w:val="nil"/>
              <w:left w:val="nil"/>
              <w:bottom w:val="single" w:sz="8" w:space="0" w:color="auto"/>
              <w:right w:val="single" w:sz="8" w:space="0" w:color="auto"/>
            </w:tcBorders>
          </w:tcPr>
          <w:p w14:paraId="4EB5BE9A" w14:textId="77777777" w:rsidR="00C61D31" w:rsidRDefault="00C61D31"/>
        </w:tc>
      </w:tr>
      <w:tr w:rsidR="00C61D31" w:rsidRPr="004D2B3B" w14:paraId="265414A4" w14:textId="77777777" w:rsidTr="008C0700">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EDC5B8" w14:textId="77777777" w:rsidR="00C61D31" w:rsidRPr="004D2B3B" w:rsidRDefault="00C61D31">
            <w:pPr>
              <w:rPr>
                <w:highlight w:val="yellow"/>
              </w:rPr>
            </w:pPr>
            <w:r w:rsidRPr="004D2B3B">
              <w:rPr>
                <w:sz w:val="24"/>
                <w:szCs w:val="24"/>
                <w:highlight w:val="yellow"/>
              </w:rPr>
              <w:t>NICHD Safe to Sleep</w:t>
            </w:r>
            <w:r w:rsidRPr="004D2B3B">
              <w:rPr>
                <w:sz w:val="24"/>
                <w:szCs w:val="24"/>
                <w:highlight w:val="yellow"/>
                <w:vertAlign w:val="superscript"/>
              </w:rPr>
              <w:t>®</w:t>
            </w:r>
            <w:r w:rsidRPr="004D2B3B">
              <w:rPr>
                <w:sz w:val="24"/>
                <w:szCs w:val="24"/>
                <w:highlight w:val="yellow"/>
              </w:rPr>
              <w:t xml:space="preserve"> Program Staff/Project Oversight</w:t>
            </w:r>
          </w:p>
        </w:tc>
        <w:tc>
          <w:tcPr>
            <w:tcW w:w="1073" w:type="dxa"/>
            <w:tcBorders>
              <w:top w:val="nil"/>
              <w:left w:val="nil"/>
              <w:bottom w:val="single" w:sz="8" w:space="0" w:color="auto"/>
              <w:right w:val="single" w:sz="8" w:space="0" w:color="auto"/>
            </w:tcBorders>
          </w:tcPr>
          <w:p w14:paraId="01C6D97F" w14:textId="1AE48E89" w:rsidR="00C61D31" w:rsidRPr="004D2B3B" w:rsidRDefault="00C61D31" w:rsidP="008C0700">
            <w:pPr>
              <w:rPr>
                <w:highlight w:val="yellow"/>
              </w:rPr>
            </w:pPr>
            <w:r w:rsidRPr="004D2B3B">
              <w:rPr>
                <w:highlight w:val="yellow"/>
              </w:rPr>
              <w:t>GS-13-7</w:t>
            </w:r>
          </w:p>
        </w:tc>
        <w:tc>
          <w:tcPr>
            <w:tcW w:w="1532" w:type="dxa"/>
            <w:tcBorders>
              <w:top w:val="nil"/>
              <w:left w:val="nil"/>
              <w:bottom w:val="single" w:sz="8" w:space="0" w:color="auto"/>
              <w:right w:val="single" w:sz="8" w:space="0" w:color="auto"/>
            </w:tcBorders>
            <w:noWrap/>
            <w:tcMar>
              <w:top w:w="0" w:type="dxa"/>
              <w:left w:w="108" w:type="dxa"/>
              <w:bottom w:w="0" w:type="dxa"/>
              <w:right w:w="108" w:type="dxa"/>
            </w:tcMar>
          </w:tcPr>
          <w:p w14:paraId="449292B6" w14:textId="66541BC7" w:rsidR="00C61D31" w:rsidRPr="004D2B3B" w:rsidRDefault="008C0700" w:rsidP="008C0700">
            <w:pPr>
              <w:rPr>
                <w:highlight w:val="yellow"/>
              </w:rPr>
            </w:pPr>
            <w:r w:rsidRPr="004D2B3B">
              <w:rPr>
                <w:highlight w:val="yellow"/>
              </w:rPr>
              <w:t>$113,755</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tcPr>
          <w:p w14:paraId="27FB8401" w14:textId="5CD5EBD6" w:rsidR="00C61D31" w:rsidRPr="004D2B3B" w:rsidRDefault="008C0700" w:rsidP="008C0700">
            <w:pPr>
              <w:rPr>
                <w:highlight w:val="yellow"/>
              </w:rPr>
            </w:pPr>
            <w:r w:rsidRPr="004D2B3B">
              <w:rPr>
                <w:highlight w:val="yellow"/>
              </w:rPr>
              <w:t>10%</w:t>
            </w:r>
          </w:p>
        </w:tc>
        <w:tc>
          <w:tcPr>
            <w:tcW w:w="1032" w:type="dxa"/>
            <w:tcBorders>
              <w:top w:val="nil"/>
              <w:left w:val="nil"/>
              <w:bottom w:val="single" w:sz="8" w:space="0" w:color="auto"/>
              <w:right w:val="single" w:sz="8" w:space="0" w:color="auto"/>
            </w:tcBorders>
            <w:shd w:val="clear" w:color="auto" w:fill="BFBFBF"/>
          </w:tcPr>
          <w:p w14:paraId="6782AD15" w14:textId="77777777" w:rsidR="00C61D31" w:rsidRPr="004D2B3B" w:rsidRDefault="00C61D31" w:rsidP="008C0700">
            <w:pPr>
              <w:rPr>
                <w:highlight w:val="yellow"/>
              </w:rPr>
            </w:pPr>
          </w:p>
        </w:tc>
        <w:tc>
          <w:tcPr>
            <w:tcW w:w="1330" w:type="dxa"/>
            <w:tcBorders>
              <w:top w:val="nil"/>
              <w:left w:val="nil"/>
              <w:bottom w:val="single" w:sz="8" w:space="0" w:color="auto"/>
              <w:right w:val="single" w:sz="8" w:space="0" w:color="auto"/>
            </w:tcBorders>
          </w:tcPr>
          <w:p w14:paraId="1B36F4A5" w14:textId="68DE5A07" w:rsidR="00C61D31" w:rsidRPr="004D2B3B" w:rsidRDefault="008C0700" w:rsidP="008C0700">
            <w:pPr>
              <w:rPr>
                <w:highlight w:val="yellow"/>
              </w:rPr>
            </w:pPr>
            <w:r w:rsidRPr="004D2B3B">
              <w:rPr>
                <w:highlight w:val="yellow"/>
              </w:rPr>
              <w:t>$11,375</w:t>
            </w:r>
          </w:p>
        </w:tc>
      </w:tr>
      <w:tr w:rsidR="00C61D31" w:rsidRPr="004D2B3B" w14:paraId="2FCA01D8" w14:textId="77777777" w:rsidTr="00C61D31">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7FA1F1" w14:textId="77777777" w:rsidR="00C61D31" w:rsidRPr="004D2B3B" w:rsidRDefault="00C61D31">
            <w:pPr>
              <w:rPr>
                <w:b/>
                <w:bCs/>
                <w:highlight w:val="yellow"/>
              </w:rPr>
            </w:pPr>
            <w:r w:rsidRPr="004D2B3B">
              <w:rPr>
                <w:b/>
                <w:bCs/>
                <w:highlight w:val="yellow"/>
              </w:rPr>
              <w:t>Contractor Cost</w:t>
            </w:r>
          </w:p>
        </w:tc>
        <w:tc>
          <w:tcPr>
            <w:tcW w:w="1073" w:type="dxa"/>
            <w:tcBorders>
              <w:top w:val="nil"/>
              <w:left w:val="nil"/>
              <w:bottom w:val="single" w:sz="8" w:space="0" w:color="auto"/>
              <w:right w:val="single" w:sz="8" w:space="0" w:color="auto"/>
            </w:tcBorders>
            <w:shd w:val="clear" w:color="auto" w:fill="BFBFBF"/>
          </w:tcPr>
          <w:p w14:paraId="7D746600" w14:textId="77777777" w:rsidR="00C61D31" w:rsidRPr="004D2B3B" w:rsidRDefault="00C61D31">
            <w:pPr>
              <w:rPr>
                <w:highlight w:val="yellow"/>
              </w:rPr>
            </w:pPr>
          </w:p>
        </w:tc>
        <w:tc>
          <w:tcPr>
            <w:tcW w:w="15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7A0AD4" w14:textId="77777777" w:rsidR="00C61D31" w:rsidRPr="004D2B3B" w:rsidRDefault="00C61D31">
            <w:pPr>
              <w:rPr>
                <w:highlight w:val="yellow"/>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5FE5888" w14:textId="77777777" w:rsidR="00C61D31" w:rsidRPr="004D2B3B" w:rsidRDefault="00C61D31">
            <w:pPr>
              <w:rPr>
                <w:highlight w:val="yellow"/>
              </w:rPr>
            </w:pPr>
          </w:p>
        </w:tc>
        <w:tc>
          <w:tcPr>
            <w:tcW w:w="1032" w:type="dxa"/>
            <w:tcBorders>
              <w:top w:val="nil"/>
              <w:left w:val="nil"/>
              <w:bottom w:val="single" w:sz="8" w:space="0" w:color="auto"/>
              <w:right w:val="single" w:sz="8" w:space="0" w:color="auto"/>
            </w:tcBorders>
          </w:tcPr>
          <w:p w14:paraId="69973A70" w14:textId="77777777" w:rsidR="00C61D31" w:rsidRPr="004D2B3B" w:rsidRDefault="00C61D31">
            <w:pPr>
              <w:rPr>
                <w:highlight w:val="yellow"/>
              </w:rPr>
            </w:pPr>
          </w:p>
        </w:tc>
        <w:tc>
          <w:tcPr>
            <w:tcW w:w="1330" w:type="dxa"/>
            <w:tcBorders>
              <w:top w:val="nil"/>
              <w:left w:val="nil"/>
              <w:bottom w:val="single" w:sz="8" w:space="0" w:color="auto"/>
              <w:right w:val="single" w:sz="8" w:space="0" w:color="auto"/>
            </w:tcBorders>
          </w:tcPr>
          <w:p w14:paraId="69A9BD24" w14:textId="77777777" w:rsidR="00C61D31" w:rsidRPr="004D2B3B" w:rsidRDefault="00C61D31">
            <w:pPr>
              <w:rPr>
                <w:highlight w:val="yellow"/>
              </w:rPr>
            </w:pPr>
          </w:p>
        </w:tc>
      </w:tr>
      <w:tr w:rsidR="00C61D31" w:rsidRPr="004D2B3B" w14:paraId="26624773" w14:textId="77777777" w:rsidTr="00C61D31">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B5874B" w14:textId="77777777" w:rsidR="00C61D31" w:rsidRPr="004D2B3B" w:rsidRDefault="00C61D31">
            <w:pPr>
              <w:rPr>
                <w:highlight w:val="yellow"/>
              </w:rPr>
            </w:pPr>
            <w:r w:rsidRPr="004D2B3B">
              <w:rPr>
                <w:highlight w:val="yellow"/>
              </w:rPr>
              <w:t>Project Manager</w:t>
            </w:r>
          </w:p>
        </w:tc>
        <w:tc>
          <w:tcPr>
            <w:tcW w:w="1073" w:type="dxa"/>
            <w:tcBorders>
              <w:top w:val="nil"/>
              <w:left w:val="nil"/>
              <w:bottom w:val="single" w:sz="8" w:space="0" w:color="auto"/>
              <w:right w:val="single" w:sz="8" w:space="0" w:color="auto"/>
            </w:tcBorders>
          </w:tcPr>
          <w:p w14:paraId="1614418F" w14:textId="37A7CD56" w:rsidR="00C61D31" w:rsidRPr="004D2B3B" w:rsidRDefault="008C0700">
            <w:pPr>
              <w:rPr>
                <w:highlight w:val="yellow"/>
              </w:rPr>
            </w:pPr>
            <w:r w:rsidRPr="004D2B3B">
              <w:rPr>
                <w:highlight w:val="yellow"/>
              </w:rPr>
              <w:t>n/a</w:t>
            </w:r>
          </w:p>
        </w:tc>
        <w:tc>
          <w:tcPr>
            <w:tcW w:w="15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23C16D" w14:textId="77777777" w:rsidR="00C61D31" w:rsidRPr="004D2B3B" w:rsidRDefault="00C61D31">
            <w:pPr>
              <w:rPr>
                <w:highlight w:val="yellow"/>
              </w:rPr>
            </w:pPr>
            <w:r w:rsidRPr="004D2B3B">
              <w:rPr>
                <w:highlight w:val="yellow"/>
              </w:rPr>
              <w:t>$169,328</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C02819" w14:textId="77777777" w:rsidR="00C61D31" w:rsidRPr="004D2B3B" w:rsidRDefault="00C61D31">
            <w:pPr>
              <w:rPr>
                <w:highlight w:val="yellow"/>
              </w:rPr>
            </w:pPr>
            <w:r w:rsidRPr="004D2B3B">
              <w:rPr>
                <w:highlight w:val="yellow"/>
              </w:rPr>
              <w:t>5%</w:t>
            </w:r>
          </w:p>
        </w:tc>
        <w:tc>
          <w:tcPr>
            <w:tcW w:w="1032" w:type="dxa"/>
            <w:tcBorders>
              <w:top w:val="nil"/>
              <w:left w:val="nil"/>
              <w:bottom w:val="single" w:sz="8" w:space="0" w:color="auto"/>
              <w:right w:val="single" w:sz="8" w:space="0" w:color="auto"/>
            </w:tcBorders>
            <w:hideMark/>
          </w:tcPr>
          <w:p w14:paraId="76CF1514" w14:textId="77777777" w:rsidR="00C61D31" w:rsidRPr="004D2B3B" w:rsidRDefault="00C61D31">
            <w:pPr>
              <w:rPr>
                <w:highlight w:val="yellow"/>
              </w:rPr>
            </w:pPr>
            <w:r w:rsidRPr="004D2B3B">
              <w:rPr>
                <w:highlight w:val="yellow"/>
              </w:rPr>
              <w:t>$40,639</w:t>
            </w:r>
          </w:p>
        </w:tc>
        <w:tc>
          <w:tcPr>
            <w:tcW w:w="1330" w:type="dxa"/>
            <w:tcBorders>
              <w:top w:val="nil"/>
              <w:left w:val="nil"/>
              <w:bottom w:val="single" w:sz="8" w:space="0" w:color="auto"/>
              <w:right w:val="single" w:sz="8" w:space="0" w:color="auto"/>
            </w:tcBorders>
            <w:hideMark/>
          </w:tcPr>
          <w:p w14:paraId="0168A3D8" w14:textId="77777777" w:rsidR="00C61D31" w:rsidRPr="004D2B3B" w:rsidRDefault="00C61D31">
            <w:pPr>
              <w:rPr>
                <w:highlight w:val="yellow"/>
              </w:rPr>
            </w:pPr>
            <w:r w:rsidRPr="004D2B3B">
              <w:rPr>
                <w:highlight w:val="yellow"/>
              </w:rPr>
              <w:t>$10,485</w:t>
            </w:r>
          </w:p>
        </w:tc>
      </w:tr>
      <w:tr w:rsidR="00C61D31" w:rsidRPr="004D2B3B" w14:paraId="1B990300" w14:textId="77777777" w:rsidTr="00C61D31">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5BC02D" w14:textId="77777777" w:rsidR="00C61D31" w:rsidRPr="004D2B3B" w:rsidRDefault="00C61D31">
            <w:pPr>
              <w:rPr>
                <w:highlight w:val="yellow"/>
              </w:rPr>
            </w:pPr>
            <w:r w:rsidRPr="004D2B3B">
              <w:rPr>
                <w:highlight w:val="yellow"/>
              </w:rPr>
              <w:t>Communications Associate</w:t>
            </w:r>
          </w:p>
        </w:tc>
        <w:tc>
          <w:tcPr>
            <w:tcW w:w="1073" w:type="dxa"/>
            <w:tcBorders>
              <w:top w:val="nil"/>
              <w:left w:val="nil"/>
              <w:bottom w:val="single" w:sz="8" w:space="0" w:color="auto"/>
              <w:right w:val="single" w:sz="8" w:space="0" w:color="auto"/>
            </w:tcBorders>
          </w:tcPr>
          <w:p w14:paraId="11E84293" w14:textId="26668433" w:rsidR="00C61D31" w:rsidRPr="004D2B3B" w:rsidRDefault="008C0700">
            <w:pPr>
              <w:rPr>
                <w:highlight w:val="yellow"/>
              </w:rPr>
            </w:pPr>
            <w:r w:rsidRPr="004D2B3B">
              <w:rPr>
                <w:highlight w:val="yellow"/>
              </w:rPr>
              <w:t>n/a</w:t>
            </w:r>
          </w:p>
        </w:tc>
        <w:tc>
          <w:tcPr>
            <w:tcW w:w="15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4EB06C" w14:textId="77777777" w:rsidR="00C61D31" w:rsidRPr="004D2B3B" w:rsidRDefault="00C61D31">
            <w:pPr>
              <w:rPr>
                <w:highlight w:val="yellow"/>
              </w:rPr>
            </w:pPr>
            <w:r w:rsidRPr="004D2B3B">
              <w:rPr>
                <w:highlight w:val="yellow"/>
              </w:rPr>
              <w:t>$90,946</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D2E51A" w14:textId="77777777" w:rsidR="00C61D31" w:rsidRPr="004D2B3B" w:rsidRDefault="00C61D31">
            <w:pPr>
              <w:rPr>
                <w:highlight w:val="yellow"/>
              </w:rPr>
            </w:pPr>
            <w:r w:rsidRPr="004D2B3B">
              <w:rPr>
                <w:highlight w:val="yellow"/>
              </w:rPr>
              <w:t>10%</w:t>
            </w:r>
          </w:p>
        </w:tc>
        <w:tc>
          <w:tcPr>
            <w:tcW w:w="1032" w:type="dxa"/>
            <w:tcBorders>
              <w:top w:val="nil"/>
              <w:left w:val="nil"/>
              <w:bottom w:val="single" w:sz="8" w:space="0" w:color="auto"/>
              <w:right w:val="single" w:sz="8" w:space="0" w:color="auto"/>
            </w:tcBorders>
            <w:hideMark/>
          </w:tcPr>
          <w:p w14:paraId="2CAC120B" w14:textId="77777777" w:rsidR="00C61D31" w:rsidRPr="004D2B3B" w:rsidRDefault="00C61D31">
            <w:pPr>
              <w:rPr>
                <w:highlight w:val="yellow"/>
              </w:rPr>
            </w:pPr>
            <w:r w:rsidRPr="004D2B3B">
              <w:rPr>
                <w:highlight w:val="yellow"/>
              </w:rPr>
              <w:t>$21,682</w:t>
            </w:r>
          </w:p>
        </w:tc>
        <w:tc>
          <w:tcPr>
            <w:tcW w:w="1330" w:type="dxa"/>
            <w:tcBorders>
              <w:top w:val="nil"/>
              <w:left w:val="nil"/>
              <w:bottom w:val="single" w:sz="8" w:space="0" w:color="auto"/>
              <w:right w:val="single" w:sz="8" w:space="0" w:color="auto"/>
            </w:tcBorders>
            <w:hideMark/>
          </w:tcPr>
          <w:p w14:paraId="603CE7E4" w14:textId="77777777" w:rsidR="00C61D31" w:rsidRPr="004D2B3B" w:rsidRDefault="00C61D31">
            <w:pPr>
              <w:rPr>
                <w:highlight w:val="yellow"/>
              </w:rPr>
            </w:pPr>
            <w:r w:rsidRPr="004D2B3B">
              <w:rPr>
                <w:highlight w:val="yellow"/>
              </w:rPr>
              <w:t>$11,263</w:t>
            </w:r>
          </w:p>
        </w:tc>
      </w:tr>
      <w:tr w:rsidR="00C61D31" w:rsidRPr="004D2B3B" w14:paraId="2DBDE199" w14:textId="77777777" w:rsidTr="00C61D31">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14E36D" w14:textId="77777777" w:rsidR="00C61D31" w:rsidRPr="004D2B3B" w:rsidRDefault="00C61D31">
            <w:pPr>
              <w:rPr>
                <w:highlight w:val="yellow"/>
              </w:rPr>
            </w:pPr>
            <w:r w:rsidRPr="004D2B3B">
              <w:rPr>
                <w:highlight w:val="yellow"/>
              </w:rPr>
              <w:t>Senior Digital Analyst</w:t>
            </w:r>
          </w:p>
        </w:tc>
        <w:tc>
          <w:tcPr>
            <w:tcW w:w="1073" w:type="dxa"/>
            <w:tcBorders>
              <w:top w:val="nil"/>
              <w:left w:val="nil"/>
              <w:bottom w:val="single" w:sz="8" w:space="0" w:color="auto"/>
              <w:right w:val="single" w:sz="8" w:space="0" w:color="auto"/>
            </w:tcBorders>
          </w:tcPr>
          <w:p w14:paraId="3465B0ED" w14:textId="34DE181E" w:rsidR="00C61D31" w:rsidRPr="004D2B3B" w:rsidRDefault="008C0700">
            <w:pPr>
              <w:rPr>
                <w:highlight w:val="yellow"/>
              </w:rPr>
            </w:pPr>
            <w:r w:rsidRPr="004D2B3B">
              <w:rPr>
                <w:highlight w:val="yellow"/>
              </w:rPr>
              <w:t>n/a</w:t>
            </w:r>
          </w:p>
        </w:tc>
        <w:tc>
          <w:tcPr>
            <w:tcW w:w="15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415641" w14:textId="77777777" w:rsidR="00C61D31" w:rsidRPr="004D2B3B" w:rsidRDefault="00C61D31">
            <w:pPr>
              <w:rPr>
                <w:highlight w:val="yellow"/>
              </w:rPr>
            </w:pPr>
            <w:r w:rsidRPr="004D2B3B">
              <w:rPr>
                <w:highlight w:val="yellow"/>
              </w:rPr>
              <w:t>$139,630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96D381" w14:textId="77777777" w:rsidR="00C61D31" w:rsidRPr="004D2B3B" w:rsidRDefault="00C61D31">
            <w:pPr>
              <w:rPr>
                <w:highlight w:val="yellow"/>
              </w:rPr>
            </w:pPr>
            <w:r w:rsidRPr="004D2B3B">
              <w:rPr>
                <w:highlight w:val="yellow"/>
              </w:rPr>
              <w:t>5%</w:t>
            </w:r>
          </w:p>
        </w:tc>
        <w:tc>
          <w:tcPr>
            <w:tcW w:w="1032" w:type="dxa"/>
            <w:tcBorders>
              <w:top w:val="nil"/>
              <w:left w:val="nil"/>
              <w:bottom w:val="single" w:sz="8" w:space="0" w:color="auto"/>
              <w:right w:val="single" w:sz="8" w:space="0" w:color="auto"/>
            </w:tcBorders>
            <w:hideMark/>
          </w:tcPr>
          <w:p w14:paraId="023CD82E" w14:textId="77777777" w:rsidR="00C61D31" w:rsidRPr="004D2B3B" w:rsidRDefault="00C61D31">
            <w:pPr>
              <w:rPr>
                <w:highlight w:val="yellow"/>
              </w:rPr>
            </w:pPr>
            <w:r w:rsidRPr="004D2B3B">
              <w:rPr>
                <w:highlight w:val="yellow"/>
              </w:rPr>
              <w:t>$33,288</w:t>
            </w:r>
          </w:p>
        </w:tc>
        <w:tc>
          <w:tcPr>
            <w:tcW w:w="1330" w:type="dxa"/>
            <w:tcBorders>
              <w:top w:val="nil"/>
              <w:left w:val="nil"/>
              <w:bottom w:val="single" w:sz="8" w:space="0" w:color="auto"/>
              <w:right w:val="single" w:sz="8" w:space="0" w:color="auto"/>
            </w:tcBorders>
            <w:hideMark/>
          </w:tcPr>
          <w:p w14:paraId="733E07CB" w14:textId="77777777" w:rsidR="00C61D31" w:rsidRPr="004D2B3B" w:rsidRDefault="00C61D31">
            <w:pPr>
              <w:rPr>
                <w:highlight w:val="yellow"/>
              </w:rPr>
            </w:pPr>
            <w:r w:rsidRPr="004D2B3B">
              <w:rPr>
                <w:highlight w:val="yellow"/>
              </w:rPr>
              <w:t>$8,646</w:t>
            </w:r>
          </w:p>
        </w:tc>
      </w:tr>
      <w:tr w:rsidR="00C61D31" w:rsidRPr="004D2B3B" w14:paraId="22BE18D4" w14:textId="77777777" w:rsidTr="00C61D31">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8475E2" w14:textId="77777777" w:rsidR="00C61D31" w:rsidRPr="004D2B3B" w:rsidRDefault="00C61D31">
            <w:pPr>
              <w:rPr>
                <w:highlight w:val="yellow"/>
              </w:rPr>
            </w:pPr>
            <w:r w:rsidRPr="004D2B3B">
              <w:rPr>
                <w:highlight w:val="yellow"/>
              </w:rPr>
              <w:t xml:space="preserve">Travel </w:t>
            </w:r>
          </w:p>
        </w:tc>
        <w:tc>
          <w:tcPr>
            <w:tcW w:w="1073" w:type="dxa"/>
            <w:tcBorders>
              <w:top w:val="nil"/>
              <w:left w:val="nil"/>
              <w:bottom w:val="single" w:sz="8" w:space="0" w:color="auto"/>
              <w:right w:val="single" w:sz="8" w:space="0" w:color="auto"/>
            </w:tcBorders>
            <w:shd w:val="clear" w:color="auto" w:fill="BFBFBF"/>
          </w:tcPr>
          <w:p w14:paraId="3CAB4DFF" w14:textId="77777777" w:rsidR="00C61D31" w:rsidRPr="004D2B3B" w:rsidRDefault="00C61D31">
            <w:pPr>
              <w:rPr>
                <w:highlight w:val="yellow"/>
              </w:rPr>
            </w:pPr>
          </w:p>
        </w:tc>
        <w:tc>
          <w:tcPr>
            <w:tcW w:w="153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2DC02E3" w14:textId="77777777" w:rsidR="00C61D31" w:rsidRPr="004D2B3B" w:rsidRDefault="00C61D31">
            <w:pPr>
              <w:rPr>
                <w:highlight w:val="yellow"/>
              </w:rPr>
            </w:pPr>
          </w:p>
        </w:tc>
        <w:tc>
          <w:tcPr>
            <w:tcW w:w="124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D676A60" w14:textId="77777777" w:rsidR="00C61D31" w:rsidRPr="004D2B3B" w:rsidRDefault="00C61D31">
            <w:pPr>
              <w:rPr>
                <w:highlight w:val="yellow"/>
              </w:rPr>
            </w:pPr>
          </w:p>
        </w:tc>
        <w:tc>
          <w:tcPr>
            <w:tcW w:w="1032" w:type="dxa"/>
            <w:tcBorders>
              <w:top w:val="nil"/>
              <w:left w:val="nil"/>
              <w:bottom w:val="single" w:sz="8" w:space="0" w:color="auto"/>
              <w:right w:val="single" w:sz="8" w:space="0" w:color="auto"/>
            </w:tcBorders>
            <w:shd w:val="clear" w:color="auto" w:fill="BFBFBF"/>
          </w:tcPr>
          <w:p w14:paraId="2368A949" w14:textId="77777777" w:rsidR="00C61D31" w:rsidRPr="004D2B3B" w:rsidRDefault="00C61D31">
            <w:pPr>
              <w:rPr>
                <w:highlight w:val="yellow"/>
              </w:rPr>
            </w:pPr>
          </w:p>
        </w:tc>
        <w:tc>
          <w:tcPr>
            <w:tcW w:w="1330" w:type="dxa"/>
            <w:tcBorders>
              <w:top w:val="nil"/>
              <w:left w:val="nil"/>
              <w:bottom w:val="single" w:sz="8" w:space="0" w:color="auto"/>
              <w:right w:val="single" w:sz="8" w:space="0" w:color="auto"/>
            </w:tcBorders>
          </w:tcPr>
          <w:p w14:paraId="01332925" w14:textId="77777777" w:rsidR="00C61D31" w:rsidRPr="004D2B3B" w:rsidRDefault="00C61D31">
            <w:pPr>
              <w:rPr>
                <w:highlight w:val="yellow"/>
              </w:rPr>
            </w:pPr>
          </w:p>
        </w:tc>
      </w:tr>
      <w:tr w:rsidR="00C61D31" w:rsidRPr="004D2B3B" w14:paraId="07510D43" w14:textId="77777777" w:rsidTr="00C61D31">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CB532E" w14:textId="77777777" w:rsidR="00C61D31" w:rsidRPr="004D2B3B" w:rsidRDefault="00C61D31">
            <w:pPr>
              <w:rPr>
                <w:color w:val="1F497D"/>
                <w:highlight w:val="yellow"/>
              </w:rPr>
            </w:pPr>
            <w:r w:rsidRPr="004D2B3B">
              <w:rPr>
                <w:color w:val="000000"/>
                <w:highlight w:val="yellow"/>
              </w:rPr>
              <w:t>Operational Costs for Data Collection Activities (e.g., printing, postage, equipment), non-labor</w:t>
            </w:r>
          </w:p>
        </w:tc>
        <w:tc>
          <w:tcPr>
            <w:tcW w:w="1073" w:type="dxa"/>
            <w:tcBorders>
              <w:top w:val="nil"/>
              <w:left w:val="nil"/>
              <w:bottom w:val="single" w:sz="8" w:space="0" w:color="auto"/>
              <w:right w:val="single" w:sz="8" w:space="0" w:color="auto"/>
            </w:tcBorders>
            <w:shd w:val="clear" w:color="auto" w:fill="BFBFBF"/>
          </w:tcPr>
          <w:p w14:paraId="20431312" w14:textId="77777777" w:rsidR="00C61D31" w:rsidRPr="004D2B3B" w:rsidRDefault="00C61D31">
            <w:pPr>
              <w:rPr>
                <w:color w:val="000000"/>
                <w:highlight w:val="yellow"/>
              </w:rPr>
            </w:pPr>
          </w:p>
        </w:tc>
        <w:tc>
          <w:tcPr>
            <w:tcW w:w="153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83F6571" w14:textId="77777777" w:rsidR="00C61D31" w:rsidRPr="004D2B3B" w:rsidRDefault="00C61D31">
            <w:pPr>
              <w:rPr>
                <w:highlight w:val="yellow"/>
              </w:rPr>
            </w:pPr>
          </w:p>
        </w:tc>
        <w:tc>
          <w:tcPr>
            <w:tcW w:w="124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32379F7" w14:textId="77777777" w:rsidR="00C61D31" w:rsidRPr="004D2B3B" w:rsidRDefault="00C61D31">
            <w:pPr>
              <w:rPr>
                <w:highlight w:val="yellow"/>
              </w:rPr>
            </w:pPr>
          </w:p>
        </w:tc>
        <w:tc>
          <w:tcPr>
            <w:tcW w:w="1032" w:type="dxa"/>
            <w:tcBorders>
              <w:top w:val="nil"/>
              <w:left w:val="nil"/>
              <w:bottom w:val="single" w:sz="8" w:space="0" w:color="auto"/>
              <w:right w:val="single" w:sz="8" w:space="0" w:color="auto"/>
            </w:tcBorders>
            <w:shd w:val="clear" w:color="auto" w:fill="BFBFBF"/>
          </w:tcPr>
          <w:p w14:paraId="430AD15F" w14:textId="77777777" w:rsidR="00C61D31" w:rsidRPr="004D2B3B" w:rsidRDefault="00C61D31">
            <w:pPr>
              <w:rPr>
                <w:highlight w:val="yellow"/>
              </w:rPr>
            </w:pPr>
          </w:p>
        </w:tc>
        <w:tc>
          <w:tcPr>
            <w:tcW w:w="1330" w:type="dxa"/>
            <w:tcBorders>
              <w:top w:val="nil"/>
              <w:left w:val="nil"/>
              <w:bottom w:val="single" w:sz="8" w:space="0" w:color="auto"/>
              <w:right w:val="single" w:sz="8" w:space="0" w:color="auto"/>
            </w:tcBorders>
            <w:hideMark/>
          </w:tcPr>
          <w:p w14:paraId="110EFEC9" w14:textId="77777777" w:rsidR="00C61D31" w:rsidRPr="004D2B3B" w:rsidRDefault="00C61D31">
            <w:pPr>
              <w:rPr>
                <w:highlight w:val="yellow"/>
              </w:rPr>
            </w:pPr>
            <w:r w:rsidRPr="004D2B3B">
              <w:rPr>
                <w:highlight w:val="yellow"/>
              </w:rPr>
              <w:t>$3,000</w:t>
            </w:r>
          </w:p>
        </w:tc>
      </w:tr>
      <w:tr w:rsidR="00C61D31" w:rsidRPr="004D2B3B" w14:paraId="15770E5C" w14:textId="77777777" w:rsidTr="00C61D31">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766535" w14:textId="77777777" w:rsidR="00C61D31" w:rsidRPr="004D2B3B" w:rsidRDefault="00C61D31">
            <w:pPr>
              <w:rPr>
                <w:highlight w:val="yellow"/>
              </w:rPr>
            </w:pPr>
          </w:p>
        </w:tc>
        <w:tc>
          <w:tcPr>
            <w:tcW w:w="1073" w:type="dxa"/>
            <w:tcBorders>
              <w:top w:val="nil"/>
              <w:left w:val="nil"/>
              <w:bottom w:val="single" w:sz="8" w:space="0" w:color="auto"/>
              <w:right w:val="single" w:sz="8" w:space="0" w:color="auto"/>
            </w:tcBorders>
            <w:shd w:val="clear" w:color="auto" w:fill="BFBFBF"/>
          </w:tcPr>
          <w:p w14:paraId="18157FFE" w14:textId="77777777" w:rsidR="00C61D31" w:rsidRPr="004D2B3B" w:rsidRDefault="00C61D31">
            <w:pPr>
              <w:rPr>
                <w:rFonts w:ascii="Calibri" w:eastAsiaTheme="minorHAnsi" w:hAnsi="Calibri"/>
                <w:sz w:val="22"/>
                <w:szCs w:val="22"/>
                <w:highlight w:val="yellow"/>
              </w:rPr>
            </w:pPr>
          </w:p>
        </w:tc>
        <w:tc>
          <w:tcPr>
            <w:tcW w:w="153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BDBEFAB" w14:textId="77777777" w:rsidR="00C61D31" w:rsidRPr="004D2B3B" w:rsidRDefault="00C61D31">
            <w:pPr>
              <w:rPr>
                <w:rFonts w:ascii="Calibri" w:eastAsiaTheme="minorHAnsi" w:hAnsi="Calibri"/>
                <w:sz w:val="22"/>
                <w:szCs w:val="22"/>
                <w:highlight w:val="yellow"/>
              </w:rPr>
            </w:pPr>
          </w:p>
        </w:tc>
        <w:tc>
          <w:tcPr>
            <w:tcW w:w="124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F863609" w14:textId="77777777" w:rsidR="00C61D31" w:rsidRPr="004D2B3B" w:rsidRDefault="00C61D31">
            <w:pPr>
              <w:rPr>
                <w:rFonts w:ascii="Calibri" w:eastAsiaTheme="minorHAnsi" w:hAnsi="Calibri"/>
                <w:b/>
                <w:bCs/>
                <w:sz w:val="22"/>
                <w:szCs w:val="22"/>
                <w:highlight w:val="yellow"/>
              </w:rPr>
            </w:pPr>
          </w:p>
        </w:tc>
        <w:tc>
          <w:tcPr>
            <w:tcW w:w="1032" w:type="dxa"/>
            <w:tcBorders>
              <w:top w:val="nil"/>
              <w:left w:val="nil"/>
              <w:bottom w:val="single" w:sz="8" w:space="0" w:color="auto"/>
              <w:right w:val="single" w:sz="8" w:space="0" w:color="auto"/>
            </w:tcBorders>
            <w:shd w:val="clear" w:color="auto" w:fill="BFBFBF"/>
          </w:tcPr>
          <w:p w14:paraId="2AD3B29D" w14:textId="77777777" w:rsidR="00C61D31" w:rsidRPr="004D2B3B" w:rsidRDefault="00C61D31">
            <w:pPr>
              <w:rPr>
                <w:b/>
                <w:bCs/>
                <w:highlight w:val="yellow"/>
              </w:rPr>
            </w:pPr>
          </w:p>
        </w:tc>
        <w:tc>
          <w:tcPr>
            <w:tcW w:w="1330" w:type="dxa"/>
            <w:tcBorders>
              <w:top w:val="nil"/>
              <w:left w:val="nil"/>
              <w:bottom w:val="single" w:sz="8" w:space="0" w:color="auto"/>
              <w:right w:val="single" w:sz="8" w:space="0" w:color="auto"/>
            </w:tcBorders>
          </w:tcPr>
          <w:p w14:paraId="1678057B" w14:textId="77777777" w:rsidR="00C61D31" w:rsidRPr="004D2B3B" w:rsidRDefault="00C61D31">
            <w:pPr>
              <w:rPr>
                <w:b/>
                <w:bCs/>
                <w:highlight w:val="yellow"/>
              </w:rPr>
            </w:pPr>
          </w:p>
        </w:tc>
      </w:tr>
      <w:tr w:rsidR="00C61D31" w14:paraId="6675F9DB" w14:textId="77777777" w:rsidTr="00C61D31">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6EAEA0" w14:textId="77777777" w:rsidR="00C61D31" w:rsidRPr="004D2B3B" w:rsidRDefault="00C61D31">
            <w:pPr>
              <w:rPr>
                <w:b/>
                <w:bCs/>
                <w:highlight w:val="yellow"/>
              </w:rPr>
            </w:pPr>
            <w:r w:rsidRPr="004D2B3B">
              <w:rPr>
                <w:b/>
                <w:bCs/>
                <w:highlight w:val="yellow"/>
              </w:rPr>
              <w:t>Total</w:t>
            </w:r>
          </w:p>
        </w:tc>
        <w:tc>
          <w:tcPr>
            <w:tcW w:w="1073" w:type="dxa"/>
            <w:tcBorders>
              <w:top w:val="nil"/>
              <w:left w:val="nil"/>
              <w:bottom w:val="single" w:sz="8" w:space="0" w:color="auto"/>
              <w:right w:val="single" w:sz="8" w:space="0" w:color="auto"/>
            </w:tcBorders>
          </w:tcPr>
          <w:p w14:paraId="182DE361" w14:textId="77777777" w:rsidR="00C61D31" w:rsidRPr="004D2B3B" w:rsidRDefault="00C61D31">
            <w:pPr>
              <w:rPr>
                <w:sz w:val="24"/>
                <w:szCs w:val="24"/>
                <w:highlight w:val="yellow"/>
              </w:rPr>
            </w:pPr>
          </w:p>
        </w:tc>
        <w:tc>
          <w:tcPr>
            <w:tcW w:w="15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78BD02" w14:textId="1AFE07DA" w:rsidR="00C61D31" w:rsidRPr="004D2B3B" w:rsidRDefault="00C61D31">
            <w:pPr>
              <w:rPr>
                <w:sz w:val="24"/>
                <w:szCs w:val="24"/>
                <w:highlight w:val="yellow"/>
              </w:rPr>
            </w:pPr>
            <w:r w:rsidRPr="004D2B3B">
              <w:rPr>
                <w:sz w:val="24"/>
                <w:szCs w:val="24"/>
                <w:highlight w:val="yellow"/>
              </w:rPr>
              <w:t>$</w:t>
            </w:r>
            <w:r w:rsidR="008C0700" w:rsidRPr="004D2B3B">
              <w:rPr>
                <w:sz w:val="24"/>
                <w:szCs w:val="24"/>
                <w:highlight w:val="yellow"/>
              </w:rPr>
              <w:t>411,279</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F7B51E" w14:textId="77777777" w:rsidR="00C61D31" w:rsidRPr="004D2B3B" w:rsidRDefault="00C61D31">
            <w:pPr>
              <w:rPr>
                <w:sz w:val="24"/>
                <w:szCs w:val="24"/>
                <w:highlight w:val="yellow"/>
              </w:rPr>
            </w:pPr>
          </w:p>
        </w:tc>
        <w:tc>
          <w:tcPr>
            <w:tcW w:w="1032" w:type="dxa"/>
            <w:tcBorders>
              <w:top w:val="nil"/>
              <w:left w:val="nil"/>
              <w:bottom w:val="single" w:sz="8" w:space="0" w:color="auto"/>
              <w:right w:val="single" w:sz="8" w:space="0" w:color="auto"/>
            </w:tcBorders>
            <w:hideMark/>
          </w:tcPr>
          <w:p w14:paraId="6EEC0CFF" w14:textId="77777777" w:rsidR="00C61D31" w:rsidRPr="004D2B3B" w:rsidRDefault="00C61D31">
            <w:pPr>
              <w:rPr>
                <w:rFonts w:ascii="Calibri" w:eastAsiaTheme="minorHAnsi" w:hAnsi="Calibri"/>
                <w:sz w:val="22"/>
                <w:szCs w:val="22"/>
                <w:highlight w:val="yellow"/>
              </w:rPr>
            </w:pPr>
            <w:r w:rsidRPr="004D2B3B">
              <w:rPr>
                <w:highlight w:val="yellow"/>
              </w:rPr>
              <w:t>$ 95,609</w:t>
            </w:r>
          </w:p>
        </w:tc>
        <w:tc>
          <w:tcPr>
            <w:tcW w:w="1330" w:type="dxa"/>
            <w:tcBorders>
              <w:top w:val="nil"/>
              <w:left w:val="nil"/>
              <w:bottom w:val="single" w:sz="8" w:space="0" w:color="auto"/>
              <w:right w:val="single" w:sz="8" w:space="0" w:color="auto"/>
            </w:tcBorders>
            <w:hideMark/>
          </w:tcPr>
          <w:p w14:paraId="70BB8F51" w14:textId="588C2E08" w:rsidR="00C61D31" w:rsidRDefault="00C61D31">
            <w:r w:rsidRPr="004D2B3B">
              <w:rPr>
                <w:highlight w:val="yellow"/>
              </w:rPr>
              <w:t xml:space="preserve">$ </w:t>
            </w:r>
            <w:r w:rsidR="008C0700" w:rsidRPr="004D2B3B">
              <w:rPr>
                <w:highlight w:val="yellow"/>
              </w:rPr>
              <w:t>44,769</w:t>
            </w:r>
          </w:p>
        </w:tc>
      </w:tr>
    </w:tbl>
    <w:p w14:paraId="566DE393" w14:textId="5D082887" w:rsidR="00C61D31" w:rsidRDefault="00C61D31" w:rsidP="00C61D31">
      <w:pPr>
        <w:pStyle w:val="Default"/>
      </w:pPr>
    </w:p>
    <w:p w14:paraId="1D07B0BE" w14:textId="77777777" w:rsidR="00C61D31" w:rsidRPr="00C61D31" w:rsidRDefault="00C61D31" w:rsidP="00C61D31">
      <w:pPr>
        <w:pStyle w:val="Default"/>
      </w:pPr>
    </w:p>
    <w:p w14:paraId="2FE070ED" w14:textId="77777777" w:rsidR="006A1D9F" w:rsidRPr="009D2138" w:rsidRDefault="00801B97" w:rsidP="00E92FAE">
      <w:pPr>
        <w:pStyle w:val="CM27"/>
        <w:spacing w:after="0" w:line="480" w:lineRule="auto"/>
        <w:rPr>
          <w:rFonts w:ascii="Times New Roman" w:hAnsi="Times New Roman"/>
          <w:color w:val="000000"/>
        </w:rPr>
      </w:pPr>
      <w:r>
        <w:rPr>
          <w:rFonts w:ascii="Times New Roman" w:hAnsi="Times New Roman"/>
        </w:rPr>
        <w:t xml:space="preserve">The total estimated cost to the Federal government will be reported on every request.  As certified in each request by the responsible program staff, the costs to collect the information will be low for the Federal government.  </w:t>
      </w:r>
    </w:p>
    <w:p w14:paraId="50590552" w14:textId="77777777" w:rsidR="006A1D9F" w:rsidRPr="009D2138" w:rsidRDefault="007377B2" w:rsidP="00293F38">
      <w:pPr>
        <w:pStyle w:val="CM26"/>
        <w:spacing w:after="0" w:line="480" w:lineRule="auto"/>
        <w:rPr>
          <w:rFonts w:ascii="Times New Roman" w:hAnsi="Times New Roman"/>
        </w:rPr>
      </w:pPr>
      <w:r>
        <w:rPr>
          <w:rFonts w:ascii="Times New Roman" w:hAnsi="Times New Roman"/>
          <w:b/>
          <w:bCs/>
        </w:rPr>
        <w:t>A.</w:t>
      </w:r>
      <w:r w:rsidR="006A1D9F" w:rsidRPr="009D2138">
        <w:rPr>
          <w:rFonts w:ascii="Times New Roman" w:hAnsi="Times New Roman"/>
          <w:b/>
          <w:bCs/>
        </w:rPr>
        <w:t xml:space="preserve">15 </w:t>
      </w:r>
      <w:r w:rsidR="00870A6A">
        <w:rPr>
          <w:rFonts w:ascii="Times New Roman" w:hAnsi="Times New Roman"/>
          <w:b/>
          <w:bCs/>
        </w:rPr>
        <w:t xml:space="preserve">Explanation for Program </w:t>
      </w:r>
      <w:r w:rsidR="006A1D9F" w:rsidRPr="009D2138">
        <w:rPr>
          <w:rFonts w:ascii="Times New Roman" w:hAnsi="Times New Roman"/>
          <w:b/>
          <w:bCs/>
        </w:rPr>
        <w:t xml:space="preserve">Changes </w:t>
      </w:r>
      <w:r w:rsidR="00870A6A">
        <w:rPr>
          <w:rFonts w:ascii="Times New Roman" w:hAnsi="Times New Roman"/>
          <w:b/>
          <w:bCs/>
        </w:rPr>
        <w:t>or Adjustments</w:t>
      </w:r>
      <w:r w:rsidR="006A1D9F" w:rsidRPr="009D2138">
        <w:rPr>
          <w:rFonts w:ascii="Times New Roman" w:hAnsi="Times New Roman"/>
          <w:b/>
          <w:bCs/>
        </w:rPr>
        <w:t xml:space="preserve"> </w:t>
      </w:r>
    </w:p>
    <w:p w14:paraId="0CC16B7A" w14:textId="77777777" w:rsidR="00C876CC" w:rsidRPr="00524C61" w:rsidRDefault="003C759D" w:rsidP="00C876CC">
      <w:pPr>
        <w:pStyle w:val="CM26"/>
        <w:spacing w:after="0" w:line="480" w:lineRule="auto"/>
        <w:ind w:firstLine="720"/>
        <w:rPr>
          <w:rFonts w:ascii="Times New Roman" w:hAnsi="Times New Roman"/>
          <w:highlight w:val="yellow"/>
        </w:rPr>
      </w:pPr>
      <w:r w:rsidRPr="00524C61">
        <w:rPr>
          <w:rFonts w:ascii="Times New Roman" w:hAnsi="Times New Roman"/>
          <w:highlight w:val="yellow"/>
        </w:rPr>
        <w:t xml:space="preserve">Changes have been made to the estimated burden hours based on anticipated activities for next 3 years.   </w:t>
      </w:r>
      <w:r w:rsidR="00C876CC" w:rsidRPr="00524C61">
        <w:rPr>
          <w:rFonts w:ascii="Times New Roman" w:hAnsi="Times New Roman"/>
          <w:highlight w:val="yellow"/>
        </w:rPr>
        <w:t xml:space="preserve">Because the STS National Champions substudy is no longer active, the need for tracking/feedback forms is greatly reduced.  </w:t>
      </w:r>
      <w:r w:rsidRPr="00524C61">
        <w:rPr>
          <w:rFonts w:ascii="Times New Roman" w:hAnsi="Times New Roman"/>
          <w:highlight w:val="yellow"/>
        </w:rPr>
        <w:t xml:space="preserve">We </w:t>
      </w:r>
      <w:r w:rsidR="00C876CC" w:rsidRPr="00524C61">
        <w:rPr>
          <w:rFonts w:ascii="Times New Roman" w:hAnsi="Times New Roman"/>
          <w:highlight w:val="yellow"/>
        </w:rPr>
        <w:t xml:space="preserve">do not </w:t>
      </w:r>
      <w:r w:rsidRPr="00524C61">
        <w:rPr>
          <w:rFonts w:ascii="Times New Roman" w:hAnsi="Times New Roman"/>
          <w:highlight w:val="yellow"/>
        </w:rPr>
        <w:t xml:space="preserve">anticipate </w:t>
      </w:r>
      <w:r w:rsidR="00C876CC" w:rsidRPr="00524C61">
        <w:rPr>
          <w:rFonts w:ascii="Times New Roman" w:hAnsi="Times New Roman"/>
          <w:highlight w:val="yellow"/>
        </w:rPr>
        <w:t>needing many</w:t>
      </w:r>
      <w:r w:rsidRPr="00524C61">
        <w:rPr>
          <w:rFonts w:ascii="Times New Roman" w:hAnsi="Times New Roman"/>
          <w:highlight w:val="yellow"/>
        </w:rPr>
        <w:t xml:space="preserve"> focus groups </w:t>
      </w:r>
      <w:r w:rsidR="00C876CC" w:rsidRPr="00524C61">
        <w:rPr>
          <w:rFonts w:ascii="Times New Roman" w:hAnsi="Times New Roman"/>
          <w:highlight w:val="yellow"/>
        </w:rPr>
        <w:t>or</w:t>
      </w:r>
      <w:r w:rsidRPr="00524C61">
        <w:rPr>
          <w:rFonts w:ascii="Times New Roman" w:hAnsi="Times New Roman"/>
          <w:highlight w:val="yellow"/>
        </w:rPr>
        <w:t xml:space="preserve"> interviews</w:t>
      </w:r>
      <w:r w:rsidR="00C876CC" w:rsidRPr="00524C61">
        <w:rPr>
          <w:rFonts w:ascii="Times New Roman" w:hAnsi="Times New Roman"/>
          <w:highlight w:val="yellow"/>
        </w:rPr>
        <w:t xml:space="preserve">, so those are reduced as well.  We do anticipate more pre-/post-tests under this generic clearance due to a plan to request clearance for the STS continuing education activity.  </w:t>
      </w:r>
    </w:p>
    <w:p w14:paraId="022DF0BC" w14:textId="3CD7C30C" w:rsidR="00C81053" w:rsidRDefault="00C876CC" w:rsidP="00524C61">
      <w:pPr>
        <w:pStyle w:val="CM26"/>
        <w:spacing w:line="480" w:lineRule="auto"/>
        <w:ind w:firstLine="720"/>
        <w:rPr>
          <w:rFonts w:ascii="Times New Roman" w:hAnsi="Times New Roman"/>
        </w:rPr>
      </w:pPr>
      <w:r w:rsidRPr="00524C61">
        <w:rPr>
          <w:rFonts w:ascii="Times New Roman" w:hAnsi="Times New Roman"/>
          <w:highlight w:val="yellow"/>
        </w:rPr>
        <w:t>Previously, continuing education satisfaction surveys were approved under NICHD’s fast track clearance (OMB #0925-0643</w:t>
      </w:r>
      <w:r w:rsidR="00524C61" w:rsidRPr="00524C61">
        <w:rPr>
          <w:rFonts w:ascii="Times New Roman" w:hAnsi="Times New Roman"/>
          <w:highlight w:val="yellow"/>
        </w:rPr>
        <w:t>; 18,400 respondents, 4,600 hours</w:t>
      </w:r>
      <w:r w:rsidRPr="00524C61">
        <w:rPr>
          <w:rFonts w:ascii="Times New Roman" w:hAnsi="Times New Roman"/>
          <w:highlight w:val="yellow"/>
        </w:rPr>
        <w:t xml:space="preserve">).  This continuing education (CE) activity is now approved by the Maryland Nurses Association (MNA) for 1.1 contact hours.  To receive full contact-hour credit for this CE activity, the learner </w:t>
      </w:r>
      <w:r w:rsidR="00524C61" w:rsidRPr="00524C61">
        <w:rPr>
          <w:rFonts w:ascii="Times New Roman" w:hAnsi="Times New Roman"/>
          <w:highlight w:val="yellow"/>
        </w:rPr>
        <w:t>will need to</w:t>
      </w:r>
      <w:r w:rsidRPr="00524C61">
        <w:rPr>
          <w:rFonts w:ascii="Times New Roman" w:hAnsi="Times New Roman"/>
          <w:highlight w:val="yellow"/>
        </w:rPr>
        <w:t xml:space="preserve"> complete the pre- and post-test and submit them via the NICHD’s online module’s Claim Continuing Education Credit page.</w:t>
      </w:r>
      <w:r w:rsidR="00524C61" w:rsidRPr="00524C61">
        <w:rPr>
          <w:rFonts w:ascii="Times New Roman" w:hAnsi="Times New Roman"/>
          <w:highlight w:val="yellow"/>
        </w:rPr>
        <w:t xml:space="preserve">  The pre-/post-test is currently under development and will be submitted as a substudy upon approval of this generic clearance.  </w:t>
      </w:r>
      <w:r w:rsidRPr="00524C61">
        <w:rPr>
          <w:rFonts w:ascii="Times New Roman" w:hAnsi="Times New Roman"/>
          <w:highlight w:val="yellow"/>
        </w:rPr>
        <w:t>Based on past annual participation levels, the forecasted number of health professionals that will complete this CE activity</w:t>
      </w:r>
      <w:r w:rsidR="00524C61" w:rsidRPr="00524C61">
        <w:rPr>
          <w:rFonts w:ascii="Times New Roman" w:hAnsi="Times New Roman"/>
          <w:highlight w:val="yellow"/>
        </w:rPr>
        <w:t xml:space="preserve"> per year could be as many as</w:t>
      </w:r>
      <w:r w:rsidRPr="00524C61">
        <w:rPr>
          <w:rFonts w:ascii="Times New Roman" w:hAnsi="Times New Roman"/>
          <w:highlight w:val="yellow"/>
        </w:rPr>
        <w:t xml:space="preserve"> 20,000. Therefore, we estimate that we will have approximately 20,000 pre- and 20,000 post-tests for this CE </w:t>
      </w:r>
      <w:r w:rsidRPr="009400EC">
        <w:rPr>
          <w:rFonts w:ascii="Times New Roman" w:hAnsi="Times New Roman"/>
          <w:highlight w:val="yellow"/>
        </w:rPr>
        <w:t>activity.</w:t>
      </w:r>
      <w:r w:rsidR="009400EC" w:rsidRPr="009400EC">
        <w:rPr>
          <w:rFonts w:ascii="Times New Roman" w:hAnsi="Times New Roman"/>
          <w:highlight w:val="yellow"/>
        </w:rPr>
        <w:t xml:space="preserve">  However, the customer satisfaction survey is sent out approximately 6 months after the training and traditionally has low response rate.  Therefore, we anticipate only 2,000 survey respondents.</w:t>
      </w:r>
    </w:p>
    <w:p w14:paraId="37791CE3" w14:textId="77777777" w:rsidR="006A1D9F" w:rsidRPr="009D2138" w:rsidRDefault="00DD0313" w:rsidP="00293F38">
      <w:pPr>
        <w:pStyle w:val="CM26"/>
        <w:spacing w:after="0" w:line="480" w:lineRule="auto"/>
        <w:rPr>
          <w:rFonts w:ascii="Times New Roman" w:hAnsi="Times New Roman"/>
        </w:rPr>
      </w:pPr>
      <w:r>
        <w:rPr>
          <w:rFonts w:ascii="Times New Roman" w:hAnsi="Times New Roman"/>
          <w:b/>
          <w:bCs/>
        </w:rPr>
        <w:t>A.</w:t>
      </w:r>
      <w:r w:rsidR="00AD272D" w:rsidRPr="009D2138">
        <w:rPr>
          <w:rFonts w:ascii="Times New Roman" w:hAnsi="Times New Roman"/>
          <w:b/>
          <w:bCs/>
        </w:rPr>
        <w:t>1</w:t>
      </w:r>
      <w:r w:rsidR="006A1D9F" w:rsidRPr="009D2138">
        <w:rPr>
          <w:rFonts w:ascii="Times New Roman" w:hAnsi="Times New Roman"/>
          <w:b/>
          <w:bCs/>
        </w:rPr>
        <w:t xml:space="preserve">6 Plans for Tabulation, Publication, and Project Time Schedule </w:t>
      </w:r>
    </w:p>
    <w:p w14:paraId="3C55F9F9" w14:textId="68A4E338" w:rsidR="00EE7745" w:rsidRDefault="00EE7745" w:rsidP="008F269B">
      <w:pPr>
        <w:spacing w:line="480" w:lineRule="auto"/>
        <w:ind w:firstLine="720"/>
        <w:rPr>
          <w:noProof/>
          <w:sz w:val="24"/>
          <w:szCs w:val="24"/>
        </w:rPr>
      </w:pPr>
      <w:r w:rsidRPr="008E12FB">
        <w:rPr>
          <w:noProof/>
          <w:sz w:val="24"/>
          <w:szCs w:val="24"/>
        </w:rPr>
        <w:t>Analysis of sub-studies may be required and it will typically include quantit</w:t>
      </w:r>
      <w:r w:rsidR="00DD0313">
        <w:rPr>
          <w:noProof/>
          <w:sz w:val="24"/>
          <w:szCs w:val="24"/>
        </w:rPr>
        <w:t>at</w:t>
      </w:r>
      <w:r w:rsidRPr="008E12FB">
        <w:rPr>
          <w:noProof/>
          <w:sz w:val="24"/>
          <w:szCs w:val="24"/>
        </w:rPr>
        <w:t xml:space="preserve">ive analysis such as </w:t>
      </w:r>
      <w:r w:rsidRPr="00460035">
        <w:rPr>
          <w:noProof/>
          <w:sz w:val="24"/>
          <w:szCs w:val="24"/>
        </w:rPr>
        <w:t>frequencies, cross tabulations</w:t>
      </w:r>
      <w:r w:rsidRPr="008F269B">
        <w:rPr>
          <w:noProof/>
          <w:sz w:val="24"/>
          <w:szCs w:val="24"/>
        </w:rPr>
        <w:t xml:space="preserve">, and measures of central tendancy to yield descriptive statistics of demographic variables.  Qualitative data analysis may also be included for focus group and in-depth interview data collections.  </w:t>
      </w:r>
      <w:r w:rsidRPr="008F269B">
        <w:rPr>
          <w:sz w:val="24"/>
          <w:szCs w:val="24"/>
        </w:rPr>
        <w:t xml:space="preserve">A thematic analysis will be conducted to analyze the focus group and interview data.  </w:t>
      </w:r>
      <w:r w:rsidR="007C2C99" w:rsidRPr="008F269B">
        <w:rPr>
          <w:sz w:val="24"/>
          <w:szCs w:val="24"/>
        </w:rPr>
        <w:t>Analys</w:t>
      </w:r>
      <w:r w:rsidR="007C2C99">
        <w:rPr>
          <w:sz w:val="24"/>
          <w:szCs w:val="24"/>
        </w:rPr>
        <w:t>e</w:t>
      </w:r>
      <w:r w:rsidR="007C2C99" w:rsidRPr="008F269B">
        <w:rPr>
          <w:sz w:val="24"/>
          <w:szCs w:val="24"/>
        </w:rPr>
        <w:t xml:space="preserve">s </w:t>
      </w:r>
      <w:r w:rsidRPr="008F269B">
        <w:rPr>
          <w:sz w:val="24"/>
          <w:szCs w:val="24"/>
        </w:rPr>
        <w:t>will highlight relationships across codes, patterns, contrasts</w:t>
      </w:r>
      <w:r>
        <w:rPr>
          <w:sz w:val="24"/>
          <w:szCs w:val="24"/>
        </w:rPr>
        <w:t>,</w:t>
      </w:r>
      <w:r w:rsidRPr="008F269B">
        <w:rPr>
          <w:sz w:val="24"/>
          <w:szCs w:val="24"/>
        </w:rPr>
        <w:t xml:space="preserve"> and similarities across key respondent groups to develop conclusions.  </w:t>
      </w:r>
      <w:r w:rsidRPr="008E12FB">
        <w:rPr>
          <w:noProof/>
          <w:sz w:val="24"/>
          <w:szCs w:val="24"/>
        </w:rPr>
        <w:t xml:space="preserve">These sub-studies will not involve </w:t>
      </w:r>
      <w:r w:rsidRPr="00460035">
        <w:rPr>
          <w:noProof/>
          <w:sz w:val="24"/>
          <w:szCs w:val="24"/>
        </w:rPr>
        <w:t>inferential statistical analyses and</w:t>
      </w:r>
      <w:r w:rsidRPr="008F269B">
        <w:rPr>
          <w:noProof/>
          <w:sz w:val="24"/>
          <w:szCs w:val="24"/>
        </w:rPr>
        <w:t xml:space="preserve"> parametric tests.  The findings gleaned</w:t>
      </w:r>
      <w:r w:rsidRPr="00FB54DC">
        <w:rPr>
          <w:noProof/>
          <w:sz w:val="24"/>
          <w:szCs w:val="24"/>
        </w:rPr>
        <w:t xml:space="preserve"> from the sub-s</w:t>
      </w:r>
      <w:r>
        <w:rPr>
          <w:noProof/>
          <w:sz w:val="24"/>
          <w:szCs w:val="24"/>
        </w:rPr>
        <w:t>tudies</w:t>
      </w:r>
      <w:r w:rsidRPr="00FB54DC">
        <w:rPr>
          <w:noProof/>
          <w:sz w:val="24"/>
          <w:szCs w:val="24"/>
        </w:rPr>
        <w:t xml:space="preserve"> are intended to be used by </w:t>
      </w:r>
      <w:r>
        <w:rPr>
          <w:noProof/>
          <w:sz w:val="24"/>
          <w:szCs w:val="24"/>
        </w:rPr>
        <w:t xml:space="preserve">program staff to dissesimate information about the campaign, fine-tune STS campaign objectives and priorities for the NICHD, and improve </w:t>
      </w:r>
      <w:r w:rsidR="00132F16">
        <w:rPr>
          <w:noProof/>
          <w:sz w:val="24"/>
          <w:szCs w:val="24"/>
        </w:rPr>
        <w:t xml:space="preserve">campaign </w:t>
      </w:r>
      <w:r>
        <w:rPr>
          <w:noProof/>
          <w:sz w:val="24"/>
          <w:szCs w:val="24"/>
        </w:rPr>
        <w:t>management</w:t>
      </w:r>
      <w:r w:rsidR="00436E72">
        <w:rPr>
          <w:noProof/>
          <w:sz w:val="24"/>
          <w:szCs w:val="24"/>
        </w:rPr>
        <w:t xml:space="preserve"> and implementation</w:t>
      </w:r>
      <w:r>
        <w:rPr>
          <w:noProof/>
          <w:sz w:val="24"/>
          <w:szCs w:val="24"/>
        </w:rPr>
        <w:t xml:space="preserve">.  </w:t>
      </w:r>
      <w:r w:rsidRPr="00FB54DC">
        <w:rPr>
          <w:noProof/>
          <w:sz w:val="24"/>
          <w:szCs w:val="24"/>
        </w:rPr>
        <w:t xml:space="preserve">  </w:t>
      </w:r>
    </w:p>
    <w:p w14:paraId="49639734" w14:textId="77777777" w:rsidR="00EE7745" w:rsidRPr="00FB54DC" w:rsidRDefault="00EE7745" w:rsidP="008F269B">
      <w:pPr>
        <w:spacing w:line="480" w:lineRule="auto"/>
        <w:ind w:firstLine="720"/>
        <w:rPr>
          <w:noProof/>
          <w:sz w:val="24"/>
          <w:szCs w:val="24"/>
        </w:rPr>
      </w:pPr>
      <w:r w:rsidRPr="00FB54DC">
        <w:rPr>
          <w:noProof/>
          <w:sz w:val="24"/>
          <w:szCs w:val="24"/>
        </w:rPr>
        <w:t xml:space="preserve">Results from information collections </w:t>
      </w:r>
      <w:r>
        <w:rPr>
          <w:noProof/>
          <w:sz w:val="24"/>
          <w:szCs w:val="24"/>
        </w:rPr>
        <w:t xml:space="preserve">may </w:t>
      </w:r>
      <w:r w:rsidRPr="00FB54DC">
        <w:rPr>
          <w:noProof/>
          <w:sz w:val="24"/>
          <w:szCs w:val="24"/>
        </w:rPr>
        <w:t>be presented in reports</w:t>
      </w:r>
      <w:r>
        <w:rPr>
          <w:noProof/>
          <w:sz w:val="24"/>
          <w:szCs w:val="24"/>
        </w:rPr>
        <w:t xml:space="preserve">, </w:t>
      </w:r>
      <w:r w:rsidRPr="00FB54DC">
        <w:rPr>
          <w:noProof/>
          <w:sz w:val="24"/>
          <w:szCs w:val="24"/>
        </w:rPr>
        <w:t>briefs</w:t>
      </w:r>
      <w:r>
        <w:rPr>
          <w:noProof/>
          <w:sz w:val="24"/>
          <w:szCs w:val="24"/>
        </w:rPr>
        <w:t>, executive summaries, and presenations</w:t>
      </w:r>
      <w:r w:rsidRPr="00FB54DC">
        <w:rPr>
          <w:noProof/>
          <w:sz w:val="24"/>
          <w:szCs w:val="24"/>
        </w:rPr>
        <w:t xml:space="preserve"> </w:t>
      </w:r>
      <w:r>
        <w:rPr>
          <w:noProof/>
          <w:sz w:val="24"/>
          <w:szCs w:val="24"/>
        </w:rPr>
        <w:t>to</w:t>
      </w:r>
      <w:r w:rsidRPr="00FB54DC">
        <w:rPr>
          <w:noProof/>
          <w:sz w:val="24"/>
          <w:szCs w:val="24"/>
        </w:rPr>
        <w:t xml:space="preserve"> the </w:t>
      </w:r>
      <w:r>
        <w:rPr>
          <w:noProof/>
          <w:sz w:val="24"/>
          <w:szCs w:val="24"/>
        </w:rPr>
        <w:t xml:space="preserve">NICHD </w:t>
      </w:r>
      <w:r w:rsidR="00E669D2">
        <w:rPr>
          <w:noProof/>
          <w:sz w:val="24"/>
          <w:szCs w:val="24"/>
        </w:rPr>
        <w:t>Offices</w:t>
      </w:r>
      <w:r>
        <w:rPr>
          <w:noProof/>
          <w:sz w:val="24"/>
          <w:szCs w:val="24"/>
        </w:rPr>
        <w:t xml:space="preserve"> and Branches, NIH, or HHS.  Additionally, some information</w:t>
      </w:r>
      <w:r w:rsidR="00436E72">
        <w:rPr>
          <w:noProof/>
          <w:sz w:val="24"/>
          <w:szCs w:val="24"/>
        </w:rPr>
        <w:t>,</w:t>
      </w:r>
      <w:r>
        <w:rPr>
          <w:noProof/>
          <w:sz w:val="24"/>
          <w:szCs w:val="24"/>
        </w:rPr>
        <w:t xml:space="preserve"> depending on the content (e.g., </w:t>
      </w:r>
      <w:r w:rsidR="00A31C4B">
        <w:rPr>
          <w:noProof/>
          <w:sz w:val="24"/>
          <w:szCs w:val="24"/>
        </w:rPr>
        <w:t>updated STS campaign brochures and dissemination materials</w:t>
      </w:r>
      <w:r>
        <w:rPr>
          <w:noProof/>
          <w:sz w:val="24"/>
          <w:szCs w:val="24"/>
        </w:rPr>
        <w:t>)</w:t>
      </w:r>
      <w:r w:rsidR="00436E72">
        <w:rPr>
          <w:noProof/>
          <w:sz w:val="24"/>
          <w:szCs w:val="24"/>
        </w:rPr>
        <w:t>,</w:t>
      </w:r>
      <w:r>
        <w:rPr>
          <w:noProof/>
          <w:sz w:val="24"/>
          <w:szCs w:val="24"/>
        </w:rPr>
        <w:t xml:space="preserve"> may be released to the </w:t>
      </w:r>
      <w:r w:rsidR="002F067F">
        <w:rPr>
          <w:noProof/>
          <w:sz w:val="24"/>
          <w:szCs w:val="24"/>
        </w:rPr>
        <w:t>campaign collaborators</w:t>
      </w:r>
      <w:r w:rsidR="00A31C4B">
        <w:rPr>
          <w:noProof/>
          <w:sz w:val="24"/>
          <w:szCs w:val="24"/>
        </w:rPr>
        <w:t xml:space="preserve"> and the </w:t>
      </w:r>
      <w:r>
        <w:rPr>
          <w:noProof/>
          <w:sz w:val="24"/>
          <w:szCs w:val="24"/>
        </w:rPr>
        <w:t>public through website, email</w:t>
      </w:r>
      <w:r w:rsidR="00A31C4B">
        <w:rPr>
          <w:noProof/>
          <w:sz w:val="24"/>
          <w:szCs w:val="24"/>
        </w:rPr>
        <w:t>,</w:t>
      </w:r>
      <w:r>
        <w:rPr>
          <w:noProof/>
          <w:sz w:val="24"/>
          <w:szCs w:val="24"/>
        </w:rPr>
        <w:t xml:space="preserve"> or a newsletter.  The respondents will be informed of the </w:t>
      </w:r>
      <w:r w:rsidRPr="00FB54DC">
        <w:rPr>
          <w:noProof/>
          <w:sz w:val="24"/>
          <w:szCs w:val="24"/>
        </w:rPr>
        <w:t>plans</w:t>
      </w:r>
      <w:r>
        <w:rPr>
          <w:noProof/>
          <w:sz w:val="24"/>
          <w:szCs w:val="24"/>
        </w:rPr>
        <w:t xml:space="preserve"> to release, and the specific release plans will be requested in the sub-</w:t>
      </w:r>
      <w:r w:rsidR="00A31C4B">
        <w:rPr>
          <w:noProof/>
          <w:sz w:val="24"/>
          <w:szCs w:val="24"/>
        </w:rPr>
        <w:t>study</w:t>
      </w:r>
      <w:r>
        <w:rPr>
          <w:noProof/>
          <w:sz w:val="24"/>
          <w:szCs w:val="24"/>
        </w:rPr>
        <w:t xml:space="preserve"> templates for OMB review</w:t>
      </w:r>
      <w:r w:rsidR="005051D4">
        <w:rPr>
          <w:noProof/>
          <w:sz w:val="24"/>
          <w:szCs w:val="24"/>
        </w:rPr>
        <w:t xml:space="preserve"> (Attachment </w:t>
      </w:r>
      <w:r w:rsidR="00DD0313">
        <w:rPr>
          <w:noProof/>
          <w:sz w:val="24"/>
          <w:szCs w:val="24"/>
        </w:rPr>
        <w:t>2A</w:t>
      </w:r>
      <w:r w:rsidR="005051D4">
        <w:rPr>
          <w:noProof/>
          <w:sz w:val="24"/>
          <w:szCs w:val="24"/>
        </w:rPr>
        <w:t>-</w:t>
      </w:r>
      <w:r w:rsidR="00DD0313">
        <w:rPr>
          <w:noProof/>
          <w:sz w:val="24"/>
          <w:szCs w:val="24"/>
        </w:rPr>
        <w:t>2B</w:t>
      </w:r>
      <w:r w:rsidR="005051D4">
        <w:rPr>
          <w:noProof/>
          <w:sz w:val="24"/>
          <w:szCs w:val="24"/>
        </w:rPr>
        <w:t>)</w:t>
      </w:r>
      <w:r w:rsidRPr="00FB54DC">
        <w:rPr>
          <w:noProof/>
          <w:sz w:val="24"/>
          <w:szCs w:val="24"/>
        </w:rPr>
        <w:t>.</w:t>
      </w:r>
    </w:p>
    <w:p w14:paraId="0CAC8640" w14:textId="77777777" w:rsidR="00EE7745" w:rsidRPr="00FB54DC" w:rsidRDefault="00EE7745" w:rsidP="008F269B">
      <w:pPr>
        <w:spacing w:line="480" w:lineRule="auto"/>
        <w:ind w:firstLine="720"/>
        <w:rPr>
          <w:noProof/>
          <w:sz w:val="24"/>
          <w:szCs w:val="24"/>
        </w:rPr>
      </w:pPr>
      <w:r w:rsidRPr="00FB54DC">
        <w:rPr>
          <w:noProof/>
          <w:sz w:val="24"/>
          <w:szCs w:val="24"/>
        </w:rPr>
        <w:t xml:space="preserve">Project timelines will vary according to </w:t>
      </w:r>
      <w:r w:rsidR="00A31C4B">
        <w:rPr>
          <w:noProof/>
          <w:sz w:val="24"/>
          <w:szCs w:val="24"/>
        </w:rPr>
        <w:t xml:space="preserve">campaign priorities and </w:t>
      </w:r>
      <w:r w:rsidRPr="00FB54DC">
        <w:rPr>
          <w:noProof/>
          <w:sz w:val="24"/>
          <w:szCs w:val="24"/>
        </w:rPr>
        <w:t>fund</w:t>
      </w:r>
      <w:r w:rsidR="00A31C4B">
        <w:rPr>
          <w:noProof/>
          <w:sz w:val="24"/>
          <w:szCs w:val="24"/>
        </w:rPr>
        <w:t>s</w:t>
      </w:r>
      <w:r w:rsidRPr="00FB54DC">
        <w:rPr>
          <w:noProof/>
          <w:sz w:val="24"/>
          <w:szCs w:val="24"/>
        </w:rPr>
        <w:t xml:space="preserve">.  Individual projects will depend on the number of respondents and the complexity or length of the </w:t>
      </w:r>
      <w:r w:rsidR="00A31C4B">
        <w:rPr>
          <w:noProof/>
          <w:sz w:val="24"/>
          <w:szCs w:val="24"/>
        </w:rPr>
        <w:t>data collection instrument</w:t>
      </w:r>
      <w:r w:rsidRPr="00FB54DC">
        <w:rPr>
          <w:noProof/>
          <w:sz w:val="24"/>
          <w:szCs w:val="24"/>
        </w:rPr>
        <w:t xml:space="preserve">.  </w:t>
      </w:r>
      <w:r w:rsidR="00A31C4B">
        <w:rPr>
          <w:noProof/>
          <w:sz w:val="24"/>
          <w:szCs w:val="24"/>
        </w:rPr>
        <w:t>I</w:t>
      </w:r>
      <w:r w:rsidRPr="00FB54DC">
        <w:rPr>
          <w:noProof/>
          <w:sz w:val="24"/>
          <w:szCs w:val="24"/>
        </w:rPr>
        <w:t>nformation collection time periods can range from 1 month to 3 years.</w:t>
      </w:r>
      <w:r>
        <w:rPr>
          <w:noProof/>
          <w:sz w:val="24"/>
          <w:szCs w:val="24"/>
        </w:rPr>
        <w:t xml:space="preserve">  Should the collection of information </w:t>
      </w:r>
      <w:r w:rsidR="00436E72">
        <w:rPr>
          <w:noProof/>
          <w:sz w:val="24"/>
          <w:szCs w:val="24"/>
        </w:rPr>
        <w:t xml:space="preserve">need to </w:t>
      </w:r>
      <w:r>
        <w:rPr>
          <w:noProof/>
          <w:sz w:val="24"/>
          <w:szCs w:val="24"/>
        </w:rPr>
        <w:t>continu</w:t>
      </w:r>
      <w:r w:rsidR="00436E72">
        <w:rPr>
          <w:noProof/>
          <w:sz w:val="24"/>
          <w:szCs w:val="24"/>
        </w:rPr>
        <w:t>e</w:t>
      </w:r>
      <w:r>
        <w:rPr>
          <w:noProof/>
          <w:sz w:val="24"/>
          <w:szCs w:val="24"/>
        </w:rPr>
        <w:t xml:space="preserve"> after the expiry date of the full generic, the </w:t>
      </w:r>
      <w:r w:rsidR="00A31C4B">
        <w:rPr>
          <w:noProof/>
          <w:sz w:val="24"/>
          <w:szCs w:val="24"/>
        </w:rPr>
        <w:t>campaign</w:t>
      </w:r>
      <w:r>
        <w:rPr>
          <w:noProof/>
          <w:sz w:val="24"/>
          <w:szCs w:val="24"/>
        </w:rPr>
        <w:t xml:space="preserve"> staff will submit another request to continue to collect the information.</w:t>
      </w:r>
    </w:p>
    <w:p w14:paraId="51A70F5A" w14:textId="77777777" w:rsidR="00A31C4B" w:rsidRDefault="006A1D9F" w:rsidP="008F269B">
      <w:pPr>
        <w:pStyle w:val="Default"/>
        <w:spacing w:line="480" w:lineRule="auto"/>
      </w:pPr>
      <w:r w:rsidRPr="009D2138">
        <w:rPr>
          <w:rFonts w:ascii="Times New Roman" w:hAnsi="Times New Roman"/>
          <w:b/>
          <w:bCs/>
        </w:rPr>
        <w:t xml:space="preserve">17. Reason(s) Display of OMB Expiration Date is Inappropriate </w:t>
      </w:r>
    </w:p>
    <w:p w14:paraId="1104E230" w14:textId="77777777" w:rsidR="002007EC" w:rsidRPr="009D2138" w:rsidRDefault="00A31C4B" w:rsidP="008F269B">
      <w:pPr>
        <w:pStyle w:val="CM26"/>
        <w:spacing w:after="0" w:line="480" w:lineRule="auto"/>
        <w:rPr>
          <w:b/>
          <w:bCs/>
        </w:rPr>
      </w:pPr>
      <w:r>
        <w:rPr>
          <w:rFonts w:ascii="Times New Roman" w:hAnsi="Times New Roman"/>
        </w:rPr>
        <w:tab/>
      </w:r>
      <w:r w:rsidR="00EC61D6" w:rsidRPr="0035317F">
        <w:t xml:space="preserve">No exemption is requested. </w:t>
      </w:r>
      <w:r w:rsidR="00CB119B">
        <w:t xml:space="preserve"> </w:t>
      </w:r>
      <w:r>
        <w:t>All forms will display the OMB number and expiration date.</w:t>
      </w:r>
    </w:p>
    <w:p w14:paraId="036613E6" w14:textId="77777777" w:rsidR="006A1D9F" w:rsidRPr="009D2138" w:rsidRDefault="006A1D9F" w:rsidP="00293F38">
      <w:pPr>
        <w:pStyle w:val="Default"/>
        <w:spacing w:line="480" w:lineRule="auto"/>
        <w:rPr>
          <w:rFonts w:ascii="Times New Roman" w:hAnsi="Times New Roman" w:cs="Times New Roman"/>
          <w:color w:val="auto"/>
        </w:rPr>
      </w:pPr>
      <w:r w:rsidRPr="009D2138">
        <w:rPr>
          <w:rFonts w:ascii="Times New Roman" w:hAnsi="Times New Roman" w:cs="Times New Roman"/>
          <w:b/>
          <w:bCs/>
          <w:color w:val="auto"/>
        </w:rPr>
        <w:t xml:space="preserve">18. Exceptions to Certification for Paperwork Reduction Act Submissions </w:t>
      </w:r>
    </w:p>
    <w:p w14:paraId="397BC3FA" w14:textId="562C139D" w:rsidR="006A1D9F" w:rsidRPr="002275BC" w:rsidRDefault="00A31C4B" w:rsidP="00D71F71">
      <w:pPr>
        <w:spacing w:line="480" w:lineRule="auto"/>
        <w:ind w:firstLine="720"/>
        <w:rPr>
          <w:b/>
          <w:sz w:val="24"/>
          <w:szCs w:val="24"/>
        </w:rPr>
      </w:pPr>
      <w:r w:rsidRPr="00436E72">
        <w:rPr>
          <w:sz w:val="24"/>
          <w:szCs w:val="24"/>
        </w:rPr>
        <w:t>No</w:t>
      </w:r>
      <w:r>
        <w:t xml:space="preserve"> </w:t>
      </w:r>
      <w:r w:rsidR="00436E72" w:rsidRPr="0035317F">
        <w:rPr>
          <w:sz w:val="24"/>
          <w:szCs w:val="24"/>
        </w:rPr>
        <w:t xml:space="preserve">exceptions to the </w:t>
      </w:r>
      <w:r w:rsidR="00436E72">
        <w:rPr>
          <w:sz w:val="24"/>
          <w:szCs w:val="24"/>
        </w:rPr>
        <w:t>C</w:t>
      </w:r>
      <w:r w:rsidR="00436E72" w:rsidRPr="0035317F">
        <w:rPr>
          <w:sz w:val="24"/>
          <w:szCs w:val="24"/>
        </w:rPr>
        <w:t>ertification</w:t>
      </w:r>
      <w:r w:rsidR="00436E72">
        <w:rPr>
          <w:sz w:val="24"/>
          <w:szCs w:val="24"/>
        </w:rPr>
        <w:t xml:space="preserve"> for Paperwork Reduction Act submissions are</w:t>
      </w:r>
      <w:r>
        <w:rPr>
          <w:sz w:val="24"/>
          <w:szCs w:val="24"/>
        </w:rPr>
        <w:t xml:space="preserve"> requested</w:t>
      </w:r>
    </w:p>
    <w:sectPr w:rsidR="006A1D9F" w:rsidRPr="002275BC" w:rsidSect="0098765E">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908DE" w14:textId="77777777" w:rsidR="00801886" w:rsidRDefault="00801886">
      <w:r>
        <w:separator/>
      </w:r>
    </w:p>
  </w:endnote>
  <w:endnote w:type="continuationSeparator" w:id="0">
    <w:p w14:paraId="1896142D" w14:textId="77777777" w:rsidR="00801886" w:rsidRDefault="00801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3BAF2" w14:textId="3875340A" w:rsidR="00716BB2" w:rsidRDefault="00716BB2">
    <w:pPr>
      <w:pStyle w:val="Footer"/>
      <w:tabs>
        <w:tab w:val="clear" w:pos="8640"/>
        <w:tab w:val="right" w:pos="9000"/>
      </w:tabs>
      <w:jc w:val="center"/>
      <w:rPr>
        <w:iCs/>
      </w:rPr>
    </w:pPr>
    <w:r>
      <w:rPr>
        <w:rStyle w:val="PageNumber"/>
      </w:rPr>
      <w:fldChar w:fldCharType="begin"/>
    </w:r>
    <w:r>
      <w:rPr>
        <w:rStyle w:val="PageNumber"/>
      </w:rPr>
      <w:instrText xml:space="preserve"> PAGE </w:instrText>
    </w:r>
    <w:r>
      <w:rPr>
        <w:rStyle w:val="PageNumber"/>
      </w:rPr>
      <w:fldChar w:fldCharType="separate"/>
    </w:r>
    <w:r w:rsidR="002D1D4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13BB5" w14:textId="77777777" w:rsidR="00801886" w:rsidRDefault="00801886">
      <w:r>
        <w:separator/>
      </w:r>
    </w:p>
  </w:footnote>
  <w:footnote w:type="continuationSeparator" w:id="0">
    <w:p w14:paraId="21CAA895" w14:textId="77777777" w:rsidR="00801886" w:rsidRDefault="00801886">
      <w:r>
        <w:continuationSeparator/>
      </w:r>
    </w:p>
  </w:footnote>
  <w:footnote w:id="1">
    <w:p w14:paraId="1652836E" w14:textId="77777777" w:rsidR="00716BB2" w:rsidRPr="00430473" w:rsidRDefault="00716BB2" w:rsidP="00132F16">
      <w:pPr>
        <w:pStyle w:val="FootnoteText"/>
      </w:pPr>
      <w:r w:rsidRPr="00430473">
        <w:rPr>
          <w:rStyle w:val="FootnoteReference"/>
        </w:rPr>
        <w:footnoteRef/>
      </w:r>
      <w:r w:rsidRPr="00430473">
        <w:t xml:space="preserve"> Centers for Disease Control and Prev</w:t>
      </w:r>
      <w:r>
        <w:t>ention, Sudden Unexpected Infan</w:t>
      </w:r>
      <w:r w:rsidRPr="00430473">
        <w:t>t Death (SUID)</w:t>
      </w:r>
      <w:r>
        <w:t>,</w:t>
      </w:r>
      <w:r w:rsidRPr="00430473">
        <w:t xml:space="preserve"> http://www.cdc.gov/sids/</w:t>
      </w:r>
    </w:p>
  </w:footnote>
  <w:footnote w:id="2">
    <w:p w14:paraId="7688DB91" w14:textId="77777777" w:rsidR="00716BB2" w:rsidRPr="00430473" w:rsidRDefault="00716BB2" w:rsidP="00AA786E">
      <w:pPr>
        <w:pStyle w:val="FootnoteText"/>
      </w:pPr>
      <w:r w:rsidRPr="00430473">
        <w:rPr>
          <w:rStyle w:val="FootnoteReference"/>
        </w:rPr>
        <w:footnoteRef/>
      </w:r>
      <w:r w:rsidRPr="00430473">
        <w:t xml:space="preserve"> Centers for Disease Control and Prev</w:t>
      </w:r>
      <w:r>
        <w:t>ention, Sudden Unexpected Infan</w:t>
      </w:r>
      <w:r w:rsidRPr="00430473">
        <w:t>t Death (SUID)</w:t>
      </w:r>
      <w:r>
        <w:t>,</w:t>
      </w:r>
      <w:r w:rsidRPr="00430473">
        <w:t xml:space="preserve"> http://www.cdc.gov/sids/</w:t>
      </w:r>
    </w:p>
  </w:footnote>
  <w:footnote w:id="3">
    <w:p w14:paraId="7B5C2F63" w14:textId="77777777" w:rsidR="00716BB2" w:rsidRPr="00061881" w:rsidRDefault="00716BB2" w:rsidP="00061881">
      <w:pPr>
        <w:pStyle w:val="FootnoteText"/>
        <w:rPr>
          <w:b/>
          <w:bCs/>
        </w:rPr>
      </w:pPr>
      <w:r>
        <w:rPr>
          <w:rStyle w:val="FootnoteReference"/>
        </w:rPr>
        <w:footnoteRef/>
      </w:r>
      <w:r w:rsidRPr="00737A5C">
        <w:rPr>
          <w:lang w:val="da-DK"/>
        </w:rPr>
        <w:t xml:space="preserve"> </w:t>
      </w:r>
      <w:r w:rsidRPr="00061881">
        <w:t>Yu S, Alper HE, Nguyen A-M, et al. The effectiveness of a monetary incentive offer on survey response rates and response completeness in a longitudinal study. </w:t>
      </w:r>
      <w:r w:rsidRPr="00061881">
        <w:rPr>
          <w:i/>
          <w:iCs/>
        </w:rPr>
        <w:t>BMC Medical Research Methodology</w:t>
      </w:r>
      <w:r w:rsidRPr="00061881">
        <w:t>. 2017;17:77. doi:10.1186/s12874-017-0353-1.</w:t>
      </w:r>
    </w:p>
  </w:footnote>
  <w:footnote w:id="4">
    <w:p w14:paraId="1A92EC2B" w14:textId="77777777" w:rsidR="00716BB2" w:rsidRDefault="00716BB2" w:rsidP="00061881">
      <w:pPr>
        <w:pStyle w:val="FootnoteText"/>
      </w:pPr>
      <w:r w:rsidRPr="00061881">
        <w:rPr>
          <w:rStyle w:val="FootnoteReference"/>
        </w:rPr>
        <w:footnoteRef/>
      </w:r>
      <w:r w:rsidRPr="00061881">
        <w:t xml:space="preserve"> Knoll M, Soller L, Ben-Shoshan M, et al. The use of incentives in vulnerable populations for a telephone survey: a randomized controlled trial. </w:t>
      </w:r>
      <w:r w:rsidRPr="00061881">
        <w:rPr>
          <w:i/>
          <w:iCs/>
        </w:rPr>
        <w:t>BMC Research Notes</w:t>
      </w:r>
      <w:r w:rsidRPr="00061881">
        <w:t>. 2012;5:572. doi:10.1186/1756-0500-5-572.</w:t>
      </w:r>
    </w:p>
    <w:p w14:paraId="117AE333" w14:textId="77777777" w:rsidR="00716BB2" w:rsidRPr="00061881" w:rsidRDefault="00716BB2" w:rsidP="00061881">
      <w:pPr>
        <w:pStyle w:val="FootnoteText"/>
        <w:rPr>
          <w:b/>
          <w:bCs/>
        </w:rPr>
      </w:pPr>
      <w:r w:rsidRPr="001C3F04">
        <w:rPr>
          <w:vertAlign w:val="superscript"/>
        </w:rPr>
        <w:t>5.</w:t>
      </w:r>
      <w:r>
        <w:t xml:space="preserve"> </w:t>
      </w:r>
      <w:r w:rsidRPr="001C3F04">
        <w:t>Singer, E</w:t>
      </w:r>
      <w:r>
        <w:t>, and Cong, Y</w:t>
      </w:r>
      <w:r w:rsidRPr="000B304D">
        <w:t>. 2013. "The Use and Effects of Incentives in Surveys." </w:t>
      </w:r>
      <w:r w:rsidRPr="000B304D">
        <w:rPr>
          <w:i/>
          <w:iCs/>
        </w:rPr>
        <w:t>Annals of the American Academy of Political and Social Science</w:t>
      </w:r>
      <w:r w:rsidRPr="000B304D">
        <w:t>, 645(1): 112-141</w:t>
      </w:r>
      <w:r>
        <w:t>.</w:t>
      </w:r>
    </w:p>
    <w:p w14:paraId="326ACA22" w14:textId="77777777" w:rsidR="00716BB2" w:rsidRDefault="00716BB2" w:rsidP="00C6008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104330"/>
    <w:multiLevelType w:val="hybridMultilevel"/>
    <w:tmpl w:val="48E568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736AF8C"/>
    <w:multiLevelType w:val="hybridMultilevel"/>
    <w:tmpl w:val="7364A7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1D"/>
    <w:multiLevelType w:val="multilevel"/>
    <w:tmpl w:val="61CE82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nsid w:val="05F8300B"/>
    <w:multiLevelType w:val="hybridMultilevel"/>
    <w:tmpl w:val="85D842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73357"/>
    <w:multiLevelType w:val="hybridMultilevel"/>
    <w:tmpl w:val="350EA268"/>
    <w:lvl w:ilvl="0" w:tplc="1B7A82D8">
      <w:start w:val="1"/>
      <w:numFmt w:val="bullet"/>
      <w:pStyle w:val="ListBullet"/>
      <w:lvlText w:val=""/>
      <w:lvlJc w:val="left"/>
      <w:pPr>
        <w:ind w:left="810" w:hanging="360"/>
      </w:pPr>
      <w:rPr>
        <w:rFonts w:ascii="Symbol" w:hAnsi="Symbol" w:hint="default"/>
        <w:color w:val="C00000"/>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0ACF4934"/>
    <w:multiLevelType w:val="hybridMultilevel"/>
    <w:tmpl w:val="29703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101C4C"/>
    <w:multiLevelType w:val="hybridMultilevel"/>
    <w:tmpl w:val="954866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B419E6"/>
    <w:multiLevelType w:val="hybridMultilevel"/>
    <w:tmpl w:val="7312D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316739"/>
    <w:multiLevelType w:val="hybridMultilevel"/>
    <w:tmpl w:val="8C9A6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1A4CEF"/>
    <w:multiLevelType w:val="hybridMultilevel"/>
    <w:tmpl w:val="27400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C041C2"/>
    <w:multiLevelType w:val="hybridMultilevel"/>
    <w:tmpl w:val="F9E45A8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1820FA"/>
    <w:multiLevelType w:val="hybridMultilevel"/>
    <w:tmpl w:val="A7505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DB270A"/>
    <w:multiLevelType w:val="hybridMultilevel"/>
    <w:tmpl w:val="BD76D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F3FCA8"/>
    <w:multiLevelType w:val="hybridMultilevel"/>
    <w:tmpl w:val="8EB02E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34A00BE"/>
    <w:multiLevelType w:val="hybridMultilevel"/>
    <w:tmpl w:val="728E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C865BD"/>
    <w:multiLevelType w:val="hybridMultilevel"/>
    <w:tmpl w:val="91E6B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3F2024"/>
    <w:multiLevelType w:val="hybridMultilevel"/>
    <w:tmpl w:val="952E8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74A214"/>
    <w:multiLevelType w:val="hybridMultilevel"/>
    <w:tmpl w:val="74AE5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3AA3A1C"/>
    <w:multiLevelType w:val="hybridMultilevel"/>
    <w:tmpl w:val="E7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4E60BA"/>
    <w:multiLevelType w:val="hybridMultilevel"/>
    <w:tmpl w:val="67606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B92AD3"/>
    <w:multiLevelType w:val="hybridMultilevel"/>
    <w:tmpl w:val="1D0C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F9EC6D"/>
    <w:multiLevelType w:val="hybridMultilevel"/>
    <w:tmpl w:val="3AD54E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A4BDA4B"/>
    <w:multiLevelType w:val="hybridMultilevel"/>
    <w:tmpl w:val="ECA8F2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556AF8"/>
    <w:multiLevelType w:val="hybridMultilevel"/>
    <w:tmpl w:val="D708E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2486E2C"/>
    <w:multiLevelType w:val="hybridMultilevel"/>
    <w:tmpl w:val="2938A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27460A"/>
    <w:multiLevelType w:val="hybridMultilevel"/>
    <w:tmpl w:val="4E825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203B86"/>
    <w:multiLevelType w:val="hybridMultilevel"/>
    <w:tmpl w:val="F274D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773C6A"/>
    <w:multiLevelType w:val="hybridMultilevel"/>
    <w:tmpl w:val="E8D49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331282D"/>
    <w:multiLevelType w:val="hybridMultilevel"/>
    <w:tmpl w:val="ED64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5861590"/>
    <w:multiLevelType w:val="hybridMultilevel"/>
    <w:tmpl w:val="EC589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FA2B91"/>
    <w:multiLevelType w:val="hybridMultilevel"/>
    <w:tmpl w:val="217CDABE"/>
    <w:lvl w:ilvl="0" w:tplc="BE6CAEBE">
      <w:start w:val="1"/>
      <w:numFmt w:val="lowerLetter"/>
      <w:lvlText w:val="%1)"/>
      <w:lvlJc w:val="left"/>
      <w:pPr>
        <w:tabs>
          <w:tab w:val="num" w:pos="575"/>
        </w:tabs>
        <w:ind w:left="575" w:hanging="360"/>
      </w:pPr>
      <w:rPr>
        <w:rFonts w:hint="default"/>
      </w:rPr>
    </w:lvl>
    <w:lvl w:ilvl="1" w:tplc="04090019" w:tentative="1">
      <w:start w:val="1"/>
      <w:numFmt w:val="lowerLetter"/>
      <w:lvlText w:val="%2."/>
      <w:lvlJc w:val="left"/>
      <w:pPr>
        <w:tabs>
          <w:tab w:val="num" w:pos="1295"/>
        </w:tabs>
        <w:ind w:left="1295" w:hanging="360"/>
      </w:pPr>
    </w:lvl>
    <w:lvl w:ilvl="2" w:tplc="0409001B" w:tentative="1">
      <w:start w:val="1"/>
      <w:numFmt w:val="lowerRoman"/>
      <w:lvlText w:val="%3."/>
      <w:lvlJc w:val="right"/>
      <w:pPr>
        <w:tabs>
          <w:tab w:val="num" w:pos="2015"/>
        </w:tabs>
        <w:ind w:left="2015" w:hanging="180"/>
      </w:pPr>
    </w:lvl>
    <w:lvl w:ilvl="3" w:tplc="0409000F" w:tentative="1">
      <w:start w:val="1"/>
      <w:numFmt w:val="decimal"/>
      <w:lvlText w:val="%4."/>
      <w:lvlJc w:val="left"/>
      <w:pPr>
        <w:tabs>
          <w:tab w:val="num" w:pos="2735"/>
        </w:tabs>
        <w:ind w:left="2735" w:hanging="360"/>
      </w:pPr>
    </w:lvl>
    <w:lvl w:ilvl="4" w:tplc="04090019" w:tentative="1">
      <w:start w:val="1"/>
      <w:numFmt w:val="lowerLetter"/>
      <w:lvlText w:val="%5."/>
      <w:lvlJc w:val="left"/>
      <w:pPr>
        <w:tabs>
          <w:tab w:val="num" w:pos="3455"/>
        </w:tabs>
        <w:ind w:left="3455" w:hanging="360"/>
      </w:pPr>
    </w:lvl>
    <w:lvl w:ilvl="5" w:tplc="0409001B" w:tentative="1">
      <w:start w:val="1"/>
      <w:numFmt w:val="lowerRoman"/>
      <w:lvlText w:val="%6."/>
      <w:lvlJc w:val="right"/>
      <w:pPr>
        <w:tabs>
          <w:tab w:val="num" w:pos="4175"/>
        </w:tabs>
        <w:ind w:left="4175" w:hanging="180"/>
      </w:pPr>
    </w:lvl>
    <w:lvl w:ilvl="6" w:tplc="0409000F" w:tentative="1">
      <w:start w:val="1"/>
      <w:numFmt w:val="decimal"/>
      <w:lvlText w:val="%7."/>
      <w:lvlJc w:val="left"/>
      <w:pPr>
        <w:tabs>
          <w:tab w:val="num" w:pos="4895"/>
        </w:tabs>
        <w:ind w:left="4895" w:hanging="360"/>
      </w:pPr>
    </w:lvl>
    <w:lvl w:ilvl="7" w:tplc="04090019" w:tentative="1">
      <w:start w:val="1"/>
      <w:numFmt w:val="lowerLetter"/>
      <w:lvlText w:val="%8."/>
      <w:lvlJc w:val="left"/>
      <w:pPr>
        <w:tabs>
          <w:tab w:val="num" w:pos="5615"/>
        </w:tabs>
        <w:ind w:left="5615" w:hanging="360"/>
      </w:pPr>
    </w:lvl>
    <w:lvl w:ilvl="8" w:tplc="0409001B" w:tentative="1">
      <w:start w:val="1"/>
      <w:numFmt w:val="lowerRoman"/>
      <w:lvlText w:val="%9."/>
      <w:lvlJc w:val="right"/>
      <w:pPr>
        <w:tabs>
          <w:tab w:val="num" w:pos="6335"/>
        </w:tabs>
        <w:ind w:left="6335" w:hanging="180"/>
      </w:pPr>
    </w:lvl>
  </w:abstractNum>
  <w:abstractNum w:abstractNumId="36">
    <w:nsid w:val="703622DD"/>
    <w:multiLevelType w:val="hybridMultilevel"/>
    <w:tmpl w:val="7A602C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0322E7"/>
    <w:multiLevelType w:val="hybridMultilevel"/>
    <w:tmpl w:val="6AF46BD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4"/>
  </w:num>
  <w:num w:numId="3">
    <w:abstractNumId w:val="1"/>
  </w:num>
  <w:num w:numId="4">
    <w:abstractNumId w:val="25"/>
  </w:num>
  <w:num w:numId="5">
    <w:abstractNumId w:val="15"/>
  </w:num>
  <w:num w:numId="6">
    <w:abstractNumId w:val="20"/>
  </w:num>
  <w:num w:numId="7">
    <w:abstractNumId w:val="29"/>
  </w:num>
  <w:num w:numId="8">
    <w:abstractNumId w:val="5"/>
  </w:num>
  <w:num w:numId="9">
    <w:abstractNumId w:val="36"/>
  </w:num>
  <w:num w:numId="10">
    <w:abstractNumId w:val="35"/>
  </w:num>
  <w:num w:numId="11">
    <w:abstractNumId w:val="14"/>
  </w:num>
  <w:num w:numId="12">
    <w:abstractNumId w:val="13"/>
  </w:num>
  <w:num w:numId="13">
    <w:abstractNumId w:val="9"/>
  </w:num>
  <w:num w:numId="14">
    <w:abstractNumId w:val="28"/>
  </w:num>
  <w:num w:numId="15">
    <w:abstractNumId w:val="2"/>
  </w:num>
  <w:num w:numId="16">
    <w:abstractNumId w:val="17"/>
  </w:num>
  <w:num w:numId="17">
    <w:abstractNumId w:val="32"/>
  </w:num>
  <w:num w:numId="18">
    <w:abstractNumId w:val="26"/>
  </w:num>
  <w:num w:numId="19">
    <w:abstractNumId w:val="23"/>
  </w:num>
  <w:num w:numId="20">
    <w:abstractNumId w:val="38"/>
  </w:num>
  <w:num w:numId="21">
    <w:abstractNumId w:val="3"/>
  </w:num>
  <w:num w:numId="22">
    <w:abstractNumId w:val="27"/>
  </w:num>
  <w:num w:numId="23">
    <w:abstractNumId w:val="22"/>
  </w:num>
  <w:num w:numId="24">
    <w:abstractNumId w:val="34"/>
  </w:num>
  <w:num w:numId="25">
    <w:abstractNumId w:val="30"/>
  </w:num>
  <w:num w:numId="26">
    <w:abstractNumId w:val="4"/>
  </w:num>
  <w:num w:numId="27">
    <w:abstractNumId w:val="21"/>
  </w:num>
  <w:num w:numId="28">
    <w:abstractNumId w:val="18"/>
  </w:num>
  <w:num w:numId="29">
    <w:abstractNumId w:val="19"/>
  </w:num>
  <w:num w:numId="30">
    <w:abstractNumId w:val="16"/>
  </w:num>
  <w:num w:numId="31">
    <w:abstractNumId w:val="7"/>
  </w:num>
  <w:num w:numId="32">
    <w:abstractNumId w:val="37"/>
  </w:num>
  <w:num w:numId="33">
    <w:abstractNumId w:val="33"/>
  </w:num>
  <w:num w:numId="34">
    <w:abstractNumId w:val="10"/>
  </w:num>
  <w:num w:numId="35">
    <w:abstractNumId w:val="12"/>
  </w:num>
  <w:num w:numId="36">
    <w:abstractNumId w:val="6"/>
  </w:num>
  <w:num w:numId="37">
    <w:abstractNumId w:val="11"/>
  </w:num>
  <w:num w:numId="38">
    <w:abstractNumId w:val="31"/>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D2"/>
    <w:rsid w:val="00000EB7"/>
    <w:rsid w:val="00002ECE"/>
    <w:rsid w:val="000177E2"/>
    <w:rsid w:val="00017D76"/>
    <w:rsid w:val="0002376C"/>
    <w:rsid w:val="00034902"/>
    <w:rsid w:val="00042816"/>
    <w:rsid w:val="00051CD8"/>
    <w:rsid w:val="00057405"/>
    <w:rsid w:val="00061881"/>
    <w:rsid w:val="00061F00"/>
    <w:rsid w:val="00064BC6"/>
    <w:rsid w:val="00091741"/>
    <w:rsid w:val="000A37EE"/>
    <w:rsid w:val="000A4A51"/>
    <w:rsid w:val="000B304D"/>
    <w:rsid w:val="000C1A5A"/>
    <w:rsid w:val="000D4F1D"/>
    <w:rsid w:val="000E0F29"/>
    <w:rsid w:val="000E1A73"/>
    <w:rsid w:val="000E6394"/>
    <w:rsid w:val="000F2741"/>
    <w:rsid w:val="000F5354"/>
    <w:rsid w:val="00102087"/>
    <w:rsid w:val="001064AF"/>
    <w:rsid w:val="00107934"/>
    <w:rsid w:val="001162AB"/>
    <w:rsid w:val="00121F13"/>
    <w:rsid w:val="001242C2"/>
    <w:rsid w:val="00132F16"/>
    <w:rsid w:val="001422ED"/>
    <w:rsid w:val="00144CFE"/>
    <w:rsid w:val="001453C3"/>
    <w:rsid w:val="0014585B"/>
    <w:rsid w:val="00146D3A"/>
    <w:rsid w:val="00147143"/>
    <w:rsid w:val="00152DAD"/>
    <w:rsid w:val="0015766A"/>
    <w:rsid w:val="00163E31"/>
    <w:rsid w:val="00166BA2"/>
    <w:rsid w:val="001670B9"/>
    <w:rsid w:val="00181B56"/>
    <w:rsid w:val="00185441"/>
    <w:rsid w:val="00190A65"/>
    <w:rsid w:val="00191474"/>
    <w:rsid w:val="001928A2"/>
    <w:rsid w:val="0019782D"/>
    <w:rsid w:val="001B3F1B"/>
    <w:rsid w:val="001B499D"/>
    <w:rsid w:val="001B6F5D"/>
    <w:rsid w:val="001C3F04"/>
    <w:rsid w:val="001D0399"/>
    <w:rsid w:val="001D3DD6"/>
    <w:rsid w:val="001D44D5"/>
    <w:rsid w:val="001E4E57"/>
    <w:rsid w:val="001F7B8D"/>
    <w:rsid w:val="002007EC"/>
    <w:rsid w:val="002015BB"/>
    <w:rsid w:val="00202A7D"/>
    <w:rsid w:val="00203CBF"/>
    <w:rsid w:val="00205433"/>
    <w:rsid w:val="002055AD"/>
    <w:rsid w:val="00213B0A"/>
    <w:rsid w:val="00216477"/>
    <w:rsid w:val="00217B21"/>
    <w:rsid w:val="00220D6D"/>
    <w:rsid w:val="002275BC"/>
    <w:rsid w:val="00232CBC"/>
    <w:rsid w:val="00242BF6"/>
    <w:rsid w:val="00243AD5"/>
    <w:rsid w:val="0024790B"/>
    <w:rsid w:val="0026619C"/>
    <w:rsid w:val="002733B9"/>
    <w:rsid w:val="002737DB"/>
    <w:rsid w:val="00276833"/>
    <w:rsid w:val="00293F38"/>
    <w:rsid w:val="002963F7"/>
    <w:rsid w:val="002A4CFA"/>
    <w:rsid w:val="002A6788"/>
    <w:rsid w:val="002A7578"/>
    <w:rsid w:val="002B1EAB"/>
    <w:rsid w:val="002B382A"/>
    <w:rsid w:val="002C0829"/>
    <w:rsid w:val="002C23B8"/>
    <w:rsid w:val="002D1D4F"/>
    <w:rsid w:val="002D3534"/>
    <w:rsid w:val="002E3E1E"/>
    <w:rsid w:val="002E6071"/>
    <w:rsid w:val="002F067F"/>
    <w:rsid w:val="0032736C"/>
    <w:rsid w:val="00335232"/>
    <w:rsid w:val="0033620E"/>
    <w:rsid w:val="00337E70"/>
    <w:rsid w:val="003434B0"/>
    <w:rsid w:val="003565A6"/>
    <w:rsid w:val="003629F9"/>
    <w:rsid w:val="00362B9C"/>
    <w:rsid w:val="00362D6B"/>
    <w:rsid w:val="003659EF"/>
    <w:rsid w:val="003941CD"/>
    <w:rsid w:val="00396FF5"/>
    <w:rsid w:val="003A34B2"/>
    <w:rsid w:val="003B12D5"/>
    <w:rsid w:val="003B292B"/>
    <w:rsid w:val="003B35F8"/>
    <w:rsid w:val="003B4A63"/>
    <w:rsid w:val="003B6081"/>
    <w:rsid w:val="003C02BF"/>
    <w:rsid w:val="003C26BA"/>
    <w:rsid w:val="003C759D"/>
    <w:rsid w:val="003D69E4"/>
    <w:rsid w:val="003F1F6F"/>
    <w:rsid w:val="003F4660"/>
    <w:rsid w:val="00401CA3"/>
    <w:rsid w:val="00403125"/>
    <w:rsid w:val="00410EAE"/>
    <w:rsid w:val="004164A7"/>
    <w:rsid w:val="00416DDB"/>
    <w:rsid w:val="00417090"/>
    <w:rsid w:val="0042402E"/>
    <w:rsid w:val="00424C69"/>
    <w:rsid w:val="0043310C"/>
    <w:rsid w:val="0043565D"/>
    <w:rsid w:val="00436DBF"/>
    <w:rsid w:val="00436E72"/>
    <w:rsid w:val="004473A0"/>
    <w:rsid w:val="004478BA"/>
    <w:rsid w:val="0045753E"/>
    <w:rsid w:val="00460035"/>
    <w:rsid w:val="00466F16"/>
    <w:rsid w:val="00476FC1"/>
    <w:rsid w:val="00480A38"/>
    <w:rsid w:val="00492186"/>
    <w:rsid w:val="0049318A"/>
    <w:rsid w:val="00493553"/>
    <w:rsid w:val="004A0CE2"/>
    <w:rsid w:val="004A57BC"/>
    <w:rsid w:val="004B3330"/>
    <w:rsid w:val="004B397F"/>
    <w:rsid w:val="004C576C"/>
    <w:rsid w:val="004D2B3B"/>
    <w:rsid w:val="004D429D"/>
    <w:rsid w:val="004D5C60"/>
    <w:rsid w:val="004D5FA7"/>
    <w:rsid w:val="004E128A"/>
    <w:rsid w:val="004F253A"/>
    <w:rsid w:val="005051D4"/>
    <w:rsid w:val="00507F62"/>
    <w:rsid w:val="00520AAF"/>
    <w:rsid w:val="00521132"/>
    <w:rsid w:val="00524930"/>
    <w:rsid w:val="00524C61"/>
    <w:rsid w:val="005250BE"/>
    <w:rsid w:val="00531FB1"/>
    <w:rsid w:val="005463EB"/>
    <w:rsid w:val="005469F5"/>
    <w:rsid w:val="00551CB7"/>
    <w:rsid w:val="005618B9"/>
    <w:rsid w:val="005721A7"/>
    <w:rsid w:val="00577770"/>
    <w:rsid w:val="005800F6"/>
    <w:rsid w:val="00584D5B"/>
    <w:rsid w:val="00595395"/>
    <w:rsid w:val="005A580A"/>
    <w:rsid w:val="005B4C7D"/>
    <w:rsid w:val="005B6058"/>
    <w:rsid w:val="005C495F"/>
    <w:rsid w:val="005D20D5"/>
    <w:rsid w:val="005E1919"/>
    <w:rsid w:val="005F22AF"/>
    <w:rsid w:val="005F4876"/>
    <w:rsid w:val="00601E5A"/>
    <w:rsid w:val="00611E88"/>
    <w:rsid w:val="00615B70"/>
    <w:rsid w:val="006204C4"/>
    <w:rsid w:val="00620756"/>
    <w:rsid w:val="00621153"/>
    <w:rsid w:val="006240A6"/>
    <w:rsid w:val="006352DB"/>
    <w:rsid w:val="006372EE"/>
    <w:rsid w:val="006424A6"/>
    <w:rsid w:val="00643E5B"/>
    <w:rsid w:val="0064422F"/>
    <w:rsid w:val="00655B2B"/>
    <w:rsid w:val="006562AE"/>
    <w:rsid w:val="00661E17"/>
    <w:rsid w:val="00672D27"/>
    <w:rsid w:val="00675015"/>
    <w:rsid w:val="0068144D"/>
    <w:rsid w:val="00691104"/>
    <w:rsid w:val="00691536"/>
    <w:rsid w:val="00696B04"/>
    <w:rsid w:val="006A1398"/>
    <w:rsid w:val="006A1D9F"/>
    <w:rsid w:val="006A3471"/>
    <w:rsid w:val="006C2077"/>
    <w:rsid w:val="006C24B0"/>
    <w:rsid w:val="006C4DD5"/>
    <w:rsid w:val="006E5385"/>
    <w:rsid w:val="006F2925"/>
    <w:rsid w:val="006F5C82"/>
    <w:rsid w:val="00703C7D"/>
    <w:rsid w:val="00713F29"/>
    <w:rsid w:val="00716BB2"/>
    <w:rsid w:val="00717BAE"/>
    <w:rsid w:val="007273B3"/>
    <w:rsid w:val="00727976"/>
    <w:rsid w:val="00735302"/>
    <w:rsid w:val="00735688"/>
    <w:rsid w:val="007377B2"/>
    <w:rsid w:val="0074278A"/>
    <w:rsid w:val="00744C1B"/>
    <w:rsid w:val="00752157"/>
    <w:rsid w:val="00755F09"/>
    <w:rsid w:val="00763285"/>
    <w:rsid w:val="007649F3"/>
    <w:rsid w:val="007843BC"/>
    <w:rsid w:val="00785D63"/>
    <w:rsid w:val="00787971"/>
    <w:rsid w:val="007909A8"/>
    <w:rsid w:val="00794CEC"/>
    <w:rsid w:val="007A1E5F"/>
    <w:rsid w:val="007B3019"/>
    <w:rsid w:val="007B6173"/>
    <w:rsid w:val="007C21B2"/>
    <w:rsid w:val="007C2C99"/>
    <w:rsid w:val="007C3A99"/>
    <w:rsid w:val="007C42DA"/>
    <w:rsid w:val="007D6D8E"/>
    <w:rsid w:val="007D7579"/>
    <w:rsid w:val="007E1FBE"/>
    <w:rsid w:val="007F192A"/>
    <w:rsid w:val="007F4DFA"/>
    <w:rsid w:val="00801886"/>
    <w:rsid w:val="00801B97"/>
    <w:rsid w:val="00815AC6"/>
    <w:rsid w:val="008208EF"/>
    <w:rsid w:val="008272F1"/>
    <w:rsid w:val="00831E8F"/>
    <w:rsid w:val="00841201"/>
    <w:rsid w:val="008415F4"/>
    <w:rsid w:val="00862639"/>
    <w:rsid w:val="00862BCD"/>
    <w:rsid w:val="00870A6A"/>
    <w:rsid w:val="00874C3A"/>
    <w:rsid w:val="00876CC9"/>
    <w:rsid w:val="00886201"/>
    <w:rsid w:val="008A19AB"/>
    <w:rsid w:val="008B3F29"/>
    <w:rsid w:val="008C0096"/>
    <w:rsid w:val="008C0700"/>
    <w:rsid w:val="008C07E8"/>
    <w:rsid w:val="008C266B"/>
    <w:rsid w:val="008C318B"/>
    <w:rsid w:val="008C61E3"/>
    <w:rsid w:val="008E12FB"/>
    <w:rsid w:val="008E3891"/>
    <w:rsid w:val="008E6307"/>
    <w:rsid w:val="008F269B"/>
    <w:rsid w:val="00904896"/>
    <w:rsid w:val="00916951"/>
    <w:rsid w:val="00930942"/>
    <w:rsid w:val="009332D2"/>
    <w:rsid w:val="00934399"/>
    <w:rsid w:val="009358D0"/>
    <w:rsid w:val="00937D45"/>
    <w:rsid w:val="009400EC"/>
    <w:rsid w:val="009550EC"/>
    <w:rsid w:val="00955E52"/>
    <w:rsid w:val="0096068B"/>
    <w:rsid w:val="00961965"/>
    <w:rsid w:val="00966C85"/>
    <w:rsid w:val="0097595A"/>
    <w:rsid w:val="00976FC1"/>
    <w:rsid w:val="0098765E"/>
    <w:rsid w:val="00990CC9"/>
    <w:rsid w:val="0099250C"/>
    <w:rsid w:val="00997B41"/>
    <w:rsid w:val="009A231E"/>
    <w:rsid w:val="009A39BB"/>
    <w:rsid w:val="009C51AA"/>
    <w:rsid w:val="009D1E87"/>
    <w:rsid w:val="009D2138"/>
    <w:rsid w:val="009D7770"/>
    <w:rsid w:val="009F0CBF"/>
    <w:rsid w:val="009F4C9C"/>
    <w:rsid w:val="00A01B81"/>
    <w:rsid w:val="00A10B1A"/>
    <w:rsid w:val="00A14CC4"/>
    <w:rsid w:val="00A14D19"/>
    <w:rsid w:val="00A15724"/>
    <w:rsid w:val="00A1691F"/>
    <w:rsid w:val="00A21485"/>
    <w:rsid w:val="00A23D96"/>
    <w:rsid w:val="00A31C4B"/>
    <w:rsid w:val="00A4321A"/>
    <w:rsid w:val="00A47C12"/>
    <w:rsid w:val="00A7346C"/>
    <w:rsid w:val="00AA0292"/>
    <w:rsid w:val="00AA786E"/>
    <w:rsid w:val="00AB1E59"/>
    <w:rsid w:val="00AB55AA"/>
    <w:rsid w:val="00AD272D"/>
    <w:rsid w:val="00AD7238"/>
    <w:rsid w:val="00AD7969"/>
    <w:rsid w:val="00AE3A6A"/>
    <w:rsid w:val="00AE4288"/>
    <w:rsid w:val="00AF1093"/>
    <w:rsid w:val="00AF691C"/>
    <w:rsid w:val="00B00589"/>
    <w:rsid w:val="00B00B49"/>
    <w:rsid w:val="00B15387"/>
    <w:rsid w:val="00B165CD"/>
    <w:rsid w:val="00B2652B"/>
    <w:rsid w:val="00B302E8"/>
    <w:rsid w:val="00B3712E"/>
    <w:rsid w:val="00B506E1"/>
    <w:rsid w:val="00B5082A"/>
    <w:rsid w:val="00B61C0D"/>
    <w:rsid w:val="00B82067"/>
    <w:rsid w:val="00B90818"/>
    <w:rsid w:val="00B9088B"/>
    <w:rsid w:val="00B93142"/>
    <w:rsid w:val="00B94A5F"/>
    <w:rsid w:val="00B95677"/>
    <w:rsid w:val="00BA2B62"/>
    <w:rsid w:val="00BA6C0E"/>
    <w:rsid w:val="00BB3770"/>
    <w:rsid w:val="00BB469B"/>
    <w:rsid w:val="00BC1B66"/>
    <w:rsid w:val="00BD51DD"/>
    <w:rsid w:val="00BE4555"/>
    <w:rsid w:val="00BE4B57"/>
    <w:rsid w:val="00BE4B8F"/>
    <w:rsid w:val="00BF4AC6"/>
    <w:rsid w:val="00BF79FA"/>
    <w:rsid w:val="00C024E3"/>
    <w:rsid w:val="00C1643F"/>
    <w:rsid w:val="00C26A3B"/>
    <w:rsid w:val="00C50A06"/>
    <w:rsid w:val="00C50CF8"/>
    <w:rsid w:val="00C56D8D"/>
    <w:rsid w:val="00C60088"/>
    <w:rsid w:val="00C61D31"/>
    <w:rsid w:val="00C65ED2"/>
    <w:rsid w:val="00C66475"/>
    <w:rsid w:val="00C81053"/>
    <w:rsid w:val="00C876CC"/>
    <w:rsid w:val="00C878E1"/>
    <w:rsid w:val="00C96999"/>
    <w:rsid w:val="00C9791B"/>
    <w:rsid w:val="00CA0694"/>
    <w:rsid w:val="00CA211C"/>
    <w:rsid w:val="00CA7C49"/>
    <w:rsid w:val="00CB119B"/>
    <w:rsid w:val="00CC2091"/>
    <w:rsid w:val="00CD130F"/>
    <w:rsid w:val="00CD299E"/>
    <w:rsid w:val="00CE762E"/>
    <w:rsid w:val="00CF23BF"/>
    <w:rsid w:val="00D11AD1"/>
    <w:rsid w:val="00D43A60"/>
    <w:rsid w:val="00D446C4"/>
    <w:rsid w:val="00D4730E"/>
    <w:rsid w:val="00D50493"/>
    <w:rsid w:val="00D512AD"/>
    <w:rsid w:val="00D515C5"/>
    <w:rsid w:val="00D527BC"/>
    <w:rsid w:val="00D60A26"/>
    <w:rsid w:val="00D61C9A"/>
    <w:rsid w:val="00D63794"/>
    <w:rsid w:val="00D71F71"/>
    <w:rsid w:val="00D81432"/>
    <w:rsid w:val="00D854E7"/>
    <w:rsid w:val="00D913E1"/>
    <w:rsid w:val="00D95F01"/>
    <w:rsid w:val="00D95FDB"/>
    <w:rsid w:val="00D978CD"/>
    <w:rsid w:val="00DA42F1"/>
    <w:rsid w:val="00DB022F"/>
    <w:rsid w:val="00DD0313"/>
    <w:rsid w:val="00DE1F58"/>
    <w:rsid w:val="00DE70EA"/>
    <w:rsid w:val="00DF5990"/>
    <w:rsid w:val="00E008ED"/>
    <w:rsid w:val="00E13569"/>
    <w:rsid w:val="00E1525E"/>
    <w:rsid w:val="00E2006E"/>
    <w:rsid w:val="00E21C1F"/>
    <w:rsid w:val="00E2406E"/>
    <w:rsid w:val="00E2681F"/>
    <w:rsid w:val="00E40167"/>
    <w:rsid w:val="00E446F2"/>
    <w:rsid w:val="00E5391D"/>
    <w:rsid w:val="00E543A3"/>
    <w:rsid w:val="00E61937"/>
    <w:rsid w:val="00E62CA3"/>
    <w:rsid w:val="00E63545"/>
    <w:rsid w:val="00E669D2"/>
    <w:rsid w:val="00E67A62"/>
    <w:rsid w:val="00E70ADD"/>
    <w:rsid w:val="00E84FC4"/>
    <w:rsid w:val="00E92FAE"/>
    <w:rsid w:val="00EA71AA"/>
    <w:rsid w:val="00EC005A"/>
    <w:rsid w:val="00EC23DF"/>
    <w:rsid w:val="00EC5D9D"/>
    <w:rsid w:val="00EC61D6"/>
    <w:rsid w:val="00ED09AF"/>
    <w:rsid w:val="00ED1A2E"/>
    <w:rsid w:val="00ED3188"/>
    <w:rsid w:val="00ED7893"/>
    <w:rsid w:val="00EE7745"/>
    <w:rsid w:val="00EE7D09"/>
    <w:rsid w:val="00EF0F8F"/>
    <w:rsid w:val="00EF6199"/>
    <w:rsid w:val="00EF7BB1"/>
    <w:rsid w:val="00F00BDC"/>
    <w:rsid w:val="00F05ABF"/>
    <w:rsid w:val="00F113A8"/>
    <w:rsid w:val="00F11D4E"/>
    <w:rsid w:val="00F12C11"/>
    <w:rsid w:val="00F13B9A"/>
    <w:rsid w:val="00F20AF1"/>
    <w:rsid w:val="00F23763"/>
    <w:rsid w:val="00F31BE5"/>
    <w:rsid w:val="00F32A2D"/>
    <w:rsid w:val="00F4631A"/>
    <w:rsid w:val="00F502A2"/>
    <w:rsid w:val="00F5141B"/>
    <w:rsid w:val="00F57F30"/>
    <w:rsid w:val="00F64579"/>
    <w:rsid w:val="00F92A20"/>
    <w:rsid w:val="00F92D7D"/>
    <w:rsid w:val="00F96FD5"/>
    <w:rsid w:val="00FA4065"/>
    <w:rsid w:val="00FA69FB"/>
    <w:rsid w:val="00FB0586"/>
    <w:rsid w:val="00FB0C3B"/>
    <w:rsid w:val="00FB19E5"/>
    <w:rsid w:val="00FB3014"/>
    <w:rsid w:val="00FB33C7"/>
    <w:rsid w:val="00FC4475"/>
    <w:rsid w:val="00FD2DC3"/>
    <w:rsid w:val="00FD64AC"/>
    <w:rsid w:val="00FE6605"/>
    <w:rsid w:val="00FF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A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99"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C1F"/>
    <w:pPr>
      <w:widowControl w:val="0"/>
    </w:pPr>
  </w:style>
  <w:style w:type="paragraph" w:styleId="Heading1">
    <w:name w:val="heading 1"/>
    <w:basedOn w:val="Normal"/>
    <w:next w:val="Normal"/>
    <w:link w:val="Heading1Char"/>
    <w:qFormat/>
    <w:rsid w:val="000618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E21C1F"/>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DIGNKC+TimesNewRoman,Bold" w:hAnsi="DIGNKC+TimesNewRoman,Bold" w:cs="DIGNKC+TimesNewRoman,Bold"/>
      <w:color w:val="000000"/>
      <w:sz w:val="24"/>
      <w:szCs w:val="24"/>
    </w:rPr>
  </w:style>
  <w:style w:type="paragraph" w:customStyle="1" w:styleId="CM1">
    <w:name w:val="CM1"/>
    <w:basedOn w:val="Default"/>
    <w:next w:val="Default"/>
    <w:rPr>
      <w:rFonts w:cs="Times New Roman"/>
      <w:color w:val="auto"/>
    </w:rPr>
  </w:style>
  <w:style w:type="paragraph" w:customStyle="1" w:styleId="CM26">
    <w:name w:val="CM26"/>
    <w:basedOn w:val="Default"/>
    <w:next w:val="Default"/>
    <w:pPr>
      <w:spacing w:after="270"/>
    </w:pPr>
    <w:rPr>
      <w:rFonts w:cs="Times New Roman"/>
      <w:color w:val="auto"/>
    </w:rPr>
  </w:style>
  <w:style w:type="paragraph" w:customStyle="1" w:styleId="CM2">
    <w:name w:val="CM2"/>
    <w:basedOn w:val="Default"/>
    <w:next w:val="Default"/>
    <w:pPr>
      <w:spacing w:line="553" w:lineRule="atLeast"/>
    </w:pPr>
    <w:rPr>
      <w:rFonts w:cs="Times New Roman"/>
      <w:color w:val="auto"/>
    </w:rPr>
  </w:style>
  <w:style w:type="paragraph" w:customStyle="1" w:styleId="CM27">
    <w:name w:val="CM27"/>
    <w:basedOn w:val="Default"/>
    <w:next w:val="Default"/>
    <w:pPr>
      <w:spacing w:after="555"/>
    </w:pPr>
    <w:rPr>
      <w:rFonts w:cs="Times New Roman"/>
      <w:color w:val="auto"/>
    </w:rPr>
  </w:style>
  <w:style w:type="paragraph" w:customStyle="1" w:styleId="CM4">
    <w:name w:val="CM4"/>
    <w:basedOn w:val="Default"/>
    <w:next w:val="Default"/>
    <w:pPr>
      <w:spacing w:line="553" w:lineRule="atLeast"/>
    </w:pPr>
    <w:rPr>
      <w:rFonts w:cs="Times New Roman"/>
      <w:color w:val="auto"/>
    </w:rPr>
  </w:style>
  <w:style w:type="paragraph" w:customStyle="1" w:styleId="CM3">
    <w:name w:val="CM3"/>
    <w:basedOn w:val="Default"/>
    <w:next w:val="Default"/>
    <w:pPr>
      <w:spacing w:line="553" w:lineRule="atLeast"/>
    </w:pPr>
    <w:rPr>
      <w:rFonts w:cs="Times New Roman"/>
      <w:color w:val="auto"/>
    </w:rPr>
  </w:style>
  <w:style w:type="paragraph" w:customStyle="1" w:styleId="CM7">
    <w:name w:val="CM7"/>
    <w:basedOn w:val="Default"/>
    <w:next w:val="Default"/>
    <w:pPr>
      <w:spacing w:line="553" w:lineRule="atLeast"/>
    </w:pPr>
    <w:rPr>
      <w:rFonts w:cs="Times New Roman"/>
      <w:color w:val="auto"/>
    </w:rPr>
  </w:style>
  <w:style w:type="paragraph" w:customStyle="1" w:styleId="CM8">
    <w:name w:val="CM8"/>
    <w:basedOn w:val="Default"/>
    <w:next w:val="Default"/>
    <w:pPr>
      <w:spacing w:line="553" w:lineRule="atLeast"/>
    </w:pPr>
    <w:rPr>
      <w:rFonts w:cs="Times New Roman"/>
      <w:color w:val="auto"/>
    </w:rPr>
  </w:style>
  <w:style w:type="paragraph" w:customStyle="1" w:styleId="CM9">
    <w:name w:val="CM9"/>
    <w:basedOn w:val="Default"/>
    <w:next w:val="Default"/>
    <w:pPr>
      <w:spacing w:line="553" w:lineRule="atLeast"/>
    </w:pPr>
    <w:rPr>
      <w:rFonts w:cs="Times New Roman"/>
      <w:color w:val="auto"/>
    </w:rPr>
  </w:style>
  <w:style w:type="paragraph" w:customStyle="1" w:styleId="CM10">
    <w:name w:val="CM10"/>
    <w:basedOn w:val="Default"/>
    <w:next w:val="Default"/>
    <w:pPr>
      <w:spacing w:line="553" w:lineRule="atLeast"/>
    </w:pPr>
    <w:rPr>
      <w:rFonts w:cs="Times New Roman"/>
      <w:color w:val="auto"/>
    </w:rPr>
  </w:style>
  <w:style w:type="paragraph" w:customStyle="1" w:styleId="CM11">
    <w:name w:val="CM11"/>
    <w:basedOn w:val="Default"/>
    <w:next w:val="Default"/>
    <w:pPr>
      <w:spacing w:line="553" w:lineRule="atLeast"/>
    </w:pPr>
    <w:rPr>
      <w:rFonts w:cs="Times New Roman"/>
      <w:color w:val="auto"/>
    </w:rPr>
  </w:style>
  <w:style w:type="paragraph" w:customStyle="1" w:styleId="CM12">
    <w:name w:val="CM12"/>
    <w:basedOn w:val="Default"/>
    <w:next w:val="Default"/>
    <w:pPr>
      <w:spacing w:line="553" w:lineRule="atLeast"/>
    </w:pPr>
    <w:rPr>
      <w:rFonts w:cs="Times New Roman"/>
      <w:color w:val="auto"/>
    </w:rPr>
  </w:style>
  <w:style w:type="paragraph" w:customStyle="1" w:styleId="CM28">
    <w:name w:val="CM28"/>
    <w:basedOn w:val="Default"/>
    <w:next w:val="Default"/>
    <w:pPr>
      <w:spacing w:after="818"/>
    </w:pPr>
    <w:rPr>
      <w:rFonts w:cs="Times New Roman"/>
      <w:color w:val="auto"/>
    </w:rPr>
  </w:style>
  <w:style w:type="paragraph" w:customStyle="1" w:styleId="CM29">
    <w:name w:val="CM29"/>
    <w:basedOn w:val="Default"/>
    <w:next w:val="Default"/>
    <w:pPr>
      <w:spacing w:after="948"/>
    </w:pPr>
    <w:rPr>
      <w:rFonts w:cs="Times New Roman"/>
      <w:color w:val="auto"/>
    </w:rPr>
  </w:style>
  <w:style w:type="paragraph" w:customStyle="1" w:styleId="CM13">
    <w:name w:val="CM13"/>
    <w:basedOn w:val="Default"/>
    <w:next w:val="Default"/>
    <w:rPr>
      <w:rFonts w:cs="Times New Roman"/>
      <w:color w:val="auto"/>
    </w:rPr>
  </w:style>
  <w:style w:type="paragraph" w:customStyle="1" w:styleId="CM36">
    <w:name w:val="CM36"/>
    <w:basedOn w:val="Default"/>
    <w:next w:val="Default"/>
    <w:pPr>
      <w:spacing w:after="205"/>
    </w:pPr>
    <w:rPr>
      <w:rFonts w:cs="Times New Roman"/>
      <w:color w:val="auto"/>
    </w:rPr>
  </w:style>
  <w:style w:type="paragraph" w:customStyle="1" w:styleId="CM31">
    <w:name w:val="CM31"/>
    <w:basedOn w:val="Default"/>
    <w:next w:val="Default"/>
    <w:pPr>
      <w:spacing w:after="100"/>
    </w:pPr>
    <w:rPr>
      <w:rFonts w:cs="Times New Roman"/>
      <w:color w:val="auto"/>
    </w:rPr>
  </w:style>
  <w:style w:type="paragraph" w:customStyle="1" w:styleId="CM14">
    <w:name w:val="CM14"/>
    <w:basedOn w:val="Default"/>
    <w:next w:val="Default"/>
    <w:pPr>
      <w:spacing w:line="220" w:lineRule="atLeast"/>
    </w:pPr>
    <w:rPr>
      <w:rFonts w:cs="Times New Roman"/>
      <w:color w:val="auto"/>
    </w:rPr>
  </w:style>
  <w:style w:type="paragraph" w:customStyle="1" w:styleId="CM32">
    <w:name w:val="CM32"/>
    <w:basedOn w:val="Default"/>
    <w:next w:val="Default"/>
    <w:pPr>
      <w:spacing w:after="160"/>
    </w:pPr>
    <w:rPr>
      <w:rFonts w:cs="Times New Roman"/>
      <w:color w:val="auto"/>
    </w:rPr>
  </w:style>
  <w:style w:type="paragraph" w:customStyle="1" w:styleId="CM33">
    <w:name w:val="CM33"/>
    <w:basedOn w:val="Default"/>
    <w:next w:val="Default"/>
    <w:pPr>
      <w:spacing w:after="478"/>
    </w:pPr>
    <w:rPr>
      <w:rFonts w:cs="Times New Roman"/>
      <w:color w:val="auto"/>
    </w:rPr>
  </w:style>
  <w:style w:type="paragraph" w:customStyle="1" w:styleId="CM34">
    <w:name w:val="CM34"/>
    <w:basedOn w:val="Default"/>
    <w:next w:val="Default"/>
    <w:pPr>
      <w:spacing w:after="85"/>
    </w:pPr>
    <w:rPr>
      <w:rFonts w:cs="Times New Roman"/>
      <w:color w:val="auto"/>
    </w:rPr>
  </w:style>
  <w:style w:type="paragraph" w:customStyle="1" w:styleId="CM15">
    <w:name w:val="CM15"/>
    <w:basedOn w:val="Default"/>
    <w:next w:val="Default"/>
    <w:pPr>
      <w:spacing w:line="220" w:lineRule="atLeast"/>
    </w:pPr>
    <w:rPr>
      <w:rFonts w:cs="Times New Roman"/>
      <w:color w:val="auto"/>
    </w:rPr>
  </w:style>
  <w:style w:type="paragraph" w:customStyle="1" w:styleId="CM17">
    <w:name w:val="CM17"/>
    <w:basedOn w:val="Default"/>
    <w:next w:val="Default"/>
    <w:pPr>
      <w:spacing w:line="276" w:lineRule="atLeast"/>
    </w:pPr>
    <w:rPr>
      <w:rFonts w:cs="Times New Roman"/>
      <w:color w:val="auto"/>
    </w:rPr>
  </w:style>
  <w:style w:type="paragraph" w:customStyle="1" w:styleId="CM18">
    <w:name w:val="CM18"/>
    <w:basedOn w:val="Default"/>
    <w:next w:val="Default"/>
    <w:pPr>
      <w:spacing w:line="276" w:lineRule="atLeast"/>
    </w:pPr>
    <w:rPr>
      <w:rFonts w:cs="Times New Roman"/>
      <w:color w:val="auto"/>
    </w:rPr>
  </w:style>
  <w:style w:type="paragraph" w:customStyle="1" w:styleId="CM19">
    <w:name w:val="CM19"/>
    <w:basedOn w:val="Default"/>
    <w:next w:val="Default"/>
    <w:pPr>
      <w:spacing w:line="276"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35">
    <w:name w:val="CM35"/>
    <w:basedOn w:val="Default"/>
    <w:next w:val="Default"/>
    <w:pPr>
      <w:spacing w:after="365"/>
    </w:pPr>
    <w:rPr>
      <w:rFonts w:cs="Times New Roman"/>
      <w:color w:val="auto"/>
    </w:rPr>
  </w:style>
  <w:style w:type="paragraph" w:customStyle="1" w:styleId="CM21">
    <w:name w:val="CM21"/>
    <w:basedOn w:val="Default"/>
    <w:next w:val="Default"/>
    <w:pPr>
      <w:spacing w:line="198" w:lineRule="atLeast"/>
    </w:pPr>
    <w:rPr>
      <w:rFonts w:cs="Times New Roman"/>
      <w:color w:val="auto"/>
    </w:rPr>
  </w:style>
  <w:style w:type="paragraph" w:customStyle="1" w:styleId="CM22">
    <w:name w:val="CM22"/>
    <w:basedOn w:val="Default"/>
    <w:next w:val="Default"/>
    <w:pPr>
      <w:spacing w:line="200" w:lineRule="atLeast"/>
    </w:pPr>
    <w:rPr>
      <w:rFonts w:cs="Times New Roman"/>
      <w:color w:val="auto"/>
    </w:rPr>
  </w:style>
  <w:style w:type="paragraph" w:customStyle="1" w:styleId="CM23">
    <w:name w:val="CM23"/>
    <w:basedOn w:val="Default"/>
    <w:next w:val="Default"/>
    <w:pPr>
      <w:spacing w:line="200" w:lineRule="atLeast"/>
    </w:pPr>
    <w:rPr>
      <w:rFonts w:cs="Times New Roman"/>
      <w:color w:val="auto"/>
    </w:rPr>
  </w:style>
  <w:style w:type="paragraph" w:customStyle="1" w:styleId="CM24">
    <w:name w:val="CM24"/>
    <w:basedOn w:val="Default"/>
    <w:next w:val="Default"/>
    <w:pPr>
      <w:spacing w:line="203" w:lineRule="atLeast"/>
    </w:pPr>
    <w:rPr>
      <w:rFonts w:cs="Times New Roman"/>
      <w:color w:val="auto"/>
    </w:rPr>
  </w:style>
  <w:style w:type="paragraph" w:customStyle="1" w:styleId="CM25">
    <w:name w:val="CM25"/>
    <w:basedOn w:val="Default"/>
    <w:next w:val="Default"/>
    <w:rPr>
      <w:rFonts w:cs="Times New Roman"/>
      <w:color w:val="auto"/>
    </w:rPr>
  </w:style>
  <w:style w:type="paragraph" w:styleId="BalloonText">
    <w:name w:val="Balloon Text"/>
    <w:basedOn w:val="Normal"/>
    <w:semiHidden/>
    <w:rsid w:val="009A231E"/>
    <w:rPr>
      <w:rFonts w:ascii="Tahoma" w:hAnsi="Tahoma" w:cs="Tahoma"/>
      <w:sz w:val="16"/>
      <w:szCs w:val="16"/>
    </w:rPr>
  </w:style>
  <w:style w:type="paragraph" w:styleId="Footer">
    <w:name w:val="footer"/>
    <w:basedOn w:val="Normal"/>
    <w:link w:val="FooterChar"/>
    <w:uiPriority w:val="99"/>
    <w:rsid w:val="00621153"/>
    <w:pPr>
      <w:tabs>
        <w:tab w:val="center" w:pos="4320"/>
        <w:tab w:val="right" w:pos="8640"/>
      </w:tabs>
    </w:pPr>
  </w:style>
  <w:style w:type="character" w:styleId="PageNumber">
    <w:name w:val="page number"/>
    <w:basedOn w:val="DefaultParagraphFont"/>
    <w:rsid w:val="00621153"/>
  </w:style>
  <w:style w:type="paragraph" w:styleId="FootnoteText">
    <w:name w:val="footnote text"/>
    <w:basedOn w:val="Normal"/>
    <w:link w:val="FootnoteTextChar"/>
    <w:uiPriority w:val="99"/>
    <w:rsid w:val="00FB0586"/>
    <w:pPr>
      <w:autoSpaceDE w:val="0"/>
      <w:autoSpaceDN w:val="0"/>
      <w:adjustRightInd w:val="0"/>
    </w:pPr>
  </w:style>
  <w:style w:type="character" w:customStyle="1" w:styleId="FootnoteTextChar">
    <w:name w:val="Footnote Text Char"/>
    <w:basedOn w:val="DefaultParagraphFont"/>
    <w:link w:val="FootnoteText"/>
    <w:uiPriority w:val="99"/>
    <w:rsid w:val="00FB0586"/>
  </w:style>
  <w:style w:type="character" w:styleId="FootnoteReference">
    <w:name w:val="footnote reference"/>
    <w:uiPriority w:val="99"/>
    <w:rsid w:val="00FB0586"/>
    <w:rPr>
      <w:rFonts w:cs="Times New Roman"/>
      <w:vertAlign w:val="superscript"/>
    </w:rPr>
  </w:style>
  <w:style w:type="character" w:styleId="CommentReference">
    <w:name w:val="annotation reference"/>
    <w:rsid w:val="00A01B81"/>
    <w:rPr>
      <w:sz w:val="18"/>
      <w:szCs w:val="18"/>
    </w:rPr>
  </w:style>
  <w:style w:type="paragraph" w:styleId="CommentText">
    <w:name w:val="annotation text"/>
    <w:basedOn w:val="Normal"/>
    <w:link w:val="CommentTextChar"/>
    <w:rsid w:val="00A01B81"/>
    <w:rPr>
      <w:sz w:val="24"/>
      <w:szCs w:val="24"/>
    </w:rPr>
  </w:style>
  <w:style w:type="character" w:customStyle="1" w:styleId="CommentTextChar">
    <w:name w:val="Comment Text Char"/>
    <w:link w:val="CommentText"/>
    <w:rsid w:val="00A01B81"/>
    <w:rPr>
      <w:sz w:val="24"/>
      <w:szCs w:val="24"/>
    </w:rPr>
  </w:style>
  <w:style w:type="paragraph" w:styleId="CommentSubject">
    <w:name w:val="annotation subject"/>
    <w:basedOn w:val="CommentText"/>
    <w:next w:val="CommentText"/>
    <w:link w:val="CommentSubjectChar"/>
    <w:rsid w:val="00A01B81"/>
    <w:rPr>
      <w:b/>
      <w:bCs/>
      <w:sz w:val="20"/>
      <w:szCs w:val="20"/>
    </w:rPr>
  </w:style>
  <w:style w:type="character" w:customStyle="1" w:styleId="CommentSubjectChar">
    <w:name w:val="Comment Subject Char"/>
    <w:link w:val="CommentSubject"/>
    <w:rsid w:val="00A01B81"/>
    <w:rPr>
      <w:b/>
      <w:bCs/>
      <w:sz w:val="24"/>
      <w:szCs w:val="24"/>
    </w:rPr>
  </w:style>
  <w:style w:type="paragraph" w:customStyle="1" w:styleId="ColorfulShading-Accent11">
    <w:name w:val="Colorful Shading - Accent 11"/>
    <w:hidden/>
    <w:uiPriority w:val="71"/>
    <w:rsid w:val="00A01B81"/>
  </w:style>
  <w:style w:type="paragraph" w:customStyle="1" w:styleId="ColorfulList-Accent11">
    <w:name w:val="Colorful List - Accent 11"/>
    <w:basedOn w:val="Normal"/>
    <w:uiPriority w:val="99"/>
    <w:qFormat/>
    <w:rsid w:val="00EC61D6"/>
    <w:pPr>
      <w:widowControl/>
      <w:spacing w:after="200" w:line="276" w:lineRule="auto"/>
      <w:ind w:left="720"/>
      <w:contextualSpacing/>
    </w:pPr>
    <w:rPr>
      <w:rFonts w:ascii="Calibri" w:eastAsia="Calibri" w:hAnsi="Calibri"/>
      <w:sz w:val="22"/>
      <w:szCs w:val="22"/>
    </w:rPr>
  </w:style>
  <w:style w:type="character" w:styleId="Hyperlink">
    <w:name w:val="Hyperlink"/>
    <w:uiPriority w:val="99"/>
    <w:rsid w:val="003F4660"/>
    <w:rPr>
      <w:color w:val="0000FF"/>
      <w:u w:val="single"/>
    </w:rPr>
  </w:style>
  <w:style w:type="paragraph" w:styleId="Header">
    <w:name w:val="header"/>
    <w:basedOn w:val="Normal"/>
    <w:link w:val="HeaderChar"/>
    <w:rsid w:val="00B9088B"/>
    <w:pPr>
      <w:tabs>
        <w:tab w:val="center" w:pos="4680"/>
        <w:tab w:val="right" w:pos="9360"/>
      </w:tabs>
    </w:pPr>
  </w:style>
  <w:style w:type="character" w:customStyle="1" w:styleId="HeaderChar">
    <w:name w:val="Header Char"/>
    <w:basedOn w:val="DefaultParagraphFont"/>
    <w:link w:val="Header"/>
    <w:rsid w:val="00B9088B"/>
  </w:style>
  <w:style w:type="paragraph" w:styleId="NormalWeb">
    <w:name w:val="Normal (Web)"/>
    <w:basedOn w:val="Normal"/>
    <w:uiPriority w:val="99"/>
    <w:unhideWhenUsed/>
    <w:rsid w:val="00B9088B"/>
    <w:pPr>
      <w:widowControl/>
      <w:spacing w:before="100" w:beforeAutospacing="1" w:after="100" w:afterAutospacing="1"/>
    </w:pPr>
    <w:rPr>
      <w:rFonts w:ascii="Arial" w:hAnsi="Arial" w:cs="Arial"/>
      <w:color w:val="4D4D4D"/>
      <w:sz w:val="16"/>
      <w:szCs w:val="16"/>
    </w:rPr>
  </w:style>
  <w:style w:type="paragraph" w:styleId="TOC2">
    <w:name w:val="toc 2"/>
    <w:autoRedefine/>
    <w:uiPriority w:val="39"/>
    <w:rsid w:val="00B9088B"/>
    <w:pPr>
      <w:tabs>
        <w:tab w:val="left" w:pos="720"/>
        <w:tab w:val="right" w:leader="dot" w:pos="8640"/>
        <w:tab w:val="right" w:pos="9180"/>
      </w:tabs>
      <w:spacing w:before="120" w:after="120" w:line="240" w:lineRule="atLeast"/>
      <w:ind w:left="720" w:hanging="720"/>
    </w:pPr>
    <w:rPr>
      <w:smallCaps/>
    </w:rPr>
  </w:style>
  <w:style w:type="paragraph" w:styleId="ListBullet">
    <w:name w:val="List Bullet"/>
    <w:aliases w:val="1st level Bullet"/>
    <w:basedOn w:val="Normal"/>
    <w:link w:val="ListBulletChar"/>
    <w:rsid w:val="00D854E7"/>
    <w:pPr>
      <w:widowControl/>
      <w:numPr>
        <w:numId w:val="26"/>
      </w:numPr>
      <w:tabs>
        <w:tab w:val="left" w:pos="720"/>
      </w:tabs>
      <w:ind w:left="720"/>
    </w:pPr>
    <w:rPr>
      <w:sz w:val="24"/>
      <w:szCs w:val="24"/>
    </w:rPr>
  </w:style>
  <w:style w:type="character" w:customStyle="1" w:styleId="ListBulletChar">
    <w:name w:val="List Bullet Char"/>
    <w:aliases w:val="1st level Bullet Char"/>
    <w:link w:val="ListBullet"/>
    <w:rsid w:val="00D854E7"/>
    <w:rPr>
      <w:sz w:val="24"/>
      <w:szCs w:val="24"/>
    </w:rPr>
  </w:style>
  <w:style w:type="table" w:styleId="TableGrid">
    <w:name w:val="Table Grid"/>
    <w:basedOn w:val="TableNormal"/>
    <w:uiPriority w:val="59"/>
    <w:rsid w:val="009A3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269B"/>
  </w:style>
  <w:style w:type="character" w:styleId="FollowedHyperlink">
    <w:name w:val="FollowedHyperlink"/>
    <w:rsid w:val="00436E72"/>
    <w:rPr>
      <w:color w:val="800080"/>
      <w:u w:val="single"/>
    </w:rPr>
  </w:style>
  <w:style w:type="paragraph" w:styleId="PlainText">
    <w:name w:val="Plain Text"/>
    <w:basedOn w:val="Normal"/>
    <w:link w:val="PlainTextChar"/>
    <w:uiPriority w:val="99"/>
    <w:unhideWhenUsed/>
    <w:rsid w:val="008272F1"/>
    <w:pPr>
      <w:widowControl/>
    </w:pPr>
    <w:rPr>
      <w:rFonts w:ascii="Calibri" w:hAnsi="Calibri"/>
      <w:sz w:val="22"/>
      <w:szCs w:val="21"/>
    </w:rPr>
  </w:style>
  <w:style w:type="character" w:customStyle="1" w:styleId="PlainTextChar">
    <w:name w:val="Plain Text Char"/>
    <w:link w:val="PlainText"/>
    <w:uiPriority w:val="99"/>
    <w:rsid w:val="008272F1"/>
    <w:rPr>
      <w:rFonts w:ascii="Calibri" w:hAnsi="Calibri"/>
      <w:sz w:val="22"/>
      <w:szCs w:val="21"/>
    </w:rPr>
  </w:style>
  <w:style w:type="table" w:customStyle="1" w:styleId="TableGrid1">
    <w:name w:val="Table Grid1"/>
    <w:basedOn w:val="TableNormal"/>
    <w:next w:val="TableGrid"/>
    <w:uiPriority w:val="59"/>
    <w:rsid w:val="0049355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16DDB"/>
  </w:style>
  <w:style w:type="paragraph" w:styleId="ListParagraph">
    <w:name w:val="List Paragraph"/>
    <w:basedOn w:val="Normal"/>
    <w:uiPriority w:val="34"/>
    <w:qFormat/>
    <w:rsid w:val="00121F13"/>
    <w:pPr>
      <w:widowControl/>
      <w:spacing w:after="200" w:line="276" w:lineRule="auto"/>
      <w:ind w:left="720"/>
      <w:contextualSpacing/>
    </w:pPr>
    <w:rPr>
      <w:rFonts w:ascii="Calibri" w:eastAsia="Calibri" w:hAnsi="Calibri"/>
      <w:sz w:val="22"/>
      <w:szCs w:val="22"/>
    </w:rPr>
  </w:style>
  <w:style w:type="paragraph" w:customStyle="1" w:styleId="P1-StandPara">
    <w:name w:val="P1-Stand Para"/>
    <w:rsid w:val="00121F13"/>
    <w:pPr>
      <w:spacing w:line="480" w:lineRule="auto"/>
      <w:ind w:firstLine="720"/>
    </w:pPr>
    <w:rPr>
      <w:sz w:val="22"/>
    </w:rPr>
  </w:style>
  <w:style w:type="character" w:customStyle="1" w:styleId="Mention1">
    <w:name w:val="Mention1"/>
    <w:basedOn w:val="DefaultParagraphFont"/>
    <w:uiPriority w:val="99"/>
    <w:semiHidden/>
    <w:unhideWhenUsed/>
    <w:rsid w:val="00E5391D"/>
    <w:rPr>
      <w:color w:val="2B579A"/>
      <w:shd w:val="clear" w:color="auto" w:fill="E6E6E6"/>
    </w:rPr>
  </w:style>
  <w:style w:type="character" w:customStyle="1" w:styleId="Heading1Char">
    <w:name w:val="Heading 1 Char"/>
    <w:basedOn w:val="DefaultParagraphFont"/>
    <w:link w:val="Heading1"/>
    <w:rsid w:val="00061881"/>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217B21"/>
    <w:rPr>
      <w:color w:val="808080"/>
      <w:shd w:val="clear" w:color="auto" w:fill="E6E6E6"/>
    </w:rPr>
  </w:style>
  <w:style w:type="paragraph" w:styleId="TOCHeading">
    <w:name w:val="TOC Heading"/>
    <w:basedOn w:val="Heading1"/>
    <w:next w:val="Normal"/>
    <w:uiPriority w:val="39"/>
    <w:unhideWhenUsed/>
    <w:qFormat/>
    <w:rsid w:val="00C9791B"/>
    <w:pPr>
      <w:widowControl/>
      <w:spacing w:line="259" w:lineRule="auto"/>
      <w:outlineLvl w:val="9"/>
    </w:pPr>
  </w:style>
  <w:style w:type="paragraph" w:styleId="TOC1">
    <w:name w:val="toc 1"/>
    <w:basedOn w:val="Normal"/>
    <w:next w:val="Normal"/>
    <w:autoRedefine/>
    <w:uiPriority w:val="39"/>
    <w:unhideWhenUsed/>
    <w:rsid w:val="00C9791B"/>
    <w:pPr>
      <w:widowControl/>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C9791B"/>
    <w:pPr>
      <w:widowControl/>
      <w:spacing w:after="100" w:line="259" w:lineRule="auto"/>
      <w:ind w:left="440"/>
    </w:pPr>
    <w:rPr>
      <w:rFonts w:asciiTheme="minorHAnsi" w:eastAsiaTheme="minorEastAsia"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99"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C1F"/>
    <w:pPr>
      <w:widowControl w:val="0"/>
    </w:pPr>
  </w:style>
  <w:style w:type="paragraph" w:styleId="Heading1">
    <w:name w:val="heading 1"/>
    <w:basedOn w:val="Normal"/>
    <w:next w:val="Normal"/>
    <w:link w:val="Heading1Char"/>
    <w:qFormat/>
    <w:rsid w:val="000618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E21C1F"/>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DIGNKC+TimesNewRoman,Bold" w:hAnsi="DIGNKC+TimesNewRoman,Bold" w:cs="DIGNKC+TimesNewRoman,Bold"/>
      <w:color w:val="000000"/>
      <w:sz w:val="24"/>
      <w:szCs w:val="24"/>
    </w:rPr>
  </w:style>
  <w:style w:type="paragraph" w:customStyle="1" w:styleId="CM1">
    <w:name w:val="CM1"/>
    <w:basedOn w:val="Default"/>
    <w:next w:val="Default"/>
    <w:rPr>
      <w:rFonts w:cs="Times New Roman"/>
      <w:color w:val="auto"/>
    </w:rPr>
  </w:style>
  <w:style w:type="paragraph" w:customStyle="1" w:styleId="CM26">
    <w:name w:val="CM26"/>
    <w:basedOn w:val="Default"/>
    <w:next w:val="Default"/>
    <w:pPr>
      <w:spacing w:after="270"/>
    </w:pPr>
    <w:rPr>
      <w:rFonts w:cs="Times New Roman"/>
      <w:color w:val="auto"/>
    </w:rPr>
  </w:style>
  <w:style w:type="paragraph" w:customStyle="1" w:styleId="CM2">
    <w:name w:val="CM2"/>
    <w:basedOn w:val="Default"/>
    <w:next w:val="Default"/>
    <w:pPr>
      <w:spacing w:line="553" w:lineRule="atLeast"/>
    </w:pPr>
    <w:rPr>
      <w:rFonts w:cs="Times New Roman"/>
      <w:color w:val="auto"/>
    </w:rPr>
  </w:style>
  <w:style w:type="paragraph" w:customStyle="1" w:styleId="CM27">
    <w:name w:val="CM27"/>
    <w:basedOn w:val="Default"/>
    <w:next w:val="Default"/>
    <w:pPr>
      <w:spacing w:after="555"/>
    </w:pPr>
    <w:rPr>
      <w:rFonts w:cs="Times New Roman"/>
      <w:color w:val="auto"/>
    </w:rPr>
  </w:style>
  <w:style w:type="paragraph" w:customStyle="1" w:styleId="CM4">
    <w:name w:val="CM4"/>
    <w:basedOn w:val="Default"/>
    <w:next w:val="Default"/>
    <w:pPr>
      <w:spacing w:line="553" w:lineRule="atLeast"/>
    </w:pPr>
    <w:rPr>
      <w:rFonts w:cs="Times New Roman"/>
      <w:color w:val="auto"/>
    </w:rPr>
  </w:style>
  <w:style w:type="paragraph" w:customStyle="1" w:styleId="CM3">
    <w:name w:val="CM3"/>
    <w:basedOn w:val="Default"/>
    <w:next w:val="Default"/>
    <w:pPr>
      <w:spacing w:line="553" w:lineRule="atLeast"/>
    </w:pPr>
    <w:rPr>
      <w:rFonts w:cs="Times New Roman"/>
      <w:color w:val="auto"/>
    </w:rPr>
  </w:style>
  <w:style w:type="paragraph" w:customStyle="1" w:styleId="CM7">
    <w:name w:val="CM7"/>
    <w:basedOn w:val="Default"/>
    <w:next w:val="Default"/>
    <w:pPr>
      <w:spacing w:line="553" w:lineRule="atLeast"/>
    </w:pPr>
    <w:rPr>
      <w:rFonts w:cs="Times New Roman"/>
      <w:color w:val="auto"/>
    </w:rPr>
  </w:style>
  <w:style w:type="paragraph" w:customStyle="1" w:styleId="CM8">
    <w:name w:val="CM8"/>
    <w:basedOn w:val="Default"/>
    <w:next w:val="Default"/>
    <w:pPr>
      <w:spacing w:line="553" w:lineRule="atLeast"/>
    </w:pPr>
    <w:rPr>
      <w:rFonts w:cs="Times New Roman"/>
      <w:color w:val="auto"/>
    </w:rPr>
  </w:style>
  <w:style w:type="paragraph" w:customStyle="1" w:styleId="CM9">
    <w:name w:val="CM9"/>
    <w:basedOn w:val="Default"/>
    <w:next w:val="Default"/>
    <w:pPr>
      <w:spacing w:line="553" w:lineRule="atLeast"/>
    </w:pPr>
    <w:rPr>
      <w:rFonts w:cs="Times New Roman"/>
      <w:color w:val="auto"/>
    </w:rPr>
  </w:style>
  <w:style w:type="paragraph" w:customStyle="1" w:styleId="CM10">
    <w:name w:val="CM10"/>
    <w:basedOn w:val="Default"/>
    <w:next w:val="Default"/>
    <w:pPr>
      <w:spacing w:line="553" w:lineRule="atLeast"/>
    </w:pPr>
    <w:rPr>
      <w:rFonts w:cs="Times New Roman"/>
      <w:color w:val="auto"/>
    </w:rPr>
  </w:style>
  <w:style w:type="paragraph" w:customStyle="1" w:styleId="CM11">
    <w:name w:val="CM11"/>
    <w:basedOn w:val="Default"/>
    <w:next w:val="Default"/>
    <w:pPr>
      <w:spacing w:line="553" w:lineRule="atLeast"/>
    </w:pPr>
    <w:rPr>
      <w:rFonts w:cs="Times New Roman"/>
      <w:color w:val="auto"/>
    </w:rPr>
  </w:style>
  <w:style w:type="paragraph" w:customStyle="1" w:styleId="CM12">
    <w:name w:val="CM12"/>
    <w:basedOn w:val="Default"/>
    <w:next w:val="Default"/>
    <w:pPr>
      <w:spacing w:line="553" w:lineRule="atLeast"/>
    </w:pPr>
    <w:rPr>
      <w:rFonts w:cs="Times New Roman"/>
      <w:color w:val="auto"/>
    </w:rPr>
  </w:style>
  <w:style w:type="paragraph" w:customStyle="1" w:styleId="CM28">
    <w:name w:val="CM28"/>
    <w:basedOn w:val="Default"/>
    <w:next w:val="Default"/>
    <w:pPr>
      <w:spacing w:after="818"/>
    </w:pPr>
    <w:rPr>
      <w:rFonts w:cs="Times New Roman"/>
      <w:color w:val="auto"/>
    </w:rPr>
  </w:style>
  <w:style w:type="paragraph" w:customStyle="1" w:styleId="CM29">
    <w:name w:val="CM29"/>
    <w:basedOn w:val="Default"/>
    <w:next w:val="Default"/>
    <w:pPr>
      <w:spacing w:after="948"/>
    </w:pPr>
    <w:rPr>
      <w:rFonts w:cs="Times New Roman"/>
      <w:color w:val="auto"/>
    </w:rPr>
  </w:style>
  <w:style w:type="paragraph" w:customStyle="1" w:styleId="CM13">
    <w:name w:val="CM13"/>
    <w:basedOn w:val="Default"/>
    <w:next w:val="Default"/>
    <w:rPr>
      <w:rFonts w:cs="Times New Roman"/>
      <w:color w:val="auto"/>
    </w:rPr>
  </w:style>
  <w:style w:type="paragraph" w:customStyle="1" w:styleId="CM36">
    <w:name w:val="CM36"/>
    <w:basedOn w:val="Default"/>
    <w:next w:val="Default"/>
    <w:pPr>
      <w:spacing w:after="205"/>
    </w:pPr>
    <w:rPr>
      <w:rFonts w:cs="Times New Roman"/>
      <w:color w:val="auto"/>
    </w:rPr>
  </w:style>
  <w:style w:type="paragraph" w:customStyle="1" w:styleId="CM31">
    <w:name w:val="CM31"/>
    <w:basedOn w:val="Default"/>
    <w:next w:val="Default"/>
    <w:pPr>
      <w:spacing w:after="100"/>
    </w:pPr>
    <w:rPr>
      <w:rFonts w:cs="Times New Roman"/>
      <w:color w:val="auto"/>
    </w:rPr>
  </w:style>
  <w:style w:type="paragraph" w:customStyle="1" w:styleId="CM14">
    <w:name w:val="CM14"/>
    <w:basedOn w:val="Default"/>
    <w:next w:val="Default"/>
    <w:pPr>
      <w:spacing w:line="220" w:lineRule="atLeast"/>
    </w:pPr>
    <w:rPr>
      <w:rFonts w:cs="Times New Roman"/>
      <w:color w:val="auto"/>
    </w:rPr>
  </w:style>
  <w:style w:type="paragraph" w:customStyle="1" w:styleId="CM32">
    <w:name w:val="CM32"/>
    <w:basedOn w:val="Default"/>
    <w:next w:val="Default"/>
    <w:pPr>
      <w:spacing w:after="160"/>
    </w:pPr>
    <w:rPr>
      <w:rFonts w:cs="Times New Roman"/>
      <w:color w:val="auto"/>
    </w:rPr>
  </w:style>
  <w:style w:type="paragraph" w:customStyle="1" w:styleId="CM33">
    <w:name w:val="CM33"/>
    <w:basedOn w:val="Default"/>
    <w:next w:val="Default"/>
    <w:pPr>
      <w:spacing w:after="478"/>
    </w:pPr>
    <w:rPr>
      <w:rFonts w:cs="Times New Roman"/>
      <w:color w:val="auto"/>
    </w:rPr>
  </w:style>
  <w:style w:type="paragraph" w:customStyle="1" w:styleId="CM34">
    <w:name w:val="CM34"/>
    <w:basedOn w:val="Default"/>
    <w:next w:val="Default"/>
    <w:pPr>
      <w:spacing w:after="85"/>
    </w:pPr>
    <w:rPr>
      <w:rFonts w:cs="Times New Roman"/>
      <w:color w:val="auto"/>
    </w:rPr>
  </w:style>
  <w:style w:type="paragraph" w:customStyle="1" w:styleId="CM15">
    <w:name w:val="CM15"/>
    <w:basedOn w:val="Default"/>
    <w:next w:val="Default"/>
    <w:pPr>
      <w:spacing w:line="220" w:lineRule="atLeast"/>
    </w:pPr>
    <w:rPr>
      <w:rFonts w:cs="Times New Roman"/>
      <w:color w:val="auto"/>
    </w:rPr>
  </w:style>
  <w:style w:type="paragraph" w:customStyle="1" w:styleId="CM17">
    <w:name w:val="CM17"/>
    <w:basedOn w:val="Default"/>
    <w:next w:val="Default"/>
    <w:pPr>
      <w:spacing w:line="276" w:lineRule="atLeast"/>
    </w:pPr>
    <w:rPr>
      <w:rFonts w:cs="Times New Roman"/>
      <w:color w:val="auto"/>
    </w:rPr>
  </w:style>
  <w:style w:type="paragraph" w:customStyle="1" w:styleId="CM18">
    <w:name w:val="CM18"/>
    <w:basedOn w:val="Default"/>
    <w:next w:val="Default"/>
    <w:pPr>
      <w:spacing w:line="276" w:lineRule="atLeast"/>
    </w:pPr>
    <w:rPr>
      <w:rFonts w:cs="Times New Roman"/>
      <w:color w:val="auto"/>
    </w:rPr>
  </w:style>
  <w:style w:type="paragraph" w:customStyle="1" w:styleId="CM19">
    <w:name w:val="CM19"/>
    <w:basedOn w:val="Default"/>
    <w:next w:val="Default"/>
    <w:pPr>
      <w:spacing w:line="276"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35">
    <w:name w:val="CM35"/>
    <w:basedOn w:val="Default"/>
    <w:next w:val="Default"/>
    <w:pPr>
      <w:spacing w:after="365"/>
    </w:pPr>
    <w:rPr>
      <w:rFonts w:cs="Times New Roman"/>
      <w:color w:val="auto"/>
    </w:rPr>
  </w:style>
  <w:style w:type="paragraph" w:customStyle="1" w:styleId="CM21">
    <w:name w:val="CM21"/>
    <w:basedOn w:val="Default"/>
    <w:next w:val="Default"/>
    <w:pPr>
      <w:spacing w:line="198" w:lineRule="atLeast"/>
    </w:pPr>
    <w:rPr>
      <w:rFonts w:cs="Times New Roman"/>
      <w:color w:val="auto"/>
    </w:rPr>
  </w:style>
  <w:style w:type="paragraph" w:customStyle="1" w:styleId="CM22">
    <w:name w:val="CM22"/>
    <w:basedOn w:val="Default"/>
    <w:next w:val="Default"/>
    <w:pPr>
      <w:spacing w:line="200" w:lineRule="atLeast"/>
    </w:pPr>
    <w:rPr>
      <w:rFonts w:cs="Times New Roman"/>
      <w:color w:val="auto"/>
    </w:rPr>
  </w:style>
  <w:style w:type="paragraph" w:customStyle="1" w:styleId="CM23">
    <w:name w:val="CM23"/>
    <w:basedOn w:val="Default"/>
    <w:next w:val="Default"/>
    <w:pPr>
      <w:spacing w:line="200" w:lineRule="atLeast"/>
    </w:pPr>
    <w:rPr>
      <w:rFonts w:cs="Times New Roman"/>
      <w:color w:val="auto"/>
    </w:rPr>
  </w:style>
  <w:style w:type="paragraph" w:customStyle="1" w:styleId="CM24">
    <w:name w:val="CM24"/>
    <w:basedOn w:val="Default"/>
    <w:next w:val="Default"/>
    <w:pPr>
      <w:spacing w:line="203" w:lineRule="atLeast"/>
    </w:pPr>
    <w:rPr>
      <w:rFonts w:cs="Times New Roman"/>
      <w:color w:val="auto"/>
    </w:rPr>
  </w:style>
  <w:style w:type="paragraph" w:customStyle="1" w:styleId="CM25">
    <w:name w:val="CM25"/>
    <w:basedOn w:val="Default"/>
    <w:next w:val="Default"/>
    <w:rPr>
      <w:rFonts w:cs="Times New Roman"/>
      <w:color w:val="auto"/>
    </w:rPr>
  </w:style>
  <w:style w:type="paragraph" w:styleId="BalloonText">
    <w:name w:val="Balloon Text"/>
    <w:basedOn w:val="Normal"/>
    <w:semiHidden/>
    <w:rsid w:val="009A231E"/>
    <w:rPr>
      <w:rFonts w:ascii="Tahoma" w:hAnsi="Tahoma" w:cs="Tahoma"/>
      <w:sz w:val="16"/>
      <w:szCs w:val="16"/>
    </w:rPr>
  </w:style>
  <w:style w:type="paragraph" w:styleId="Footer">
    <w:name w:val="footer"/>
    <w:basedOn w:val="Normal"/>
    <w:link w:val="FooterChar"/>
    <w:uiPriority w:val="99"/>
    <w:rsid w:val="00621153"/>
    <w:pPr>
      <w:tabs>
        <w:tab w:val="center" w:pos="4320"/>
        <w:tab w:val="right" w:pos="8640"/>
      </w:tabs>
    </w:pPr>
  </w:style>
  <w:style w:type="character" w:styleId="PageNumber">
    <w:name w:val="page number"/>
    <w:basedOn w:val="DefaultParagraphFont"/>
    <w:rsid w:val="00621153"/>
  </w:style>
  <w:style w:type="paragraph" w:styleId="FootnoteText">
    <w:name w:val="footnote text"/>
    <w:basedOn w:val="Normal"/>
    <w:link w:val="FootnoteTextChar"/>
    <w:uiPriority w:val="99"/>
    <w:rsid w:val="00FB0586"/>
    <w:pPr>
      <w:autoSpaceDE w:val="0"/>
      <w:autoSpaceDN w:val="0"/>
      <w:adjustRightInd w:val="0"/>
    </w:pPr>
  </w:style>
  <w:style w:type="character" w:customStyle="1" w:styleId="FootnoteTextChar">
    <w:name w:val="Footnote Text Char"/>
    <w:basedOn w:val="DefaultParagraphFont"/>
    <w:link w:val="FootnoteText"/>
    <w:uiPriority w:val="99"/>
    <w:rsid w:val="00FB0586"/>
  </w:style>
  <w:style w:type="character" w:styleId="FootnoteReference">
    <w:name w:val="footnote reference"/>
    <w:uiPriority w:val="99"/>
    <w:rsid w:val="00FB0586"/>
    <w:rPr>
      <w:rFonts w:cs="Times New Roman"/>
      <w:vertAlign w:val="superscript"/>
    </w:rPr>
  </w:style>
  <w:style w:type="character" w:styleId="CommentReference">
    <w:name w:val="annotation reference"/>
    <w:rsid w:val="00A01B81"/>
    <w:rPr>
      <w:sz w:val="18"/>
      <w:szCs w:val="18"/>
    </w:rPr>
  </w:style>
  <w:style w:type="paragraph" w:styleId="CommentText">
    <w:name w:val="annotation text"/>
    <w:basedOn w:val="Normal"/>
    <w:link w:val="CommentTextChar"/>
    <w:rsid w:val="00A01B81"/>
    <w:rPr>
      <w:sz w:val="24"/>
      <w:szCs w:val="24"/>
    </w:rPr>
  </w:style>
  <w:style w:type="character" w:customStyle="1" w:styleId="CommentTextChar">
    <w:name w:val="Comment Text Char"/>
    <w:link w:val="CommentText"/>
    <w:rsid w:val="00A01B81"/>
    <w:rPr>
      <w:sz w:val="24"/>
      <w:szCs w:val="24"/>
    </w:rPr>
  </w:style>
  <w:style w:type="paragraph" w:styleId="CommentSubject">
    <w:name w:val="annotation subject"/>
    <w:basedOn w:val="CommentText"/>
    <w:next w:val="CommentText"/>
    <w:link w:val="CommentSubjectChar"/>
    <w:rsid w:val="00A01B81"/>
    <w:rPr>
      <w:b/>
      <w:bCs/>
      <w:sz w:val="20"/>
      <w:szCs w:val="20"/>
    </w:rPr>
  </w:style>
  <w:style w:type="character" w:customStyle="1" w:styleId="CommentSubjectChar">
    <w:name w:val="Comment Subject Char"/>
    <w:link w:val="CommentSubject"/>
    <w:rsid w:val="00A01B81"/>
    <w:rPr>
      <w:b/>
      <w:bCs/>
      <w:sz w:val="24"/>
      <w:szCs w:val="24"/>
    </w:rPr>
  </w:style>
  <w:style w:type="paragraph" w:customStyle="1" w:styleId="ColorfulShading-Accent11">
    <w:name w:val="Colorful Shading - Accent 11"/>
    <w:hidden/>
    <w:uiPriority w:val="71"/>
    <w:rsid w:val="00A01B81"/>
  </w:style>
  <w:style w:type="paragraph" w:customStyle="1" w:styleId="ColorfulList-Accent11">
    <w:name w:val="Colorful List - Accent 11"/>
    <w:basedOn w:val="Normal"/>
    <w:uiPriority w:val="99"/>
    <w:qFormat/>
    <w:rsid w:val="00EC61D6"/>
    <w:pPr>
      <w:widowControl/>
      <w:spacing w:after="200" w:line="276" w:lineRule="auto"/>
      <w:ind w:left="720"/>
      <w:contextualSpacing/>
    </w:pPr>
    <w:rPr>
      <w:rFonts w:ascii="Calibri" w:eastAsia="Calibri" w:hAnsi="Calibri"/>
      <w:sz w:val="22"/>
      <w:szCs w:val="22"/>
    </w:rPr>
  </w:style>
  <w:style w:type="character" w:styleId="Hyperlink">
    <w:name w:val="Hyperlink"/>
    <w:uiPriority w:val="99"/>
    <w:rsid w:val="003F4660"/>
    <w:rPr>
      <w:color w:val="0000FF"/>
      <w:u w:val="single"/>
    </w:rPr>
  </w:style>
  <w:style w:type="paragraph" w:styleId="Header">
    <w:name w:val="header"/>
    <w:basedOn w:val="Normal"/>
    <w:link w:val="HeaderChar"/>
    <w:rsid w:val="00B9088B"/>
    <w:pPr>
      <w:tabs>
        <w:tab w:val="center" w:pos="4680"/>
        <w:tab w:val="right" w:pos="9360"/>
      </w:tabs>
    </w:pPr>
  </w:style>
  <w:style w:type="character" w:customStyle="1" w:styleId="HeaderChar">
    <w:name w:val="Header Char"/>
    <w:basedOn w:val="DefaultParagraphFont"/>
    <w:link w:val="Header"/>
    <w:rsid w:val="00B9088B"/>
  </w:style>
  <w:style w:type="paragraph" w:styleId="NormalWeb">
    <w:name w:val="Normal (Web)"/>
    <w:basedOn w:val="Normal"/>
    <w:uiPriority w:val="99"/>
    <w:unhideWhenUsed/>
    <w:rsid w:val="00B9088B"/>
    <w:pPr>
      <w:widowControl/>
      <w:spacing w:before="100" w:beforeAutospacing="1" w:after="100" w:afterAutospacing="1"/>
    </w:pPr>
    <w:rPr>
      <w:rFonts w:ascii="Arial" w:hAnsi="Arial" w:cs="Arial"/>
      <w:color w:val="4D4D4D"/>
      <w:sz w:val="16"/>
      <w:szCs w:val="16"/>
    </w:rPr>
  </w:style>
  <w:style w:type="paragraph" w:styleId="TOC2">
    <w:name w:val="toc 2"/>
    <w:autoRedefine/>
    <w:uiPriority w:val="39"/>
    <w:rsid w:val="00B9088B"/>
    <w:pPr>
      <w:tabs>
        <w:tab w:val="left" w:pos="720"/>
        <w:tab w:val="right" w:leader="dot" w:pos="8640"/>
        <w:tab w:val="right" w:pos="9180"/>
      </w:tabs>
      <w:spacing w:before="120" w:after="120" w:line="240" w:lineRule="atLeast"/>
      <w:ind w:left="720" w:hanging="720"/>
    </w:pPr>
    <w:rPr>
      <w:smallCaps/>
    </w:rPr>
  </w:style>
  <w:style w:type="paragraph" w:styleId="ListBullet">
    <w:name w:val="List Bullet"/>
    <w:aliases w:val="1st level Bullet"/>
    <w:basedOn w:val="Normal"/>
    <w:link w:val="ListBulletChar"/>
    <w:rsid w:val="00D854E7"/>
    <w:pPr>
      <w:widowControl/>
      <w:numPr>
        <w:numId w:val="26"/>
      </w:numPr>
      <w:tabs>
        <w:tab w:val="left" w:pos="720"/>
      </w:tabs>
      <w:ind w:left="720"/>
    </w:pPr>
    <w:rPr>
      <w:sz w:val="24"/>
      <w:szCs w:val="24"/>
    </w:rPr>
  </w:style>
  <w:style w:type="character" w:customStyle="1" w:styleId="ListBulletChar">
    <w:name w:val="List Bullet Char"/>
    <w:aliases w:val="1st level Bullet Char"/>
    <w:link w:val="ListBullet"/>
    <w:rsid w:val="00D854E7"/>
    <w:rPr>
      <w:sz w:val="24"/>
      <w:szCs w:val="24"/>
    </w:rPr>
  </w:style>
  <w:style w:type="table" w:styleId="TableGrid">
    <w:name w:val="Table Grid"/>
    <w:basedOn w:val="TableNormal"/>
    <w:uiPriority w:val="59"/>
    <w:rsid w:val="009A3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269B"/>
  </w:style>
  <w:style w:type="character" w:styleId="FollowedHyperlink">
    <w:name w:val="FollowedHyperlink"/>
    <w:rsid w:val="00436E72"/>
    <w:rPr>
      <w:color w:val="800080"/>
      <w:u w:val="single"/>
    </w:rPr>
  </w:style>
  <w:style w:type="paragraph" w:styleId="PlainText">
    <w:name w:val="Plain Text"/>
    <w:basedOn w:val="Normal"/>
    <w:link w:val="PlainTextChar"/>
    <w:uiPriority w:val="99"/>
    <w:unhideWhenUsed/>
    <w:rsid w:val="008272F1"/>
    <w:pPr>
      <w:widowControl/>
    </w:pPr>
    <w:rPr>
      <w:rFonts w:ascii="Calibri" w:hAnsi="Calibri"/>
      <w:sz w:val="22"/>
      <w:szCs w:val="21"/>
    </w:rPr>
  </w:style>
  <w:style w:type="character" w:customStyle="1" w:styleId="PlainTextChar">
    <w:name w:val="Plain Text Char"/>
    <w:link w:val="PlainText"/>
    <w:uiPriority w:val="99"/>
    <w:rsid w:val="008272F1"/>
    <w:rPr>
      <w:rFonts w:ascii="Calibri" w:hAnsi="Calibri"/>
      <w:sz w:val="22"/>
      <w:szCs w:val="21"/>
    </w:rPr>
  </w:style>
  <w:style w:type="table" w:customStyle="1" w:styleId="TableGrid1">
    <w:name w:val="Table Grid1"/>
    <w:basedOn w:val="TableNormal"/>
    <w:next w:val="TableGrid"/>
    <w:uiPriority w:val="59"/>
    <w:rsid w:val="0049355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16DDB"/>
  </w:style>
  <w:style w:type="paragraph" w:styleId="ListParagraph">
    <w:name w:val="List Paragraph"/>
    <w:basedOn w:val="Normal"/>
    <w:uiPriority w:val="34"/>
    <w:qFormat/>
    <w:rsid w:val="00121F13"/>
    <w:pPr>
      <w:widowControl/>
      <w:spacing w:after="200" w:line="276" w:lineRule="auto"/>
      <w:ind w:left="720"/>
      <w:contextualSpacing/>
    </w:pPr>
    <w:rPr>
      <w:rFonts w:ascii="Calibri" w:eastAsia="Calibri" w:hAnsi="Calibri"/>
      <w:sz w:val="22"/>
      <w:szCs w:val="22"/>
    </w:rPr>
  </w:style>
  <w:style w:type="paragraph" w:customStyle="1" w:styleId="P1-StandPara">
    <w:name w:val="P1-Stand Para"/>
    <w:rsid w:val="00121F13"/>
    <w:pPr>
      <w:spacing w:line="480" w:lineRule="auto"/>
      <w:ind w:firstLine="720"/>
    </w:pPr>
    <w:rPr>
      <w:sz w:val="22"/>
    </w:rPr>
  </w:style>
  <w:style w:type="character" w:customStyle="1" w:styleId="Mention1">
    <w:name w:val="Mention1"/>
    <w:basedOn w:val="DefaultParagraphFont"/>
    <w:uiPriority w:val="99"/>
    <w:semiHidden/>
    <w:unhideWhenUsed/>
    <w:rsid w:val="00E5391D"/>
    <w:rPr>
      <w:color w:val="2B579A"/>
      <w:shd w:val="clear" w:color="auto" w:fill="E6E6E6"/>
    </w:rPr>
  </w:style>
  <w:style w:type="character" w:customStyle="1" w:styleId="Heading1Char">
    <w:name w:val="Heading 1 Char"/>
    <w:basedOn w:val="DefaultParagraphFont"/>
    <w:link w:val="Heading1"/>
    <w:rsid w:val="00061881"/>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217B21"/>
    <w:rPr>
      <w:color w:val="808080"/>
      <w:shd w:val="clear" w:color="auto" w:fill="E6E6E6"/>
    </w:rPr>
  </w:style>
  <w:style w:type="paragraph" w:styleId="TOCHeading">
    <w:name w:val="TOC Heading"/>
    <w:basedOn w:val="Heading1"/>
    <w:next w:val="Normal"/>
    <w:uiPriority w:val="39"/>
    <w:unhideWhenUsed/>
    <w:qFormat/>
    <w:rsid w:val="00C9791B"/>
    <w:pPr>
      <w:widowControl/>
      <w:spacing w:line="259" w:lineRule="auto"/>
      <w:outlineLvl w:val="9"/>
    </w:pPr>
  </w:style>
  <w:style w:type="paragraph" w:styleId="TOC1">
    <w:name w:val="toc 1"/>
    <w:basedOn w:val="Normal"/>
    <w:next w:val="Normal"/>
    <w:autoRedefine/>
    <w:uiPriority w:val="39"/>
    <w:unhideWhenUsed/>
    <w:rsid w:val="00C9791B"/>
    <w:pPr>
      <w:widowControl/>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C9791B"/>
    <w:pPr>
      <w:widowControl/>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044236">
      <w:bodyDiv w:val="1"/>
      <w:marLeft w:val="0"/>
      <w:marRight w:val="0"/>
      <w:marTop w:val="0"/>
      <w:marBottom w:val="0"/>
      <w:divBdr>
        <w:top w:val="none" w:sz="0" w:space="0" w:color="auto"/>
        <w:left w:val="none" w:sz="0" w:space="0" w:color="auto"/>
        <w:bottom w:val="none" w:sz="0" w:space="0" w:color="auto"/>
        <w:right w:val="none" w:sz="0" w:space="0" w:color="auto"/>
      </w:divBdr>
    </w:div>
    <w:div w:id="449789209">
      <w:bodyDiv w:val="1"/>
      <w:marLeft w:val="0"/>
      <w:marRight w:val="0"/>
      <w:marTop w:val="0"/>
      <w:marBottom w:val="0"/>
      <w:divBdr>
        <w:top w:val="none" w:sz="0" w:space="0" w:color="auto"/>
        <w:left w:val="none" w:sz="0" w:space="0" w:color="auto"/>
        <w:bottom w:val="none" w:sz="0" w:space="0" w:color="auto"/>
        <w:right w:val="none" w:sz="0" w:space="0" w:color="auto"/>
      </w:divBdr>
    </w:div>
    <w:div w:id="647824903">
      <w:bodyDiv w:val="1"/>
      <w:marLeft w:val="0"/>
      <w:marRight w:val="0"/>
      <w:marTop w:val="0"/>
      <w:marBottom w:val="0"/>
      <w:divBdr>
        <w:top w:val="none" w:sz="0" w:space="0" w:color="auto"/>
        <w:left w:val="none" w:sz="0" w:space="0" w:color="auto"/>
        <w:bottom w:val="none" w:sz="0" w:space="0" w:color="auto"/>
        <w:right w:val="none" w:sz="0" w:space="0" w:color="auto"/>
      </w:divBdr>
    </w:div>
    <w:div w:id="890994478">
      <w:bodyDiv w:val="1"/>
      <w:marLeft w:val="0"/>
      <w:marRight w:val="0"/>
      <w:marTop w:val="0"/>
      <w:marBottom w:val="0"/>
      <w:divBdr>
        <w:top w:val="none" w:sz="0" w:space="0" w:color="auto"/>
        <w:left w:val="none" w:sz="0" w:space="0" w:color="auto"/>
        <w:bottom w:val="none" w:sz="0" w:space="0" w:color="auto"/>
        <w:right w:val="none" w:sz="0" w:space="0" w:color="auto"/>
      </w:divBdr>
    </w:div>
    <w:div w:id="1283027842">
      <w:bodyDiv w:val="1"/>
      <w:marLeft w:val="0"/>
      <w:marRight w:val="0"/>
      <w:marTop w:val="0"/>
      <w:marBottom w:val="0"/>
      <w:divBdr>
        <w:top w:val="none" w:sz="0" w:space="0" w:color="auto"/>
        <w:left w:val="none" w:sz="0" w:space="0" w:color="auto"/>
        <w:bottom w:val="none" w:sz="0" w:space="0" w:color="auto"/>
        <w:right w:val="none" w:sz="0" w:space="0" w:color="auto"/>
      </w:divBdr>
    </w:div>
    <w:div w:id="1353149476">
      <w:bodyDiv w:val="1"/>
      <w:marLeft w:val="0"/>
      <w:marRight w:val="0"/>
      <w:marTop w:val="0"/>
      <w:marBottom w:val="0"/>
      <w:divBdr>
        <w:top w:val="none" w:sz="0" w:space="0" w:color="auto"/>
        <w:left w:val="none" w:sz="0" w:space="0" w:color="auto"/>
        <w:bottom w:val="none" w:sz="0" w:space="0" w:color="auto"/>
        <w:right w:val="none" w:sz="0" w:space="0" w:color="auto"/>
      </w:divBdr>
      <w:divsChild>
        <w:div w:id="212352927">
          <w:marLeft w:val="0"/>
          <w:marRight w:val="0"/>
          <w:marTop w:val="0"/>
          <w:marBottom w:val="0"/>
          <w:divBdr>
            <w:top w:val="none" w:sz="0" w:space="0" w:color="auto"/>
            <w:left w:val="none" w:sz="0" w:space="0" w:color="auto"/>
            <w:bottom w:val="none" w:sz="0" w:space="0" w:color="auto"/>
            <w:right w:val="none" w:sz="0" w:space="0" w:color="auto"/>
          </w:divBdr>
          <w:divsChild>
            <w:div w:id="663046186">
              <w:marLeft w:val="0"/>
              <w:marRight w:val="0"/>
              <w:marTop w:val="0"/>
              <w:marBottom w:val="0"/>
              <w:divBdr>
                <w:top w:val="none" w:sz="0" w:space="0" w:color="auto"/>
                <w:left w:val="none" w:sz="0" w:space="0" w:color="auto"/>
                <w:bottom w:val="none" w:sz="0" w:space="0" w:color="auto"/>
                <w:right w:val="none" w:sz="0" w:space="0" w:color="auto"/>
              </w:divBdr>
              <w:divsChild>
                <w:div w:id="1136945123">
                  <w:marLeft w:val="0"/>
                  <w:marRight w:val="0"/>
                  <w:marTop w:val="0"/>
                  <w:marBottom w:val="0"/>
                  <w:divBdr>
                    <w:top w:val="none" w:sz="0" w:space="0" w:color="auto"/>
                    <w:left w:val="none" w:sz="0" w:space="0" w:color="auto"/>
                    <w:bottom w:val="none" w:sz="0" w:space="0" w:color="auto"/>
                    <w:right w:val="none" w:sz="0" w:space="0" w:color="auto"/>
                  </w:divBdr>
                  <w:divsChild>
                    <w:div w:id="379520859">
                      <w:marLeft w:val="0"/>
                      <w:marRight w:val="0"/>
                      <w:marTop w:val="0"/>
                      <w:marBottom w:val="0"/>
                      <w:divBdr>
                        <w:top w:val="none" w:sz="0" w:space="0" w:color="auto"/>
                        <w:left w:val="none" w:sz="0" w:space="0" w:color="auto"/>
                        <w:bottom w:val="none" w:sz="0" w:space="0" w:color="auto"/>
                        <w:right w:val="none" w:sz="0" w:space="0" w:color="auto"/>
                      </w:divBdr>
                      <w:divsChild>
                        <w:div w:id="2105302290">
                          <w:marLeft w:val="0"/>
                          <w:marRight w:val="0"/>
                          <w:marTop w:val="0"/>
                          <w:marBottom w:val="0"/>
                          <w:divBdr>
                            <w:top w:val="none" w:sz="0" w:space="0" w:color="auto"/>
                            <w:left w:val="none" w:sz="0" w:space="0" w:color="auto"/>
                            <w:bottom w:val="none" w:sz="0" w:space="0" w:color="auto"/>
                            <w:right w:val="none" w:sz="0" w:space="0" w:color="auto"/>
                          </w:divBdr>
                          <w:divsChild>
                            <w:div w:id="1939872289">
                              <w:marLeft w:val="0"/>
                              <w:marRight w:val="0"/>
                              <w:marTop w:val="0"/>
                              <w:marBottom w:val="0"/>
                              <w:divBdr>
                                <w:top w:val="none" w:sz="0" w:space="0" w:color="auto"/>
                                <w:left w:val="none" w:sz="0" w:space="0" w:color="auto"/>
                                <w:bottom w:val="none" w:sz="0" w:space="0" w:color="auto"/>
                                <w:right w:val="none" w:sz="0" w:space="0" w:color="auto"/>
                              </w:divBdr>
                              <w:divsChild>
                                <w:div w:id="1279873520">
                                  <w:marLeft w:val="0"/>
                                  <w:marRight w:val="0"/>
                                  <w:marTop w:val="0"/>
                                  <w:marBottom w:val="0"/>
                                  <w:divBdr>
                                    <w:top w:val="none" w:sz="0" w:space="0" w:color="auto"/>
                                    <w:left w:val="none" w:sz="0" w:space="0" w:color="auto"/>
                                    <w:bottom w:val="none" w:sz="0" w:space="0" w:color="auto"/>
                                    <w:right w:val="none" w:sz="0" w:space="0" w:color="auto"/>
                                  </w:divBdr>
                                  <w:divsChild>
                                    <w:div w:id="1400638143">
                                      <w:marLeft w:val="0"/>
                                      <w:marRight w:val="0"/>
                                      <w:marTop w:val="0"/>
                                      <w:marBottom w:val="0"/>
                                      <w:divBdr>
                                        <w:top w:val="none" w:sz="0" w:space="0" w:color="auto"/>
                                        <w:left w:val="none" w:sz="0" w:space="0" w:color="auto"/>
                                        <w:bottom w:val="none" w:sz="0" w:space="0" w:color="auto"/>
                                        <w:right w:val="none" w:sz="0" w:space="0" w:color="auto"/>
                                      </w:divBdr>
                                      <w:divsChild>
                                        <w:div w:id="1574657166">
                                          <w:marLeft w:val="2850"/>
                                          <w:marRight w:val="0"/>
                                          <w:marTop w:val="0"/>
                                          <w:marBottom w:val="0"/>
                                          <w:divBdr>
                                            <w:top w:val="none" w:sz="0" w:space="0" w:color="auto"/>
                                            <w:left w:val="none" w:sz="0" w:space="0" w:color="auto"/>
                                            <w:bottom w:val="none" w:sz="0" w:space="0" w:color="auto"/>
                                            <w:right w:val="none" w:sz="0" w:space="0" w:color="auto"/>
                                          </w:divBdr>
                                          <w:divsChild>
                                            <w:div w:id="611128364">
                                              <w:marLeft w:val="0"/>
                                              <w:marRight w:val="0"/>
                                              <w:marTop w:val="0"/>
                                              <w:marBottom w:val="0"/>
                                              <w:divBdr>
                                                <w:top w:val="none" w:sz="0" w:space="0" w:color="auto"/>
                                                <w:left w:val="none" w:sz="0" w:space="0" w:color="auto"/>
                                                <w:bottom w:val="none" w:sz="0" w:space="0" w:color="auto"/>
                                                <w:right w:val="none" w:sz="0" w:space="0" w:color="auto"/>
                                              </w:divBdr>
                                              <w:divsChild>
                                                <w:div w:id="61016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194095">
      <w:bodyDiv w:val="1"/>
      <w:marLeft w:val="0"/>
      <w:marRight w:val="0"/>
      <w:marTop w:val="0"/>
      <w:marBottom w:val="0"/>
      <w:divBdr>
        <w:top w:val="none" w:sz="0" w:space="0" w:color="auto"/>
        <w:left w:val="none" w:sz="0" w:space="0" w:color="auto"/>
        <w:bottom w:val="none" w:sz="0" w:space="0" w:color="auto"/>
        <w:right w:val="none" w:sz="0" w:space="0" w:color="auto"/>
      </w:divBdr>
    </w:div>
    <w:div w:id="1525752671">
      <w:bodyDiv w:val="1"/>
      <w:marLeft w:val="0"/>
      <w:marRight w:val="0"/>
      <w:marTop w:val="0"/>
      <w:marBottom w:val="0"/>
      <w:divBdr>
        <w:top w:val="none" w:sz="0" w:space="0" w:color="auto"/>
        <w:left w:val="none" w:sz="0" w:space="0" w:color="auto"/>
        <w:bottom w:val="none" w:sz="0" w:space="0" w:color="auto"/>
        <w:right w:val="none" w:sz="0" w:space="0" w:color="auto"/>
      </w:divBdr>
      <w:divsChild>
        <w:div w:id="878974423">
          <w:marLeft w:val="0"/>
          <w:marRight w:val="0"/>
          <w:marTop w:val="0"/>
          <w:marBottom w:val="0"/>
          <w:divBdr>
            <w:top w:val="none" w:sz="0" w:space="0" w:color="auto"/>
            <w:left w:val="none" w:sz="0" w:space="0" w:color="auto"/>
            <w:bottom w:val="none" w:sz="0" w:space="0" w:color="auto"/>
            <w:right w:val="none" w:sz="0" w:space="0" w:color="auto"/>
          </w:divBdr>
          <w:divsChild>
            <w:div w:id="773788918">
              <w:marLeft w:val="0"/>
              <w:marRight w:val="0"/>
              <w:marTop w:val="0"/>
              <w:marBottom w:val="0"/>
              <w:divBdr>
                <w:top w:val="none" w:sz="0" w:space="0" w:color="auto"/>
                <w:left w:val="none" w:sz="0" w:space="0" w:color="auto"/>
                <w:bottom w:val="none" w:sz="0" w:space="0" w:color="auto"/>
                <w:right w:val="none" w:sz="0" w:space="0" w:color="auto"/>
              </w:divBdr>
              <w:divsChild>
                <w:div w:id="1793207610">
                  <w:marLeft w:val="0"/>
                  <w:marRight w:val="0"/>
                  <w:marTop w:val="0"/>
                  <w:marBottom w:val="0"/>
                  <w:divBdr>
                    <w:top w:val="none" w:sz="0" w:space="0" w:color="auto"/>
                    <w:left w:val="none" w:sz="0" w:space="0" w:color="auto"/>
                    <w:bottom w:val="none" w:sz="0" w:space="0" w:color="auto"/>
                    <w:right w:val="none" w:sz="0" w:space="0" w:color="auto"/>
                  </w:divBdr>
                  <w:divsChild>
                    <w:div w:id="1525097647">
                      <w:marLeft w:val="0"/>
                      <w:marRight w:val="0"/>
                      <w:marTop w:val="0"/>
                      <w:marBottom w:val="0"/>
                      <w:divBdr>
                        <w:top w:val="none" w:sz="0" w:space="0" w:color="auto"/>
                        <w:left w:val="none" w:sz="0" w:space="0" w:color="auto"/>
                        <w:bottom w:val="none" w:sz="0" w:space="0" w:color="auto"/>
                        <w:right w:val="none" w:sz="0" w:space="0" w:color="auto"/>
                      </w:divBdr>
                      <w:divsChild>
                        <w:div w:id="1883978281">
                          <w:marLeft w:val="0"/>
                          <w:marRight w:val="0"/>
                          <w:marTop w:val="45"/>
                          <w:marBottom w:val="0"/>
                          <w:divBdr>
                            <w:top w:val="none" w:sz="0" w:space="0" w:color="auto"/>
                            <w:left w:val="none" w:sz="0" w:space="0" w:color="auto"/>
                            <w:bottom w:val="none" w:sz="0" w:space="0" w:color="auto"/>
                            <w:right w:val="none" w:sz="0" w:space="0" w:color="auto"/>
                          </w:divBdr>
                          <w:divsChild>
                            <w:div w:id="1854031886">
                              <w:marLeft w:val="0"/>
                              <w:marRight w:val="0"/>
                              <w:marTop w:val="0"/>
                              <w:marBottom w:val="0"/>
                              <w:divBdr>
                                <w:top w:val="none" w:sz="0" w:space="0" w:color="auto"/>
                                <w:left w:val="none" w:sz="0" w:space="0" w:color="auto"/>
                                <w:bottom w:val="none" w:sz="0" w:space="0" w:color="auto"/>
                                <w:right w:val="none" w:sz="0" w:space="0" w:color="auto"/>
                              </w:divBdr>
                              <w:divsChild>
                                <w:div w:id="1695379396">
                                  <w:marLeft w:val="0"/>
                                  <w:marRight w:val="0"/>
                                  <w:marTop w:val="0"/>
                                  <w:marBottom w:val="0"/>
                                  <w:divBdr>
                                    <w:top w:val="single" w:sz="6" w:space="1" w:color="678A30"/>
                                    <w:left w:val="none" w:sz="0" w:space="0" w:color="auto"/>
                                    <w:bottom w:val="none" w:sz="0" w:space="0" w:color="auto"/>
                                    <w:right w:val="none" w:sz="0" w:space="0" w:color="auto"/>
                                  </w:divBdr>
                                  <w:divsChild>
                                    <w:div w:id="1009021275">
                                      <w:marLeft w:val="0"/>
                                      <w:marRight w:val="0"/>
                                      <w:marTop w:val="0"/>
                                      <w:marBottom w:val="0"/>
                                      <w:divBdr>
                                        <w:top w:val="none" w:sz="0" w:space="0" w:color="auto"/>
                                        <w:left w:val="none" w:sz="0" w:space="0" w:color="auto"/>
                                        <w:bottom w:val="none" w:sz="0" w:space="0" w:color="auto"/>
                                        <w:right w:val="none" w:sz="0" w:space="0" w:color="auto"/>
                                      </w:divBdr>
                                      <w:divsChild>
                                        <w:div w:id="610010237">
                                          <w:marLeft w:val="0"/>
                                          <w:marRight w:val="0"/>
                                          <w:marTop w:val="0"/>
                                          <w:marBottom w:val="0"/>
                                          <w:divBdr>
                                            <w:top w:val="none" w:sz="0" w:space="0" w:color="auto"/>
                                            <w:left w:val="none" w:sz="0" w:space="0" w:color="auto"/>
                                            <w:bottom w:val="none" w:sz="0" w:space="0" w:color="auto"/>
                                            <w:right w:val="none" w:sz="0" w:space="0" w:color="auto"/>
                                          </w:divBdr>
                                          <w:divsChild>
                                            <w:div w:id="1799370950">
                                              <w:marLeft w:val="0"/>
                                              <w:marRight w:val="0"/>
                                              <w:marTop w:val="0"/>
                                              <w:marBottom w:val="0"/>
                                              <w:divBdr>
                                                <w:top w:val="none" w:sz="0" w:space="0" w:color="auto"/>
                                                <w:left w:val="none" w:sz="0" w:space="0" w:color="auto"/>
                                                <w:bottom w:val="none" w:sz="0" w:space="0" w:color="auto"/>
                                                <w:right w:val="none" w:sz="0" w:space="0" w:color="auto"/>
                                              </w:divBdr>
                                              <w:divsChild>
                                                <w:div w:id="228000984">
                                                  <w:marLeft w:val="0"/>
                                                  <w:marRight w:val="0"/>
                                                  <w:marTop w:val="0"/>
                                                  <w:marBottom w:val="0"/>
                                                  <w:divBdr>
                                                    <w:top w:val="none" w:sz="0" w:space="0" w:color="auto"/>
                                                    <w:left w:val="none" w:sz="0" w:space="0" w:color="auto"/>
                                                    <w:bottom w:val="none" w:sz="0" w:space="0" w:color="auto"/>
                                                    <w:right w:val="none" w:sz="0" w:space="0" w:color="auto"/>
                                                  </w:divBdr>
                                                  <w:divsChild>
                                                    <w:div w:id="17978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3335619">
      <w:bodyDiv w:val="1"/>
      <w:marLeft w:val="0"/>
      <w:marRight w:val="0"/>
      <w:marTop w:val="0"/>
      <w:marBottom w:val="0"/>
      <w:divBdr>
        <w:top w:val="none" w:sz="0" w:space="0" w:color="auto"/>
        <w:left w:val="none" w:sz="0" w:space="0" w:color="auto"/>
        <w:bottom w:val="none" w:sz="0" w:space="0" w:color="auto"/>
        <w:right w:val="none" w:sz="0" w:space="0" w:color="auto"/>
      </w:divBdr>
    </w:div>
    <w:div w:id="1765764085">
      <w:bodyDiv w:val="1"/>
      <w:marLeft w:val="0"/>
      <w:marRight w:val="0"/>
      <w:marTop w:val="0"/>
      <w:marBottom w:val="0"/>
      <w:divBdr>
        <w:top w:val="none" w:sz="0" w:space="0" w:color="auto"/>
        <w:left w:val="none" w:sz="0" w:space="0" w:color="auto"/>
        <w:bottom w:val="none" w:sz="0" w:space="0" w:color="auto"/>
        <w:right w:val="none" w:sz="0" w:space="0" w:color="auto"/>
      </w:divBdr>
    </w:div>
    <w:div w:id="1822579024">
      <w:bodyDiv w:val="1"/>
      <w:marLeft w:val="0"/>
      <w:marRight w:val="0"/>
      <w:marTop w:val="0"/>
      <w:marBottom w:val="0"/>
      <w:divBdr>
        <w:top w:val="none" w:sz="0" w:space="0" w:color="auto"/>
        <w:left w:val="none" w:sz="0" w:space="0" w:color="auto"/>
        <w:bottom w:val="none" w:sz="0" w:space="0" w:color="auto"/>
        <w:right w:val="none" w:sz="0" w:space="0" w:color="auto"/>
      </w:divBdr>
    </w:div>
    <w:div w:id="1998920218">
      <w:bodyDiv w:val="1"/>
      <w:marLeft w:val="0"/>
      <w:marRight w:val="0"/>
      <w:marTop w:val="0"/>
      <w:marBottom w:val="0"/>
      <w:divBdr>
        <w:top w:val="none" w:sz="0" w:space="0" w:color="auto"/>
        <w:left w:val="none" w:sz="0" w:space="0" w:color="auto"/>
        <w:bottom w:val="none" w:sz="0" w:space="0" w:color="auto"/>
        <w:right w:val="none" w:sz="0" w:space="0" w:color="auto"/>
      </w:divBdr>
    </w:div>
    <w:div w:id="20455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oes_na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vp2@cd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edgerton@hrsa.gov" TargetMode="External"/><Relationship Id="rId4" Type="http://schemas.microsoft.com/office/2007/relationships/stylesWithEffects" Target="stylesWithEffects.xml"/><Relationship Id="rId9" Type="http://schemas.openxmlformats.org/officeDocument/2006/relationships/hyperlink" Target="mailto:artiss@mail.nih.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C5132-6B48-4373-B506-4D3451514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5237</Words>
  <Characters>29854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Microsoft Word - NICHD Submission Package for Generic Clearance.doc</vt:lpstr>
    </vt:vector>
  </TitlesOfParts>
  <Company>NIH NICHD</Company>
  <LinksUpToDate>false</LinksUpToDate>
  <CharactersWithSpaces>35021</CharactersWithSpaces>
  <SharedDoc>false</SharedDoc>
  <HLinks>
    <vt:vector size="18" baseType="variant">
      <vt:variant>
        <vt:i4>4587617</vt:i4>
      </vt:variant>
      <vt:variant>
        <vt:i4>9</vt:i4>
      </vt:variant>
      <vt:variant>
        <vt:i4>0</vt:i4>
      </vt:variant>
      <vt:variant>
        <vt:i4>5</vt:i4>
      </vt:variant>
      <vt:variant>
        <vt:lpwstr>mailto:eedgerton@hrsa.gov</vt:lpwstr>
      </vt:variant>
      <vt:variant>
        <vt:lpwstr/>
      </vt:variant>
      <vt:variant>
        <vt:i4>6160416</vt:i4>
      </vt:variant>
      <vt:variant>
        <vt:i4>0</vt:i4>
      </vt:variant>
      <vt:variant>
        <vt:i4>0</vt:i4>
      </vt:variant>
      <vt:variant>
        <vt:i4>5</vt:i4>
      </vt:variant>
      <vt:variant>
        <vt:lpwstr>mailto:artiss@mail.nih.gov</vt:lpwstr>
      </vt:variant>
      <vt:variant>
        <vt:lpwstr/>
      </vt:variant>
      <vt:variant>
        <vt:i4>6422631</vt:i4>
      </vt:variant>
      <vt:variant>
        <vt:i4>0</vt:i4>
      </vt:variant>
      <vt:variant>
        <vt:i4>0</vt:i4>
      </vt:variant>
      <vt:variant>
        <vt:i4>5</vt:i4>
      </vt:variant>
      <vt:variant>
        <vt:lpwstr>http://www.bls.gov/news.release/empsit.t19.htm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NICHD Submission Package for Generic Clearance.doc</dc:title>
  <dc:subject/>
  <dc:creator>meadk</dc:creator>
  <cp:keywords/>
  <cp:lastModifiedBy>SYSTEM</cp:lastModifiedBy>
  <cp:revision>2</cp:revision>
  <cp:lastPrinted>2013-12-03T16:37:00Z</cp:lastPrinted>
  <dcterms:created xsi:type="dcterms:W3CDTF">2018-02-02T20:25:00Z</dcterms:created>
  <dcterms:modified xsi:type="dcterms:W3CDTF">2018-02-02T20:25:00Z</dcterms:modified>
</cp:coreProperties>
</file>