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9CFE7" w14:textId="60221F1F" w:rsidR="006E0FEB" w:rsidRPr="00B31038" w:rsidRDefault="006E0FEB" w:rsidP="00C90E43">
      <w:pPr>
        <w:pStyle w:val="Header"/>
      </w:pPr>
      <w:bookmarkStart w:id="0" w:name="_GoBack"/>
      <w:bookmarkEnd w:id="0"/>
      <w:r w:rsidRPr="00B31038">
        <w:t>Non-Substantive Change Request to OMB Control Number 0920-</w:t>
      </w:r>
      <w:r w:rsidR="00B852DA" w:rsidRPr="00B31038">
        <w:t>1</w:t>
      </w:r>
      <w:r w:rsidR="00B852DA">
        <w:t>143</w:t>
      </w:r>
      <w:r w:rsidRPr="00B31038">
        <w:t xml:space="preserve">; </w:t>
      </w:r>
      <w:r w:rsidR="00B852DA">
        <w:t>US Zika Pregnancy Registry</w:t>
      </w:r>
    </w:p>
    <w:p w14:paraId="02091955" w14:textId="77777777" w:rsidR="006E0FEB" w:rsidRDefault="006E0FEB"/>
    <w:p w14:paraId="459FCADB" w14:textId="77777777"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459FCADC" w14:textId="77777777" w:rsidR="00B31038" w:rsidRDefault="00B31038" w:rsidP="00B31038">
      <w:r>
        <w:t>Lee Samuel</w:t>
      </w:r>
    </w:p>
    <w:p w14:paraId="459FCADD" w14:textId="0FB7A8DB" w:rsidR="00B31038" w:rsidRDefault="00B31038" w:rsidP="00B31038">
      <w:r>
        <w:t>National Center for Emerging and Zoonotic Infectious Diseases</w:t>
      </w:r>
      <w:r w:rsidR="0042643E">
        <w:t xml:space="preserve"> (NCEZID)</w:t>
      </w:r>
    </w:p>
    <w:p w14:paraId="459FCADE" w14:textId="77777777" w:rsidR="00B31038" w:rsidRDefault="00B31038" w:rsidP="00B31038">
      <w:r>
        <w:t>Office of Policy</w:t>
      </w:r>
    </w:p>
    <w:p w14:paraId="459FCADF" w14:textId="77777777" w:rsidR="00B31038" w:rsidRDefault="00B31038" w:rsidP="00B31038">
      <w:r>
        <w:t>1600 Clifton Rd, C-12</w:t>
      </w:r>
    </w:p>
    <w:p w14:paraId="459FCAE0" w14:textId="77777777" w:rsidR="00B31038" w:rsidRDefault="00B31038" w:rsidP="00B31038">
      <w:r>
        <w:t>Atlanta GA 30333</w:t>
      </w:r>
    </w:p>
    <w:p w14:paraId="459FCAE1" w14:textId="77777777" w:rsidR="00B31038" w:rsidRDefault="00B31038" w:rsidP="00B31038">
      <w:pPr>
        <w:tabs>
          <w:tab w:val="center" w:pos="4680"/>
        </w:tabs>
        <w:autoSpaceDE w:val="0"/>
        <w:autoSpaceDN w:val="0"/>
        <w:adjustRightInd w:val="0"/>
        <w:spacing w:line="276" w:lineRule="auto"/>
        <w:rPr>
          <w:noProof/>
        </w:rPr>
      </w:pPr>
      <w:r>
        <w:rPr>
          <w:noProof/>
        </w:rPr>
        <w:tab/>
      </w:r>
    </w:p>
    <w:p w14:paraId="459FCAE2" w14:textId="417BE56A"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C4ADB">
        <w:fldChar w:fldCharType="begin"/>
      </w:r>
      <w:r w:rsidR="006C4ADB">
        <w:instrText xml:space="preserve"> DATE \@ "MMMM d, yyyy" </w:instrText>
      </w:r>
      <w:r w:rsidR="006C4ADB">
        <w:fldChar w:fldCharType="separate"/>
      </w:r>
      <w:r w:rsidR="0001289C">
        <w:rPr>
          <w:noProof/>
        </w:rPr>
        <w:t>October 25, 2017</w:t>
      </w:r>
      <w:r w:rsidR="006C4ADB">
        <w:fldChar w:fldCharType="end"/>
      </w:r>
    </w:p>
    <w:p w14:paraId="459FCAE3" w14:textId="77777777" w:rsidR="00B31038" w:rsidRDefault="00B31038" w:rsidP="00B31038"/>
    <w:p w14:paraId="459FCAE4" w14:textId="222238FA" w:rsidR="00B31038" w:rsidRPr="002B5812" w:rsidRDefault="00B31038" w:rsidP="00B31038">
      <w:pPr>
        <w:autoSpaceDE w:val="0"/>
        <w:autoSpaceDN w:val="0"/>
        <w:adjustRightInd w:val="0"/>
        <w:spacing w:line="276" w:lineRule="auto"/>
        <w:rPr>
          <w:b/>
        </w:rPr>
      </w:pPr>
      <w:r w:rsidRPr="002B5812">
        <w:rPr>
          <w:b/>
          <w:u w:val="single"/>
        </w:rPr>
        <w:t>Circumstances of Change Request for OMB 0920-</w:t>
      </w:r>
      <w:r w:rsidR="004C7274" w:rsidRPr="002B5812">
        <w:rPr>
          <w:b/>
          <w:u w:val="single"/>
        </w:rPr>
        <w:t>11</w:t>
      </w:r>
      <w:r w:rsidR="004C7274">
        <w:rPr>
          <w:b/>
          <w:u w:val="single"/>
        </w:rPr>
        <w:t>43</w:t>
      </w:r>
    </w:p>
    <w:p w14:paraId="459FCAE5" w14:textId="4980CFBA" w:rsidR="00B31038" w:rsidRDefault="00B31038" w:rsidP="00C90E43">
      <w:pPr>
        <w:autoSpaceDE w:val="0"/>
        <w:autoSpaceDN w:val="0"/>
        <w:adjustRightInd w:val="0"/>
        <w:spacing w:before="240" w:line="276" w:lineRule="auto"/>
        <w:rPr>
          <w:bCs/>
        </w:rPr>
      </w:pPr>
      <w:r>
        <w:rPr>
          <w:bCs/>
        </w:rPr>
        <w:t>CDC requests approval for a non-substantive change to OMB Control No. 0920-11</w:t>
      </w:r>
      <w:r w:rsidR="00B852DA">
        <w:rPr>
          <w:bCs/>
        </w:rPr>
        <w:t>43</w:t>
      </w:r>
      <w:r>
        <w:rPr>
          <w:bCs/>
        </w:rPr>
        <w:t xml:space="preserve">: </w:t>
      </w:r>
      <w:r w:rsidR="00B852DA">
        <w:rPr>
          <w:bCs/>
        </w:rPr>
        <w:t>US Zika Pregnancy Registry</w:t>
      </w:r>
      <w:r w:rsidR="00622659">
        <w:rPr>
          <w:bCs/>
        </w:rPr>
        <w:t>.</w:t>
      </w:r>
    </w:p>
    <w:p w14:paraId="69F2DA86" w14:textId="5C73BF35" w:rsidR="00622659" w:rsidRDefault="00622659" w:rsidP="00F23303">
      <w:pPr>
        <w:autoSpaceDE w:val="0"/>
        <w:autoSpaceDN w:val="0"/>
        <w:adjustRightInd w:val="0"/>
        <w:spacing w:line="276" w:lineRule="auto"/>
        <w:rPr>
          <w:bCs/>
        </w:rPr>
      </w:pPr>
    </w:p>
    <w:p w14:paraId="55F15CA0" w14:textId="491CDD50" w:rsidR="008E67BF" w:rsidRPr="00463CBD" w:rsidRDefault="008E67BF" w:rsidP="00F23303">
      <w:pPr>
        <w:autoSpaceDE w:val="0"/>
        <w:autoSpaceDN w:val="0"/>
        <w:adjustRightInd w:val="0"/>
        <w:spacing w:line="276" w:lineRule="auto"/>
        <w:rPr>
          <w:bCs/>
        </w:rPr>
      </w:pPr>
      <w:r>
        <w:rPr>
          <w:bCs/>
        </w:rPr>
        <w:t xml:space="preserve">The proposed change is being made to continue information collection from exposed children through 2 years of age to monitor health outcomes and infant test results from child heath visits and testing which is already recommended. </w:t>
      </w:r>
      <w:r w:rsidR="00AB2233">
        <w:rPr>
          <w:bCs/>
        </w:rPr>
        <w:t xml:space="preserve">The current ICR only includes follow-up for one year. </w:t>
      </w:r>
      <w:r w:rsidR="00463CBD">
        <w:rPr>
          <w:bCs/>
        </w:rPr>
        <w:t>I</w:t>
      </w:r>
      <w:r w:rsidRPr="00DF79E2">
        <w:rPr>
          <w:bCs/>
        </w:rPr>
        <w:t>t will not require or suggest additional care outside of recommended care.</w:t>
      </w:r>
      <w:r w:rsidR="00133F23">
        <w:rPr>
          <w:bCs/>
        </w:rPr>
        <w:t xml:space="preserve"> Health departments and c</w:t>
      </w:r>
      <w:r w:rsidR="00AB2233">
        <w:rPr>
          <w:bCs/>
        </w:rPr>
        <w:t>linicians will simply be asked to submit follow-up information for a longer period of time. There are no other changes to the project’s methods or purpose.</w:t>
      </w:r>
    </w:p>
    <w:p w14:paraId="52C04153" w14:textId="77777777" w:rsidR="008E67BF" w:rsidRDefault="008E67BF" w:rsidP="00C90E43">
      <w:pPr>
        <w:spacing w:line="276" w:lineRule="auto"/>
      </w:pPr>
    </w:p>
    <w:p w14:paraId="0B13CB15" w14:textId="77777777" w:rsidR="00DA2E13" w:rsidRDefault="008B240B" w:rsidP="00C90E43">
      <w:pPr>
        <w:spacing w:line="276" w:lineRule="auto"/>
        <w:rPr>
          <w:bCs/>
        </w:rPr>
      </w:pPr>
      <w:r w:rsidRPr="00DF79E2">
        <w:rPr>
          <w:bCs/>
        </w:rPr>
        <w:t xml:space="preserve">Findings from the US </w:t>
      </w:r>
      <w:r>
        <w:rPr>
          <w:bCs/>
        </w:rPr>
        <w:t>Zika Pregnancy Registry to date</w:t>
      </w:r>
      <w:r w:rsidRPr="00DF79E2">
        <w:rPr>
          <w:bCs/>
        </w:rPr>
        <w:t xml:space="preserve"> have influenced clinical guidance and public health action as our knowledge about Zika virus and birth defects evolves. An extension of the follow-up of children from 1 year to 2 years is necessary to assist with updating guidance on infant testing and clinical care of children with possible congenital Zika virus infection. </w:t>
      </w:r>
    </w:p>
    <w:p w14:paraId="145B7EA0" w14:textId="116293B0" w:rsidR="00463CBD" w:rsidRPr="0014124A" w:rsidRDefault="00EF2111" w:rsidP="00C90E43">
      <w:pPr>
        <w:spacing w:before="240" w:line="276" w:lineRule="auto"/>
        <w:rPr>
          <w:bCs/>
        </w:rPr>
      </w:pPr>
      <w:r w:rsidRPr="00A3237B">
        <w:t>In CDC’s current infant guidance, plaque reduction neutralization testing is indicated at 18 months</w:t>
      </w:r>
      <w:r>
        <w:t xml:space="preserve"> because m</w:t>
      </w:r>
      <w:r w:rsidRPr="001100A6">
        <w:t>aternal antibodies in the infant are expected to wane by 18 months</w:t>
      </w:r>
      <w:r>
        <w:t>,</w:t>
      </w:r>
      <w:r w:rsidRPr="001100A6">
        <w:t xml:space="preserve"> and this testing assists in some cases with confirming a congenital infection</w:t>
      </w:r>
      <w:r>
        <w:t>.</w:t>
      </w:r>
      <w:r w:rsidRPr="00A3237B">
        <w:t xml:space="preserve"> </w:t>
      </w:r>
      <w:r>
        <w:t>I</w:t>
      </w:r>
      <w:r w:rsidRPr="00A3237B">
        <w:t>n the current US Zika Pregnancy Registry protocol, these test results would not be collected</w:t>
      </w:r>
      <w:r>
        <w:t>,</w:t>
      </w:r>
      <w:r w:rsidRPr="00A3237B">
        <w:t xml:space="preserve"> and thus we would not include important data that would influence updated clinical guidance and care. </w:t>
      </w:r>
      <w:r>
        <w:t xml:space="preserve">In addition, </w:t>
      </w:r>
      <w:r w:rsidRPr="00463CBD">
        <w:t xml:space="preserve">some infants who appear normal at birth manifest Zika-associated outcomes after the perinatal period. In order to get a true picture of the scope of this public health emergency, the US Zika Pregnancy Registry needs to extend the follow-up period to include data collection for children up to </w:t>
      </w:r>
      <w:r w:rsidR="00463CBD" w:rsidRPr="00463CBD">
        <w:t>2</w:t>
      </w:r>
      <w:r w:rsidRPr="00463CBD">
        <w:t xml:space="preserve"> years of age.</w:t>
      </w:r>
      <w:r w:rsidR="00463CBD" w:rsidRPr="00463CBD">
        <w:t xml:space="preserve"> </w:t>
      </w:r>
      <w:r w:rsidR="00463CBD">
        <w:t xml:space="preserve">Also, this extension of follow-up will </w:t>
      </w:r>
      <w:r w:rsidR="00463CBD" w:rsidRPr="00463CBD">
        <w:t xml:space="preserve">identify what care practices children with possible congenital Zika virus infection are receiving and guide public health actions if appropriate care is not being routinely practiced. </w:t>
      </w:r>
    </w:p>
    <w:p w14:paraId="03C4EBAB" w14:textId="3DA4A922" w:rsidR="008E67BF" w:rsidRPr="00F14763" w:rsidRDefault="008E67BF" w:rsidP="00F23303">
      <w:pPr>
        <w:autoSpaceDE w:val="0"/>
        <w:autoSpaceDN w:val="0"/>
        <w:adjustRightInd w:val="0"/>
        <w:spacing w:before="240" w:line="276" w:lineRule="auto"/>
        <w:rPr>
          <w:bCs/>
        </w:rPr>
      </w:pPr>
      <w:r w:rsidRPr="00DF79E2">
        <w:rPr>
          <w:bCs/>
        </w:rPr>
        <w:t>In summary, extending the period of follow-up of children will build capacity to monitor infant and childhood outcomes through age of 2 years, describe the scope of the public health risks posed by Zika virus infection during pregnancy, and impact clinical guidance and public health action.</w:t>
      </w:r>
      <w:r w:rsidRPr="00F14763">
        <w:rPr>
          <w:bCs/>
        </w:rPr>
        <w:t xml:space="preserve"> </w:t>
      </w:r>
    </w:p>
    <w:p w14:paraId="5F7B29E5" w14:textId="529B540C" w:rsidR="00EF2111" w:rsidRDefault="00EF2111" w:rsidP="00F23303">
      <w:pPr>
        <w:autoSpaceDE w:val="0"/>
        <w:autoSpaceDN w:val="0"/>
        <w:adjustRightInd w:val="0"/>
        <w:spacing w:line="276" w:lineRule="auto"/>
        <w:rPr>
          <w:bCs/>
        </w:rPr>
      </w:pPr>
    </w:p>
    <w:p w14:paraId="4C532275" w14:textId="73631CAD" w:rsidR="0042643E" w:rsidRPr="006079F6" w:rsidRDefault="0042643E" w:rsidP="00F23303">
      <w:pPr>
        <w:autoSpaceDE w:val="0"/>
        <w:autoSpaceDN w:val="0"/>
        <w:adjustRightInd w:val="0"/>
        <w:spacing w:line="276" w:lineRule="auto"/>
      </w:pPr>
      <w:r w:rsidRPr="006079F6">
        <w:lastRenderedPageBreak/>
        <w:t xml:space="preserve">NCEZID’s human subjects advisor reviewed the </w:t>
      </w:r>
      <w:r w:rsidR="00122E44" w:rsidRPr="006079F6">
        <w:t xml:space="preserve">proposed </w:t>
      </w:r>
      <w:r w:rsidRPr="006079F6">
        <w:t xml:space="preserve">changes to the project and determined that it still does not met the definition of research (Attachment </w:t>
      </w:r>
      <w:r w:rsidR="00F23303">
        <w:t>2</w:t>
      </w:r>
      <w:r w:rsidRPr="006079F6">
        <w:t>).  IRB review is not required.</w:t>
      </w:r>
    </w:p>
    <w:p w14:paraId="45850641" w14:textId="77777777" w:rsidR="007F68AF" w:rsidRPr="006079F6" w:rsidRDefault="007F68AF" w:rsidP="00F23303">
      <w:pPr>
        <w:spacing w:line="276" w:lineRule="auto"/>
      </w:pPr>
    </w:p>
    <w:p w14:paraId="48DB5A4F" w14:textId="1FB98850" w:rsidR="00DA2E13" w:rsidRDefault="007F68AF" w:rsidP="00C90E43">
      <w:pPr>
        <w:spacing w:line="276" w:lineRule="auto"/>
      </w:pPr>
      <w:r w:rsidRPr="006079F6">
        <w:t xml:space="preserve">Estimates of annualized burden hours for this change request </w:t>
      </w:r>
      <w:r w:rsidR="006079F6" w:rsidRPr="006079F6">
        <w:t>have been updated</w:t>
      </w:r>
      <w:r w:rsidR="006079F6">
        <w:t xml:space="preserve"> </w:t>
      </w:r>
      <w:r w:rsidR="00133F23">
        <w:t xml:space="preserve">based on experience to date and </w:t>
      </w:r>
      <w:r w:rsidR="00CB27E0">
        <w:t xml:space="preserve">to </w:t>
      </w:r>
      <w:r w:rsidR="006079F6">
        <w:t xml:space="preserve">reflect estimates from </w:t>
      </w:r>
      <w:r w:rsidR="004961FB">
        <w:t>Octo</w:t>
      </w:r>
      <w:r w:rsidR="006079F6">
        <w:t>ber 2017 onward</w:t>
      </w:r>
      <w:r w:rsidRPr="006079F6">
        <w:t xml:space="preserve">. The </w:t>
      </w:r>
      <w:r w:rsidR="00AB2233">
        <w:t xml:space="preserve">annual </w:t>
      </w:r>
      <w:r w:rsidRPr="006079F6">
        <w:t>burden estimate for the form</w:t>
      </w:r>
      <w:r w:rsidR="00FA75F3" w:rsidRPr="006079F6">
        <w:t>s</w:t>
      </w:r>
      <w:r w:rsidRPr="006079F6">
        <w:t xml:space="preserve"> included in OMB Control No. 0920-</w:t>
      </w:r>
      <w:r w:rsidR="006079F6" w:rsidRPr="006079F6">
        <w:t xml:space="preserve">1143 </w:t>
      </w:r>
      <w:r w:rsidRPr="006079F6">
        <w:t>is</w:t>
      </w:r>
      <w:r w:rsidR="00FA75F3" w:rsidRPr="006079F6">
        <w:t xml:space="preserve"> </w:t>
      </w:r>
      <w:r w:rsidR="00133F23">
        <w:t>5</w:t>
      </w:r>
      <w:r w:rsidR="006079F6">
        <w:t>,</w:t>
      </w:r>
      <w:r w:rsidR="00133F23">
        <w:t>387</w:t>
      </w:r>
      <w:r w:rsidR="00DA2E13">
        <w:t xml:space="preserve"> </w:t>
      </w:r>
      <w:r w:rsidR="00FA75F3" w:rsidRPr="006079F6">
        <w:t>hours</w:t>
      </w:r>
      <w:r w:rsidRPr="006079F6">
        <w:t>.</w:t>
      </w:r>
      <w:r>
        <w:t xml:space="preserve"> </w:t>
      </w:r>
      <w:r w:rsidR="00122A54">
        <w:t xml:space="preserve">Additionally, the type of respondent for </w:t>
      </w:r>
      <w:r w:rsidR="00122A54" w:rsidRPr="00D16E82">
        <w:t>Assessment at Delivery Form</w:t>
      </w:r>
      <w:r w:rsidR="00122A54">
        <w:t xml:space="preserve"> and the Infant Health Follow-up Form has been revised to also include </w:t>
      </w:r>
      <w:r w:rsidR="00122A54" w:rsidRPr="00D16E82">
        <w:t>State</w:t>
      </w:r>
      <w:r w:rsidR="00122A54">
        <w:t>, Territorial</w:t>
      </w:r>
      <w:r w:rsidR="00122A54" w:rsidRPr="00D16E82">
        <w:t xml:space="preserve"> and Local Health Departments</w:t>
      </w:r>
      <w:r w:rsidR="004C53EA">
        <w:t xml:space="preserve">. This more accurately reflects the shared burden in jurisdictions. </w:t>
      </w:r>
    </w:p>
    <w:p w14:paraId="6D2A1542" w14:textId="2F9DC8B1" w:rsidR="00AB2233" w:rsidRDefault="00AB2233" w:rsidP="00AB2233">
      <w:pPr>
        <w:spacing w:before="240" w:line="276" w:lineRule="auto"/>
      </w:pPr>
      <w:r>
        <w:t>Despite the longer follow-up period, the estimated annual burden is expected to fall from 23,833 hours to 5,387, a reduction of 18,446 hours. This is due to revised estimates of new cases reported to the registry.</w:t>
      </w:r>
    </w:p>
    <w:p w14:paraId="1B9AD8D0" w14:textId="081F3175" w:rsidR="00DA2E13" w:rsidRDefault="00DA2E13" w:rsidP="00C90E43">
      <w:pPr>
        <w:spacing w:before="240" w:line="276" w:lineRule="auto"/>
      </w:pPr>
      <w:r>
        <w:t xml:space="preserve">The estimated burden has been revised to reflect expected reductions in new cases reported annually through 2018 and </w:t>
      </w:r>
      <w:r w:rsidR="00AB2233">
        <w:t xml:space="preserve">an </w:t>
      </w:r>
      <w:r>
        <w:t xml:space="preserve">increase in follow up time points (see below). The number of cases reported to date is 2,196 (approximately 115/month). We estimate that an average of 25 cases will be reported per month through November 2018 at which time no new cases will be reported for the remainder of the project period. This results in an estimate of 665 cases reported per year for the project period (February 2016-November 2019). Additionally, we estimate an average of 600 cases per year will result in a liveborn infant and require follow-up. </w:t>
      </w:r>
    </w:p>
    <w:p w14:paraId="71FF2222" w14:textId="77777777" w:rsidR="00DA2E13" w:rsidRDefault="00DA2E13" w:rsidP="00C90E43">
      <w:pPr>
        <w:spacing w:line="276" w:lineRule="auto"/>
        <w:rPr>
          <w:b/>
          <w:u w:val="single"/>
        </w:rPr>
      </w:pPr>
    </w:p>
    <w:p w14:paraId="2EBDB7BD" w14:textId="77777777" w:rsidR="00AF3B45" w:rsidRPr="00AF3B45" w:rsidRDefault="00AF3B45" w:rsidP="00C90E43">
      <w:pPr>
        <w:spacing w:line="276" w:lineRule="auto"/>
        <w:rPr>
          <w:b/>
          <w:u w:val="single"/>
        </w:rPr>
      </w:pPr>
      <w:r w:rsidRPr="00AF3B45">
        <w:rPr>
          <w:b/>
          <w:u w:val="single"/>
        </w:rPr>
        <w:t xml:space="preserve">Attachments </w:t>
      </w:r>
    </w:p>
    <w:p w14:paraId="7D4FC3A5" w14:textId="1ED25F2B" w:rsidR="00862289" w:rsidRPr="0014124A" w:rsidRDefault="00862289" w:rsidP="00453F8C">
      <w:pPr>
        <w:pStyle w:val="NoSpacing"/>
        <w:spacing w:before="240"/>
        <w:ind w:left="360"/>
        <w:rPr>
          <w:b/>
          <w:i/>
        </w:rPr>
      </w:pPr>
      <w:r>
        <w:t xml:space="preserve">1. Infant Health Follow-Up Form (for 2, 6, 12, 18 and 24 months of age) </w:t>
      </w:r>
      <w:r>
        <w:rPr>
          <w:b/>
          <w:i/>
        </w:rPr>
        <w:t>(Change requested)</w:t>
      </w:r>
    </w:p>
    <w:p w14:paraId="7430C1DD" w14:textId="724253CA" w:rsidR="00862289" w:rsidRDefault="00453F8C" w:rsidP="00862289">
      <w:pPr>
        <w:pStyle w:val="NoSpacing"/>
        <w:ind w:left="360"/>
      </w:pPr>
      <w:r>
        <w:t xml:space="preserve">2. </w:t>
      </w:r>
      <w:r w:rsidR="00283243">
        <w:t xml:space="preserve">Updated Review by Human Subjects Expert on </w:t>
      </w:r>
      <w:r w:rsidR="00862289">
        <w:t>Non-research Determination</w:t>
      </w:r>
    </w:p>
    <w:p w14:paraId="01F1CD8F" w14:textId="77777777" w:rsidR="004C7274" w:rsidRDefault="004C7274" w:rsidP="00FA75F3">
      <w:pPr>
        <w:spacing w:line="276" w:lineRule="auto"/>
      </w:pPr>
    </w:p>
    <w:p w14:paraId="1129072C" w14:textId="059B2221" w:rsidR="00FA75F3" w:rsidRPr="002B5812" w:rsidRDefault="00FA75F3" w:rsidP="00FA75F3">
      <w:pPr>
        <w:spacing w:line="276" w:lineRule="auto"/>
        <w:rPr>
          <w:b/>
          <w:u w:val="single"/>
        </w:rPr>
      </w:pPr>
      <w:r w:rsidRPr="002B5812">
        <w:rPr>
          <w:b/>
          <w:u w:val="single"/>
        </w:rPr>
        <w:t xml:space="preserve">Description </w:t>
      </w:r>
      <w:r w:rsidR="00E10727" w:rsidRPr="002B5812">
        <w:rPr>
          <w:b/>
          <w:u w:val="single"/>
        </w:rPr>
        <w:t xml:space="preserve">and Justification </w:t>
      </w:r>
      <w:r w:rsidRPr="002B5812">
        <w:rPr>
          <w:b/>
          <w:u w:val="single"/>
        </w:rPr>
        <w:t>of Changes</w:t>
      </w:r>
    </w:p>
    <w:p w14:paraId="24CA0F8F" w14:textId="77777777" w:rsidR="00DA2E13" w:rsidRDefault="00DA2E13" w:rsidP="006079F6">
      <w:pPr>
        <w:autoSpaceDE w:val="0"/>
        <w:autoSpaceDN w:val="0"/>
        <w:adjustRightInd w:val="0"/>
        <w:spacing w:line="276" w:lineRule="auto"/>
      </w:pPr>
    </w:p>
    <w:p w14:paraId="200F88E2" w14:textId="23C4510A" w:rsidR="007F68AF" w:rsidRPr="00242225" w:rsidRDefault="007F68AF" w:rsidP="00B31038">
      <w:pPr>
        <w:spacing w:line="276" w:lineRule="auto"/>
        <w:rPr>
          <w:bCs/>
          <w:i/>
          <w:u w:val="single"/>
        </w:rPr>
      </w:pPr>
      <w:r w:rsidRPr="00242225">
        <w:rPr>
          <w:bCs/>
          <w:i/>
          <w:u w:val="single"/>
        </w:rPr>
        <w:t>A</w:t>
      </w:r>
      <w:r w:rsidR="00604D7B">
        <w:rPr>
          <w:bCs/>
          <w:i/>
          <w:u w:val="single"/>
        </w:rPr>
        <w:t xml:space="preserve">ttachment </w:t>
      </w:r>
      <w:r w:rsidR="00AB2233">
        <w:rPr>
          <w:bCs/>
          <w:i/>
          <w:u w:val="single"/>
        </w:rPr>
        <w:t>1</w:t>
      </w:r>
      <w:r w:rsidR="006D61A5" w:rsidRPr="00242225">
        <w:rPr>
          <w:bCs/>
          <w:i/>
          <w:u w:val="single"/>
        </w:rPr>
        <w:t xml:space="preserve">:  </w:t>
      </w:r>
      <w:r w:rsidR="00EC0831">
        <w:rPr>
          <w:bCs/>
          <w:i/>
          <w:u w:val="single"/>
        </w:rPr>
        <w:t>I</w:t>
      </w:r>
      <w:r w:rsidR="00AA087F">
        <w:rPr>
          <w:bCs/>
          <w:i/>
          <w:u w:val="single"/>
        </w:rPr>
        <w:t>nfant Health Follow-Up Form</w:t>
      </w:r>
    </w:p>
    <w:p w14:paraId="11E0A7CF" w14:textId="5492AE53" w:rsidR="007F68AF" w:rsidRPr="00604D7B" w:rsidRDefault="007F68AF" w:rsidP="00C90E43">
      <w:pPr>
        <w:pStyle w:val="ListParagraph"/>
        <w:numPr>
          <w:ilvl w:val="0"/>
          <w:numId w:val="15"/>
        </w:numPr>
        <w:spacing w:before="240" w:line="276" w:lineRule="auto"/>
        <w:rPr>
          <w:bCs/>
        </w:rPr>
      </w:pPr>
      <w:r w:rsidRPr="00604D7B">
        <w:rPr>
          <w:bCs/>
        </w:rPr>
        <w:t xml:space="preserve">Changes: </w:t>
      </w:r>
      <w:r w:rsidR="00EC0831">
        <w:rPr>
          <w:bCs/>
        </w:rPr>
        <w:t>Added follow-up form for 18 and 24 months of age</w:t>
      </w:r>
      <w:r w:rsidR="00683525">
        <w:rPr>
          <w:bCs/>
        </w:rPr>
        <w:t xml:space="preserve">. There are no changes in the data collected other than the time point for collection. </w:t>
      </w:r>
    </w:p>
    <w:p w14:paraId="1B4DC0E2" w14:textId="0ACAE638" w:rsidR="007F68AF" w:rsidRPr="00604D7B" w:rsidRDefault="00643605" w:rsidP="00604D7B">
      <w:pPr>
        <w:pStyle w:val="ListParagraph"/>
        <w:numPr>
          <w:ilvl w:val="0"/>
          <w:numId w:val="15"/>
        </w:numPr>
        <w:spacing w:line="276" w:lineRule="auto"/>
        <w:rPr>
          <w:bCs/>
        </w:rPr>
      </w:pPr>
      <w:r>
        <w:rPr>
          <w:bCs/>
        </w:rPr>
        <w:t>Justification</w:t>
      </w:r>
      <w:r w:rsidR="007F68AF" w:rsidRPr="00604D7B">
        <w:rPr>
          <w:bCs/>
        </w:rPr>
        <w:t>:</w:t>
      </w:r>
      <w:r w:rsidR="002F2E16">
        <w:rPr>
          <w:bCs/>
        </w:rPr>
        <w:t xml:space="preserve"> </w:t>
      </w:r>
      <w:r w:rsidR="006079F6">
        <w:rPr>
          <w:bCs/>
        </w:rPr>
        <w:t>Reflects</w:t>
      </w:r>
      <w:r w:rsidR="00EC0831">
        <w:rPr>
          <w:bCs/>
        </w:rPr>
        <w:t xml:space="preserve"> extended follow-up </w:t>
      </w:r>
      <w:r w:rsidR="00AA087F">
        <w:rPr>
          <w:bCs/>
        </w:rPr>
        <w:t>time points up to</w:t>
      </w:r>
      <w:r w:rsidR="00EC0831">
        <w:rPr>
          <w:bCs/>
        </w:rPr>
        <w:t xml:space="preserve"> 2 years of age.</w:t>
      </w:r>
    </w:p>
    <w:p w14:paraId="4C1A818A" w14:textId="77777777" w:rsidR="003539F5" w:rsidRDefault="003539F5"/>
    <w:tbl>
      <w:tblPr>
        <w:tblStyle w:val="TableGrid"/>
        <w:tblW w:w="0" w:type="auto"/>
        <w:tblLayout w:type="fixed"/>
        <w:tblLook w:val="04A0" w:firstRow="1" w:lastRow="0" w:firstColumn="1" w:lastColumn="0" w:noHBand="0" w:noVBand="1"/>
      </w:tblPr>
      <w:tblGrid>
        <w:gridCol w:w="985"/>
        <w:gridCol w:w="3960"/>
        <w:gridCol w:w="5125"/>
      </w:tblGrid>
      <w:tr w:rsidR="0033617E" w:rsidRPr="0033617E" w14:paraId="0C547426" w14:textId="51BEEA8E" w:rsidTr="008F3C5A">
        <w:tc>
          <w:tcPr>
            <w:tcW w:w="985" w:type="dxa"/>
          </w:tcPr>
          <w:p w14:paraId="524FBDBA" w14:textId="1154550C" w:rsidR="00DB5D4C" w:rsidRPr="006601A3" w:rsidRDefault="00DB5D4C">
            <w:pPr>
              <w:rPr>
                <w:b/>
              </w:rPr>
            </w:pPr>
            <w:r w:rsidRPr="006601A3">
              <w:rPr>
                <w:b/>
              </w:rPr>
              <w:t>Form</w:t>
            </w:r>
          </w:p>
        </w:tc>
        <w:tc>
          <w:tcPr>
            <w:tcW w:w="3960" w:type="dxa"/>
          </w:tcPr>
          <w:p w14:paraId="47A194AF" w14:textId="6B4F7B0F" w:rsidR="006C4ADB" w:rsidRDefault="006C4ADB" w:rsidP="006C4ADB">
            <w:pPr>
              <w:rPr>
                <w:b/>
              </w:rPr>
            </w:pPr>
            <w:r>
              <w:rPr>
                <w:b/>
              </w:rPr>
              <w:t>Current Question</w:t>
            </w:r>
          </w:p>
          <w:p w14:paraId="617DED10" w14:textId="6330D626" w:rsidR="00DB5D4C" w:rsidRPr="006601A3" w:rsidRDefault="00DB5D4C" w:rsidP="006C4ADB">
            <w:pPr>
              <w:rPr>
                <w:b/>
              </w:rPr>
            </w:pPr>
          </w:p>
        </w:tc>
        <w:tc>
          <w:tcPr>
            <w:tcW w:w="5125" w:type="dxa"/>
          </w:tcPr>
          <w:p w14:paraId="36FC68FD" w14:textId="4D18F6BF" w:rsidR="00DB5D4C" w:rsidRPr="006601A3" w:rsidRDefault="006C4ADB">
            <w:pPr>
              <w:rPr>
                <w:b/>
              </w:rPr>
            </w:pPr>
            <w:r>
              <w:rPr>
                <w:b/>
              </w:rPr>
              <w:t>Requested Change</w:t>
            </w:r>
          </w:p>
        </w:tc>
      </w:tr>
      <w:tr w:rsidR="008F3C5A" w:rsidRPr="0033617E" w14:paraId="4C4A3A5E" w14:textId="7CD9DCEF" w:rsidTr="008F3C5A">
        <w:tc>
          <w:tcPr>
            <w:tcW w:w="985" w:type="dxa"/>
            <w:vAlign w:val="center"/>
          </w:tcPr>
          <w:p w14:paraId="70224508" w14:textId="4269C951" w:rsidR="008F3C5A" w:rsidRPr="0033617E" w:rsidRDefault="00AA087F" w:rsidP="005A24FC">
            <w:pPr>
              <w:rPr>
                <w:sz w:val="20"/>
                <w:szCs w:val="20"/>
              </w:rPr>
            </w:pPr>
            <w:r>
              <w:rPr>
                <w:sz w:val="20"/>
                <w:szCs w:val="20"/>
              </w:rPr>
              <w:t>Infant Health Follow-Up form</w:t>
            </w:r>
          </w:p>
        </w:tc>
        <w:tc>
          <w:tcPr>
            <w:tcW w:w="3960" w:type="dxa"/>
          </w:tcPr>
          <w:p w14:paraId="6DBF4468" w14:textId="7DA99245" w:rsidR="008F3C5A" w:rsidRPr="006D44FF" w:rsidRDefault="00AA087F" w:rsidP="00AA087F">
            <w:pPr>
              <w:rPr>
                <w:b/>
                <w:sz w:val="20"/>
                <w:szCs w:val="20"/>
              </w:rPr>
            </w:pPr>
            <w:r>
              <w:rPr>
                <w:b/>
                <w:sz w:val="20"/>
                <w:szCs w:val="20"/>
              </w:rPr>
              <w:t xml:space="preserve">Infant follow up: </w:t>
            </w:r>
            <w:r>
              <w:rPr>
                <w:sz w:val="20"/>
                <w:szCs w:val="20"/>
              </w:rPr>
              <w:sym w:font="Wingdings" w:char="F0A8"/>
            </w:r>
            <w:r>
              <w:rPr>
                <w:sz w:val="20"/>
                <w:szCs w:val="20"/>
              </w:rPr>
              <w:t xml:space="preserve">2 months </w:t>
            </w:r>
            <w:r>
              <w:rPr>
                <w:sz w:val="20"/>
                <w:szCs w:val="20"/>
              </w:rPr>
              <w:sym w:font="Wingdings" w:char="F0A8"/>
            </w:r>
            <w:r>
              <w:rPr>
                <w:sz w:val="20"/>
                <w:szCs w:val="20"/>
              </w:rPr>
              <w:t xml:space="preserve">6 months </w:t>
            </w:r>
            <w:r>
              <w:rPr>
                <w:sz w:val="20"/>
                <w:szCs w:val="20"/>
              </w:rPr>
              <w:sym w:font="Wingdings" w:char="F0A8"/>
            </w:r>
            <w:r>
              <w:rPr>
                <w:sz w:val="20"/>
                <w:szCs w:val="20"/>
              </w:rPr>
              <w:t xml:space="preserve">12 months </w:t>
            </w:r>
            <w:r>
              <w:rPr>
                <w:sz w:val="20"/>
                <w:szCs w:val="20"/>
              </w:rPr>
              <w:sym w:font="Wingdings" w:char="F0A8"/>
            </w:r>
            <w:r>
              <w:rPr>
                <w:sz w:val="20"/>
                <w:szCs w:val="20"/>
              </w:rPr>
              <w:t>___ months</w:t>
            </w:r>
          </w:p>
        </w:tc>
        <w:tc>
          <w:tcPr>
            <w:tcW w:w="5125" w:type="dxa"/>
          </w:tcPr>
          <w:p w14:paraId="5DB03766" w14:textId="0CBF4ACA" w:rsidR="008F3C5A" w:rsidRPr="0033617E" w:rsidRDefault="00AA087F" w:rsidP="00AA087F">
            <w:pPr>
              <w:rPr>
                <w:b/>
                <w:sz w:val="20"/>
                <w:szCs w:val="20"/>
              </w:rPr>
            </w:pPr>
            <w:r>
              <w:rPr>
                <w:b/>
                <w:sz w:val="20"/>
                <w:szCs w:val="20"/>
              </w:rPr>
              <w:t xml:space="preserve">Infant follow up: </w:t>
            </w:r>
            <w:r>
              <w:rPr>
                <w:sz w:val="20"/>
                <w:szCs w:val="20"/>
              </w:rPr>
              <w:sym w:font="Wingdings" w:char="F0A8"/>
            </w:r>
            <w:r>
              <w:rPr>
                <w:sz w:val="20"/>
                <w:szCs w:val="20"/>
              </w:rPr>
              <w:t xml:space="preserve">2 months </w:t>
            </w:r>
            <w:r>
              <w:rPr>
                <w:sz w:val="20"/>
                <w:szCs w:val="20"/>
              </w:rPr>
              <w:sym w:font="Wingdings" w:char="F0A8"/>
            </w:r>
            <w:r>
              <w:rPr>
                <w:sz w:val="20"/>
                <w:szCs w:val="20"/>
              </w:rPr>
              <w:t xml:space="preserve">6 months </w:t>
            </w:r>
            <w:r>
              <w:rPr>
                <w:sz w:val="20"/>
                <w:szCs w:val="20"/>
              </w:rPr>
              <w:sym w:font="Wingdings" w:char="F0A8"/>
            </w:r>
            <w:r>
              <w:rPr>
                <w:sz w:val="20"/>
                <w:szCs w:val="20"/>
              </w:rPr>
              <w:t xml:space="preserve">12 months </w:t>
            </w:r>
            <w:r>
              <w:rPr>
                <w:sz w:val="20"/>
                <w:szCs w:val="20"/>
              </w:rPr>
              <w:sym w:font="Wingdings" w:char="F0A8"/>
            </w:r>
            <w:r>
              <w:rPr>
                <w:sz w:val="20"/>
                <w:szCs w:val="20"/>
              </w:rPr>
              <w:t xml:space="preserve">18 months </w:t>
            </w:r>
            <w:r>
              <w:rPr>
                <w:sz w:val="20"/>
                <w:szCs w:val="20"/>
              </w:rPr>
              <w:sym w:font="Wingdings" w:char="F0A8"/>
            </w:r>
            <w:r>
              <w:rPr>
                <w:sz w:val="20"/>
                <w:szCs w:val="20"/>
              </w:rPr>
              <w:t xml:space="preserve">24 months </w:t>
            </w:r>
            <w:r>
              <w:rPr>
                <w:sz w:val="20"/>
                <w:szCs w:val="20"/>
              </w:rPr>
              <w:sym w:font="Wingdings" w:char="F0A8"/>
            </w:r>
            <w:r>
              <w:rPr>
                <w:sz w:val="20"/>
                <w:szCs w:val="20"/>
              </w:rPr>
              <w:t>___ months</w:t>
            </w:r>
          </w:p>
        </w:tc>
      </w:tr>
    </w:tbl>
    <w:p w14:paraId="2FE86E1D" w14:textId="67C6FC05" w:rsidR="0062132F" w:rsidRDefault="0062132F"/>
    <w:p w14:paraId="34B66616" w14:textId="14CD3812" w:rsidR="00AA087F" w:rsidRDefault="004961FB" w:rsidP="006079F6">
      <w:pPr>
        <w:spacing w:after="200" w:line="276" w:lineRule="auto"/>
      </w:pPr>
      <w:r>
        <w:rPr>
          <w:b/>
        </w:rPr>
        <w:t xml:space="preserve">Updated Table A. </w:t>
      </w:r>
      <w:r w:rsidR="00AB450A">
        <w:rPr>
          <w:b/>
        </w:rPr>
        <w:t xml:space="preserve">Estimates of Annualized Burden hours </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FD13A0" w:rsidRPr="00D16E82" w14:paraId="4C644538" w14:textId="77777777" w:rsidTr="00D323F9">
        <w:tc>
          <w:tcPr>
            <w:tcW w:w="1705" w:type="dxa"/>
            <w:vAlign w:val="center"/>
          </w:tcPr>
          <w:p w14:paraId="6E4ED302" w14:textId="77777777" w:rsidR="00FD13A0" w:rsidRPr="00D16E82" w:rsidRDefault="00FD13A0" w:rsidP="00D323F9">
            <w:pPr>
              <w:rPr>
                <w:b/>
              </w:rPr>
            </w:pPr>
            <w:r w:rsidRPr="00D16E82">
              <w:t xml:space="preserve">Type of </w:t>
            </w:r>
            <w:r w:rsidRPr="00D16E82">
              <w:lastRenderedPageBreak/>
              <w:t>Respondent</w:t>
            </w:r>
          </w:p>
        </w:tc>
        <w:tc>
          <w:tcPr>
            <w:tcW w:w="1620" w:type="dxa"/>
            <w:vAlign w:val="center"/>
          </w:tcPr>
          <w:p w14:paraId="6101DDD3" w14:textId="77777777" w:rsidR="00FD13A0" w:rsidRPr="00D16E82" w:rsidRDefault="00FD13A0" w:rsidP="00D323F9">
            <w:pPr>
              <w:rPr>
                <w:rFonts w:eastAsiaTheme="minorHAnsi"/>
              </w:rPr>
            </w:pPr>
            <w:r w:rsidRPr="00D16E82">
              <w:lastRenderedPageBreak/>
              <w:t>Form</w:t>
            </w:r>
          </w:p>
          <w:p w14:paraId="1FA7C949" w14:textId="77777777" w:rsidR="00FD13A0" w:rsidRPr="00D16E82" w:rsidRDefault="00FD13A0" w:rsidP="00D323F9">
            <w:pPr>
              <w:rPr>
                <w:b/>
              </w:rPr>
            </w:pPr>
            <w:r w:rsidRPr="00D16E82">
              <w:lastRenderedPageBreak/>
              <w:t>Name</w:t>
            </w:r>
          </w:p>
        </w:tc>
        <w:tc>
          <w:tcPr>
            <w:tcW w:w="1463" w:type="dxa"/>
            <w:vAlign w:val="center"/>
          </w:tcPr>
          <w:p w14:paraId="02E1C300" w14:textId="77777777" w:rsidR="00FD13A0" w:rsidRPr="00D16E82" w:rsidRDefault="00FD13A0" w:rsidP="00D323F9">
            <w:pPr>
              <w:rPr>
                <w:b/>
              </w:rPr>
            </w:pPr>
            <w:r w:rsidRPr="00D16E82">
              <w:lastRenderedPageBreak/>
              <w:t xml:space="preserve">No. of </w:t>
            </w:r>
            <w:r w:rsidRPr="00D16E82">
              <w:lastRenderedPageBreak/>
              <w:t>Respondents</w:t>
            </w:r>
          </w:p>
        </w:tc>
        <w:tc>
          <w:tcPr>
            <w:tcW w:w="1687" w:type="dxa"/>
            <w:vAlign w:val="center"/>
          </w:tcPr>
          <w:p w14:paraId="2A02836F" w14:textId="77777777" w:rsidR="00FD13A0" w:rsidRPr="00D16E82" w:rsidRDefault="00FD13A0" w:rsidP="00D323F9">
            <w:pPr>
              <w:rPr>
                <w:b/>
              </w:rPr>
            </w:pPr>
            <w:r w:rsidRPr="00D16E82">
              <w:lastRenderedPageBreak/>
              <w:t xml:space="preserve">No. of </w:t>
            </w:r>
            <w:r w:rsidRPr="00D16E82">
              <w:lastRenderedPageBreak/>
              <w:t>Responses per Respondent</w:t>
            </w:r>
          </w:p>
        </w:tc>
        <w:tc>
          <w:tcPr>
            <w:tcW w:w="1505" w:type="dxa"/>
            <w:vAlign w:val="center"/>
          </w:tcPr>
          <w:p w14:paraId="3D790827" w14:textId="77777777" w:rsidR="00FD13A0" w:rsidRPr="00D16E82" w:rsidRDefault="00FD13A0" w:rsidP="00D323F9">
            <w:pPr>
              <w:rPr>
                <w:b/>
              </w:rPr>
            </w:pPr>
            <w:r w:rsidRPr="00D16E82">
              <w:lastRenderedPageBreak/>
              <w:t xml:space="preserve">Average </w:t>
            </w:r>
            <w:r w:rsidRPr="00D16E82">
              <w:lastRenderedPageBreak/>
              <w:t>Burden per Response (in hours)</w:t>
            </w:r>
          </w:p>
        </w:tc>
        <w:tc>
          <w:tcPr>
            <w:tcW w:w="1596" w:type="dxa"/>
            <w:vAlign w:val="center"/>
          </w:tcPr>
          <w:p w14:paraId="673A8DF1" w14:textId="77777777" w:rsidR="00FD13A0" w:rsidRPr="00D16E82" w:rsidRDefault="00FD13A0" w:rsidP="00D323F9">
            <w:pPr>
              <w:rPr>
                <w:b/>
              </w:rPr>
            </w:pPr>
            <w:r w:rsidRPr="00D16E82">
              <w:lastRenderedPageBreak/>
              <w:t xml:space="preserve">Total Burden </w:t>
            </w:r>
            <w:r w:rsidRPr="00D16E82">
              <w:lastRenderedPageBreak/>
              <w:t>Hours</w:t>
            </w:r>
          </w:p>
        </w:tc>
      </w:tr>
      <w:tr w:rsidR="00FD13A0" w:rsidRPr="00D16E82" w14:paraId="421CCA3B" w14:textId="77777777" w:rsidTr="00D323F9">
        <w:trPr>
          <w:trHeight w:val="948"/>
        </w:trPr>
        <w:tc>
          <w:tcPr>
            <w:tcW w:w="1705" w:type="dxa"/>
            <w:vMerge w:val="restart"/>
            <w:vAlign w:val="center"/>
          </w:tcPr>
          <w:p w14:paraId="3DC05A0C" w14:textId="77777777" w:rsidR="00FD13A0" w:rsidRPr="00D16E82" w:rsidRDefault="00FD13A0" w:rsidP="00D323F9">
            <w:r w:rsidRPr="00D16E82">
              <w:lastRenderedPageBreak/>
              <w:t>State</w:t>
            </w:r>
            <w:r>
              <w:t>, Territorial</w:t>
            </w:r>
            <w:r w:rsidRPr="00D16E82">
              <w:t xml:space="preserve"> and Local Health Departments</w:t>
            </w:r>
          </w:p>
        </w:tc>
        <w:tc>
          <w:tcPr>
            <w:tcW w:w="1620" w:type="dxa"/>
            <w:vAlign w:val="center"/>
          </w:tcPr>
          <w:p w14:paraId="174B5CFF" w14:textId="77777777" w:rsidR="00FD13A0" w:rsidRPr="00D16E82" w:rsidRDefault="00FD13A0" w:rsidP="00D323F9">
            <w:r w:rsidRPr="00D16E82">
              <w:t>Maternal Health History Form</w:t>
            </w:r>
          </w:p>
        </w:tc>
        <w:tc>
          <w:tcPr>
            <w:tcW w:w="1463" w:type="dxa"/>
            <w:vAlign w:val="center"/>
          </w:tcPr>
          <w:p w14:paraId="413B65EC" w14:textId="77777777" w:rsidR="00FD13A0" w:rsidRPr="00D16E82" w:rsidRDefault="00FD13A0" w:rsidP="00D323F9">
            <w:r>
              <w:t>665</w:t>
            </w:r>
          </w:p>
        </w:tc>
        <w:tc>
          <w:tcPr>
            <w:tcW w:w="1687" w:type="dxa"/>
            <w:vAlign w:val="center"/>
          </w:tcPr>
          <w:p w14:paraId="1EC1ECEC" w14:textId="77777777" w:rsidR="00FD13A0" w:rsidRPr="00D16E82" w:rsidRDefault="00FD13A0" w:rsidP="00D323F9">
            <w:r>
              <w:t>5</w:t>
            </w:r>
          </w:p>
        </w:tc>
        <w:tc>
          <w:tcPr>
            <w:tcW w:w="1505" w:type="dxa"/>
            <w:vAlign w:val="center"/>
          </w:tcPr>
          <w:p w14:paraId="10AAD994" w14:textId="77777777" w:rsidR="00FD13A0" w:rsidRPr="00D16E82" w:rsidRDefault="00FD13A0" w:rsidP="00D323F9">
            <w:r>
              <w:t>30/60</w:t>
            </w:r>
          </w:p>
        </w:tc>
        <w:tc>
          <w:tcPr>
            <w:tcW w:w="1596" w:type="dxa"/>
            <w:vAlign w:val="center"/>
          </w:tcPr>
          <w:p w14:paraId="0569ACF4" w14:textId="77777777" w:rsidR="00FD13A0" w:rsidRPr="00D16E82" w:rsidRDefault="00FD13A0" w:rsidP="00D323F9">
            <w:r>
              <w:t>1663</w:t>
            </w:r>
          </w:p>
        </w:tc>
      </w:tr>
      <w:tr w:rsidR="00FD13A0" w:rsidRPr="00D16E82" w14:paraId="17D9627D" w14:textId="77777777" w:rsidTr="00D323F9">
        <w:trPr>
          <w:trHeight w:val="948"/>
        </w:trPr>
        <w:tc>
          <w:tcPr>
            <w:tcW w:w="1705" w:type="dxa"/>
            <w:vMerge/>
            <w:vAlign w:val="center"/>
          </w:tcPr>
          <w:p w14:paraId="65871F1C" w14:textId="77777777" w:rsidR="00FD13A0" w:rsidRPr="00D16E82" w:rsidRDefault="00FD13A0" w:rsidP="00D323F9"/>
        </w:tc>
        <w:tc>
          <w:tcPr>
            <w:tcW w:w="1620" w:type="dxa"/>
            <w:vAlign w:val="center"/>
          </w:tcPr>
          <w:p w14:paraId="0BC161AC" w14:textId="77777777" w:rsidR="00FD13A0" w:rsidRPr="00D16E82" w:rsidRDefault="00FD13A0" w:rsidP="00D323F9">
            <w:r>
              <w:t>Supplemental Imaging Form</w:t>
            </w:r>
          </w:p>
        </w:tc>
        <w:tc>
          <w:tcPr>
            <w:tcW w:w="1463" w:type="dxa"/>
            <w:vAlign w:val="center"/>
          </w:tcPr>
          <w:p w14:paraId="14CCB790" w14:textId="77777777" w:rsidR="00FD13A0" w:rsidRDefault="00FD13A0" w:rsidP="00D323F9">
            <w:r>
              <w:t>665</w:t>
            </w:r>
          </w:p>
        </w:tc>
        <w:tc>
          <w:tcPr>
            <w:tcW w:w="1687" w:type="dxa"/>
            <w:vAlign w:val="center"/>
          </w:tcPr>
          <w:p w14:paraId="0CAACC02" w14:textId="77777777" w:rsidR="00FD13A0" w:rsidRPr="003E0B45" w:rsidRDefault="00FD13A0" w:rsidP="00D323F9">
            <w:r>
              <w:t>5</w:t>
            </w:r>
          </w:p>
        </w:tc>
        <w:tc>
          <w:tcPr>
            <w:tcW w:w="1505" w:type="dxa"/>
            <w:vAlign w:val="center"/>
          </w:tcPr>
          <w:p w14:paraId="0F612127" w14:textId="77777777" w:rsidR="00FD13A0" w:rsidRPr="003E0B45" w:rsidRDefault="00FD13A0" w:rsidP="00D323F9">
            <w:r>
              <w:t>20/</w:t>
            </w:r>
            <w:r w:rsidRPr="003E0B45">
              <w:t>60</w:t>
            </w:r>
          </w:p>
        </w:tc>
        <w:tc>
          <w:tcPr>
            <w:tcW w:w="1596" w:type="dxa"/>
            <w:vAlign w:val="center"/>
          </w:tcPr>
          <w:p w14:paraId="1C418008" w14:textId="77777777" w:rsidR="00FD13A0" w:rsidRPr="003E0B45" w:rsidRDefault="00FD13A0" w:rsidP="00D323F9">
            <w:r>
              <w:t>1109</w:t>
            </w:r>
          </w:p>
        </w:tc>
      </w:tr>
      <w:tr w:rsidR="00FD13A0" w:rsidRPr="00D16E82" w14:paraId="77751B55" w14:textId="77777777" w:rsidTr="00D323F9">
        <w:trPr>
          <w:trHeight w:val="1474"/>
        </w:trPr>
        <w:tc>
          <w:tcPr>
            <w:tcW w:w="1705" w:type="dxa"/>
            <w:vMerge/>
            <w:vAlign w:val="center"/>
          </w:tcPr>
          <w:p w14:paraId="09A41601" w14:textId="77777777" w:rsidR="00FD13A0" w:rsidRPr="00D16E82" w:rsidRDefault="00FD13A0" w:rsidP="00D323F9"/>
        </w:tc>
        <w:tc>
          <w:tcPr>
            <w:tcW w:w="1620" w:type="dxa"/>
            <w:vAlign w:val="center"/>
          </w:tcPr>
          <w:p w14:paraId="76ECC780" w14:textId="77777777" w:rsidR="00FD13A0" w:rsidRDefault="00FD13A0" w:rsidP="00D323F9">
            <w:r>
              <w:t>Laboratory Results Form</w:t>
            </w:r>
          </w:p>
        </w:tc>
        <w:tc>
          <w:tcPr>
            <w:tcW w:w="1463" w:type="dxa"/>
            <w:vAlign w:val="center"/>
          </w:tcPr>
          <w:p w14:paraId="74AE80F8" w14:textId="77777777" w:rsidR="00FD13A0" w:rsidRDefault="00FD13A0" w:rsidP="00D323F9">
            <w:r>
              <w:t>665</w:t>
            </w:r>
          </w:p>
        </w:tc>
        <w:tc>
          <w:tcPr>
            <w:tcW w:w="1687" w:type="dxa"/>
            <w:vAlign w:val="center"/>
          </w:tcPr>
          <w:p w14:paraId="65969384" w14:textId="77777777" w:rsidR="00FD13A0" w:rsidRPr="003E0B45" w:rsidRDefault="00FD13A0" w:rsidP="00D323F9">
            <w:r>
              <w:t>2</w:t>
            </w:r>
          </w:p>
        </w:tc>
        <w:tc>
          <w:tcPr>
            <w:tcW w:w="1505" w:type="dxa"/>
            <w:vAlign w:val="center"/>
          </w:tcPr>
          <w:p w14:paraId="5CA61EAB" w14:textId="77777777" w:rsidR="00FD13A0" w:rsidRPr="003E0B45" w:rsidRDefault="00FD13A0" w:rsidP="00D323F9">
            <w:r>
              <w:t>30/</w:t>
            </w:r>
            <w:r w:rsidRPr="003E0B45">
              <w:t>60</w:t>
            </w:r>
          </w:p>
        </w:tc>
        <w:tc>
          <w:tcPr>
            <w:tcW w:w="1596" w:type="dxa"/>
            <w:vAlign w:val="center"/>
          </w:tcPr>
          <w:p w14:paraId="6BF37FA7" w14:textId="77777777" w:rsidR="00FD13A0" w:rsidRPr="003E0B45" w:rsidRDefault="00FD13A0" w:rsidP="00D323F9">
            <w:r>
              <w:t>665</w:t>
            </w:r>
          </w:p>
        </w:tc>
      </w:tr>
      <w:tr w:rsidR="00FD13A0" w:rsidRPr="00D16E82" w14:paraId="569265AD" w14:textId="77777777" w:rsidTr="00D323F9">
        <w:trPr>
          <w:trHeight w:val="260"/>
        </w:trPr>
        <w:tc>
          <w:tcPr>
            <w:tcW w:w="1705" w:type="dxa"/>
            <w:vMerge w:val="restart"/>
            <w:vAlign w:val="center"/>
          </w:tcPr>
          <w:p w14:paraId="62A67AD9" w14:textId="28862742" w:rsidR="00FD13A0" w:rsidRPr="00D16E82" w:rsidRDefault="00122A54" w:rsidP="00122A54">
            <w:r>
              <w:t xml:space="preserve">State/Territorial/Local Health Departments, </w:t>
            </w:r>
            <w:r w:rsidR="00FD13A0" w:rsidRPr="00D16E82">
              <w:t>Clinicians</w:t>
            </w:r>
            <w:r>
              <w:t>,</w:t>
            </w:r>
            <w:r w:rsidR="00FD13A0" w:rsidRPr="00D16E82">
              <w:t xml:space="preserve"> and Other Providers</w:t>
            </w:r>
          </w:p>
        </w:tc>
        <w:tc>
          <w:tcPr>
            <w:tcW w:w="1620" w:type="dxa"/>
            <w:vAlign w:val="center"/>
          </w:tcPr>
          <w:p w14:paraId="27C3B11F" w14:textId="77777777" w:rsidR="00FD13A0" w:rsidRPr="00D16E82" w:rsidRDefault="00FD13A0" w:rsidP="00D323F9">
            <w:r w:rsidRPr="00D16E82">
              <w:t>Assessment at Delivery Form</w:t>
            </w:r>
          </w:p>
        </w:tc>
        <w:tc>
          <w:tcPr>
            <w:tcW w:w="1463" w:type="dxa"/>
            <w:vAlign w:val="center"/>
          </w:tcPr>
          <w:p w14:paraId="196EC762" w14:textId="77777777" w:rsidR="00FD13A0" w:rsidRPr="00D16E82" w:rsidRDefault="00FD13A0" w:rsidP="00D323F9">
            <w:r>
              <w:t>600</w:t>
            </w:r>
          </w:p>
        </w:tc>
        <w:tc>
          <w:tcPr>
            <w:tcW w:w="1687" w:type="dxa"/>
            <w:vAlign w:val="center"/>
          </w:tcPr>
          <w:p w14:paraId="49E3BB44" w14:textId="77777777" w:rsidR="00FD13A0" w:rsidRPr="00D16E82" w:rsidRDefault="00FD13A0" w:rsidP="00D323F9">
            <w:r>
              <w:t>1</w:t>
            </w:r>
          </w:p>
        </w:tc>
        <w:tc>
          <w:tcPr>
            <w:tcW w:w="1505" w:type="dxa"/>
            <w:vAlign w:val="center"/>
          </w:tcPr>
          <w:p w14:paraId="4093F02D" w14:textId="77777777" w:rsidR="00FD13A0" w:rsidRPr="00D16E82" w:rsidRDefault="00FD13A0" w:rsidP="00D323F9">
            <w:r>
              <w:t>60/60</w:t>
            </w:r>
          </w:p>
        </w:tc>
        <w:tc>
          <w:tcPr>
            <w:tcW w:w="1596" w:type="dxa"/>
            <w:vAlign w:val="center"/>
          </w:tcPr>
          <w:p w14:paraId="0671CB56" w14:textId="77777777" w:rsidR="00FD13A0" w:rsidRPr="00D16E82" w:rsidRDefault="00FD13A0" w:rsidP="00D323F9">
            <w:r>
              <w:t>600</w:t>
            </w:r>
          </w:p>
        </w:tc>
      </w:tr>
      <w:tr w:rsidR="00FD13A0" w:rsidRPr="00D16E82" w14:paraId="646FDE1E" w14:textId="77777777" w:rsidTr="00D323F9">
        <w:trPr>
          <w:trHeight w:val="737"/>
        </w:trPr>
        <w:tc>
          <w:tcPr>
            <w:tcW w:w="1705" w:type="dxa"/>
            <w:vMerge/>
            <w:vAlign w:val="center"/>
          </w:tcPr>
          <w:p w14:paraId="495389F8" w14:textId="77777777" w:rsidR="00FD13A0" w:rsidRPr="00D16E82" w:rsidRDefault="00FD13A0" w:rsidP="00D323F9"/>
        </w:tc>
        <w:tc>
          <w:tcPr>
            <w:tcW w:w="1620" w:type="dxa"/>
          </w:tcPr>
          <w:p w14:paraId="24E0CD0E" w14:textId="77777777" w:rsidR="00FD13A0" w:rsidRPr="00D16E82" w:rsidRDefault="00FD13A0" w:rsidP="00D323F9">
            <w:r w:rsidRPr="00D16E82">
              <w:t>Infant Health Follow-Up Form</w:t>
            </w:r>
          </w:p>
        </w:tc>
        <w:tc>
          <w:tcPr>
            <w:tcW w:w="1463" w:type="dxa"/>
            <w:vAlign w:val="center"/>
          </w:tcPr>
          <w:p w14:paraId="5F276362" w14:textId="77777777" w:rsidR="00FD13A0" w:rsidRPr="00D16E82" w:rsidRDefault="00FD13A0" w:rsidP="00D323F9">
            <w:r>
              <w:t>600</w:t>
            </w:r>
          </w:p>
        </w:tc>
        <w:tc>
          <w:tcPr>
            <w:tcW w:w="1687" w:type="dxa"/>
            <w:vAlign w:val="center"/>
          </w:tcPr>
          <w:p w14:paraId="051C8384" w14:textId="77777777" w:rsidR="00FD13A0" w:rsidRPr="00D16E82" w:rsidRDefault="00FD13A0" w:rsidP="00D323F9">
            <w:r>
              <w:t>3</w:t>
            </w:r>
          </w:p>
        </w:tc>
        <w:tc>
          <w:tcPr>
            <w:tcW w:w="1505" w:type="dxa"/>
            <w:vAlign w:val="center"/>
          </w:tcPr>
          <w:p w14:paraId="31EE1B6C" w14:textId="77777777" w:rsidR="00FD13A0" w:rsidRPr="00D16E82" w:rsidRDefault="00FD13A0" w:rsidP="00D323F9">
            <w:r>
              <w:t>45/60</w:t>
            </w:r>
          </w:p>
        </w:tc>
        <w:tc>
          <w:tcPr>
            <w:tcW w:w="1596" w:type="dxa"/>
            <w:vAlign w:val="center"/>
          </w:tcPr>
          <w:p w14:paraId="169EC81E" w14:textId="77777777" w:rsidR="00FD13A0" w:rsidRPr="00D16E82" w:rsidRDefault="00FD13A0" w:rsidP="00D323F9">
            <w:r>
              <w:t>900</w:t>
            </w:r>
          </w:p>
        </w:tc>
      </w:tr>
      <w:tr w:rsidR="00FD13A0" w:rsidRPr="00D16E82" w14:paraId="50FF299D" w14:textId="77777777" w:rsidTr="00D323F9">
        <w:tc>
          <w:tcPr>
            <w:tcW w:w="7980" w:type="dxa"/>
            <w:gridSpan w:val="5"/>
          </w:tcPr>
          <w:p w14:paraId="32A92015" w14:textId="77777777" w:rsidR="00FD13A0" w:rsidRPr="00D16E82" w:rsidRDefault="00FD13A0" w:rsidP="00D323F9">
            <w:r w:rsidRPr="00D16E82">
              <w:t>Total</w:t>
            </w:r>
          </w:p>
        </w:tc>
        <w:tc>
          <w:tcPr>
            <w:tcW w:w="1596" w:type="dxa"/>
          </w:tcPr>
          <w:p w14:paraId="1D4090C9" w14:textId="77777777" w:rsidR="00FD13A0" w:rsidRPr="00D16E82" w:rsidRDefault="00FD13A0" w:rsidP="00D323F9">
            <w:r>
              <w:t>5,387</w:t>
            </w:r>
          </w:p>
        </w:tc>
      </w:tr>
    </w:tbl>
    <w:p w14:paraId="57540A44" w14:textId="307B75C4" w:rsidR="00AB450A" w:rsidRDefault="00AB450A" w:rsidP="00F23303">
      <w:pPr>
        <w:pStyle w:val="NormalWeb"/>
        <w:rPr>
          <w:b/>
        </w:rPr>
      </w:pPr>
    </w:p>
    <w:p w14:paraId="2FD01288" w14:textId="18525170" w:rsidR="00F23303" w:rsidRDefault="00F23303" w:rsidP="00F23303">
      <w:pPr>
        <w:pStyle w:val="NormalWeb"/>
        <w:rPr>
          <w:b/>
        </w:rPr>
      </w:pPr>
      <w:r>
        <w:rPr>
          <w:b/>
        </w:rPr>
        <w:t>Currently approved burden table:</w:t>
      </w:r>
    </w:p>
    <w:tbl>
      <w:tblPr>
        <w:tblStyle w:val="TableGrid"/>
        <w:tblW w:w="9576" w:type="dxa"/>
        <w:tblLayout w:type="fixed"/>
        <w:tblLook w:val="04A0" w:firstRow="1" w:lastRow="0" w:firstColumn="1" w:lastColumn="0" w:noHBand="0" w:noVBand="1"/>
      </w:tblPr>
      <w:tblGrid>
        <w:gridCol w:w="1705"/>
        <w:gridCol w:w="1620"/>
        <w:gridCol w:w="1463"/>
        <w:gridCol w:w="1687"/>
        <w:gridCol w:w="1505"/>
        <w:gridCol w:w="1596"/>
      </w:tblGrid>
      <w:tr w:rsidR="00F23303" w:rsidRPr="00D16E82" w14:paraId="443EE3C3" w14:textId="77777777" w:rsidTr="001817BB">
        <w:tc>
          <w:tcPr>
            <w:tcW w:w="1705" w:type="dxa"/>
            <w:vAlign w:val="center"/>
          </w:tcPr>
          <w:p w14:paraId="7B142DBC" w14:textId="77777777" w:rsidR="00F23303" w:rsidRPr="00D16E82" w:rsidRDefault="00F23303" w:rsidP="001817BB">
            <w:pPr>
              <w:rPr>
                <w:b/>
              </w:rPr>
            </w:pPr>
            <w:r w:rsidRPr="00D16E82">
              <w:t>Type of Respondent</w:t>
            </w:r>
          </w:p>
        </w:tc>
        <w:tc>
          <w:tcPr>
            <w:tcW w:w="1620" w:type="dxa"/>
            <w:vAlign w:val="center"/>
          </w:tcPr>
          <w:p w14:paraId="502B8B6B" w14:textId="77777777" w:rsidR="00F23303" w:rsidRPr="00D16E82" w:rsidRDefault="00F23303" w:rsidP="001817BB">
            <w:pPr>
              <w:rPr>
                <w:rFonts w:eastAsiaTheme="minorHAnsi"/>
              </w:rPr>
            </w:pPr>
            <w:r w:rsidRPr="00D16E82">
              <w:t>Form</w:t>
            </w:r>
          </w:p>
          <w:p w14:paraId="3190671B" w14:textId="77777777" w:rsidR="00F23303" w:rsidRPr="00D16E82" w:rsidRDefault="00F23303" w:rsidP="001817BB">
            <w:pPr>
              <w:rPr>
                <w:b/>
              </w:rPr>
            </w:pPr>
            <w:r w:rsidRPr="00D16E82">
              <w:t>Name</w:t>
            </w:r>
          </w:p>
        </w:tc>
        <w:tc>
          <w:tcPr>
            <w:tcW w:w="1463" w:type="dxa"/>
            <w:vAlign w:val="center"/>
          </w:tcPr>
          <w:p w14:paraId="0BD04B7B" w14:textId="77777777" w:rsidR="00F23303" w:rsidRPr="00D16E82" w:rsidRDefault="00F23303" w:rsidP="001817BB">
            <w:pPr>
              <w:rPr>
                <w:b/>
              </w:rPr>
            </w:pPr>
            <w:r w:rsidRPr="00D16E82">
              <w:t>No. of Respondents</w:t>
            </w:r>
          </w:p>
        </w:tc>
        <w:tc>
          <w:tcPr>
            <w:tcW w:w="1687" w:type="dxa"/>
            <w:vAlign w:val="center"/>
          </w:tcPr>
          <w:p w14:paraId="50EC6AE6" w14:textId="77777777" w:rsidR="00F23303" w:rsidRPr="00D16E82" w:rsidRDefault="00F23303" w:rsidP="001817BB">
            <w:pPr>
              <w:rPr>
                <w:b/>
              </w:rPr>
            </w:pPr>
            <w:r w:rsidRPr="00D16E82">
              <w:t>No. of Responses per Respondent</w:t>
            </w:r>
          </w:p>
        </w:tc>
        <w:tc>
          <w:tcPr>
            <w:tcW w:w="1505" w:type="dxa"/>
            <w:vAlign w:val="center"/>
          </w:tcPr>
          <w:p w14:paraId="18CDE2C2" w14:textId="77777777" w:rsidR="00F23303" w:rsidRPr="00D16E82" w:rsidRDefault="00F23303" w:rsidP="001817BB">
            <w:pPr>
              <w:rPr>
                <w:b/>
              </w:rPr>
            </w:pPr>
            <w:r w:rsidRPr="00D16E82">
              <w:t>Average Burden per Response (in hours)</w:t>
            </w:r>
          </w:p>
        </w:tc>
        <w:tc>
          <w:tcPr>
            <w:tcW w:w="1596" w:type="dxa"/>
            <w:vAlign w:val="center"/>
          </w:tcPr>
          <w:p w14:paraId="2D80E0DA" w14:textId="77777777" w:rsidR="00F23303" w:rsidRPr="00D16E82" w:rsidRDefault="00F23303" w:rsidP="001817BB">
            <w:pPr>
              <w:rPr>
                <w:b/>
              </w:rPr>
            </w:pPr>
            <w:r w:rsidRPr="00D16E82">
              <w:t>Total Burden Hours</w:t>
            </w:r>
          </w:p>
        </w:tc>
      </w:tr>
      <w:tr w:rsidR="00F23303" w:rsidRPr="00D16E82" w14:paraId="553C4273" w14:textId="77777777" w:rsidTr="001817BB">
        <w:trPr>
          <w:trHeight w:val="948"/>
        </w:trPr>
        <w:tc>
          <w:tcPr>
            <w:tcW w:w="1705" w:type="dxa"/>
            <w:vMerge w:val="restart"/>
            <w:vAlign w:val="center"/>
          </w:tcPr>
          <w:p w14:paraId="3BB47E24" w14:textId="77777777" w:rsidR="00F23303" w:rsidRPr="00D16E82" w:rsidRDefault="00F23303" w:rsidP="001817BB">
            <w:r w:rsidRPr="00D16E82">
              <w:t>State</w:t>
            </w:r>
            <w:r>
              <w:t>, Territorial</w:t>
            </w:r>
            <w:r w:rsidRPr="00D16E82">
              <w:t xml:space="preserve"> and Local Health Departments</w:t>
            </w:r>
          </w:p>
        </w:tc>
        <w:tc>
          <w:tcPr>
            <w:tcW w:w="1620" w:type="dxa"/>
            <w:vAlign w:val="center"/>
          </w:tcPr>
          <w:p w14:paraId="1657FDCD" w14:textId="77777777" w:rsidR="00F23303" w:rsidRPr="00D16E82" w:rsidRDefault="00F23303" w:rsidP="001817BB">
            <w:r w:rsidRPr="00D16E82">
              <w:t>Maternal Health History Form</w:t>
            </w:r>
          </w:p>
        </w:tc>
        <w:tc>
          <w:tcPr>
            <w:tcW w:w="1463" w:type="dxa"/>
            <w:vAlign w:val="center"/>
          </w:tcPr>
          <w:p w14:paraId="48B06954" w14:textId="77777777" w:rsidR="00F23303" w:rsidRPr="00D16E82" w:rsidRDefault="00F23303" w:rsidP="001817BB">
            <w:r>
              <w:t>1100</w:t>
            </w:r>
          </w:p>
        </w:tc>
        <w:tc>
          <w:tcPr>
            <w:tcW w:w="1687" w:type="dxa"/>
            <w:vAlign w:val="center"/>
          </w:tcPr>
          <w:p w14:paraId="32C59CC6" w14:textId="77777777" w:rsidR="00F23303" w:rsidRPr="00D16E82" w:rsidRDefault="00F23303" w:rsidP="001817BB">
            <w:r>
              <w:t>10</w:t>
            </w:r>
          </w:p>
        </w:tc>
        <w:tc>
          <w:tcPr>
            <w:tcW w:w="1505" w:type="dxa"/>
            <w:vAlign w:val="center"/>
          </w:tcPr>
          <w:p w14:paraId="621C28ED" w14:textId="77777777" w:rsidR="00F23303" w:rsidRPr="00D16E82" w:rsidRDefault="00F23303" w:rsidP="001817BB">
            <w:r>
              <w:t>30/60</w:t>
            </w:r>
          </w:p>
        </w:tc>
        <w:tc>
          <w:tcPr>
            <w:tcW w:w="1596" w:type="dxa"/>
            <w:vAlign w:val="center"/>
          </w:tcPr>
          <w:p w14:paraId="6D5AF37F" w14:textId="77777777" w:rsidR="00F23303" w:rsidRPr="00D16E82" w:rsidRDefault="00F23303" w:rsidP="001817BB">
            <w:r>
              <w:t>5500</w:t>
            </w:r>
          </w:p>
        </w:tc>
      </w:tr>
      <w:tr w:rsidR="00F23303" w:rsidRPr="00D16E82" w14:paraId="1B6B1A13" w14:textId="77777777" w:rsidTr="001817BB">
        <w:trPr>
          <w:trHeight w:val="948"/>
        </w:trPr>
        <w:tc>
          <w:tcPr>
            <w:tcW w:w="1705" w:type="dxa"/>
            <w:vMerge/>
            <w:vAlign w:val="center"/>
          </w:tcPr>
          <w:p w14:paraId="03CE249A" w14:textId="77777777" w:rsidR="00F23303" w:rsidRPr="00D16E82" w:rsidRDefault="00F23303" w:rsidP="001817BB"/>
        </w:tc>
        <w:tc>
          <w:tcPr>
            <w:tcW w:w="1620" w:type="dxa"/>
            <w:vAlign w:val="center"/>
          </w:tcPr>
          <w:p w14:paraId="165ECDDD" w14:textId="77777777" w:rsidR="00F23303" w:rsidRPr="00D16E82" w:rsidRDefault="00F23303" w:rsidP="001817BB">
            <w:r>
              <w:t>Supplemental Imaging Form</w:t>
            </w:r>
          </w:p>
        </w:tc>
        <w:tc>
          <w:tcPr>
            <w:tcW w:w="1463" w:type="dxa"/>
            <w:vAlign w:val="center"/>
          </w:tcPr>
          <w:p w14:paraId="4E0C4750" w14:textId="77777777" w:rsidR="00F23303" w:rsidRDefault="00F23303" w:rsidP="001817BB">
            <w:r>
              <w:t>1100</w:t>
            </w:r>
          </w:p>
        </w:tc>
        <w:tc>
          <w:tcPr>
            <w:tcW w:w="1687" w:type="dxa"/>
            <w:vAlign w:val="center"/>
          </w:tcPr>
          <w:p w14:paraId="4818B276" w14:textId="77777777" w:rsidR="00F23303" w:rsidRPr="003E0B45" w:rsidRDefault="00F23303" w:rsidP="001817BB">
            <w:r w:rsidRPr="003E0B45">
              <w:t>10</w:t>
            </w:r>
          </w:p>
        </w:tc>
        <w:tc>
          <w:tcPr>
            <w:tcW w:w="1505" w:type="dxa"/>
            <w:vAlign w:val="center"/>
          </w:tcPr>
          <w:p w14:paraId="76833001" w14:textId="77777777" w:rsidR="00F23303" w:rsidRPr="003E0B45" w:rsidRDefault="00F23303" w:rsidP="001817BB">
            <w:r w:rsidRPr="003E0B45">
              <w:t>10/60</w:t>
            </w:r>
          </w:p>
        </w:tc>
        <w:tc>
          <w:tcPr>
            <w:tcW w:w="1596" w:type="dxa"/>
            <w:vAlign w:val="center"/>
          </w:tcPr>
          <w:p w14:paraId="21D5A015" w14:textId="77777777" w:rsidR="00F23303" w:rsidRPr="003E0B45" w:rsidRDefault="00F23303" w:rsidP="001817BB">
            <w:r w:rsidRPr="003E0B45">
              <w:t>1</w:t>
            </w:r>
            <w:r>
              <w:t>833</w:t>
            </w:r>
          </w:p>
        </w:tc>
      </w:tr>
      <w:tr w:rsidR="00F23303" w:rsidRPr="00D16E82" w14:paraId="06A7FF29" w14:textId="77777777" w:rsidTr="001817BB">
        <w:trPr>
          <w:trHeight w:val="1474"/>
        </w:trPr>
        <w:tc>
          <w:tcPr>
            <w:tcW w:w="1705" w:type="dxa"/>
            <w:vMerge/>
            <w:vAlign w:val="center"/>
          </w:tcPr>
          <w:p w14:paraId="76D41993" w14:textId="77777777" w:rsidR="00F23303" w:rsidRPr="00D16E82" w:rsidRDefault="00F23303" w:rsidP="001817BB"/>
        </w:tc>
        <w:tc>
          <w:tcPr>
            <w:tcW w:w="1620" w:type="dxa"/>
            <w:vAlign w:val="center"/>
          </w:tcPr>
          <w:p w14:paraId="41E611F7" w14:textId="77777777" w:rsidR="00F23303" w:rsidRDefault="00F23303" w:rsidP="001817BB">
            <w:r>
              <w:t>Laboratory Results Form</w:t>
            </w:r>
          </w:p>
        </w:tc>
        <w:tc>
          <w:tcPr>
            <w:tcW w:w="1463" w:type="dxa"/>
            <w:vAlign w:val="center"/>
          </w:tcPr>
          <w:p w14:paraId="324C0A6C" w14:textId="77777777" w:rsidR="00F23303" w:rsidRDefault="00F23303" w:rsidP="001817BB">
            <w:r>
              <w:t>1100</w:t>
            </w:r>
          </w:p>
        </w:tc>
        <w:tc>
          <w:tcPr>
            <w:tcW w:w="1687" w:type="dxa"/>
            <w:vAlign w:val="center"/>
          </w:tcPr>
          <w:p w14:paraId="2A3894F9" w14:textId="77777777" w:rsidR="00F23303" w:rsidRPr="003E0B45" w:rsidRDefault="00F23303" w:rsidP="001817BB">
            <w:r w:rsidRPr="003E0B45">
              <w:t>10</w:t>
            </w:r>
          </w:p>
        </w:tc>
        <w:tc>
          <w:tcPr>
            <w:tcW w:w="1505" w:type="dxa"/>
            <w:vAlign w:val="center"/>
          </w:tcPr>
          <w:p w14:paraId="57B7CFB9" w14:textId="77777777" w:rsidR="00F23303" w:rsidRPr="003E0B45" w:rsidRDefault="00F23303" w:rsidP="001817BB">
            <w:r w:rsidRPr="003E0B45">
              <w:t>15/60</w:t>
            </w:r>
          </w:p>
        </w:tc>
        <w:tc>
          <w:tcPr>
            <w:tcW w:w="1596" w:type="dxa"/>
            <w:vAlign w:val="center"/>
          </w:tcPr>
          <w:p w14:paraId="41A8E00C" w14:textId="77777777" w:rsidR="00F23303" w:rsidRPr="003E0B45" w:rsidRDefault="00F23303" w:rsidP="001817BB">
            <w:r w:rsidRPr="003E0B45">
              <w:t>2</w:t>
            </w:r>
            <w:r>
              <w:t>7</w:t>
            </w:r>
            <w:r w:rsidRPr="003E0B45">
              <w:t>50</w:t>
            </w:r>
          </w:p>
        </w:tc>
      </w:tr>
      <w:tr w:rsidR="00F23303" w:rsidRPr="00D16E82" w14:paraId="7B01C52F" w14:textId="77777777" w:rsidTr="001817BB">
        <w:trPr>
          <w:trHeight w:val="260"/>
        </w:trPr>
        <w:tc>
          <w:tcPr>
            <w:tcW w:w="1705" w:type="dxa"/>
            <w:vMerge w:val="restart"/>
            <w:vAlign w:val="center"/>
          </w:tcPr>
          <w:p w14:paraId="75F4705A" w14:textId="77777777" w:rsidR="00F23303" w:rsidRPr="00D16E82" w:rsidRDefault="00F23303" w:rsidP="001817BB">
            <w:r w:rsidRPr="00D16E82">
              <w:t>Clinicians and Other Providers</w:t>
            </w:r>
          </w:p>
        </w:tc>
        <w:tc>
          <w:tcPr>
            <w:tcW w:w="1620" w:type="dxa"/>
            <w:vAlign w:val="center"/>
          </w:tcPr>
          <w:p w14:paraId="3D873032" w14:textId="77777777" w:rsidR="00F23303" w:rsidRPr="00D16E82" w:rsidRDefault="00F23303" w:rsidP="001817BB">
            <w:r w:rsidRPr="00D16E82">
              <w:t>Assessment at Delivery Form</w:t>
            </w:r>
          </w:p>
        </w:tc>
        <w:tc>
          <w:tcPr>
            <w:tcW w:w="1463" w:type="dxa"/>
            <w:vAlign w:val="center"/>
          </w:tcPr>
          <w:p w14:paraId="0650BF9D" w14:textId="77777777" w:rsidR="00F23303" w:rsidRPr="00D16E82" w:rsidRDefault="00F23303" w:rsidP="001817BB">
            <w:r>
              <w:t>1100</w:t>
            </w:r>
          </w:p>
        </w:tc>
        <w:tc>
          <w:tcPr>
            <w:tcW w:w="1687" w:type="dxa"/>
            <w:vAlign w:val="center"/>
          </w:tcPr>
          <w:p w14:paraId="62D3AE85" w14:textId="77777777" w:rsidR="00F23303" w:rsidRPr="00D16E82" w:rsidRDefault="00F23303" w:rsidP="001817BB">
            <w:r>
              <w:t>10</w:t>
            </w:r>
          </w:p>
        </w:tc>
        <w:tc>
          <w:tcPr>
            <w:tcW w:w="1505" w:type="dxa"/>
            <w:vAlign w:val="center"/>
          </w:tcPr>
          <w:p w14:paraId="6DDAFEE7" w14:textId="77777777" w:rsidR="00F23303" w:rsidRPr="00D16E82" w:rsidRDefault="00F23303" w:rsidP="001817BB">
            <w:r>
              <w:t>30/60</w:t>
            </w:r>
          </w:p>
        </w:tc>
        <w:tc>
          <w:tcPr>
            <w:tcW w:w="1596" w:type="dxa"/>
            <w:vAlign w:val="center"/>
          </w:tcPr>
          <w:p w14:paraId="0571D4EA" w14:textId="77777777" w:rsidR="00F23303" w:rsidRPr="00D16E82" w:rsidRDefault="00F23303" w:rsidP="001817BB">
            <w:r>
              <w:t>5500</w:t>
            </w:r>
          </w:p>
        </w:tc>
      </w:tr>
      <w:tr w:rsidR="00F23303" w:rsidRPr="00D16E82" w14:paraId="420EB0C6" w14:textId="77777777" w:rsidTr="001817BB">
        <w:trPr>
          <w:trHeight w:val="737"/>
        </w:trPr>
        <w:tc>
          <w:tcPr>
            <w:tcW w:w="1705" w:type="dxa"/>
            <w:vMerge/>
            <w:vAlign w:val="center"/>
          </w:tcPr>
          <w:p w14:paraId="0DF6946A" w14:textId="77777777" w:rsidR="00F23303" w:rsidRPr="00D16E82" w:rsidRDefault="00F23303" w:rsidP="001817BB"/>
        </w:tc>
        <w:tc>
          <w:tcPr>
            <w:tcW w:w="1620" w:type="dxa"/>
          </w:tcPr>
          <w:p w14:paraId="47A84F32" w14:textId="77777777" w:rsidR="00F23303" w:rsidRPr="00D16E82" w:rsidRDefault="00F23303" w:rsidP="001817BB">
            <w:r w:rsidRPr="00D16E82">
              <w:t>Infant Health Follow-Up Form</w:t>
            </w:r>
          </w:p>
        </w:tc>
        <w:tc>
          <w:tcPr>
            <w:tcW w:w="1463" w:type="dxa"/>
            <w:vAlign w:val="center"/>
          </w:tcPr>
          <w:p w14:paraId="1EF2FCD8" w14:textId="77777777" w:rsidR="00F23303" w:rsidRPr="00D16E82" w:rsidRDefault="00F23303" w:rsidP="001817BB">
            <w:r>
              <w:t>1100</w:t>
            </w:r>
          </w:p>
        </w:tc>
        <w:tc>
          <w:tcPr>
            <w:tcW w:w="1687" w:type="dxa"/>
            <w:vAlign w:val="center"/>
          </w:tcPr>
          <w:p w14:paraId="6ADAAF7A" w14:textId="77777777" w:rsidR="00F23303" w:rsidRPr="00D16E82" w:rsidRDefault="00F23303" w:rsidP="001817BB">
            <w:r>
              <w:t>30</w:t>
            </w:r>
          </w:p>
        </w:tc>
        <w:tc>
          <w:tcPr>
            <w:tcW w:w="1505" w:type="dxa"/>
            <w:vAlign w:val="center"/>
          </w:tcPr>
          <w:p w14:paraId="628AC052" w14:textId="77777777" w:rsidR="00F23303" w:rsidRPr="00D16E82" w:rsidRDefault="00F23303" w:rsidP="001817BB">
            <w:r>
              <w:t>15/60</w:t>
            </w:r>
          </w:p>
        </w:tc>
        <w:tc>
          <w:tcPr>
            <w:tcW w:w="1596" w:type="dxa"/>
            <w:vAlign w:val="center"/>
          </w:tcPr>
          <w:p w14:paraId="0001044D" w14:textId="77777777" w:rsidR="00F23303" w:rsidRPr="00D16E82" w:rsidRDefault="00F23303" w:rsidP="001817BB">
            <w:r>
              <w:t>8250</w:t>
            </w:r>
          </w:p>
        </w:tc>
      </w:tr>
      <w:tr w:rsidR="00F23303" w:rsidRPr="00D16E82" w14:paraId="25468119" w14:textId="77777777" w:rsidTr="001817BB">
        <w:tc>
          <w:tcPr>
            <w:tcW w:w="7980" w:type="dxa"/>
            <w:gridSpan w:val="5"/>
          </w:tcPr>
          <w:p w14:paraId="48A07B9D" w14:textId="77777777" w:rsidR="00F23303" w:rsidRPr="00D16E82" w:rsidRDefault="00F23303" w:rsidP="001817BB">
            <w:r w:rsidRPr="00D16E82">
              <w:t>Total</w:t>
            </w:r>
          </w:p>
        </w:tc>
        <w:tc>
          <w:tcPr>
            <w:tcW w:w="1596" w:type="dxa"/>
          </w:tcPr>
          <w:p w14:paraId="4FB31C03" w14:textId="77777777" w:rsidR="00F23303" w:rsidRPr="00D16E82" w:rsidRDefault="00F23303" w:rsidP="001817BB">
            <w:r w:rsidRPr="003E0B45">
              <w:t>2</w:t>
            </w:r>
            <w:r>
              <w:t>3,833</w:t>
            </w:r>
          </w:p>
        </w:tc>
      </w:tr>
    </w:tbl>
    <w:p w14:paraId="5C63C89E" w14:textId="77777777" w:rsidR="00F23303" w:rsidRDefault="00F23303" w:rsidP="00F23303">
      <w:pPr>
        <w:pStyle w:val="NormalWeb"/>
        <w:rPr>
          <w:b/>
        </w:rPr>
      </w:pPr>
    </w:p>
    <w:sectPr w:rsidR="00F23303" w:rsidSect="006C6578">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7EE7F" w14:textId="77777777" w:rsidR="00B852DA" w:rsidRDefault="00B852DA" w:rsidP="008B5D54">
      <w:r>
        <w:separator/>
      </w:r>
    </w:p>
  </w:endnote>
  <w:endnote w:type="continuationSeparator" w:id="0">
    <w:p w14:paraId="2607B0AF" w14:textId="77777777" w:rsidR="00B852DA" w:rsidRDefault="00B852DA"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910504"/>
      <w:docPartObj>
        <w:docPartGallery w:val="Page Numbers (Bottom of Page)"/>
        <w:docPartUnique/>
      </w:docPartObj>
    </w:sdtPr>
    <w:sdtEndPr>
      <w:rPr>
        <w:noProof/>
      </w:rPr>
    </w:sdtEndPr>
    <w:sdtContent>
      <w:p w14:paraId="2290083A" w14:textId="584CEECA" w:rsidR="00B852DA" w:rsidRDefault="00B852DA">
        <w:pPr>
          <w:pStyle w:val="Footer"/>
          <w:jc w:val="right"/>
        </w:pPr>
        <w:r>
          <w:fldChar w:fldCharType="begin"/>
        </w:r>
        <w:r>
          <w:instrText xml:space="preserve"> PAGE   \* MERGEFORMAT </w:instrText>
        </w:r>
        <w:r>
          <w:fldChar w:fldCharType="separate"/>
        </w:r>
        <w:r w:rsidR="0001289C">
          <w:rPr>
            <w:noProof/>
          </w:rPr>
          <w:t>1</w:t>
        </w:r>
        <w:r>
          <w:rPr>
            <w:noProof/>
          </w:rPr>
          <w:fldChar w:fldCharType="end"/>
        </w:r>
      </w:p>
    </w:sdtContent>
  </w:sdt>
  <w:p w14:paraId="755374C6" w14:textId="77777777" w:rsidR="00B852DA" w:rsidRDefault="00B85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F2BB5" w14:textId="77777777" w:rsidR="00B852DA" w:rsidRDefault="00B852DA" w:rsidP="008B5D54">
      <w:r>
        <w:separator/>
      </w:r>
    </w:p>
  </w:footnote>
  <w:footnote w:type="continuationSeparator" w:id="0">
    <w:p w14:paraId="061A01A2" w14:textId="77777777" w:rsidR="00B852DA" w:rsidRDefault="00B852DA"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66"/>
    <w:multiLevelType w:val="hybridMultilevel"/>
    <w:tmpl w:val="183AF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31099"/>
    <w:multiLevelType w:val="hybridMultilevel"/>
    <w:tmpl w:val="59987374"/>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45895"/>
    <w:multiLevelType w:val="hybridMultilevel"/>
    <w:tmpl w:val="109EEDBE"/>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67E66"/>
    <w:multiLevelType w:val="hybridMultilevel"/>
    <w:tmpl w:val="91C84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066249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5638B"/>
    <w:multiLevelType w:val="hybridMultilevel"/>
    <w:tmpl w:val="32402AB0"/>
    <w:lvl w:ilvl="0" w:tplc="0409000F">
      <w:start w:val="10"/>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5529F"/>
    <w:multiLevelType w:val="hybridMultilevel"/>
    <w:tmpl w:val="B69CF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26338F"/>
    <w:multiLevelType w:val="hybridMultilevel"/>
    <w:tmpl w:val="60D443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ABF1831"/>
    <w:multiLevelType w:val="hybridMultilevel"/>
    <w:tmpl w:val="EBA83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2428C"/>
    <w:multiLevelType w:val="hybridMultilevel"/>
    <w:tmpl w:val="5C74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E491C"/>
    <w:multiLevelType w:val="hybridMultilevel"/>
    <w:tmpl w:val="FDD8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4F72EB"/>
    <w:multiLevelType w:val="hybridMultilevel"/>
    <w:tmpl w:val="F4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D2CC9"/>
    <w:multiLevelType w:val="hybridMultilevel"/>
    <w:tmpl w:val="B234FAEC"/>
    <w:lvl w:ilvl="0" w:tplc="546417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36034"/>
    <w:multiLevelType w:val="hybridMultilevel"/>
    <w:tmpl w:val="F0B85D7C"/>
    <w:lvl w:ilvl="0" w:tplc="63EA9A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0140E6A"/>
    <w:multiLevelType w:val="hybridMultilevel"/>
    <w:tmpl w:val="6A1E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437587"/>
    <w:multiLevelType w:val="hybridMultilevel"/>
    <w:tmpl w:val="31D6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644749"/>
    <w:multiLevelType w:val="hybridMultilevel"/>
    <w:tmpl w:val="681A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B676CF"/>
    <w:multiLevelType w:val="hybridMultilevel"/>
    <w:tmpl w:val="50DC5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4B580F"/>
    <w:multiLevelType w:val="hybridMultilevel"/>
    <w:tmpl w:val="8A3A7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F021CA"/>
    <w:multiLevelType w:val="hybridMultilevel"/>
    <w:tmpl w:val="62722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336D8B"/>
    <w:multiLevelType w:val="hybridMultilevel"/>
    <w:tmpl w:val="27B6F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64F4B"/>
    <w:multiLevelType w:val="hybridMultilevel"/>
    <w:tmpl w:val="99D65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E0643A"/>
    <w:multiLevelType w:val="hybridMultilevel"/>
    <w:tmpl w:val="AFB08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A02261"/>
    <w:multiLevelType w:val="hybridMultilevel"/>
    <w:tmpl w:val="5B66E5F6"/>
    <w:lvl w:ilvl="0" w:tplc="F9FAAED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7E485F"/>
    <w:multiLevelType w:val="hybridMultilevel"/>
    <w:tmpl w:val="3F0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A635E1"/>
    <w:multiLevelType w:val="hybridMultilevel"/>
    <w:tmpl w:val="0D7C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F82C2E"/>
    <w:multiLevelType w:val="hybridMultilevel"/>
    <w:tmpl w:val="D9AC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num>
  <w:num w:numId="6">
    <w:abstractNumId w:val="17"/>
  </w:num>
  <w:num w:numId="7">
    <w:abstractNumId w:val="1"/>
  </w:num>
  <w:num w:numId="8">
    <w:abstractNumId w:val="11"/>
  </w:num>
  <w:num w:numId="9">
    <w:abstractNumId w:val="23"/>
  </w:num>
  <w:num w:numId="10">
    <w:abstractNumId w:val="2"/>
  </w:num>
  <w:num w:numId="11">
    <w:abstractNumId w:val="19"/>
  </w:num>
  <w:num w:numId="12">
    <w:abstractNumId w:val="22"/>
  </w:num>
  <w:num w:numId="13">
    <w:abstractNumId w:val="4"/>
  </w:num>
  <w:num w:numId="14">
    <w:abstractNumId w:val="3"/>
  </w:num>
  <w:num w:numId="15">
    <w:abstractNumId w:val="26"/>
  </w:num>
  <w:num w:numId="16">
    <w:abstractNumId w:val="10"/>
  </w:num>
  <w:num w:numId="17">
    <w:abstractNumId w:val="16"/>
  </w:num>
  <w:num w:numId="18">
    <w:abstractNumId w:val="14"/>
  </w:num>
  <w:num w:numId="19">
    <w:abstractNumId w:val="24"/>
  </w:num>
  <w:num w:numId="20">
    <w:abstractNumId w:val="13"/>
  </w:num>
  <w:num w:numId="21">
    <w:abstractNumId w:val="8"/>
  </w:num>
  <w:num w:numId="22">
    <w:abstractNumId w:val="21"/>
  </w:num>
  <w:num w:numId="23">
    <w:abstractNumId w:val="5"/>
  </w:num>
  <w:num w:numId="24">
    <w:abstractNumId w:val="20"/>
  </w:num>
  <w:num w:numId="25">
    <w:abstractNumId w:val="27"/>
  </w:num>
  <w:num w:numId="26">
    <w:abstractNumId w:val="25"/>
  </w:num>
  <w:num w:numId="27">
    <w:abstractNumId w:val="15"/>
  </w:num>
  <w:num w:numId="28">
    <w:abstractNumId w:val="9"/>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038"/>
    <w:rsid w:val="0001289C"/>
    <w:rsid w:val="00056D1E"/>
    <w:rsid w:val="000A3D6B"/>
    <w:rsid w:val="00122A54"/>
    <w:rsid w:val="00122E44"/>
    <w:rsid w:val="00133F23"/>
    <w:rsid w:val="0014124A"/>
    <w:rsid w:val="00143C0A"/>
    <w:rsid w:val="001734A9"/>
    <w:rsid w:val="00187D86"/>
    <w:rsid w:val="001B12E8"/>
    <w:rsid w:val="001C32AD"/>
    <w:rsid w:val="001D22B6"/>
    <w:rsid w:val="001D5E2D"/>
    <w:rsid w:val="002265A1"/>
    <w:rsid w:val="00242225"/>
    <w:rsid w:val="00270F56"/>
    <w:rsid w:val="00283243"/>
    <w:rsid w:val="00293B3B"/>
    <w:rsid w:val="002B0D53"/>
    <w:rsid w:val="002B5812"/>
    <w:rsid w:val="002E54E7"/>
    <w:rsid w:val="002F2667"/>
    <w:rsid w:val="002F2E16"/>
    <w:rsid w:val="0033617E"/>
    <w:rsid w:val="003539F5"/>
    <w:rsid w:val="0035567A"/>
    <w:rsid w:val="003913AE"/>
    <w:rsid w:val="003A2CA8"/>
    <w:rsid w:val="003B2492"/>
    <w:rsid w:val="003C12AC"/>
    <w:rsid w:val="003C4E0F"/>
    <w:rsid w:val="003D13B0"/>
    <w:rsid w:val="003F3ED9"/>
    <w:rsid w:val="00412577"/>
    <w:rsid w:val="004163E1"/>
    <w:rsid w:val="004178A8"/>
    <w:rsid w:val="004234EF"/>
    <w:rsid w:val="0042643E"/>
    <w:rsid w:val="004353C3"/>
    <w:rsid w:val="004459C3"/>
    <w:rsid w:val="00453F8C"/>
    <w:rsid w:val="00461827"/>
    <w:rsid w:val="00463CBD"/>
    <w:rsid w:val="0046569D"/>
    <w:rsid w:val="00494400"/>
    <w:rsid w:val="004961FB"/>
    <w:rsid w:val="004A3B39"/>
    <w:rsid w:val="004A48A6"/>
    <w:rsid w:val="004C53EA"/>
    <w:rsid w:val="004C7274"/>
    <w:rsid w:val="004D3B52"/>
    <w:rsid w:val="004D683A"/>
    <w:rsid w:val="005210CE"/>
    <w:rsid w:val="00563FFE"/>
    <w:rsid w:val="00566C08"/>
    <w:rsid w:val="00572372"/>
    <w:rsid w:val="005A24FC"/>
    <w:rsid w:val="005E210D"/>
    <w:rsid w:val="005E297F"/>
    <w:rsid w:val="005E4E9C"/>
    <w:rsid w:val="00604D7B"/>
    <w:rsid w:val="006079F6"/>
    <w:rsid w:val="00613F47"/>
    <w:rsid w:val="00614CAB"/>
    <w:rsid w:val="0062132F"/>
    <w:rsid w:val="00622659"/>
    <w:rsid w:val="00634BF1"/>
    <w:rsid w:val="00642313"/>
    <w:rsid w:val="00643605"/>
    <w:rsid w:val="00653CB8"/>
    <w:rsid w:val="006601A3"/>
    <w:rsid w:val="00663916"/>
    <w:rsid w:val="00683525"/>
    <w:rsid w:val="0069552B"/>
    <w:rsid w:val="006C23B3"/>
    <w:rsid w:val="006C4ADB"/>
    <w:rsid w:val="006C6578"/>
    <w:rsid w:val="006D44FF"/>
    <w:rsid w:val="006D61A5"/>
    <w:rsid w:val="006E0FEB"/>
    <w:rsid w:val="006E7DCA"/>
    <w:rsid w:val="00705281"/>
    <w:rsid w:val="00721AF1"/>
    <w:rsid w:val="007343E9"/>
    <w:rsid w:val="007422C7"/>
    <w:rsid w:val="0074626E"/>
    <w:rsid w:val="00760EA2"/>
    <w:rsid w:val="0078406E"/>
    <w:rsid w:val="007A2C0A"/>
    <w:rsid w:val="007A73A7"/>
    <w:rsid w:val="007B19E5"/>
    <w:rsid w:val="007E08E0"/>
    <w:rsid w:val="007F68AF"/>
    <w:rsid w:val="00812269"/>
    <w:rsid w:val="00812F4D"/>
    <w:rsid w:val="00830AA8"/>
    <w:rsid w:val="00862289"/>
    <w:rsid w:val="00864BBC"/>
    <w:rsid w:val="00876815"/>
    <w:rsid w:val="0088466E"/>
    <w:rsid w:val="0089463B"/>
    <w:rsid w:val="008A6B33"/>
    <w:rsid w:val="008B240B"/>
    <w:rsid w:val="008B5D54"/>
    <w:rsid w:val="008E67BF"/>
    <w:rsid w:val="008F3C5A"/>
    <w:rsid w:val="00904BC2"/>
    <w:rsid w:val="00924AD0"/>
    <w:rsid w:val="009262E2"/>
    <w:rsid w:val="00932348"/>
    <w:rsid w:val="00945910"/>
    <w:rsid w:val="00952D3C"/>
    <w:rsid w:val="00953982"/>
    <w:rsid w:val="009562F2"/>
    <w:rsid w:val="00965CD5"/>
    <w:rsid w:val="009B0910"/>
    <w:rsid w:val="009C112E"/>
    <w:rsid w:val="009C7C81"/>
    <w:rsid w:val="009D5E5A"/>
    <w:rsid w:val="009E27CC"/>
    <w:rsid w:val="00A322C6"/>
    <w:rsid w:val="00A53B0C"/>
    <w:rsid w:val="00A6201A"/>
    <w:rsid w:val="00A664F4"/>
    <w:rsid w:val="00A7102B"/>
    <w:rsid w:val="00A76761"/>
    <w:rsid w:val="00AA087F"/>
    <w:rsid w:val="00AB21CB"/>
    <w:rsid w:val="00AB2233"/>
    <w:rsid w:val="00AB450A"/>
    <w:rsid w:val="00AF2C8D"/>
    <w:rsid w:val="00AF3B45"/>
    <w:rsid w:val="00AF4875"/>
    <w:rsid w:val="00B04B3E"/>
    <w:rsid w:val="00B22E33"/>
    <w:rsid w:val="00B23939"/>
    <w:rsid w:val="00B23A92"/>
    <w:rsid w:val="00B31038"/>
    <w:rsid w:val="00B55735"/>
    <w:rsid w:val="00B608AC"/>
    <w:rsid w:val="00B77154"/>
    <w:rsid w:val="00B81AE1"/>
    <w:rsid w:val="00B852DA"/>
    <w:rsid w:val="00BC0D59"/>
    <w:rsid w:val="00BE5AB0"/>
    <w:rsid w:val="00C006DA"/>
    <w:rsid w:val="00C132DA"/>
    <w:rsid w:val="00C51779"/>
    <w:rsid w:val="00C53570"/>
    <w:rsid w:val="00C5490C"/>
    <w:rsid w:val="00C66148"/>
    <w:rsid w:val="00C85E63"/>
    <w:rsid w:val="00C90E43"/>
    <w:rsid w:val="00CA7F0F"/>
    <w:rsid w:val="00CB27E0"/>
    <w:rsid w:val="00D13FF6"/>
    <w:rsid w:val="00D420C3"/>
    <w:rsid w:val="00D87B47"/>
    <w:rsid w:val="00DA2E13"/>
    <w:rsid w:val="00DA4075"/>
    <w:rsid w:val="00DB08F9"/>
    <w:rsid w:val="00DB5D4C"/>
    <w:rsid w:val="00DC57CC"/>
    <w:rsid w:val="00DD71E6"/>
    <w:rsid w:val="00DE3653"/>
    <w:rsid w:val="00DF79E2"/>
    <w:rsid w:val="00E1058C"/>
    <w:rsid w:val="00E10727"/>
    <w:rsid w:val="00E1427F"/>
    <w:rsid w:val="00E313E6"/>
    <w:rsid w:val="00E57B69"/>
    <w:rsid w:val="00E72FB1"/>
    <w:rsid w:val="00EB42C8"/>
    <w:rsid w:val="00EB5C26"/>
    <w:rsid w:val="00EB627E"/>
    <w:rsid w:val="00EC0831"/>
    <w:rsid w:val="00ED31E7"/>
    <w:rsid w:val="00EE4EBB"/>
    <w:rsid w:val="00EF2111"/>
    <w:rsid w:val="00F05AB8"/>
    <w:rsid w:val="00F068CB"/>
    <w:rsid w:val="00F14763"/>
    <w:rsid w:val="00F20495"/>
    <w:rsid w:val="00F23303"/>
    <w:rsid w:val="00F77008"/>
    <w:rsid w:val="00FA1488"/>
    <w:rsid w:val="00FA75F3"/>
    <w:rsid w:val="00FB170B"/>
    <w:rsid w:val="00FC71AF"/>
    <w:rsid w:val="00FD022B"/>
    <w:rsid w:val="00FD13A0"/>
    <w:rsid w:val="00FE6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9F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unhideWhenUsed/>
    <w:rsid w:val="001D5E2D"/>
    <w:rPr>
      <w:sz w:val="20"/>
      <w:szCs w:val="20"/>
    </w:rPr>
  </w:style>
  <w:style w:type="character" w:customStyle="1" w:styleId="CommentTextChar">
    <w:name w:val="Comment Text Char"/>
    <w:basedOn w:val="DefaultParagraphFont"/>
    <w:link w:val="CommentText"/>
    <w:uiPriority w:val="99"/>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3525"/>
    <w:rPr>
      <w:color w:val="0000FF"/>
      <w:u w:val="single"/>
    </w:rPr>
  </w:style>
  <w:style w:type="paragraph" w:styleId="Revision">
    <w:name w:val="Revision"/>
    <w:hidden/>
    <w:uiPriority w:val="99"/>
    <w:semiHidden/>
    <w:rsid w:val="00F23303"/>
    <w:pPr>
      <w:spacing w:after="0"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D5E2D"/>
    <w:rPr>
      <w:sz w:val="16"/>
      <w:szCs w:val="16"/>
    </w:rPr>
  </w:style>
  <w:style w:type="paragraph" w:styleId="CommentText">
    <w:name w:val="annotation text"/>
    <w:basedOn w:val="Normal"/>
    <w:link w:val="CommentTextChar"/>
    <w:uiPriority w:val="99"/>
    <w:unhideWhenUsed/>
    <w:rsid w:val="001D5E2D"/>
    <w:rPr>
      <w:sz w:val="20"/>
      <w:szCs w:val="20"/>
    </w:rPr>
  </w:style>
  <w:style w:type="character" w:customStyle="1" w:styleId="CommentTextChar">
    <w:name w:val="Comment Text Char"/>
    <w:basedOn w:val="DefaultParagraphFont"/>
    <w:link w:val="CommentText"/>
    <w:uiPriority w:val="99"/>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83525"/>
    <w:rPr>
      <w:color w:val="0000FF"/>
      <w:u w:val="single"/>
    </w:rPr>
  </w:style>
  <w:style w:type="paragraph" w:styleId="Revision">
    <w:name w:val="Revision"/>
    <w:hidden/>
    <w:uiPriority w:val="99"/>
    <w:semiHidden/>
    <w:rsid w:val="00F23303"/>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4417">
      <w:bodyDiv w:val="1"/>
      <w:marLeft w:val="0"/>
      <w:marRight w:val="0"/>
      <w:marTop w:val="0"/>
      <w:marBottom w:val="0"/>
      <w:divBdr>
        <w:top w:val="none" w:sz="0" w:space="0" w:color="auto"/>
        <w:left w:val="none" w:sz="0" w:space="0" w:color="auto"/>
        <w:bottom w:val="none" w:sz="0" w:space="0" w:color="auto"/>
        <w:right w:val="none" w:sz="0" w:space="0" w:color="auto"/>
      </w:divBdr>
    </w:div>
    <w:div w:id="100148846">
      <w:bodyDiv w:val="1"/>
      <w:marLeft w:val="0"/>
      <w:marRight w:val="0"/>
      <w:marTop w:val="0"/>
      <w:marBottom w:val="0"/>
      <w:divBdr>
        <w:top w:val="none" w:sz="0" w:space="0" w:color="auto"/>
        <w:left w:val="none" w:sz="0" w:space="0" w:color="auto"/>
        <w:bottom w:val="none" w:sz="0" w:space="0" w:color="auto"/>
        <w:right w:val="none" w:sz="0" w:space="0" w:color="auto"/>
      </w:divBdr>
    </w:div>
    <w:div w:id="292952401">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237202276">
      <w:bodyDiv w:val="1"/>
      <w:marLeft w:val="0"/>
      <w:marRight w:val="0"/>
      <w:marTop w:val="0"/>
      <w:marBottom w:val="0"/>
      <w:divBdr>
        <w:top w:val="none" w:sz="0" w:space="0" w:color="auto"/>
        <w:left w:val="none" w:sz="0" w:space="0" w:color="auto"/>
        <w:bottom w:val="none" w:sz="0" w:space="0" w:color="auto"/>
        <w:right w:val="none" w:sz="0" w:space="0" w:color="auto"/>
      </w:divBdr>
    </w:div>
    <w:div w:id="1324429767">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2.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3.xml><?xml version="1.0" encoding="utf-8"?>
<ds:datastoreItem xmlns:ds="http://schemas.openxmlformats.org/officeDocument/2006/customXml" ds:itemID="{53B71033-75DF-4AA9-84A4-54CBD6989BF6}">
  <ds:schemaRefs>
    <ds:schemaRef ds:uri="http://purl.org/dc/dcmitype/"/>
    <ds:schemaRef ds:uri="http://purl.org/dc/elements/1.1/"/>
    <ds:schemaRef ds:uri="81daf041-c113-401c-bf82-107f5d3967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335559b-c20a-4874-978e-77d2be77e01f"/>
  </ds:schemaRefs>
</ds:datastoreItem>
</file>

<file path=customXml/itemProps4.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141862-D1C0-4428-9C89-57F6CD7F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dcterms:created xsi:type="dcterms:W3CDTF">2017-10-25T18:15:00Z</dcterms:created>
  <dcterms:modified xsi:type="dcterms:W3CDTF">2017-10-25T18:15:00Z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