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B84B6" w14:textId="77777777" w:rsidR="00455C4D" w:rsidRDefault="00455C4D"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bookmarkStart w:id="0" w:name="_GoBack"/>
      <w:bookmarkEnd w:id="0"/>
    </w:p>
    <w:p w14:paraId="75AEED5D"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ZEN Colombia Study</w:t>
      </w:r>
    </w:p>
    <w:p w14:paraId="52D51247"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532B139F"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Zika in Pregnant Women and Children in Colombia</w:t>
      </w:r>
    </w:p>
    <w:p w14:paraId="369C8ED5"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2F205394"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06331236"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704E52FE"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07D2CF04"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 xml:space="preserve">Supporting Statement: </w:t>
      </w:r>
      <w:r w:rsidR="00DA14CA">
        <w:rPr>
          <w:b/>
          <w:bCs/>
        </w:rPr>
        <w:t>Part B</w:t>
      </w:r>
    </w:p>
    <w:p w14:paraId="3D5C7FEE"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20A49F23" w14:textId="76BF900E" w:rsidR="00302BD4" w:rsidRPr="00296E32" w:rsidRDefault="00581949"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581949">
        <w:rPr>
          <w:b/>
          <w:bCs/>
        </w:rPr>
        <w:t>OMB # 0920-1190</w:t>
      </w:r>
    </w:p>
    <w:p w14:paraId="6679B4BD"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6617AB3F"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35118201"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7BB52C56" w14:textId="77777777" w:rsidR="00302BD4" w:rsidRPr="00296E32" w:rsidRDefault="00302BD4" w:rsidP="00302BD4">
      <w:pPr>
        <w:widowControl/>
        <w:tabs>
          <w:tab w:val="left" w:pos="0"/>
          <w:tab w:val="center" w:pos="4680"/>
          <w:tab w:val="left" w:pos="5040"/>
          <w:tab w:val="left" w:pos="5760"/>
          <w:tab w:val="left" w:pos="6480"/>
          <w:tab w:val="left" w:pos="7200"/>
          <w:tab w:val="left" w:pos="7920"/>
          <w:tab w:val="left" w:pos="8640"/>
          <w:tab w:val="left" w:pos="9360"/>
        </w:tabs>
        <w:rPr>
          <w:b/>
          <w:bCs/>
        </w:rPr>
      </w:pPr>
    </w:p>
    <w:p w14:paraId="7072E67C" w14:textId="58A6F6D6" w:rsidR="00302BD4" w:rsidRDefault="00C2660D"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 xml:space="preserve">June </w:t>
      </w:r>
      <w:r w:rsidR="002C2A43">
        <w:rPr>
          <w:b/>
          <w:bCs/>
          <w:lang w:val="fr-FR"/>
        </w:rPr>
        <w:t>6</w:t>
      </w:r>
      <w:r w:rsidR="00AA057B">
        <w:rPr>
          <w:b/>
          <w:bCs/>
          <w:lang w:val="fr-FR"/>
        </w:rPr>
        <w:t>, 2017</w:t>
      </w:r>
    </w:p>
    <w:p w14:paraId="4BB2D2CA" w14:textId="77777777" w:rsidR="001B579E" w:rsidRPr="00296E32" w:rsidRDefault="001B579E" w:rsidP="00302BD4">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03011E02" w14:textId="77777777" w:rsidR="007323C8" w:rsidRPr="00047685" w:rsidRDefault="007323C8" w:rsidP="007323C8">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5CE8E90C"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6E4165A6"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5DE57E8C"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4834BAC4"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29EDDF59"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259E339F"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412F2FE1"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4A4CB1C4" w14:textId="77777777" w:rsidR="005971CD"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7B4C7CAC" w14:textId="77777777" w:rsidR="00302BD4" w:rsidRDefault="00302BD4"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4057D5D5" w14:textId="77777777" w:rsidR="00302BD4" w:rsidRDefault="00302BD4"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04B33642" w14:textId="77777777" w:rsidR="00302BD4" w:rsidRPr="00047685" w:rsidRDefault="00302BD4"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6A352856"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171F95D8" w14:textId="4772FE34" w:rsidR="00967ECF" w:rsidRPr="00D35C4D" w:rsidRDefault="00B7713D"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Suzanne Gilboa</w:t>
      </w:r>
      <w:r w:rsidR="00967ECF" w:rsidRPr="00D35C4D">
        <w:rPr>
          <w:b/>
          <w:bCs/>
          <w:lang w:val="fr-FR"/>
        </w:rPr>
        <w:t>, PhD</w:t>
      </w:r>
    </w:p>
    <w:p w14:paraId="31C42CF4" w14:textId="218ED96C" w:rsidR="00967ECF" w:rsidRPr="00D35C4D"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Telephone: 404-498-</w:t>
      </w:r>
      <w:r w:rsidR="00B7713D">
        <w:rPr>
          <w:b/>
          <w:bCs/>
          <w:lang w:val="fr-FR"/>
        </w:rPr>
        <w:t>4425</w:t>
      </w:r>
    </w:p>
    <w:p w14:paraId="4DFD49EE" w14:textId="77777777" w:rsidR="00967ECF" w:rsidRPr="00D35C4D"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sidRPr="00D35C4D">
        <w:rPr>
          <w:b/>
          <w:bCs/>
          <w:lang w:val="fr-FR"/>
        </w:rPr>
        <w:t>Fax: 404-498-3550</w:t>
      </w:r>
    </w:p>
    <w:p w14:paraId="090A1FA2" w14:textId="0037D77C" w:rsidR="00967ECF"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5C4D">
        <w:rPr>
          <w:b/>
          <w:bCs/>
        </w:rPr>
        <w:t xml:space="preserve">E-mail: </w:t>
      </w:r>
      <w:r w:rsidR="00B7713D">
        <w:rPr>
          <w:b/>
          <w:bCs/>
        </w:rPr>
        <w:t>suz0</w:t>
      </w:r>
      <w:r w:rsidRPr="00D35C4D">
        <w:rPr>
          <w:b/>
          <w:bCs/>
        </w:rPr>
        <w:t>@cdc.gov</w:t>
      </w:r>
    </w:p>
    <w:p w14:paraId="646C3A1A" w14:textId="77777777" w:rsidR="00967ECF" w:rsidRPr="00D340C7"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Pregnancy and Birth Defects Task Force</w:t>
      </w:r>
    </w:p>
    <w:p w14:paraId="26FDF6C0" w14:textId="77777777" w:rsidR="00967ECF"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D340C7">
        <w:rPr>
          <w:b/>
          <w:bCs/>
        </w:rPr>
        <w:t>CDC Zika Virus Response Team</w:t>
      </w:r>
    </w:p>
    <w:p w14:paraId="77EFEE86" w14:textId="77777777" w:rsidR="00967ECF" w:rsidRPr="00296E32"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Centers for Disease Control and Prevention</w:t>
      </w:r>
    </w:p>
    <w:p w14:paraId="4A9E9586" w14:textId="77777777" w:rsidR="00967ECF" w:rsidRPr="00296E32" w:rsidRDefault="00967ECF" w:rsidP="00967ECF">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296E32">
        <w:rPr>
          <w:b/>
          <w:bCs/>
        </w:rPr>
        <w:t>Atlanta, Georgia 30341</w:t>
      </w:r>
    </w:p>
    <w:p w14:paraId="58DDD765"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bCs/>
        </w:rPr>
      </w:pPr>
    </w:p>
    <w:p w14:paraId="519D3294" w14:textId="77777777" w:rsidR="005971CD"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p>
    <w:p w14:paraId="16AA3F65" w14:textId="77777777"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C4EC130" w14:textId="77777777"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Table of Contents</w:t>
      </w:r>
    </w:p>
    <w:p w14:paraId="14560A75" w14:textId="77777777" w:rsidR="005971CD"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tbl>
      <w:tblPr>
        <w:tblStyle w:val="TableGrid"/>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13"/>
      </w:tblGrid>
      <w:tr w:rsidR="005971CD" w:rsidRPr="00047685" w14:paraId="7133CC48" w14:textId="77777777" w:rsidTr="00AA1F38">
        <w:trPr>
          <w:trHeight w:val="555"/>
        </w:trPr>
        <w:tc>
          <w:tcPr>
            <w:tcW w:w="9913" w:type="dxa"/>
          </w:tcPr>
          <w:p w14:paraId="43DBF0F0"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rPr>
            </w:pPr>
            <w:r w:rsidRPr="00047685">
              <w:rPr>
                <w:b/>
              </w:rPr>
              <w:t>B. Collections of Information Employing Statistical Methods</w:t>
            </w:r>
          </w:p>
          <w:p w14:paraId="67B6F722" w14:textId="77777777" w:rsidR="005971CD" w:rsidRPr="00047685" w:rsidRDefault="005971CD" w:rsidP="00CB7F12">
            <w:pPr>
              <w:widowControl/>
              <w:tabs>
                <w:tab w:val="left" w:pos="0"/>
                <w:tab w:val="center" w:pos="4680"/>
                <w:tab w:val="left" w:pos="5040"/>
                <w:tab w:val="left" w:pos="5760"/>
                <w:tab w:val="left" w:pos="6480"/>
                <w:tab w:val="left" w:pos="7200"/>
                <w:tab w:val="left" w:pos="7920"/>
                <w:tab w:val="left" w:pos="8640"/>
                <w:tab w:val="left" w:pos="9360"/>
              </w:tabs>
              <w:rPr>
                <w:b/>
              </w:rPr>
            </w:pPr>
          </w:p>
        </w:tc>
      </w:tr>
      <w:tr w:rsidR="005971CD" w:rsidRPr="00047685" w14:paraId="4EF95E0C" w14:textId="77777777" w:rsidTr="00AA1F38">
        <w:trPr>
          <w:trHeight w:val="270"/>
        </w:trPr>
        <w:tc>
          <w:tcPr>
            <w:tcW w:w="9913" w:type="dxa"/>
          </w:tcPr>
          <w:p w14:paraId="6B30ECCD"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Respondent Universe and Sampling Methods</w:t>
            </w:r>
          </w:p>
        </w:tc>
      </w:tr>
      <w:tr w:rsidR="005971CD" w:rsidRPr="00047685" w14:paraId="59D9D698" w14:textId="77777777" w:rsidTr="00AA1F38">
        <w:trPr>
          <w:trHeight w:val="285"/>
        </w:trPr>
        <w:tc>
          <w:tcPr>
            <w:tcW w:w="9913" w:type="dxa"/>
          </w:tcPr>
          <w:p w14:paraId="4F99C9A6"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Procedures for the Collection of Information</w:t>
            </w:r>
          </w:p>
        </w:tc>
      </w:tr>
      <w:tr w:rsidR="005971CD" w:rsidRPr="00047685" w14:paraId="4D9C69B4" w14:textId="77777777" w:rsidTr="00AA1F38">
        <w:trPr>
          <w:trHeight w:val="270"/>
        </w:trPr>
        <w:tc>
          <w:tcPr>
            <w:tcW w:w="9913" w:type="dxa"/>
          </w:tcPr>
          <w:p w14:paraId="150A77A3"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Methods to Maximize Response Rates and Deal with Non</w:t>
            </w:r>
            <w:r>
              <w:t>-</w:t>
            </w:r>
            <w:r w:rsidRPr="00047685">
              <w:t>response</w:t>
            </w:r>
          </w:p>
        </w:tc>
      </w:tr>
      <w:tr w:rsidR="005971CD" w:rsidRPr="00047685" w14:paraId="20C89167" w14:textId="77777777" w:rsidTr="00AA1F38">
        <w:trPr>
          <w:trHeight w:val="285"/>
        </w:trPr>
        <w:tc>
          <w:tcPr>
            <w:tcW w:w="9913" w:type="dxa"/>
          </w:tcPr>
          <w:p w14:paraId="048FEECB"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rsidRPr="00047685">
              <w:t>Tests of Procedures or Methods to be Undertaken</w:t>
            </w:r>
          </w:p>
        </w:tc>
      </w:tr>
      <w:tr w:rsidR="005971CD" w:rsidRPr="00047685" w14:paraId="23FCB335" w14:textId="77777777" w:rsidTr="00AA1F38">
        <w:trPr>
          <w:trHeight w:val="270"/>
        </w:trPr>
        <w:tc>
          <w:tcPr>
            <w:tcW w:w="9913" w:type="dxa"/>
          </w:tcPr>
          <w:p w14:paraId="497EE3F9" w14:textId="77777777" w:rsidR="005971CD" w:rsidRPr="00047685" w:rsidRDefault="005971CD" w:rsidP="00CB7F12">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left="360"/>
            </w:pPr>
            <w:r w:rsidRPr="00047685">
              <w:t>Individuals Consulted on Statistical Aspects and Individuals Collecting and/or Analyzing Data</w:t>
            </w:r>
          </w:p>
        </w:tc>
      </w:tr>
    </w:tbl>
    <w:p w14:paraId="3073B360" w14:textId="77777777" w:rsidR="00346141" w:rsidRDefault="005971CD"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r w:rsidR="00346141" w:rsidRPr="00330C1D">
        <w:rPr>
          <w:b/>
          <w:bCs/>
        </w:rPr>
        <w:lastRenderedPageBreak/>
        <w:t>B.  Collections of Information Employing Statistical Methods</w:t>
      </w:r>
    </w:p>
    <w:p w14:paraId="61B5296A" w14:textId="77777777"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E02A28B" w14:textId="77777777" w:rsidR="00346141"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sidR="00346141" w:rsidRPr="00330C1D">
        <w:rPr>
          <w:b/>
          <w:bCs/>
        </w:rPr>
        <w:t>1. Respondent Universe and Sampling Methods</w:t>
      </w:r>
    </w:p>
    <w:p w14:paraId="4622A2EF" w14:textId="77777777" w:rsidR="00CB7F12"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7460BD" w14:textId="50A45939" w:rsidR="00661998" w:rsidRPr="007A63FF" w:rsidRDefault="00B7713D" w:rsidP="00661998">
      <w:r>
        <w:t>A</w:t>
      </w:r>
      <w:r w:rsidR="00661998" w:rsidRPr="00931158">
        <w:t xml:space="preserve"> causal link</w:t>
      </w:r>
      <w:r>
        <w:t xml:space="preserve"> has been</w:t>
      </w:r>
      <w:r w:rsidR="00661998" w:rsidRPr="00931158">
        <w:t xml:space="preserve"> established between Zika virus (ZIKV) infection in pregnancy and microcephaly</w:t>
      </w:r>
      <w:r>
        <w:t xml:space="preserve"> and other severe fetal brain defects. CDC surveillance and research efforts are underway in the United States (U.S.) (including territories, particularly Puerto Rico), Brazil, and Colombia to understand the range of other adverse pregnancy and </w:t>
      </w:r>
      <w:r w:rsidR="005513FF">
        <w:t>child</w:t>
      </w:r>
      <w:r>
        <w:t xml:space="preserve"> outcomes associated with Zika infection during pregnancy. However, there are key knowledge gaps that cannot be addressed using surveillance data or retrospective data</w:t>
      </w:r>
      <w:r w:rsidR="00964E21">
        <w:t>. T</w:t>
      </w:r>
      <w:r>
        <w:t>hus</w:t>
      </w:r>
      <w:r w:rsidR="00964E21">
        <w:t>,</w:t>
      </w:r>
      <w:r w:rsidR="00661998" w:rsidRPr="00931158">
        <w:t xml:space="preserve"> there is an urgent need to </w:t>
      </w:r>
      <w:r>
        <w:t>prospectively study pregnant women in areas of high Zika virus transmission in order to contribute to understanding of</w:t>
      </w:r>
      <w:r w:rsidR="00964E21">
        <w:t xml:space="preserve"> risk factors for ZIKV infection in pregnant women and their </w:t>
      </w:r>
      <w:r w:rsidR="005513FF">
        <w:t>children</w:t>
      </w:r>
      <w:r w:rsidR="00964E21">
        <w:t>, to estimate the absolute and relative risk for adverse maternal, fetal, and</w:t>
      </w:r>
      <w:r w:rsidR="00B07130">
        <w:t xml:space="preserve"> child </w:t>
      </w:r>
      <w:r w:rsidR="00964E21">
        <w:t xml:space="preserve">outcomes associated with ZIKV infection, and to identify modifiers of the risk for adverse outcomes among pregnant women and their </w:t>
      </w:r>
      <w:r w:rsidR="00B07130">
        <w:t xml:space="preserve">children </w:t>
      </w:r>
      <w:r w:rsidR="00964E21">
        <w:t xml:space="preserve">following ZIKV infection. </w:t>
      </w:r>
      <w:r w:rsidR="00661998" w:rsidRPr="00931158">
        <w:t xml:space="preserve">Colombia’s Instituto Nacional de Salud (INS) and the U.S. Centers for Disease Control and Prevention (CDC) will </w:t>
      </w:r>
      <w:r w:rsidR="00661998">
        <w:t>conduct a prospective cohort study designed to answer these questions, many of which cannot be addressed with data from surveillance systems or retrospective studies</w:t>
      </w:r>
      <w:r w:rsidR="00964E21">
        <w:t xml:space="preserve"> because of the need to identify the timing of asymptomatic infections and to enumerate the underlying base population</w:t>
      </w:r>
      <w:r w:rsidR="00661998" w:rsidRPr="007A63FF">
        <w:t xml:space="preserve">. </w:t>
      </w:r>
    </w:p>
    <w:p w14:paraId="2839C322" w14:textId="77777777" w:rsidR="00931158" w:rsidRDefault="00931158" w:rsidP="00931158"/>
    <w:p w14:paraId="4950C153" w14:textId="4BFFCEFA" w:rsidR="00E5751A" w:rsidRPr="00E5751A" w:rsidRDefault="00E5751A" w:rsidP="00E5751A">
      <w:pPr>
        <w:pStyle w:val="NoSpacing"/>
        <w:rPr>
          <w:rFonts w:ascii="Times New Roman" w:hAnsi="Times New Roman" w:cs="Times New Roman"/>
          <w:sz w:val="24"/>
          <w:szCs w:val="24"/>
        </w:rPr>
      </w:pPr>
      <w:r w:rsidRPr="00E5751A">
        <w:rPr>
          <w:rFonts w:ascii="Times New Roman" w:hAnsi="Times New Roman" w:cs="Times New Roman"/>
          <w:sz w:val="24"/>
          <w:szCs w:val="24"/>
        </w:rPr>
        <w:t xml:space="preserve">The target for </w:t>
      </w:r>
      <w:r w:rsidR="0082083A">
        <w:rPr>
          <w:rFonts w:ascii="Times New Roman" w:hAnsi="Times New Roman" w:cs="Times New Roman"/>
          <w:sz w:val="24"/>
          <w:szCs w:val="24"/>
        </w:rPr>
        <w:t xml:space="preserve">the ZEN Colombia study </w:t>
      </w:r>
      <w:r w:rsidRPr="00E5751A">
        <w:rPr>
          <w:rFonts w:ascii="Times New Roman" w:hAnsi="Times New Roman" w:cs="Times New Roman"/>
          <w:sz w:val="24"/>
          <w:szCs w:val="24"/>
        </w:rPr>
        <w:t>enrollme</w:t>
      </w:r>
      <w:r w:rsidR="00070270">
        <w:rPr>
          <w:rFonts w:ascii="Times New Roman" w:hAnsi="Times New Roman" w:cs="Times New Roman"/>
          <w:sz w:val="24"/>
          <w:szCs w:val="24"/>
        </w:rPr>
        <w:t xml:space="preserve">nt is 5,000 pregnant women, </w:t>
      </w:r>
      <w:r w:rsidR="003D07DB">
        <w:rPr>
          <w:rFonts w:ascii="Times New Roman" w:hAnsi="Times New Roman" w:cs="Times New Roman"/>
          <w:sz w:val="24"/>
          <w:szCs w:val="24"/>
        </w:rPr>
        <w:t xml:space="preserve">up to </w:t>
      </w:r>
      <w:r w:rsidR="00070270">
        <w:rPr>
          <w:rFonts w:ascii="Times New Roman" w:hAnsi="Times New Roman" w:cs="Times New Roman"/>
          <w:sz w:val="24"/>
          <w:szCs w:val="24"/>
        </w:rPr>
        <w:t>1,25</w:t>
      </w:r>
      <w:r w:rsidRPr="00E5751A">
        <w:rPr>
          <w:rFonts w:ascii="Times New Roman" w:hAnsi="Times New Roman" w:cs="Times New Roman"/>
          <w:sz w:val="24"/>
          <w:szCs w:val="24"/>
        </w:rPr>
        <w:t>0 male partners, 4,500 newborns</w:t>
      </w:r>
      <w:r w:rsidR="0089608C">
        <w:rPr>
          <w:rFonts w:ascii="Times New Roman" w:hAnsi="Times New Roman" w:cs="Times New Roman"/>
          <w:sz w:val="24"/>
          <w:szCs w:val="24"/>
        </w:rPr>
        <w:t xml:space="preserve"> from birth to 6 months</w:t>
      </w:r>
      <w:r w:rsidR="009B435E">
        <w:rPr>
          <w:rFonts w:ascii="Times New Roman" w:hAnsi="Times New Roman" w:cs="Times New Roman"/>
          <w:sz w:val="24"/>
          <w:szCs w:val="24"/>
        </w:rPr>
        <w:t>, and a subset of 10</w:t>
      </w:r>
      <w:r w:rsidR="0089608C">
        <w:rPr>
          <w:rFonts w:ascii="Times New Roman" w:hAnsi="Times New Roman" w:cs="Times New Roman"/>
          <w:sz w:val="24"/>
          <w:szCs w:val="24"/>
        </w:rPr>
        <w:t>00 infants from 6 months to 5 years of age</w:t>
      </w:r>
      <w:r w:rsidRPr="00E5751A">
        <w:rPr>
          <w:rFonts w:ascii="Times New Roman" w:hAnsi="Times New Roman" w:cs="Times New Roman"/>
          <w:sz w:val="24"/>
          <w:szCs w:val="24"/>
        </w:rPr>
        <w:t>. This assum</w:t>
      </w:r>
      <w:r w:rsidR="00070270">
        <w:rPr>
          <w:rFonts w:ascii="Times New Roman" w:hAnsi="Times New Roman" w:cs="Times New Roman"/>
          <w:sz w:val="24"/>
          <w:szCs w:val="24"/>
        </w:rPr>
        <w:t>es a 25</w:t>
      </w:r>
      <w:r w:rsidRPr="00E5751A">
        <w:rPr>
          <w:rFonts w:ascii="Times New Roman" w:hAnsi="Times New Roman" w:cs="Times New Roman"/>
          <w:sz w:val="24"/>
          <w:szCs w:val="24"/>
        </w:rPr>
        <w:t>% participation rate among male partners and that 90% of infants are live</w:t>
      </w:r>
      <w:r w:rsidR="00691C5D">
        <w:rPr>
          <w:rFonts w:ascii="Times New Roman" w:hAnsi="Times New Roman" w:cs="Times New Roman"/>
          <w:sz w:val="24"/>
          <w:szCs w:val="24"/>
        </w:rPr>
        <w:t xml:space="preserve"> </w:t>
      </w:r>
      <w:r w:rsidRPr="00E5751A">
        <w:rPr>
          <w:rFonts w:ascii="Times New Roman" w:hAnsi="Times New Roman" w:cs="Times New Roman"/>
          <w:sz w:val="24"/>
          <w:szCs w:val="24"/>
        </w:rPr>
        <w:t>born.</w:t>
      </w:r>
      <w:r w:rsidR="001B5DA8">
        <w:rPr>
          <w:rFonts w:ascii="Times New Roman" w:hAnsi="Times New Roman" w:cs="Times New Roman"/>
          <w:sz w:val="24"/>
          <w:szCs w:val="24"/>
        </w:rPr>
        <w:t xml:space="preserve"> Women will be enrolled from multiple sites across the country </w:t>
      </w:r>
      <w:r w:rsidR="00964E21">
        <w:rPr>
          <w:rFonts w:ascii="Times New Roman" w:hAnsi="Times New Roman" w:cs="Times New Roman"/>
          <w:sz w:val="24"/>
          <w:szCs w:val="24"/>
        </w:rPr>
        <w:t>including</w:t>
      </w:r>
      <w:r w:rsidR="001B5DA8">
        <w:rPr>
          <w:rFonts w:ascii="Times New Roman" w:hAnsi="Times New Roman" w:cs="Times New Roman"/>
          <w:sz w:val="24"/>
          <w:szCs w:val="24"/>
        </w:rPr>
        <w:t xml:space="preserve"> clinics in </w:t>
      </w:r>
      <w:r w:rsidR="001B5DA8" w:rsidRPr="00EE2D12">
        <w:rPr>
          <w:rFonts w:ascii="Times New Roman" w:hAnsi="Times New Roman" w:cs="Times New Roman"/>
          <w:sz w:val="24"/>
          <w:szCs w:val="24"/>
        </w:rPr>
        <w:t>Barranquilla</w:t>
      </w:r>
      <w:r w:rsidR="00045AA0">
        <w:rPr>
          <w:rFonts w:ascii="Times New Roman" w:hAnsi="Times New Roman" w:cs="Times New Roman"/>
          <w:sz w:val="24"/>
          <w:szCs w:val="24"/>
        </w:rPr>
        <w:t xml:space="preserve">, </w:t>
      </w:r>
      <w:r w:rsidR="001B5DA8" w:rsidRPr="00EE2D12">
        <w:rPr>
          <w:rFonts w:ascii="Times New Roman" w:hAnsi="Times New Roman" w:cs="Times New Roman"/>
          <w:sz w:val="24"/>
          <w:szCs w:val="24"/>
        </w:rPr>
        <w:t xml:space="preserve">Bucaramanga, </w:t>
      </w:r>
      <w:r w:rsidR="00045AA0">
        <w:rPr>
          <w:rFonts w:ascii="Times New Roman" w:hAnsi="Times New Roman" w:cs="Times New Roman"/>
          <w:sz w:val="24"/>
          <w:szCs w:val="24"/>
        </w:rPr>
        <w:t xml:space="preserve">and </w:t>
      </w:r>
      <w:r w:rsidR="00F758E2">
        <w:rPr>
          <w:rFonts w:ascii="Times New Roman" w:hAnsi="Times New Roman" w:cs="Times New Roman"/>
          <w:sz w:val="24"/>
          <w:szCs w:val="24"/>
        </w:rPr>
        <w:t>Tuluá</w:t>
      </w:r>
      <w:r w:rsidR="007A4939">
        <w:rPr>
          <w:rFonts w:ascii="Times New Roman" w:hAnsi="Times New Roman" w:cs="Times New Roman"/>
          <w:sz w:val="24"/>
          <w:szCs w:val="24"/>
        </w:rPr>
        <w:t>,</w:t>
      </w:r>
      <w:r w:rsidR="00400B5B">
        <w:rPr>
          <w:rFonts w:ascii="Times New Roman" w:hAnsi="Times New Roman" w:cs="Times New Roman"/>
          <w:sz w:val="24"/>
          <w:szCs w:val="24"/>
        </w:rPr>
        <w:t xml:space="preserve"> and possibly</w:t>
      </w:r>
      <w:r w:rsidR="007A4939">
        <w:rPr>
          <w:rFonts w:ascii="Times New Roman" w:hAnsi="Times New Roman" w:cs="Times New Roman"/>
          <w:sz w:val="24"/>
          <w:szCs w:val="24"/>
        </w:rPr>
        <w:t xml:space="preserve"> </w:t>
      </w:r>
      <w:r w:rsidR="001B5DA8" w:rsidRPr="00EE2D12">
        <w:rPr>
          <w:rFonts w:ascii="Times New Roman" w:hAnsi="Times New Roman" w:cs="Times New Roman"/>
          <w:sz w:val="24"/>
          <w:szCs w:val="24"/>
        </w:rPr>
        <w:t>Ibague, a</w:t>
      </w:r>
      <w:r w:rsidR="001B5DA8">
        <w:rPr>
          <w:rFonts w:ascii="Times New Roman" w:hAnsi="Times New Roman" w:cs="Times New Roman"/>
          <w:sz w:val="24"/>
          <w:szCs w:val="24"/>
        </w:rPr>
        <w:t>nd/or Giraldo</w:t>
      </w:r>
      <w:r w:rsidR="00964E21">
        <w:rPr>
          <w:rFonts w:ascii="Times New Roman" w:hAnsi="Times New Roman" w:cs="Times New Roman"/>
          <w:sz w:val="24"/>
          <w:szCs w:val="24"/>
        </w:rPr>
        <w:t>. T</w:t>
      </w:r>
      <w:r w:rsidR="001B5DA8">
        <w:rPr>
          <w:rFonts w:ascii="Times New Roman" w:hAnsi="Times New Roman" w:cs="Times New Roman"/>
          <w:sz w:val="24"/>
          <w:szCs w:val="24"/>
        </w:rPr>
        <w:t xml:space="preserve">he final decision of specific clinics to be included in the study will be made by INS. </w:t>
      </w:r>
      <w:r w:rsidR="00964E21">
        <w:rPr>
          <w:rFonts w:ascii="Times New Roman" w:hAnsi="Times New Roman" w:cs="Times New Roman"/>
          <w:sz w:val="24"/>
          <w:szCs w:val="24"/>
        </w:rPr>
        <w:t xml:space="preserve"> </w:t>
      </w:r>
      <w:r w:rsidR="001B5DA8">
        <w:rPr>
          <w:rFonts w:ascii="Times New Roman" w:hAnsi="Times New Roman" w:cs="Times New Roman"/>
          <w:sz w:val="24"/>
          <w:szCs w:val="24"/>
        </w:rPr>
        <w:t>The use of m</w:t>
      </w:r>
      <w:r w:rsidR="001B5DA8" w:rsidRPr="00EE2D12">
        <w:rPr>
          <w:rFonts w:ascii="Times New Roman" w:hAnsi="Times New Roman" w:cs="Times New Roman"/>
          <w:sz w:val="24"/>
          <w:szCs w:val="24"/>
        </w:rPr>
        <w:t xml:space="preserve">ultiple sites will increase </w:t>
      </w:r>
      <w:r w:rsidR="001B5DA8">
        <w:rPr>
          <w:rFonts w:ascii="Times New Roman" w:hAnsi="Times New Roman" w:cs="Times New Roman"/>
          <w:sz w:val="24"/>
          <w:szCs w:val="24"/>
        </w:rPr>
        <w:t xml:space="preserve">the study’s </w:t>
      </w:r>
      <w:r w:rsidR="001B5DA8" w:rsidRPr="00EE2D12">
        <w:rPr>
          <w:rFonts w:ascii="Times New Roman" w:hAnsi="Times New Roman" w:cs="Times New Roman"/>
          <w:sz w:val="24"/>
          <w:szCs w:val="24"/>
        </w:rPr>
        <w:t>generalizability</w:t>
      </w:r>
      <w:r w:rsidR="001B5DA8">
        <w:rPr>
          <w:rFonts w:ascii="Times New Roman" w:hAnsi="Times New Roman" w:cs="Times New Roman"/>
          <w:sz w:val="24"/>
          <w:szCs w:val="24"/>
        </w:rPr>
        <w:t>.</w:t>
      </w:r>
    </w:p>
    <w:p w14:paraId="44C37F4F" w14:textId="77777777" w:rsidR="00941169" w:rsidRDefault="00941169" w:rsidP="00AC78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E92818" w14:textId="610D7B1D" w:rsidR="00941169" w:rsidRDefault="00941169" w:rsidP="00941169">
      <w:pPr>
        <w:pStyle w:val="NoSpacing"/>
        <w:rPr>
          <w:rFonts w:ascii="Times New Roman" w:hAnsi="Times New Roman" w:cs="Times New Roman"/>
          <w:sz w:val="24"/>
          <w:szCs w:val="24"/>
        </w:rPr>
      </w:pPr>
      <w:r w:rsidRPr="00941169">
        <w:rPr>
          <w:rFonts w:ascii="Times New Roman" w:hAnsi="Times New Roman" w:cs="Times New Roman"/>
          <w:sz w:val="24"/>
          <w:szCs w:val="24"/>
        </w:rPr>
        <w:t xml:space="preserve">Participating pregnant women will be screened for eligibility and enrolled until a sample size of 5,000 is achieved. </w:t>
      </w:r>
      <w:r w:rsidR="00345713">
        <w:rPr>
          <w:rFonts w:ascii="Times New Roman" w:hAnsi="Times New Roman" w:cs="Times New Roman"/>
          <w:sz w:val="24"/>
          <w:szCs w:val="24"/>
        </w:rPr>
        <w:t xml:space="preserve">As shown in Figure B1, </w:t>
      </w:r>
      <w:r w:rsidR="000075C0">
        <w:rPr>
          <w:rFonts w:ascii="Times New Roman" w:hAnsi="Times New Roman" w:cs="Times New Roman"/>
          <w:sz w:val="24"/>
          <w:szCs w:val="24"/>
        </w:rPr>
        <w:t xml:space="preserve">our planned </w:t>
      </w:r>
      <w:r w:rsidRPr="00941169">
        <w:rPr>
          <w:rFonts w:ascii="Times New Roman" w:hAnsi="Times New Roman" w:cs="Times New Roman"/>
          <w:sz w:val="24"/>
          <w:szCs w:val="24"/>
        </w:rPr>
        <w:t xml:space="preserve">sample size of 5,000 corresponds to 80% power to detect a </w:t>
      </w:r>
      <w:r w:rsidR="00CB1D55">
        <w:rPr>
          <w:rFonts w:ascii="Times New Roman" w:hAnsi="Times New Roman" w:cs="Times New Roman"/>
          <w:sz w:val="24"/>
          <w:szCs w:val="24"/>
        </w:rPr>
        <w:t>risk</w:t>
      </w:r>
      <w:r w:rsidR="00CB1D55" w:rsidRPr="00941169">
        <w:rPr>
          <w:rFonts w:ascii="Times New Roman" w:hAnsi="Times New Roman" w:cs="Times New Roman"/>
          <w:sz w:val="24"/>
          <w:szCs w:val="24"/>
        </w:rPr>
        <w:t xml:space="preserve"> </w:t>
      </w:r>
      <w:r w:rsidRPr="00941169">
        <w:rPr>
          <w:rFonts w:ascii="Times New Roman" w:hAnsi="Times New Roman" w:cs="Times New Roman"/>
          <w:sz w:val="24"/>
          <w:szCs w:val="24"/>
        </w:rPr>
        <w:t>ratio of 50 for the association between ZIKV infection in pregnancy and microcephaly, assuming an infection rate of 10% in the cohort and a baseline risk of microcephaly of 2 per 10,000 births.</w:t>
      </w:r>
      <w:r w:rsidR="00031B65">
        <w:rPr>
          <w:rFonts w:ascii="Times New Roman" w:hAnsi="Times New Roman" w:cs="Times New Roman"/>
          <w:sz w:val="24"/>
          <w:szCs w:val="24"/>
        </w:rPr>
        <w:t xml:space="preserve"> </w:t>
      </w:r>
      <w:r w:rsidR="00345713">
        <w:rPr>
          <w:rFonts w:ascii="Times New Roman" w:hAnsi="Times New Roman" w:cs="Times New Roman"/>
          <w:sz w:val="24"/>
          <w:szCs w:val="24"/>
        </w:rPr>
        <w:t>In addition to</w:t>
      </w:r>
      <w:r w:rsidR="000075C0">
        <w:rPr>
          <w:rFonts w:ascii="Times New Roman" w:hAnsi="Times New Roman" w:cs="Times New Roman"/>
          <w:sz w:val="24"/>
          <w:szCs w:val="24"/>
        </w:rPr>
        <w:t xml:space="preserve"> allowing our study to</w:t>
      </w:r>
      <w:r w:rsidR="00345713">
        <w:rPr>
          <w:rFonts w:ascii="Times New Roman" w:hAnsi="Times New Roman" w:cs="Times New Roman"/>
          <w:sz w:val="24"/>
          <w:szCs w:val="24"/>
        </w:rPr>
        <w:t xml:space="preserve"> </w:t>
      </w:r>
      <w:r w:rsidR="00CB1D55">
        <w:rPr>
          <w:rFonts w:ascii="Times New Roman" w:hAnsi="Times New Roman" w:cs="Times New Roman"/>
          <w:sz w:val="24"/>
          <w:szCs w:val="24"/>
        </w:rPr>
        <w:t>confirm</w:t>
      </w:r>
      <w:r w:rsidR="00345713">
        <w:rPr>
          <w:rFonts w:ascii="Times New Roman" w:hAnsi="Times New Roman" w:cs="Times New Roman"/>
          <w:sz w:val="24"/>
          <w:szCs w:val="24"/>
        </w:rPr>
        <w:t xml:space="preserve"> the</w:t>
      </w:r>
      <w:r w:rsidR="00CB1D55">
        <w:rPr>
          <w:rFonts w:ascii="Times New Roman" w:hAnsi="Times New Roman" w:cs="Times New Roman"/>
          <w:sz w:val="24"/>
          <w:szCs w:val="24"/>
        </w:rPr>
        <w:t xml:space="preserve"> magnitude of</w:t>
      </w:r>
      <w:r w:rsidR="00345713">
        <w:rPr>
          <w:rFonts w:ascii="Times New Roman" w:hAnsi="Times New Roman" w:cs="Times New Roman"/>
          <w:sz w:val="24"/>
          <w:szCs w:val="24"/>
        </w:rPr>
        <w:t xml:space="preserve"> association </w:t>
      </w:r>
      <w:r w:rsidR="00E66FF8">
        <w:rPr>
          <w:rFonts w:ascii="Times New Roman" w:hAnsi="Times New Roman" w:cs="Times New Roman"/>
          <w:sz w:val="24"/>
          <w:szCs w:val="24"/>
        </w:rPr>
        <w:t xml:space="preserve">with </w:t>
      </w:r>
      <w:r w:rsidR="00345713">
        <w:rPr>
          <w:rFonts w:ascii="Times New Roman" w:hAnsi="Times New Roman" w:cs="Times New Roman"/>
          <w:sz w:val="24"/>
          <w:szCs w:val="24"/>
        </w:rPr>
        <w:t>microcephaly seen in other studies, t</w:t>
      </w:r>
      <w:r w:rsidR="00031B65">
        <w:rPr>
          <w:rFonts w:ascii="Times New Roman" w:hAnsi="Times New Roman" w:cs="Times New Roman"/>
          <w:sz w:val="24"/>
          <w:szCs w:val="24"/>
        </w:rPr>
        <w:t xml:space="preserve">his sample size will also allow us to </w:t>
      </w:r>
      <w:r w:rsidR="00E66FF8">
        <w:rPr>
          <w:rFonts w:ascii="Times New Roman" w:hAnsi="Times New Roman" w:cs="Times New Roman"/>
          <w:sz w:val="24"/>
          <w:szCs w:val="24"/>
        </w:rPr>
        <w:t>assess</w:t>
      </w:r>
      <w:r w:rsidR="00031B65">
        <w:rPr>
          <w:rFonts w:ascii="Times New Roman" w:hAnsi="Times New Roman" w:cs="Times New Roman"/>
          <w:sz w:val="24"/>
          <w:szCs w:val="24"/>
        </w:rPr>
        <w:t xml:space="preserve"> a vari</w:t>
      </w:r>
      <w:r w:rsidR="00345713">
        <w:rPr>
          <w:rFonts w:ascii="Times New Roman" w:hAnsi="Times New Roman" w:cs="Times New Roman"/>
          <w:sz w:val="24"/>
          <w:szCs w:val="24"/>
        </w:rPr>
        <w:t>ety of other potential outcome</w:t>
      </w:r>
      <w:r w:rsidR="00345713" w:rsidRPr="003F10A5">
        <w:rPr>
          <w:rFonts w:ascii="Times New Roman" w:hAnsi="Times New Roman" w:cs="Times New Roman"/>
          <w:sz w:val="24"/>
          <w:szCs w:val="24"/>
        </w:rPr>
        <w:t>s</w:t>
      </w:r>
      <w:r w:rsidR="00031B65" w:rsidRPr="003F10A5">
        <w:rPr>
          <w:rFonts w:ascii="Times New Roman" w:hAnsi="Times New Roman" w:cs="Times New Roman"/>
          <w:sz w:val="24"/>
          <w:szCs w:val="24"/>
        </w:rPr>
        <w:t xml:space="preserve">. </w:t>
      </w:r>
      <w:r w:rsidR="00CB1D55" w:rsidRPr="00915981">
        <w:rPr>
          <w:rFonts w:ascii="Times New Roman" w:hAnsi="Times New Roman" w:cs="Times New Roman"/>
          <w:sz w:val="24"/>
          <w:szCs w:val="24"/>
        </w:rPr>
        <w:t>Figure B1 displays the</w:t>
      </w:r>
      <w:r w:rsidR="003D51DE">
        <w:rPr>
          <w:rFonts w:ascii="Times New Roman" w:hAnsi="Times New Roman" w:cs="Times New Roman"/>
          <w:sz w:val="24"/>
          <w:szCs w:val="24"/>
        </w:rPr>
        <w:t xml:space="preserve"> power (y-axis) over a</w:t>
      </w:r>
      <w:r w:rsidR="00CB1D55" w:rsidRPr="00915981">
        <w:rPr>
          <w:rFonts w:ascii="Times New Roman" w:hAnsi="Times New Roman" w:cs="Times New Roman"/>
          <w:sz w:val="24"/>
          <w:szCs w:val="24"/>
        </w:rPr>
        <w:t xml:space="preserve"> range of minimum detectable risk ratios</w:t>
      </w:r>
      <w:r w:rsidR="003D51DE">
        <w:rPr>
          <w:rFonts w:ascii="Times New Roman" w:hAnsi="Times New Roman" w:cs="Times New Roman"/>
          <w:sz w:val="24"/>
          <w:szCs w:val="24"/>
        </w:rPr>
        <w:t xml:space="preserve"> (x-axis)</w:t>
      </w:r>
      <w:r w:rsidR="00CB1D55" w:rsidRPr="00915981">
        <w:rPr>
          <w:rFonts w:ascii="Times New Roman" w:hAnsi="Times New Roman" w:cs="Times New Roman"/>
          <w:sz w:val="24"/>
          <w:szCs w:val="24"/>
        </w:rPr>
        <w:t xml:space="preserve"> for</w:t>
      </w:r>
      <w:r w:rsidR="003D51DE">
        <w:rPr>
          <w:rFonts w:ascii="Times New Roman" w:hAnsi="Times New Roman" w:cs="Times New Roman"/>
          <w:sz w:val="24"/>
          <w:szCs w:val="24"/>
        </w:rPr>
        <w:t xml:space="preserve"> scenarios defined by the background prevalence of the outcome and the prevalence of Zika virus infection among our study population. Specifically, the outcome of preterm birth (</w:t>
      </w:r>
      <w:r w:rsidR="00031B65" w:rsidRPr="003F10A5">
        <w:rPr>
          <w:rFonts w:ascii="Times New Roman" w:hAnsi="Times New Roman" w:cs="Times New Roman"/>
          <w:sz w:val="24"/>
          <w:szCs w:val="24"/>
        </w:rPr>
        <w:t>baselin</w:t>
      </w:r>
      <w:r w:rsidR="00031B65" w:rsidRPr="004E4CA4">
        <w:rPr>
          <w:rFonts w:ascii="Times New Roman" w:hAnsi="Times New Roman" w:cs="Times New Roman"/>
          <w:sz w:val="24"/>
          <w:szCs w:val="24"/>
        </w:rPr>
        <w:t>e risk is approximately 10% in Colombia</w:t>
      </w:r>
      <w:r w:rsidR="009B67FB">
        <w:rPr>
          <w:rStyle w:val="FootnoteReference"/>
          <w:rFonts w:ascii="Times New Roman" w:hAnsi="Times New Roman" w:cs="Times New Roman"/>
          <w:sz w:val="24"/>
          <w:szCs w:val="24"/>
        </w:rPr>
        <w:footnoteReference w:id="2"/>
      </w:r>
      <w:r w:rsidR="003D51DE">
        <w:rPr>
          <w:rFonts w:ascii="Times New Roman" w:hAnsi="Times New Roman" w:cs="Times New Roman"/>
          <w:sz w:val="24"/>
          <w:szCs w:val="24"/>
        </w:rPr>
        <w:t xml:space="preserve">), hearing loss (estimated to occur in 3/1,000 newborns in at least one sample in </w:t>
      </w:r>
      <w:r w:rsidR="00F758E2">
        <w:rPr>
          <w:rFonts w:ascii="Times New Roman" w:hAnsi="Times New Roman" w:cs="Times New Roman"/>
          <w:sz w:val="24"/>
          <w:szCs w:val="24"/>
        </w:rPr>
        <w:t>Bogotá</w:t>
      </w:r>
      <w:r w:rsidR="003D51DE">
        <w:rPr>
          <w:rFonts w:ascii="Times New Roman" w:hAnsi="Times New Roman" w:cs="Times New Roman"/>
          <w:sz w:val="24"/>
          <w:szCs w:val="24"/>
        </w:rPr>
        <w:t>, Colombia.</w:t>
      </w:r>
      <w:r w:rsidR="003D51DE">
        <w:rPr>
          <w:rStyle w:val="FootnoteReference"/>
          <w:rFonts w:ascii="Times New Roman" w:hAnsi="Times New Roman" w:cs="Times New Roman"/>
          <w:sz w:val="24"/>
          <w:szCs w:val="24"/>
        </w:rPr>
        <w:footnoteReference w:id="3"/>
      </w:r>
      <w:r w:rsidR="003D51DE">
        <w:rPr>
          <w:rFonts w:ascii="Times New Roman" w:hAnsi="Times New Roman" w:cs="Times New Roman"/>
          <w:sz w:val="24"/>
          <w:szCs w:val="24"/>
        </w:rPr>
        <w:t>), and microcephaly are considered in the figure. Because the prevalence of Zika virus infection during the second wave of the epidemic is unknown, power was estimated for a variety</w:t>
      </w:r>
      <w:r w:rsidR="00663925">
        <w:rPr>
          <w:rFonts w:ascii="Times New Roman" w:hAnsi="Times New Roman" w:cs="Times New Roman"/>
          <w:sz w:val="24"/>
          <w:szCs w:val="24"/>
        </w:rPr>
        <w:t xml:space="preserve"> of</w:t>
      </w:r>
      <w:r w:rsidR="003D51DE">
        <w:rPr>
          <w:rFonts w:ascii="Times New Roman" w:hAnsi="Times New Roman" w:cs="Times New Roman"/>
          <w:sz w:val="24"/>
          <w:szCs w:val="24"/>
        </w:rPr>
        <w:t xml:space="preserve"> prevalences – 5%, 10%, and 20%. </w:t>
      </w:r>
      <w:r w:rsidR="009B67FB">
        <w:rPr>
          <w:rFonts w:ascii="Times New Roman" w:hAnsi="Times New Roman" w:cs="Times New Roman"/>
          <w:sz w:val="24"/>
          <w:szCs w:val="24"/>
        </w:rPr>
        <w:fldChar w:fldCharType="begin"/>
      </w:r>
      <w:r w:rsidR="009B67FB">
        <w:rPr>
          <w:rFonts w:ascii="Times New Roman" w:hAnsi="Times New Roman" w:cs="Times New Roman"/>
          <w:sz w:val="24"/>
          <w:szCs w:val="24"/>
        </w:rPr>
        <w:instrText xml:space="preserve"> ADDIN EN.CITE &lt;EndNote&gt;&lt;Cite&gt;&lt;RecNum&gt;2&lt;/RecNum&gt;&lt;record&gt;&lt;rec-number&gt;2&lt;/rec-number&gt;&lt;foreign-keys&gt;&lt;key app="EN" db-id="w5sf5ft26vs2x0etzr1v0x2gawp02raspwsd" timestamp="1476745850"&gt;2&lt;/key&gt;&lt;/foreign-keys&gt;&lt;ref-type name="Journal Article"&gt;17&lt;/ref-type&gt;&lt;contributors&gt;&lt;/contributors&gt;&lt;titles&gt;&lt;title&gt;Born too Soon: The Global Action Report on Preterm Birth. www.who.int/pmnch/media/news/2012/preterm_birth_report/en/index.html&lt;/title&gt;&lt;/titles&gt;&lt;dates&gt;&lt;/dates&gt;&lt;urls&gt;&lt;/urls&gt;&lt;/record&gt;&lt;/Cite&gt;&lt;Cite&gt;&lt;RecNum&gt;2&lt;/RecNum&gt;&lt;record&gt;&lt;rec-number&gt;2&lt;/rec-number&gt;&lt;foreign-keys&gt;&lt;key app="EN" db-id="w5sf5ft26vs2x0etzr1v0x2gawp02raspwsd" timestamp="1476745850"&gt;2&lt;/key&gt;&lt;/foreign-keys&gt;&lt;ref-type name="Journal Article"&gt;17&lt;/ref-type&gt;&lt;contributors&gt;&lt;/contributors&gt;&lt;titles&gt;&lt;title&gt;Born too Soon: The Global Action Report on Preterm Birth. www.who.int/pmnch/media/news/2012/preterm_birth_report/en/index.html&lt;/title&gt;&lt;/titles&gt;&lt;dates&gt;&lt;/dates&gt;&lt;urls&gt;&lt;/urls&gt;&lt;/record&gt;&lt;/Cite&gt;&lt;/EndNote&gt;</w:instrText>
      </w:r>
      <w:r w:rsidR="009B67FB">
        <w:rPr>
          <w:rFonts w:ascii="Times New Roman" w:hAnsi="Times New Roman" w:cs="Times New Roman"/>
          <w:sz w:val="24"/>
          <w:szCs w:val="24"/>
        </w:rPr>
        <w:fldChar w:fldCharType="end"/>
      </w:r>
      <w:hyperlink r:id="rId9" w:history="1"/>
      <w:r w:rsidR="003D51DE">
        <w:rPr>
          <w:rFonts w:ascii="Times New Roman" w:hAnsi="Times New Roman" w:cs="Times New Roman"/>
          <w:sz w:val="24"/>
          <w:szCs w:val="24"/>
        </w:rPr>
        <w:t>O</w:t>
      </w:r>
      <w:r w:rsidR="00031B65">
        <w:rPr>
          <w:rFonts w:ascii="Times New Roman" w:hAnsi="Times New Roman" w:cs="Times New Roman"/>
          <w:sz w:val="24"/>
          <w:szCs w:val="24"/>
        </w:rPr>
        <w:t>ur sample size would allow us to detect a</w:t>
      </w:r>
      <w:r w:rsidR="00E06768">
        <w:rPr>
          <w:rFonts w:ascii="Times New Roman" w:hAnsi="Times New Roman" w:cs="Times New Roman"/>
          <w:sz w:val="24"/>
          <w:szCs w:val="24"/>
        </w:rPr>
        <w:t xml:space="preserve"> risk </w:t>
      </w:r>
      <w:r w:rsidR="00031B65">
        <w:rPr>
          <w:rFonts w:ascii="Times New Roman" w:hAnsi="Times New Roman" w:cs="Times New Roman"/>
          <w:sz w:val="24"/>
          <w:szCs w:val="24"/>
        </w:rPr>
        <w:t>ratio of at least 1.</w:t>
      </w:r>
      <w:r w:rsidR="009B29C6">
        <w:rPr>
          <w:rFonts w:ascii="Times New Roman" w:hAnsi="Times New Roman" w:cs="Times New Roman"/>
          <w:sz w:val="24"/>
          <w:szCs w:val="24"/>
        </w:rPr>
        <w:t>6</w:t>
      </w:r>
      <w:r w:rsidR="00031B65">
        <w:rPr>
          <w:rFonts w:ascii="Times New Roman" w:hAnsi="Times New Roman" w:cs="Times New Roman"/>
          <w:sz w:val="24"/>
          <w:szCs w:val="24"/>
        </w:rPr>
        <w:t xml:space="preserve"> for preterm birth, assuming a ZIKV infection rate of 5% or greater. </w:t>
      </w:r>
      <w:r w:rsidR="000075C0">
        <w:rPr>
          <w:rFonts w:ascii="Times New Roman" w:hAnsi="Times New Roman" w:cs="Times New Roman"/>
          <w:sz w:val="24"/>
          <w:szCs w:val="24"/>
        </w:rPr>
        <w:t xml:space="preserve">Assuming a baseline ZIKV infection rate of 20%, our sample size would allow us to detect an association between ZIKV and hearing loss with a </w:t>
      </w:r>
      <w:r w:rsidR="00E06768">
        <w:rPr>
          <w:rFonts w:ascii="Times New Roman" w:hAnsi="Times New Roman" w:cs="Times New Roman"/>
          <w:sz w:val="24"/>
          <w:szCs w:val="24"/>
        </w:rPr>
        <w:t>risk</w:t>
      </w:r>
      <w:r w:rsidR="000075C0">
        <w:rPr>
          <w:rFonts w:ascii="Times New Roman" w:hAnsi="Times New Roman" w:cs="Times New Roman"/>
          <w:sz w:val="24"/>
          <w:szCs w:val="24"/>
        </w:rPr>
        <w:t xml:space="preserve"> ratio of </w:t>
      </w:r>
      <w:r w:rsidR="009B29C6">
        <w:rPr>
          <w:rFonts w:ascii="Times New Roman" w:hAnsi="Times New Roman" w:cs="Times New Roman"/>
          <w:sz w:val="24"/>
          <w:szCs w:val="24"/>
        </w:rPr>
        <w:t>3.9</w:t>
      </w:r>
      <w:r w:rsidR="000075C0">
        <w:rPr>
          <w:rFonts w:ascii="Times New Roman" w:hAnsi="Times New Roman" w:cs="Times New Roman"/>
          <w:sz w:val="24"/>
          <w:szCs w:val="24"/>
        </w:rPr>
        <w:t>.</w:t>
      </w:r>
      <w:r w:rsidR="00E66FF8">
        <w:rPr>
          <w:rFonts w:ascii="Times New Roman" w:hAnsi="Times New Roman" w:cs="Times New Roman"/>
          <w:sz w:val="24"/>
          <w:szCs w:val="24"/>
        </w:rPr>
        <w:t xml:space="preserve"> While our study may be underpowered to detect significant associations after stratifying by trimester of pregnancy or symptom status, a cohort study is the only type of study that will allow us to better understand the spectrum of potential effects of ZIKV infection in pregnancy</w:t>
      </w:r>
      <w:r w:rsidR="003D51DE">
        <w:rPr>
          <w:rFonts w:ascii="Times New Roman" w:hAnsi="Times New Roman" w:cs="Times New Roman"/>
          <w:sz w:val="24"/>
          <w:szCs w:val="24"/>
        </w:rPr>
        <w:t>, including those associated with</w:t>
      </w:r>
      <w:r w:rsidR="00FD5B27">
        <w:rPr>
          <w:rFonts w:ascii="Times New Roman" w:hAnsi="Times New Roman" w:cs="Times New Roman"/>
          <w:sz w:val="24"/>
          <w:szCs w:val="24"/>
        </w:rPr>
        <w:t xml:space="preserve"> specific timing of</w:t>
      </w:r>
      <w:r w:rsidR="003D51DE">
        <w:rPr>
          <w:rFonts w:ascii="Times New Roman" w:hAnsi="Times New Roman" w:cs="Times New Roman"/>
          <w:sz w:val="24"/>
          <w:szCs w:val="24"/>
        </w:rPr>
        <w:t xml:space="preserve"> asymptomatic infection</w:t>
      </w:r>
      <w:r w:rsidR="00FD5B27">
        <w:rPr>
          <w:rFonts w:ascii="Times New Roman" w:hAnsi="Times New Roman" w:cs="Times New Roman"/>
          <w:sz w:val="24"/>
          <w:szCs w:val="24"/>
        </w:rPr>
        <w:t xml:space="preserve"> during pregnancy</w:t>
      </w:r>
      <w:r w:rsidR="003D51DE">
        <w:rPr>
          <w:rFonts w:ascii="Times New Roman" w:hAnsi="Times New Roman" w:cs="Times New Roman"/>
          <w:sz w:val="24"/>
          <w:szCs w:val="24"/>
        </w:rPr>
        <w:t>, which cannot be ascertained using surveillance data or retrospective study designs</w:t>
      </w:r>
      <w:r w:rsidR="00E66FF8">
        <w:rPr>
          <w:rFonts w:ascii="Times New Roman" w:hAnsi="Times New Roman" w:cs="Times New Roman"/>
          <w:sz w:val="24"/>
          <w:szCs w:val="24"/>
        </w:rPr>
        <w:t xml:space="preserve">. Future studies could subsequently be conducted to confirm and refine the associations observed in this study.  </w:t>
      </w:r>
      <w:r w:rsidR="004E4CA4">
        <w:rPr>
          <w:rFonts w:ascii="Times New Roman" w:hAnsi="Times New Roman" w:cs="Times New Roman"/>
          <w:sz w:val="24"/>
          <w:szCs w:val="24"/>
        </w:rPr>
        <w:t xml:space="preserve"> </w:t>
      </w:r>
    </w:p>
    <w:p w14:paraId="0A96502B" w14:textId="6ED279DA" w:rsidR="0070380D" w:rsidRDefault="0070380D" w:rsidP="0070380D"/>
    <w:p w14:paraId="327A7DAC" w14:textId="0383B907" w:rsidR="0089608C" w:rsidRPr="0089608C" w:rsidRDefault="0089608C" w:rsidP="0089608C">
      <w:r>
        <w:t>Further, to follow-up on a subset of infants until 5 years of age, using preliminary data, we expect about 10% of pregnant women enrolled in ZEN to develop ZIKV infection during pregnancy, which would correspond to about 500 pregnant women by the end of our study if we reach our target enrollment goal.  Assuming that 90% of these women have</w:t>
      </w:r>
      <w:r w:rsidR="00C2660D">
        <w:t xml:space="preserve"> </w:t>
      </w:r>
      <w:r>
        <w:t xml:space="preserve">infants eligible for continued follow-up after six months of age (i.e. they did not experience a pregnancy loss, were not lost to follow-up, or did not experience an infant death), we expect to have about 450 infants </w:t>
      </w:r>
      <w:r w:rsidR="00C2660D">
        <w:t xml:space="preserve">with evidence of congenital ZIKV exposure </w:t>
      </w:r>
      <w:r>
        <w:t>eligible for further follow-up.  We plan to select at least one, but possibl</w:t>
      </w:r>
      <w:r w:rsidR="00C2660D">
        <w:t>y</w:t>
      </w:r>
      <w:r>
        <w:t xml:space="preserve"> up to four, unexposed infants to serve as a comparison population for the follow-up study.  The number of unexposed infants selected will depend upon actual level of ZIKV infection we observe in the initial study and the actual number of infants eligible for the follow-up study.  We plan to frequency match unexposed children to </w:t>
      </w:r>
      <w:r w:rsidR="001C3BC4">
        <w:t>exposed</w:t>
      </w:r>
      <w:r>
        <w:t xml:space="preserve"> based upon city</w:t>
      </w:r>
      <w:r w:rsidR="00B07130">
        <w:t xml:space="preserve">, gestational age at delivery, and </w:t>
      </w:r>
      <w:r>
        <w:t>delivery month.</w:t>
      </w:r>
      <w:r w:rsidR="00686739">
        <w:t xml:space="preserve">  </w:t>
      </w:r>
      <w:r w:rsidRPr="0089608C">
        <w:t xml:space="preserve">Given a baseline prevalence of </w:t>
      </w:r>
      <w:r w:rsidR="00686739">
        <w:t>developmental delays</w:t>
      </w:r>
      <w:r w:rsidRPr="0089608C">
        <w:t xml:space="preserve"> in Colombia ranging from 1-4% and an alpha of 0.05, we would have at least 80% power to detect risk ratios of approximately 3-4 with a total sample for the follow-up study of approximately 1,000 infants (Table</w:t>
      </w:r>
      <w:r w:rsidR="0013167E">
        <w:t xml:space="preserve"> 1</w:t>
      </w:r>
      <w:r w:rsidRPr="0089608C">
        <w:t xml:space="preserve">). </w:t>
      </w:r>
      <w:r w:rsidR="00686739">
        <w:t>Since the current OMB revision is for 3-years, our data collection will be for a subset of 300 infants.</w:t>
      </w:r>
    </w:p>
    <w:p w14:paraId="6E162575" w14:textId="77777777" w:rsidR="004B20FD" w:rsidRDefault="004B20FD">
      <w:pPr>
        <w:widowControl/>
        <w:autoSpaceDE/>
        <w:autoSpaceDN/>
        <w:adjustRightInd/>
        <w:rPr>
          <w:b/>
        </w:rPr>
      </w:pPr>
      <w:r>
        <w:rPr>
          <w:b/>
        </w:rPr>
        <w:br w:type="page"/>
      </w:r>
    </w:p>
    <w:p w14:paraId="2C5AD237" w14:textId="2326F2CA" w:rsidR="0013167E" w:rsidRPr="0013167E" w:rsidRDefault="0013167E" w:rsidP="0013167E">
      <w:pPr>
        <w:rPr>
          <w:b/>
        </w:rPr>
      </w:pPr>
      <w:r w:rsidRPr="0013167E">
        <w:rPr>
          <w:b/>
        </w:rPr>
        <w:t>Table</w:t>
      </w:r>
      <w:r>
        <w:rPr>
          <w:b/>
        </w:rPr>
        <w:t xml:space="preserve"> B1</w:t>
      </w:r>
      <w:r w:rsidRPr="0013167E">
        <w:rPr>
          <w:b/>
        </w:rPr>
        <w:t>. ZEN Follow-Up Study Power Calculations*</w:t>
      </w:r>
    </w:p>
    <w:tbl>
      <w:tblPr>
        <w:tblW w:w="10552" w:type="dxa"/>
        <w:tblLayout w:type="fixed"/>
        <w:tblCellMar>
          <w:left w:w="14" w:type="dxa"/>
          <w:right w:w="14" w:type="dxa"/>
        </w:tblCellMar>
        <w:tblLook w:val="04A0" w:firstRow="1" w:lastRow="0" w:firstColumn="1" w:lastColumn="0" w:noHBand="0" w:noVBand="1"/>
      </w:tblPr>
      <w:tblGrid>
        <w:gridCol w:w="1080"/>
        <w:gridCol w:w="1260"/>
        <w:gridCol w:w="900"/>
        <w:gridCol w:w="990"/>
        <w:gridCol w:w="813"/>
        <w:gridCol w:w="1440"/>
        <w:gridCol w:w="567"/>
        <w:gridCol w:w="567"/>
        <w:gridCol w:w="567"/>
        <w:gridCol w:w="567"/>
        <w:gridCol w:w="567"/>
        <w:gridCol w:w="567"/>
        <w:gridCol w:w="667"/>
      </w:tblGrid>
      <w:tr w:rsidR="0013167E" w:rsidRPr="00132DF1" w14:paraId="7247F08E" w14:textId="77777777" w:rsidTr="00C34A98">
        <w:trPr>
          <w:trHeight w:val="386"/>
        </w:trPr>
        <w:tc>
          <w:tcPr>
            <w:tcW w:w="1080" w:type="dxa"/>
            <w:vMerge w:val="restart"/>
            <w:tcBorders>
              <w:top w:val="single" w:sz="4" w:space="0" w:color="auto"/>
              <w:left w:val="nil"/>
              <w:right w:val="nil"/>
            </w:tcBorders>
            <w:shd w:val="clear" w:color="auto" w:fill="D9D9D9" w:themeFill="background1" w:themeFillShade="D9"/>
            <w:vAlign w:val="bottom"/>
          </w:tcPr>
          <w:p w14:paraId="333F4041" w14:textId="77777777" w:rsidR="0013167E" w:rsidRPr="00132DF1" w:rsidRDefault="0013167E" w:rsidP="00C34A98">
            <w:pPr>
              <w:jc w:val="center"/>
              <w:rPr>
                <w:sz w:val="18"/>
                <w:szCs w:val="18"/>
              </w:rPr>
            </w:pPr>
            <w:r w:rsidRPr="00132DF1">
              <w:rPr>
                <w:b/>
                <w:bCs/>
                <w:color w:val="000000"/>
                <w:sz w:val="18"/>
                <w:szCs w:val="18"/>
              </w:rPr>
              <w:t>Total Infants Eligible for Follow-up</w:t>
            </w:r>
          </w:p>
        </w:tc>
        <w:tc>
          <w:tcPr>
            <w:tcW w:w="1260" w:type="dxa"/>
            <w:vMerge w:val="restart"/>
            <w:tcBorders>
              <w:top w:val="single" w:sz="4" w:space="0" w:color="auto"/>
              <w:left w:val="nil"/>
              <w:right w:val="nil"/>
            </w:tcBorders>
            <w:shd w:val="clear" w:color="auto" w:fill="D9D9D9" w:themeFill="background1" w:themeFillShade="D9"/>
            <w:vAlign w:val="bottom"/>
          </w:tcPr>
          <w:p w14:paraId="1C90C0E7" w14:textId="77777777" w:rsidR="0013167E" w:rsidRPr="00132DF1" w:rsidRDefault="0013167E" w:rsidP="00C34A98">
            <w:pPr>
              <w:jc w:val="center"/>
              <w:rPr>
                <w:sz w:val="18"/>
                <w:szCs w:val="18"/>
              </w:rPr>
            </w:pPr>
            <w:r w:rsidRPr="00132DF1">
              <w:rPr>
                <w:b/>
                <w:bCs/>
                <w:color w:val="000000"/>
                <w:sz w:val="18"/>
                <w:szCs w:val="18"/>
              </w:rPr>
              <w:t>Proportion of Infants born to ZIKV-infected Women</w:t>
            </w:r>
          </w:p>
        </w:tc>
        <w:tc>
          <w:tcPr>
            <w:tcW w:w="2703" w:type="dxa"/>
            <w:gridSpan w:val="3"/>
            <w:tcBorders>
              <w:top w:val="single" w:sz="4" w:space="0" w:color="auto"/>
              <w:left w:val="nil"/>
              <w:bottom w:val="nil"/>
              <w:right w:val="nil"/>
            </w:tcBorders>
            <w:shd w:val="clear" w:color="auto" w:fill="D9D9D9" w:themeFill="background1" w:themeFillShade="D9"/>
            <w:vAlign w:val="bottom"/>
          </w:tcPr>
          <w:p w14:paraId="784515BD" w14:textId="77777777" w:rsidR="0013167E" w:rsidRPr="006B09EF" w:rsidRDefault="0013167E" w:rsidP="00C34A98">
            <w:pPr>
              <w:jc w:val="center"/>
              <w:rPr>
                <w:b/>
                <w:sz w:val="18"/>
                <w:szCs w:val="18"/>
                <w:u w:val="single"/>
              </w:rPr>
            </w:pPr>
            <w:r w:rsidRPr="006B09EF">
              <w:rPr>
                <w:b/>
                <w:sz w:val="18"/>
                <w:szCs w:val="18"/>
                <w:u w:val="single"/>
              </w:rPr>
              <w:t xml:space="preserve">Infants Sampled </w:t>
            </w:r>
          </w:p>
          <w:p w14:paraId="0D5FD9DE" w14:textId="77777777" w:rsidR="0013167E" w:rsidRPr="00132DF1" w:rsidRDefault="0013167E" w:rsidP="00C34A98">
            <w:pPr>
              <w:jc w:val="center"/>
              <w:rPr>
                <w:sz w:val="18"/>
                <w:szCs w:val="18"/>
              </w:rPr>
            </w:pPr>
            <w:r w:rsidRPr="006B09EF">
              <w:rPr>
                <w:b/>
                <w:sz w:val="18"/>
                <w:szCs w:val="18"/>
                <w:u w:val="single"/>
              </w:rPr>
              <w:t>into Follow-Up Study</w:t>
            </w:r>
            <w:r>
              <w:rPr>
                <w:b/>
                <w:sz w:val="18"/>
                <w:szCs w:val="18"/>
              </w:rPr>
              <w:t xml:space="preserve"> </w:t>
            </w:r>
          </w:p>
        </w:tc>
        <w:tc>
          <w:tcPr>
            <w:tcW w:w="1440" w:type="dxa"/>
            <w:vMerge w:val="restart"/>
            <w:tcBorders>
              <w:top w:val="single" w:sz="4" w:space="0" w:color="auto"/>
              <w:left w:val="nil"/>
              <w:right w:val="nil"/>
            </w:tcBorders>
            <w:shd w:val="clear" w:color="auto" w:fill="D9D9D9" w:themeFill="background1" w:themeFillShade="D9"/>
            <w:noWrap/>
            <w:vAlign w:val="bottom"/>
            <w:hideMark/>
          </w:tcPr>
          <w:p w14:paraId="3135C3D6" w14:textId="27391F2C" w:rsidR="0013167E" w:rsidRPr="00132DF1" w:rsidRDefault="0013167E" w:rsidP="00D574C7">
            <w:pPr>
              <w:jc w:val="center"/>
              <w:rPr>
                <w:sz w:val="18"/>
                <w:szCs w:val="18"/>
              </w:rPr>
            </w:pPr>
            <w:r w:rsidRPr="00132DF1">
              <w:rPr>
                <w:b/>
                <w:bCs/>
                <w:color w:val="000000"/>
                <w:sz w:val="18"/>
                <w:szCs w:val="18"/>
              </w:rPr>
              <w:t>Risk of</w:t>
            </w:r>
            <w:r w:rsidR="00D574C7">
              <w:rPr>
                <w:b/>
                <w:bCs/>
                <w:color w:val="000000"/>
                <w:sz w:val="18"/>
                <w:szCs w:val="18"/>
              </w:rPr>
              <w:t xml:space="preserve"> </w:t>
            </w:r>
            <w:r w:rsidRPr="00132DF1">
              <w:rPr>
                <w:b/>
                <w:bCs/>
                <w:color w:val="000000"/>
                <w:sz w:val="18"/>
                <w:szCs w:val="18"/>
              </w:rPr>
              <w:t>Developmental</w:t>
            </w:r>
            <w:r w:rsidR="00D574C7">
              <w:rPr>
                <w:b/>
                <w:bCs/>
                <w:color w:val="000000"/>
                <w:sz w:val="18"/>
                <w:szCs w:val="18"/>
              </w:rPr>
              <w:t xml:space="preserve"> Delay</w:t>
            </w:r>
            <w:r w:rsidRPr="00132DF1">
              <w:rPr>
                <w:b/>
                <w:bCs/>
                <w:color w:val="000000"/>
                <w:sz w:val="18"/>
                <w:szCs w:val="18"/>
              </w:rPr>
              <w:t xml:space="preserve"> Outcome in  Unexposed</w:t>
            </w:r>
          </w:p>
        </w:tc>
        <w:tc>
          <w:tcPr>
            <w:tcW w:w="4069" w:type="dxa"/>
            <w:gridSpan w:val="7"/>
            <w:tcBorders>
              <w:top w:val="single" w:sz="4" w:space="0" w:color="auto"/>
              <w:left w:val="nil"/>
              <w:bottom w:val="nil"/>
              <w:right w:val="nil"/>
            </w:tcBorders>
            <w:shd w:val="clear" w:color="auto" w:fill="D9D9D9" w:themeFill="background1" w:themeFillShade="D9"/>
            <w:noWrap/>
            <w:vAlign w:val="bottom"/>
            <w:hideMark/>
          </w:tcPr>
          <w:p w14:paraId="76A6A655" w14:textId="77777777" w:rsidR="0013167E" w:rsidRPr="00132DF1" w:rsidRDefault="0013167E" w:rsidP="00C34A98">
            <w:pPr>
              <w:jc w:val="center"/>
              <w:rPr>
                <w:b/>
                <w:bCs/>
                <w:color w:val="000000"/>
                <w:sz w:val="18"/>
                <w:szCs w:val="18"/>
              </w:rPr>
            </w:pPr>
            <w:r w:rsidRPr="00132DF1">
              <w:rPr>
                <w:b/>
                <w:bCs/>
                <w:color w:val="000000"/>
                <w:sz w:val="18"/>
                <w:szCs w:val="18"/>
              </w:rPr>
              <w:t>Power by Risk Ratio</w:t>
            </w:r>
          </w:p>
        </w:tc>
      </w:tr>
      <w:tr w:rsidR="0013167E" w:rsidRPr="00132DF1" w14:paraId="5089919E" w14:textId="77777777" w:rsidTr="00C34A98">
        <w:trPr>
          <w:trHeight w:val="576"/>
        </w:trPr>
        <w:tc>
          <w:tcPr>
            <w:tcW w:w="1080" w:type="dxa"/>
            <w:vMerge/>
            <w:tcBorders>
              <w:left w:val="nil"/>
              <w:bottom w:val="single" w:sz="4" w:space="0" w:color="auto"/>
              <w:right w:val="nil"/>
            </w:tcBorders>
            <w:shd w:val="clear" w:color="auto" w:fill="D9D9D9" w:themeFill="background1" w:themeFillShade="D9"/>
            <w:vAlign w:val="bottom"/>
          </w:tcPr>
          <w:p w14:paraId="4CE46428" w14:textId="77777777" w:rsidR="0013167E" w:rsidRPr="00132DF1" w:rsidRDefault="0013167E" w:rsidP="00C34A98">
            <w:pPr>
              <w:jc w:val="center"/>
              <w:rPr>
                <w:b/>
                <w:bCs/>
                <w:color w:val="000000"/>
                <w:sz w:val="18"/>
                <w:szCs w:val="18"/>
              </w:rPr>
            </w:pPr>
          </w:p>
        </w:tc>
        <w:tc>
          <w:tcPr>
            <w:tcW w:w="1260" w:type="dxa"/>
            <w:vMerge/>
            <w:tcBorders>
              <w:left w:val="nil"/>
              <w:bottom w:val="single" w:sz="4" w:space="0" w:color="auto"/>
              <w:right w:val="nil"/>
            </w:tcBorders>
            <w:shd w:val="clear" w:color="auto" w:fill="D9D9D9" w:themeFill="background1" w:themeFillShade="D9"/>
            <w:vAlign w:val="bottom"/>
          </w:tcPr>
          <w:p w14:paraId="70E33403" w14:textId="77777777" w:rsidR="0013167E" w:rsidRPr="00132DF1" w:rsidRDefault="0013167E" w:rsidP="00C34A98">
            <w:pPr>
              <w:jc w:val="center"/>
              <w:rPr>
                <w:b/>
                <w:bCs/>
                <w:color w:val="000000"/>
                <w:sz w:val="18"/>
                <w:szCs w:val="18"/>
              </w:rPr>
            </w:pPr>
          </w:p>
        </w:tc>
        <w:tc>
          <w:tcPr>
            <w:tcW w:w="900" w:type="dxa"/>
            <w:tcBorders>
              <w:top w:val="nil"/>
              <w:left w:val="nil"/>
              <w:bottom w:val="single" w:sz="4" w:space="0" w:color="auto"/>
              <w:right w:val="nil"/>
            </w:tcBorders>
            <w:shd w:val="clear" w:color="auto" w:fill="D9D9D9" w:themeFill="background1" w:themeFillShade="D9"/>
            <w:vAlign w:val="bottom"/>
          </w:tcPr>
          <w:p w14:paraId="574F3CFE" w14:textId="77777777" w:rsidR="0013167E" w:rsidRPr="00132DF1" w:rsidRDefault="0013167E" w:rsidP="00C34A98">
            <w:pPr>
              <w:jc w:val="center"/>
              <w:rPr>
                <w:rFonts w:cs="Arial"/>
                <w:b/>
                <w:bCs/>
                <w:sz w:val="18"/>
                <w:szCs w:val="18"/>
              </w:rPr>
            </w:pPr>
            <w:r w:rsidRPr="00132DF1">
              <w:rPr>
                <w:rFonts w:cs="Arial"/>
                <w:b/>
                <w:bCs/>
                <w:sz w:val="18"/>
                <w:szCs w:val="18"/>
              </w:rPr>
              <w:t>Exposed (N)</w:t>
            </w:r>
          </w:p>
        </w:tc>
        <w:tc>
          <w:tcPr>
            <w:tcW w:w="990" w:type="dxa"/>
            <w:tcBorders>
              <w:top w:val="nil"/>
              <w:left w:val="nil"/>
              <w:bottom w:val="single" w:sz="4" w:space="0" w:color="auto"/>
              <w:right w:val="nil"/>
            </w:tcBorders>
            <w:shd w:val="clear" w:color="auto" w:fill="D9D9D9" w:themeFill="background1" w:themeFillShade="D9"/>
            <w:vAlign w:val="bottom"/>
          </w:tcPr>
          <w:p w14:paraId="15E3B750" w14:textId="77777777" w:rsidR="0013167E" w:rsidRPr="00132DF1" w:rsidRDefault="0013167E" w:rsidP="00C34A98">
            <w:pPr>
              <w:jc w:val="center"/>
              <w:rPr>
                <w:b/>
                <w:bCs/>
                <w:color w:val="000000"/>
                <w:sz w:val="18"/>
                <w:szCs w:val="18"/>
              </w:rPr>
            </w:pPr>
            <w:r w:rsidRPr="00132DF1">
              <w:rPr>
                <w:b/>
                <w:bCs/>
                <w:color w:val="000000"/>
                <w:sz w:val="18"/>
                <w:szCs w:val="18"/>
              </w:rPr>
              <w:t>Ratio Unexposed :  Exposed**</w:t>
            </w:r>
          </w:p>
        </w:tc>
        <w:tc>
          <w:tcPr>
            <w:tcW w:w="813" w:type="dxa"/>
            <w:tcBorders>
              <w:top w:val="nil"/>
              <w:left w:val="nil"/>
              <w:bottom w:val="single" w:sz="4" w:space="0" w:color="auto"/>
              <w:right w:val="nil"/>
            </w:tcBorders>
            <w:shd w:val="clear" w:color="auto" w:fill="D9D9D9" w:themeFill="background1" w:themeFillShade="D9"/>
            <w:vAlign w:val="bottom"/>
          </w:tcPr>
          <w:p w14:paraId="5BFC4623" w14:textId="77777777" w:rsidR="0013167E" w:rsidRPr="00132DF1" w:rsidRDefault="0013167E" w:rsidP="00C34A98">
            <w:pPr>
              <w:jc w:val="center"/>
              <w:rPr>
                <w:rFonts w:cs="Arial"/>
                <w:b/>
                <w:bCs/>
                <w:sz w:val="18"/>
                <w:szCs w:val="18"/>
              </w:rPr>
            </w:pPr>
            <w:r w:rsidRPr="00132DF1">
              <w:rPr>
                <w:rFonts w:cs="Arial"/>
                <w:b/>
                <w:bCs/>
                <w:sz w:val="18"/>
                <w:szCs w:val="18"/>
              </w:rPr>
              <w:t xml:space="preserve">Total </w:t>
            </w:r>
          </w:p>
          <w:p w14:paraId="781B90E4" w14:textId="77777777" w:rsidR="0013167E" w:rsidRPr="00132DF1" w:rsidRDefault="0013167E" w:rsidP="00C34A98">
            <w:pPr>
              <w:jc w:val="center"/>
              <w:rPr>
                <w:rFonts w:cs="Arial"/>
                <w:b/>
                <w:bCs/>
                <w:sz w:val="18"/>
                <w:szCs w:val="18"/>
              </w:rPr>
            </w:pPr>
            <w:r w:rsidRPr="00132DF1">
              <w:rPr>
                <w:rFonts w:cs="Arial"/>
                <w:b/>
                <w:bCs/>
                <w:sz w:val="18"/>
                <w:szCs w:val="18"/>
              </w:rPr>
              <w:t>(N)</w:t>
            </w:r>
          </w:p>
        </w:tc>
        <w:tc>
          <w:tcPr>
            <w:tcW w:w="1440" w:type="dxa"/>
            <w:vMerge/>
            <w:tcBorders>
              <w:left w:val="nil"/>
              <w:bottom w:val="single" w:sz="4" w:space="0" w:color="auto"/>
              <w:right w:val="nil"/>
            </w:tcBorders>
            <w:shd w:val="clear" w:color="auto" w:fill="D9D9D9" w:themeFill="background1" w:themeFillShade="D9"/>
            <w:noWrap/>
            <w:vAlign w:val="bottom"/>
            <w:hideMark/>
          </w:tcPr>
          <w:p w14:paraId="54927569" w14:textId="77777777" w:rsidR="0013167E" w:rsidRPr="00132DF1" w:rsidRDefault="0013167E" w:rsidP="00C34A98">
            <w:pPr>
              <w:jc w:val="center"/>
              <w:rPr>
                <w:b/>
                <w:bCs/>
                <w:color w:val="000000"/>
                <w:sz w:val="18"/>
                <w:szCs w:val="18"/>
              </w:rPr>
            </w:pPr>
          </w:p>
        </w:tc>
        <w:tc>
          <w:tcPr>
            <w:tcW w:w="567" w:type="dxa"/>
            <w:tcBorders>
              <w:top w:val="nil"/>
              <w:left w:val="nil"/>
              <w:bottom w:val="single" w:sz="4" w:space="0" w:color="auto"/>
              <w:right w:val="nil"/>
            </w:tcBorders>
            <w:shd w:val="clear" w:color="auto" w:fill="D9D9D9" w:themeFill="background1" w:themeFillShade="D9"/>
            <w:noWrap/>
            <w:vAlign w:val="bottom"/>
            <w:hideMark/>
          </w:tcPr>
          <w:p w14:paraId="11AF1D48" w14:textId="77777777" w:rsidR="0013167E" w:rsidRPr="00132DF1" w:rsidRDefault="0013167E" w:rsidP="00C34A98">
            <w:pPr>
              <w:jc w:val="center"/>
              <w:rPr>
                <w:rFonts w:cs="Arial"/>
                <w:b/>
                <w:bCs/>
                <w:sz w:val="18"/>
                <w:szCs w:val="18"/>
              </w:rPr>
            </w:pPr>
            <w:r w:rsidRPr="00132DF1">
              <w:rPr>
                <w:rFonts w:cs="Arial"/>
                <w:b/>
                <w:bCs/>
                <w:sz w:val="18"/>
                <w:szCs w:val="18"/>
              </w:rPr>
              <w:t>1.5</w:t>
            </w:r>
          </w:p>
        </w:tc>
        <w:tc>
          <w:tcPr>
            <w:tcW w:w="567" w:type="dxa"/>
            <w:tcBorders>
              <w:top w:val="nil"/>
              <w:left w:val="nil"/>
              <w:bottom w:val="single" w:sz="4" w:space="0" w:color="auto"/>
              <w:right w:val="nil"/>
            </w:tcBorders>
            <w:shd w:val="clear" w:color="auto" w:fill="D9D9D9" w:themeFill="background1" w:themeFillShade="D9"/>
            <w:noWrap/>
            <w:vAlign w:val="bottom"/>
            <w:hideMark/>
          </w:tcPr>
          <w:p w14:paraId="0603085C" w14:textId="77777777" w:rsidR="0013167E" w:rsidRPr="00132DF1" w:rsidRDefault="0013167E" w:rsidP="00C34A98">
            <w:pPr>
              <w:jc w:val="center"/>
              <w:rPr>
                <w:rFonts w:cs="Arial"/>
                <w:b/>
                <w:bCs/>
                <w:sz w:val="18"/>
                <w:szCs w:val="18"/>
              </w:rPr>
            </w:pPr>
            <w:r w:rsidRPr="00132DF1">
              <w:rPr>
                <w:rFonts w:cs="Arial"/>
                <w:b/>
                <w:bCs/>
                <w:sz w:val="18"/>
                <w:szCs w:val="18"/>
              </w:rPr>
              <w:t>2.0</w:t>
            </w:r>
          </w:p>
        </w:tc>
        <w:tc>
          <w:tcPr>
            <w:tcW w:w="567" w:type="dxa"/>
            <w:tcBorders>
              <w:top w:val="nil"/>
              <w:left w:val="nil"/>
              <w:bottom w:val="single" w:sz="4" w:space="0" w:color="auto"/>
              <w:right w:val="nil"/>
            </w:tcBorders>
            <w:shd w:val="clear" w:color="auto" w:fill="D9D9D9" w:themeFill="background1" w:themeFillShade="D9"/>
            <w:noWrap/>
            <w:vAlign w:val="bottom"/>
            <w:hideMark/>
          </w:tcPr>
          <w:p w14:paraId="3D64638D" w14:textId="77777777" w:rsidR="0013167E" w:rsidRPr="00132DF1" w:rsidRDefault="0013167E" w:rsidP="00C34A98">
            <w:pPr>
              <w:jc w:val="center"/>
              <w:rPr>
                <w:rFonts w:cs="Arial"/>
                <w:b/>
                <w:bCs/>
                <w:sz w:val="18"/>
                <w:szCs w:val="18"/>
              </w:rPr>
            </w:pPr>
            <w:r w:rsidRPr="00132DF1">
              <w:rPr>
                <w:rFonts w:cs="Arial"/>
                <w:b/>
                <w:bCs/>
                <w:sz w:val="18"/>
                <w:szCs w:val="18"/>
              </w:rPr>
              <w:t>3.0</w:t>
            </w:r>
          </w:p>
        </w:tc>
        <w:tc>
          <w:tcPr>
            <w:tcW w:w="567" w:type="dxa"/>
            <w:tcBorders>
              <w:top w:val="nil"/>
              <w:left w:val="nil"/>
              <w:bottom w:val="single" w:sz="4" w:space="0" w:color="auto"/>
              <w:right w:val="nil"/>
            </w:tcBorders>
            <w:shd w:val="clear" w:color="auto" w:fill="D9D9D9" w:themeFill="background1" w:themeFillShade="D9"/>
            <w:noWrap/>
            <w:vAlign w:val="bottom"/>
            <w:hideMark/>
          </w:tcPr>
          <w:p w14:paraId="4F4BDF8E" w14:textId="77777777" w:rsidR="0013167E" w:rsidRPr="00132DF1" w:rsidRDefault="0013167E" w:rsidP="00C34A98">
            <w:pPr>
              <w:jc w:val="center"/>
              <w:rPr>
                <w:rFonts w:cs="Arial"/>
                <w:b/>
                <w:bCs/>
                <w:sz w:val="18"/>
                <w:szCs w:val="18"/>
              </w:rPr>
            </w:pPr>
            <w:r w:rsidRPr="00132DF1">
              <w:rPr>
                <w:rFonts w:cs="Arial"/>
                <w:b/>
                <w:bCs/>
                <w:sz w:val="18"/>
                <w:szCs w:val="18"/>
              </w:rPr>
              <w:t>4.0</w:t>
            </w:r>
          </w:p>
        </w:tc>
        <w:tc>
          <w:tcPr>
            <w:tcW w:w="567" w:type="dxa"/>
            <w:tcBorders>
              <w:top w:val="nil"/>
              <w:left w:val="nil"/>
              <w:bottom w:val="single" w:sz="4" w:space="0" w:color="auto"/>
              <w:right w:val="nil"/>
            </w:tcBorders>
            <w:shd w:val="clear" w:color="auto" w:fill="D9D9D9" w:themeFill="background1" w:themeFillShade="D9"/>
            <w:noWrap/>
            <w:vAlign w:val="bottom"/>
            <w:hideMark/>
          </w:tcPr>
          <w:p w14:paraId="2CCC216E" w14:textId="77777777" w:rsidR="0013167E" w:rsidRPr="00132DF1" w:rsidRDefault="0013167E" w:rsidP="00C34A98">
            <w:pPr>
              <w:jc w:val="center"/>
              <w:rPr>
                <w:rFonts w:cs="Arial"/>
                <w:b/>
                <w:bCs/>
                <w:sz w:val="18"/>
                <w:szCs w:val="18"/>
              </w:rPr>
            </w:pPr>
            <w:r>
              <w:rPr>
                <w:rFonts w:cs="Arial"/>
                <w:b/>
                <w:bCs/>
                <w:sz w:val="18"/>
                <w:szCs w:val="18"/>
              </w:rPr>
              <w:t>5.0</w:t>
            </w:r>
          </w:p>
        </w:tc>
        <w:tc>
          <w:tcPr>
            <w:tcW w:w="567" w:type="dxa"/>
            <w:tcBorders>
              <w:top w:val="nil"/>
              <w:left w:val="nil"/>
              <w:bottom w:val="single" w:sz="4" w:space="0" w:color="auto"/>
              <w:right w:val="nil"/>
            </w:tcBorders>
            <w:shd w:val="clear" w:color="auto" w:fill="D9D9D9" w:themeFill="background1" w:themeFillShade="D9"/>
            <w:noWrap/>
            <w:vAlign w:val="bottom"/>
            <w:hideMark/>
          </w:tcPr>
          <w:p w14:paraId="2E2B4072" w14:textId="77777777" w:rsidR="0013167E" w:rsidRPr="00132DF1" w:rsidRDefault="0013167E" w:rsidP="00C34A98">
            <w:pPr>
              <w:jc w:val="center"/>
              <w:rPr>
                <w:rFonts w:cs="Arial"/>
                <w:b/>
                <w:bCs/>
                <w:sz w:val="18"/>
                <w:szCs w:val="18"/>
              </w:rPr>
            </w:pPr>
            <w:r w:rsidRPr="00132DF1">
              <w:rPr>
                <w:rFonts w:cs="Arial"/>
                <w:b/>
                <w:bCs/>
                <w:sz w:val="18"/>
                <w:szCs w:val="18"/>
              </w:rPr>
              <w:t>7.0</w:t>
            </w:r>
          </w:p>
        </w:tc>
        <w:tc>
          <w:tcPr>
            <w:tcW w:w="667" w:type="dxa"/>
            <w:tcBorders>
              <w:top w:val="nil"/>
              <w:left w:val="nil"/>
              <w:bottom w:val="single" w:sz="4" w:space="0" w:color="auto"/>
              <w:right w:val="nil"/>
            </w:tcBorders>
            <w:shd w:val="clear" w:color="auto" w:fill="D9D9D9" w:themeFill="background1" w:themeFillShade="D9"/>
            <w:noWrap/>
            <w:vAlign w:val="bottom"/>
            <w:hideMark/>
          </w:tcPr>
          <w:p w14:paraId="4C5413D4" w14:textId="77777777" w:rsidR="0013167E" w:rsidRPr="00132DF1" w:rsidRDefault="0013167E" w:rsidP="00C34A98">
            <w:pPr>
              <w:jc w:val="center"/>
              <w:rPr>
                <w:rFonts w:cs="Arial"/>
                <w:b/>
                <w:bCs/>
                <w:sz w:val="18"/>
                <w:szCs w:val="18"/>
              </w:rPr>
            </w:pPr>
            <w:r w:rsidRPr="00132DF1">
              <w:rPr>
                <w:rFonts w:cs="Arial"/>
                <w:b/>
                <w:bCs/>
                <w:sz w:val="18"/>
                <w:szCs w:val="18"/>
              </w:rPr>
              <w:t>10.0</w:t>
            </w:r>
          </w:p>
        </w:tc>
      </w:tr>
      <w:tr w:rsidR="0013167E" w:rsidRPr="00132DF1" w14:paraId="052E07BA" w14:textId="77777777" w:rsidTr="00C34A98">
        <w:trPr>
          <w:trHeight w:val="288"/>
        </w:trPr>
        <w:tc>
          <w:tcPr>
            <w:tcW w:w="1080" w:type="dxa"/>
            <w:vMerge w:val="restart"/>
            <w:tcBorders>
              <w:top w:val="single" w:sz="4" w:space="0" w:color="auto"/>
              <w:left w:val="nil"/>
              <w:right w:val="nil"/>
            </w:tcBorders>
            <w:vAlign w:val="center"/>
          </w:tcPr>
          <w:p w14:paraId="48A43FED" w14:textId="77777777" w:rsidR="0013167E" w:rsidRPr="00132DF1" w:rsidRDefault="0013167E" w:rsidP="00C34A98">
            <w:pPr>
              <w:jc w:val="center"/>
              <w:rPr>
                <w:color w:val="000000"/>
                <w:sz w:val="18"/>
                <w:szCs w:val="18"/>
              </w:rPr>
            </w:pPr>
            <w:r w:rsidRPr="00132DF1">
              <w:rPr>
                <w:color w:val="000000"/>
                <w:sz w:val="18"/>
                <w:szCs w:val="18"/>
              </w:rPr>
              <w:t>4,500</w:t>
            </w:r>
          </w:p>
        </w:tc>
        <w:tc>
          <w:tcPr>
            <w:tcW w:w="1260" w:type="dxa"/>
            <w:tcBorders>
              <w:top w:val="single" w:sz="4" w:space="0" w:color="auto"/>
              <w:left w:val="nil"/>
              <w:bottom w:val="nil"/>
              <w:right w:val="nil"/>
            </w:tcBorders>
            <w:vAlign w:val="center"/>
          </w:tcPr>
          <w:p w14:paraId="603545A8" w14:textId="77777777" w:rsidR="0013167E" w:rsidRPr="00132DF1" w:rsidRDefault="0013167E" w:rsidP="00C34A98">
            <w:pPr>
              <w:jc w:val="center"/>
              <w:rPr>
                <w:rFonts w:cs="Arial"/>
                <w:sz w:val="18"/>
                <w:szCs w:val="18"/>
              </w:rPr>
            </w:pPr>
            <w:r w:rsidRPr="00132DF1">
              <w:rPr>
                <w:rFonts w:cs="Arial"/>
                <w:sz w:val="18"/>
                <w:szCs w:val="18"/>
              </w:rPr>
              <w:t>1%</w:t>
            </w:r>
          </w:p>
        </w:tc>
        <w:tc>
          <w:tcPr>
            <w:tcW w:w="900" w:type="dxa"/>
            <w:tcBorders>
              <w:top w:val="single" w:sz="4" w:space="0" w:color="auto"/>
              <w:left w:val="nil"/>
              <w:bottom w:val="nil"/>
              <w:right w:val="nil"/>
            </w:tcBorders>
            <w:vAlign w:val="center"/>
          </w:tcPr>
          <w:p w14:paraId="76BE20B5" w14:textId="77777777" w:rsidR="0013167E" w:rsidRPr="00132DF1" w:rsidRDefault="0013167E" w:rsidP="00C34A98">
            <w:pPr>
              <w:jc w:val="center"/>
              <w:rPr>
                <w:rFonts w:cs="Arial"/>
                <w:sz w:val="18"/>
                <w:szCs w:val="18"/>
              </w:rPr>
            </w:pPr>
            <w:r w:rsidRPr="00132DF1">
              <w:rPr>
                <w:rFonts w:cs="Arial"/>
                <w:sz w:val="18"/>
                <w:szCs w:val="18"/>
              </w:rPr>
              <w:t>45</w:t>
            </w:r>
          </w:p>
        </w:tc>
        <w:tc>
          <w:tcPr>
            <w:tcW w:w="990" w:type="dxa"/>
            <w:tcBorders>
              <w:top w:val="single" w:sz="4" w:space="0" w:color="auto"/>
              <w:left w:val="nil"/>
              <w:bottom w:val="nil"/>
              <w:right w:val="nil"/>
            </w:tcBorders>
            <w:vAlign w:val="center"/>
          </w:tcPr>
          <w:p w14:paraId="76F9C86C" w14:textId="77777777" w:rsidR="0013167E" w:rsidRPr="00132DF1" w:rsidRDefault="0013167E" w:rsidP="00C34A98">
            <w:pPr>
              <w:jc w:val="center"/>
              <w:rPr>
                <w:color w:val="000000"/>
                <w:sz w:val="18"/>
                <w:szCs w:val="18"/>
              </w:rPr>
            </w:pPr>
            <w:r w:rsidRPr="00132DF1">
              <w:rPr>
                <w:color w:val="000000"/>
                <w:sz w:val="18"/>
                <w:szCs w:val="18"/>
              </w:rPr>
              <w:t>1:1</w:t>
            </w:r>
          </w:p>
        </w:tc>
        <w:tc>
          <w:tcPr>
            <w:tcW w:w="813" w:type="dxa"/>
            <w:tcBorders>
              <w:top w:val="single" w:sz="4" w:space="0" w:color="auto"/>
              <w:left w:val="nil"/>
              <w:bottom w:val="nil"/>
              <w:right w:val="nil"/>
            </w:tcBorders>
            <w:vAlign w:val="center"/>
          </w:tcPr>
          <w:p w14:paraId="678ABD0F" w14:textId="77777777" w:rsidR="0013167E" w:rsidRPr="00132DF1" w:rsidRDefault="0013167E" w:rsidP="00C34A98">
            <w:pPr>
              <w:jc w:val="center"/>
              <w:rPr>
                <w:rFonts w:cs="Arial"/>
                <w:sz w:val="18"/>
                <w:szCs w:val="18"/>
              </w:rPr>
            </w:pPr>
            <w:r w:rsidRPr="00132DF1">
              <w:rPr>
                <w:rFonts w:cs="Arial"/>
                <w:sz w:val="18"/>
                <w:szCs w:val="18"/>
              </w:rPr>
              <w:t>90</w:t>
            </w:r>
          </w:p>
        </w:tc>
        <w:tc>
          <w:tcPr>
            <w:tcW w:w="1440" w:type="dxa"/>
            <w:tcBorders>
              <w:top w:val="single" w:sz="4" w:space="0" w:color="auto"/>
              <w:left w:val="nil"/>
              <w:bottom w:val="nil"/>
              <w:right w:val="nil"/>
            </w:tcBorders>
            <w:shd w:val="clear" w:color="auto" w:fill="auto"/>
            <w:noWrap/>
            <w:vAlign w:val="center"/>
            <w:hideMark/>
          </w:tcPr>
          <w:p w14:paraId="5083E2F5" w14:textId="77777777" w:rsidR="0013167E" w:rsidRPr="00132DF1" w:rsidRDefault="0013167E" w:rsidP="00C34A98">
            <w:pPr>
              <w:jc w:val="center"/>
              <w:rPr>
                <w:color w:val="000000"/>
                <w:sz w:val="18"/>
                <w:szCs w:val="18"/>
              </w:rPr>
            </w:pPr>
            <w:r w:rsidRPr="00132DF1">
              <w:rPr>
                <w:color w:val="000000"/>
                <w:sz w:val="18"/>
                <w:szCs w:val="18"/>
              </w:rPr>
              <w:t>1%</w:t>
            </w:r>
          </w:p>
        </w:tc>
        <w:tc>
          <w:tcPr>
            <w:tcW w:w="567" w:type="dxa"/>
            <w:tcBorders>
              <w:top w:val="single" w:sz="4" w:space="0" w:color="auto"/>
              <w:left w:val="nil"/>
              <w:bottom w:val="nil"/>
              <w:right w:val="nil"/>
            </w:tcBorders>
            <w:shd w:val="clear" w:color="auto" w:fill="auto"/>
            <w:noWrap/>
            <w:vAlign w:val="center"/>
            <w:hideMark/>
          </w:tcPr>
          <w:p w14:paraId="6EA6AA2B" w14:textId="77777777" w:rsidR="0013167E" w:rsidRPr="00132DF1" w:rsidRDefault="0013167E" w:rsidP="00C34A98">
            <w:pPr>
              <w:jc w:val="center"/>
              <w:rPr>
                <w:rFonts w:cs="Arial"/>
                <w:sz w:val="18"/>
                <w:szCs w:val="18"/>
              </w:rPr>
            </w:pPr>
            <w:r w:rsidRPr="00132DF1">
              <w:rPr>
                <w:rFonts w:cs="Arial"/>
                <w:sz w:val="18"/>
                <w:szCs w:val="18"/>
              </w:rPr>
              <w:t>0.04</w:t>
            </w:r>
          </w:p>
        </w:tc>
        <w:tc>
          <w:tcPr>
            <w:tcW w:w="567" w:type="dxa"/>
            <w:tcBorders>
              <w:top w:val="single" w:sz="4" w:space="0" w:color="auto"/>
              <w:left w:val="nil"/>
              <w:bottom w:val="nil"/>
              <w:right w:val="nil"/>
            </w:tcBorders>
            <w:shd w:val="clear" w:color="auto" w:fill="auto"/>
            <w:noWrap/>
            <w:vAlign w:val="center"/>
            <w:hideMark/>
          </w:tcPr>
          <w:p w14:paraId="0ADB134F" w14:textId="77777777" w:rsidR="0013167E" w:rsidRPr="00132DF1" w:rsidRDefault="0013167E" w:rsidP="00C34A98">
            <w:pPr>
              <w:jc w:val="center"/>
              <w:rPr>
                <w:rFonts w:cs="Arial"/>
                <w:sz w:val="18"/>
                <w:szCs w:val="18"/>
              </w:rPr>
            </w:pPr>
            <w:r w:rsidRPr="00132DF1">
              <w:rPr>
                <w:rFonts w:cs="Arial"/>
                <w:sz w:val="18"/>
                <w:szCs w:val="18"/>
              </w:rPr>
              <w:t>0.05</w:t>
            </w:r>
          </w:p>
        </w:tc>
        <w:tc>
          <w:tcPr>
            <w:tcW w:w="567" w:type="dxa"/>
            <w:tcBorders>
              <w:top w:val="single" w:sz="4" w:space="0" w:color="auto"/>
              <w:left w:val="nil"/>
              <w:bottom w:val="nil"/>
              <w:right w:val="nil"/>
            </w:tcBorders>
            <w:shd w:val="clear" w:color="auto" w:fill="auto"/>
            <w:noWrap/>
            <w:vAlign w:val="center"/>
            <w:hideMark/>
          </w:tcPr>
          <w:p w14:paraId="11806F88" w14:textId="77777777" w:rsidR="0013167E" w:rsidRPr="00132DF1" w:rsidRDefault="0013167E" w:rsidP="00C34A98">
            <w:pPr>
              <w:jc w:val="center"/>
              <w:rPr>
                <w:rFonts w:cs="Arial"/>
                <w:sz w:val="18"/>
                <w:szCs w:val="18"/>
              </w:rPr>
            </w:pPr>
            <w:r w:rsidRPr="00132DF1">
              <w:rPr>
                <w:rFonts w:cs="Arial"/>
                <w:sz w:val="18"/>
                <w:szCs w:val="18"/>
              </w:rPr>
              <w:t>0.07</w:t>
            </w:r>
          </w:p>
        </w:tc>
        <w:tc>
          <w:tcPr>
            <w:tcW w:w="567" w:type="dxa"/>
            <w:tcBorders>
              <w:top w:val="single" w:sz="4" w:space="0" w:color="auto"/>
              <w:left w:val="nil"/>
              <w:bottom w:val="nil"/>
              <w:right w:val="nil"/>
            </w:tcBorders>
            <w:shd w:val="clear" w:color="auto" w:fill="auto"/>
            <w:noWrap/>
            <w:vAlign w:val="center"/>
            <w:hideMark/>
          </w:tcPr>
          <w:p w14:paraId="07435FDE" w14:textId="77777777" w:rsidR="0013167E" w:rsidRPr="00132DF1" w:rsidRDefault="0013167E" w:rsidP="00C34A98">
            <w:pPr>
              <w:jc w:val="center"/>
              <w:rPr>
                <w:rFonts w:cs="Arial"/>
                <w:sz w:val="18"/>
                <w:szCs w:val="18"/>
              </w:rPr>
            </w:pPr>
            <w:r w:rsidRPr="00132DF1">
              <w:rPr>
                <w:rFonts w:cs="Arial"/>
                <w:sz w:val="18"/>
                <w:szCs w:val="18"/>
              </w:rPr>
              <w:t>0.09</w:t>
            </w:r>
          </w:p>
        </w:tc>
        <w:tc>
          <w:tcPr>
            <w:tcW w:w="567" w:type="dxa"/>
            <w:tcBorders>
              <w:top w:val="single" w:sz="4" w:space="0" w:color="auto"/>
              <w:left w:val="nil"/>
              <w:bottom w:val="nil"/>
              <w:right w:val="nil"/>
            </w:tcBorders>
            <w:shd w:val="clear" w:color="auto" w:fill="auto"/>
            <w:noWrap/>
            <w:vAlign w:val="center"/>
            <w:hideMark/>
          </w:tcPr>
          <w:p w14:paraId="3EC1889D" w14:textId="77777777" w:rsidR="0013167E" w:rsidRPr="00132DF1" w:rsidRDefault="0013167E" w:rsidP="00C34A98">
            <w:pPr>
              <w:jc w:val="center"/>
              <w:rPr>
                <w:rFonts w:cs="Arial"/>
                <w:sz w:val="18"/>
                <w:szCs w:val="18"/>
              </w:rPr>
            </w:pPr>
            <w:r w:rsidRPr="00132DF1">
              <w:rPr>
                <w:rFonts w:cs="Arial"/>
                <w:sz w:val="18"/>
                <w:szCs w:val="18"/>
              </w:rPr>
              <w:t>0.12</w:t>
            </w:r>
          </w:p>
        </w:tc>
        <w:tc>
          <w:tcPr>
            <w:tcW w:w="567" w:type="dxa"/>
            <w:tcBorders>
              <w:top w:val="single" w:sz="4" w:space="0" w:color="auto"/>
              <w:left w:val="nil"/>
              <w:bottom w:val="nil"/>
              <w:right w:val="nil"/>
            </w:tcBorders>
            <w:shd w:val="clear" w:color="auto" w:fill="auto"/>
            <w:noWrap/>
            <w:vAlign w:val="center"/>
            <w:hideMark/>
          </w:tcPr>
          <w:p w14:paraId="21A2B505" w14:textId="77777777" w:rsidR="0013167E" w:rsidRPr="00132DF1" w:rsidRDefault="0013167E" w:rsidP="00C34A98">
            <w:pPr>
              <w:jc w:val="center"/>
              <w:rPr>
                <w:rFonts w:cs="Arial"/>
                <w:sz w:val="18"/>
                <w:szCs w:val="18"/>
              </w:rPr>
            </w:pPr>
            <w:r w:rsidRPr="00132DF1">
              <w:rPr>
                <w:rFonts w:cs="Arial"/>
                <w:sz w:val="18"/>
                <w:szCs w:val="18"/>
              </w:rPr>
              <w:t>0.21</w:t>
            </w:r>
          </w:p>
        </w:tc>
        <w:tc>
          <w:tcPr>
            <w:tcW w:w="667" w:type="dxa"/>
            <w:tcBorders>
              <w:top w:val="single" w:sz="4" w:space="0" w:color="auto"/>
              <w:left w:val="nil"/>
              <w:bottom w:val="nil"/>
              <w:right w:val="nil"/>
            </w:tcBorders>
            <w:shd w:val="clear" w:color="auto" w:fill="auto"/>
            <w:noWrap/>
            <w:vAlign w:val="center"/>
            <w:hideMark/>
          </w:tcPr>
          <w:p w14:paraId="7A074D51" w14:textId="77777777" w:rsidR="0013167E" w:rsidRPr="00132DF1" w:rsidRDefault="0013167E" w:rsidP="00C34A98">
            <w:pPr>
              <w:jc w:val="center"/>
              <w:rPr>
                <w:rFonts w:cs="Arial"/>
                <w:sz w:val="18"/>
                <w:szCs w:val="18"/>
              </w:rPr>
            </w:pPr>
            <w:r w:rsidRPr="00132DF1">
              <w:rPr>
                <w:rFonts w:cs="Arial"/>
                <w:sz w:val="18"/>
                <w:szCs w:val="18"/>
              </w:rPr>
              <w:t>0.41</w:t>
            </w:r>
          </w:p>
        </w:tc>
      </w:tr>
      <w:tr w:rsidR="0013167E" w:rsidRPr="00132DF1" w14:paraId="11996C3B" w14:textId="77777777" w:rsidTr="00C34A98">
        <w:trPr>
          <w:trHeight w:val="288"/>
        </w:trPr>
        <w:tc>
          <w:tcPr>
            <w:tcW w:w="1080" w:type="dxa"/>
            <w:vMerge/>
            <w:tcBorders>
              <w:left w:val="nil"/>
              <w:right w:val="nil"/>
            </w:tcBorders>
            <w:vAlign w:val="center"/>
          </w:tcPr>
          <w:p w14:paraId="51EB223E" w14:textId="77777777" w:rsidR="0013167E" w:rsidRPr="00132DF1" w:rsidRDefault="0013167E" w:rsidP="00C34A98">
            <w:pPr>
              <w:jc w:val="center"/>
              <w:rPr>
                <w:color w:val="000000"/>
                <w:sz w:val="18"/>
                <w:szCs w:val="18"/>
              </w:rPr>
            </w:pPr>
          </w:p>
        </w:tc>
        <w:tc>
          <w:tcPr>
            <w:tcW w:w="1260" w:type="dxa"/>
            <w:tcBorders>
              <w:top w:val="nil"/>
              <w:left w:val="nil"/>
              <w:bottom w:val="single" w:sz="4" w:space="0" w:color="000000" w:themeColor="text1"/>
              <w:right w:val="nil"/>
            </w:tcBorders>
            <w:vAlign w:val="center"/>
          </w:tcPr>
          <w:p w14:paraId="448D7CCA" w14:textId="77777777" w:rsidR="0013167E" w:rsidRPr="00132DF1" w:rsidRDefault="0013167E" w:rsidP="00C34A98">
            <w:pPr>
              <w:jc w:val="center"/>
              <w:rPr>
                <w:rFonts w:cs="Arial"/>
                <w:sz w:val="18"/>
                <w:szCs w:val="18"/>
              </w:rPr>
            </w:pPr>
            <w:r w:rsidRPr="00132DF1">
              <w:rPr>
                <w:rFonts w:cs="Arial"/>
                <w:sz w:val="18"/>
                <w:szCs w:val="18"/>
              </w:rPr>
              <w:t>5%</w:t>
            </w:r>
          </w:p>
        </w:tc>
        <w:tc>
          <w:tcPr>
            <w:tcW w:w="900" w:type="dxa"/>
            <w:tcBorders>
              <w:top w:val="nil"/>
              <w:left w:val="nil"/>
              <w:bottom w:val="single" w:sz="4" w:space="0" w:color="000000" w:themeColor="text1"/>
              <w:right w:val="nil"/>
            </w:tcBorders>
            <w:vAlign w:val="center"/>
          </w:tcPr>
          <w:p w14:paraId="02F92A2D" w14:textId="77777777" w:rsidR="0013167E" w:rsidRPr="00132DF1" w:rsidRDefault="0013167E" w:rsidP="00C34A98">
            <w:pPr>
              <w:jc w:val="center"/>
              <w:rPr>
                <w:rFonts w:cs="Arial"/>
                <w:sz w:val="18"/>
                <w:szCs w:val="18"/>
              </w:rPr>
            </w:pPr>
            <w:r w:rsidRPr="00132DF1">
              <w:rPr>
                <w:rFonts w:cs="Arial"/>
                <w:sz w:val="18"/>
                <w:szCs w:val="18"/>
              </w:rPr>
              <w:t>225</w:t>
            </w:r>
          </w:p>
        </w:tc>
        <w:tc>
          <w:tcPr>
            <w:tcW w:w="990" w:type="dxa"/>
            <w:tcBorders>
              <w:top w:val="nil"/>
              <w:left w:val="nil"/>
              <w:bottom w:val="single" w:sz="4" w:space="0" w:color="000000" w:themeColor="text1"/>
              <w:right w:val="nil"/>
            </w:tcBorders>
            <w:vAlign w:val="center"/>
          </w:tcPr>
          <w:p w14:paraId="2BD3BD31" w14:textId="77777777" w:rsidR="0013167E" w:rsidRPr="00132DF1" w:rsidRDefault="0013167E" w:rsidP="00C34A98">
            <w:pPr>
              <w:jc w:val="center"/>
              <w:rPr>
                <w:color w:val="000000"/>
                <w:sz w:val="18"/>
                <w:szCs w:val="18"/>
              </w:rPr>
            </w:pPr>
            <w:r w:rsidRPr="00132DF1">
              <w:rPr>
                <w:color w:val="000000"/>
                <w:sz w:val="18"/>
                <w:szCs w:val="18"/>
              </w:rPr>
              <w:t>1:1</w:t>
            </w:r>
          </w:p>
        </w:tc>
        <w:tc>
          <w:tcPr>
            <w:tcW w:w="813" w:type="dxa"/>
            <w:tcBorders>
              <w:top w:val="nil"/>
              <w:left w:val="nil"/>
              <w:bottom w:val="single" w:sz="4" w:space="0" w:color="000000" w:themeColor="text1"/>
              <w:right w:val="nil"/>
            </w:tcBorders>
            <w:vAlign w:val="center"/>
          </w:tcPr>
          <w:p w14:paraId="750DC728" w14:textId="77777777" w:rsidR="0013167E" w:rsidRPr="00132DF1" w:rsidRDefault="0013167E" w:rsidP="00C34A98">
            <w:pPr>
              <w:jc w:val="center"/>
              <w:rPr>
                <w:rFonts w:cs="Arial"/>
                <w:sz w:val="18"/>
                <w:szCs w:val="18"/>
              </w:rPr>
            </w:pPr>
            <w:r w:rsidRPr="00132DF1">
              <w:rPr>
                <w:rFonts w:cs="Arial"/>
                <w:sz w:val="18"/>
                <w:szCs w:val="18"/>
              </w:rPr>
              <w:t>450</w:t>
            </w:r>
          </w:p>
        </w:tc>
        <w:tc>
          <w:tcPr>
            <w:tcW w:w="1440" w:type="dxa"/>
            <w:tcBorders>
              <w:top w:val="nil"/>
              <w:left w:val="nil"/>
              <w:bottom w:val="single" w:sz="4" w:space="0" w:color="000000" w:themeColor="text1"/>
              <w:right w:val="nil"/>
            </w:tcBorders>
            <w:shd w:val="clear" w:color="auto" w:fill="auto"/>
            <w:noWrap/>
            <w:vAlign w:val="center"/>
            <w:hideMark/>
          </w:tcPr>
          <w:p w14:paraId="2C9E4FE1" w14:textId="77777777" w:rsidR="0013167E" w:rsidRPr="00132DF1" w:rsidRDefault="0013167E" w:rsidP="00C34A98">
            <w:pPr>
              <w:jc w:val="center"/>
              <w:rPr>
                <w:color w:val="000000"/>
                <w:sz w:val="18"/>
                <w:szCs w:val="18"/>
              </w:rPr>
            </w:pPr>
            <w:r w:rsidRPr="00132DF1">
              <w:rPr>
                <w:color w:val="000000"/>
                <w:sz w:val="18"/>
                <w:szCs w:val="18"/>
              </w:rPr>
              <w:t>1%</w:t>
            </w:r>
          </w:p>
        </w:tc>
        <w:tc>
          <w:tcPr>
            <w:tcW w:w="567" w:type="dxa"/>
            <w:tcBorders>
              <w:top w:val="nil"/>
              <w:left w:val="nil"/>
              <w:bottom w:val="single" w:sz="4" w:space="0" w:color="000000" w:themeColor="text1"/>
              <w:right w:val="nil"/>
            </w:tcBorders>
            <w:shd w:val="clear" w:color="auto" w:fill="auto"/>
            <w:noWrap/>
            <w:vAlign w:val="center"/>
            <w:hideMark/>
          </w:tcPr>
          <w:p w14:paraId="506B3870" w14:textId="77777777" w:rsidR="0013167E" w:rsidRPr="00132DF1" w:rsidRDefault="0013167E" w:rsidP="00C34A98">
            <w:pPr>
              <w:jc w:val="center"/>
              <w:rPr>
                <w:rFonts w:cs="Arial"/>
                <w:sz w:val="18"/>
                <w:szCs w:val="18"/>
              </w:rPr>
            </w:pPr>
            <w:r w:rsidRPr="00132DF1">
              <w:rPr>
                <w:rFonts w:cs="Arial"/>
                <w:sz w:val="18"/>
                <w:szCs w:val="18"/>
              </w:rPr>
              <w:t>0.06</w:t>
            </w:r>
          </w:p>
        </w:tc>
        <w:tc>
          <w:tcPr>
            <w:tcW w:w="567" w:type="dxa"/>
            <w:tcBorders>
              <w:top w:val="nil"/>
              <w:left w:val="nil"/>
              <w:bottom w:val="single" w:sz="4" w:space="0" w:color="000000" w:themeColor="text1"/>
              <w:right w:val="nil"/>
            </w:tcBorders>
            <w:shd w:val="clear" w:color="auto" w:fill="auto"/>
            <w:noWrap/>
            <w:vAlign w:val="center"/>
            <w:hideMark/>
          </w:tcPr>
          <w:p w14:paraId="3C610864" w14:textId="77777777" w:rsidR="0013167E" w:rsidRPr="00132DF1" w:rsidRDefault="0013167E" w:rsidP="00C34A98">
            <w:pPr>
              <w:jc w:val="center"/>
              <w:rPr>
                <w:rFonts w:cs="Arial"/>
                <w:sz w:val="18"/>
                <w:szCs w:val="18"/>
              </w:rPr>
            </w:pPr>
            <w:r w:rsidRPr="00132DF1">
              <w:rPr>
                <w:rFonts w:cs="Arial"/>
                <w:sz w:val="18"/>
                <w:szCs w:val="18"/>
              </w:rPr>
              <w:t>0.12</w:t>
            </w:r>
          </w:p>
        </w:tc>
        <w:tc>
          <w:tcPr>
            <w:tcW w:w="567" w:type="dxa"/>
            <w:tcBorders>
              <w:top w:val="nil"/>
              <w:left w:val="nil"/>
              <w:bottom w:val="single" w:sz="4" w:space="0" w:color="000000" w:themeColor="text1"/>
              <w:right w:val="nil"/>
            </w:tcBorders>
            <w:shd w:val="clear" w:color="auto" w:fill="auto"/>
            <w:noWrap/>
            <w:vAlign w:val="center"/>
            <w:hideMark/>
          </w:tcPr>
          <w:p w14:paraId="718BA6C9" w14:textId="77777777" w:rsidR="0013167E" w:rsidRPr="00132DF1" w:rsidRDefault="0013167E" w:rsidP="00C34A98">
            <w:pPr>
              <w:jc w:val="center"/>
              <w:rPr>
                <w:rFonts w:cs="Arial"/>
                <w:sz w:val="18"/>
                <w:szCs w:val="18"/>
              </w:rPr>
            </w:pPr>
            <w:r w:rsidRPr="00132DF1">
              <w:rPr>
                <w:rFonts w:cs="Arial"/>
                <w:sz w:val="18"/>
                <w:szCs w:val="18"/>
              </w:rPr>
              <w:t>0.30</w:t>
            </w:r>
          </w:p>
        </w:tc>
        <w:tc>
          <w:tcPr>
            <w:tcW w:w="567" w:type="dxa"/>
            <w:tcBorders>
              <w:top w:val="nil"/>
              <w:left w:val="nil"/>
              <w:bottom w:val="single" w:sz="4" w:space="0" w:color="000000" w:themeColor="text1"/>
              <w:right w:val="nil"/>
            </w:tcBorders>
            <w:shd w:val="clear" w:color="auto" w:fill="auto"/>
            <w:noWrap/>
            <w:vAlign w:val="center"/>
            <w:hideMark/>
          </w:tcPr>
          <w:p w14:paraId="158A71A5" w14:textId="77777777" w:rsidR="0013167E" w:rsidRPr="00132DF1" w:rsidRDefault="0013167E" w:rsidP="00C34A98">
            <w:pPr>
              <w:jc w:val="center"/>
              <w:rPr>
                <w:rFonts w:cs="Arial"/>
                <w:sz w:val="18"/>
                <w:szCs w:val="18"/>
              </w:rPr>
            </w:pPr>
            <w:r w:rsidRPr="00132DF1">
              <w:rPr>
                <w:rFonts w:cs="Arial"/>
                <w:sz w:val="18"/>
                <w:szCs w:val="18"/>
              </w:rPr>
              <w:t>0.53</w:t>
            </w:r>
          </w:p>
        </w:tc>
        <w:tc>
          <w:tcPr>
            <w:tcW w:w="567" w:type="dxa"/>
            <w:tcBorders>
              <w:top w:val="nil"/>
              <w:left w:val="nil"/>
              <w:bottom w:val="single" w:sz="4" w:space="0" w:color="000000" w:themeColor="text1"/>
              <w:right w:val="nil"/>
            </w:tcBorders>
            <w:shd w:val="clear" w:color="auto" w:fill="auto"/>
            <w:noWrap/>
            <w:vAlign w:val="center"/>
            <w:hideMark/>
          </w:tcPr>
          <w:p w14:paraId="7B368DE5" w14:textId="77777777" w:rsidR="0013167E" w:rsidRPr="00132DF1" w:rsidRDefault="0013167E" w:rsidP="00C34A98">
            <w:pPr>
              <w:jc w:val="center"/>
              <w:rPr>
                <w:rFonts w:cs="Arial"/>
                <w:sz w:val="18"/>
                <w:szCs w:val="18"/>
              </w:rPr>
            </w:pPr>
            <w:r w:rsidRPr="00132DF1">
              <w:rPr>
                <w:rFonts w:cs="Arial"/>
                <w:sz w:val="18"/>
                <w:szCs w:val="18"/>
              </w:rPr>
              <w:t>0.76</w:t>
            </w:r>
          </w:p>
        </w:tc>
        <w:tc>
          <w:tcPr>
            <w:tcW w:w="567" w:type="dxa"/>
            <w:tcBorders>
              <w:top w:val="nil"/>
              <w:left w:val="nil"/>
              <w:bottom w:val="single" w:sz="4" w:space="0" w:color="000000" w:themeColor="text1"/>
              <w:right w:val="nil"/>
            </w:tcBorders>
            <w:shd w:val="clear" w:color="000000" w:fill="D9D9D9"/>
            <w:noWrap/>
            <w:vAlign w:val="center"/>
            <w:hideMark/>
          </w:tcPr>
          <w:p w14:paraId="76EE8AEA" w14:textId="77777777" w:rsidR="0013167E" w:rsidRPr="00132DF1" w:rsidRDefault="0013167E" w:rsidP="00C34A98">
            <w:pPr>
              <w:jc w:val="center"/>
              <w:rPr>
                <w:rFonts w:cs="Arial"/>
                <w:sz w:val="18"/>
                <w:szCs w:val="18"/>
              </w:rPr>
            </w:pPr>
            <w:r w:rsidRPr="00132DF1">
              <w:rPr>
                <w:rFonts w:cs="Arial"/>
                <w:sz w:val="18"/>
                <w:szCs w:val="18"/>
              </w:rPr>
              <w:t>0.97</w:t>
            </w:r>
          </w:p>
        </w:tc>
        <w:tc>
          <w:tcPr>
            <w:tcW w:w="667" w:type="dxa"/>
            <w:tcBorders>
              <w:top w:val="nil"/>
              <w:left w:val="nil"/>
              <w:bottom w:val="single" w:sz="4" w:space="0" w:color="000000" w:themeColor="text1"/>
              <w:right w:val="nil"/>
            </w:tcBorders>
            <w:shd w:val="clear" w:color="000000" w:fill="D9D9D9"/>
            <w:noWrap/>
            <w:vAlign w:val="center"/>
            <w:hideMark/>
          </w:tcPr>
          <w:p w14:paraId="3854359C" w14:textId="77777777" w:rsidR="0013167E" w:rsidRPr="00132DF1" w:rsidRDefault="0013167E" w:rsidP="00C34A98">
            <w:pPr>
              <w:jc w:val="center"/>
              <w:rPr>
                <w:rFonts w:cs="Arial"/>
                <w:sz w:val="18"/>
                <w:szCs w:val="18"/>
              </w:rPr>
            </w:pPr>
            <w:r w:rsidRPr="00132DF1">
              <w:rPr>
                <w:rFonts w:cs="Arial"/>
                <w:sz w:val="18"/>
                <w:szCs w:val="18"/>
              </w:rPr>
              <w:t>1.00</w:t>
            </w:r>
          </w:p>
        </w:tc>
      </w:tr>
      <w:tr w:rsidR="0013167E" w:rsidRPr="00132DF1" w14:paraId="0F53CB08" w14:textId="77777777" w:rsidTr="00C34A98">
        <w:trPr>
          <w:trHeight w:val="288"/>
        </w:trPr>
        <w:tc>
          <w:tcPr>
            <w:tcW w:w="1080" w:type="dxa"/>
            <w:vMerge/>
            <w:tcBorders>
              <w:left w:val="nil"/>
              <w:right w:val="single" w:sz="4" w:space="0" w:color="000000" w:themeColor="text1"/>
            </w:tcBorders>
            <w:vAlign w:val="center"/>
          </w:tcPr>
          <w:p w14:paraId="45D9BCA5"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single" w:sz="4" w:space="0" w:color="000000" w:themeColor="text1"/>
              <w:bottom w:val="single" w:sz="4" w:space="0" w:color="000000" w:themeColor="text1"/>
              <w:right w:val="nil"/>
            </w:tcBorders>
            <w:vAlign w:val="center"/>
          </w:tcPr>
          <w:p w14:paraId="4D26DC09" w14:textId="77777777" w:rsidR="0013167E" w:rsidRPr="00132DF1" w:rsidRDefault="0013167E" w:rsidP="00C34A98">
            <w:pPr>
              <w:jc w:val="center"/>
              <w:rPr>
                <w:rFonts w:cs="Arial"/>
                <w:sz w:val="18"/>
                <w:szCs w:val="18"/>
              </w:rPr>
            </w:pPr>
            <w:r w:rsidRPr="00132DF1">
              <w:rPr>
                <w:rFonts w:cs="Arial"/>
                <w:sz w:val="18"/>
                <w:szCs w:val="18"/>
              </w:rPr>
              <w:t>10%</w:t>
            </w:r>
          </w:p>
        </w:tc>
        <w:tc>
          <w:tcPr>
            <w:tcW w:w="900" w:type="dxa"/>
            <w:tcBorders>
              <w:top w:val="single" w:sz="4" w:space="0" w:color="000000" w:themeColor="text1"/>
              <w:left w:val="nil"/>
              <w:bottom w:val="single" w:sz="4" w:space="0" w:color="000000" w:themeColor="text1"/>
              <w:right w:val="nil"/>
            </w:tcBorders>
            <w:vAlign w:val="center"/>
          </w:tcPr>
          <w:p w14:paraId="66D413CB" w14:textId="77777777" w:rsidR="0013167E" w:rsidRPr="00132DF1" w:rsidRDefault="0013167E" w:rsidP="00C34A98">
            <w:pPr>
              <w:jc w:val="center"/>
              <w:rPr>
                <w:rFonts w:cs="Arial"/>
                <w:sz w:val="18"/>
                <w:szCs w:val="18"/>
              </w:rPr>
            </w:pPr>
            <w:r w:rsidRPr="00132DF1">
              <w:rPr>
                <w:rFonts w:cs="Arial"/>
                <w:sz w:val="18"/>
                <w:szCs w:val="18"/>
              </w:rPr>
              <w:t>450</w:t>
            </w:r>
          </w:p>
        </w:tc>
        <w:tc>
          <w:tcPr>
            <w:tcW w:w="990" w:type="dxa"/>
            <w:tcBorders>
              <w:top w:val="single" w:sz="4" w:space="0" w:color="000000" w:themeColor="text1"/>
              <w:left w:val="nil"/>
              <w:bottom w:val="single" w:sz="4" w:space="0" w:color="000000" w:themeColor="text1"/>
              <w:right w:val="nil"/>
            </w:tcBorders>
            <w:vAlign w:val="center"/>
          </w:tcPr>
          <w:p w14:paraId="71083A5F" w14:textId="77777777" w:rsidR="0013167E" w:rsidRPr="00132DF1" w:rsidRDefault="0013167E" w:rsidP="00C34A98">
            <w:pPr>
              <w:jc w:val="center"/>
              <w:rPr>
                <w:color w:val="000000"/>
                <w:sz w:val="18"/>
                <w:szCs w:val="18"/>
              </w:rPr>
            </w:pPr>
            <w:r w:rsidRPr="00132DF1">
              <w:rPr>
                <w:color w:val="000000"/>
                <w:sz w:val="18"/>
                <w:szCs w:val="18"/>
              </w:rPr>
              <w:t>1:1</w:t>
            </w:r>
          </w:p>
        </w:tc>
        <w:tc>
          <w:tcPr>
            <w:tcW w:w="813" w:type="dxa"/>
            <w:tcBorders>
              <w:top w:val="single" w:sz="4" w:space="0" w:color="000000" w:themeColor="text1"/>
              <w:left w:val="nil"/>
              <w:bottom w:val="single" w:sz="4" w:space="0" w:color="000000" w:themeColor="text1"/>
              <w:right w:val="nil"/>
            </w:tcBorders>
            <w:vAlign w:val="center"/>
          </w:tcPr>
          <w:p w14:paraId="63B4305E" w14:textId="77777777" w:rsidR="0013167E" w:rsidRPr="004A705F" w:rsidRDefault="0013167E" w:rsidP="00C34A98">
            <w:pPr>
              <w:jc w:val="center"/>
              <w:rPr>
                <w:rFonts w:cs="Arial"/>
                <w:b/>
                <w:sz w:val="18"/>
                <w:szCs w:val="18"/>
              </w:rPr>
            </w:pPr>
            <w:r w:rsidRPr="004A705F">
              <w:rPr>
                <w:rFonts w:cs="Arial"/>
                <w:b/>
                <w:sz w:val="18"/>
                <w:szCs w:val="18"/>
              </w:rPr>
              <w:t>900</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hideMark/>
          </w:tcPr>
          <w:p w14:paraId="12B068AF" w14:textId="77777777" w:rsidR="0013167E" w:rsidRPr="00132DF1" w:rsidRDefault="0013167E" w:rsidP="00C34A98">
            <w:pPr>
              <w:jc w:val="center"/>
              <w:rPr>
                <w:color w:val="000000"/>
                <w:sz w:val="18"/>
                <w:szCs w:val="18"/>
              </w:rPr>
            </w:pPr>
            <w:r w:rsidRPr="00132DF1">
              <w:rPr>
                <w:color w:val="000000"/>
                <w:sz w:val="18"/>
                <w:szCs w:val="18"/>
              </w:rPr>
              <w:t>1%</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14ACAF95" w14:textId="77777777" w:rsidR="0013167E" w:rsidRPr="00132DF1" w:rsidRDefault="0013167E" w:rsidP="00C34A98">
            <w:pPr>
              <w:jc w:val="center"/>
              <w:rPr>
                <w:rFonts w:cs="Arial"/>
                <w:sz w:val="18"/>
                <w:szCs w:val="18"/>
              </w:rPr>
            </w:pPr>
            <w:r w:rsidRPr="00132DF1">
              <w:rPr>
                <w:rFonts w:cs="Arial"/>
                <w:sz w:val="18"/>
                <w:szCs w:val="18"/>
              </w:rPr>
              <w:t>0.09</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3FD8AED6" w14:textId="77777777" w:rsidR="0013167E" w:rsidRPr="00132DF1" w:rsidRDefault="0013167E" w:rsidP="00C34A98">
            <w:pPr>
              <w:jc w:val="center"/>
              <w:rPr>
                <w:rFonts w:cs="Arial"/>
                <w:sz w:val="18"/>
                <w:szCs w:val="18"/>
              </w:rPr>
            </w:pPr>
            <w:r w:rsidRPr="00132DF1">
              <w:rPr>
                <w:rFonts w:cs="Arial"/>
                <w:sz w:val="18"/>
                <w:szCs w:val="18"/>
              </w:rPr>
              <w:t>0.22</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76B81B0F" w14:textId="77777777" w:rsidR="0013167E" w:rsidRPr="00132DF1" w:rsidRDefault="0013167E" w:rsidP="00C34A98">
            <w:pPr>
              <w:jc w:val="center"/>
              <w:rPr>
                <w:rFonts w:cs="Arial"/>
                <w:sz w:val="18"/>
                <w:szCs w:val="18"/>
              </w:rPr>
            </w:pPr>
            <w:r w:rsidRPr="00132DF1">
              <w:rPr>
                <w:rFonts w:cs="Arial"/>
                <w:sz w:val="18"/>
                <w:szCs w:val="18"/>
              </w:rPr>
              <w:t>0.58</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0FF30E0E" w14:textId="77777777" w:rsidR="0013167E" w:rsidRPr="00132DF1" w:rsidRDefault="0013167E" w:rsidP="00C34A98">
            <w:pPr>
              <w:jc w:val="center"/>
              <w:rPr>
                <w:rFonts w:cs="Arial"/>
                <w:sz w:val="18"/>
                <w:szCs w:val="18"/>
              </w:rPr>
            </w:pPr>
            <w:r w:rsidRPr="00132DF1">
              <w:rPr>
                <w:rFonts w:cs="Arial"/>
                <w:sz w:val="18"/>
                <w:szCs w:val="18"/>
              </w:rPr>
              <w:t>0.87</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7A6EEF72" w14:textId="77777777" w:rsidR="0013167E" w:rsidRPr="00132DF1" w:rsidRDefault="0013167E" w:rsidP="00C34A98">
            <w:pPr>
              <w:jc w:val="center"/>
              <w:rPr>
                <w:rFonts w:cs="Arial"/>
                <w:sz w:val="18"/>
                <w:szCs w:val="18"/>
              </w:rPr>
            </w:pPr>
            <w:r w:rsidRPr="00132DF1">
              <w:rPr>
                <w:rFonts w:cs="Arial"/>
                <w:sz w:val="18"/>
                <w:szCs w:val="18"/>
              </w:rPr>
              <w:t>0.98</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0CE4E9BE" w14:textId="77777777" w:rsidR="0013167E" w:rsidRPr="00132DF1" w:rsidRDefault="0013167E" w:rsidP="00C34A98">
            <w:pPr>
              <w:jc w:val="center"/>
              <w:rPr>
                <w:rFonts w:cs="Arial"/>
                <w:sz w:val="18"/>
                <w:szCs w:val="18"/>
              </w:rPr>
            </w:pPr>
            <w:r w:rsidRPr="00132DF1">
              <w:rPr>
                <w:rFonts w:cs="Arial"/>
                <w:sz w:val="18"/>
                <w:szCs w:val="18"/>
              </w:rPr>
              <w:t>1.00</w:t>
            </w:r>
          </w:p>
        </w:tc>
        <w:tc>
          <w:tcPr>
            <w:tcW w:w="667" w:type="dxa"/>
            <w:tcBorders>
              <w:top w:val="single" w:sz="4" w:space="0" w:color="000000" w:themeColor="text1"/>
              <w:left w:val="nil"/>
              <w:bottom w:val="single" w:sz="4" w:space="0" w:color="000000" w:themeColor="text1"/>
              <w:right w:val="single" w:sz="4" w:space="0" w:color="000000" w:themeColor="text1"/>
            </w:tcBorders>
            <w:shd w:val="clear" w:color="000000" w:fill="D9D9D9"/>
            <w:noWrap/>
            <w:vAlign w:val="center"/>
            <w:hideMark/>
          </w:tcPr>
          <w:p w14:paraId="44E7E548" w14:textId="77777777" w:rsidR="0013167E" w:rsidRPr="00132DF1" w:rsidRDefault="0013167E" w:rsidP="00C34A98">
            <w:pPr>
              <w:jc w:val="center"/>
              <w:rPr>
                <w:rFonts w:cs="Arial"/>
                <w:sz w:val="18"/>
                <w:szCs w:val="18"/>
              </w:rPr>
            </w:pPr>
            <w:r w:rsidRPr="00132DF1">
              <w:rPr>
                <w:rFonts w:cs="Arial"/>
                <w:sz w:val="18"/>
                <w:szCs w:val="18"/>
              </w:rPr>
              <w:t>1.00</w:t>
            </w:r>
          </w:p>
        </w:tc>
      </w:tr>
      <w:tr w:rsidR="0013167E" w:rsidRPr="00132DF1" w14:paraId="2AC4D0F7" w14:textId="77777777" w:rsidTr="00C34A98">
        <w:trPr>
          <w:trHeight w:val="288"/>
        </w:trPr>
        <w:tc>
          <w:tcPr>
            <w:tcW w:w="1080" w:type="dxa"/>
            <w:vMerge/>
            <w:tcBorders>
              <w:left w:val="nil"/>
              <w:right w:val="nil"/>
            </w:tcBorders>
            <w:vAlign w:val="center"/>
          </w:tcPr>
          <w:p w14:paraId="1CA0BD83"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nil"/>
              <w:bottom w:val="single" w:sz="4" w:space="0" w:color="000000" w:themeColor="text1"/>
              <w:right w:val="nil"/>
            </w:tcBorders>
            <w:vAlign w:val="center"/>
          </w:tcPr>
          <w:p w14:paraId="5D9308A1" w14:textId="77777777" w:rsidR="0013167E" w:rsidRPr="00132DF1" w:rsidRDefault="0013167E" w:rsidP="00C34A98">
            <w:pPr>
              <w:jc w:val="center"/>
              <w:rPr>
                <w:rFonts w:cs="Arial"/>
                <w:sz w:val="18"/>
                <w:szCs w:val="18"/>
              </w:rPr>
            </w:pPr>
            <w:r w:rsidRPr="00132DF1">
              <w:rPr>
                <w:rFonts w:cs="Arial"/>
                <w:sz w:val="18"/>
                <w:szCs w:val="18"/>
              </w:rPr>
              <w:t>1%</w:t>
            </w:r>
          </w:p>
        </w:tc>
        <w:tc>
          <w:tcPr>
            <w:tcW w:w="900" w:type="dxa"/>
            <w:tcBorders>
              <w:top w:val="single" w:sz="4" w:space="0" w:color="000000" w:themeColor="text1"/>
              <w:left w:val="nil"/>
              <w:bottom w:val="single" w:sz="4" w:space="0" w:color="000000" w:themeColor="text1"/>
              <w:right w:val="nil"/>
            </w:tcBorders>
            <w:vAlign w:val="center"/>
          </w:tcPr>
          <w:p w14:paraId="6CBEF19C" w14:textId="77777777" w:rsidR="0013167E" w:rsidRPr="00132DF1" w:rsidRDefault="0013167E" w:rsidP="00C34A98">
            <w:pPr>
              <w:jc w:val="center"/>
              <w:rPr>
                <w:rFonts w:cs="Arial"/>
                <w:sz w:val="18"/>
                <w:szCs w:val="18"/>
              </w:rPr>
            </w:pPr>
            <w:r w:rsidRPr="00132DF1">
              <w:rPr>
                <w:rFonts w:cs="Arial"/>
                <w:sz w:val="18"/>
                <w:szCs w:val="18"/>
              </w:rPr>
              <w:t>45</w:t>
            </w:r>
          </w:p>
        </w:tc>
        <w:tc>
          <w:tcPr>
            <w:tcW w:w="990" w:type="dxa"/>
            <w:tcBorders>
              <w:top w:val="single" w:sz="4" w:space="0" w:color="000000" w:themeColor="text1"/>
              <w:left w:val="nil"/>
              <w:bottom w:val="single" w:sz="4" w:space="0" w:color="000000" w:themeColor="text1"/>
              <w:right w:val="nil"/>
            </w:tcBorders>
            <w:vAlign w:val="center"/>
          </w:tcPr>
          <w:p w14:paraId="7447E7CD" w14:textId="77777777" w:rsidR="0013167E" w:rsidRPr="00132DF1" w:rsidRDefault="0013167E" w:rsidP="00C34A98">
            <w:pPr>
              <w:jc w:val="center"/>
              <w:rPr>
                <w:color w:val="000000"/>
                <w:sz w:val="18"/>
                <w:szCs w:val="18"/>
              </w:rPr>
            </w:pPr>
            <w:r w:rsidRPr="00132DF1">
              <w:rPr>
                <w:color w:val="000000"/>
                <w:sz w:val="18"/>
                <w:szCs w:val="18"/>
              </w:rPr>
              <w:t>4:1</w:t>
            </w:r>
          </w:p>
        </w:tc>
        <w:tc>
          <w:tcPr>
            <w:tcW w:w="813" w:type="dxa"/>
            <w:tcBorders>
              <w:top w:val="single" w:sz="4" w:space="0" w:color="000000" w:themeColor="text1"/>
              <w:left w:val="nil"/>
              <w:bottom w:val="single" w:sz="4" w:space="0" w:color="000000" w:themeColor="text1"/>
              <w:right w:val="nil"/>
            </w:tcBorders>
            <w:vAlign w:val="center"/>
          </w:tcPr>
          <w:p w14:paraId="0594A6AD" w14:textId="77777777" w:rsidR="0013167E" w:rsidRPr="00132DF1" w:rsidRDefault="0013167E" w:rsidP="00C34A98">
            <w:pPr>
              <w:jc w:val="center"/>
              <w:rPr>
                <w:rFonts w:cs="Arial"/>
                <w:sz w:val="18"/>
                <w:szCs w:val="18"/>
              </w:rPr>
            </w:pPr>
            <w:r w:rsidRPr="00132DF1">
              <w:rPr>
                <w:rFonts w:cs="Arial"/>
                <w:sz w:val="18"/>
                <w:szCs w:val="18"/>
              </w:rPr>
              <w:t>225</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hideMark/>
          </w:tcPr>
          <w:p w14:paraId="32CAF06C" w14:textId="77777777" w:rsidR="0013167E" w:rsidRPr="00132DF1" w:rsidRDefault="0013167E" w:rsidP="00C34A98">
            <w:pPr>
              <w:jc w:val="center"/>
              <w:rPr>
                <w:color w:val="000000"/>
                <w:sz w:val="18"/>
                <w:szCs w:val="18"/>
              </w:rPr>
            </w:pPr>
            <w:r w:rsidRPr="00132DF1">
              <w:rPr>
                <w:color w:val="000000"/>
                <w:sz w:val="18"/>
                <w:szCs w:val="18"/>
              </w:rPr>
              <w:t>1%</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2E763434" w14:textId="77777777" w:rsidR="0013167E" w:rsidRPr="00132DF1" w:rsidRDefault="0013167E" w:rsidP="00C34A98">
            <w:pPr>
              <w:jc w:val="center"/>
              <w:rPr>
                <w:rFonts w:cs="Arial"/>
                <w:sz w:val="18"/>
                <w:szCs w:val="18"/>
              </w:rPr>
            </w:pPr>
            <w:r w:rsidRPr="00132DF1">
              <w:rPr>
                <w:rFonts w:cs="Arial"/>
                <w:sz w:val="18"/>
                <w:szCs w:val="18"/>
              </w:rPr>
              <w:t>0.07</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07BD87FC" w14:textId="77777777" w:rsidR="0013167E" w:rsidRPr="00132DF1" w:rsidRDefault="0013167E" w:rsidP="00C34A98">
            <w:pPr>
              <w:jc w:val="center"/>
              <w:rPr>
                <w:rFonts w:cs="Arial"/>
                <w:sz w:val="18"/>
                <w:szCs w:val="18"/>
              </w:rPr>
            </w:pPr>
            <w:r w:rsidRPr="00132DF1">
              <w:rPr>
                <w:rFonts w:cs="Arial"/>
                <w:sz w:val="18"/>
                <w:szCs w:val="18"/>
              </w:rPr>
              <w:t>0.12</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0D1680E7" w14:textId="77777777" w:rsidR="0013167E" w:rsidRPr="00132DF1" w:rsidRDefault="0013167E" w:rsidP="00C34A98">
            <w:pPr>
              <w:jc w:val="center"/>
              <w:rPr>
                <w:rFonts w:cs="Arial"/>
                <w:sz w:val="18"/>
                <w:szCs w:val="18"/>
              </w:rPr>
            </w:pPr>
            <w:r w:rsidRPr="00132DF1">
              <w:rPr>
                <w:rFonts w:cs="Arial"/>
                <w:sz w:val="18"/>
                <w:szCs w:val="18"/>
              </w:rPr>
              <w:t>0.22</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335BD3CB" w14:textId="77777777" w:rsidR="0013167E" w:rsidRPr="00132DF1" w:rsidRDefault="0013167E" w:rsidP="00C34A98">
            <w:pPr>
              <w:jc w:val="center"/>
              <w:rPr>
                <w:rFonts w:cs="Arial"/>
                <w:sz w:val="18"/>
                <w:szCs w:val="18"/>
              </w:rPr>
            </w:pPr>
            <w:r w:rsidRPr="00132DF1">
              <w:rPr>
                <w:rFonts w:cs="Arial"/>
                <w:sz w:val="18"/>
                <w:szCs w:val="18"/>
              </w:rPr>
              <w:t>0.34</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64D8DD39" w14:textId="77777777" w:rsidR="0013167E" w:rsidRPr="00132DF1" w:rsidRDefault="0013167E" w:rsidP="00C34A98">
            <w:pPr>
              <w:jc w:val="center"/>
              <w:rPr>
                <w:rFonts w:cs="Arial"/>
                <w:sz w:val="18"/>
                <w:szCs w:val="18"/>
              </w:rPr>
            </w:pPr>
            <w:r w:rsidRPr="00132DF1">
              <w:rPr>
                <w:rFonts w:cs="Arial"/>
                <w:sz w:val="18"/>
                <w:szCs w:val="18"/>
              </w:rPr>
              <w:t>0.45</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6EABC2AC" w14:textId="77777777" w:rsidR="0013167E" w:rsidRPr="00132DF1" w:rsidRDefault="0013167E" w:rsidP="00C34A98">
            <w:pPr>
              <w:jc w:val="center"/>
              <w:rPr>
                <w:rFonts w:cs="Arial"/>
                <w:sz w:val="18"/>
                <w:szCs w:val="18"/>
              </w:rPr>
            </w:pPr>
            <w:r w:rsidRPr="00132DF1">
              <w:rPr>
                <w:rFonts w:cs="Arial"/>
                <w:sz w:val="18"/>
                <w:szCs w:val="18"/>
              </w:rPr>
              <w:t>0.66</w:t>
            </w:r>
          </w:p>
        </w:tc>
        <w:tc>
          <w:tcPr>
            <w:tcW w:w="667" w:type="dxa"/>
            <w:tcBorders>
              <w:top w:val="single" w:sz="4" w:space="0" w:color="000000" w:themeColor="text1"/>
              <w:left w:val="nil"/>
              <w:bottom w:val="single" w:sz="4" w:space="0" w:color="000000" w:themeColor="text1"/>
              <w:right w:val="nil"/>
            </w:tcBorders>
            <w:shd w:val="clear" w:color="000000" w:fill="D9D9D9"/>
            <w:noWrap/>
            <w:vAlign w:val="center"/>
            <w:hideMark/>
          </w:tcPr>
          <w:p w14:paraId="4E584110" w14:textId="77777777" w:rsidR="0013167E" w:rsidRPr="00132DF1" w:rsidRDefault="0013167E" w:rsidP="00C34A98">
            <w:pPr>
              <w:jc w:val="center"/>
              <w:rPr>
                <w:rFonts w:cs="Arial"/>
                <w:sz w:val="18"/>
                <w:szCs w:val="18"/>
              </w:rPr>
            </w:pPr>
            <w:r w:rsidRPr="00132DF1">
              <w:rPr>
                <w:rFonts w:cs="Arial"/>
                <w:sz w:val="18"/>
                <w:szCs w:val="18"/>
              </w:rPr>
              <w:t>0.88</w:t>
            </w:r>
          </w:p>
        </w:tc>
      </w:tr>
      <w:tr w:rsidR="0013167E" w:rsidRPr="00132DF1" w14:paraId="32DA65AE" w14:textId="77777777" w:rsidTr="00C34A98">
        <w:trPr>
          <w:trHeight w:val="288"/>
        </w:trPr>
        <w:tc>
          <w:tcPr>
            <w:tcW w:w="1080" w:type="dxa"/>
            <w:vMerge/>
            <w:tcBorders>
              <w:left w:val="nil"/>
              <w:right w:val="single" w:sz="4" w:space="0" w:color="000000" w:themeColor="text1"/>
            </w:tcBorders>
            <w:vAlign w:val="center"/>
          </w:tcPr>
          <w:p w14:paraId="5B915883"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single" w:sz="4" w:space="0" w:color="000000" w:themeColor="text1"/>
              <w:bottom w:val="single" w:sz="4" w:space="0" w:color="000000" w:themeColor="text1"/>
              <w:right w:val="nil"/>
            </w:tcBorders>
            <w:vAlign w:val="center"/>
          </w:tcPr>
          <w:p w14:paraId="71FD900C" w14:textId="77777777" w:rsidR="0013167E" w:rsidRPr="00132DF1" w:rsidRDefault="0013167E" w:rsidP="00C34A98">
            <w:pPr>
              <w:jc w:val="center"/>
              <w:rPr>
                <w:rFonts w:cs="Arial"/>
                <w:sz w:val="18"/>
                <w:szCs w:val="18"/>
              </w:rPr>
            </w:pPr>
            <w:r w:rsidRPr="00132DF1">
              <w:rPr>
                <w:rFonts w:cs="Arial"/>
                <w:sz w:val="18"/>
                <w:szCs w:val="18"/>
              </w:rPr>
              <w:t>5%</w:t>
            </w:r>
          </w:p>
        </w:tc>
        <w:tc>
          <w:tcPr>
            <w:tcW w:w="900" w:type="dxa"/>
            <w:tcBorders>
              <w:top w:val="single" w:sz="4" w:space="0" w:color="000000" w:themeColor="text1"/>
              <w:left w:val="nil"/>
              <w:bottom w:val="single" w:sz="4" w:space="0" w:color="000000" w:themeColor="text1"/>
              <w:right w:val="nil"/>
            </w:tcBorders>
            <w:vAlign w:val="center"/>
          </w:tcPr>
          <w:p w14:paraId="278C233B" w14:textId="77777777" w:rsidR="0013167E" w:rsidRPr="00132DF1" w:rsidRDefault="0013167E" w:rsidP="00C34A98">
            <w:pPr>
              <w:jc w:val="center"/>
              <w:rPr>
                <w:rFonts w:cs="Arial"/>
                <w:sz w:val="18"/>
                <w:szCs w:val="18"/>
              </w:rPr>
            </w:pPr>
            <w:r w:rsidRPr="00132DF1">
              <w:rPr>
                <w:rFonts w:cs="Arial"/>
                <w:sz w:val="18"/>
                <w:szCs w:val="18"/>
              </w:rPr>
              <w:t>225</w:t>
            </w:r>
          </w:p>
        </w:tc>
        <w:tc>
          <w:tcPr>
            <w:tcW w:w="990" w:type="dxa"/>
            <w:tcBorders>
              <w:top w:val="single" w:sz="4" w:space="0" w:color="000000" w:themeColor="text1"/>
              <w:left w:val="nil"/>
              <w:bottom w:val="single" w:sz="4" w:space="0" w:color="000000" w:themeColor="text1"/>
              <w:right w:val="nil"/>
            </w:tcBorders>
            <w:vAlign w:val="center"/>
          </w:tcPr>
          <w:p w14:paraId="46306679" w14:textId="77777777" w:rsidR="0013167E" w:rsidRPr="00132DF1" w:rsidRDefault="0013167E" w:rsidP="00C34A98">
            <w:pPr>
              <w:jc w:val="center"/>
              <w:rPr>
                <w:color w:val="000000"/>
                <w:sz w:val="18"/>
                <w:szCs w:val="18"/>
              </w:rPr>
            </w:pPr>
            <w:r w:rsidRPr="00132DF1">
              <w:rPr>
                <w:color w:val="000000"/>
                <w:sz w:val="18"/>
                <w:szCs w:val="18"/>
              </w:rPr>
              <w:t>4:1</w:t>
            </w:r>
          </w:p>
        </w:tc>
        <w:tc>
          <w:tcPr>
            <w:tcW w:w="813" w:type="dxa"/>
            <w:tcBorders>
              <w:top w:val="single" w:sz="4" w:space="0" w:color="000000" w:themeColor="text1"/>
              <w:left w:val="nil"/>
              <w:bottom w:val="single" w:sz="4" w:space="0" w:color="000000" w:themeColor="text1"/>
              <w:right w:val="nil"/>
            </w:tcBorders>
            <w:vAlign w:val="center"/>
          </w:tcPr>
          <w:p w14:paraId="49D81A34" w14:textId="77777777" w:rsidR="0013167E" w:rsidRPr="004A705F" w:rsidRDefault="0013167E" w:rsidP="00C34A98">
            <w:pPr>
              <w:jc w:val="center"/>
              <w:rPr>
                <w:rFonts w:cs="Arial"/>
                <w:b/>
                <w:sz w:val="18"/>
                <w:szCs w:val="18"/>
              </w:rPr>
            </w:pPr>
            <w:r w:rsidRPr="004A705F">
              <w:rPr>
                <w:rFonts w:cs="Arial"/>
                <w:b/>
                <w:sz w:val="18"/>
                <w:szCs w:val="18"/>
              </w:rPr>
              <w:t>1125</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hideMark/>
          </w:tcPr>
          <w:p w14:paraId="02722C77" w14:textId="77777777" w:rsidR="0013167E" w:rsidRPr="00132DF1" w:rsidRDefault="0013167E" w:rsidP="00C34A98">
            <w:pPr>
              <w:jc w:val="center"/>
              <w:rPr>
                <w:color w:val="000000"/>
                <w:sz w:val="18"/>
                <w:szCs w:val="18"/>
              </w:rPr>
            </w:pPr>
            <w:r w:rsidRPr="00132DF1">
              <w:rPr>
                <w:color w:val="000000"/>
                <w:sz w:val="18"/>
                <w:szCs w:val="18"/>
              </w:rPr>
              <w:t>1%</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71207019" w14:textId="77777777" w:rsidR="0013167E" w:rsidRPr="00132DF1" w:rsidRDefault="0013167E" w:rsidP="00C34A98">
            <w:pPr>
              <w:jc w:val="center"/>
              <w:rPr>
                <w:rFonts w:cs="Arial"/>
                <w:sz w:val="18"/>
                <w:szCs w:val="18"/>
              </w:rPr>
            </w:pPr>
            <w:r w:rsidRPr="00132DF1">
              <w:rPr>
                <w:rFonts w:cs="Arial"/>
                <w:sz w:val="18"/>
                <w:szCs w:val="18"/>
              </w:rPr>
              <w:t>0.12</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047968FF" w14:textId="77777777" w:rsidR="0013167E" w:rsidRPr="00132DF1" w:rsidRDefault="0013167E" w:rsidP="00C34A98">
            <w:pPr>
              <w:jc w:val="center"/>
              <w:rPr>
                <w:rFonts w:cs="Arial"/>
                <w:sz w:val="18"/>
                <w:szCs w:val="18"/>
              </w:rPr>
            </w:pPr>
            <w:r w:rsidRPr="00132DF1">
              <w:rPr>
                <w:rFonts w:cs="Arial"/>
                <w:sz w:val="18"/>
                <w:szCs w:val="18"/>
              </w:rPr>
              <w:t>0.27</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40BDB70F" w14:textId="77777777" w:rsidR="0013167E" w:rsidRPr="00132DF1" w:rsidRDefault="0013167E" w:rsidP="00C34A98">
            <w:pPr>
              <w:jc w:val="center"/>
              <w:rPr>
                <w:rFonts w:cs="Arial"/>
                <w:sz w:val="18"/>
                <w:szCs w:val="18"/>
              </w:rPr>
            </w:pPr>
            <w:r w:rsidRPr="00132DF1">
              <w:rPr>
                <w:rFonts w:cs="Arial"/>
                <w:sz w:val="18"/>
                <w:szCs w:val="18"/>
              </w:rPr>
              <w:t>0.60</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49248BAC" w14:textId="77777777" w:rsidR="0013167E" w:rsidRPr="00132DF1" w:rsidRDefault="0013167E" w:rsidP="00C34A98">
            <w:pPr>
              <w:jc w:val="center"/>
              <w:rPr>
                <w:rFonts w:cs="Arial"/>
                <w:sz w:val="18"/>
                <w:szCs w:val="18"/>
              </w:rPr>
            </w:pPr>
            <w:r w:rsidRPr="00132DF1">
              <w:rPr>
                <w:rFonts w:cs="Arial"/>
                <w:sz w:val="18"/>
                <w:szCs w:val="18"/>
              </w:rPr>
              <w:t>0.84</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1A0F1B6E" w14:textId="77777777" w:rsidR="0013167E" w:rsidRPr="00132DF1" w:rsidRDefault="0013167E" w:rsidP="00C34A98">
            <w:pPr>
              <w:jc w:val="center"/>
              <w:rPr>
                <w:rFonts w:cs="Arial"/>
                <w:sz w:val="18"/>
                <w:szCs w:val="18"/>
              </w:rPr>
            </w:pPr>
            <w:r w:rsidRPr="00132DF1">
              <w:rPr>
                <w:rFonts w:cs="Arial"/>
                <w:sz w:val="18"/>
                <w:szCs w:val="18"/>
              </w:rPr>
              <w:t>0.95</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509C0B8C" w14:textId="77777777" w:rsidR="0013167E" w:rsidRPr="00132DF1" w:rsidRDefault="0013167E" w:rsidP="00C34A98">
            <w:pPr>
              <w:jc w:val="center"/>
              <w:rPr>
                <w:rFonts w:cs="Arial"/>
                <w:sz w:val="18"/>
                <w:szCs w:val="18"/>
              </w:rPr>
            </w:pPr>
            <w:r w:rsidRPr="00132DF1">
              <w:rPr>
                <w:rFonts w:cs="Arial"/>
                <w:sz w:val="18"/>
                <w:szCs w:val="18"/>
              </w:rPr>
              <w:t>1.00</w:t>
            </w:r>
          </w:p>
        </w:tc>
        <w:tc>
          <w:tcPr>
            <w:tcW w:w="667" w:type="dxa"/>
            <w:tcBorders>
              <w:top w:val="single" w:sz="4" w:space="0" w:color="000000" w:themeColor="text1"/>
              <w:left w:val="nil"/>
              <w:bottom w:val="single" w:sz="4" w:space="0" w:color="000000" w:themeColor="text1"/>
              <w:right w:val="single" w:sz="4" w:space="0" w:color="000000" w:themeColor="text1"/>
            </w:tcBorders>
            <w:shd w:val="clear" w:color="000000" w:fill="D9D9D9"/>
            <w:noWrap/>
            <w:vAlign w:val="center"/>
            <w:hideMark/>
          </w:tcPr>
          <w:p w14:paraId="0D73E9BB" w14:textId="77777777" w:rsidR="0013167E" w:rsidRPr="00132DF1" w:rsidRDefault="0013167E" w:rsidP="00C34A98">
            <w:pPr>
              <w:jc w:val="center"/>
              <w:rPr>
                <w:rFonts w:cs="Arial"/>
                <w:sz w:val="18"/>
                <w:szCs w:val="18"/>
              </w:rPr>
            </w:pPr>
            <w:r w:rsidRPr="00132DF1">
              <w:rPr>
                <w:rFonts w:cs="Arial"/>
                <w:sz w:val="18"/>
                <w:szCs w:val="18"/>
              </w:rPr>
              <w:t>1.00</w:t>
            </w:r>
          </w:p>
        </w:tc>
      </w:tr>
      <w:tr w:rsidR="0013167E" w:rsidRPr="00132DF1" w14:paraId="73BC7953" w14:textId="77777777" w:rsidTr="00C34A98">
        <w:trPr>
          <w:trHeight w:val="288"/>
        </w:trPr>
        <w:tc>
          <w:tcPr>
            <w:tcW w:w="1080" w:type="dxa"/>
            <w:vMerge/>
            <w:tcBorders>
              <w:left w:val="nil"/>
              <w:right w:val="nil"/>
            </w:tcBorders>
            <w:vAlign w:val="center"/>
          </w:tcPr>
          <w:p w14:paraId="7F7B8745"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nil"/>
              <w:bottom w:val="nil"/>
              <w:right w:val="nil"/>
            </w:tcBorders>
            <w:vAlign w:val="center"/>
          </w:tcPr>
          <w:p w14:paraId="410151B6" w14:textId="77777777" w:rsidR="0013167E" w:rsidRPr="00132DF1" w:rsidRDefault="0013167E" w:rsidP="00C34A98">
            <w:pPr>
              <w:jc w:val="center"/>
              <w:rPr>
                <w:rFonts w:cs="Arial"/>
                <w:sz w:val="18"/>
                <w:szCs w:val="18"/>
              </w:rPr>
            </w:pPr>
            <w:r w:rsidRPr="00132DF1">
              <w:rPr>
                <w:rFonts w:cs="Arial"/>
                <w:sz w:val="18"/>
                <w:szCs w:val="18"/>
              </w:rPr>
              <w:t>1%</w:t>
            </w:r>
          </w:p>
        </w:tc>
        <w:tc>
          <w:tcPr>
            <w:tcW w:w="900" w:type="dxa"/>
            <w:tcBorders>
              <w:top w:val="single" w:sz="4" w:space="0" w:color="000000" w:themeColor="text1"/>
              <w:left w:val="nil"/>
              <w:bottom w:val="nil"/>
              <w:right w:val="nil"/>
            </w:tcBorders>
            <w:vAlign w:val="center"/>
          </w:tcPr>
          <w:p w14:paraId="6AA87F78" w14:textId="77777777" w:rsidR="0013167E" w:rsidRPr="00132DF1" w:rsidRDefault="0013167E" w:rsidP="00C34A98">
            <w:pPr>
              <w:jc w:val="center"/>
              <w:rPr>
                <w:rFonts w:cs="Arial"/>
                <w:sz w:val="18"/>
                <w:szCs w:val="18"/>
              </w:rPr>
            </w:pPr>
            <w:r w:rsidRPr="00132DF1">
              <w:rPr>
                <w:rFonts w:cs="Arial"/>
                <w:sz w:val="18"/>
                <w:szCs w:val="18"/>
              </w:rPr>
              <w:t>45</w:t>
            </w:r>
          </w:p>
        </w:tc>
        <w:tc>
          <w:tcPr>
            <w:tcW w:w="990" w:type="dxa"/>
            <w:tcBorders>
              <w:top w:val="single" w:sz="4" w:space="0" w:color="000000" w:themeColor="text1"/>
              <w:left w:val="nil"/>
              <w:bottom w:val="nil"/>
              <w:right w:val="nil"/>
            </w:tcBorders>
            <w:vAlign w:val="center"/>
          </w:tcPr>
          <w:p w14:paraId="5D2EFBF4" w14:textId="77777777" w:rsidR="0013167E" w:rsidRPr="00132DF1" w:rsidRDefault="0013167E" w:rsidP="00C34A98">
            <w:pPr>
              <w:jc w:val="center"/>
              <w:rPr>
                <w:color w:val="000000"/>
                <w:sz w:val="18"/>
                <w:szCs w:val="18"/>
              </w:rPr>
            </w:pPr>
            <w:r w:rsidRPr="00132DF1">
              <w:rPr>
                <w:color w:val="000000"/>
                <w:sz w:val="18"/>
                <w:szCs w:val="18"/>
              </w:rPr>
              <w:t>1:1</w:t>
            </w:r>
          </w:p>
        </w:tc>
        <w:tc>
          <w:tcPr>
            <w:tcW w:w="813" w:type="dxa"/>
            <w:tcBorders>
              <w:top w:val="single" w:sz="4" w:space="0" w:color="000000" w:themeColor="text1"/>
              <w:left w:val="nil"/>
              <w:bottom w:val="nil"/>
              <w:right w:val="nil"/>
            </w:tcBorders>
            <w:vAlign w:val="center"/>
          </w:tcPr>
          <w:p w14:paraId="6E84A5EA" w14:textId="77777777" w:rsidR="0013167E" w:rsidRPr="00132DF1" w:rsidRDefault="0013167E" w:rsidP="00C34A98">
            <w:pPr>
              <w:jc w:val="center"/>
              <w:rPr>
                <w:rFonts w:cs="Arial"/>
                <w:sz w:val="18"/>
                <w:szCs w:val="18"/>
              </w:rPr>
            </w:pPr>
            <w:r w:rsidRPr="00132DF1">
              <w:rPr>
                <w:rFonts w:cs="Arial"/>
                <w:sz w:val="18"/>
                <w:szCs w:val="18"/>
              </w:rPr>
              <w:t>90</w:t>
            </w:r>
          </w:p>
        </w:tc>
        <w:tc>
          <w:tcPr>
            <w:tcW w:w="1440" w:type="dxa"/>
            <w:tcBorders>
              <w:top w:val="single" w:sz="4" w:space="0" w:color="000000" w:themeColor="text1"/>
              <w:left w:val="nil"/>
              <w:bottom w:val="nil"/>
              <w:right w:val="nil"/>
            </w:tcBorders>
            <w:shd w:val="clear" w:color="auto" w:fill="auto"/>
            <w:noWrap/>
            <w:vAlign w:val="center"/>
            <w:hideMark/>
          </w:tcPr>
          <w:p w14:paraId="71DDFFE2" w14:textId="77777777" w:rsidR="0013167E" w:rsidRPr="00132DF1" w:rsidRDefault="0013167E" w:rsidP="00C34A98">
            <w:pPr>
              <w:jc w:val="center"/>
              <w:rPr>
                <w:color w:val="000000"/>
                <w:sz w:val="18"/>
                <w:szCs w:val="18"/>
              </w:rPr>
            </w:pPr>
            <w:r w:rsidRPr="00132DF1">
              <w:rPr>
                <w:color w:val="000000"/>
                <w:sz w:val="18"/>
                <w:szCs w:val="18"/>
              </w:rPr>
              <w:t>4%</w:t>
            </w:r>
          </w:p>
        </w:tc>
        <w:tc>
          <w:tcPr>
            <w:tcW w:w="567" w:type="dxa"/>
            <w:tcBorders>
              <w:top w:val="single" w:sz="4" w:space="0" w:color="000000" w:themeColor="text1"/>
              <w:left w:val="nil"/>
              <w:bottom w:val="nil"/>
              <w:right w:val="nil"/>
            </w:tcBorders>
            <w:shd w:val="clear" w:color="auto" w:fill="auto"/>
            <w:noWrap/>
            <w:vAlign w:val="center"/>
            <w:hideMark/>
          </w:tcPr>
          <w:p w14:paraId="6CAE874C" w14:textId="77777777" w:rsidR="0013167E" w:rsidRPr="00132DF1" w:rsidRDefault="0013167E" w:rsidP="00C34A98">
            <w:pPr>
              <w:jc w:val="center"/>
              <w:rPr>
                <w:rFonts w:cs="Arial"/>
                <w:sz w:val="18"/>
                <w:szCs w:val="18"/>
              </w:rPr>
            </w:pPr>
            <w:r w:rsidRPr="00132DF1">
              <w:rPr>
                <w:rFonts w:cs="Arial"/>
                <w:sz w:val="18"/>
                <w:szCs w:val="18"/>
              </w:rPr>
              <w:t>0.06</w:t>
            </w:r>
          </w:p>
        </w:tc>
        <w:tc>
          <w:tcPr>
            <w:tcW w:w="567" w:type="dxa"/>
            <w:tcBorders>
              <w:top w:val="single" w:sz="4" w:space="0" w:color="000000" w:themeColor="text1"/>
              <w:left w:val="nil"/>
              <w:bottom w:val="nil"/>
              <w:right w:val="nil"/>
            </w:tcBorders>
            <w:shd w:val="clear" w:color="auto" w:fill="auto"/>
            <w:noWrap/>
            <w:vAlign w:val="center"/>
            <w:hideMark/>
          </w:tcPr>
          <w:p w14:paraId="7E8954BC" w14:textId="77777777" w:rsidR="0013167E" w:rsidRPr="00132DF1" w:rsidRDefault="0013167E" w:rsidP="00C34A98">
            <w:pPr>
              <w:jc w:val="center"/>
              <w:rPr>
                <w:rFonts w:cs="Arial"/>
                <w:sz w:val="18"/>
                <w:szCs w:val="18"/>
              </w:rPr>
            </w:pPr>
            <w:r w:rsidRPr="00132DF1">
              <w:rPr>
                <w:rFonts w:cs="Arial"/>
                <w:sz w:val="18"/>
                <w:szCs w:val="18"/>
              </w:rPr>
              <w:t>0.11</w:t>
            </w:r>
          </w:p>
        </w:tc>
        <w:tc>
          <w:tcPr>
            <w:tcW w:w="567" w:type="dxa"/>
            <w:tcBorders>
              <w:top w:val="single" w:sz="4" w:space="0" w:color="000000" w:themeColor="text1"/>
              <w:left w:val="nil"/>
              <w:bottom w:val="nil"/>
              <w:right w:val="nil"/>
            </w:tcBorders>
            <w:shd w:val="clear" w:color="auto" w:fill="auto"/>
            <w:noWrap/>
            <w:vAlign w:val="center"/>
            <w:hideMark/>
          </w:tcPr>
          <w:p w14:paraId="7584A050" w14:textId="77777777" w:rsidR="0013167E" w:rsidRPr="00132DF1" w:rsidRDefault="0013167E" w:rsidP="00C34A98">
            <w:pPr>
              <w:jc w:val="center"/>
              <w:rPr>
                <w:rFonts w:cs="Arial"/>
                <w:sz w:val="18"/>
                <w:szCs w:val="18"/>
              </w:rPr>
            </w:pPr>
            <w:r w:rsidRPr="00132DF1">
              <w:rPr>
                <w:rFonts w:cs="Arial"/>
                <w:sz w:val="18"/>
                <w:szCs w:val="18"/>
              </w:rPr>
              <w:t>0.25</w:t>
            </w:r>
          </w:p>
        </w:tc>
        <w:tc>
          <w:tcPr>
            <w:tcW w:w="567" w:type="dxa"/>
            <w:tcBorders>
              <w:top w:val="single" w:sz="4" w:space="0" w:color="000000" w:themeColor="text1"/>
              <w:left w:val="nil"/>
              <w:bottom w:val="nil"/>
              <w:right w:val="nil"/>
            </w:tcBorders>
            <w:shd w:val="clear" w:color="auto" w:fill="auto"/>
            <w:noWrap/>
            <w:vAlign w:val="center"/>
            <w:hideMark/>
          </w:tcPr>
          <w:p w14:paraId="7C070C2E" w14:textId="77777777" w:rsidR="0013167E" w:rsidRPr="00132DF1" w:rsidRDefault="0013167E" w:rsidP="00C34A98">
            <w:pPr>
              <w:jc w:val="center"/>
              <w:rPr>
                <w:rFonts w:cs="Arial"/>
                <w:sz w:val="18"/>
                <w:szCs w:val="18"/>
              </w:rPr>
            </w:pPr>
            <w:r w:rsidRPr="00132DF1">
              <w:rPr>
                <w:rFonts w:cs="Arial"/>
                <w:sz w:val="18"/>
                <w:szCs w:val="18"/>
              </w:rPr>
              <w:t>0.45</w:t>
            </w:r>
          </w:p>
        </w:tc>
        <w:tc>
          <w:tcPr>
            <w:tcW w:w="567" w:type="dxa"/>
            <w:tcBorders>
              <w:top w:val="single" w:sz="4" w:space="0" w:color="000000" w:themeColor="text1"/>
              <w:left w:val="nil"/>
              <w:bottom w:val="nil"/>
              <w:right w:val="nil"/>
            </w:tcBorders>
            <w:shd w:val="clear" w:color="auto" w:fill="auto"/>
            <w:noWrap/>
            <w:vAlign w:val="center"/>
            <w:hideMark/>
          </w:tcPr>
          <w:p w14:paraId="356B28F0" w14:textId="77777777" w:rsidR="0013167E" w:rsidRPr="00132DF1" w:rsidRDefault="0013167E" w:rsidP="00C34A98">
            <w:pPr>
              <w:jc w:val="center"/>
              <w:rPr>
                <w:rFonts w:cs="Arial"/>
                <w:sz w:val="18"/>
                <w:szCs w:val="18"/>
              </w:rPr>
            </w:pPr>
            <w:r w:rsidRPr="00132DF1">
              <w:rPr>
                <w:rFonts w:cs="Arial"/>
                <w:sz w:val="18"/>
                <w:szCs w:val="18"/>
              </w:rPr>
              <w:t>0.67</w:t>
            </w:r>
          </w:p>
        </w:tc>
        <w:tc>
          <w:tcPr>
            <w:tcW w:w="567" w:type="dxa"/>
            <w:tcBorders>
              <w:top w:val="single" w:sz="4" w:space="0" w:color="000000" w:themeColor="text1"/>
              <w:left w:val="nil"/>
              <w:bottom w:val="nil"/>
              <w:right w:val="nil"/>
            </w:tcBorders>
            <w:shd w:val="clear" w:color="000000" w:fill="D9D9D9"/>
            <w:noWrap/>
            <w:vAlign w:val="center"/>
            <w:hideMark/>
          </w:tcPr>
          <w:p w14:paraId="6B0E4C23" w14:textId="77777777" w:rsidR="0013167E" w:rsidRPr="00132DF1" w:rsidRDefault="0013167E" w:rsidP="00C34A98">
            <w:pPr>
              <w:jc w:val="center"/>
              <w:rPr>
                <w:rFonts w:cs="Arial"/>
                <w:sz w:val="18"/>
                <w:szCs w:val="18"/>
              </w:rPr>
            </w:pPr>
            <w:r w:rsidRPr="00132DF1">
              <w:rPr>
                <w:rFonts w:cs="Arial"/>
                <w:sz w:val="18"/>
                <w:szCs w:val="18"/>
              </w:rPr>
              <w:t>0.95</w:t>
            </w:r>
          </w:p>
        </w:tc>
        <w:tc>
          <w:tcPr>
            <w:tcW w:w="667" w:type="dxa"/>
            <w:tcBorders>
              <w:top w:val="single" w:sz="4" w:space="0" w:color="000000" w:themeColor="text1"/>
              <w:left w:val="nil"/>
              <w:bottom w:val="nil"/>
              <w:right w:val="nil"/>
            </w:tcBorders>
            <w:shd w:val="clear" w:color="000000" w:fill="D9D9D9"/>
            <w:noWrap/>
            <w:vAlign w:val="center"/>
            <w:hideMark/>
          </w:tcPr>
          <w:p w14:paraId="1E8BC976" w14:textId="77777777" w:rsidR="0013167E" w:rsidRPr="00132DF1" w:rsidRDefault="0013167E" w:rsidP="00C34A98">
            <w:pPr>
              <w:jc w:val="center"/>
              <w:rPr>
                <w:rFonts w:cs="Arial"/>
                <w:sz w:val="18"/>
                <w:szCs w:val="18"/>
              </w:rPr>
            </w:pPr>
            <w:r w:rsidRPr="00132DF1">
              <w:rPr>
                <w:rFonts w:cs="Arial"/>
                <w:sz w:val="18"/>
                <w:szCs w:val="18"/>
              </w:rPr>
              <w:t>1.00</w:t>
            </w:r>
          </w:p>
        </w:tc>
      </w:tr>
      <w:tr w:rsidR="0013167E" w:rsidRPr="00132DF1" w14:paraId="6BABBBEC" w14:textId="77777777" w:rsidTr="00C34A98">
        <w:trPr>
          <w:trHeight w:val="288"/>
        </w:trPr>
        <w:tc>
          <w:tcPr>
            <w:tcW w:w="1080" w:type="dxa"/>
            <w:vMerge/>
            <w:tcBorders>
              <w:left w:val="nil"/>
              <w:right w:val="nil"/>
            </w:tcBorders>
            <w:vAlign w:val="center"/>
          </w:tcPr>
          <w:p w14:paraId="20874D9B" w14:textId="77777777" w:rsidR="0013167E" w:rsidRPr="00132DF1" w:rsidRDefault="0013167E" w:rsidP="00C34A98">
            <w:pPr>
              <w:jc w:val="center"/>
              <w:rPr>
                <w:color w:val="000000"/>
                <w:sz w:val="18"/>
                <w:szCs w:val="18"/>
              </w:rPr>
            </w:pPr>
          </w:p>
        </w:tc>
        <w:tc>
          <w:tcPr>
            <w:tcW w:w="1260" w:type="dxa"/>
            <w:tcBorders>
              <w:top w:val="nil"/>
              <w:left w:val="nil"/>
              <w:bottom w:val="single" w:sz="4" w:space="0" w:color="000000" w:themeColor="text1"/>
              <w:right w:val="nil"/>
            </w:tcBorders>
            <w:vAlign w:val="center"/>
          </w:tcPr>
          <w:p w14:paraId="01B8EEE1" w14:textId="77777777" w:rsidR="0013167E" w:rsidRPr="00132DF1" w:rsidRDefault="0013167E" w:rsidP="00C34A98">
            <w:pPr>
              <w:jc w:val="center"/>
              <w:rPr>
                <w:rFonts w:cs="Arial"/>
                <w:sz w:val="18"/>
                <w:szCs w:val="18"/>
              </w:rPr>
            </w:pPr>
            <w:r w:rsidRPr="00132DF1">
              <w:rPr>
                <w:rFonts w:cs="Arial"/>
                <w:sz w:val="18"/>
                <w:szCs w:val="18"/>
              </w:rPr>
              <w:t>5%</w:t>
            </w:r>
          </w:p>
        </w:tc>
        <w:tc>
          <w:tcPr>
            <w:tcW w:w="900" w:type="dxa"/>
            <w:tcBorders>
              <w:top w:val="nil"/>
              <w:left w:val="nil"/>
              <w:bottom w:val="single" w:sz="4" w:space="0" w:color="000000" w:themeColor="text1"/>
              <w:right w:val="nil"/>
            </w:tcBorders>
            <w:vAlign w:val="center"/>
          </w:tcPr>
          <w:p w14:paraId="2EB0F0BA" w14:textId="77777777" w:rsidR="0013167E" w:rsidRPr="00132DF1" w:rsidRDefault="0013167E" w:rsidP="00C34A98">
            <w:pPr>
              <w:jc w:val="center"/>
              <w:rPr>
                <w:rFonts w:cs="Arial"/>
                <w:sz w:val="18"/>
                <w:szCs w:val="18"/>
              </w:rPr>
            </w:pPr>
            <w:r w:rsidRPr="00132DF1">
              <w:rPr>
                <w:rFonts w:cs="Arial"/>
                <w:sz w:val="18"/>
                <w:szCs w:val="18"/>
              </w:rPr>
              <w:t>225</w:t>
            </w:r>
          </w:p>
        </w:tc>
        <w:tc>
          <w:tcPr>
            <w:tcW w:w="990" w:type="dxa"/>
            <w:tcBorders>
              <w:top w:val="nil"/>
              <w:left w:val="nil"/>
              <w:bottom w:val="single" w:sz="4" w:space="0" w:color="000000" w:themeColor="text1"/>
              <w:right w:val="nil"/>
            </w:tcBorders>
            <w:vAlign w:val="center"/>
          </w:tcPr>
          <w:p w14:paraId="550FD1E2" w14:textId="77777777" w:rsidR="0013167E" w:rsidRPr="00132DF1" w:rsidRDefault="0013167E" w:rsidP="00C34A98">
            <w:pPr>
              <w:jc w:val="center"/>
              <w:rPr>
                <w:color w:val="000000"/>
                <w:sz w:val="18"/>
                <w:szCs w:val="18"/>
              </w:rPr>
            </w:pPr>
            <w:r w:rsidRPr="00132DF1">
              <w:rPr>
                <w:color w:val="000000"/>
                <w:sz w:val="18"/>
                <w:szCs w:val="18"/>
              </w:rPr>
              <w:t>1:1</w:t>
            </w:r>
          </w:p>
        </w:tc>
        <w:tc>
          <w:tcPr>
            <w:tcW w:w="813" w:type="dxa"/>
            <w:tcBorders>
              <w:top w:val="nil"/>
              <w:left w:val="nil"/>
              <w:bottom w:val="single" w:sz="4" w:space="0" w:color="000000" w:themeColor="text1"/>
              <w:right w:val="nil"/>
            </w:tcBorders>
            <w:vAlign w:val="center"/>
          </w:tcPr>
          <w:p w14:paraId="5AF3B26D" w14:textId="77777777" w:rsidR="0013167E" w:rsidRPr="00132DF1" w:rsidRDefault="0013167E" w:rsidP="00C34A98">
            <w:pPr>
              <w:jc w:val="center"/>
              <w:rPr>
                <w:rFonts w:cs="Arial"/>
                <w:sz w:val="18"/>
                <w:szCs w:val="18"/>
              </w:rPr>
            </w:pPr>
            <w:r w:rsidRPr="00132DF1">
              <w:rPr>
                <w:rFonts w:cs="Arial"/>
                <w:sz w:val="18"/>
                <w:szCs w:val="18"/>
              </w:rPr>
              <w:t>450</w:t>
            </w:r>
          </w:p>
        </w:tc>
        <w:tc>
          <w:tcPr>
            <w:tcW w:w="1440" w:type="dxa"/>
            <w:tcBorders>
              <w:top w:val="nil"/>
              <w:left w:val="nil"/>
              <w:bottom w:val="single" w:sz="4" w:space="0" w:color="000000" w:themeColor="text1"/>
              <w:right w:val="nil"/>
            </w:tcBorders>
            <w:shd w:val="clear" w:color="auto" w:fill="auto"/>
            <w:noWrap/>
            <w:vAlign w:val="center"/>
            <w:hideMark/>
          </w:tcPr>
          <w:p w14:paraId="5210EBF1" w14:textId="77777777" w:rsidR="0013167E" w:rsidRPr="00132DF1" w:rsidRDefault="0013167E" w:rsidP="00C34A98">
            <w:pPr>
              <w:jc w:val="center"/>
              <w:rPr>
                <w:color w:val="000000"/>
                <w:sz w:val="18"/>
                <w:szCs w:val="18"/>
              </w:rPr>
            </w:pPr>
            <w:r w:rsidRPr="00132DF1">
              <w:rPr>
                <w:color w:val="000000"/>
                <w:sz w:val="18"/>
                <w:szCs w:val="18"/>
              </w:rPr>
              <w:t>4%</w:t>
            </w:r>
          </w:p>
        </w:tc>
        <w:tc>
          <w:tcPr>
            <w:tcW w:w="567" w:type="dxa"/>
            <w:tcBorders>
              <w:top w:val="nil"/>
              <w:left w:val="nil"/>
              <w:bottom w:val="single" w:sz="4" w:space="0" w:color="000000" w:themeColor="text1"/>
              <w:right w:val="nil"/>
            </w:tcBorders>
            <w:shd w:val="clear" w:color="auto" w:fill="auto"/>
            <w:noWrap/>
            <w:vAlign w:val="center"/>
            <w:hideMark/>
          </w:tcPr>
          <w:p w14:paraId="6E386F6A" w14:textId="77777777" w:rsidR="0013167E" w:rsidRPr="00132DF1" w:rsidRDefault="0013167E" w:rsidP="00C34A98">
            <w:pPr>
              <w:jc w:val="center"/>
              <w:rPr>
                <w:rFonts w:cs="Arial"/>
                <w:sz w:val="18"/>
                <w:szCs w:val="18"/>
              </w:rPr>
            </w:pPr>
            <w:r w:rsidRPr="00132DF1">
              <w:rPr>
                <w:rFonts w:cs="Arial"/>
                <w:sz w:val="18"/>
                <w:szCs w:val="18"/>
              </w:rPr>
              <w:t>0.16</w:t>
            </w:r>
          </w:p>
        </w:tc>
        <w:tc>
          <w:tcPr>
            <w:tcW w:w="567" w:type="dxa"/>
            <w:tcBorders>
              <w:top w:val="nil"/>
              <w:left w:val="nil"/>
              <w:bottom w:val="single" w:sz="4" w:space="0" w:color="000000" w:themeColor="text1"/>
              <w:right w:val="nil"/>
            </w:tcBorders>
            <w:shd w:val="clear" w:color="auto" w:fill="auto"/>
            <w:noWrap/>
            <w:vAlign w:val="center"/>
            <w:hideMark/>
          </w:tcPr>
          <w:p w14:paraId="061720CF" w14:textId="77777777" w:rsidR="0013167E" w:rsidRPr="00132DF1" w:rsidRDefault="0013167E" w:rsidP="00C34A98">
            <w:pPr>
              <w:jc w:val="center"/>
              <w:rPr>
                <w:rFonts w:cs="Arial"/>
                <w:sz w:val="18"/>
                <w:szCs w:val="18"/>
              </w:rPr>
            </w:pPr>
            <w:r w:rsidRPr="00132DF1">
              <w:rPr>
                <w:rFonts w:cs="Arial"/>
                <w:sz w:val="18"/>
                <w:szCs w:val="18"/>
              </w:rPr>
              <w:t>0.42</w:t>
            </w:r>
          </w:p>
        </w:tc>
        <w:tc>
          <w:tcPr>
            <w:tcW w:w="567" w:type="dxa"/>
            <w:tcBorders>
              <w:top w:val="nil"/>
              <w:left w:val="nil"/>
              <w:bottom w:val="single" w:sz="4" w:space="0" w:color="000000" w:themeColor="text1"/>
              <w:right w:val="nil"/>
            </w:tcBorders>
            <w:shd w:val="clear" w:color="000000" w:fill="D9D9D9"/>
            <w:noWrap/>
            <w:vAlign w:val="center"/>
            <w:hideMark/>
          </w:tcPr>
          <w:p w14:paraId="40525CDF" w14:textId="77777777" w:rsidR="0013167E" w:rsidRPr="00132DF1" w:rsidRDefault="0013167E" w:rsidP="00C34A98">
            <w:pPr>
              <w:jc w:val="center"/>
              <w:rPr>
                <w:rFonts w:cs="Arial"/>
                <w:sz w:val="18"/>
                <w:szCs w:val="18"/>
              </w:rPr>
            </w:pPr>
            <w:r w:rsidRPr="00132DF1">
              <w:rPr>
                <w:rFonts w:cs="Arial"/>
                <w:sz w:val="18"/>
                <w:szCs w:val="18"/>
              </w:rPr>
              <w:t>0.91</w:t>
            </w:r>
          </w:p>
        </w:tc>
        <w:tc>
          <w:tcPr>
            <w:tcW w:w="567" w:type="dxa"/>
            <w:tcBorders>
              <w:top w:val="nil"/>
              <w:left w:val="nil"/>
              <w:bottom w:val="single" w:sz="4" w:space="0" w:color="000000" w:themeColor="text1"/>
              <w:right w:val="nil"/>
            </w:tcBorders>
            <w:shd w:val="clear" w:color="000000" w:fill="D9D9D9"/>
            <w:noWrap/>
            <w:vAlign w:val="center"/>
            <w:hideMark/>
          </w:tcPr>
          <w:p w14:paraId="32C1AF47" w14:textId="77777777" w:rsidR="0013167E" w:rsidRPr="00132DF1" w:rsidRDefault="0013167E" w:rsidP="00C34A98">
            <w:pPr>
              <w:jc w:val="center"/>
              <w:rPr>
                <w:rFonts w:cs="Arial"/>
                <w:sz w:val="18"/>
                <w:szCs w:val="18"/>
              </w:rPr>
            </w:pPr>
            <w:r w:rsidRPr="00132DF1">
              <w:rPr>
                <w:rFonts w:cs="Arial"/>
                <w:sz w:val="18"/>
                <w:szCs w:val="18"/>
              </w:rPr>
              <w:t>1.00</w:t>
            </w:r>
          </w:p>
        </w:tc>
        <w:tc>
          <w:tcPr>
            <w:tcW w:w="567" w:type="dxa"/>
            <w:tcBorders>
              <w:top w:val="nil"/>
              <w:left w:val="nil"/>
              <w:bottom w:val="single" w:sz="4" w:space="0" w:color="000000" w:themeColor="text1"/>
              <w:right w:val="nil"/>
            </w:tcBorders>
            <w:shd w:val="clear" w:color="000000" w:fill="D9D9D9"/>
            <w:noWrap/>
            <w:vAlign w:val="center"/>
            <w:hideMark/>
          </w:tcPr>
          <w:p w14:paraId="4B6E0F95" w14:textId="77777777" w:rsidR="0013167E" w:rsidRPr="00132DF1" w:rsidRDefault="0013167E" w:rsidP="00C34A98">
            <w:pPr>
              <w:jc w:val="center"/>
              <w:rPr>
                <w:rFonts w:cs="Arial"/>
                <w:sz w:val="18"/>
                <w:szCs w:val="18"/>
              </w:rPr>
            </w:pPr>
            <w:r w:rsidRPr="00132DF1">
              <w:rPr>
                <w:rFonts w:cs="Arial"/>
                <w:sz w:val="18"/>
                <w:szCs w:val="18"/>
              </w:rPr>
              <w:t>1.00</w:t>
            </w:r>
          </w:p>
        </w:tc>
        <w:tc>
          <w:tcPr>
            <w:tcW w:w="567" w:type="dxa"/>
            <w:tcBorders>
              <w:top w:val="nil"/>
              <w:left w:val="nil"/>
              <w:bottom w:val="single" w:sz="4" w:space="0" w:color="000000" w:themeColor="text1"/>
              <w:right w:val="nil"/>
            </w:tcBorders>
            <w:shd w:val="clear" w:color="000000" w:fill="D9D9D9"/>
            <w:noWrap/>
            <w:vAlign w:val="center"/>
            <w:hideMark/>
          </w:tcPr>
          <w:p w14:paraId="5858AA55" w14:textId="77777777" w:rsidR="0013167E" w:rsidRPr="00132DF1" w:rsidRDefault="0013167E" w:rsidP="00C34A98">
            <w:pPr>
              <w:jc w:val="center"/>
              <w:rPr>
                <w:rFonts w:cs="Arial"/>
                <w:sz w:val="18"/>
                <w:szCs w:val="18"/>
              </w:rPr>
            </w:pPr>
            <w:r w:rsidRPr="00132DF1">
              <w:rPr>
                <w:rFonts w:cs="Arial"/>
                <w:sz w:val="18"/>
                <w:szCs w:val="18"/>
              </w:rPr>
              <w:t>1.00</w:t>
            </w:r>
          </w:p>
        </w:tc>
        <w:tc>
          <w:tcPr>
            <w:tcW w:w="667" w:type="dxa"/>
            <w:tcBorders>
              <w:top w:val="nil"/>
              <w:left w:val="nil"/>
              <w:bottom w:val="single" w:sz="4" w:space="0" w:color="000000" w:themeColor="text1"/>
              <w:right w:val="nil"/>
            </w:tcBorders>
            <w:shd w:val="clear" w:color="000000" w:fill="D9D9D9"/>
            <w:noWrap/>
            <w:vAlign w:val="center"/>
            <w:hideMark/>
          </w:tcPr>
          <w:p w14:paraId="5C8B6B99" w14:textId="77777777" w:rsidR="0013167E" w:rsidRPr="00132DF1" w:rsidRDefault="0013167E" w:rsidP="00C34A98">
            <w:pPr>
              <w:jc w:val="center"/>
              <w:rPr>
                <w:rFonts w:cs="Arial"/>
                <w:sz w:val="18"/>
                <w:szCs w:val="18"/>
              </w:rPr>
            </w:pPr>
            <w:r w:rsidRPr="00132DF1">
              <w:rPr>
                <w:rFonts w:cs="Arial"/>
                <w:sz w:val="18"/>
                <w:szCs w:val="18"/>
              </w:rPr>
              <w:t>1.00</w:t>
            </w:r>
          </w:p>
        </w:tc>
      </w:tr>
      <w:tr w:rsidR="0013167E" w:rsidRPr="00132DF1" w14:paraId="6335CAE4" w14:textId="77777777" w:rsidTr="00C34A98">
        <w:trPr>
          <w:trHeight w:val="288"/>
        </w:trPr>
        <w:tc>
          <w:tcPr>
            <w:tcW w:w="1080" w:type="dxa"/>
            <w:vMerge/>
            <w:tcBorders>
              <w:left w:val="nil"/>
              <w:right w:val="single" w:sz="4" w:space="0" w:color="000000" w:themeColor="text1"/>
            </w:tcBorders>
            <w:vAlign w:val="center"/>
          </w:tcPr>
          <w:p w14:paraId="365549CA"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single" w:sz="4" w:space="0" w:color="000000" w:themeColor="text1"/>
              <w:bottom w:val="single" w:sz="4" w:space="0" w:color="000000" w:themeColor="text1"/>
              <w:right w:val="nil"/>
            </w:tcBorders>
            <w:vAlign w:val="center"/>
          </w:tcPr>
          <w:p w14:paraId="00FCAA5F" w14:textId="77777777" w:rsidR="0013167E" w:rsidRPr="00132DF1" w:rsidRDefault="0013167E" w:rsidP="00C34A98">
            <w:pPr>
              <w:jc w:val="center"/>
              <w:rPr>
                <w:rFonts w:cs="Arial"/>
                <w:sz w:val="18"/>
                <w:szCs w:val="18"/>
              </w:rPr>
            </w:pPr>
            <w:r w:rsidRPr="00132DF1">
              <w:rPr>
                <w:rFonts w:cs="Arial"/>
                <w:sz w:val="18"/>
                <w:szCs w:val="18"/>
              </w:rPr>
              <w:t>10%</w:t>
            </w:r>
          </w:p>
        </w:tc>
        <w:tc>
          <w:tcPr>
            <w:tcW w:w="900" w:type="dxa"/>
            <w:tcBorders>
              <w:top w:val="single" w:sz="4" w:space="0" w:color="000000" w:themeColor="text1"/>
              <w:left w:val="nil"/>
              <w:bottom w:val="single" w:sz="4" w:space="0" w:color="000000" w:themeColor="text1"/>
              <w:right w:val="nil"/>
            </w:tcBorders>
            <w:vAlign w:val="center"/>
          </w:tcPr>
          <w:p w14:paraId="7820A5C5" w14:textId="77777777" w:rsidR="0013167E" w:rsidRPr="00132DF1" w:rsidRDefault="0013167E" w:rsidP="00C34A98">
            <w:pPr>
              <w:jc w:val="center"/>
              <w:rPr>
                <w:rFonts w:cs="Arial"/>
                <w:sz w:val="18"/>
                <w:szCs w:val="18"/>
              </w:rPr>
            </w:pPr>
            <w:r w:rsidRPr="00132DF1">
              <w:rPr>
                <w:rFonts w:cs="Arial"/>
                <w:sz w:val="18"/>
                <w:szCs w:val="18"/>
              </w:rPr>
              <w:t>450</w:t>
            </w:r>
          </w:p>
        </w:tc>
        <w:tc>
          <w:tcPr>
            <w:tcW w:w="990" w:type="dxa"/>
            <w:tcBorders>
              <w:top w:val="single" w:sz="4" w:space="0" w:color="000000" w:themeColor="text1"/>
              <w:left w:val="nil"/>
              <w:bottom w:val="single" w:sz="4" w:space="0" w:color="000000" w:themeColor="text1"/>
              <w:right w:val="nil"/>
            </w:tcBorders>
            <w:vAlign w:val="center"/>
          </w:tcPr>
          <w:p w14:paraId="17847DAB" w14:textId="77777777" w:rsidR="0013167E" w:rsidRPr="00132DF1" w:rsidRDefault="0013167E" w:rsidP="00C34A98">
            <w:pPr>
              <w:jc w:val="center"/>
              <w:rPr>
                <w:color w:val="000000"/>
                <w:sz w:val="18"/>
                <w:szCs w:val="18"/>
              </w:rPr>
            </w:pPr>
            <w:r w:rsidRPr="00132DF1">
              <w:rPr>
                <w:color w:val="000000"/>
                <w:sz w:val="18"/>
                <w:szCs w:val="18"/>
              </w:rPr>
              <w:t>1:1</w:t>
            </w:r>
          </w:p>
        </w:tc>
        <w:tc>
          <w:tcPr>
            <w:tcW w:w="813" w:type="dxa"/>
            <w:tcBorders>
              <w:top w:val="single" w:sz="4" w:space="0" w:color="000000" w:themeColor="text1"/>
              <w:left w:val="nil"/>
              <w:bottom w:val="single" w:sz="4" w:space="0" w:color="000000" w:themeColor="text1"/>
              <w:right w:val="nil"/>
            </w:tcBorders>
            <w:vAlign w:val="center"/>
          </w:tcPr>
          <w:p w14:paraId="50D5B4F4" w14:textId="77777777" w:rsidR="0013167E" w:rsidRPr="004A705F" w:rsidRDefault="0013167E" w:rsidP="00C34A98">
            <w:pPr>
              <w:jc w:val="center"/>
              <w:rPr>
                <w:rFonts w:cs="Arial"/>
                <w:b/>
                <w:sz w:val="18"/>
                <w:szCs w:val="18"/>
              </w:rPr>
            </w:pPr>
            <w:r w:rsidRPr="004A705F">
              <w:rPr>
                <w:rFonts w:cs="Arial"/>
                <w:b/>
                <w:sz w:val="18"/>
                <w:szCs w:val="18"/>
              </w:rPr>
              <w:t>900</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hideMark/>
          </w:tcPr>
          <w:p w14:paraId="318BD872" w14:textId="77777777" w:rsidR="0013167E" w:rsidRPr="00132DF1" w:rsidRDefault="0013167E" w:rsidP="00C34A98">
            <w:pPr>
              <w:jc w:val="center"/>
              <w:rPr>
                <w:color w:val="000000"/>
                <w:sz w:val="18"/>
                <w:szCs w:val="18"/>
              </w:rPr>
            </w:pPr>
            <w:r w:rsidRPr="00132DF1">
              <w:rPr>
                <w:color w:val="000000"/>
                <w:sz w:val="18"/>
                <w:szCs w:val="18"/>
              </w:rPr>
              <w:t>4%</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5CFB6527" w14:textId="77777777" w:rsidR="0013167E" w:rsidRPr="00132DF1" w:rsidRDefault="0013167E" w:rsidP="00C34A98">
            <w:pPr>
              <w:jc w:val="center"/>
              <w:rPr>
                <w:rFonts w:cs="Arial"/>
                <w:sz w:val="18"/>
                <w:szCs w:val="18"/>
              </w:rPr>
            </w:pPr>
            <w:r w:rsidRPr="00132DF1">
              <w:rPr>
                <w:rFonts w:cs="Arial"/>
                <w:sz w:val="18"/>
                <w:szCs w:val="18"/>
              </w:rPr>
              <w:t>0.27</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33647DE8" w14:textId="77777777" w:rsidR="0013167E" w:rsidRPr="00132DF1" w:rsidRDefault="0013167E" w:rsidP="00C34A98">
            <w:pPr>
              <w:jc w:val="center"/>
              <w:rPr>
                <w:rFonts w:cs="Arial"/>
                <w:sz w:val="18"/>
                <w:szCs w:val="18"/>
              </w:rPr>
            </w:pPr>
            <w:r w:rsidRPr="00132DF1">
              <w:rPr>
                <w:rFonts w:cs="Arial"/>
                <w:sz w:val="18"/>
                <w:szCs w:val="18"/>
              </w:rPr>
              <w:t>0.72</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313F06F9" w14:textId="77777777" w:rsidR="0013167E" w:rsidRPr="00132DF1" w:rsidRDefault="0013167E" w:rsidP="00C34A98">
            <w:pPr>
              <w:jc w:val="center"/>
              <w:rPr>
                <w:rFonts w:cs="Arial"/>
                <w:sz w:val="18"/>
                <w:szCs w:val="18"/>
              </w:rPr>
            </w:pPr>
            <w:r w:rsidRPr="00132DF1">
              <w:rPr>
                <w:rFonts w:cs="Arial"/>
                <w:sz w:val="18"/>
                <w:szCs w:val="18"/>
              </w:rPr>
              <w:t>1.00</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59FB4231" w14:textId="77777777" w:rsidR="0013167E" w:rsidRPr="00132DF1" w:rsidRDefault="0013167E" w:rsidP="00C34A98">
            <w:pPr>
              <w:jc w:val="center"/>
              <w:rPr>
                <w:rFonts w:cs="Arial"/>
                <w:sz w:val="18"/>
                <w:szCs w:val="18"/>
              </w:rPr>
            </w:pPr>
            <w:r w:rsidRPr="00132DF1">
              <w:rPr>
                <w:rFonts w:cs="Arial"/>
                <w:sz w:val="18"/>
                <w:szCs w:val="18"/>
              </w:rPr>
              <w:t>1.00</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1727336F" w14:textId="77777777" w:rsidR="0013167E" w:rsidRPr="00132DF1" w:rsidRDefault="0013167E" w:rsidP="00C34A98">
            <w:pPr>
              <w:jc w:val="center"/>
              <w:rPr>
                <w:rFonts w:cs="Arial"/>
                <w:sz w:val="18"/>
                <w:szCs w:val="18"/>
              </w:rPr>
            </w:pPr>
            <w:r w:rsidRPr="00132DF1">
              <w:rPr>
                <w:rFonts w:cs="Arial"/>
                <w:sz w:val="18"/>
                <w:szCs w:val="18"/>
              </w:rPr>
              <w:t>1.00</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55ECF6CD" w14:textId="77777777" w:rsidR="0013167E" w:rsidRPr="00132DF1" w:rsidRDefault="0013167E" w:rsidP="00C34A98">
            <w:pPr>
              <w:jc w:val="center"/>
              <w:rPr>
                <w:rFonts w:cs="Arial"/>
                <w:sz w:val="18"/>
                <w:szCs w:val="18"/>
              </w:rPr>
            </w:pPr>
            <w:r w:rsidRPr="00132DF1">
              <w:rPr>
                <w:rFonts w:cs="Arial"/>
                <w:sz w:val="18"/>
                <w:szCs w:val="18"/>
              </w:rPr>
              <w:t>1.00</w:t>
            </w:r>
          </w:p>
        </w:tc>
        <w:tc>
          <w:tcPr>
            <w:tcW w:w="667" w:type="dxa"/>
            <w:tcBorders>
              <w:top w:val="single" w:sz="4" w:space="0" w:color="000000" w:themeColor="text1"/>
              <w:left w:val="nil"/>
              <w:bottom w:val="single" w:sz="4" w:space="0" w:color="000000" w:themeColor="text1"/>
              <w:right w:val="single" w:sz="4" w:space="0" w:color="000000" w:themeColor="text1"/>
            </w:tcBorders>
            <w:shd w:val="clear" w:color="000000" w:fill="D9D9D9"/>
            <w:noWrap/>
            <w:vAlign w:val="center"/>
            <w:hideMark/>
          </w:tcPr>
          <w:p w14:paraId="7EC4E944" w14:textId="77777777" w:rsidR="0013167E" w:rsidRPr="00132DF1" w:rsidRDefault="0013167E" w:rsidP="00C34A98">
            <w:pPr>
              <w:jc w:val="center"/>
              <w:rPr>
                <w:rFonts w:cs="Arial"/>
                <w:sz w:val="18"/>
                <w:szCs w:val="18"/>
              </w:rPr>
            </w:pPr>
            <w:r w:rsidRPr="00132DF1">
              <w:rPr>
                <w:rFonts w:cs="Arial"/>
                <w:sz w:val="18"/>
                <w:szCs w:val="18"/>
              </w:rPr>
              <w:t>1.00</w:t>
            </w:r>
          </w:p>
        </w:tc>
      </w:tr>
      <w:tr w:rsidR="0013167E" w:rsidRPr="00132DF1" w14:paraId="3ED2114B" w14:textId="77777777" w:rsidTr="00C34A98">
        <w:trPr>
          <w:trHeight w:val="288"/>
        </w:trPr>
        <w:tc>
          <w:tcPr>
            <w:tcW w:w="1080" w:type="dxa"/>
            <w:vMerge/>
            <w:tcBorders>
              <w:left w:val="nil"/>
              <w:right w:val="nil"/>
            </w:tcBorders>
            <w:vAlign w:val="center"/>
          </w:tcPr>
          <w:p w14:paraId="21B569F7"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nil"/>
              <w:bottom w:val="single" w:sz="4" w:space="0" w:color="000000" w:themeColor="text1"/>
              <w:right w:val="nil"/>
            </w:tcBorders>
            <w:vAlign w:val="center"/>
          </w:tcPr>
          <w:p w14:paraId="47AEFA1A" w14:textId="77777777" w:rsidR="0013167E" w:rsidRPr="00132DF1" w:rsidRDefault="0013167E" w:rsidP="00C34A98">
            <w:pPr>
              <w:jc w:val="center"/>
              <w:rPr>
                <w:rFonts w:cs="Arial"/>
                <w:sz w:val="18"/>
                <w:szCs w:val="18"/>
              </w:rPr>
            </w:pPr>
            <w:r w:rsidRPr="00132DF1">
              <w:rPr>
                <w:rFonts w:cs="Arial"/>
                <w:sz w:val="18"/>
                <w:szCs w:val="18"/>
              </w:rPr>
              <w:t>1%</w:t>
            </w:r>
          </w:p>
        </w:tc>
        <w:tc>
          <w:tcPr>
            <w:tcW w:w="900" w:type="dxa"/>
            <w:tcBorders>
              <w:top w:val="single" w:sz="4" w:space="0" w:color="000000" w:themeColor="text1"/>
              <w:left w:val="nil"/>
              <w:bottom w:val="single" w:sz="4" w:space="0" w:color="000000" w:themeColor="text1"/>
              <w:right w:val="nil"/>
            </w:tcBorders>
            <w:vAlign w:val="center"/>
          </w:tcPr>
          <w:p w14:paraId="1EBD9B54" w14:textId="77777777" w:rsidR="0013167E" w:rsidRPr="00132DF1" w:rsidRDefault="0013167E" w:rsidP="00C34A98">
            <w:pPr>
              <w:jc w:val="center"/>
              <w:rPr>
                <w:rFonts w:cs="Arial"/>
                <w:sz w:val="18"/>
                <w:szCs w:val="18"/>
              </w:rPr>
            </w:pPr>
            <w:r w:rsidRPr="00132DF1">
              <w:rPr>
                <w:rFonts w:cs="Arial"/>
                <w:sz w:val="18"/>
                <w:szCs w:val="18"/>
              </w:rPr>
              <w:t>45</w:t>
            </w:r>
          </w:p>
        </w:tc>
        <w:tc>
          <w:tcPr>
            <w:tcW w:w="990" w:type="dxa"/>
            <w:tcBorders>
              <w:top w:val="single" w:sz="4" w:space="0" w:color="000000" w:themeColor="text1"/>
              <w:left w:val="nil"/>
              <w:bottom w:val="single" w:sz="4" w:space="0" w:color="000000" w:themeColor="text1"/>
              <w:right w:val="nil"/>
            </w:tcBorders>
            <w:vAlign w:val="center"/>
          </w:tcPr>
          <w:p w14:paraId="6AFC9DDC" w14:textId="77777777" w:rsidR="0013167E" w:rsidRPr="00132DF1" w:rsidRDefault="0013167E" w:rsidP="00C34A98">
            <w:pPr>
              <w:jc w:val="center"/>
              <w:rPr>
                <w:color w:val="000000"/>
                <w:sz w:val="18"/>
                <w:szCs w:val="18"/>
              </w:rPr>
            </w:pPr>
            <w:r w:rsidRPr="00132DF1">
              <w:rPr>
                <w:color w:val="000000"/>
                <w:sz w:val="18"/>
                <w:szCs w:val="18"/>
              </w:rPr>
              <w:t>4:1</w:t>
            </w:r>
          </w:p>
        </w:tc>
        <w:tc>
          <w:tcPr>
            <w:tcW w:w="813" w:type="dxa"/>
            <w:tcBorders>
              <w:top w:val="single" w:sz="4" w:space="0" w:color="000000" w:themeColor="text1"/>
              <w:left w:val="nil"/>
              <w:bottom w:val="single" w:sz="4" w:space="0" w:color="000000" w:themeColor="text1"/>
              <w:right w:val="nil"/>
            </w:tcBorders>
            <w:vAlign w:val="center"/>
          </w:tcPr>
          <w:p w14:paraId="7840F189" w14:textId="77777777" w:rsidR="0013167E" w:rsidRPr="00132DF1" w:rsidRDefault="0013167E" w:rsidP="00C34A98">
            <w:pPr>
              <w:jc w:val="center"/>
              <w:rPr>
                <w:rFonts w:cs="Arial"/>
                <w:sz w:val="18"/>
                <w:szCs w:val="18"/>
              </w:rPr>
            </w:pPr>
            <w:r w:rsidRPr="00132DF1">
              <w:rPr>
                <w:rFonts w:cs="Arial"/>
                <w:sz w:val="18"/>
                <w:szCs w:val="18"/>
              </w:rPr>
              <w:t>225</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hideMark/>
          </w:tcPr>
          <w:p w14:paraId="6E7F1545" w14:textId="77777777" w:rsidR="0013167E" w:rsidRPr="00132DF1" w:rsidRDefault="0013167E" w:rsidP="00C34A98">
            <w:pPr>
              <w:jc w:val="center"/>
              <w:rPr>
                <w:color w:val="000000"/>
                <w:sz w:val="18"/>
                <w:szCs w:val="18"/>
              </w:rPr>
            </w:pPr>
            <w:r w:rsidRPr="00132DF1">
              <w:rPr>
                <w:color w:val="000000"/>
                <w:sz w:val="18"/>
                <w:szCs w:val="18"/>
              </w:rPr>
              <w:t>4%</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1C5FE5B0" w14:textId="77777777" w:rsidR="0013167E" w:rsidRPr="00132DF1" w:rsidRDefault="0013167E" w:rsidP="00C34A98">
            <w:pPr>
              <w:jc w:val="center"/>
              <w:rPr>
                <w:rFonts w:cs="Arial"/>
                <w:sz w:val="18"/>
                <w:szCs w:val="18"/>
              </w:rPr>
            </w:pPr>
            <w:r w:rsidRPr="00132DF1">
              <w:rPr>
                <w:rFonts w:cs="Arial"/>
                <w:sz w:val="18"/>
                <w:szCs w:val="18"/>
              </w:rPr>
              <w:t>0.11</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25FB60E3" w14:textId="77777777" w:rsidR="0013167E" w:rsidRPr="00132DF1" w:rsidRDefault="0013167E" w:rsidP="00C34A98">
            <w:pPr>
              <w:jc w:val="center"/>
              <w:rPr>
                <w:rFonts w:cs="Arial"/>
                <w:sz w:val="18"/>
                <w:szCs w:val="18"/>
              </w:rPr>
            </w:pPr>
            <w:r w:rsidRPr="00132DF1">
              <w:rPr>
                <w:rFonts w:cs="Arial"/>
                <w:sz w:val="18"/>
                <w:szCs w:val="18"/>
              </w:rPr>
              <w:t>0.24</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37C0B709" w14:textId="77777777" w:rsidR="0013167E" w:rsidRPr="00132DF1" w:rsidRDefault="0013167E" w:rsidP="00C34A98">
            <w:pPr>
              <w:jc w:val="center"/>
              <w:rPr>
                <w:rFonts w:cs="Arial"/>
                <w:sz w:val="18"/>
                <w:szCs w:val="18"/>
              </w:rPr>
            </w:pPr>
            <w:r w:rsidRPr="00132DF1">
              <w:rPr>
                <w:rFonts w:cs="Arial"/>
                <w:sz w:val="18"/>
                <w:szCs w:val="18"/>
              </w:rPr>
              <w:t>0.54</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773AB48D" w14:textId="77777777" w:rsidR="0013167E" w:rsidRPr="00132DF1" w:rsidRDefault="0013167E" w:rsidP="00C34A98">
            <w:pPr>
              <w:jc w:val="center"/>
              <w:rPr>
                <w:rFonts w:cs="Arial"/>
                <w:sz w:val="18"/>
                <w:szCs w:val="18"/>
              </w:rPr>
            </w:pPr>
            <w:r w:rsidRPr="00132DF1">
              <w:rPr>
                <w:rFonts w:cs="Arial"/>
                <w:sz w:val="18"/>
                <w:szCs w:val="18"/>
              </w:rPr>
              <w:t>0.79</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222D6EB9" w14:textId="77777777" w:rsidR="0013167E" w:rsidRPr="00132DF1" w:rsidRDefault="0013167E" w:rsidP="00C34A98">
            <w:pPr>
              <w:jc w:val="center"/>
              <w:rPr>
                <w:rFonts w:cs="Arial"/>
                <w:sz w:val="18"/>
                <w:szCs w:val="18"/>
              </w:rPr>
            </w:pPr>
            <w:r w:rsidRPr="00132DF1">
              <w:rPr>
                <w:rFonts w:cs="Arial"/>
                <w:sz w:val="18"/>
                <w:szCs w:val="18"/>
              </w:rPr>
              <w:t>0.93</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43FD7F75" w14:textId="77777777" w:rsidR="0013167E" w:rsidRPr="00132DF1" w:rsidRDefault="0013167E" w:rsidP="00C34A98">
            <w:pPr>
              <w:jc w:val="center"/>
              <w:rPr>
                <w:rFonts w:cs="Arial"/>
                <w:sz w:val="18"/>
                <w:szCs w:val="18"/>
              </w:rPr>
            </w:pPr>
            <w:r w:rsidRPr="00132DF1">
              <w:rPr>
                <w:rFonts w:cs="Arial"/>
                <w:sz w:val="18"/>
                <w:szCs w:val="18"/>
              </w:rPr>
              <w:t>1.00</w:t>
            </w:r>
          </w:p>
        </w:tc>
        <w:tc>
          <w:tcPr>
            <w:tcW w:w="667" w:type="dxa"/>
            <w:tcBorders>
              <w:top w:val="single" w:sz="4" w:space="0" w:color="000000" w:themeColor="text1"/>
              <w:left w:val="nil"/>
              <w:bottom w:val="single" w:sz="4" w:space="0" w:color="000000" w:themeColor="text1"/>
              <w:right w:val="nil"/>
            </w:tcBorders>
            <w:shd w:val="clear" w:color="000000" w:fill="D9D9D9"/>
            <w:noWrap/>
            <w:vAlign w:val="center"/>
            <w:hideMark/>
          </w:tcPr>
          <w:p w14:paraId="6F0F7395" w14:textId="77777777" w:rsidR="0013167E" w:rsidRPr="00132DF1" w:rsidRDefault="0013167E" w:rsidP="00C34A98">
            <w:pPr>
              <w:jc w:val="center"/>
              <w:rPr>
                <w:rFonts w:cs="Arial"/>
                <w:sz w:val="18"/>
                <w:szCs w:val="18"/>
              </w:rPr>
            </w:pPr>
            <w:r w:rsidRPr="00132DF1">
              <w:rPr>
                <w:rFonts w:cs="Arial"/>
                <w:sz w:val="18"/>
                <w:szCs w:val="18"/>
              </w:rPr>
              <w:t>1.00</w:t>
            </w:r>
          </w:p>
        </w:tc>
      </w:tr>
      <w:tr w:rsidR="0013167E" w:rsidRPr="00132DF1" w14:paraId="1E649413" w14:textId="77777777" w:rsidTr="00C34A98">
        <w:trPr>
          <w:trHeight w:val="288"/>
        </w:trPr>
        <w:tc>
          <w:tcPr>
            <w:tcW w:w="1080" w:type="dxa"/>
            <w:vMerge/>
            <w:tcBorders>
              <w:left w:val="nil"/>
              <w:bottom w:val="single" w:sz="4" w:space="0" w:color="808080" w:themeColor="background1" w:themeShade="80"/>
              <w:right w:val="single" w:sz="4" w:space="0" w:color="000000" w:themeColor="text1"/>
            </w:tcBorders>
            <w:vAlign w:val="center"/>
          </w:tcPr>
          <w:p w14:paraId="1BEE2EF5"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single" w:sz="4" w:space="0" w:color="000000" w:themeColor="text1"/>
              <w:bottom w:val="single" w:sz="4" w:space="0" w:color="000000" w:themeColor="text1"/>
              <w:right w:val="nil"/>
            </w:tcBorders>
            <w:vAlign w:val="center"/>
          </w:tcPr>
          <w:p w14:paraId="1B8C3623" w14:textId="77777777" w:rsidR="0013167E" w:rsidRPr="00132DF1" w:rsidRDefault="0013167E" w:rsidP="00C34A98">
            <w:pPr>
              <w:jc w:val="center"/>
              <w:rPr>
                <w:rFonts w:cs="Arial"/>
                <w:sz w:val="18"/>
                <w:szCs w:val="18"/>
              </w:rPr>
            </w:pPr>
            <w:r w:rsidRPr="00132DF1">
              <w:rPr>
                <w:rFonts w:cs="Arial"/>
                <w:sz w:val="18"/>
                <w:szCs w:val="18"/>
              </w:rPr>
              <w:t>5%</w:t>
            </w:r>
          </w:p>
        </w:tc>
        <w:tc>
          <w:tcPr>
            <w:tcW w:w="900" w:type="dxa"/>
            <w:tcBorders>
              <w:top w:val="single" w:sz="4" w:space="0" w:color="000000" w:themeColor="text1"/>
              <w:left w:val="nil"/>
              <w:bottom w:val="single" w:sz="4" w:space="0" w:color="000000" w:themeColor="text1"/>
              <w:right w:val="nil"/>
            </w:tcBorders>
            <w:vAlign w:val="center"/>
          </w:tcPr>
          <w:p w14:paraId="6D059AFA" w14:textId="77777777" w:rsidR="0013167E" w:rsidRPr="00132DF1" w:rsidRDefault="0013167E" w:rsidP="00C34A98">
            <w:pPr>
              <w:jc w:val="center"/>
              <w:rPr>
                <w:rFonts w:cs="Arial"/>
                <w:sz w:val="18"/>
                <w:szCs w:val="18"/>
              </w:rPr>
            </w:pPr>
            <w:r w:rsidRPr="00132DF1">
              <w:rPr>
                <w:rFonts w:cs="Arial"/>
                <w:sz w:val="18"/>
                <w:szCs w:val="18"/>
              </w:rPr>
              <w:t>225</w:t>
            </w:r>
          </w:p>
        </w:tc>
        <w:tc>
          <w:tcPr>
            <w:tcW w:w="990" w:type="dxa"/>
            <w:tcBorders>
              <w:top w:val="single" w:sz="4" w:space="0" w:color="000000" w:themeColor="text1"/>
              <w:left w:val="nil"/>
              <w:bottom w:val="single" w:sz="4" w:space="0" w:color="000000" w:themeColor="text1"/>
              <w:right w:val="nil"/>
            </w:tcBorders>
            <w:vAlign w:val="center"/>
          </w:tcPr>
          <w:p w14:paraId="0B1766DA" w14:textId="77777777" w:rsidR="0013167E" w:rsidRPr="00132DF1" w:rsidRDefault="0013167E" w:rsidP="00C34A98">
            <w:pPr>
              <w:jc w:val="center"/>
              <w:rPr>
                <w:color w:val="000000"/>
                <w:sz w:val="18"/>
                <w:szCs w:val="18"/>
              </w:rPr>
            </w:pPr>
            <w:r w:rsidRPr="00132DF1">
              <w:rPr>
                <w:color w:val="000000"/>
                <w:sz w:val="18"/>
                <w:szCs w:val="18"/>
              </w:rPr>
              <w:t>4:1</w:t>
            </w:r>
          </w:p>
        </w:tc>
        <w:tc>
          <w:tcPr>
            <w:tcW w:w="813" w:type="dxa"/>
            <w:tcBorders>
              <w:top w:val="single" w:sz="4" w:space="0" w:color="000000" w:themeColor="text1"/>
              <w:left w:val="nil"/>
              <w:bottom w:val="single" w:sz="4" w:space="0" w:color="000000" w:themeColor="text1"/>
              <w:right w:val="nil"/>
            </w:tcBorders>
            <w:vAlign w:val="center"/>
          </w:tcPr>
          <w:p w14:paraId="1BD180C1" w14:textId="77777777" w:rsidR="0013167E" w:rsidRPr="004A705F" w:rsidRDefault="0013167E" w:rsidP="00C34A98">
            <w:pPr>
              <w:jc w:val="center"/>
              <w:rPr>
                <w:rFonts w:cs="Arial"/>
                <w:b/>
                <w:sz w:val="18"/>
                <w:szCs w:val="18"/>
              </w:rPr>
            </w:pPr>
            <w:r w:rsidRPr="004A705F">
              <w:rPr>
                <w:rFonts w:cs="Arial"/>
                <w:b/>
                <w:sz w:val="18"/>
                <w:szCs w:val="18"/>
              </w:rPr>
              <w:t>1125</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hideMark/>
          </w:tcPr>
          <w:p w14:paraId="4F45317F" w14:textId="77777777" w:rsidR="0013167E" w:rsidRPr="00132DF1" w:rsidRDefault="0013167E" w:rsidP="00C34A98">
            <w:pPr>
              <w:jc w:val="center"/>
              <w:rPr>
                <w:color w:val="000000"/>
                <w:sz w:val="18"/>
                <w:szCs w:val="18"/>
              </w:rPr>
            </w:pPr>
            <w:r w:rsidRPr="00132DF1">
              <w:rPr>
                <w:color w:val="000000"/>
                <w:sz w:val="18"/>
                <w:szCs w:val="18"/>
              </w:rPr>
              <w:t>4%</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2C88B69F" w14:textId="77777777" w:rsidR="0013167E" w:rsidRPr="00132DF1" w:rsidRDefault="0013167E" w:rsidP="00C34A98">
            <w:pPr>
              <w:jc w:val="center"/>
              <w:rPr>
                <w:rFonts w:cs="Arial"/>
                <w:sz w:val="18"/>
                <w:szCs w:val="18"/>
              </w:rPr>
            </w:pPr>
            <w:r w:rsidRPr="00132DF1">
              <w:rPr>
                <w:rFonts w:cs="Arial"/>
                <w:sz w:val="18"/>
                <w:szCs w:val="18"/>
              </w:rPr>
              <w:t>0.28</w:t>
            </w:r>
          </w:p>
        </w:tc>
        <w:tc>
          <w:tcPr>
            <w:tcW w:w="567" w:type="dxa"/>
            <w:tcBorders>
              <w:top w:val="single" w:sz="4" w:space="0" w:color="000000" w:themeColor="text1"/>
              <w:left w:val="nil"/>
              <w:bottom w:val="single" w:sz="4" w:space="0" w:color="000000" w:themeColor="text1"/>
              <w:right w:val="nil"/>
            </w:tcBorders>
            <w:shd w:val="clear" w:color="auto" w:fill="auto"/>
            <w:noWrap/>
            <w:vAlign w:val="center"/>
            <w:hideMark/>
          </w:tcPr>
          <w:p w14:paraId="13D2B14E" w14:textId="77777777" w:rsidR="0013167E" w:rsidRPr="00132DF1" w:rsidRDefault="0013167E" w:rsidP="00C34A98">
            <w:pPr>
              <w:jc w:val="center"/>
              <w:rPr>
                <w:rFonts w:cs="Arial"/>
                <w:sz w:val="18"/>
                <w:szCs w:val="18"/>
              </w:rPr>
            </w:pPr>
            <w:r w:rsidRPr="00132DF1">
              <w:rPr>
                <w:rFonts w:cs="Arial"/>
                <w:sz w:val="18"/>
                <w:szCs w:val="18"/>
              </w:rPr>
              <w:t>0.68</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14E8B203" w14:textId="77777777" w:rsidR="0013167E" w:rsidRPr="00132DF1" w:rsidRDefault="0013167E" w:rsidP="00C34A98">
            <w:pPr>
              <w:jc w:val="center"/>
              <w:rPr>
                <w:rFonts w:cs="Arial"/>
                <w:sz w:val="18"/>
                <w:szCs w:val="18"/>
              </w:rPr>
            </w:pPr>
            <w:r w:rsidRPr="00132DF1">
              <w:rPr>
                <w:rFonts w:cs="Arial"/>
                <w:sz w:val="18"/>
                <w:szCs w:val="18"/>
              </w:rPr>
              <w:t>0.99</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3E01EB2A" w14:textId="77777777" w:rsidR="0013167E" w:rsidRPr="00132DF1" w:rsidRDefault="0013167E" w:rsidP="00C34A98">
            <w:pPr>
              <w:jc w:val="center"/>
              <w:rPr>
                <w:rFonts w:cs="Arial"/>
                <w:sz w:val="18"/>
                <w:szCs w:val="18"/>
              </w:rPr>
            </w:pPr>
            <w:r w:rsidRPr="00132DF1">
              <w:rPr>
                <w:rFonts w:cs="Arial"/>
                <w:sz w:val="18"/>
                <w:szCs w:val="18"/>
              </w:rPr>
              <w:t>1.00</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6AA78E6F" w14:textId="77777777" w:rsidR="0013167E" w:rsidRPr="00132DF1" w:rsidRDefault="0013167E" w:rsidP="00C34A98">
            <w:pPr>
              <w:jc w:val="center"/>
              <w:rPr>
                <w:rFonts w:cs="Arial"/>
                <w:sz w:val="18"/>
                <w:szCs w:val="18"/>
              </w:rPr>
            </w:pPr>
            <w:r w:rsidRPr="00132DF1">
              <w:rPr>
                <w:rFonts w:cs="Arial"/>
                <w:sz w:val="18"/>
                <w:szCs w:val="18"/>
              </w:rPr>
              <w:t>1.00</w:t>
            </w:r>
          </w:p>
        </w:tc>
        <w:tc>
          <w:tcPr>
            <w:tcW w:w="567" w:type="dxa"/>
            <w:tcBorders>
              <w:top w:val="single" w:sz="4" w:space="0" w:color="000000" w:themeColor="text1"/>
              <w:left w:val="nil"/>
              <w:bottom w:val="single" w:sz="4" w:space="0" w:color="000000" w:themeColor="text1"/>
              <w:right w:val="nil"/>
            </w:tcBorders>
            <w:shd w:val="clear" w:color="000000" w:fill="D9D9D9"/>
            <w:noWrap/>
            <w:vAlign w:val="center"/>
            <w:hideMark/>
          </w:tcPr>
          <w:p w14:paraId="391032E8" w14:textId="77777777" w:rsidR="0013167E" w:rsidRPr="00132DF1" w:rsidRDefault="0013167E" w:rsidP="00C34A98">
            <w:pPr>
              <w:jc w:val="center"/>
              <w:rPr>
                <w:rFonts w:cs="Arial"/>
                <w:sz w:val="18"/>
                <w:szCs w:val="18"/>
              </w:rPr>
            </w:pPr>
            <w:r w:rsidRPr="00132DF1">
              <w:rPr>
                <w:rFonts w:cs="Arial"/>
                <w:sz w:val="18"/>
                <w:szCs w:val="18"/>
              </w:rPr>
              <w:t>1.00</w:t>
            </w:r>
          </w:p>
        </w:tc>
        <w:tc>
          <w:tcPr>
            <w:tcW w:w="667" w:type="dxa"/>
            <w:tcBorders>
              <w:top w:val="single" w:sz="4" w:space="0" w:color="000000" w:themeColor="text1"/>
              <w:left w:val="nil"/>
              <w:bottom w:val="single" w:sz="4" w:space="0" w:color="000000" w:themeColor="text1"/>
              <w:right w:val="single" w:sz="4" w:space="0" w:color="000000" w:themeColor="text1"/>
            </w:tcBorders>
            <w:shd w:val="clear" w:color="000000" w:fill="D9D9D9"/>
            <w:noWrap/>
            <w:vAlign w:val="center"/>
            <w:hideMark/>
          </w:tcPr>
          <w:p w14:paraId="3D7DCE6A" w14:textId="77777777" w:rsidR="0013167E" w:rsidRPr="00132DF1" w:rsidRDefault="0013167E" w:rsidP="00C34A98">
            <w:pPr>
              <w:jc w:val="center"/>
              <w:rPr>
                <w:rFonts w:cs="Arial"/>
                <w:sz w:val="18"/>
                <w:szCs w:val="18"/>
              </w:rPr>
            </w:pPr>
            <w:r w:rsidRPr="00132DF1">
              <w:rPr>
                <w:rFonts w:cs="Arial"/>
                <w:sz w:val="18"/>
                <w:szCs w:val="18"/>
              </w:rPr>
              <w:t>1.00</w:t>
            </w:r>
          </w:p>
        </w:tc>
      </w:tr>
      <w:tr w:rsidR="0013167E" w:rsidRPr="00132DF1" w14:paraId="76CB31A8" w14:textId="77777777" w:rsidTr="00C34A98">
        <w:trPr>
          <w:trHeight w:val="288"/>
        </w:trPr>
        <w:tc>
          <w:tcPr>
            <w:tcW w:w="1080" w:type="dxa"/>
            <w:vMerge w:val="restart"/>
            <w:tcBorders>
              <w:top w:val="single" w:sz="4" w:space="0" w:color="808080" w:themeColor="background1" w:themeShade="80"/>
              <w:left w:val="nil"/>
              <w:right w:val="nil"/>
            </w:tcBorders>
            <w:vAlign w:val="center"/>
          </w:tcPr>
          <w:p w14:paraId="13914F08" w14:textId="77777777" w:rsidR="0013167E" w:rsidRPr="00132DF1" w:rsidRDefault="0013167E" w:rsidP="00C34A98">
            <w:pPr>
              <w:jc w:val="center"/>
              <w:rPr>
                <w:color w:val="000000"/>
                <w:sz w:val="18"/>
                <w:szCs w:val="18"/>
              </w:rPr>
            </w:pPr>
            <w:r>
              <w:rPr>
                <w:color w:val="000000"/>
                <w:sz w:val="18"/>
                <w:szCs w:val="18"/>
              </w:rPr>
              <w:t>1,000</w:t>
            </w:r>
          </w:p>
        </w:tc>
        <w:tc>
          <w:tcPr>
            <w:tcW w:w="1260" w:type="dxa"/>
            <w:tcBorders>
              <w:top w:val="single" w:sz="4" w:space="0" w:color="000000" w:themeColor="text1"/>
              <w:left w:val="nil"/>
              <w:bottom w:val="single" w:sz="4" w:space="0" w:color="000000" w:themeColor="text1"/>
              <w:right w:val="nil"/>
            </w:tcBorders>
            <w:vAlign w:val="center"/>
          </w:tcPr>
          <w:p w14:paraId="4891AD3D" w14:textId="77777777" w:rsidR="0013167E" w:rsidRPr="003B65F6" w:rsidRDefault="0013167E" w:rsidP="00C34A98">
            <w:pPr>
              <w:jc w:val="center"/>
              <w:rPr>
                <w:rFonts w:cs="Arial"/>
                <w:sz w:val="18"/>
                <w:szCs w:val="18"/>
              </w:rPr>
            </w:pPr>
            <w:r w:rsidRPr="003B65F6">
              <w:rPr>
                <w:rFonts w:cs="Arial"/>
                <w:sz w:val="18"/>
                <w:szCs w:val="18"/>
              </w:rPr>
              <w:t>10%</w:t>
            </w:r>
          </w:p>
        </w:tc>
        <w:tc>
          <w:tcPr>
            <w:tcW w:w="900" w:type="dxa"/>
            <w:tcBorders>
              <w:top w:val="single" w:sz="4" w:space="0" w:color="000000" w:themeColor="text1"/>
              <w:left w:val="nil"/>
              <w:bottom w:val="single" w:sz="4" w:space="0" w:color="000000" w:themeColor="text1"/>
              <w:right w:val="nil"/>
            </w:tcBorders>
            <w:vAlign w:val="center"/>
          </w:tcPr>
          <w:p w14:paraId="17AFD401" w14:textId="77777777" w:rsidR="0013167E" w:rsidRPr="00132DF1" w:rsidRDefault="0013167E" w:rsidP="00C34A98">
            <w:pPr>
              <w:jc w:val="center"/>
              <w:rPr>
                <w:rFonts w:cs="Arial"/>
                <w:sz w:val="18"/>
                <w:szCs w:val="18"/>
              </w:rPr>
            </w:pPr>
            <w:r>
              <w:rPr>
                <w:rFonts w:cs="Arial"/>
                <w:sz w:val="18"/>
                <w:szCs w:val="18"/>
              </w:rPr>
              <w:t>100</w:t>
            </w:r>
          </w:p>
        </w:tc>
        <w:tc>
          <w:tcPr>
            <w:tcW w:w="990" w:type="dxa"/>
            <w:tcBorders>
              <w:top w:val="single" w:sz="4" w:space="0" w:color="000000" w:themeColor="text1"/>
              <w:left w:val="nil"/>
              <w:bottom w:val="single" w:sz="4" w:space="0" w:color="000000" w:themeColor="text1"/>
              <w:right w:val="nil"/>
            </w:tcBorders>
            <w:vAlign w:val="center"/>
          </w:tcPr>
          <w:p w14:paraId="4F64F1D8" w14:textId="77777777" w:rsidR="0013167E" w:rsidRPr="003B65F6" w:rsidRDefault="0013167E" w:rsidP="00C34A98">
            <w:pPr>
              <w:jc w:val="center"/>
              <w:rPr>
                <w:rFonts w:cs="Arial"/>
                <w:sz w:val="18"/>
                <w:szCs w:val="18"/>
              </w:rPr>
            </w:pPr>
            <w:r w:rsidRPr="003B65F6">
              <w:rPr>
                <w:rFonts w:cs="Arial"/>
                <w:sz w:val="18"/>
                <w:szCs w:val="18"/>
              </w:rPr>
              <w:t>4:1</w:t>
            </w:r>
          </w:p>
        </w:tc>
        <w:tc>
          <w:tcPr>
            <w:tcW w:w="813" w:type="dxa"/>
            <w:tcBorders>
              <w:top w:val="single" w:sz="4" w:space="0" w:color="000000" w:themeColor="text1"/>
              <w:left w:val="nil"/>
              <w:bottom w:val="single" w:sz="4" w:space="0" w:color="000000" w:themeColor="text1"/>
              <w:right w:val="nil"/>
            </w:tcBorders>
            <w:vAlign w:val="center"/>
          </w:tcPr>
          <w:p w14:paraId="6E9ED03F" w14:textId="77777777" w:rsidR="0013167E" w:rsidRPr="00132DF1" w:rsidRDefault="0013167E" w:rsidP="00C34A98">
            <w:pPr>
              <w:jc w:val="center"/>
              <w:rPr>
                <w:rFonts w:cs="Arial"/>
                <w:sz w:val="18"/>
                <w:szCs w:val="18"/>
              </w:rPr>
            </w:pPr>
            <w:r>
              <w:rPr>
                <w:rFonts w:cs="Arial"/>
                <w:sz w:val="18"/>
                <w:szCs w:val="18"/>
              </w:rPr>
              <w:t>500</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tcPr>
          <w:p w14:paraId="5DA7E67D" w14:textId="77777777" w:rsidR="0013167E" w:rsidRPr="003B65F6" w:rsidRDefault="0013167E" w:rsidP="00C34A98">
            <w:pPr>
              <w:jc w:val="center"/>
              <w:rPr>
                <w:rFonts w:cs="Arial"/>
                <w:sz w:val="18"/>
                <w:szCs w:val="18"/>
              </w:rPr>
            </w:pPr>
            <w:r w:rsidRPr="003B65F6">
              <w:rPr>
                <w:rFonts w:cs="Arial"/>
                <w:sz w:val="18"/>
                <w:szCs w:val="18"/>
              </w:rPr>
              <w:t>1%</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0D422EF1" w14:textId="77777777" w:rsidR="0013167E" w:rsidRPr="00132DF1" w:rsidRDefault="0013167E" w:rsidP="00C34A98">
            <w:pPr>
              <w:jc w:val="center"/>
              <w:rPr>
                <w:rFonts w:cs="Arial"/>
                <w:sz w:val="18"/>
                <w:szCs w:val="18"/>
              </w:rPr>
            </w:pPr>
            <w:r w:rsidRPr="003B65F6">
              <w:rPr>
                <w:rFonts w:cs="Arial"/>
                <w:sz w:val="18"/>
                <w:szCs w:val="18"/>
              </w:rPr>
              <w:t>0.08</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3F0F8BBF" w14:textId="77777777" w:rsidR="0013167E" w:rsidRPr="00132DF1" w:rsidRDefault="0013167E" w:rsidP="00C34A98">
            <w:pPr>
              <w:jc w:val="center"/>
              <w:rPr>
                <w:rFonts w:cs="Arial"/>
                <w:sz w:val="18"/>
                <w:szCs w:val="18"/>
              </w:rPr>
            </w:pPr>
            <w:r w:rsidRPr="003B65F6">
              <w:rPr>
                <w:rFonts w:cs="Arial"/>
                <w:sz w:val="18"/>
                <w:szCs w:val="18"/>
              </w:rPr>
              <w:t>0.17</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52710111" w14:textId="77777777" w:rsidR="0013167E" w:rsidRPr="00132DF1" w:rsidRDefault="0013167E" w:rsidP="00C34A98">
            <w:pPr>
              <w:jc w:val="center"/>
              <w:rPr>
                <w:rFonts w:cs="Arial"/>
                <w:sz w:val="18"/>
                <w:szCs w:val="18"/>
              </w:rPr>
            </w:pPr>
            <w:r w:rsidRPr="003B65F6">
              <w:rPr>
                <w:rFonts w:cs="Arial"/>
                <w:sz w:val="18"/>
                <w:szCs w:val="18"/>
              </w:rPr>
              <w:t>0.36</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5442CB7B" w14:textId="77777777" w:rsidR="0013167E" w:rsidRPr="00132DF1" w:rsidRDefault="0013167E" w:rsidP="00C34A98">
            <w:pPr>
              <w:jc w:val="center"/>
              <w:rPr>
                <w:rFonts w:cs="Arial"/>
                <w:sz w:val="18"/>
                <w:szCs w:val="18"/>
              </w:rPr>
            </w:pPr>
            <w:r w:rsidRPr="003B65F6">
              <w:rPr>
                <w:rFonts w:cs="Arial"/>
                <w:sz w:val="18"/>
                <w:szCs w:val="18"/>
              </w:rPr>
              <w:t>0.56</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21851383" w14:textId="77777777" w:rsidR="0013167E" w:rsidRPr="00132DF1" w:rsidRDefault="0013167E" w:rsidP="00C34A98">
            <w:pPr>
              <w:jc w:val="center"/>
              <w:rPr>
                <w:rFonts w:cs="Arial"/>
                <w:sz w:val="18"/>
                <w:szCs w:val="18"/>
              </w:rPr>
            </w:pPr>
            <w:r w:rsidRPr="003B65F6">
              <w:rPr>
                <w:rFonts w:cs="Arial"/>
                <w:sz w:val="18"/>
                <w:szCs w:val="18"/>
              </w:rPr>
              <w:t>0.72</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094A5CAA" w14:textId="77777777" w:rsidR="0013167E" w:rsidRPr="00132DF1" w:rsidRDefault="0013167E" w:rsidP="00C34A98">
            <w:pPr>
              <w:jc w:val="center"/>
              <w:rPr>
                <w:rFonts w:cs="Arial"/>
                <w:sz w:val="18"/>
                <w:szCs w:val="18"/>
              </w:rPr>
            </w:pPr>
            <w:r w:rsidRPr="003B65F6">
              <w:rPr>
                <w:rFonts w:cs="Arial"/>
                <w:sz w:val="18"/>
                <w:szCs w:val="18"/>
              </w:rPr>
              <w:t>0.92</w:t>
            </w:r>
          </w:p>
        </w:tc>
        <w:tc>
          <w:tcPr>
            <w:tcW w:w="6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04D19198" w14:textId="77777777" w:rsidR="0013167E" w:rsidRPr="00132DF1" w:rsidRDefault="0013167E" w:rsidP="00C34A98">
            <w:pPr>
              <w:jc w:val="center"/>
              <w:rPr>
                <w:rFonts w:cs="Arial"/>
                <w:sz w:val="18"/>
                <w:szCs w:val="18"/>
              </w:rPr>
            </w:pPr>
            <w:r w:rsidRPr="003B65F6">
              <w:rPr>
                <w:rFonts w:cs="Arial"/>
                <w:sz w:val="18"/>
                <w:szCs w:val="18"/>
              </w:rPr>
              <w:t>1.00</w:t>
            </w:r>
          </w:p>
        </w:tc>
      </w:tr>
      <w:tr w:rsidR="0013167E" w:rsidRPr="00132DF1" w14:paraId="10930EF6" w14:textId="77777777" w:rsidTr="00C34A98">
        <w:trPr>
          <w:trHeight w:val="288"/>
        </w:trPr>
        <w:tc>
          <w:tcPr>
            <w:tcW w:w="1080" w:type="dxa"/>
            <w:vMerge/>
            <w:tcBorders>
              <w:left w:val="nil"/>
              <w:right w:val="single" w:sz="4" w:space="0" w:color="000000" w:themeColor="text1"/>
            </w:tcBorders>
            <w:vAlign w:val="center"/>
          </w:tcPr>
          <w:p w14:paraId="6C3CF822"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single" w:sz="4" w:space="0" w:color="000000" w:themeColor="text1"/>
              <w:bottom w:val="single" w:sz="4" w:space="0" w:color="000000" w:themeColor="text1"/>
              <w:right w:val="nil"/>
            </w:tcBorders>
            <w:vAlign w:val="center"/>
          </w:tcPr>
          <w:p w14:paraId="7A082529" w14:textId="77777777" w:rsidR="0013167E" w:rsidRPr="003B65F6" w:rsidRDefault="0013167E" w:rsidP="00C34A98">
            <w:pPr>
              <w:jc w:val="center"/>
              <w:rPr>
                <w:rFonts w:cs="Arial"/>
                <w:sz w:val="18"/>
                <w:szCs w:val="18"/>
              </w:rPr>
            </w:pPr>
            <w:r w:rsidRPr="003B65F6">
              <w:rPr>
                <w:rFonts w:cs="Arial"/>
                <w:sz w:val="18"/>
                <w:szCs w:val="18"/>
              </w:rPr>
              <w:t>20%</w:t>
            </w:r>
          </w:p>
        </w:tc>
        <w:tc>
          <w:tcPr>
            <w:tcW w:w="900" w:type="dxa"/>
            <w:tcBorders>
              <w:top w:val="single" w:sz="4" w:space="0" w:color="000000" w:themeColor="text1"/>
              <w:left w:val="nil"/>
              <w:bottom w:val="single" w:sz="4" w:space="0" w:color="000000" w:themeColor="text1"/>
              <w:right w:val="nil"/>
            </w:tcBorders>
            <w:vAlign w:val="center"/>
          </w:tcPr>
          <w:p w14:paraId="25869CFE" w14:textId="77777777" w:rsidR="0013167E" w:rsidRPr="00132DF1" w:rsidRDefault="0013167E" w:rsidP="00C34A98">
            <w:pPr>
              <w:jc w:val="center"/>
              <w:rPr>
                <w:rFonts w:cs="Arial"/>
                <w:sz w:val="18"/>
                <w:szCs w:val="18"/>
              </w:rPr>
            </w:pPr>
            <w:r>
              <w:rPr>
                <w:rFonts w:cs="Arial"/>
                <w:sz w:val="18"/>
                <w:szCs w:val="18"/>
              </w:rPr>
              <w:t>200</w:t>
            </w:r>
          </w:p>
        </w:tc>
        <w:tc>
          <w:tcPr>
            <w:tcW w:w="990" w:type="dxa"/>
            <w:tcBorders>
              <w:top w:val="single" w:sz="4" w:space="0" w:color="000000" w:themeColor="text1"/>
              <w:left w:val="nil"/>
              <w:bottom w:val="single" w:sz="4" w:space="0" w:color="000000" w:themeColor="text1"/>
              <w:right w:val="nil"/>
            </w:tcBorders>
            <w:vAlign w:val="center"/>
          </w:tcPr>
          <w:p w14:paraId="384182EE" w14:textId="77777777" w:rsidR="0013167E" w:rsidRPr="003B65F6" w:rsidRDefault="0013167E" w:rsidP="00C34A98">
            <w:pPr>
              <w:jc w:val="center"/>
              <w:rPr>
                <w:rFonts w:cs="Arial"/>
                <w:sz w:val="18"/>
                <w:szCs w:val="18"/>
              </w:rPr>
            </w:pPr>
            <w:r w:rsidRPr="003B65F6">
              <w:rPr>
                <w:rFonts w:cs="Arial"/>
                <w:sz w:val="18"/>
                <w:szCs w:val="18"/>
              </w:rPr>
              <w:t>4:1</w:t>
            </w:r>
          </w:p>
        </w:tc>
        <w:tc>
          <w:tcPr>
            <w:tcW w:w="813" w:type="dxa"/>
            <w:tcBorders>
              <w:top w:val="single" w:sz="4" w:space="0" w:color="000000" w:themeColor="text1"/>
              <w:left w:val="nil"/>
              <w:bottom w:val="single" w:sz="4" w:space="0" w:color="000000" w:themeColor="text1"/>
              <w:right w:val="nil"/>
            </w:tcBorders>
            <w:vAlign w:val="center"/>
          </w:tcPr>
          <w:p w14:paraId="4448C951" w14:textId="77777777" w:rsidR="0013167E" w:rsidRPr="004A705F" w:rsidRDefault="0013167E" w:rsidP="00C34A98">
            <w:pPr>
              <w:jc w:val="center"/>
              <w:rPr>
                <w:rFonts w:cs="Arial"/>
                <w:b/>
                <w:sz w:val="18"/>
                <w:szCs w:val="18"/>
              </w:rPr>
            </w:pPr>
            <w:r w:rsidRPr="004A705F">
              <w:rPr>
                <w:rFonts w:cs="Arial"/>
                <w:b/>
                <w:sz w:val="18"/>
                <w:szCs w:val="18"/>
              </w:rPr>
              <w:t>1,000</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tcPr>
          <w:p w14:paraId="375FEEA2" w14:textId="77777777" w:rsidR="0013167E" w:rsidRPr="003B65F6" w:rsidRDefault="0013167E" w:rsidP="00C34A98">
            <w:pPr>
              <w:jc w:val="center"/>
              <w:rPr>
                <w:rFonts w:cs="Arial"/>
                <w:sz w:val="18"/>
                <w:szCs w:val="18"/>
              </w:rPr>
            </w:pPr>
            <w:r w:rsidRPr="003B65F6">
              <w:rPr>
                <w:rFonts w:cs="Arial"/>
                <w:sz w:val="18"/>
                <w:szCs w:val="18"/>
              </w:rPr>
              <w:t>1%</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76529E41" w14:textId="77777777" w:rsidR="0013167E" w:rsidRPr="00132DF1" w:rsidRDefault="0013167E" w:rsidP="00C34A98">
            <w:pPr>
              <w:jc w:val="center"/>
              <w:rPr>
                <w:rFonts w:cs="Arial"/>
                <w:sz w:val="18"/>
                <w:szCs w:val="18"/>
              </w:rPr>
            </w:pPr>
            <w:r w:rsidRPr="003B65F6">
              <w:rPr>
                <w:rFonts w:cs="Arial"/>
                <w:sz w:val="18"/>
                <w:szCs w:val="18"/>
              </w:rPr>
              <w:t>0.11</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5A8E28E9" w14:textId="77777777" w:rsidR="0013167E" w:rsidRPr="00132DF1" w:rsidRDefault="0013167E" w:rsidP="00C34A98">
            <w:pPr>
              <w:jc w:val="center"/>
              <w:rPr>
                <w:rFonts w:cs="Arial"/>
                <w:sz w:val="18"/>
                <w:szCs w:val="18"/>
              </w:rPr>
            </w:pPr>
            <w:r w:rsidRPr="003B65F6">
              <w:rPr>
                <w:rFonts w:cs="Arial"/>
                <w:sz w:val="18"/>
                <w:szCs w:val="18"/>
              </w:rPr>
              <w:t>0.25</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1AC451E2" w14:textId="77777777" w:rsidR="0013167E" w:rsidRPr="00132DF1" w:rsidRDefault="0013167E" w:rsidP="00C34A98">
            <w:pPr>
              <w:jc w:val="center"/>
              <w:rPr>
                <w:rFonts w:cs="Arial"/>
                <w:sz w:val="18"/>
                <w:szCs w:val="18"/>
              </w:rPr>
            </w:pPr>
            <w:r w:rsidRPr="003B65F6">
              <w:rPr>
                <w:rFonts w:cs="Arial"/>
                <w:sz w:val="18"/>
                <w:szCs w:val="18"/>
              </w:rPr>
              <w:t>0.56</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7885F967" w14:textId="77777777" w:rsidR="0013167E" w:rsidRPr="00132DF1" w:rsidRDefault="0013167E" w:rsidP="00C34A98">
            <w:pPr>
              <w:jc w:val="center"/>
              <w:rPr>
                <w:rFonts w:cs="Arial"/>
                <w:sz w:val="18"/>
                <w:szCs w:val="18"/>
              </w:rPr>
            </w:pPr>
            <w:r w:rsidRPr="003B65F6">
              <w:rPr>
                <w:rFonts w:cs="Arial"/>
                <w:sz w:val="18"/>
                <w:szCs w:val="18"/>
              </w:rPr>
              <w:t>0.80</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46BDEE5C" w14:textId="77777777" w:rsidR="0013167E" w:rsidRPr="00132DF1" w:rsidRDefault="0013167E" w:rsidP="00C34A98">
            <w:pPr>
              <w:jc w:val="center"/>
              <w:rPr>
                <w:rFonts w:cs="Arial"/>
                <w:sz w:val="18"/>
                <w:szCs w:val="18"/>
              </w:rPr>
            </w:pPr>
            <w:r w:rsidRPr="003B65F6">
              <w:rPr>
                <w:rFonts w:cs="Arial"/>
                <w:sz w:val="18"/>
                <w:szCs w:val="18"/>
              </w:rPr>
              <w:t>0.93</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7F6E28B1" w14:textId="77777777" w:rsidR="0013167E" w:rsidRPr="00132DF1" w:rsidRDefault="0013167E" w:rsidP="00C34A98">
            <w:pPr>
              <w:jc w:val="center"/>
              <w:rPr>
                <w:rFonts w:cs="Arial"/>
                <w:sz w:val="18"/>
                <w:szCs w:val="18"/>
              </w:rPr>
            </w:pPr>
            <w:r w:rsidRPr="003B65F6">
              <w:rPr>
                <w:rFonts w:cs="Arial"/>
                <w:sz w:val="18"/>
                <w:szCs w:val="18"/>
              </w:rPr>
              <w:t>1.00</w:t>
            </w:r>
          </w:p>
        </w:tc>
        <w:tc>
          <w:tcPr>
            <w:tcW w:w="667"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noWrap/>
            <w:vAlign w:val="center"/>
          </w:tcPr>
          <w:p w14:paraId="401C165F" w14:textId="77777777" w:rsidR="0013167E" w:rsidRPr="00132DF1" w:rsidRDefault="0013167E" w:rsidP="00C34A98">
            <w:pPr>
              <w:jc w:val="center"/>
              <w:rPr>
                <w:rFonts w:cs="Arial"/>
                <w:sz w:val="18"/>
                <w:szCs w:val="18"/>
              </w:rPr>
            </w:pPr>
            <w:r w:rsidRPr="003B65F6">
              <w:rPr>
                <w:rFonts w:cs="Arial"/>
                <w:sz w:val="18"/>
                <w:szCs w:val="18"/>
              </w:rPr>
              <w:t>1.00</w:t>
            </w:r>
          </w:p>
        </w:tc>
      </w:tr>
      <w:tr w:rsidR="0013167E" w:rsidRPr="00132DF1" w14:paraId="6EF50D23" w14:textId="77777777" w:rsidTr="00C34A98">
        <w:trPr>
          <w:trHeight w:val="288"/>
        </w:trPr>
        <w:tc>
          <w:tcPr>
            <w:tcW w:w="1080" w:type="dxa"/>
            <w:vMerge/>
            <w:tcBorders>
              <w:left w:val="nil"/>
              <w:right w:val="nil"/>
            </w:tcBorders>
            <w:vAlign w:val="center"/>
          </w:tcPr>
          <w:p w14:paraId="74B19BAD"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nil"/>
              <w:bottom w:val="single" w:sz="4" w:space="0" w:color="000000" w:themeColor="text1"/>
              <w:right w:val="nil"/>
            </w:tcBorders>
            <w:vAlign w:val="center"/>
          </w:tcPr>
          <w:p w14:paraId="5CAE3169" w14:textId="77777777" w:rsidR="0013167E" w:rsidRPr="003B65F6" w:rsidRDefault="0013167E" w:rsidP="00C34A98">
            <w:pPr>
              <w:jc w:val="center"/>
              <w:rPr>
                <w:rFonts w:cs="Arial"/>
                <w:sz w:val="18"/>
                <w:szCs w:val="18"/>
              </w:rPr>
            </w:pPr>
            <w:r w:rsidRPr="003B65F6">
              <w:rPr>
                <w:rFonts w:cs="Arial"/>
                <w:sz w:val="18"/>
                <w:szCs w:val="18"/>
              </w:rPr>
              <w:t>10%</w:t>
            </w:r>
          </w:p>
        </w:tc>
        <w:tc>
          <w:tcPr>
            <w:tcW w:w="900" w:type="dxa"/>
            <w:tcBorders>
              <w:top w:val="single" w:sz="4" w:space="0" w:color="000000" w:themeColor="text1"/>
              <w:left w:val="nil"/>
              <w:bottom w:val="single" w:sz="4" w:space="0" w:color="000000" w:themeColor="text1"/>
              <w:right w:val="nil"/>
            </w:tcBorders>
            <w:vAlign w:val="center"/>
          </w:tcPr>
          <w:p w14:paraId="21AA62D6" w14:textId="77777777" w:rsidR="0013167E" w:rsidRPr="00132DF1" w:rsidRDefault="0013167E" w:rsidP="00C34A98">
            <w:pPr>
              <w:jc w:val="center"/>
              <w:rPr>
                <w:rFonts w:cs="Arial"/>
                <w:sz w:val="18"/>
                <w:szCs w:val="18"/>
              </w:rPr>
            </w:pPr>
            <w:r>
              <w:rPr>
                <w:rFonts w:cs="Arial"/>
                <w:sz w:val="18"/>
                <w:szCs w:val="18"/>
              </w:rPr>
              <w:t>100</w:t>
            </w:r>
          </w:p>
        </w:tc>
        <w:tc>
          <w:tcPr>
            <w:tcW w:w="990" w:type="dxa"/>
            <w:tcBorders>
              <w:top w:val="single" w:sz="4" w:space="0" w:color="000000" w:themeColor="text1"/>
              <w:left w:val="nil"/>
              <w:bottom w:val="single" w:sz="4" w:space="0" w:color="000000" w:themeColor="text1"/>
              <w:right w:val="nil"/>
            </w:tcBorders>
            <w:vAlign w:val="center"/>
          </w:tcPr>
          <w:p w14:paraId="209E6F7B" w14:textId="77777777" w:rsidR="0013167E" w:rsidRPr="003B65F6" w:rsidRDefault="0013167E" w:rsidP="00C34A98">
            <w:pPr>
              <w:jc w:val="center"/>
              <w:rPr>
                <w:rFonts w:cs="Arial"/>
                <w:sz w:val="18"/>
                <w:szCs w:val="18"/>
              </w:rPr>
            </w:pPr>
            <w:r w:rsidRPr="003B65F6">
              <w:rPr>
                <w:rFonts w:cs="Arial"/>
                <w:sz w:val="18"/>
                <w:szCs w:val="18"/>
              </w:rPr>
              <w:t>4:1</w:t>
            </w:r>
          </w:p>
        </w:tc>
        <w:tc>
          <w:tcPr>
            <w:tcW w:w="813" w:type="dxa"/>
            <w:tcBorders>
              <w:top w:val="single" w:sz="4" w:space="0" w:color="000000" w:themeColor="text1"/>
              <w:left w:val="nil"/>
              <w:bottom w:val="single" w:sz="4" w:space="0" w:color="000000" w:themeColor="text1"/>
              <w:right w:val="nil"/>
            </w:tcBorders>
            <w:vAlign w:val="center"/>
          </w:tcPr>
          <w:p w14:paraId="79277CF3" w14:textId="77777777" w:rsidR="0013167E" w:rsidRPr="00132DF1" w:rsidRDefault="0013167E" w:rsidP="00C34A98">
            <w:pPr>
              <w:jc w:val="center"/>
              <w:rPr>
                <w:rFonts w:cs="Arial"/>
                <w:sz w:val="18"/>
                <w:szCs w:val="18"/>
              </w:rPr>
            </w:pPr>
            <w:r>
              <w:rPr>
                <w:rFonts w:cs="Arial"/>
                <w:sz w:val="18"/>
                <w:szCs w:val="18"/>
              </w:rPr>
              <w:t>500</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tcPr>
          <w:p w14:paraId="7AF16A1D" w14:textId="77777777" w:rsidR="0013167E" w:rsidRPr="003B65F6" w:rsidRDefault="0013167E" w:rsidP="00C34A98">
            <w:pPr>
              <w:jc w:val="center"/>
              <w:rPr>
                <w:rFonts w:cs="Arial"/>
                <w:sz w:val="18"/>
                <w:szCs w:val="18"/>
              </w:rPr>
            </w:pPr>
            <w:r w:rsidRPr="003B65F6">
              <w:rPr>
                <w:rFonts w:cs="Arial"/>
                <w:sz w:val="18"/>
                <w:szCs w:val="18"/>
              </w:rPr>
              <w:t>4%</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1A80D3D9" w14:textId="77777777" w:rsidR="0013167E" w:rsidRPr="00132DF1" w:rsidRDefault="0013167E" w:rsidP="00C34A98">
            <w:pPr>
              <w:jc w:val="center"/>
              <w:rPr>
                <w:rFonts w:cs="Arial"/>
                <w:sz w:val="18"/>
                <w:szCs w:val="18"/>
              </w:rPr>
            </w:pPr>
            <w:r w:rsidRPr="003B65F6">
              <w:rPr>
                <w:rFonts w:cs="Arial"/>
                <w:sz w:val="18"/>
                <w:szCs w:val="18"/>
              </w:rPr>
              <w:t>0.16</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5B4BE24E" w14:textId="77777777" w:rsidR="0013167E" w:rsidRPr="00132DF1" w:rsidRDefault="0013167E" w:rsidP="00C34A98">
            <w:pPr>
              <w:jc w:val="center"/>
              <w:rPr>
                <w:rFonts w:cs="Arial"/>
                <w:sz w:val="18"/>
                <w:szCs w:val="18"/>
              </w:rPr>
            </w:pPr>
            <w:r w:rsidRPr="003B65F6">
              <w:rPr>
                <w:rFonts w:cs="Arial"/>
                <w:sz w:val="18"/>
                <w:szCs w:val="18"/>
              </w:rPr>
              <w:t>0.40</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0935A634" w14:textId="77777777" w:rsidR="0013167E" w:rsidRPr="00132DF1" w:rsidRDefault="0013167E" w:rsidP="00C34A98">
            <w:pPr>
              <w:jc w:val="center"/>
              <w:rPr>
                <w:rFonts w:cs="Arial"/>
                <w:sz w:val="18"/>
                <w:szCs w:val="18"/>
              </w:rPr>
            </w:pPr>
            <w:r w:rsidRPr="003B65F6">
              <w:rPr>
                <w:rFonts w:cs="Arial"/>
                <w:sz w:val="18"/>
                <w:szCs w:val="18"/>
              </w:rPr>
              <w:t>0.83</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6A35C087" w14:textId="77777777" w:rsidR="0013167E" w:rsidRPr="00132DF1" w:rsidRDefault="0013167E" w:rsidP="00C34A98">
            <w:pPr>
              <w:jc w:val="center"/>
              <w:rPr>
                <w:rFonts w:cs="Arial"/>
                <w:sz w:val="18"/>
                <w:szCs w:val="18"/>
              </w:rPr>
            </w:pPr>
            <w:r w:rsidRPr="003B65F6">
              <w:rPr>
                <w:rFonts w:cs="Arial"/>
                <w:sz w:val="18"/>
                <w:szCs w:val="18"/>
              </w:rPr>
              <w:t>0.98</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2B27D841" w14:textId="77777777" w:rsidR="0013167E" w:rsidRPr="00132DF1" w:rsidRDefault="0013167E" w:rsidP="00C34A98">
            <w:pPr>
              <w:jc w:val="center"/>
              <w:rPr>
                <w:rFonts w:cs="Arial"/>
                <w:sz w:val="18"/>
                <w:szCs w:val="18"/>
              </w:rPr>
            </w:pPr>
            <w:r w:rsidRPr="003B65F6">
              <w:rPr>
                <w:rFonts w:cs="Arial"/>
                <w:sz w:val="18"/>
                <w:szCs w:val="18"/>
              </w:rPr>
              <w:t>1.00</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32A00DF4" w14:textId="77777777" w:rsidR="0013167E" w:rsidRPr="00132DF1" w:rsidRDefault="0013167E" w:rsidP="00C34A98">
            <w:pPr>
              <w:jc w:val="center"/>
              <w:rPr>
                <w:rFonts w:cs="Arial"/>
                <w:sz w:val="18"/>
                <w:szCs w:val="18"/>
              </w:rPr>
            </w:pPr>
            <w:r w:rsidRPr="003B65F6">
              <w:rPr>
                <w:rFonts w:cs="Arial"/>
                <w:sz w:val="18"/>
                <w:szCs w:val="18"/>
              </w:rPr>
              <w:t>1.00</w:t>
            </w:r>
          </w:p>
        </w:tc>
        <w:tc>
          <w:tcPr>
            <w:tcW w:w="6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41442966" w14:textId="77777777" w:rsidR="0013167E" w:rsidRPr="00132DF1" w:rsidRDefault="0013167E" w:rsidP="00C34A98">
            <w:pPr>
              <w:jc w:val="center"/>
              <w:rPr>
                <w:rFonts w:cs="Arial"/>
                <w:sz w:val="18"/>
                <w:szCs w:val="18"/>
              </w:rPr>
            </w:pPr>
            <w:r w:rsidRPr="003B65F6">
              <w:rPr>
                <w:rFonts w:cs="Arial"/>
                <w:sz w:val="18"/>
                <w:szCs w:val="18"/>
              </w:rPr>
              <w:t>1.00</w:t>
            </w:r>
          </w:p>
        </w:tc>
      </w:tr>
      <w:tr w:rsidR="0013167E" w:rsidRPr="00132DF1" w14:paraId="6A0CA67F" w14:textId="77777777" w:rsidTr="00C34A98">
        <w:trPr>
          <w:trHeight w:val="288"/>
        </w:trPr>
        <w:tc>
          <w:tcPr>
            <w:tcW w:w="1080" w:type="dxa"/>
            <w:vMerge/>
            <w:tcBorders>
              <w:left w:val="nil"/>
              <w:bottom w:val="single" w:sz="4" w:space="0" w:color="808080" w:themeColor="background1" w:themeShade="80"/>
              <w:right w:val="single" w:sz="4" w:space="0" w:color="000000" w:themeColor="text1"/>
            </w:tcBorders>
            <w:vAlign w:val="center"/>
          </w:tcPr>
          <w:p w14:paraId="4A05E4CF" w14:textId="77777777" w:rsidR="0013167E" w:rsidRPr="00132DF1" w:rsidRDefault="0013167E" w:rsidP="00C34A98">
            <w:pPr>
              <w:jc w:val="center"/>
              <w:rPr>
                <w:color w:val="000000"/>
                <w:sz w:val="18"/>
                <w:szCs w:val="18"/>
              </w:rPr>
            </w:pPr>
          </w:p>
        </w:tc>
        <w:tc>
          <w:tcPr>
            <w:tcW w:w="1260" w:type="dxa"/>
            <w:tcBorders>
              <w:top w:val="single" w:sz="4" w:space="0" w:color="000000" w:themeColor="text1"/>
              <w:left w:val="single" w:sz="4" w:space="0" w:color="000000" w:themeColor="text1"/>
              <w:bottom w:val="single" w:sz="4" w:space="0" w:color="000000" w:themeColor="text1"/>
              <w:right w:val="nil"/>
            </w:tcBorders>
            <w:vAlign w:val="center"/>
          </w:tcPr>
          <w:p w14:paraId="5F27C505" w14:textId="77777777" w:rsidR="0013167E" w:rsidRPr="003B65F6" w:rsidRDefault="0013167E" w:rsidP="00C34A98">
            <w:pPr>
              <w:jc w:val="center"/>
              <w:rPr>
                <w:rFonts w:cs="Arial"/>
                <w:sz w:val="18"/>
                <w:szCs w:val="18"/>
              </w:rPr>
            </w:pPr>
            <w:r w:rsidRPr="003B65F6">
              <w:rPr>
                <w:rFonts w:cs="Arial"/>
                <w:sz w:val="18"/>
                <w:szCs w:val="18"/>
              </w:rPr>
              <w:t>20%</w:t>
            </w:r>
          </w:p>
        </w:tc>
        <w:tc>
          <w:tcPr>
            <w:tcW w:w="900" w:type="dxa"/>
            <w:tcBorders>
              <w:top w:val="single" w:sz="4" w:space="0" w:color="000000" w:themeColor="text1"/>
              <w:left w:val="nil"/>
              <w:bottom w:val="single" w:sz="4" w:space="0" w:color="000000" w:themeColor="text1"/>
              <w:right w:val="nil"/>
            </w:tcBorders>
            <w:vAlign w:val="center"/>
          </w:tcPr>
          <w:p w14:paraId="13BE3945" w14:textId="77777777" w:rsidR="0013167E" w:rsidRPr="00132DF1" w:rsidRDefault="0013167E" w:rsidP="00C34A98">
            <w:pPr>
              <w:jc w:val="center"/>
              <w:rPr>
                <w:rFonts w:cs="Arial"/>
                <w:sz w:val="18"/>
                <w:szCs w:val="18"/>
              </w:rPr>
            </w:pPr>
            <w:r>
              <w:rPr>
                <w:rFonts w:cs="Arial"/>
                <w:sz w:val="18"/>
                <w:szCs w:val="18"/>
              </w:rPr>
              <w:t>200</w:t>
            </w:r>
          </w:p>
        </w:tc>
        <w:tc>
          <w:tcPr>
            <w:tcW w:w="990" w:type="dxa"/>
            <w:tcBorders>
              <w:top w:val="single" w:sz="4" w:space="0" w:color="000000" w:themeColor="text1"/>
              <w:left w:val="nil"/>
              <w:bottom w:val="single" w:sz="4" w:space="0" w:color="000000" w:themeColor="text1"/>
              <w:right w:val="nil"/>
            </w:tcBorders>
            <w:vAlign w:val="center"/>
          </w:tcPr>
          <w:p w14:paraId="03A7C77D" w14:textId="77777777" w:rsidR="0013167E" w:rsidRPr="003B65F6" w:rsidRDefault="0013167E" w:rsidP="00C34A98">
            <w:pPr>
              <w:jc w:val="center"/>
              <w:rPr>
                <w:rFonts w:cs="Arial"/>
                <w:sz w:val="18"/>
                <w:szCs w:val="18"/>
              </w:rPr>
            </w:pPr>
            <w:r w:rsidRPr="003B65F6">
              <w:rPr>
                <w:rFonts w:cs="Arial"/>
                <w:sz w:val="18"/>
                <w:szCs w:val="18"/>
              </w:rPr>
              <w:t>4:1</w:t>
            </w:r>
          </w:p>
        </w:tc>
        <w:tc>
          <w:tcPr>
            <w:tcW w:w="813" w:type="dxa"/>
            <w:tcBorders>
              <w:top w:val="single" w:sz="4" w:space="0" w:color="000000" w:themeColor="text1"/>
              <w:left w:val="nil"/>
              <w:bottom w:val="single" w:sz="4" w:space="0" w:color="000000" w:themeColor="text1"/>
              <w:right w:val="nil"/>
            </w:tcBorders>
            <w:vAlign w:val="center"/>
          </w:tcPr>
          <w:p w14:paraId="569CBB75" w14:textId="77777777" w:rsidR="0013167E" w:rsidRPr="004A705F" w:rsidRDefault="0013167E" w:rsidP="00C34A98">
            <w:pPr>
              <w:jc w:val="center"/>
              <w:rPr>
                <w:rFonts w:cs="Arial"/>
                <w:b/>
                <w:sz w:val="18"/>
                <w:szCs w:val="18"/>
              </w:rPr>
            </w:pPr>
            <w:r w:rsidRPr="004A705F">
              <w:rPr>
                <w:rFonts w:cs="Arial"/>
                <w:b/>
                <w:sz w:val="18"/>
                <w:szCs w:val="18"/>
              </w:rPr>
              <w:t>1,000</w:t>
            </w:r>
          </w:p>
        </w:tc>
        <w:tc>
          <w:tcPr>
            <w:tcW w:w="1440" w:type="dxa"/>
            <w:tcBorders>
              <w:top w:val="single" w:sz="4" w:space="0" w:color="000000" w:themeColor="text1"/>
              <w:left w:val="nil"/>
              <w:bottom w:val="single" w:sz="4" w:space="0" w:color="000000" w:themeColor="text1"/>
              <w:right w:val="nil"/>
            </w:tcBorders>
            <w:shd w:val="clear" w:color="auto" w:fill="auto"/>
            <w:noWrap/>
            <w:vAlign w:val="center"/>
          </w:tcPr>
          <w:p w14:paraId="55D0686B" w14:textId="77777777" w:rsidR="0013167E" w:rsidRPr="003B65F6" w:rsidRDefault="0013167E" w:rsidP="00C34A98">
            <w:pPr>
              <w:jc w:val="center"/>
              <w:rPr>
                <w:rFonts w:cs="Arial"/>
                <w:sz w:val="18"/>
                <w:szCs w:val="18"/>
              </w:rPr>
            </w:pPr>
            <w:r>
              <w:rPr>
                <w:rFonts w:cs="Arial"/>
                <w:sz w:val="18"/>
                <w:szCs w:val="18"/>
              </w:rPr>
              <w:t>4</w:t>
            </w:r>
            <w:r w:rsidRPr="003B65F6">
              <w:rPr>
                <w:rFonts w:cs="Arial"/>
                <w:sz w:val="18"/>
                <w:szCs w:val="18"/>
              </w:rPr>
              <w:t>%</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3742C6CF" w14:textId="77777777" w:rsidR="0013167E" w:rsidRPr="00132DF1" w:rsidRDefault="0013167E" w:rsidP="00C34A98">
            <w:pPr>
              <w:jc w:val="center"/>
              <w:rPr>
                <w:rFonts w:cs="Arial"/>
                <w:sz w:val="18"/>
                <w:szCs w:val="18"/>
              </w:rPr>
            </w:pPr>
            <w:r w:rsidRPr="003B65F6">
              <w:rPr>
                <w:rFonts w:cs="Arial"/>
                <w:sz w:val="18"/>
                <w:szCs w:val="18"/>
              </w:rPr>
              <w:t>0.26</w:t>
            </w:r>
          </w:p>
        </w:tc>
        <w:tc>
          <w:tcPr>
            <w:tcW w:w="567" w:type="dxa"/>
            <w:tcBorders>
              <w:top w:val="single" w:sz="4" w:space="0" w:color="000000" w:themeColor="text1"/>
              <w:left w:val="nil"/>
              <w:bottom w:val="single" w:sz="4" w:space="0" w:color="000000" w:themeColor="text1"/>
              <w:right w:val="nil"/>
            </w:tcBorders>
            <w:shd w:val="clear" w:color="auto" w:fill="auto"/>
            <w:noWrap/>
            <w:vAlign w:val="center"/>
          </w:tcPr>
          <w:p w14:paraId="17D1C94B" w14:textId="77777777" w:rsidR="0013167E" w:rsidRPr="00132DF1" w:rsidRDefault="0013167E" w:rsidP="00C34A98">
            <w:pPr>
              <w:jc w:val="center"/>
              <w:rPr>
                <w:rFonts w:cs="Arial"/>
                <w:sz w:val="18"/>
                <w:szCs w:val="18"/>
              </w:rPr>
            </w:pPr>
            <w:r w:rsidRPr="003B65F6">
              <w:rPr>
                <w:rFonts w:cs="Arial"/>
                <w:sz w:val="18"/>
                <w:szCs w:val="18"/>
              </w:rPr>
              <w:t>0.64</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662410C5" w14:textId="77777777" w:rsidR="0013167E" w:rsidRPr="00132DF1" w:rsidRDefault="0013167E" w:rsidP="00C34A98">
            <w:pPr>
              <w:jc w:val="center"/>
              <w:rPr>
                <w:rFonts w:cs="Arial"/>
                <w:sz w:val="18"/>
                <w:szCs w:val="18"/>
              </w:rPr>
            </w:pPr>
            <w:r w:rsidRPr="003B65F6">
              <w:rPr>
                <w:rFonts w:cs="Arial"/>
                <w:sz w:val="18"/>
                <w:szCs w:val="18"/>
              </w:rPr>
              <w:t>0.98</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10A43D32" w14:textId="77777777" w:rsidR="0013167E" w:rsidRPr="00132DF1" w:rsidRDefault="0013167E" w:rsidP="00C34A98">
            <w:pPr>
              <w:jc w:val="center"/>
              <w:rPr>
                <w:rFonts w:cs="Arial"/>
                <w:sz w:val="18"/>
                <w:szCs w:val="18"/>
              </w:rPr>
            </w:pPr>
            <w:r w:rsidRPr="003B65F6">
              <w:rPr>
                <w:rFonts w:cs="Arial"/>
                <w:sz w:val="18"/>
                <w:szCs w:val="18"/>
              </w:rPr>
              <w:t>1.00</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07CC62A9" w14:textId="77777777" w:rsidR="0013167E" w:rsidRPr="00132DF1" w:rsidRDefault="0013167E" w:rsidP="00C34A98">
            <w:pPr>
              <w:jc w:val="center"/>
              <w:rPr>
                <w:rFonts w:cs="Arial"/>
                <w:sz w:val="18"/>
                <w:szCs w:val="18"/>
              </w:rPr>
            </w:pPr>
            <w:r w:rsidRPr="003B65F6">
              <w:rPr>
                <w:rFonts w:cs="Arial"/>
                <w:sz w:val="18"/>
                <w:szCs w:val="18"/>
              </w:rPr>
              <w:t>1.00</w:t>
            </w:r>
          </w:p>
        </w:tc>
        <w:tc>
          <w:tcPr>
            <w:tcW w:w="567" w:type="dxa"/>
            <w:tcBorders>
              <w:top w:val="single" w:sz="4" w:space="0" w:color="000000" w:themeColor="text1"/>
              <w:left w:val="nil"/>
              <w:bottom w:val="single" w:sz="4" w:space="0" w:color="000000" w:themeColor="text1"/>
              <w:right w:val="nil"/>
            </w:tcBorders>
            <w:shd w:val="clear" w:color="auto" w:fill="D9D9D9" w:themeFill="background1" w:themeFillShade="D9"/>
            <w:noWrap/>
            <w:vAlign w:val="center"/>
          </w:tcPr>
          <w:p w14:paraId="46F1A969" w14:textId="77777777" w:rsidR="0013167E" w:rsidRPr="00132DF1" w:rsidRDefault="0013167E" w:rsidP="00C34A98">
            <w:pPr>
              <w:jc w:val="center"/>
              <w:rPr>
                <w:rFonts w:cs="Arial"/>
                <w:sz w:val="18"/>
                <w:szCs w:val="18"/>
              </w:rPr>
            </w:pPr>
            <w:r w:rsidRPr="003B65F6">
              <w:rPr>
                <w:rFonts w:cs="Arial"/>
                <w:sz w:val="18"/>
                <w:szCs w:val="18"/>
              </w:rPr>
              <w:t>1.00</w:t>
            </w:r>
          </w:p>
        </w:tc>
        <w:tc>
          <w:tcPr>
            <w:tcW w:w="667"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noWrap/>
            <w:vAlign w:val="center"/>
          </w:tcPr>
          <w:p w14:paraId="3FFD0DF1" w14:textId="77777777" w:rsidR="0013167E" w:rsidRPr="00132DF1" w:rsidRDefault="0013167E" w:rsidP="00C34A98">
            <w:pPr>
              <w:jc w:val="center"/>
              <w:rPr>
                <w:rFonts w:cs="Arial"/>
                <w:sz w:val="18"/>
                <w:szCs w:val="18"/>
              </w:rPr>
            </w:pPr>
            <w:r w:rsidRPr="003B65F6">
              <w:rPr>
                <w:rFonts w:cs="Arial"/>
                <w:sz w:val="18"/>
                <w:szCs w:val="18"/>
              </w:rPr>
              <w:t>1.00</w:t>
            </w:r>
          </w:p>
        </w:tc>
      </w:tr>
    </w:tbl>
    <w:p w14:paraId="025C4F13" w14:textId="77777777" w:rsidR="0013167E" w:rsidRPr="00BB453C" w:rsidRDefault="0013167E" w:rsidP="0013167E">
      <w:pPr>
        <w:rPr>
          <w:rFonts w:cs="MinionPro-Regular"/>
          <w:color w:val="231F20"/>
          <w:sz w:val="18"/>
        </w:rPr>
      </w:pPr>
      <w:r w:rsidRPr="00BB453C">
        <w:rPr>
          <w:rFonts w:cs="MinionPro-Regular"/>
          <w:color w:val="231F20"/>
          <w:sz w:val="18"/>
        </w:rPr>
        <w:t>Gray shading=power&gt;80%</w:t>
      </w:r>
    </w:p>
    <w:p w14:paraId="2A5245D3" w14:textId="77777777" w:rsidR="0013167E" w:rsidRPr="00BB453C" w:rsidRDefault="0013167E" w:rsidP="0013167E">
      <w:pPr>
        <w:rPr>
          <w:rFonts w:cs="MinionPro-Regular"/>
          <w:color w:val="231F20"/>
          <w:sz w:val="18"/>
        </w:rPr>
      </w:pPr>
      <w:r w:rsidRPr="00BB453C">
        <w:rPr>
          <w:rFonts w:cs="MinionPro-Regular"/>
          <w:color w:val="231F20"/>
          <w:sz w:val="18"/>
        </w:rPr>
        <w:t>* Using EpiSheet</w:t>
      </w:r>
    </w:p>
    <w:p w14:paraId="033996A3" w14:textId="77777777" w:rsidR="0013167E" w:rsidRDefault="0013167E" w:rsidP="0013167E">
      <w:pPr>
        <w:shd w:val="clear" w:color="auto" w:fill="FFFFFF"/>
        <w:rPr>
          <w:rFonts w:ascii="Arial" w:hAnsi="Arial" w:cs="Arial"/>
          <w:sz w:val="20"/>
          <w:szCs w:val="20"/>
        </w:rPr>
      </w:pPr>
    </w:p>
    <w:p w14:paraId="17EA2D5D" w14:textId="77777777" w:rsidR="0013167E" w:rsidRDefault="0013167E">
      <w:pPr>
        <w:widowControl/>
        <w:autoSpaceDE/>
        <w:autoSpaceDN/>
        <w:adjustRightInd/>
        <w:rPr>
          <w:b/>
        </w:rPr>
      </w:pPr>
      <w:r>
        <w:rPr>
          <w:b/>
        </w:rPr>
        <w:br w:type="page"/>
      </w:r>
    </w:p>
    <w:p w14:paraId="39C439A4" w14:textId="258C717A" w:rsidR="0070380D" w:rsidRDefault="0070380D" w:rsidP="0070380D">
      <w:r w:rsidRPr="00E66FF8">
        <w:rPr>
          <w:b/>
        </w:rPr>
        <w:t>Figure B1. Study power by minimum detectable risk ratio,</w:t>
      </w:r>
      <w:r w:rsidRPr="00B91E44">
        <w:rPr>
          <w:b/>
        </w:rPr>
        <w:t xml:space="preserve"> for </w:t>
      </w:r>
      <w:r w:rsidRPr="00E66FF8">
        <w:rPr>
          <w:b/>
        </w:rPr>
        <w:t>varying Zika virus</w:t>
      </w:r>
      <w:r w:rsidRPr="00B91E44">
        <w:rPr>
          <w:b/>
        </w:rPr>
        <w:t xml:space="preserve"> infection rates and </w:t>
      </w:r>
      <w:r w:rsidRPr="00E66FF8">
        <w:rPr>
          <w:b/>
        </w:rPr>
        <w:t>outcome</w:t>
      </w:r>
      <w:r w:rsidRPr="00B91E44">
        <w:rPr>
          <w:b/>
        </w:rPr>
        <w:t xml:space="preserve"> prevalence</w:t>
      </w:r>
      <w:r w:rsidRPr="00E66FF8">
        <w:rPr>
          <w:b/>
        </w:rPr>
        <w:t xml:space="preserve">. Markers depict estimated power for the following </w:t>
      </w:r>
      <w:r w:rsidRPr="00B91E44">
        <w:rPr>
          <w:b/>
        </w:rPr>
        <w:t>outcomes</w:t>
      </w:r>
      <w:r w:rsidRPr="00E66FF8">
        <w:rPr>
          <w:b/>
        </w:rPr>
        <w:t>: preterm birth (A), hearing loss (B),</w:t>
      </w:r>
      <w:r w:rsidRPr="00B91E44">
        <w:rPr>
          <w:b/>
        </w:rPr>
        <w:t xml:space="preserve"> and </w:t>
      </w:r>
      <w:r w:rsidRPr="00E66FF8">
        <w:rPr>
          <w:b/>
        </w:rPr>
        <w:t>microcephaly (C)</w:t>
      </w:r>
    </w:p>
    <w:p w14:paraId="6A62280A" w14:textId="7C1B2E18" w:rsidR="0054538B" w:rsidRPr="00B91E44" w:rsidRDefault="00144BF5" w:rsidP="00B91E44">
      <w:r>
        <w:rPr>
          <w:noProof/>
        </w:rPr>
        <w:drawing>
          <wp:inline distT="0" distB="0" distL="0" distR="0" wp14:anchorId="12127207" wp14:editId="6F9EC2D9">
            <wp:extent cx="5804535" cy="439229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4867"/>
                    <a:stretch/>
                  </pic:blipFill>
                  <pic:spPr bwMode="auto">
                    <a:xfrm>
                      <a:off x="0" y="0"/>
                      <a:ext cx="5807145" cy="4394267"/>
                    </a:xfrm>
                    <a:prstGeom prst="rect">
                      <a:avLst/>
                    </a:prstGeom>
                    <a:noFill/>
                    <a:ln>
                      <a:noFill/>
                    </a:ln>
                    <a:extLst>
                      <a:ext uri="{53640926-AAD7-44D8-BBD7-CCE9431645EC}">
                        <a14:shadowObscured xmlns:a14="http://schemas.microsoft.com/office/drawing/2010/main"/>
                      </a:ext>
                    </a:extLst>
                  </pic:spPr>
                </pic:pic>
              </a:graphicData>
            </a:graphic>
          </wp:inline>
        </w:drawing>
      </w:r>
    </w:p>
    <w:p w14:paraId="0E479F35" w14:textId="77777777" w:rsidR="00EF440F" w:rsidRDefault="00EF440F" w:rsidP="00EF440F">
      <w:pPr>
        <w:rPr>
          <w:rFonts w:cs="Arial"/>
          <w:sz w:val="20"/>
        </w:rPr>
      </w:pPr>
      <w:r>
        <w:rPr>
          <w:rFonts w:cs="Arial"/>
          <w:sz w:val="20"/>
        </w:rPr>
        <w:t>Notes: Assuming a significance level of 0.05 and total sample size of 5,000 women</w:t>
      </w:r>
    </w:p>
    <w:p w14:paraId="6CB37BA8" w14:textId="77777777" w:rsidR="00EF440F" w:rsidRPr="00B91E44" w:rsidRDefault="00EF440F" w:rsidP="00EF440F">
      <w:pPr>
        <w:rPr>
          <w:sz w:val="20"/>
        </w:rPr>
      </w:pPr>
      <w:r w:rsidRPr="00E66FF8">
        <w:rPr>
          <w:rFonts w:cs="Arial"/>
          <w:sz w:val="20"/>
          <w:vertAlign w:val="superscript"/>
        </w:rPr>
        <w:t>*</w:t>
      </w:r>
      <w:r w:rsidRPr="00B91E44">
        <w:rPr>
          <w:sz w:val="20"/>
        </w:rPr>
        <w:t xml:space="preserve"> Proportion of study cohort with incident ZIKV infection</w:t>
      </w:r>
    </w:p>
    <w:p w14:paraId="3C9BE035" w14:textId="77777777" w:rsidR="00EF440F" w:rsidRPr="00B91E44" w:rsidRDefault="00EF440F" w:rsidP="00EF440F">
      <w:pPr>
        <w:rPr>
          <w:sz w:val="20"/>
        </w:rPr>
      </w:pPr>
      <w:r w:rsidRPr="00E66FF8">
        <w:rPr>
          <w:sz w:val="20"/>
          <w:vertAlign w:val="superscript"/>
        </w:rPr>
        <w:t>†</w:t>
      </w:r>
      <w:r w:rsidRPr="00B91E44">
        <w:rPr>
          <w:sz w:val="20"/>
        </w:rPr>
        <w:t xml:space="preserve"> Expected number of women exposed to ZIKV in pregnancy</w:t>
      </w:r>
    </w:p>
    <w:p w14:paraId="7932DE3D" w14:textId="77777777" w:rsidR="00C14289" w:rsidRDefault="00C14289"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2F84BF6D" w14:textId="77777777" w:rsidR="00346141"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sidR="00E77123">
        <w:rPr>
          <w:b/>
          <w:bCs/>
        </w:rPr>
        <w:t xml:space="preserve">2. </w:t>
      </w:r>
      <w:r w:rsidR="00346141" w:rsidRPr="00330C1D">
        <w:rPr>
          <w:b/>
          <w:bCs/>
        </w:rPr>
        <w:t>Procedures for the Collection of Information</w:t>
      </w:r>
    </w:p>
    <w:p w14:paraId="12B0766B" w14:textId="77777777" w:rsidR="00FC5056" w:rsidRDefault="00FC5056" w:rsidP="00772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B6EA356" w14:textId="644234C5" w:rsidR="00F138DC" w:rsidRDefault="00775A75" w:rsidP="00775A75">
      <w:r w:rsidRPr="004741B8">
        <w:t xml:space="preserve">Pregnant women will be recruited in the first trimester of pregnancy at participating clinics in Colombia’s private and public health care systems and followed through their pregnancy, delivery, and </w:t>
      </w:r>
      <w:r w:rsidR="00F138DC">
        <w:t>until the infant is 6 months old.  A subset of women will be part of the continued follow-up of children to age 5 years</w:t>
      </w:r>
      <w:r w:rsidRPr="004741B8">
        <w:t xml:space="preserve">. </w:t>
      </w:r>
    </w:p>
    <w:p w14:paraId="4CAC4448" w14:textId="77777777" w:rsidR="00F138DC" w:rsidRDefault="00F138DC" w:rsidP="00775A75"/>
    <w:p w14:paraId="1C1F2FC8" w14:textId="6E7D016A" w:rsidR="00775A75" w:rsidRPr="004741B8" w:rsidRDefault="00775A75" w:rsidP="00775A75">
      <w:r w:rsidRPr="004741B8">
        <w:t>The Pregnant Woman Eligibility Screener Form (Att B.1</w:t>
      </w:r>
      <w:r w:rsidR="00F405CF">
        <w:t>; C.1</w:t>
      </w:r>
      <w:r w:rsidRPr="004741B8">
        <w:t>), administered to potential participants by trained ZEN research staff, will be used to confirm participant eligibility prior to consent</w:t>
      </w:r>
      <w:r w:rsidR="00400B5B">
        <w:t xml:space="preserve"> or assent</w:t>
      </w:r>
      <w:r w:rsidRPr="004741B8">
        <w:t xml:space="preserve">.  </w:t>
      </w:r>
      <w:r w:rsidRPr="004741B8">
        <w:rPr>
          <w:rFonts w:cs="Arial"/>
        </w:rPr>
        <w:t xml:space="preserve">At the enrollment visit, </w:t>
      </w:r>
      <w:r w:rsidR="004B20FD">
        <w:rPr>
          <w:rFonts w:cs="Arial"/>
        </w:rPr>
        <w:t xml:space="preserve">study staff will interview </w:t>
      </w:r>
      <w:r w:rsidRPr="004741B8">
        <w:rPr>
          <w:rFonts w:cs="Arial"/>
        </w:rPr>
        <w:t xml:space="preserve">pregnant women </w:t>
      </w:r>
      <w:r w:rsidR="004B20FD">
        <w:rPr>
          <w:rFonts w:cs="Arial"/>
        </w:rPr>
        <w:t xml:space="preserve">using </w:t>
      </w:r>
      <w:r>
        <w:rPr>
          <w:rFonts w:cs="Arial"/>
        </w:rPr>
        <w:t>the</w:t>
      </w:r>
      <w:r w:rsidRPr="004741B8">
        <w:rPr>
          <w:rFonts w:cs="Arial"/>
        </w:rPr>
        <w:t xml:space="preserve"> Pregnant Woman Enrollment Questionnaire </w:t>
      </w:r>
      <w:r w:rsidRPr="004741B8">
        <w:t>(Att B.2</w:t>
      </w:r>
      <w:r w:rsidR="00F405CF">
        <w:t>; C.2</w:t>
      </w:r>
      <w:r w:rsidRPr="004741B8">
        <w:t>) and an Adult Symptoms Questionnaire (Att B.5</w:t>
      </w:r>
      <w:r w:rsidR="00F405CF">
        <w:t>; C.5</w:t>
      </w:r>
      <w:r w:rsidRPr="004741B8">
        <w:t>).  All pregnant women will attend monthly study</w:t>
      </w:r>
      <w:r w:rsidR="004B20FD">
        <w:t xml:space="preserve"> clinic</w:t>
      </w:r>
      <w:r w:rsidRPr="004741B8">
        <w:t xml:space="preserve"> visits and </w:t>
      </w:r>
      <w:r w:rsidRPr="004741B8">
        <w:rPr>
          <w:rFonts w:cs="Arial"/>
        </w:rPr>
        <w:t>will be</w:t>
      </w:r>
      <w:r w:rsidR="004B20FD">
        <w:rPr>
          <w:rFonts w:cs="Arial"/>
        </w:rPr>
        <w:t xml:space="preserve"> interviewed</w:t>
      </w:r>
      <w:r w:rsidRPr="004741B8">
        <w:rPr>
          <w:rFonts w:cs="Arial"/>
        </w:rPr>
        <w:t xml:space="preserve"> </w:t>
      </w:r>
      <w:r w:rsidR="004B20FD">
        <w:rPr>
          <w:rFonts w:cs="Arial"/>
        </w:rPr>
        <w:t>using</w:t>
      </w:r>
      <w:r w:rsidRPr="004741B8">
        <w:rPr>
          <w:rFonts w:cs="Arial"/>
        </w:rPr>
        <w:t xml:space="preserve"> the Maternal Follow-Up (Att B.3</w:t>
      </w:r>
      <w:r w:rsidR="00F405CF">
        <w:rPr>
          <w:rFonts w:cs="Arial"/>
        </w:rPr>
        <w:t>; C.3</w:t>
      </w:r>
      <w:r w:rsidRPr="004741B8">
        <w:rPr>
          <w:rFonts w:cs="Arial"/>
        </w:rPr>
        <w:t xml:space="preserve">) and </w:t>
      </w:r>
      <w:r w:rsidRPr="004741B8">
        <w:t>Adult Symptoms Questionnaires</w:t>
      </w:r>
      <w:r w:rsidRPr="004741B8">
        <w:rPr>
          <w:rFonts w:cs="Arial"/>
        </w:rPr>
        <w:t xml:space="preserve"> (Att B.5</w:t>
      </w:r>
      <w:r w:rsidR="00F405CF">
        <w:rPr>
          <w:rFonts w:cs="Arial"/>
        </w:rPr>
        <w:t>; C.5</w:t>
      </w:r>
      <w:r w:rsidRPr="004741B8">
        <w:rPr>
          <w:rFonts w:cs="Arial"/>
        </w:rPr>
        <w:t xml:space="preserve">). </w:t>
      </w:r>
      <w:r w:rsidRPr="004741B8">
        <w:t xml:space="preserve"> Pregnant women will </w:t>
      </w:r>
      <w:r w:rsidR="004B20FD">
        <w:t xml:space="preserve">have interval visits (about two weeks after clinic visits) where </w:t>
      </w:r>
      <w:r w:rsidR="009A101C">
        <w:t>they</w:t>
      </w:r>
      <w:r w:rsidR="004B20FD">
        <w:t xml:space="preserve"> will </w:t>
      </w:r>
      <w:r w:rsidRPr="004741B8">
        <w:t>be monitored for incident ZIKV infection by collection of urine</w:t>
      </w:r>
      <w:r w:rsidR="004B20FD">
        <w:t xml:space="preserve"> and be interviewed using the Adult Symptoms Questionnaire (Att B.5</w:t>
      </w:r>
      <w:r w:rsidR="00F405CF">
        <w:t>; C.5</w:t>
      </w:r>
      <w:r w:rsidR="004B20FD">
        <w:t>)</w:t>
      </w:r>
      <w:r w:rsidRPr="004741B8">
        <w:rPr>
          <w:rFonts w:cs="Arial"/>
        </w:rPr>
        <w:t xml:space="preserve">, </w:t>
      </w:r>
      <w:r w:rsidRPr="004741B8">
        <w:t xml:space="preserve">until </w:t>
      </w:r>
      <w:r w:rsidRPr="004741B8">
        <w:rPr>
          <w:rFonts w:cs="Arial"/>
        </w:rPr>
        <w:t xml:space="preserve">the middle of the third trimester (approximately 32 weeks gestation). If a woman is confirmed to have ZIKV, she will </w:t>
      </w:r>
      <w:r w:rsidR="004B20FD">
        <w:rPr>
          <w:rFonts w:cs="Arial"/>
        </w:rPr>
        <w:t>be interviewed using</w:t>
      </w:r>
      <w:r w:rsidRPr="004741B8">
        <w:rPr>
          <w:rFonts w:cs="Arial"/>
        </w:rPr>
        <w:t xml:space="preserve"> an </w:t>
      </w:r>
      <w:r w:rsidRPr="004741B8">
        <w:t xml:space="preserve">Adult Symptoms Questionnaire </w:t>
      </w:r>
      <w:r w:rsidRPr="004741B8">
        <w:rPr>
          <w:rFonts w:cs="Arial"/>
        </w:rPr>
        <w:t>(Att B.5</w:t>
      </w:r>
      <w:r w:rsidR="00F405CF">
        <w:rPr>
          <w:rFonts w:cs="Arial"/>
        </w:rPr>
        <w:t>; C.5</w:t>
      </w:r>
      <w:r w:rsidRPr="004741B8">
        <w:rPr>
          <w:rFonts w:cs="Arial"/>
        </w:rPr>
        <w:t xml:space="preserve">) every 2 weeks </w:t>
      </w:r>
      <w:r w:rsidR="004B20FD">
        <w:rPr>
          <w:rFonts w:cs="Arial"/>
        </w:rPr>
        <w:t>and Maternal Follow-Up Questionnaire every month (Att B.3</w:t>
      </w:r>
      <w:r w:rsidR="00F405CF">
        <w:rPr>
          <w:rFonts w:cs="Arial"/>
        </w:rPr>
        <w:t>; C.3</w:t>
      </w:r>
      <w:r w:rsidR="004B20FD">
        <w:rPr>
          <w:rFonts w:cs="Arial"/>
        </w:rPr>
        <w:t xml:space="preserve">) </w:t>
      </w:r>
      <w:r w:rsidRPr="004741B8">
        <w:rPr>
          <w:rFonts w:cs="Arial"/>
        </w:rPr>
        <w:t xml:space="preserve">until she is negative for 2 consecutive </w:t>
      </w:r>
      <w:r w:rsidR="00400B5B">
        <w:rPr>
          <w:rFonts w:cs="Arial"/>
        </w:rPr>
        <w:t xml:space="preserve">blood </w:t>
      </w:r>
      <w:r w:rsidRPr="004741B8">
        <w:rPr>
          <w:rFonts w:cs="Arial"/>
        </w:rPr>
        <w:t>samples.  If a woman has a spontaneous fetal demise,</w:t>
      </w:r>
      <w:r w:rsidR="004B20FD">
        <w:rPr>
          <w:rFonts w:cs="Arial"/>
        </w:rPr>
        <w:t xml:space="preserve"> she will be interviewed using</w:t>
      </w:r>
      <w:r w:rsidRPr="004741B8">
        <w:rPr>
          <w:rFonts w:cs="Arial"/>
        </w:rPr>
        <w:t xml:space="preserve"> an </w:t>
      </w:r>
      <w:r w:rsidRPr="004741B8">
        <w:t xml:space="preserve">Adult Symptoms Questionnaire </w:t>
      </w:r>
      <w:r w:rsidRPr="004741B8">
        <w:rPr>
          <w:rFonts w:cs="Arial"/>
        </w:rPr>
        <w:t>(Att B.5</w:t>
      </w:r>
      <w:r w:rsidR="00F405CF">
        <w:rPr>
          <w:rFonts w:cs="Arial"/>
        </w:rPr>
        <w:t>; C.5</w:t>
      </w:r>
      <w:r w:rsidRPr="004741B8">
        <w:rPr>
          <w:rFonts w:cs="Arial"/>
        </w:rPr>
        <w:t>)</w:t>
      </w:r>
      <w:r w:rsidR="004B20FD">
        <w:rPr>
          <w:rFonts w:cs="Arial"/>
        </w:rPr>
        <w:t>, if one has not been completed within 7 days prior to the event</w:t>
      </w:r>
      <w:r w:rsidRPr="004741B8">
        <w:rPr>
          <w:rFonts w:cs="Arial"/>
        </w:rPr>
        <w:t xml:space="preserve">.  </w:t>
      </w:r>
      <w:r>
        <w:rPr>
          <w:rFonts w:cs="Arial"/>
        </w:rPr>
        <w:t xml:space="preserve"> </w:t>
      </w:r>
      <w:r w:rsidRPr="004741B8">
        <w:t xml:space="preserve">At delivery or within </w:t>
      </w:r>
      <w:r w:rsidR="00462574">
        <w:t>10 days</w:t>
      </w:r>
      <w:r w:rsidRPr="004741B8">
        <w:t xml:space="preserve"> postpartum, the mother will be </w:t>
      </w:r>
      <w:r w:rsidR="00B01CA2">
        <w:t>interviewed using</w:t>
      </w:r>
      <w:r w:rsidR="00B01CA2" w:rsidRPr="004741B8">
        <w:t xml:space="preserve"> </w:t>
      </w:r>
      <w:r w:rsidRPr="004741B8">
        <w:t>the Infant Symptoms (Att B.6</w:t>
      </w:r>
      <w:r w:rsidR="00F405CF">
        <w:t>; C.6</w:t>
      </w:r>
      <w:r w:rsidRPr="004741B8">
        <w:t>), Adult Symptoms (Att B.5</w:t>
      </w:r>
      <w:r w:rsidR="00F405CF">
        <w:t>; C.5</w:t>
      </w:r>
      <w:r w:rsidRPr="004741B8">
        <w:t xml:space="preserve">), and </w:t>
      </w:r>
      <w:r w:rsidRPr="004741B8">
        <w:rPr>
          <w:rFonts w:cs="Arial"/>
        </w:rPr>
        <w:t>Maternal Follow-Up (Att B.3</w:t>
      </w:r>
      <w:r w:rsidR="00F405CF">
        <w:rPr>
          <w:rFonts w:cs="Arial"/>
        </w:rPr>
        <w:t>; C.3</w:t>
      </w:r>
      <w:r w:rsidRPr="004741B8">
        <w:rPr>
          <w:rFonts w:cs="Arial"/>
        </w:rPr>
        <w:t xml:space="preserve">) Questionnaires.  </w:t>
      </w:r>
    </w:p>
    <w:p w14:paraId="7378CEDD" w14:textId="77777777" w:rsidR="00775A75" w:rsidRPr="004741B8" w:rsidRDefault="00775A75" w:rsidP="00775A75"/>
    <w:p w14:paraId="7CA4F1DD" w14:textId="2A6F4222" w:rsidR="00775A75" w:rsidRDefault="00775A75" w:rsidP="00775A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741B8">
        <w:t xml:space="preserve">Infants of mothers participating in the study will be followed from birth to 6 months of age to detect health outcomes that might not have been detectable at birth. Mothers will be </w:t>
      </w:r>
      <w:r w:rsidR="00B01CA2">
        <w:t>interviewed using the</w:t>
      </w:r>
      <w:r w:rsidRPr="004741B8">
        <w:t xml:space="preserve"> Infant Symptoms Questionnaire (Att B.6</w:t>
      </w:r>
      <w:r w:rsidR="00F405CF">
        <w:t>; C.6</w:t>
      </w:r>
      <w:r w:rsidRPr="004741B8">
        <w:t xml:space="preserve">) </w:t>
      </w:r>
      <w:r w:rsidR="00AA1E5A">
        <w:t xml:space="preserve">at each visit </w:t>
      </w:r>
      <w:r w:rsidR="00462574">
        <w:t>and</w:t>
      </w:r>
      <w:r w:rsidR="00AA057B">
        <w:t xml:space="preserve"> Ages and Stages Questionnaires</w:t>
      </w:r>
      <w:r w:rsidR="00155581">
        <w:t xml:space="preserve"> </w:t>
      </w:r>
      <w:r w:rsidR="00462574">
        <w:t xml:space="preserve">(Att </w:t>
      </w:r>
      <w:r w:rsidR="00AA057B">
        <w:t>B.8; B.9; C.8; C.9</w:t>
      </w:r>
      <w:r w:rsidR="00462574">
        <w:t xml:space="preserve">) </w:t>
      </w:r>
      <w:r w:rsidR="00400B5B">
        <w:t xml:space="preserve"> at the 2 and 6 month visit</w:t>
      </w:r>
      <w:r w:rsidRPr="004741B8">
        <w:t xml:space="preserve">. </w:t>
      </w:r>
      <w:r w:rsidRPr="004741B8">
        <w:rPr>
          <w:rFonts w:cs="Arial"/>
        </w:rPr>
        <w:t xml:space="preserve">If an infant is </w:t>
      </w:r>
      <w:r w:rsidR="00B1042C">
        <w:rPr>
          <w:rFonts w:cs="Arial"/>
        </w:rPr>
        <w:t>symptomatic</w:t>
      </w:r>
      <w:r w:rsidRPr="004741B8">
        <w:rPr>
          <w:rFonts w:cs="Arial"/>
        </w:rPr>
        <w:t xml:space="preserve">, the mother </w:t>
      </w:r>
      <w:r w:rsidR="00B01CA2">
        <w:rPr>
          <w:rFonts w:cs="Arial"/>
        </w:rPr>
        <w:t>be interviewed using</w:t>
      </w:r>
      <w:r w:rsidRPr="004741B8">
        <w:t xml:space="preserve"> the Infant Symptoms Questionnaire (Att B.6</w:t>
      </w:r>
      <w:r w:rsidR="00F405CF">
        <w:t>; C.6</w:t>
      </w:r>
      <w:r w:rsidRPr="004741B8">
        <w:t>).</w:t>
      </w:r>
    </w:p>
    <w:p w14:paraId="2DF07CD0" w14:textId="050DBD62" w:rsidR="0013167E" w:rsidRDefault="0013167E" w:rsidP="00775A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3C23F3" w14:textId="0B4D532E" w:rsidR="00595673" w:rsidRPr="006C65C3" w:rsidRDefault="00595673" w:rsidP="005956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 subset of infants will then be followed from 6 months to 2 years of age.  These infants will be examined at 6, 12, 18, 24 months of age.  The parent/guardian will be interviewed using the Infant Follow-Up Questionnaire </w:t>
      </w:r>
      <w:r w:rsidRPr="00A46D39">
        <w:t>(Att B.7; C.7) and</w:t>
      </w:r>
      <w:r>
        <w:t xml:space="preserve"> the Ages and Stages Questionnaires </w:t>
      </w:r>
      <w:r w:rsidRPr="00F82169">
        <w:t>(</w:t>
      </w:r>
      <w:r w:rsidRPr="00B1042C">
        <w:t>Att B.8; B</w:t>
      </w:r>
      <w:r w:rsidR="00C34A98" w:rsidRPr="00B1042C">
        <w:t>.</w:t>
      </w:r>
      <w:r w:rsidRPr="00B1042C">
        <w:t>9; B</w:t>
      </w:r>
      <w:r w:rsidR="00C34A98" w:rsidRPr="00B1042C">
        <w:t>.</w:t>
      </w:r>
      <w:r w:rsidRPr="00B1042C">
        <w:t>10; B</w:t>
      </w:r>
      <w:r w:rsidR="00C34A98" w:rsidRPr="00B1042C">
        <w:t>.</w:t>
      </w:r>
      <w:r w:rsidRPr="00B1042C">
        <w:t>11; B</w:t>
      </w:r>
      <w:r w:rsidR="00C34A98" w:rsidRPr="00B1042C">
        <w:t>.</w:t>
      </w:r>
      <w:r w:rsidRPr="00B1042C">
        <w:t>12; B</w:t>
      </w:r>
      <w:r w:rsidR="00C34A98" w:rsidRPr="00B1042C">
        <w:t>.</w:t>
      </w:r>
      <w:r w:rsidRPr="00B1042C">
        <w:t>13; C.8; C</w:t>
      </w:r>
      <w:r w:rsidR="00C34A98" w:rsidRPr="00B1042C">
        <w:t>.</w:t>
      </w:r>
      <w:r w:rsidRPr="00B1042C">
        <w:t>9; C.10; C.11; C.12; C.13)</w:t>
      </w:r>
      <w:r>
        <w:t xml:space="preserve"> at each of those time points. The parent/guardian will be interviewed and asked questions about the family environment (parental depression) and the Center for Epidemiologic Studies Depression Scale Short Form (Att B.</w:t>
      </w:r>
      <w:r w:rsidR="00C34A98">
        <w:t>14</w:t>
      </w:r>
      <w:r>
        <w:t>; C</w:t>
      </w:r>
      <w:r w:rsidR="00C34A98">
        <w:t>.14</w:t>
      </w:r>
      <w:r>
        <w:t>) at 12, 36, and 60 months postpartum.</w:t>
      </w:r>
    </w:p>
    <w:p w14:paraId="5EDF959B" w14:textId="77777777" w:rsidR="00775A75" w:rsidRPr="004741B8" w:rsidRDefault="00775A75" w:rsidP="00775A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14E759ED" w14:textId="4A836909" w:rsidR="00686739" w:rsidRPr="006C65C3" w:rsidRDefault="00775A75" w:rsidP="00686739">
      <w:pPr>
        <w:rPr>
          <w:rFonts w:cs="Arial"/>
        </w:rPr>
      </w:pPr>
      <w:r w:rsidRPr="004741B8">
        <w:rPr>
          <w:rFonts w:cs="Arial"/>
        </w:rPr>
        <w:t xml:space="preserve">In addition to administered questionnaires, ZEN Colombia study staff will abstract medical records from mothers’ prenatal care, sick visits, and delivery to capture relevant medical information. Mothers’ medical record abstraction will be conducted up to 6 months after delivery to collect information on post-partum medical issues. Staff will also abstract medical records from children enrolled in the study to obtain information on diagnoses, test results, medical procedures, and hospitalizations up to </w:t>
      </w:r>
      <w:r w:rsidR="00680834">
        <w:rPr>
          <w:rFonts w:cs="Arial"/>
        </w:rPr>
        <w:t>5 years</w:t>
      </w:r>
      <w:r w:rsidR="00400B5B">
        <w:rPr>
          <w:rFonts w:cs="Arial"/>
        </w:rPr>
        <w:t xml:space="preserve"> of age</w:t>
      </w:r>
      <w:r w:rsidRPr="004741B8">
        <w:rPr>
          <w:rFonts w:cs="Arial"/>
        </w:rPr>
        <w:t>.</w:t>
      </w:r>
      <w:r w:rsidR="00686739">
        <w:rPr>
          <w:rFonts w:cs="Arial"/>
        </w:rPr>
        <w:t xml:space="preserve">  Further, infants until 2 years of age will be clinical assessed for developmental delays including hearing, vision, cognitive, motor, and language.</w:t>
      </w:r>
    </w:p>
    <w:p w14:paraId="100292D2" w14:textId="77777777" w:rsidR="00775A75" w:rsidRPr="004741B8" w:rsidRDefault="00775A75" w:rsidP="00775A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rPr>
      </w:pPr>
    </w:p>
    <w:p w14:paraId="4DC72BB9" w14:textId="6773E057" w:rsidR="00775A75" w:rsidRDefault="00775A75" w:rsidP="00775A75">
      <w:pPr>
        <w:rPr>
          <w:rFonts w:cs="Arial"/>
        </w:rPr>
      </w:pPr>
      <w:r w:rsidRPr="004741B8">
        <w:t>Male partners will be recruited via their pregnant partners around the time of their partners’ enrollment into the study. The Male Partner Eligibility Screener Form (Att B.</w:t>
      </w:r>
      <w:r w:rsidR="007F712C">
        <w:t>7</w:t>
      </w:r>
      <w:r w:rsidR="00F405CF">
        <w:t>; C.7</w:t>
      </w:r>
      <w:r w:rsidRPr="004741B8">
        <w:t xml:space="preserve">), administered to potential participants by trained ZEN research staff, will be used to confirm participant eligibility prior to consent.  At enrollment, men will provide a blood sample and </w:t>
      </w:r>
      <w:r w:rsidR="00B01CA2">
        <w:t>will be interviewed using</w:t>
      </w:r>
      <w:r w:rsidR="00B01CA2" w:rsidRPr="004741B8">
        <w:t xml:space="preserve"> </w:t>
      </w:r>
      <w:r w:rsidRPr="004741B8">
        <w:t>the Male Enrollment Questionnaire (Att B.4</w:t>
      </w:r>
      <w:r w:rsidR="00F405CF">
        <w:t>; C.4</w:t>
      </w:r>
      <w:r w:rsidRPr="004741B8">
        <w:t>) and Adult Symptoms Questionnaire (Att B.5</w:t>
      </w:r>
      <w:r w:rsidR="00F405CF">
        <w:t>; C.5</w:t>
      </w:r>
      <w:r w:rsidRPr="004741B8">
        <w:t>).  Men will provide urine samples monthly t</w:t>
      </w:r>
      <w:r w:rsidRPr="004741B8">
        <w:rPr>
          <w:rFonts w:cs="Arial"/>
        </w:rPr>
        <w:t>hrough the second trimester of their partner’s pregnanc</w:t>
      </w:r>
      <w:r w:rsidRPr="004741B8">
        <w:t>y (about 27 weeks of gestation) to monitor for incident ZIKV infection</w:t>
      </w:r>
      <w:r w:rsidR="00B01CA2">
        <w:t xml:space="preserve"> and will be interviewed using</w:t>
      </w:r>
      <w:r w:rsidRPr="004741B8">
        <w:t xml:space="preserve"> the Adult Symptoms Questionnaire (Att B.5</w:t>
      </w:r>
      <w:r w:rsidR="00F405CF">
        <w:t>; C.5</w:t>
      </w:r>
      <w:r w:rsidRPr="004741B8">
        <w:t xml:space="preserve">) at the time of each specimen collection.  </w:t>
      </w:r>
      <w:r w:rsidRPr="004741B8">
        <w:rPr>
          <w:rFonts w:cs="Arial"/>
        </w:rPr>
        <w:t xml:space="preserve">If the male partner is confirmed to have ZIKV, semen will be collected every 2 weeks until semen is negative for ZIKV for two consecutive </w:t>
      </w:r>
      <w:r w:rsidR="00400B5B">
        <w:rPr>
          <w:rFonts w:cs="Arial"/>
        </w:rPr>
        <w:t xml:space="preserve">semen </w:t>
      </w:r>
      <w:r w:rsidRPr="004741B8">
        <w:rPr>
          <w:rFonts w:cs="Arial"/>
        </w:rPr>
        <w:t>samples or until the partner’s pregnancy ends</w:t>
      </w:r>
      <w:r w:rsidR="00B01CA2">
        <w:rPr>
          <w:rFonts w:cs="Arial"/>
        </w:rPr>
        <w:t xml:space="preserve"> and men will be interviewed using the Adult Symptoms Questionnaire (Att B.5</w:t>
      </w:r>
      <w:r w:rsidR="00F405CF">
        <w:rPr>
          <w:rFonts w:cs="Arial"/>
        </w:rPr>
        <w:t>; C.5</w:t>
      </w:r>
      <w:r w:rsidR="00B01CA2">
        <w:rPr>
          <w:rFonts w:cs="Arial"/>
        </w:rPr>
        <w:t>)</w:t>
      </w:r>
      <w:r w:rsidRPr="004741B8">
        <w:rPr>
          <w:rFonts w:cs="Arial"/>
        </w:rPr>
        <w:t>. If a man does not want to provide semen samples, follow-up will be discontinued.</w:t>
      </w:r>
      <w:r w:rsidR="00256CA4">
        <w:rPr>
          <w:rFonts w:cs="Arial"/>
        </w:rPr>
        <w:t xml:space="preserve"> S</w:t>
      </w:r>
      <w:r w:rsidR="00256CA4" w:rsidRPr="00BF7720">
        <w:rPr>
          <w:rFonts w:cs="Arial"/>
        </w:rPr>
        <w:t>tudy staff will</w:t>
      </w:r>
      <w:r w:rsidR="00256CA4">
        <w:rPr>
          <w:rFonts w:cs="Arial"/>
        </w:rPr>
        <w:t xml:space="preserve"> also</w:t>
      </w:r>
      <w:r w:rsidR="00256CA4" w:rsidRPr="00BF7720">
        <w:rPr>
          <w:rFonts w:cs="Arial"/>
        </w:rPr>
        <w:t xml:space="preserve"> abstract medical records for male partner’s sick visits.</w:t>
      </w:r>
    </w:p>
    <w:p w14:paraId="0BDDA4A1" w14:textId="77777777" w:rsidR="00731120" w:rsidRDefault="00731120" w:rsidP="00964F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015B4D" w14:textId="77777777" w:rsidR="00C14289" w:rsidRPr="00330C1D" w:rsidRDefault="00C14289"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C187642" w14:textId="5D3592CA" w:rsidR="00346141"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B.</w:t>
      </w:r>
      <w:r w:rsidR="00B22868">
        <w:rPr>
          <w:b/>
          <w:bCs/>
        </w:rPr>
        <w:t xml:space="preserve">3. </w:t>
      </w:r>
      <w:r w:rsidR="00346141" w:rsidRPr="00330C1D">
        <w:rPr>
          <w:b/>
          <w:bCs/>
        </w:rPr>
        <w:t>Methods to Maximize Response Rates and Deal with Non-response</w:t>
      </w:r>
    </w:p>
    <w:p w14:paraId="117DA14A" w14:textId="77777777"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6178829" w14:textId="439C1747" w:rsidR="007631EC" w:rsidRDefault="007B2A34" w:rsidP="007B2A34">
      <w:r>
        <w:t xml:space="preserve">Efforts </w:t>
      </w:r>
      <w:r w:rsidR="00BB566C">
        <w:t>will be</w:t>
      </w:r>
      <w:r>
        <w:t xml:space="preserve"> made to maximize the response rate. </w:t>
      </w:r>
      <w:r w:rsidR="00937BBA">
        <w:t xml:space="preserve">Participants </w:t>
      </w:r>
      <w:r w:rsidR="00BB566C">
        <w:t>will be</w:t>
      </w:r>
      <w:r w:rsidR="00937BBA">
        <w:t xml:space="preserve"> encouraged to complete the study</w:t>
      </w:r>
      <w:r w:rsidR="00287896">
        <w:t xml:space="preserve"> throughout the pregnancy and 6 months following </w:t>
      </w:r>
      <w:r w:rsidR="007631EC">
        <w:t xml:space="preserve">the </w:t>
      </w:r>
      <w:r w:rsidR="00287896">
        <w:t>infant delivery</w:t>
      </w:r>
      <w:r w:rsidR="009B552E">
        <w:t>, with the exception of pregnancies that end in fetal loss</w:t>
      </w:r>
      <w:r w:rsidR="00287896">
        <w:t>.</w:t>
      </w:r>
      <w:r w:rsidR="00680834">
        <w:t xml:space="preserve"> For those participating in the subset from 6 months to five years of age, participants will be encouraged to attend all visits and assessments.</w:t>
      </w:r>
      <w:r w:rsidR="002540EC">
        <w:t xml:space="preserve"> </w:t>
      </w:r>
      <w:r w:rsidR="00287896">
        <w:t xml:space="preserve">Participating and completing the study is imperative to </w:t>
      </w:r>
      <w:r w:rsidR="007631EC" w:rsidRPr="007631EC">
        <w:t xml:space="preserve">better </w:t>
      </w:r>
      <w:r w:rsidR="007631EC">
        <w:t xml:space="preserve">understand the effect of ZIKV </w:t>
      </w:r>
      <w:r w:rsidR="009B552E">
        <w:t xml:space="preserve">infection </w:t>
      </w:r>
      <w:r w:rsidR="007631EC">
        <w:t xml:space="preserve">during </w:t>
      </w:r>
      <w:r w:rsidR="007631EC" w:rsidRPr="007631EC">
        <w:t xml:space="preserve">pregnancy. </w:t>
      </w:r>
      <w:r w:rsidR="00BB566C">
        <w:t>To encourage study participation, after being provided with information about the study, potential p</w:t>
      </w:r>
      <w:r w:rsidR="00BB566C" w:rsidRPr="00346F12">
        <w:rPr>
          <w:rFonts w:cs="Arial"/>
        </w:rPr>
        <w:t xml:space="preserve">articipants will be given a phone number to call if </w:t>
      </w:r>
      <w:r w:rsidR="00D410DE">
        <w:rPr>
          <w:rFonts w:cs="Arial"/>
        </w:rPr>
        <w:t xml:space="preserve">he or </w:t>
      </w:r>
      <w:r w:rsidR="00BB566C" w:rsidRPr="00346F12">
        <w:rPr>
          <w:rFonts w:cs="Arial"/>
        </w:rPr>
        <w:t>she has questions</w:t>
      </w:r>
      <w:r w:rsidR="00BB566C">
        <w:rPr>
          <w:rFonts w:cs="Arial"/>
        </w:rPr>
        <w:t xml:space="preserve"> about the study. In addition, once a participant is enrolled, study staff will </w:t>
      </w:r>
      <w:r w:rsidR="003D1B14">
        <w:rPr>
          <w:rFonts w:cs="Arial"/>
        </w:rPr>
        <w:t>follow-up with</w:t>
      </w:r>
      <w:r w:rsidR="00BB566C">
        <w:rPr>
          <w:rFonts w:cs="Arial"/>
        </w:rPr>
        <w:t xml:space="preserve"> participants if a study visit is missed.  </w:t>
      </w:r>
    </w:p>
    <w:p w14:paraId="58E903E1" w14:textId="77777777" w:rsidR="007631EC" w:rsidRDefault="007631EC" w:rsidP="007B2A34"/>
    <w:p w14:paraId="5C503211" w14:textId="677F36C6" w:rsidR="006D1DA0" w:rsidRDefault="00BB566C" w:rsidP="007B2A34">
      <w:pPr>
        <w:rPr>
          <w:color w:val="000000"/>
        </w:rPr>
      </w:pPr>
      <w:r>
        <w:t xml:space="preserve">There are also a number of ancillary benefits to study participation </w:t>
      </w:r>
      <w:r w:rsidR="00D410DE">
        <w:t xml:space="preserve">that </w:t>
      </w:r>
      <w:r>
        <w:t xml:space="preserve">are expected to increase participation rates. </w:t>
      </w:r>
      <w:r w:rsidR="006D1DA0" w:rsidRPr="006D1DA0">
        <w:t xml:space="preserve">As a part of this study, </w:t>
      </w:r>
      <w:r w:rsidR="006D1DA0">
        <w:t xml:space="preserve">participants </w:t>
      </w:r>
      <w:r w:rsidR="00FE5F6A">
        <w:rPr>
          <w:iCs/>
          <w:color w:val="000000"/>
        </w:rPr>
        <w:t>will have some</w:t>
      </w:r>
      <w:r w:rsidR="006D1DA0" w:rsidRPr="006D1DA0">
        <w:rPr>
          <w:iCs/>
          <w:color w:val="000000"/>
        </w:rPr>
        <w:t xml:space="preserve"> tests and procedures </w:t>
      </w:r>
      <w:r w:rsidR="006D1DA0">
        <w:rPr>
          <w:iCs/>
          <w:color w:val="000000"/>
        </w:rPr>
        <w:t xml:space="preserve">performed </w:t>
      </w:r>
      <w:r w:rsidR="006D1DA0" w:rsidRPr="006D1DA0">
        <w:rPr>
          <w:iCs/>
          <w:color w:val="000000"/>
        </w:rPr>
        <w:t xml:space="preserve">that are </w:t>
      </w:r>
      <w:r w:rsidR="00FE5F6A">
        <w:rPr>
          <w:iCs/>
          <w:color w:val="000000"/>
        </w:rPr>
        <w:t xml:space="preserve">not usually available in the standard prenatal care, </w:t>
      </w:r>
      <w:r w:rsidR="006D1DA0" w:rsidRPr="006D1DA0">
        <w:rPr>
          <w:iCs/>
          <w:color w:val="000000"/>
        </w:rPr>
        <w:t xml:space="preserve">including </w:t>
      </w:r>
      <w:r w:rsidR="009B552E">
        <w:rPr>
          <w:iCs/>
          <w:color w:val="000000"/>
        </w:rPr>
        <w:t xml:space="preserve">serial </w:t>
      </w:r>
      <w:r w:rsidR="006D1DA0" w:rsidRPr="006D1DA0">
        <w:rPr>
          <w:iCs/>
          <w:color w:val="000000"/>
        </w:rPr>
        <w:t>Zika testing</w:t>
      </w:r>
      <w:r w:rsidR="006D1DA0">
        <w:rPr>
          <w:iCs/>
          <w:color w:val="000000"/>
        </w:rPr>
        <w:t>, blood, and urine diagnostic testing</w:t>
      </w:r>
      <w:r w:rsidR="00EE7F76">
        <w:rPr>
          <w:iCs/>
          <w:color w:val="000000"/>
        </w:rPr>
        <w:t>.</w:t>
      </w:r>
      <w:r w:rsidR="002D7F95">
        <w:rPr>
          <w:iCs/>
          <w:color w:val="000000"/>
        </w:rPr>
        <w:t xml:space="preserve"> These tests are likely to </w:t>
      </w:r>
      <w:r w:rsidR="002D7F95" w:rsidRPr="002D7F95">
        <w:rPr>
          <w:iCs/>
          <w:color w:val="000000"/>
        </w:rPr>
        <w:t>result in timely detection of asymptomatic infections and timely confirmation of symptomatic infections.</w:t>
      </w:r>
      <w:r w:rsidR="00EE7F76">
        <w:rPr>
          <w:iCs/>
          <w:color w:val="000000"/>
        </w:rPr>
        <w:t xml:space="preserve"> Additionally</w:t>
      </w:r>
      <w:r w:rsidR="00EE7F76" w:rsidRPr="00EE7F76">
        <w:t>, both the woman and her male partner will benefit from receiving information and counseling on the health effects they might expect for their</w:t>
      </w:r>
      <w:r w:rsidR="009B552E">
        <w:t xml:space="preserve"> infant</w:t>
      </w:r>
      <w:r w:rsidR="00EE7F76" w:rsidRPr="00EE7F76">
        <w:t xml:space="preserve">, and the </w:t>
      </w:r>
      <w:r w:rsidR="009B552E">
        <w:t xml:space="preserve">infant </w:t>
      </w:r>
      <w:r w:rsidR="00EE7F76" w:rsidRPr="00EE7F76">
        <w:t xml:space="preserve">will benefit from being eligible to take part in services </w:t>
      </w:r>
      <w:r w:rsidR="009B552E">
        <w:t xml:space="preserve">and screening </w:t>
      </w:r>
      <w:r w:rsidR="00EE7F76" w:rsidRPr="00EE7F76">
        <w:t>recommended for children born to ZIKV-positive mothers</w:t>
      </w:r>
      <w:r w:rsidR="00EE7F76">
        <w:rPr>
          <w:color w:val="000000"/>
        </w:rPr>
        <w:t>.</w:t>
      </w:r>
      <w:r w:rsidR="00680834">
        <w:rPr>
          <w:color w:val="000000"/>
        </w:rPr>
        <w:t xml:space="preserve"> Infants will be able to obtain health (e.g., hearing screens, vision screens) and developmental assessments that are not usually available. </w:t>
      </w:r>
      <w:r w:rsidR="00A238E8">
        <w:t xml:space="preserve">ZIKV </w:t>
      </w:r>
      <w:r w:rsidR="00616C23">
        <w:t>study-related</w:t>
      </w:r>
      <w:r w:rsidR="006D1DA0" w:rsidRPr="00EE7F76">
        <w:t xml:space="preserve"> tests will b</w:t>
      </w:r>
      <w:r w:rsidR="00D67C28">
        <w:t xml:space="preserve">e paid for by the study </w:t>
      </w:r>
      <w:r w:rsidR="006D1DA0" w:rsidRPr="00EE7F76">
        <w:t>as</w:t>
      </w:r>
      <w:r w:rsidR="006D1DA0">
        <w:t xml:space="preserve"> they are </w:t>
      </w:r>
      <w:r w:rsidR="006D1DA0" w:rsidRPr="006D1DA0">
        <w:t xml:space="preserve">not part of </w:t>
      </w:r>
      <w:r w:rsidR="006D1DA0">
        <w:t xml:space="preserve">the routine </w:t>
      </w:r>
      <w:r w:rsidR="006D1DA0" w:rsidRPr="006D1DA0">
        <w:t>clinical care.</w:t>
      </w:r>
      <w:r w:rsidR="006D1DA0">
        <w:t xml:space="preserve">  </w:t>
      </w:r>
      <w:r w:rsidR="007B2A34">
        <w:t xml:space="preserve">Participants will also be given any </w:t>
      </w:r>
      <w:r w:rsidR="006D1DA0" w:rsidRPr="006D1DA0">
        <w:rPr>
          <w:color w:val="000000"/>
        </w:rPr>
        <w:t>new information gained during the course</w:t>
      </w:r>
      <w:r w:rsidR="007B2A34">
        <w:rPr>
          <w:color w:val="000000"/>
        </w:rPr>
        <w:t xml:space="preserve"> of the study that might </w:t>
      </w:r>
      <w:r w:rsidR="007D0DCB">
        <w:rPr>
          <w:color w:val="000000"/>
        </w:rPr>
        <w:t>increase</w:t>
      </w:r>
      <w:r w:rsidR="007B2A34">
        <w:rPr>
          <w:color w:val="000000"/>
        </w:rPr>
        <w:t xml:space="preserve"> their willingness to continue with the</w:t>
      </w:r>
      <w:r w:rsidR="006D1DA0" w:rsidRPr="006D1DA0">
        <w:rPr>
          <w:color w:val="000000"/>
        </w:rPr>
        <w:t xml:space="preserve"> </w:t>
      </w:r>
      <w:r w:rsidR="007B2A34">
        <w:rPr>
          <w:color w:val="000000"/>
        </w:rPr>
        <w:t xml:space="preserve">study. </w:t>
      </w:r>
      <w:r w:rsidR="006D1DA0" w:rsidRPr="006D1DA0">
        <w:rPr>
          <w:color w:val="000000"/>
        </w:rPr>
        <w:t xml:space="preserve">  </w:t>
      </w:r>
    </w:p>
    <w:p w14:paraId="17428347" w14:textId="77777777" w:rsidR="00EE7F76" w:rsidRDefault="00EE7F76" w:rsidP="00937BBA">
      <w:pPr>
        <w:pStyle w:val="NoSpacing"/>
        <w:rPr>
          <w:rFonts w:ascii="Times New Roman" w:eastAsia="Times New Roman" w:hAnsi="Times New Roman" w:cs="Times New Roman"/>
          <w:color w:val="000000"/>
          <w:sz w:val="24"/>
          <w:szCs w:val="24"/>
        </w:rPr>
      </w:pPr>
    </w:p>
    <w:p w14:paraId="0409B3DC" w14:textId="5192FF61" w:rsidR="00DC654F" w:rsidRDefault="00AC4177" w:rsidP="00DC654F">
      <w:pPr>
        <w:pStyle w:val="NoSpacing"/>
        <w:rPr>
          <w:rFonts w:ascii="Times New Roman" w:hAnsi="Times New Roman" w:cs="Times New Roman"/>
          <w:sz w:val="24"/>
          <w:szCs w:val="24"/>
        </w:rPr>
      </w:pPr>
      <w:r>
        <w:rPr>
          <w:rFonts w:ascii="Times New Roman" w:hAnsi="Times New Roman" w:cs="Times New Roman"/>
          <w:sz w:val="24"/>
          <w:szCs w:val="24"/>
        </w:rPr>
        <w:t>P</w:t>
      </w:r>
      <w:r w:rsidR="00607AB3" w:rsidRPr="002F2873">
        <w:rPr>
          <w:rFonts w:ascii="Times New Roman" w:hAnsi="Times New Roman" w:cs="Times New Roman"/>
          <w:sz w:val="24"/>
          <w:szCs w:val="24"/>
        </w:rPr>
        <w:t>articipants</w:t>
      </w:r>
      <w:r>
        <w:rPr>
          <w:rFonts w:ascii="Times New Roman" w:hAnsi="Times New Roman" w:cs="Times New Roman"/>
          <w:sz w:val="24"/>
          <w:szCs w:val="24"/>
        </w:rPr>
        <w:t xml:space="preserve"> may be provided a transportation cost that cover</w:t>
      </w:r>
      <w:r w:rsidR="00FF3A6E">
        <w:rPr>
          <w:rFonts w:ascii="Times New Roman" w:hAnsi="Times New Roman" w:cs="Times New Roman"/>
          <w:sz w:val="24"/>
          <w:szCs w:val="24"/>
        </w:rPr>
        <w:t>s</w:t>
      </w:r>
      <w:r>
        <w:rPr>
          <w:rFonts w:ascii="Times New Roman" w:hAnsi="Times New Roman" w:cs="Times New Roman"/>
          <w:sz w:val="24"/>
          <w:szCs w:val="24"/>
        </w:rPr>
        <w:t xml:space="preserve"> expenses incurred for travel and for meals </w:t>
      </w:r>
      <w:r w:rsidR="00AF1259">
        <w:rPr>
          <w:rFonts w:ascii="Times New Roman" w:hAnsi="Times New Roman" w:cs="Times New Roman"/>
          <w:sz w:val="24"/>
          <w:szCs w:val="24"/>
        </w:rPr>
        <w:t>consistent</w:t>
      </w:r>
      <w:r>
        <w:rPr>
          <w:rFonts w:ascii="Times New Roman" w:hAnsi="Times New Roman" w:cs="Times New Roman"/>
          <w:sz w:val="24"/>
          <w:szCs w:val="24"/>
        </w:rPr>
        <w:t xml:space="preserve"> with the local economy.  </w:t>
      </w:r>
      <w:r w:rsidR="00607AB3" w:rsidRPr="00296E32">
        <w:rPr>
          <w:rFonts w:ascii="Times New Roman" w:hAnsi="Times New Roman" w:cs="Times New Roman"/>
          <w:sz w:val="24"/>
          <w:szCs w:val="24"/>
        </w:rPr>
        <w:t xml:space="preserve"> </w:t>
      </w:r>
      <w:r w:rsidRPr="0011387A">
        <w:rPr>
          <w:rFonts w:ascii="Times New Roman" w:hAnsi="Times New Roman" w:cs="Times New Roman"/>
          <w:sz w:val="24"/>
          <w:szCs w:val="24"/>
        </w:rPr>
        <w:t>The cost value will range from 0 to 20,000 Colombian pesos</w:t>
      </w:r>
      <w:r>
        <w:rPr>
          <w:rFonts w:ascii="Times New Roman" w:hAnsi="Times New Roman" w:cs="Times New Roman"/>
          <w:sz w:val="24"/>
          <w:szCs w:val="24"/>
        </w:rPr>
        <w:t xml:space="preserve"> (~0-7 USD)</w:t>
      </w:r>
      <w:r w:rsidRPr="0011387A">
        <w:rPr>
          <w:rFonts w:ascii="Times New Roman" w:hAnsi="Times New Roman" w:cs="Times New Roman"/>
          <w:sz w:val="24"/>
          <w:szCs w:val="24"/>
        </w:rPr>
        <w:t xml:space="preserve"> for any single trip</w:t>
      </w:r>
      <w:r w:rsidR="000C3309">
        <w:rPr>
          <w:rFonts w:ascii="Times New Roman" w:hAnsi="Times New Roman" w:cs="Times New Roman"/>
          <w:sz w:val="24"/>
          <w:szCs w:val="24"/>
        </w:rPr>
        <w:t xml:space="preserve"> and 0 to 12,000 pesos (~0-3 USD) for meals</w:t>
      </w:r>
      <w:r w:rsidRPr="0011387A">
        <w:rPr>
          <w:rFonts w:ascii="Times New Roman" w:hAnsi="Times New Roman" w:cs="Times New Roman"/>
          <w:sz w:val="24"/>
          <w:szCs w:val="24"/>
        </w:rPr>
        <w:t xml:space="preserve">. </w:t>
      </w:r>
      <w:r w:rsidR="00DC654F" w:rsidRPr="005A67AE">
        <w:rPr>
          <w:rFonts w:ascii="Times New Roman" w:hAnsi="Times New Roman" w:cs="Times New Roman"/>
          <w:sz w:val="24"/>
          <w:szCs w:val="24"/>
        </w:rPr>
        <w:t>These may be given to the participant</w:t>
      </w:r>
      <w:r w:rsidR="00DC654F">
        <w:rPr>
          <w:rFonts w:ascii="Times New Roman" w:hAnsi="Times New Roman" w:cs="Times New Roman"/>
          <w:sz w:val="24"/>
          <w:szCs w:val="24"/>
        </w:rPr>
        <w:t>s</w:t>
      </w:r>
      <w:r w:rsidR="00DC654F" w:rsidRPr="005A67AE">
        <w:rPr>
          <w:rFonts w:ascii="Times New Roman" w:hAnsi="Times New Roman" w:cs="Times New Roman"/>
          <w:sz w:val="24"/>
          <w:szCs w:val="24"/>
        </w:rPr>
        <w:t xml:space="preserve"> in the form of cash</w:t>
      </w:r>
      <w:r>
        <w:rPr>
          <w:rFonts w:ascii="Times New Roman" w:hAnsi="Times New Roman" w:cs="Times New Roman"/>
          <w:sz w:val="24"/>
          <w:szCs w:val="24"/>
        </w:rPr>
        <w:t>,</w:t>
      </w:r>
      <w:r w:rsidR="00DC654F" w:rsidRPr="005A67AE">
        <w:rPr>
          <w:rFonts w:ascii="Times New Roman" w:hAnsi="Times New Roman" w:cs="Times New Roman"/>
          <w:sz w:val="24"/>
          <w:szCs w:val="24"/>
        </w:rPr>
        <w:t xml:space="preserve"> transportation tickets</w:t>
      </w:r>
      <w:r>
        <w:rPr>
          <w:rFonts w:ascii="Times New Roman" w:hAnsi="Times New Roman" w:cs="Times New Roman"/>
          <w:sz w:val="24"/>
          <w:szCs w:val="24"/>
        </w:rPr>
        <w:t>, or as determined by the cities as appropriate and within guidelines.</w:t>
      </w:r>
      <w:r w:rsidR="00680834">
        <w:rPr>
          <w:rFonts w:ascii="Times New Roman" w:hAnsi="Times New Roman" w:cs="Times New Roman"/>
          <w:sz w:val="24"/>
          <w:szCs w:val="24"/>
        </w:rPr>
        <w:t xml:space="preserve"> </w:t>
      </w:r>
    </w:p>
    <w:p w14:paraId="00C8A9A7" w14:textId="77777777" w:rsidR="00E9288C" w:rsidRDefault="00E9288C" w:rsidP="00DC654F">
      <w:pPr>
        <w:pStyle w:val="NoSpacing"/>
        <w:rPr>
          <w:rFonts w:ascii="Times New Roman" w:hAnsi="Times New Roman" w:cs="Times New Roman"/>
          <w:sz w:val="24"/>
          <w:szCs w:val="24"/>
        </w:rPr>
      </w:pPr>
    </w:p>
    <w:p w14:paraId="2D211AA6" w14:textId="00E32998" w:rsidR="00E9288C" w:rsidRPr="005A67AE" w:rsidRDefault="00E9288C" w:rsidP="00DC654F">
      <w:pPr>
        <w:pStyle w:val="NoSpacing"/>
        <w:rPr>
          <w:rFonts w:ascii="Times New Roman" w:hAnsi="Times New Roman" w:cs="Times New Roman"/>
          <w:sz w:val="24"/>
          <w:szCs w:val="24"/>
        </w:rPr>
      </w:pPr>
      <w:r>
        <w:rPr>
          <w:rFonts w:ascii="Times New Roman" w:hAnsi="Times New Roman" w:cs="Times New Roman"/>
          <w:sz w:val="24"/>
          <w:szCs w:val="24"/>
        </w:rPr>
        <w:t xml:space="preserve">We </w:t>
      </w:r>
      <w:r w:rsidR="00BD0A04">
        <w:rPr>
          <w:rFonts w:ascii="Times New Roman" w:hAnsi="Times New Roman" w:cs="Times New Roman"/>
          <w:sz w:val="24"/>
          <w:szCs w:val="24"/>
        </w:rPr>
        <w:t>anticipate</w:t>
      </w:r>
      <w:r>
        <w:rPr>
          <w:rFonts w:ascii="Times New Roman" w:hAnsi="Times New Roman" w:cs="Times New Roman"/>
          <w:sz w:val="24"/>
          <w:szCs w:val="24"/>
        </w:rPr>
        <w:t xml:space="preserve"> be</w:t>
      </w:r>
      <w:r w:rsidR="00BD0A04">
        <w:rPr>
          <w:rFonts w:ascii="Times New Roman" w:hAnsi="Times New Roman" w:cs="Times New Roman"/>
          <w:sz w:val="24"/>
          <w:szCs w:val="24"/>
        </w:rPr>
        <w:t>ing</w:t>
      </w:r>
      <w:r>
        <w:rPr>
          <w:rFonts w:ascii="Times New Roman" w:hAnsi="Times New Roman" w:cs="Times New Roman"/>
          <w:sz w:val="24"/>
          <w:szCs w:val="24"/>
        </w:rPr>
        <w:t xml:space="preserve"> able to assess non-response bias by examining</w:t>
      </w:r>
      <w:r w:rsidR="00BD0A04">
        <w:rPr>
          <w:rFonts w:ascii="Times New Roman" w:hAnsi="Times New Roman" w:cs="Times New Roman"/>
          <w:sz w:val="24"/>
          <w:szCs w:val="24"/>
        </w:rPr>
        <w:t xml:space="preserve"> participation rates by city and also by clinic.</w:t>
      </w:r>
      <w:r w:rsidR="00425526">
        <w:rPr>
          <w:rFonts w:ascii="Times New Roman" w:hAnsi="Times New Roman" w:cs="Times New Roman"/>
          <w:sz w:val="24"/>
          <w:szCs w:val="24"/>
        </w:rPr>
        <w:t xml:space="preserve"> In addition, some information on non-responders may be available from clinics so that we </w:t>
      </w:r>
      <w:r w:rsidR="006B628C">
        <w:rPr>
          <w:rFonts w:ascii="Times New Roman" w:hAnsi="Times New Roman" w:cs="Times New Roman"/>
          <w:sz w:val="24"/>
          <w:szCs w:val="24"/>
        </w:rPr>
        <w:t>will be</w:t>
      </w:r>
      <w:r w:rsidR="00425526">
        <w:rPr>
          <w:rFonts w:ascii="Times New Roman" w:hAnsi="Times New Roman" w:cs="Times New Roman"/>
          <w:sz w:val="24"/>
          <w:szCs w:val="24"/>
        </w:rPr>
        <w:t xml:space="preserve"> able to assess factors associated with non-response.</w:t>
      </w:r>
      <w:r w:rsidR="00BD0A04">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B9D963D" w14:textId="77777777" w:rsidR="006D1DA0" w:rsidRDefault="006D1DA0" w:rsidP="00591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49C5A9" w14:textId="77777777" w:rsidR="00346141" w:rsidRPr="00330C1D"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B.</w:t>
      </w:r>
      <w:r w:rsidR="00B22868">
        <w:rPr>
          <w:b/>
          <w:bCs/>
        </w:rPr>
        <w:t xml:space="preserve">4. </w:t>
      </w:r>
      <w:r w:rsidR="00346141" w:rsidRPr="00330C1D">
        <w:rPr>
          <w:b/>
          <w:bCs/>
        </w:rPr>
        <w:t>Tests of Procedures or Methods to be Undertaken</w:t>
      </w:r>
    </w:p>
    <w:p w14:paraId="0830DAEF" w14:textId="77777777"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9C0F0D0" w14:textId="2BD5F246" w:rsidR="00686739" w:rsidRDefault="00A96AB5"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All data collection instruments were reviewed by medical personnel, laboratorians, epidemiologists and subject matter experts for question wor</w:t>
      </w:r>
      <w:r w:rsidR="00154348">
        <w:t>d</w:t>
      </w:r>
      <w:r>
        <w:t xml:space="preserve">ing and appropriate and adequate response options. </w:t>
      </w:r>
      <w:r w:rsidR="00DE717B">
        <w:t>In collaboration with the Instituto Nacional de Salud (INS), CDC plans to pilot test all data collection instruments</w:t>
      </w:r>
      <w:r w:rsidR="00DD4922">
        <w:t xml:space="preserve">, including data entry, data editing, and data </w:t>
      </w:r>
      <w:r w:rsidR="00A70A5A">
        <w:t>management</w:t>
      </w:r>
      <w:r w:rsidR="00DD4922">
        <w:t xml:space="preserve"> </w:t>
      </w:r>
      <w:r w:rsidR="00DE717B">
        <w:t xml:space="preserve">for ZEN Colombia study. Results from the pilot test will provide opportunity </w:t>
      </w:r>
      <w:r w:rsidR="00DD4922">
        <w:t xml:space="preserve">to refine and revise questions to minimize burden and improve efficacy. </w:t>
      </w:r>
      <w:r w:rsidR="00686739">
        <w:t>The tools used for the subset of infants are validated tools.</w:t>
      </w:r>
    </w:p>
    <w:p w14:paraId="56AE61D9" w14:textId="77777777" w:rsidR="00C14289" w:rsidRDefault="00C14289" w:rsidP="00DD4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3649869" w14:textId="64613312" w:rsidR="00346141" w:rsidRDefault="00CB7F12" w:rsidP="007C1E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w:t>
      </w:r>
      <w:r w:rsidR="00F665D0">
        <w:rPr>
          <w:b/>
          <w:bCs/>
        </w:rPr>
        <w:t xml:space="preserve">5. </w:t>
      </w:r>
      <w:r w:rsidR="00346141" w:rsidRPr="00330C1D">
        <w:rPr>
          <w:b/>
          <w:bCs/>
        </w:rPr>
        <w:t>Individuals Consulted on Statistical Aspects and Individuals Collecting and/or Analyzing Data</w:t>
      </w:r>
    </w:p>
    <w:p w14:paraId="2537EA75" w14:textId="77777777" w:rsidR="00CB7F12" w:rsidRDefault="00CB7F12"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0451CF11" w14:textId="2E616C6A" w:rsidR="00686739" w:rsidRPr="00686739" w:rsidRDefault="00A96AB5" w:rsidP="0068673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2C3C">
        <w:t xml:space="preserve">Data collection instruments were reviewed by medical personnel, laboratorians, epidemiologists and subject matter experts. These included individuals from the CDC Zika Virus Response Team, Pregnancy and Birth Defects Task Force (Margaret Honein, PhD; Denise Jamieson, MD; Diana Valencia, MS, MS; Carol Rao, ScD; Elizabeth Ailes, PhD; Sherry Farr, PhD; Suzanne Gilboa, PhD; Candice Johnson, PhD; Jennita Reefhuis, PhD; Christina Renquist, MPH; Andrea Sharma, PhD; Van Tong, MPH; Sarah Tinker, PhD; </w:t>
      </w:r>
      <w:r>
        <w:t>Julie Villanueva, PhD</w:t>
      </w:r>
      <w:r w:rsidR="00F14CB8">
        <w:t>; Shin Kim, MPH; Kayla Anderson, PhD</w:t>
      </w:r>
      <w:r>
        <w:t>), Emory University (Lisa Haddad, MD) and Colombia INS (</w:t>
      </w:r>
      <w:r w:rsidRPr="00A96AB5">
        <w:t>Martha Lucia Ospina Martínez, MD; Jorge Martin Rodriguez, MD, MSc; Yamileth Ortiz Gomez, Bg, MSc; Marcela Mercado, Bact, MSc; Maritza Gonzalez, MD, MSc; May Bibiana Osorio Merchan, MSc)</w:t>
      </w:r>
      <w:r w:rsidR="00686739">
        <w:t xml:space="preserve">; </w:t>
      </w:r>
      <w:r w:rsidR="00686739" w:rsidRPr="00686739">
        <w:t>Helena M. Rodríguez P., Bact, Esp, MSc(c)</w:t>
      </w:r>
    </w:p>
    <w:p w14:paraId="24FA1E35" w14:textId="77777777" w:rsidR="00686739" w:rsidRPr="00A96AB5" w:rsidRDefault="00686739" w:rsidP="00A96AB5">
      <w:pPr>
        <w:pStyle w:val="NoSpacing"/>
        <w:rPr>
          <w:rFonts w:ascii="Arial" w:hAnsi="Arial" w:cs="Arial"/>
        </w:rPr>
      </w:pPr>
    </w:p>
    <w:p w14:paraId="69C2D9E0" w14:textId="2849533C" w:rsidR="00A96AB5" w:rsidRDefault="00A96AB5" w:rsidP="00A96AB5">
      <w:pPr>
        <w:pStyle w:val="NoSpacing"/>
        <w:rPr>
          <w:rFonts w:ascii="Arial" w:hAnsi="Arial" w:cs="Arial"/>
        </w:rPr>
      </w:pPr>
    </w:p>
    <w:p w14:paraId="61C30FEF" w14:textId="345A86DD" w:rsidR="00A96AB5" w:rsidRDefault="00A96AB5"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D2A5D13" w14:textId="51368A0A" w:rsidR="00346141" w:rsidRPr="00EA3238" w:rsidRDefault="00B22868"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 xml:space="preserve">ZEN Colombia Study </w:t>
      </w:r>
      <w:r w:rsidR="00346141" w:rsidRPr="00EA3238">
        <w:rPr>
          <w:bCs/>
        </w:rPr>
        <w:t>designed by:</w:t>
      </w:r>
    </w:p>
    <w:p w14:paraId="0D418230" w14:textId="77777777"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040D929" w14:textId="77777777" w:rsidR="00DE717B" w:rsidRPr="00625F7A"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Pregnancy and Birth Defects Task Force</w:t>
      </w:r>
    </w:p>
    <w:p w14:paraId="52D7B8C2" w14:textId="77777777" w:rsidR="00DE717B" w:rsidRPr="00625F7A"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CDC Zika Virus Response Team</w:t>
      </w:r>
    </w:p>
    <w:p w14:paraId="38D7D387" w14:textId="77777777" w:rsid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U.S. Centers for Disease Control and Prevention</w:t>
      </w:r>
    </w:p>
    <w:p w14:paraId="4ADABD3B" w14:textId="77777777" w:rsid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Centers for Disease Control and Prevention</w:t>
      </w:r>
    </w:p>
    <w:p w14:paraId="449A5C72" w14:textId="77777777" w:rsidR="00DE717B" w:rsidRP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1600 Clifton Rd., NE</w:t>
      </w:r>
    </w:p>
    <w:p w14:paraId="70D95D59" w14:textId="77777777" w:rsidR="00DE717B" w:rsidRP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Atlanta, GA 30303</w:t>
      </w:r>
    </w:p>
    <w:p w14:paraId="5DDF1AAA" w14:textId="77777777" w:rsidR="00DE717B" w:rsidRPr="00DE717B" w:rsidRDefault="00DE717B" w:rsidP="00DE7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Tel: 770-488-7100</w:t>
      </w:r>
    </w:p>
    <w:p w14:paraId="530EC4FF" w14:textId="77777777" w:rsidR="00DE717B" w:rsidRPr="001E2820"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E2820">
        <w:t>Project Officer: Margaret Honein</w:t>
      </w:r>
    </w:p>
    <w:p w14:paraId="78A85149" w14:textId="77777777" w:rsidR="00DE717B" w:rsidRPr="001E2820" w:rsidRDefault="00DE717B" w:rsidP="00DE717B">
      <w:pPr>
        <w:widowControl/>
        <w:tabs>
          <w:tab w:val="left" w:pos="0"/>
          <w:tab w:val="center" w:pos="4680"/>
          <w:tab w:val="left" w:pos="5040"/>
          <w:tab w:val="left" w:pos="5760"/>
          <w:tab w:val="left" w:pos="6480"/>
          <w:tab w:val="left" w:pos="7200"/>
          <w:tab w:val="left" w:pos="7920"/>
          <w:tab w:val="left" w:pos="8640"/>
          <w:tab w:val="left" w:pos="9360"/>
        </w:tabs>
        <w:rPr>
          <w:bCs/>
        </w:rPr>
      </w:pPr>
      <w:r w:rsidRPr="001E2820">
        <w:rPr>
          <w:bCs/>
        </w:rPr>
        <w:t xml:space="preserve">E-mail: </w:t>
      </w:r>
      <w:r>
        <w:rPr>
          <w:bCs/>
        </w:rPr>
        <w:t>mrh7</w:t>
      </w:r>
      <w:r w:rsidRPr="001E2820">
        <w:rPr>
          <w:bCs/>
        </w:rPr>
        <w:t>@cdc.gov</w:t>
      </w:r>
    </w:p>
    <w:p w14:paraId="6C4357E0" w14:textId="77777777" w:rsidR="00DE717B"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380549B"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Instituto Nacional de Salud (INS)</w:t>
      </w:r>
    </w:p>
    <w:p w14:paraId="6D3A723B"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Av. Calle 26 No. 51-20</w:t>
      </w:r>
    </w:p>
    <w:p w14:paraId="763D3CEA"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Bogota, D.C., Colombia</w:t>
      </w:r>
    </w:p>
    <w:p w14:paraId="2656C409"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Commutador: (1) 220-7700 Ext. 1703-1704</w:t>
      </w:r>
    </w:p>
    <w:p w14:paraId="69AB5DD1"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Fax: (1) 220-7700 Ext. 1283-1269</w:t>
      </w:r>
    </w:p>
    <w:p w14:paraId="6E3AFEE1" w14:textId="77777777" w:rsidR="00DE717B" w:rsidRPr="009904BB"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Pr>
          <w:lang w:val="es-CO"/>
        </w:rPr>
        <w:t xml:space="preserve">Directora General: </w:t>
      </w:r>
      <w:r w:rsidRPr="009904BB">
        <w:rPr>
          <w:lang w:val="es-CO"/>
        </w:rPr>
        <w:t>Martha Lucia Ospina Martínez</w:t>
      </w:r>
    </w:p>
    <w:p w14:paraId="6FB7BC02" w14:textId="77777777" w:rsidR="00FB68BF" w:rsidRDefault="00DE717B" w:rsidP="00FB68BF">
      <w:pPr>
        <w:rPr>
          <w:color w:val="1F497D"/>
          <w:sz w:val="22"/>
          <w:szCs w:val="22"/>
        </w:rPr>
      </w:pPr>
      <w:r w:rsidRPr="00DB15BF">
        <w:t xml:space="preserve">E-mail: </w:t>
      </w:r>
      <w:bookmarkStart w:id="1" w:name="_MailEndCompose"/>
      <w:r w:rsidR="00FB68BF" w:rsidRPr="00F44BA1">
        <w:rPr>
          <w:lang w:val="es-CO"/>
        </w:rPr>
        <w:fldChar w:fldCharType="begin"/>
      </w:r>
      <w:r w:rsidR="00FB68BF" w:rsidRPr="00DB15BF">
        <w:instrText xml:space="preserve"> HYPERLINK "mailto:mospina@ins.gov.co" </w:instrText>
      </w:r>
      <w:r w:rsidR="00FB68BF" w:rsidRPr="00F44BA1">
        <w:rPr>
          <w:lang w:val="es-CO"/>
        </w:rPr>
        <w:fldChar w:fldCharType="separate"/>
      </w:r>
      <w:r w:rsidR="00FB68BF" w:rsidRPr="00DB15BF">
        <w:t>mospina@ins.gov.co</w:t>
      </w:r>
      <w:bookmarkEnd w:id="1"/>
      <w:r w:rsidR="00FB68BF" w:rsidRPr="00F44BA1">
        <w:rPr>
          <w:lang w:val="es-CO"/>
        </w:rPr>
        <w:fldChar w:fldCharType="end"/>
      </w:r>
    </w:p>
    <w:p w14:paraId="6850E36A" w14:textId="77777777" w:rsidR="00DE717B" w:rsidRPr="00DB15BF" w:rsidRDefault="00DE717B" w:rsidP="00DE71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52C2EA6" w14:textId="77777777"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066D86" w14:textId="77777777" w:rsidR="00B22868" w:rsidRDefault="00B22868"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58B038A" w14:textId="77777777" w:rsidR="007F1074"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 xml:space="preserve">Data </w:t>
      </w:r>
      <w:r w:rsidR="00C63276">
        <w:t>collected from 2016</w:t>
      </w:r>
      <w:r>
        <w:t>-20</w:t>
      </w:r>
      <w:r w:rsidR="00351E74">
        <w:t>1</w:t>
      </w:r>
      <w:r w:rsidR="00C63276">
        <w:t>7</w:t>
      </w:r>
      <w:r w:rsidRPr="00EA3238">
        <w:t xml:space="preserve"> by:</w:t>
      </w:r>
      <w:r w:rsidR="00524288">
        <w:t xml:space="preserve"> </w:t>
      </w:r>
    </w:p>
    <w:p w14:paraId="69BADD22" w14:textId="77777777" w:rsidR="007F1074" w:rsidRDefault="007F1074"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4D90FC" w14:textId="4FD343AA" w:rsidR="007F1074" w:rsidRPr="007F1074" w:rsidRDefault="007F1074" w:rsidP="007F1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Vysnova P</w:t>
      </w:r>
      <w:r w:rsidRPr="007F1074">
        <w:t>artners, Inc.</w:t>
      </w:r>
    </w:p>
    <w:p w14:paraId="65BFEC56" w14:textId="40887BEC" w:rsidR="007F1074" w:rsidRPr="007F1074" w:rsidRDefault="007F1074" w:rsidP="007F1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F1074">
        <w:t xml:space="preserve">1901 Research </w:t>
      </w:r>
      <w:r w:rsidR="00AF1259" w:rsidRPr="007F1074">
        <w:t>Bl</w:t>
      </w:r>
      <w:r w:rsidR="00AF1259">
        <w:t>v</w:t>
      </w:r>
      <w:r w:rsidR="00AF1259" w:rsidRPr="007F1074">
        <w:t>d</w:t>
      </w:r>
      <w:r w:rsidRPr="007F1074">
        <w:t>. Suite 502</w:t>
      </w:r>
    </w:p>
    <w:p w14:paraId="0EDA8273" w14:textId="18A2B542" w:rsidR="007F1074" w:rsidRPr="007F1074" w:rsidRDefault="007F1074" w:rsidP="007F1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7F1074">
        <w:t>Rockville, MD 20850</w:t>
      </w:r>
    </w:p>
    <w:p w14:paraId="2FA870C1" w14:textId="77777777" w:rsidR="00346141" w:rsidRPr="00EA3238"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828D9B" w14:textId="2FC79ED0" w:rsidR="004D2E29" w:rsidRPr="00625F7A"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Pregnancy and Birth Defects Task Force</w:t>
      </w:r>
    </w:p>
    <w:p w14:paraId="467F61C1" w14:textId="18246A21" w:rsidR="004D2E29" w:rsidRPr="00625F7A"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CDC Zika Virus Response Team</w:t>
      </w:r>
    </w:p>
    <w:p w14:paraId="1FD5F8EA" w14:textId="7FE3E39A" w:rsidR="004D2E29"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U.S. Centers for Disease Control and Prevention</w:t>
      </w:r>
    </w:p>
    <w:p w14:paraId="6EBAEDA4" w14:textId="4E2D75D2" w:rsidR="004D2E29"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Centers for Disease Control and Prevention</w:t>
      </w:r>
    </w:p>
    <w:p w14:paraId="143B951B" w14:textId="410DDC92" w:rsidR="004D2E29" w:rsidRPr="00DE717B"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1600 Clifton Rd., NE</w:t>
      </w:r>
    </w:p>
    <w:p w14:paraId="4CD3EF45" w14:textId="4BD39A5D" w:rsidR="004D2E29" w:rsidRPr="00DE717B"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Atlanta, GA 30303</w:t>
      </w:r>
    </w:p>
    <w:p w14:paraId="798F0853" w14:textId="0FD5CD03" w:rsidR="004D2E29" w:rsidRPr="00DE717B" w:rsidRDefault="004D2E29" w:rsidP="004D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Tel: 770-488-7100</w:t>
      </w:r>
    </w:p>
    <w:p w14:paraId="7F3F4552" w14:textId="18269CCC" w:rsidR="004D2E29" w:rsidRPr="001E2820"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E2820">
        <w:t>Project Officer: Margaret Honein</w:t>
      </w:r>
    </w:p>
    <w:p w14:paraId="39534DA8" w14:textId="521309EE" w:rsidR="004D2E29" w:rsidRPr="001E2820" w:rsidRDefault="004D2E29" w:rsidP="004D2E29">
      <w:pPr>
        <w:widowControl/>
        <w:tabs>
          <w:tab w:val="left" w:pos="0"/>
          <w:tab w:val="center" w:pos="4680"/>
          <w:tab w:val="left" w:pos="5040"/>
          <w:tab w:val="left" w:pos="5760"/>
          <w:tab w:val="left" w:pos="6480"/>
          <w:tab w:val="left" w:pos="7200"/>
          <w:tab w:val="left" w:pos="7920"/>
          <w:tab w:val="left" w:pos="8640"/>
          <w:tab w:val="left" w:pos="9360"/>
        </w:tabs>
        <w:rPr>
          <w:bCs/>
        </w:rPr>
      </w:pPr>
      <w:r w:rsidRPr="001E2820">
        <w:rPr>
          <w:bCs/>
        </w:rPr>
        <w:t xml:space="preserve">E-mail: </w:t>
      </w:r>
      <w:r>
        <w:rPr>
          <w:bCs/>
        </w:rPr>
        <w:t>mrh7</w:t>
      </w:r>
      <w:r w:rsidRPr="001E2820">
        <w:rPr>
          <w:bCs/>
        </w:rPr>
        <w:t>@cdc.gov</w:t>
      </w:r>
    </w:p>
    <w:p w14:paraId="4BD6EB0A" w14:textId="77777777" w:rsidR="004D2E29"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E75185D" w14:textId="77777777" w:rsidR="004D2E29" w:rsidRPr="00DB15BF"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Instituto Nacional de Salud (INS)</w:t>
      </w:r>
    </w:p>
    <w:p w14:paraId="0D345A97" w14:textId="77777777" w:rsidR="004D2E29" w:rsidRPr="00DB15BF"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Av. Calle 26 No. 51-20</w:t>
      </w:r>
    </w:p>
    <w:p w14:paraId="2C840C2D" w14:textId="77777777" w:rsidR="004D2E29" w:rsidRPr="00DB15BF"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Bogota, D.C., Colombia</w:t>
      </w:r>
    </w:p>
    <w:p w14:paraId="60D3F276" w14:textId="77777777" w:rsidR="004D2E29" w:rsidRPr="00DB15BF"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Commutador: (1) 220-7700 Ext. 1703-1704</w:t>
      </w:r>
    </w:p>
    <w:p w14:paraId="3E098A16" w14:textId="77777777" w:rsidR="004D2E29" w:rsidRPr="00DB15BF"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Fax: (1) 220-7700 Ext. 1283-1269</w:t>
      </w:r>
    </w:p>
    <w:p w14:paraId="0F033314" w14:textId="77777777" w:rsidR="004D2E29" w:rsidRPr="009904BB" w:rsidRDefault="004D2E29" w:rsidP="004D2E2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Pr>
          <w:lang w:val="es-CO"/>
        </w:rPr>
        <w:t xml:space="preserve">Directora General: </w:t>
      </w:r>
      <w:r w:rsidRPr="009904BB">
        <w:rPr>
          <w:lang w:val="es-CO"/>
        </w:rPr>
        <w:t>Martha Lucia Ospina Martínez</w:t>
      </w:r>
    </w:p>
    <w:p w14:paraId="08CB4BE1" w14:textId="77777777" w:rsidR="004D2E29" w:rsidRDefault="004D2E29" w:rsidP="004D2E29">
      <w:pPr>
        <w:rPr>
          <w:color w:val="1F497D"/>
          <w:sz w:val="22"/>
          <w:szCs w:val="22"/>
        </w:rPr>
      </w:pPr>
      <w:r w:rsidRPr="00DB15BF">
        <w:t xml:space="preserve">E-mail: </w:t>
      </w:r>
      <w:hyperlink r:id="rId11" w:history="1">
        <w:r>
          <w:rPr>
            <w:rStyle w:val="Hyperlink"/>
          </w:rPr>
          <w:t>mospina@ins.gov.co</w:t>
        </w:r>
      </w:hyperlink>
    </w:p>
    <w:p w14:paraId="6BFA5D39" w14:textId="77777777"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D74DFD" w14:textId="77777777" w:rsidR="00C63276" w:rsidRDefault="00C63276"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24D7CD89" w14:textId="77777777"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A3238">
        <w:rPr>
          <w:bCs/>
        </w:rPr>
        <w:t>Data analyzed by:</w:t>
      </w:r>
    </w:p>
    <w:p w14:paraId="71249020" w14:textId="77777777" w:rsidR="009904BB" w:rsidRDefault="009904BB"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0AC5ADB3" w14:textId="77777777" w:rsidR="00625F7A" w:rsidRPr="00625F7A" w:rsidRDefault="00625F7A" w:rsidP="00625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Pregnancy and Birth Defects Task Force</w:t>
      </w:r>
    </w:p>
    <w:p w14:paraId="5CA567AB" w14:textId="77777777" w:rsidR="00625F7A" w:rsidRPr="00625F7A" w:rsidRDefault="00625F7A" w:rsidP="00625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CDC Zika Virus Response Team</w:t>
      </w:r>
    </w:p>
    <w:p w14:paraId="05F4C688" w14:textId="5086FB70" w:rsidR="00C63276" w:rsidRDefault="00625F7A" w:rsidP="00625F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625F7A">
        <w:rPr>
          <w:bCs/>
        </w:rPr>
        <w:t>U.S. Centers for Disease Control and Prevention</w:t>
      </w:r>
    </w:p>
    <w:p w14:paraId="1A710701" w14:textId="77777777" w:rsidR="00346141" w:rsidRDefault="00346141"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A3238">
        <w:t>Centers for Disease Control and Prevention</w:t>
      </w:r>
    </w:p>
    <w:p w14:paraId="7D2682A8" w14:textId="2A2B9989" w:rsidR="00346141" w:rsidRPr="00DE717B" w:rsidRDefault="00DE717B"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1600 Clifton Rd., NE</w:t>
      </w:r>
    </w:p>
    <w:p w14:paraId="496F6A4E" w14:textId="45F7DC6D" w:rsidR="00346141" w:rsidRPr="00DE717B" w:rsidRDefault="00DE717B"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Atlanta, GA 30303</w:t>
      </w:r>
    </w:p>
    <w:p w14:paraId="524E152A" w14:textId="56BDE284" w:rsidR="00346141" w:rsidRPr="00DE717B" w:rsidRDefault="00DE717B" w:rsidP="00CB7F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E717B">
        <w:t xml:space="preserve">Tel: </w:t>
      </w:r>
      <w:r w:rsidR="00346141" w:rsidRPr="00DE717B">
        <w:t>770</w:t>
      </w:r>
      <w:r w:rsidR="00FD6955" w:rsidRPr="00DE717B">
        <w:t>-</w:t>
      </w:r>
      <w:r w:rsidRPr="00DE717B">
        <w:t>488-7100</w:t>
      </w:r>
    </w:p>
    <w:p w14:paraId="25C000AB" w14:textId="77777777" w:rsidR="001E2820" w:rsidRPr="001E2820" w:rsidRDefault="00346141" w:rsidP="00CB7F1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E2820">
        <w:t xml:space="preserve">Project Officer: </w:t>
      </w:r>
      <w:r w:rsidR="001E2820" w:rsidRPr="001E2820">
        <w:t>Margaret Honein</w:t>
      </w:r>
    </w:p>
    <w:p w14:paraId="5E97477A" w14:textId="68C4869A" w:rsidR="001E2820" w:rsidRDefault="001E2820" w:rsidP="001E2820">
      <w:pPr>
        <w:widowControl/>
        <w:tabs>
          <w:tab w:val="left" w:pos="0"/>
          <w:tab w:val="center" w:pos="4680"/>
          <w:tab w:val="left" w:pos="5040"/>
          <w:tab w:val="left" w:pos="5760"/>
          <w:tab w:val="left" w:pos="6480"/>
          <w:tab w:val="left" w:pos="7200"/>
          <w:tab w:val="left" w:pos="7920"/>
          <w:tab w:val="left" w:pos="8640"/>
          <w:tab w:val="left" w:pos="9360"/>
        </w:tabs>
        <w:rPr>
          <w:bCs/>
        </w:rPr>
      </w:pPr>
      <w:r w:rsidRPr="001E2820">
        <w:rPr>
          <w:bCs/>
        </w:rPr>
        <w:t xml:space="preserve">E-mail: </w:t>
      </w:r>
      <w:hyperlink r:id="rId12" w:history="1">
        <w:r w:rsidR="00336094" w:rsidRPr="00604405">
          <w:rPr>
            <w:rStyle w:val="Hyperlink"/>
            <w:bCs/>
          </w:rPr>
          <w:t>mrh7@cdc.gov</w:t>
        </w:r>
      </w:hyperlink>
    </w:p>
    <w:p w14:paraId="4EF5A8FF" w14:textId="77777777" w:rsidR="00336094" w:rsidRPr="001E2820" w:rsidRDefault="00336094" w:rsidP="001E2820">
      <w:pPr>
        <w:widowControl/>
        <w:tabs>
          <w:tab w:val="left" w:pos="0"/>
          <w:tab w:val="center" w:pos="4680"/>
          <w:tab w:val="left" w:pos="5040"/>
          <w:tab w:val="left" w:pos="5760"/>
          <w:tab w:val="left" w:pos="6480"/>
          <w:tab w:val="left" w:pos="7200"/>
          <w:tab w:val="left" w:pos="7920"/>
          <w:tab w:val="left" w:pos="8640"/>
          <w:tab w:val="left" w:pos="9360"/>
        </w:tabs>
        <w:rPr>
          <w:bCs/>
        </w:rPr>
      </w:pPr>
    </w:p>
    <w:p w14:paraId="0607BAFA" w14:textId="3D424515" w:rsidR="009904BB" w:rsidRPr="00DB15BF"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Instituto Nacional de Salud (INS)</w:t>
      </w:r>
    </w:p>
    <w:p w14:paraId="27509877" w14:textId="46C030F7" w:rsidR="009904BB" w:rsidRPr="00DB15BF"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Av. Calle 26 No. 51-20</w:t>
      </w:r>
    </w:p>
    <w:p w14:paraId="59F5D383" w14:textId="23890A08" w:rsidR="009904BB" w:rsidRPr="00DB15BF"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Bogota, D.C., Colombia</w:t>
      </w:r>
    </w:p>
    <w:p w14:paraId="56234E8B" w14:textId="0BADE217" w:rsidR="009904BB" w:rsidRPr="00DB15BF"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Commutador: (1) 220-7700 Ext. 1703-1704</w:t>
      </w:r>
    </w:p>
    <w:p w14:paraId="5B529F15" w14:textId="2933FD83" w:rsidR="009904BB" w:rsidRPr="00DB15BF"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sidRPr="00DB15BF">
        <w:rPr>
          <w:lang w:val="es-CO"/>
        </w:rPr>
        <w:t>Fax: (1) 220-7700 Ext. 1283-1269</w:t>
      </w:r>
    </w:p>
    <w:p w14:paraId="5088F1C5" w14:textId="0C128342" w:rsidR="009904BB" w:rsidRPr="009904BB" w:rsidRDefault="009904BB" w:rsidP="009904B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s-CO"/>
        </w:rPr>
      </w:pPr>
      <w:r>
        <w:rPr>
          <w:lang w:val="es-CO"/>
        </w:rPr>
        <w:t xml:space="preserve">Directora General: </w:t>
      </w:r>
      <w:r w:rsidRPr="009904BB">
        <w:rPr>
          <w:lang w:val="es-CO"/>
        </w:rPr>
        <w:t>Martha Lucia Ospina Martínez</w:t>
      </w:r>
    </w:p>
    <w:p w14:paraId="28774EB8" w14:textId="5E047E8E" w:rsidR="00716ADF" w:rsidRDefault="00C62731" w:rsidP="004E2C3C">
      <w:r>
        <w:rPr>
          <w:lang w:val="es-CO"/>
        </w:rPr>
        <w:t xml:space="preserve">E-mail: </w:t>
      </w:r>
      <w:hyperlink r:id="rId13" w:history="1">
        <w:r w:rsidR="00FB68BF">
          <w:rPr>
            <w:rStyle w:val="Hyperlink"/>
          </w:rPr>
          <w:t>mospina@ins.gov.co</w:t>
        </w:r>
      </w:hyperlink>
      <w:r w:rsidR="001E2820">
        <w:t xml:space="preserve"> </w:t>
      </w:r>
    </w:p>
    <w:sectPr w:rsidR="00716ADF" w:rsidSect="0034614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1440" w:footer="188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5AC5C" w14:textId="77777777" w:rsidR="00C34A98" w:rsidRDefault="00C34A98">
      <w:r>
        <w:separator/>
      </w:r>
    </w:p>
  </w:endnote>
  <w:endnote w:type="continuationSeparator" w:id="0">
    <w:p w14:paraId="66491FFD" w14:textId="77777777" w:rsidR="00C34A98" w:rsidRDefault="00C34A98">
      <w:r>
        <w:continuationSeparator/>
      </w:r>
    </w:p>
  </w:endnote>
  <w:endnote w:type="continuationNotice" w:id="1">
    <w:p w14:paraId="74094C33" w14:textId="77777777" w:rsidR="00C34A98" w:rsidRDefault="00C34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D322F" w14:textId="77777777" w:rsidR="00C34A98" w:rsidRDefault="00C34A98" w:rsidP="00EE24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AF9C9" w14:textId="77777777" w:rsidR="00C34A98" w:rsidRDefault="00C34A98" w:rsidP="003461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B5F6F" w14:textId="63997EA9" w:rsidR="00C34A98" w:rsidRDefault="00C34A98" w:rsidP="00EE24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0578">
      <w:rPr>
        <w:rStyle w:val="PageNumber"/>
        <w:noProof/>
      </w:rPr>
      <w:t>1</w:t>
    </w:r>
    <w:r>
      <w:rPr>
        <w:rStyle w:val="PageNumber"/>
      </w:rPr>
      <w:fldChar w:fldCharType="end"/>
    </w:r>
  </w:p>
  <w:p w14:paraId="2658FCFE" w14:textId="77777777" w:rsidR="00C34A98" w:rsidRDefault="00C34A98" w:rsidP="0034614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588A4" w14:textId="77777777" w:rsidR="00C34A98" w:rsidRDefault="00C34A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80247" w14:textId="77777777" w:rsidR="00C34A98" w:rsidRDefault="00C34A98">
      <w:r>
        <w:separator/>
      </w:r>
    </w:p>
  </w:footnote>
  <w:footnote w:type="continuationSeparator" w:id="0">
    <w:p w14:paraId="5D2CF23F" w14:textId="77777777" w:rsidR="00C34A98" w:rsidRDefault="00C34A98">
      <w:r>
        <w:continuationSeparator/>
      </w:r>
    </w:p>
  </w:footnote>
  <w:footnote w:type="continuationNotice" w:id="1">
    <w:p w14:paraId="26B2EF6D" w14:textId="77777777" w:rsidR="00C34A98" w:rsidRDefault="00C34A98"/>
  </w:footnote>
  <w:footnote w:id="2">
    <w:p w14:paraId="0830C04C" w14:textId="352831E5" w:rsidR="00C34A98" w:rsidRPr="00092276" w:rsidRDefault="00C34A98" w:rsidP="00092276">
      <w:pPr>
        <w:widowControl/>
        <w:rPr>
          <w:rFonts w:ascii="Segoe UI" w:hAnsi="Segoe UI" w:cs="Segoe UI"/>
          <w:sz w:val="18"/>
          <w:szCs w:val="18"/>
        </w:rPr>
      </w:pPr>
      <w:r w:rsidRPr="00092276">
        <w:rPr>
          <w:rStyle w:val="FootnoteReference"/>
          <w:rFonts w:ascii="Segoe UI" w:hAnsi="Segoe UI" w:cs="Segoe UI"/>
          <w:sz w:val="18"/>
          <w:szCs w:val="18"/>
        </w:rPr>
        <w:footnoteRef/>
      </w:r>
      <w:r w:rsidRPr="00092276">
        <w:rPr>
          <w:rFonts w:ascii="Segoe UI" w:hAnsi="Segoe UI" w:cs="Segoe UI"/>
          <w:sz w:val="18"/>
          <w:szCs w:val="18"/>
        </w:rPr>
        <w:t xml:space="preserve"> Born too Soon: The Global Action Report on Preterm Birth. ww.who.int/pmnch/media/news/2012/preterm_birth_report/en/index.html</w:t>
      </w:r>
    </w:p>
  </w:footnote>
  <w:footnote w:id="3">
    <w:p w14:paraId="1C5505CB" w14:textId="77777777" w:rsidR="00C34A98" w:rsidRPr="00BD0A04" w:rsidRDefault="00C34A98" w:rsidP="003D51DE">
      <w:pPr>
        <w:widowControl/>
        <w:rPr>
          <w:rFonts w:ascii="Segoe UI" w:hAnsi="Segoe UI" w:cs="Segoe UI"/>
          <w:sz w:val="18"/>
          <w:szCs w:val="18"/>
        </w:rPr>
      </w:pPr>
      <w:r w:rsidRPr="00092276">
        <w:rPr>
          <w:rStyle w:val="FootnoteReference"/>
          <w:rFonts w:ascii="Segoe UI" w:hAnsi="Segoe UI" w:cs="Segoe UI"/>
          <w:sz w:val="18"/>
          <w:szCs w:val="18"/>
        </w:rPr>
        <w:footnoteRef/>
      </w:r>
      <w:r w:rsidRPr="00AA057B">
        <w:rPr>
          <w:rFonts w:ascii="Segoe UI" w:hAnsi="Segoe UI" w:cs="Segoe UI"/>
          <w:sz w:val="18"/>
          <w:szCs w:val="18"/>
          <w:lang w:val="es-CO"/>
        </w:rPr>
        <w:t xml:space="preserve"> Rojas, J. A., J. E. Bernal, M. A. Garcia, I. Zarante, N. Ramirez, C. Bernal, N. Gelvez and M. L. Tamayo (2014). </w:t>
      </w:r>
      <w:r w:rsidRPr="00092276">
        <w:rPr>
          <w:rFonts w:ascii="Segoe UI" w:hAnsi="Segoe UI" w:cs="Segoe UI"/>
          <w:sz w:val="18"/>
          <w:szCs w:val="18"/>
        </w:rPr>
        <w:t xml:space="preserve">"Transient evoked oto-acoustic emission screening in newborns in Bogota, Colombia: a retrospective study." </w:t>
      </w:r>
      <w:r w:rsidRPr="00092276">
        <w:rPr>
          <w:rFonts w:ascii="Segoe UI" w:hAnsi="Segoe UI" w:cs="Segoe UI"/>
          <w:sz w:val="18"/>
          <w:szCs w:val="18"/>
          <w:u w:val="single"/>
        </w:rPr>
        <w:t>Int J Pediatr Otorhinolaryngol</w:t>
      </w:r>
      <w:r w:rsidRPr="00BD0A04">
        <w:rPr>
          <w:rFonts w:ascii="Segoe UI" w:hAnsi="Segoe UI" w:cs="Segoe UI"/>
          <w:sz w:val="18"/>
          <w:szCs w:val="18"/>
        </w:rPr>
        <w:t xml:space="preserve"> </w:t>
      </w:r>
      <w:r w:rsidRPr="00BD0A04">
        <w:rPr>
          <w:rFonts w:ascii="Segoe UI" w:hAnsi="Segoe UI" w:cs="Segoe UI"/>
          <w:b/>
          <w:bCs/>
          <w:sz w:val="18"/>
          <w:szCs w:val="18"/>
        </w:rPr>
        <w:t>78</w:t>
      </w:r>
      <w:r w:rsidRPr="00BD0A04">
        <w:rPr>
          <w:rFonts w:ascii="Segoe UI" w:hAnsi="Segoe UI" w:cs="Segoe UI"/>
          <w:sz w:val="18"/>
          <w:szCs w:val="18"/>
        </w:rPr>
        <w:t>(10): 1752-1755.</w:t>
      </w:r>
    </w:p>
    <w:p w14:paraId="04CBFFA9" w14:textId="77777777" w:rsidR="00C34A98" w:rsidRDefault="00C34A98" w:rsidP="003D51D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F6A57" w14:textId="77777777" w:rsidR="00C34A98" w:rsidRDefault="00C34A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C8AF" w14:textId="65BE5001" w:rsidR="00C34A98" w:rsidRDefault="00C34A98" w:rsidP="000413F7">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19A57" w14:textId="77777777" w:rsidR="00C34A98" w:rsidRDefault="00C34A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C2F46"/>
    <w:multiLevelType w:val="hybridMultilevel"/>
    <w:tmpl w:val="C0F62BBC"/>
    <w:lvl w:ilvl="0" w:tplc="3992EB20">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12588F"/>
    <w:multiLevelType w:val="hybridMultilevel"/>
    <w:tmpl w:val="48E0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461682"/>
    <w:multiLevelType w:val="hybridMultilevel"/>
    <w:tmpl w:val="634E1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493CC2"/>
    <w:multiLevelType w:val="hybridMultilevel"/>
    <w:tmpl w:val="22BE19E6"/>
    <w:lvl w:ilvl="0" w:tplc="04090001">
      <w:start w:val="1"/>
      <w:numFmt w:val="bullet"/>
      <w:lvlText w:val=""/>
      <w:lvlJc w:val="left"/>
      <w:pPr>
        <w:ind w:left="781" w:hanging="360"/>
      </w:pPr>
      <w:rPr>
        <w:rFonts w:ascii="Symbol" w:hAnsi="Symbol"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nsid w:val="69B16933"/>
    <w:multiLevelType w:val="hybridMultilevel"/>
    <w:tmpl w:val="266A1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sf5ft26vs2x0etzr1v0x2gawp02raspwsd&quot;&gt;Power Calculations&lt;record-ids&gt;&lt;item&gt;2&lt;/item&gt;&lt;/record-ids&gt;&lt;/item&gt;&lt;/Libraries&gt;"/>
  </w:docVars>
  <w:rsids>
    <w:rsidRoot w:val="00346141"/>
    <w:rsid w:val="0000370F"/>
    <w:rsid w:val="000060A4"/>
    <w:rsid w:val="000075C0"/>
    <w:rsid w:val="00010C06"/>
    <w:rsid w:val="000123F3"/>
    <w:rsid w:val="00013E90"/>
    <w:rsid w:val="00031B65"/>
    <w:rsid w:val="000344E8"/>
    <w:rsid w:val="00035157"/>
    <w:rsid w:val="00036C1F"/>
    <w:rsid w:val="000413F7"/>
    <w:rsid w:val="00045AA0"/>
    <w:rsid w:val="0004677C"/>
    <w:rsid w:val="0005341D"/>
    <w:rsid w:val="00061888"/>
    <w:rsid w:val="00061D25"/>
    <w:rsid w:val="000674A9"/>
    <w:rsid w:val="00070270"/>
    <w:rsid w:val="0007042A"/>
    <w:rsid w:val="000827C3"/>
    <w:rsid w:val="00092276"/>
    <w:rsid w:val="00093D34"/>
    <w:rsid w:val="000958CD"/>
    <w:rsid w:val="00095B78"/>
    <w:rsid w:val="000C3309"/>
    <w:rsid w:val="000C7A40"/>
    <w:rsid w:val="000D0665"/>
    <w:rsid w:val="000D218C"/>
    <w:rsid w:val="000D51CC"/>
    <w:rsid w:val="000F2E92"/>
    <w:rsid w:val="00102F40"/>
    <w:rsid w:val="00112549"/>
    <w:rsid w:val="00121A00"/>
    <w:rsid w:val="001241EA"/>
    <w:rsid w:val="00125589"/>
    <w:rsid w:val="00130B6E"/>
    <w:rsid w:val="0013167E"/>
    <w:rsid w:val="001353BD"/>
    <w:rsid w:val="0013670D"/>
    <w:rsid w:val="00144BF5"/>
    <w:rsid w:val="00154348"/>
    <w:rsid w:val="001553B3"/>
    <w:rsid w:val="00155581"/>
    <w:rsid w:val="00156D77"/>
    <w:rsid w:val="0016199F"/>
    <w:rsid w:val="00164611"/>
    <w:rsid w:val="00164E1A"/>
    <w:rsid w:val="0017109E"/>
    <w:rsid w:val="001906F2"/>
    <w:rsid w:val="00191F00"/>
    <w:rsid w:val="001A0595"/>
    <w:rsid w:val="001A16B1"/>
    <w:rsid w:val="001B579E"/>
    <w:rsid w:val="001B5DA8"/>
    <w:rsid w:val="001C3BC4"/>
    <w:rsid w:val="001D697A"/>
    <w:rsid w:val="001E2820"/>
    <w:rsid w:val="001E5D64"/>
    <w:rsid w:val="001F2D3E"/>
    <w:rsid w:val="001F4420"/>
    <w:rsid w:val="00204FF1"/>
    <w:rsid w:val="00206B1B"/>
    <w:rsid w:val="00211B3B"/>
    <w:rsid w:val="0022224C"/>
    <w:rsid w:val="002540EC"/>
    <w:rsid w:val="00255E2A"/>
    <w:rsid w:val="00256CA4"/>
    <w:rsid w:val="002609B3"/>
    <w:rsid w:val="002650F8"/>
    <w:rsid w:val="002722B3"/>
    <w:rsid w:val="00272B79"/>
    <w:rsid w:val="00272D9B"/>
    <w:rsid w:val="00276370"/>
    <w:rsid w:val="002843A0"/>
    <w:rsid w:val="00284CA2"/>
    <w:rsid w:val="00286535"/>
    <w:rsid w:val="00287896"/>
    <w:rsid w:val="00291DE6"/>
    <w:rsid w:val="002A60CD"/>
    <w:rsid w:val="002A6B54"/>
    <w:rsid w:val="002B11CE"/>
    <w:rsid w:val="002B609A"/>
    <w:rsid w:val="002C2A43"/>
    <w:rsid w:val="002D7F95"/>
    <w:rsid w:val="002F1312"/>
    <w:rsid w:val="002F17BA"/>
    <w:rsid w:val="00302BD4"/>
    <w:rsid w:val="00306934"/>
    <w:rsid w:val="003230FC"/>
    <w:rsid w:val="00336094"/>
    <w:rsid w:val="0034065A"/>
    <w:rsid w:val="00341439"/>
    <w:rsid w:val="00344017"/>
    <w:rsid w:val="00345713"/>
    <w:rsid w:val="00346141"/>
    <w:rsid w:val="00351E74"/>
    <w:rsid w:val="0037629C"/>
    <w:rsid w:val="003873F0"/>
    <w:rsid w:val="003A16D0"/>
    <w:rsid w:val="003B36EB"/>
    <w:rsid w:val="003D07DB"/>
    <w:rsid w:val="003D1B14"/>
    <w:rsid w:val="003D46AA"/>
    <w:rsid w:val="003D51DE"/>
    <w:rsid w:val="003E493B"/>
    <w:rsid w:val="003F10A5"/>
    <w:rsid w:val="00400B5B"/>
    <w:rsid w:val="004016CC"/>
    <w:rsid w:val="00411D1B"/>
    <w:rsid w:val="00422E38"/>
    <w:rsid w:val="00425526"/>
    <w:rsid w:val="004277ED"/>
    <w:rsid w:val="00446187"/>
    <w:rsid w:val="00455396"/>
    <w:rsid w:val="00455C4D"/>
    <w:rsid w:val="004563BF"/>
    <w:rsid w:val="00462574"/>
    <w:rsid w:val="004747A3"/>
    <w:rsid w:val="004918DA"/>
    <w:rsid w:val="00491D6C"/>
    <w:rsid w:val="004A4650"/>
    <w:rsid w:val="004B0DCD"/>
    <w:rsid w:val="004B11CC"/>
    <w:rsid w:val="004B20FD"/>
    <w:rsid w:val="004C7516"/>
    <w:rsid w:val="004D2E29"/>
    <w:rsid w:val="004E2C3C"/>
    <w:rsid w:val="004E4CA4"/>
    <w:rsid w:val="004F0980"/>
    <w:rsid w:val="004F5CDB"/>
    <w:rsid w:val="00500D29"/>
    <w:rsid w:val="00501A01"/>
    <w:rsid w:val="00510541"/>
    <w:rsid w:val="0051333A"/>
    <w:rsid w:val="005218AB"/>
    <w:rsid w:val="00524288"/>
    <w:rsid w:val="00535D8D"/>
    <w:rsid w:val="0054538B"/>
    <w:rsid w:val="005513FF"/>
    <w:rsid w:val="005605E5"/>
    <w:rsid w:val="00573290"/>
    <w:rsid w:val="00576277"/>
    <w:rsid w:val="00580F38"/>
    <w:rsid w:val="00581949"/>
    <w:rsid w:val="0059100C"/>
    <w:rsid w:val="00591449"/>
    <w:rsid w:val="00595673"/>
    <w:rsid w:val="005971CD"/>
    <w:rsid w:val="005A29B7"/>
    <w:rsid w:val="005A3001"/>
    <w:rsid w:val="005A34FA"/>
    <w:rsid w:val="005C16DD"/>
    <w:rsid w:val="005C3AEE"/>
    <w:rsid w:val="005C3BCA"/>
    <w:rsid w:val="005E3D36"/>
    <w:rsid w:val="005F508E"/>
    <w:rsid w:val="005F5AC5"/>
    <w:rsid w:val="006014F2"/>
    <w:rsid w:val="0060612E"/>
    <w:rsid w:val="00607AB3"/>
    <w:rsid w:val="00616C23"/>
    <w:rsid w:val="00622223"/>
    <w:rsid w:val="0062273F"/>
    <w:rsid w:val="00625F7A"/>
    <w:rsid w:val="006266AA"/>
    <w:rsid w:val="00627ABB"/>
    <w:rsid w:val="00642C3A"/>
    <w:rsid w:val="006438D3"/>
    <w:rsid w:val="00643ED3"/>
    <w:rsid w:val="00645359"/>
    <w:rsid w:val="006613EA"/>
    <w:rsid w:val="00661601"/>
    <w:rsid w:val="00661998"/>
    <w:rsid w:val="00663925"/>
    <w:rsid w:val="00677F05"/>
    <w:rsid w:val="00680834"/>
    <w:rsid w:val="00686739"/>
    <w:rsid w:val="00691C5D"/>
    <w:rsid w:val="0069461E"/>
    <w:rsid w:val="00695A14"/>
    <w:rsid w:val="00696826"/>
    <w:rsid w:val="006A7A36"/>
    <w:rsid w:val="006B4382"/>
    <w:rsid w:val="006B628C"/>
    <w:rsid w:val="006C5298"/>
    <w:rsid w:val="006C55A6"/>
    <w:rsid w:val="006D1DA0"/>
    <w:rsid w:val="006D444B"/>
    <w:rsid w:val="006D7E35"/>
    <w:rsid w:val="006F0340"/>
    <w:rsid w:val="006F05A5"/>
    <w:rsid w:val="007002EA"/>
    <w:rsid w:val="0070380D"/>
    <w:rsid w:val="00716ADF"/>
    <w:rsid w:val="00717C5E"/>
    <w:rsid w:val="00722858"/>
    <w:rsid w:val="00731120"/>
    <w:rsid w:val="007323C8"/>
    <w:rsid w:val="00740637"/>
    <w:rsid w:val="00742C42"/>
    <w:rsid w:val="00747DB7"/>
    <w:rsid w:val="0075135B"/>
    <w:rsid w:val="00752FC5"/>
    <w:rsid w:val="00755887"/>
    <w:rsid w:val="00755DD0"/>
    <w:rsid w:val="0075648B"/>
    <w:rsid w:val="007569F8"/>
    <w:rsid w:val="007631EC"/>
    <w:rsid w:val="00772414"/>
    <w:rsid w:val="00775A75"/>
    <w:rsid w:val="00780942"/>
    <w:rsid w:val="00782800"/>
    <w:rsid w:val="007A0FEB"/>
    <w:rsid w:val="007A426E"/>
    <w:rsid w:val="007A4939"/>
    <w:rsid w:val="007A5630"/>
    <w:rsid w:val="007A63FF"/>
    <w:rsid w:val="007B0951"/>
    <w:rsid w:val="007B2A34"/>
    <w:rsid w:val="007B5588"/>
    <w:rsid w:val="007B7024"/>
    <w:rsid w:val="007C1E93"/>
    <w:rsid w:val="007C5F31"/>
    <w:rsid w:val="007C747D"/>
    <w:rsid w:val="007C7CB9"/>
    <w:rsid w:val="007D0DCB"/>
    <w:rsid w:val="007D2E97"/>
    <w:rsid w:val="007D3406"/>
    <w:rsid w:val="007D7E18"/>
    <w:rsid w:val="007E44C2"/>
    <w:rsid w:val="007E5BF3"/>
    <w:rsid w:val="007E7647"/>
    <w:rsid w:val="007F1074"/>
    <w:rsid w:val="007F46EA"/>
    <w:rsid w:val="007F712C"/>
    <w:rsid w:val="00817CA8"/>
    <w:rsid w:val="0082083A"/>
    <w:rsid w:val="00822E63"/>
    <w:rsid w:val="00823F53"/>
    <w:rsid w:val="00824F2C"/>
    <w:rsid w:val="00852602"/>
    <w:rsid w:val="00877229"/>
    <w:rsid w:val="00883804"/>
    <w:rsid w:val="00890E38"/>
    <w:rsid w:val="00892BC7"/>
    <w:rsid w:val="00895B3C"/>
    <w:rsid w:val="0089608C"/>
    <w:rsid w:val="008C0106"/>
    <w:rsid w:val="008C3AB8"/>
    <w:rsid w:val="008D461F"/>
    <w:rsid w:val="008D4FB0"/>
    <w:rsid w:val="008D7F4C"/>
    <w:rsid w:val="008E19A2"/>
    <w:rsid w:val="008E280C"/>
    <w:rsid w:val="009002AB"/>
    <w:rsid w:val="00900432"/>
    <w:rsid w:val="009133C6"/>
    <w:rsid w:val="00915981"/>
    <w:rsid w:val="0092132E"/>
    <w:rsid w:val="00930DE4"/>
    <w:rsid w:val="00931158"/>
    <w:rsid w:val="00931A89"/>
    <w:rsid w:val="00936A06"/>
    <w:rsid w:val="00937BBA"/>
    <w:rsid w:val="00941164"/>
    <w:rsid w:val="00941169"/>
    <w:rsid w:val="009436FE"/>
    <w:rsid w:val="009533E4"/>
    <w:rsid w:val="00962630"/>
    <w:rsid w:val="009628EE"/>
    <w:rsid w:val="00962BC0"/>
    <w:rsid w:val="00964E21"/>
    <w:rsid w:val="00964F84"/>
    <w:rsid w:val="00967ECF"/>
    <w:rsid w:val="009820B6"/>
    <w:rsid w:val="00987FA3"/>
    <w:rsid w:val="009904BB"/>
    <w:rsid w:val="00994E2A"/>
    <w:rsid w:val="009951A1"/>
    <w:rsid w:val="009A101C"/>
    <w:rsid w:val="009A6950"/>
    <w:rsid w:val="009B29C6"/>
    <w:rsid w:val="009B435E"/>
    <w:rsid w:val="009B552E"/>
    <w:rsid w:val="009B67FB"/>
    <w:rsid w:val="009C682E"/>
    <w:rsid w:val="009E0AC8"/>
    <w:rsid w:val="009E54AE"/>
    <w:rsid w:val="009F4B8A"/>
    <w:rsid w:val="00A06444"/>
    <w:rsid w:val="00A13464"/>
    <w:rsid w:val="00A238E8"/>
    <w:rsid w:val="00A3753A"/>
    <w:rsid w:val="00A4013E"/>
    <w:rsid w:val="00A50433"/>
    <w:rsid w:val="00A50802"/>
    <w:rsid w:val="00A60368"/>
    <w:rsid w:val="00A612AA"/>
    <w:rsid w:val="00A64BD2"/>
    <w:rsid w:val="00A70A5A"/>
    <w:rsid w:val="00A753EE"/>
    <w:rsid w:val="00A779D9"/>
    <w:rsid w:val="00A77DF4"/>
    <w:rsid w:val="00A8463E"/>
    <w:rsid w:val="00A866E8"/>
    <w:rsid w:val="00A8766F"/>
    <w:rsid w:val="00A96AB5"/>
    <w:rsid w:val="00AA057B"/>
    <w:rsid w:val="00AA1E5A"/>
    <w:rsid w:val="00AA1F38"/>
    <w:rsid w:val="00AA5B36"/>
    <w:rsid w:val="00AB08EB"/>
    <w:rsid w:val="00AC3771"/>
    <w:rsid w:val="00AC3D0E"/>
    <w:rsid w:val="00AC4177"/>
    <w:rsid w:val="00AC6C3F"/>
    <w:rsid w:val="00AC782D"/>
    <w:rsid w:val="00AD165A"/>
    <w:rsid w:val="00AE5905"/>
    <w:rsid w:val="00AF1259"/>
    <w:rsid w:val="00B01CA2"/>
    <w:rsid w:val="00B03CA5"/>
    <w:rsid w:val="00B07130"/>
    <w:rsid w:val="00B1042C"/>
    <w:rsid w:val="00B10852"/>
    <w:rsid w:val="00B11C5B"/>
    <w:rsid w:val="00B21A81"/>
    <w:rsid w:val="00B22868"/>
    <w:rsid w:val="00B573F6"/>
    <w:rsid w:val="00B66D2E"/>
    <w:rsid w:val="00B66F21"/>
    <w:rsid w:val="00B7713D"/>
    <w:rsid w:val="00B90DBD"/>
    <w:rsid w:val="00B91E44"/>
    <w:rsid w:val="00B92DF9"/>
    <w:rsid w:val="00B93C15"/>
    <w:rsid w:val="00BA2974"/>
    <w:rsid w:val="00BB0205"/>
    <w:rsid w:val="00BB2903"/>
    <w:rsid w:val="00BB566C"/>
    <w:rsid w:val="00BB5FD1"/>
    <w:rsid w:val="00BB72D1"/>
    <w:rsid w:val="00BD0A04"/>
    <w:rsid w:val="00BD2208"/>
    <w:rsid w:val="00BD422E"/>
    <w:rsid w:val="00C037F5"/>
    <w:rsid w:val="00C06466"/>
    <w:rsid w:val="00C10BA1"/>
    <w:rsid w:val="00C12B64"/>
    <w:rsid w:val="00C14289"/>
    <w:rsid w:val="00C142B5"/>
    <w:rsid w:val="00C2447D"/>
    <w:rsid w:val="00C2660D"/>
    <w:rsid w:val="00C3441F"/>
    <w:rsid w:val="00C34A98"/>
    <w:rsid w:val="00C34D01"/>
    <w:rsid w:val="00C37B99"/>
    <w:rsid w:val="00C62731"/>
    <w:rsid w:val="00C63276"/>
    <w:rsid w:val="00C65FDE"/>
    <w:rsid w:val="00C7067E"/>
    <w:rsid w:val="00C7368B"/>
    <w:rsid w:val="00C74D41"/>
    <w:rsid w:val="00C754A9"/>
    <w:rsid w:val="00C9031D"/>
    <w:rsid w:val="00C94E49"/>
    <w:rsid w:val="00C96994"/>
    <w:rsid w:val="00C97405"/>
    <w:rsid w:val="00CA2F31"/>
    <w:rsid w:val="00CA655B"/>
    <w:rsid w:val="00CA66AA"/>
    <w:rsid w:val="00CA67F5"/>
    <w:rsid w:val="00CB1D55"/>
    <w:rsid w:val="00CB5AC9"/>
    <w:rsid w:val="00CB7F12"/>
    <w:rsid w:val="00CC6EBF"/>
    <w:rsid w:val="00CD0BBB"/>
    <w:rsid w:val="00CD73A7"/>
    <w:rsid w:val="00CE5700"/>
    <w:rsid w:val="00CE645F"/>
    <w:rsid w:val="00D00D38"/>
    <w:rsid w:val="00D01712"/>
    <w:rsid w:val="00D026FC"/>
    <w:rsid w:val="00D05209"/>
    <w:rsid w:val="00D26DD3"/>
    <w:rsid w:val="00D32AD8"/>
    <w:rsid w:val="00D361D4"/>
    <w:rsid w:val="00D366AF"/>
    <w:rsid w:val="00D40BCE"/>
    <w:rsid w:val="00D410DE"/>
    <w:rsid w:val="00D433F6"/>
    <w:rsid w:val="00D47245"/>
    <w:rsid w:val="00D525C1"/>
    <w:rsid w:val="00D574C7"/>
    <w:rsid w:val="00D600F2"/>
    <w:rsid w:val="00D67434"/>
    <w:rsid w:val="00D67C28"/>
    <w:rsid w:val="00D72666"/>
    <w:rsid w:val="00DA14CA"/>
    <w:rsid w:val="00DB15BF"/>
    <w:rsid w:val="00DB4756"/>
    <w:rsid w:val="00DC443F"/>
    <w:rsid w:val="00DC592F"/>
    <w:rsid w:val="00DC654F"/>
    <w:rsid w:val="00DD4922"/>
    <w:rsid w:val="00DD5168"/>
    <w:rsid w:val="00DD7717"/>
    <w:rsid w:val="00DE3B60"/>
    <w:rsid w:val="00DE5483"/>
    <w:rsid w:val="00DE6FFB"/>
    <w:rsid w:val="00DE717B"/>
    <w:rsid w:val="00DF74CA"/>
    <w:rsid w:val="00DF7FAC"/>
    <w:rsid w:val="00E025D1"/>
    <w:rsid w:val="00E04634"/>
    <w:rsid w:val="00E06768"/>
    <w:rsid w:val="00E177D1"/>
    <w:rsid w:val="00E20F7A"/>
    <w:rsid w:val="00E2171E"/>
    <w:rsid w:val="00E25C5C"/>
    <w:rsid w:val="00E35013"/>
    <w:rsid w:val="00E531EF"/>
    <w:rsid w:val="00E56BCB"/>
    <w:rsid w:val="00E5751A"/>
    <w:rsid w:val="00E66FF8"/>
    <w:rsid w:val="00E77123"/>
    <w:rsid w:val="00E9288C"/>
    <w:rsid w:val="00E964D5"/>
    <w:rsid w:val="00EA5AB2"/>
    <w:rsid w:val="00EC55D1"/>
    <w:rsid w:val="00EE241F"/>
    <w:rsid w:val="00EE2D12"/>
    <w:rsid w:val="00EE2F03"/>
    <w:rsid w:val="00EE7F76"/>
    <w:rsid w:val="00EF440F"/>
    <w:rsid w:val="00EF4835"/>
    <w:rsid w:val="00F0463D"/>
    <w:rsid w:val="00F10578"/>
    <w:rsid w:val="00F138DC"/>
    <w:rsid w:val="00F13F7D"/>
    <w:rsid w:val="00F14CB8"/>
    <w:rsid w:val="00F32BF2"/>
    <w:rsid w:val="00F33E16"/>
    <w:rsid w:val="00F405CF"/>
    <w:rsid w:val="00F4236B"/>
    <w:rsid w:val="00F44BA1"/>
    <w:rsid w:val="00F521AF"/>
    <w:rsid w:val="00F6258A"/>
    <w:rsid w:val="00F633AA"/>
    <w:rsid w:val="00F6404B"/>
    <w:rsid w:val="00F6595D"/>
    <w:rsid w:val="00F665D0"/>
    <w:rsid w:val="00F758E2"/>
    <w:rsid w:val="00F84057"/>
    <w:rsid w:val="00F9712B"/>
    <w:rsid w:val="00FA3D8D"/>
    <w:rsid w:val="00FA49CB"/>
    <w:rsid w:val="00FB68BF"/>
    <w:rsid w:val="00FB74BB"/>
    <w:rsid w:val="00FC165E"/>
    <w:rsid w:val="00FC5056"/>
    <w:rsid w:val="00FD5B27"/>
    <w:rsid w:val="00FD6955"/>
    <w:rsid w:val="00FE5F6A"/>
    <w:rsid w:val="00FE6332"/>
    <w:rsid w:val="00FF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E19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141"/>
    <w:pPr>
      <w:widowControl w:val="0"/>
      <w:autoSpaceDE w:val="0"/>
      <w:autoSpaceDN w:val="0"/>
      <w:adjustRightInd w:val="0"/>
    </w:pPr>
    <w:rPr>
      <w:sz w:val="24"/>
      <w:szCs w:val="24"/>
    </w:rPr>
  </w:style>
  <w:style w:type="paragraph" w:styleId="Heading2">
    <w:name w:val="heading 2"/>
    <w:basedOn w:val="NoSpacing"/>
    <w:next w:val="Normal"/>
    <w:link w:val="Heading2Char"/>
    <w:uiPriority w:val="9"/>
    <w:unhideWhenUsed/>
    <w:qFormat/>
    <w:rsid w:val="00E5751A"/>
    <w:pP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141"/>
    <w:rPr>
      <w:color w:val="0000FF"/>
    </w:rPr>
  </w:style>
  <w:style w:type="character" w:styleId="CommentReference">
    <w:name w:val="annotation reference"/>
    <w:basedOn w:val="DefaultParagraphFont"/>
    <w:uiPriority w:val="99"/>
    <w:rsid w:val="00346141"/>
    <w:rPr>
      <w:sz w:val="16"/>
      <w:szCs w:val="16"/>
    </w:rPr>
  </w:style>
  <w:style w:type="paragraph" w:styleId="CommentText">
    <w:name w:val="annotation text"/>
    <w:basedOn w:val="Normal"/>
    <w:link w:val="CommentTextChar"/>
    <w:uiPriority w:val="99"/>
    <w:rsid w:val="00346141"/>
    <w:rPr>
      <w:sz w:val="20"/>
      <w:szCs w:val="20"/>
    </w:rPr>
  </w:style>
  <w:style w:type="paragraph" w:styleId="BalloonText">
    <w:name w:val="Balloon Text"/>
    <w:basedOn w:val="Normal"/>
    <w:semiHidden/>
    <w:rsid w:val="00346141"/>
    <w:rPr>
      <w:rFonts w:ascii="Tahoma" w:hAnsi="Tahoma" w:cs="Tahoma"/>
      <w:sz w:val="16"/>
      <w:szCs w:val="16"/>
    </w:rPr>
  </w:style>
  <w:style w:type="paragraph" w:styleId="Footer">
    <w:name w:val="footer"/>
    <w:basedOn w:val="Normal"/>
    <w:rsid w:val="00346141"/>
    <w:pPr>
      <w:tabs>
        <w:tab w:val="center" w:pos="4320"/>
        <w:tab w:val="right" w:pos="8640"/>
      </w:tabs>
    </w:pPr>
  </w:style>
  <w:style w:type="character" w:styleId="PageNumber">
    <w:name w:val="page number"/>
    <w:basedOn w:val="DefaultParagraphFont"/>
    <w:rsid w:val="00346141"/>
  </w:style>
  <w:style w:type="table" w:styleId="TableGrid">
    <w:name w:val="Table Grid"/>
    <w:basedOn w:val="TableNormal"/>
    <w:uiPriority w:val="59"/>
    <w:rsid w:val="005971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6B1B"/>
    <w:rPr>
      <w:b/>
      <w:bCs/>
    </w:rPr>
  </w:style>
  <w:style w:type="paragraph" w:styleId="Header">
    <w:name w:val="header"/>
    <w:basedOn w:val="Normal"/>
    <w:link w:val="HeaderChar"/>
    <w:rsid w:val="007569F8"/>
    <w:pPr>
      <w:tabs>
        <w:tab w:val="center" w:pos="4680"/>
        <w:tab w:val="right" w:pos="9360"/>
      </w:tabs>
    </w:pPr>
  </w:style>
  <w:style w:type="character" w:customStyle="1" w:styleId="HeaderChar">
    <w:name w:val="Header Char"/>
    <w:basedOn w:val="DefaultParagraphFont"/>
    <w:link w:val="Header"/>
    <w:rsid w:val="007569F8"/>
    <w:rPr>
      <w:sz w:val="24"/>
      <w:szCs w:val="24"/>
    </w:rPr>
  </w:style>
  <w:style w:type="paragraph" w:styleId="NoSpacing">
    <w:name w:val="No Spacing"/>
    <w:link w:val="NoSpacingChar"/>
    <w:uiPriority w:val="1"/>
    <w:qFormat/>
    <w:rsid w:val="00941169"/>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E5751A"/>
    <w:rPr>
      <w:rFonts w:ascii="Arial" w:eastAsiaTheme="minorHAnsi" w:hAnsi="Arial" w:cs="Arial"/>
      <w:b/>
      <w:sz w:val="22"/>
      <w:szCs w:val="22"/>
    </w:rPr>
  </w:style>
  <w:style w:type="character" w:customStyle="1" w:styleId="CommentTextChar">
    <w:name w:val="Comment Text Char"/>
    <w:basedOn w:val="DefaultParagraphFont"/>
    <w:link w:val="CommentText"/>
    <w:uiPriority w:val="99"/>
    <w:rsid w:val="00A96AB5"/>
  </w:style>
  <w:style w:type="paragraph" w:styleId="ListParagraph">
    <w:name w:val="List Paragraph"/>
    <w:basedOn w:val="Normal"/>
    <w:uiPriority w:val="34"/>
    <w:qFormat/>
    <w:rsid w:val="00931158"/>
    <w:pPr>
      <w:widowControl/>
      <w:autoSpaceDE/>
      <w:autoSpaceDN/>
      <w:adjustRightInd/>
      <w:ind w:left="720"/>
      <w:contextualSpacing/>
    </w:pPr>
    <w:rPr>
      <w:rFonts w:ascii="Arial" w:eastAsiaTheme="minorHAnsi" w:hAnsi="Arial" w:cstheme="minorBidi"/>
      <w:sz w:val="22"/>
      <w:szCs w:val="22"/>
    </w:rPr>
  </w:style>
  <w:style w:type="paragraph" w:customStyle="1" w:styleId="EndNoteBibliographyTitle">
    <w:name w:val="EndNote Bibliography Title"/>
    <w:basedOn w:val="Normal"/>
    <w:link w:val="EndNoteBibliographyTitleChar"/>
    <w:rsid w:val="009B67FB"/>
    <w:pPr>
      <w:jc w:val="center"/>
    </w:pPr>
    <w:rPr>
      <w:noProof/>
    </w:rPr>
  </w:style>
  <w:style w:type="character" w:customStyle="1" w:styleId="NoSpacingChar">
    <w:name w:val="No Spacing Char"/>
    <w:basedOn w:val="DefaultParagraphFont"/>
    <w:link w:val="NoSpacing"/>
    <w:uiPriority w:val="1"/>
    <w:rsid w:val="009B67FB"/>
    <w:rPr>
      <w:rFonts w:asciiTheme="minorHAnsi" w:eastAsiaTheme="minorHAnsi" w:hAnsiTheme="minorHAnsi" w:cstheme="minorBidi"/>
      <w:sz w:val="22"/>
      <w:szCs w:val="22"/>
    </w:rPr>
  </w:style>
  <w:style w:type="character" w:customStyle="1" w:styleId="EndNoteBibliographyTitleChar">
    <w:name w:val="EndNote Bibliography Title Char"/>
    <w:basedOn w:val="NoSpacingChar"/>
    <w:link w:val="EndNoteBibliographyTitle"/>
    <w:rsid w:val="009B67FB"/>
    <w:rPr>
      <w:rFonts w:asciiTheme="minorHAnsi" w:eastAsiaTheme="minorHAnsi" w:hAnsiTheme="minorHAnsi" w:cstheme="minorBidi"/>
      <w:noProof/>
      <w:sz w:val="24"/>
      <w:szCs w:val="24"/>
    </w:rPr>
  </w:style>
  <w:style w:type="paragraph" w:customStyle="1" w:styleId="EndNoteBibliography">
    <w:name w:val="EndNote Bibliography"/>
    <w:basedOn w:val="Normal"/>
    <w:link w:val="EndNoteBibliographyChar"/>
    <w:rsid w:val="009B67FB"/>
    <w:rPr>
      <w:noProof/>
    </w:rPr>
  </w:style>
  <w:style w:type="character" w:customStyle="1" w:styleId="EndNoteBibliographyChar">
    <w:name w:val="EndNote Bibliography Char"/>
    <w:basedOn w:val="NoSpacingChar"/>
    <w:link w:val="EndNoteBibliography"/>
    <w:rsid w:val="009B67FB"/>
    <w:rPr>
      <w:rFonts w:asciiTheme="minorHAnsi" w:eastAsiaTheme="minorHAnsi" w:hAnsiTheme="minorHAnsi" w:cstheme="minorBidi"/>
      <w:noProof/>
      <w:sz w:val="24"/>
      <w:szCs w:val="24"/>
    </w:rPr>
  </w:style>
  <w:style w:type="paragraph" w:styleId="FootnoteText">
    <w:name w:val="footnote text"/>
    <w:basedOn w:val="Normal"/>
    <w:link w:val="FootnoteTextChar"/>
    <w:semiHidden/>
    <w:unhideWhenUsed/>
    <w:rsid w:val="009B67FB"/>
    <w:rPr>
      <w:sz w:val="20"/>
      <w:szCs w:val="20"/>
    </w:rPr>
  </w:style>
  <w:style w:type="character" w:customStyle="1" w:styleId="FootnoteTextChar">
    <w:name w:val="Footnote Text Char"/>
    <w:basedOn w:val="DefaultParagraphFont"/>
    <w:link w:val="FootnoteText"/>
    <w:semiHidden/>
    <w:rsid w:val="009B67FB"/>
  </w:style>
  <w:style w:type="character" w:styleId="FootnoteReference">
    <w:name w:val="footnote reference"/>
    <w:basedOn w:val="DefaultParagraphFont"/>
    <w:semiHidden/>
    <w:unhideWhenUsed/>
    <w:rsid w:val="009B67F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141"/>
    <w:pPr>
      <w:widowControl w:val="0"/>
      <w:autoSpaceDE w:val="0"/>
      <w:autoSpaceDN w:val="0"/>
      <w:adjustRightInd w:val="0"/>
    </w:pPr>
    <w:rPr>
      <w:sz w:val="24"/>
      <w:szCs w:val="24"/>
    </w:rPr>
  </w:style>
  <w:style w:type="paragraph" w:styleId="Heading2">
    <w:name w:val="heading 2"/>
    <w:basedOn w:val="NoSpacing"/>
    <w:next w:val="Normal"/>
    <w:link w:val="Heading2Char"/>
    <w:uiPriority w:val="9"/>
    <w:unhideWhenUsed/>
    <w:qFormat/>
    <w:rsid w:val="00E5751A"/>
    <w:pPr>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141"/>
    <w:rPr>
      <w:color w:val="0000FF"/>
    </w:rPr>
  </w:style>
  <w:style w:type="character" w:styleId="CommentReference">
    <w:name w:val="annotation reference"/>
    <w:basedOn w:val="DefaultParagraphFont"/>
    <w:uiPriority w:val="99"/>
    <w:rsid w:val="00346141"/>
    <w:rPr>
      <w:sz w:val="16"/>
      <w:szCs w:val="16"/>
    </w:rPr>
  </w:style>
  <w:style w:type="paragraph" w:styleId="CommentText">
    <w:name w:val="annotation text"/>
    <w:basedOn w:val="Normal"/>
    <w:link w:val="CommentTextChar"/>
    <w:uiPriority w:val="99"/>
    <w:rsid w:val="00346141"/>
    <w:rPr>
      <w:sz w:val="20"/>
      <w:szCs w:val="20"/>
    </w:rPr>
  </w:style>
  <w:style w:type="paragraph" w:styleId="BalloonText">
    <w:name w:val="Balloon Text"/>
    <w:basedOn w:val="Normal"/>
    <w:semiHidden/>
    <w:rsid w:val="00346141"/>
    <w:rPr>
      <w:rFonts w:ascii="Tahoma" w:hAnsi="Tahoma" w:cs="Tahoma"/>
      <w:sz w:val="16"/>
      <w:szCs w:val="16"/>
    </w:rPr>
  </w:style>
  <w:style w:type="paragraph" w:styleId="Footer">
    <w:name w:val="footer"/>
    <w:basedOn w:val="Normal"/>
    <w:rsid w:val="00346141"/>
    <w:pPr>
      <w:tabs>
        <w:tab w:val="center" w:pos="4320"/>
        <w:tab w:val="right" w:pos="8640"/>
      </w:tabs>
    </w:pPr>
  </w:style>
  <w:style w:type="character" w:styleId="PageNumber">
    <w:name w:val="page number"/>
    <w:basedOn w:val="DefaultParagraphFont"/>
    <w:rsid w:val="00346141"/>
  </w:style>
  <w:style w:type="table" w:styleId="TableGrid">
    <w:name w:val="Table Grid"/>
    <w:basedOn w:val="TableNormal"/>
    <w:uiPriority w:val="59"/>
    <w:rsid w:val="005971C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6B1B"/>
    <w:rPr>
      <w:b/>
      <w:bCs/>
    </w:rPr>
  </w:style>
  <w:style w:type="paragraph" w:styleId="Header">
    <w:name w:val="header"/>
    <w:basedOn w:val="Normal"/>
    <w:link w:val="HeaderChar"/>
    <w:rsid w:val="007569F8"/>
    <w:pPr>
      <w:tabs>
        <w:tab w:val="center" w:pos="4680"/>
        <w:tab w:val="right" w:pos="9360"/>
      </w:tabs>
    </w:pPr>
  </w:style>
  <w:style w:type="character" w:customStyle="1" w:styleId="HeaderChar">
    <w:name w:val="Header Char"/>
    <w:basedOn w:val="DefaultParagraphFont"/>
    <w:link w:val="Header"/>
    <w:rsid w:val="007569F8"/>
    <w:rPr>
      <w:sz w:val="24"/>
      <w:szCs w:val="24"/>
    </w:rPr>
  </w:style>
  <w:style w:type="paragraph" w:styleId="NoSpacing">
    <w:name w:val="No Spacing"/>
    <w:link w:val="NoSpacingChar"/>
    <w:uiPriority w:val="1"/>
    <w:qFormat/>
    <w:rsid w:val="00941169"/>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E5751A"/>
    <w:rPr>
      <w:rFonts w:ascii="Arial" w:eastAsiaTheme="minorHAnsi" w:hAnsi="Arial" w:cs="Arial"/>
      <w:b/>
      <w:sz w:val="22"/>
      <w:szCs w:val="22"/>
    </w:rPr>
  </w:style>
  <w:style w:type="character" w:customStyle="1" w:styleId="CommentTextChar">
    <w:name w:val="Comment Text Char"/>
    <w:basedOn w:val="DefaultParagraphFont"/>
    <w:link w:val="CommentText"/>
    <w:uiPriority w:val="99"/>
    <w:rsid w:val="00A96AB5"/>
  </w:style>
  <w:style w:type="paragraph" w:styleId="ListParagraph">
    <w:name w:val="List Paragraph"/>
    <w:basedOn w:val="Normal"/>
    <w:uiPriority w:val="34"/>
    <w:qFormat/>
    <w:rsid w:val="00931158"/>
    <w:pPr>
      <w:widowControl/>
      <w:autoSpaceDE/>
      <w:autoSpaceDN/>
      <w:adjustRightInd/>
      <w:ind w:left="720"/>
      <w:contextualSpacing/>
    </w:pPr>
    <w:rPr>
      <w:rFonts w:ascii="Arial" w:eastAsiaTheme="minorHAnsi" w:hAnsi="Arial" w:cstheme="minorBidi"/>
      <w:sz w:val="22"/>
      <w:szCs w:val="22"/>
    </w:rPr>
  </w:style>
  <w:style w:type="paragraph" w:customStyle="1" w:styleId="EndNoteBibliographyTitle">
    <w:name w:val="EndNote Bibliography Title"/>
    <w:basedOn w:val="Normal"/>
    <w:link w:val="EndNoteBibliographyTitleChar"/>
    <w:rsid w:val="009B67FB"/>
    <w:pPr>
      <w:jc w:val="center"/>
    </w:pPr>
    <w:rPr>
      <w:noProof/>
    </w:rPr>
  </w:style>
  <w:style w:type="character" w:customStyle="1" w:styleId="NoSpacingChar">
    <w:name w:val="No Spacing Char"/>
    <w:basedOn w:val="DefaultParagraphFont"/>
    <w:link w:val="NoSpacing"/>
    <w:uiPriority w:val="1"/>
    <w:rsid w:val="009B67FB"/>
    <w:rPr>
      <w:rFonts w:asciiTheme="minorHAnsi" w:eastAsiaTheme="minorHAnsi" w:hAnsiTheme="minorHAnsi" w:cstheme="minorBidi"/>
      <w:sz w:val="22"/>
      <w:szCs w:val="22"/>
    </w:rPr>
  </w:style>
  <w:style w:type="character" w:customStyle="1" w:styleId="EndNoteBibliographyTitleChar">
    <w:name w:val="EndNote Bibliography Title Char"/>
    <w:basedOn w:val="NoSpacingChar"/>
    <w:link w:val="EndNoteBibliographyTitle"/>
    <w:rsid w:val="009B67FB"/>
    <w:rPr>
      <w:rFonts w:asciiTheme="minorHAnsi" w:eastAsiaTheme="minorHAnsi" w:hAnsiTheme="minorHAnsi" w:cstheme="minorBidi"/>
      <w:noProof/>
      <w:sz w:val="24"/>
      <w:szCs w:val="24"/>
    </w:rPr>
  </w:style>
  <w:style w:type="paragraph" w:customStyle="1" w:styleId="EndNoteBibliography">
    <w:name w:val="EndNote Bibliography"/>
    <w:basedOn w:val="Normal"/>
    <w:link w:val="EndNoteBibliographyChar"/>
    <w:rsid w:val="009B67FB"/>
    <w:rPr>
      <w:noProof/>
    </w:rPr>
  </w:style>
  <w:style w:type="character" w:customStyle="1" w:styleId="EndNoteBibliographyChar">
    <w:name w:val="EndNote Bibliography Char"/>
    <w:basedOn w:val="NoSpacingChar"/>
    <w:link w:val="EndNoteBibliography"/>
    <w:rsid w:val="009B67FB"/>
    <w:rPr>
      <w:rFonts w:asciiTheme="minorHAnsi" w:eastAsiaTheme="minorHAnsi" w:hAnsiTheme="minorHAnsi" w:cstheme="minorBidi"/>
      <w:noProof/>
      <w:sz w:val="24"/>
      <w:szCs w:val="24"/>
    </w:rPr>
  </w:style>
  <w:style w:type="paragraph" w:styleId="FootnoteText">
    <w:name w:val="footnote text"/>
    <w:basedOn w:val="Normal"/>
    <w:link w:val="FootnoteTextChar"/>
    <w:semiHidden/>
    <w:unhideWhenUsed/>
    <w:rsid w:val="009B67FB"/>
    <w:rPr>
      <w:sz w:val="20"/>
      <w:szCs w:val="20"/>
    </w:rPr>
  </w:style>
  <w:style w:type="character" w:customStyle="1" w:styleId="FootnoteTextChar">
    <w:name w:val="Footnote Text Char"/>
    <w:basedOn w:val="DefaultParagraphFont"/>
    <w:link w:val="FootnoteText"/>
    <w:semiHidden/>
    <w:rsid w:val="009B67FB"/>
  </w:style>
  <w:style w:type="character" w:styleId="FootnoteReference">
    <w:name w:val="footnote reference"/>
    <w:basedOn w:val="DefaultParagraphFont"/>
    <w:semiHidden/>
    <w:unhideWhenUsed/>
    <w:rsid w:val="009B67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8471">
      <w:bodyDiv w:val="1"/>
      <w:marLeft w:val="0"/>
      <w:marRight w:val="0"/>
      <w:marTop w:val="0"/>
      <w:marBottom w:val="0"/>
      <w:divBdr>
        <w:top w:val="none" w:sz="0" w:space="0" w:color="auto"/>
        <w:left w:val="none" w:sz="0" w:space="0" w:color="auto"/>
        <w:bottom w:val="none" w:sz="0" w:space="0" w:color="auto"/>
        <w:right w:val="none" w:sz="0" w:space="0" w:color="auto"/>
      </w:divBdr>
    </w:div>
    <w:div w:id="775174798">
      <w:bodyDiv w:val="1"/>
      <w:marLeft w:val="0"/>
      <w:marRight w:val="0"/>
      <w:marTop w:val="0"/>
      <w:marBottom w:val="0"/>
      <w:divBdr>
        <w:top w:val="none" w:sz="0" w:space="0" w:color="auto"/>
        <w:left w:val="none" w:sz="0" w:space="0" w:color="auto"/>
        <w:bottom w:val="none" w:sz="0" w:space="0" w:color="auto"/>
        <w:right w:val="none" w:sz="0" w:space="0" w:color="auto"/>
      </w:divBdr>
    </w:div>
    <w:div w:id="1190685097">
      <w:bodyDiv w:val="1"/>
      <w:marLeft w:val="0"/>
      <w:marRight w:val="0"/>
      <w:marTop w:val="0"/>
      <w:marBottom w:val="0"/>
      <w:divBdr>
        <w:top w:val="none" w:sz="0" w:space="0" w:color="auto"/>
        <w:left w:val="none" w:sz="0" w:space="0" w:color="auto"/>
        <w:bottom w:val="none" w:sz="0" w:space="0" w:color="auto"/>
        <w:right w:val="none" w:sz="0" w:space="0" w:color="auto"/>
      </w:divBdr>
    </w:div>
    <w:div w:id="1326284172">
      <w:bodyDiv w:val="1"/>
      <w:marLeft w:val="0"/>
      <w:marRight w:val="0"/>
      <w:marTop w:val="0"/>
      <w:marBottom w:val="0"/>
      <w:divBdr>
        <w:top w:val="none" w:sz="0" w:space="0" w:color="auto"/>
        <w:left w:val="none" w:sz="0" w:space="0" w:color="auto"/>
        <w:bottom w:val="none" w:sz="0" w:space="0" w:color="auto"/>
        <w:right w:val="none" w:sz="0" w:space="0" w:color="auto"/>
      </w:divBdr>
    </w:div>
    <w:div w:id="186351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spina@ins.gov.c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rh7@cdc.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spina@ins.gov.c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who.int/pmnch/media/news/2012/2010_pretermbirthsper100births.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708FC-94AF-41CC-B5FE-7C03A6415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2997</Words>
  <Characters>17086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20043</CharactersWithSpaces>
  <SharedDoc>false</SharedDoc>
  <HLinks>
    <vt:vector size="18" baseType="variant">
      <vt:variant>
        <vt:i4>7340068</vt:i4>
      </vt:variant>
      <vt:variant>
        <vt:i4>6</vt:i4>
      </vt:variant>
      <vt:variant>
        <vt:i4>0</vt:i4>
      </vt:variant>
      <vt:variant>
        <vt:i4>5</vt:i4>
      </vt:variant>
      <vt:variant>
        <vt:lpwstr>mailto:JChang@cdc.gov/GSentelle1@cdc.gov</vt:lpwstr>
      </vt:variant>
      <vt:variant>
        <vt:lpwstr/>
      </vt:variant>
      <vt:variant>
        <vt:i4>1704049</vt:i4>
      </vt:variant>
      <vt:variant>
        <vt:i4>3</vt:i4>
      </vt:variant>
      <vt:variant>
        <vt:i4>0</vt:i4>
      </vt:variant>
      <vt:variant>
        <vt:i4>5</vt:i4>
      </vt:variant>
      <vt:variant>
        <vt:lpwstr>mailto:ametid1@westat.com</vt:lpwstr>
      </vt:variant>
      <vt:variant>
        <vt:lpwstr/>
      </vt:variant>
      <vt:variant>
        <vt:i4>1704049</vt:i4>
      </vt:variant>
      <vt:variant>
        <vt:i4>0</vt:i4>
      </vt:variant>
      <vt:variant>
        <vt:i4>0</vt:i4>
      </vt:variant>
      <vt:variant>
        <vt:i4>5</vt:i4>
      </vt:variant>
      <vt:variant>
        <vt:lpwstr>mailto:ametid1@westat.com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Ailes, Elizabeth (CDC/ONDIEH/NCBDDD)</dc:creator>
  <cp:lastModifiedBy>SYSTEM</cp:lastModifiedBy>
  <cp:revision>2</cp:revision>
  <dcterms:created xsi:type="dcterms:W3CDTF">2017-11-29T15:22:00Z</dcterms:created>
  <dcterms:modified xsi:type="dcterms:W3CDTF">2017-11-29T15:22:00Z</dcterms:modified>
</cp:coreProperties>
</file>