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B932D" w14:textId="0839B42A" w:rsidR="006068B0" w:rsidRPr="006068B0" w:rsidRDefault="00362755" w:rsidP="006068B0">
      <w:pPr>
        <w:jc w:val="center"/>
        <w:rPr>
          <w:b/>
        </w:rPr>
      </w:pPr>
      <w:bookmarkStart w:id="0" w:name="_GoBack"/>
      <w:bookmarkEnd w:id="0"/>
      <w:r>
        <w:rPr>
          <w:b/>
        </w:rPr>
        <w:t>S</w:t>
      </w:r>
      <w:r w:rsidR="006068B0" w:rsidRPr="006068B0">
        <w:rPr>
          <w:b/>
        </w:rPr>
        <w:t>UPPORTING STATEMENT</w:t>
      </w:r>
    </w:p>
    <w:p w14:paraId="1F084670" w14:textId="77777777" w:rsidR="006068B0" w:rsidRPr="006068B0" w:rsidRDefault="006068B0" w:rsidP="006068B0">
      <w:pPr>
        <w:jc w:val="center"/>
        <w:rPr>
          <w:b/>
        </w:rPr>
      </w:pPr>
    </w:p>
    <w:p w14:paraId="3A876999" w14:textId="40D53874" w:rsidR="003140FA" w:rsidRPr="006068B0" w:rsidRDefault="006068B0" w:rsidP="006068B0">
      <w:pPr>
        <w:jc w:val="center"/>
        <w:rPr>
          <w:b/>
        </w:rPr>
      </w:pPr>
      <w:r w:rsidRPr="006068B0">
        <w:rPr>
          <w:b/>
        </w:rPr>
        <w:t xml:space="preserve">Part A </w:t>
      </w:r>
    </w:p>
    <w:p w14:paraId="0E2BC946" w14:textId="77777777" w:rsidR="006068B0" w:rsidRPr="006068B0" w:rsidRDefault="006068B0" w:rsidP="006068B0">
      <w:pPr>
        <w:jc w:val="center"/>
      </w:pPr>
    </w:p>
    <w:p w14:paraId="1B82FDDF" w14:textId="77777777" w:rsidR="006068B0" w:rsidRPr="006068B0" w:rsidRDefault="006068B0" w:rsidP="006068B0">
      <w:pPr>
        <w:jc w:val="center"/>
      </w:pPr>
    </w:p>
    <w:p w14:paraId="77EAE380" w14:textId="24E411DE" w:rsidR="003140FA" w:rsidRPr="006068B0" w:rsidRDefault="003140FA" w:rsidP="006068B0">
      <w:pPr>
        <w:jc w:val="center"/>
        <w:rPr>
          <w:b/>
        </w:rPr>
      </w:pPr>
      <w:r w:rsidRPr="006068B0">
        <w:rPr>
          <w:b/>
        </w:rPr>
        <w:t>Who’s at Risk: From Hazards to Communities—A</w:t>
      </w:r>
      <w:r w:rsidR="00DF0038">
        <w:rPr>
          <w:b/>
        </w:rPr>
        <w:t xml:space="preserve"> Qualitative</w:t>
      </w:r>
      <w:r w:rsidRPr="006068B0">
        <w:rPr>
          <w:b/>
        </w:rPr>
        <w:t xml:space="preserve"> Approach for Operationalizing CDC Guidelines to Determine Risks and Define, Locate, and Reach At-Risk Populations in Public Health Emergencies</w:t>
      </w:r>
    </w:p>
    <w:p w14:paraId="0926AC4D" w14:textId="77777777" w:rsidR="003140FA" w:rsidRPr="006068B0" w:rsidRDefault="003140FA" w:rsidP="006068B0">
      <w:pPr>
        <w:jc w:val="center"/>
        <w:rPr>
          <w:b/>
        </w:rPr>
      </w:pPr>
    </w:p>
    <w:p w14:paraId="2BACB0C2" w14:textId="77777777" w:rsidR="003140FA" w:rsidRPr="006068B0" w:rsidRDefault="003140FA" w:rsidP="006068B0">
      <w:pPr>
        <w:jc w:val="center"/>
        <w:rPr>
          <w:b/>
        </w:rPr>
      </w:pPr>
      <w:r w:rsidRPr="006068B0">
        <w:rPr>
          <w:b/>
        </w:rPr>
        <w:t>Version 1</w:t>
      </w:r>
    </w:p>
    <w:p w14:paraId="1B05D174" w14:textId="662CC003" w:rsidR="003140FA" w:rsidRPr="006068B0" w:rsidRDefault="00FE3901" w:rsidP="006068B0">
      <w:pPr>
        <w:jc w:val="center"/>
        <w:rPr>
          <w:b/>
        </w:rPr>
      </w:pPr>
      <w:r>
        <w:rPr>
          <w:b/>
        </w:rPr>
        <w:t>October 16, 2017</w:t>
      </w:r>
    </w:p>
    <w:p w14:paraId="0B521CEC" w14:textId="77777777" w:rsidR="006068B0" w:rsidRPr="006068B0" w:rsidRDefault="006068B0" w:rsidP="006068B0">
      <w:pPr>
        <w:jc w:val="center"/>
        <w:rPr>
          <w:b/>
        </w:rPr>
      </w:pPr>
    </w:p>
    <w:p w14:paraId="494113DA" w14:textId="77777777" w:rsidR="003140FA" w:rsidRPr="006068B0" w:rsidRDefault="003140FA" w:rsidP="003140FA">
      <w:pPr>
        <w:rPr>
          <w:b/>
        </w:rPr>
      </w:pPr>
    </w:p>
    <w:p w14:paraId="518D7360" w14:textId="584F1B5E" w:rsidR="006068B0" w:rsidRPr="006068B0" w:rsidRDefault="003140FA" w:rsidP="003140FA">
      <w:r w:rsidRPr="006068B0">
        <w:rPr>
          <w:b/>
        </w:rPr>
        <w:t>Project Officers:</w:t>
      </w:r>
      <w:r w:rsidRPr="006068B0">
        <w:t xml:space="preserve"> </w:t>
      </w:r>
    </w:p>
    <w:p w14:paraId="60A35B53" w14:textId="3A900D61" w:rsidR="003140FA" w:rsidRPr="006068B0" w:rsidRDefault="003140FA" w:rsidP="003140FA">
      <w:r w:rsidRPr="006068B0">
        <w:t xml:space="preserve">Shoukat Qari </w:t>
      </w:r>
    </w:p>
    <w:p w14:paraId="6DD9CB0C" w14:textId="574F8CC2" w:rsidR="008A4872" w:rsidRDefault="008A4872" w:rsidP="003140FA">
      <w:r>
        <w:t>Office of Applied Research</w:t>
      </w:r>
    </w:p>
    <w:p w14:paraId="75F363C7" w14:textId="77777777" w:rsidR="003140FA" w:rsidRPr="006068B0" w:rsidRDefault="003140FA" w:rsidP="003140FA">
      <w:r w:rsidRPr="006068B0">
        <w:t>Office of Public Health Preparedness and Response (OPHPR)</w:t>
      </w:r>
    </w:p>
    <w:p w14:paraId="7DB682B5" w14:textId="77777777" w:rsidR="003140FA" w:rsidRPr="006068B0" w:rsidRDefault="003140FA" w:rsidP="003140FA">
      <w:r w:rsidRPr="006068B0">
        <w:t>US Department of Health and Human Services</w:t>
      </w:r>
    </w:p>
    <w:p w14:paraId="5DC14580" w14:textId="4051272F" w:rsidR="003140FA" w:rsidRPr="006068B0" w:rsidRDefault="003140FA" w:rsidP="003140FA">
      <w:r w:rsidRPr="006068B0">
        <w:t>Phone:</w:t>
      </w:r>
      <w:r w:rsidR="008849FF">
        <w:t xml:space="preserve"> 770 488 8808</w:t>
      </w:r>
    </w:p>
    <w:p w14:paraId="7FC7E2D3" w14:textId="0459159D" w:rsidR="003140FA" w:rsidRPr="006068B0" w:rsidRDefault="003140FA" w:rsidP="003140FA">
      <w:r w:rsidRPr="006068B0">
        <w:t>E-mail:</w:t>
      </w:r>
      <w:r w:rsidR="008849FF">
        <w:t xml:space="preserve"> sqari@cdc.gov</w:t>
      </w:r>
    </w:p>
    <w:p w14:paraId="3255B1D0" w14:textId="77777777" w:rsidR="003140FA" w:rsidRPr="006068B0" w:rsidRDefault="003140FA" w:rsidP="003140FA"/>
    <w:p w14:paraId="1C934777" w14:textId="77777777" w:rsidR="003140FA" w:rsidRPr="006068B0" w:rsidRDefault="003140FA" w:rsidP="003140FA"/>
    <w:p w14:paraId="59295DF8" w14:textId="77777777" w:rsidR="003140FA" w:rsidRPr="006068B0" w:rsidRDefault="003140FA" w:rsidP="003140FA">
      <w:r w:rsidRPr="006068B0">
        <w:br w:type="page"/>
      </w:r>
    </w:p>
    <w:sdt>
      <w:sdtPr>
        <w:rPr>
          <w:rFonts w:asciiTheme="minorHAnsi" w:eastAsiaTheme="minorHAnsi" w:hAnsiTheme="minorHAnsi" w:cstheme="minorBidi"/>
          <w:b w:val="0"/>
          <w:bCs w:val="0"/>
          <w:color w:val="auto"/>
          <w:sz w:val="24"/>
          <w:szCs w:val="24"/>
        </w:rPr>
        <w:id w:val="-1526021907"/>
        <w:docPartObj>
          <w:docPartGallery w:val="Table of Contents"/>
          <w:docPartUnique/>
        </w:docPartObj>
      </w:sdtPr>
      <w:sdtEndPr>
        <w:rPr>
          <w:noProof/>
        </w:rPr>
      </w:sdtEndPr>
      <w:sdtContent>
        <w:p w14:paraId="2306E6B6" w14:textId="77777777" w:rsidR="003140FA" w:rsidRPr="006068B0" w:rsidRDefault="003140FA" w:rsidP="003140FA">
          <w:pPr>
            <w:pStyle w:val="TOCHeading"/>
            <w:spacing w:before="0" w:line="240" w:lineRule="auto"/>
            <w:jc w:val="center"/>
            <w:rPr>
              <w:rFonts w:asciiTheme="minorHAnsi" w:hAnsiTheme="minorHAnsi"/>
            </w:rPr>
          </w:pPr>
          <w:r w:rsidRPr="006068B0">
            <w:rPr>
              <w:rFonts w:asciiTheme="minorHAnsi" w:hAnsiTheme="minorHAnsi"/>
            </w:rPr>
            <w:t>Contents</w:t>
          </w:r>
        </w:p>
        <w:p w14:paraId="29DA1B23" w14:textId="7AFC595A" w:rsidR="006068B0" w:rsidRPr="006068B0" w:rsidRDefault="003140FA">
          <w:pPr>
            <w:pStyle w:val="TOC1"/>
            <w:tabs>
              <w:tab w:val="left" w:pos="480"/>
              <w:tab w:val="right" w:leader="dot" w:pos="9350"/>
            </w:tabs>
            <w:rPr>
              <w:rFonts w:eastAsiaTheme="minorEastAsia"/>
              <w:b w:val="0"/>
              <w:bCs w:val="0"/>
              <w:noProof/>
            </w:rPr>
          </w:pPr>
          <w:r w:rsidRPr="006068B0">
            <w:rPr>
              <w:b w:val="0"/>
              <w:bCs w:val="0"/>
            </w:rPr>
            <w:fldChar w:fldCharType="begin"/>
          </w:r>
          <w:r w:rsidRPr="006068B0">
            <w:instrText xml:space="preserve"> TOC \o "1-3" \h \z \u </w:instrText>
          </w:r>
          <w:r w:rsidRPr="006068B0">
            <w:rPr>
              <w:b w:val="0"/>
              <w:bCs w:val="0"/>
            </w:rPr>
            <w:fldChar w:fldCharType="separate"/>
          </w:r>
          <w:hyperlink w:anchor="_Toc477443904" w:history="1">
            <w:r w:rsidR="006068B0" w:rsidRPr="006068B0">
              <w:rPr>
                <w:rStyle w:val="Hyperlink"/>
                <w:noProof/>
              </w:rPr>
              <w:t>A.</w:t>
            </w:r>
            <w:r w:rsidR="006068B0" w:rsidRPr="006068B0">
              <w:rPr>
                <w:rFonts w:eastAsiaTheme="minorEastAsia"/>
                <w:b w:val="0"/>
                <w:bCs w:val="0"/>
                <w:noProof/>
              </w:rPr>
              <w:tab/>
            </w:r>
            <w:r w:rsidR="006068B0" w:rsidRPr="006068B0">
              <w:rPr>
                <w:rStyle w:val="Hyperlink"/>
                <w:noProof/>
              </w:rPr>
              <w:t>Justification</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_Toc477443904 \h </w:instrText>
            </w:r>
            <w:r w:rsidR="006068B0" w:rsidRPr="006068B0">
              <w:rPr>
                <w:noProof/>
                <w:webHidden/>
              </w:rPr>
            </w:r>
            <w:r w:rsidR="006068B0" w:rsidRPr="006068B0">
              <w:rPr>
                <w:noProof/>
                <w:webHidden/>
              </w:rPr>
              <w:fldChar w:fldCharType="separate"/>
            </w:r>
            <w:r w:rsidR="00A369B8">
              <w:rPr>
                <w:noProof/>
                <w:webHidden/>
              </w:rPr>
              <w:t>3</w:t>
            </w:r>
            <w:r w:rsidR="006068B0" w:rsidRPr="006068B0">
              <w:rPr>
                <w:noProof/>
                <w:webHidden/>
              </w:rPr>
              <w:fldChar w:fldCharType="end"/>
            </w:r>
          </w:hyperlink>
        </w:p>
        <w:p w14:paraId="2F4FE6F5" w14:textId="0B307B08" w:rsidR="006068B0" w:rsidRPr="006068B0" w:rsidRDefault="00BF0CFE">
          <w:pPr>
            <w:pStyle w:val="TOC2"/>
            <w:tabs>
              <w:tab w:val="left" w:pos="720"/>
              <w:tab w:val="right" w:leader="dot" w:pos="9350"/>
            </w:tabs>
            <w:rPr>
              <w:rFonts w:eastAsiaTheme="minorEastAsia"/>
              <w:b w:val="0"/>
              <w:bCs w:val="0"/>
              <w:noProof/>
              <w:sz w:val="24"/>
              <w:szCs w:val="24"/>
            </w:rPr>
          </w:pPr>
          <w:hyperlink w:anchor="_Toc477443905" w:history="1">
            <w:r w:rsidR="006068B0" w:rsidRPr="006068B0">
              <w:rPr>
                <w:rStyle w:val="Hyperlink"/>
                <w:noProof/>
              </w:rPr>
              <w:t>1.</w:t>
            </w:r>
            <w:r w:rsidR="006068B0" w:rsidRPr="006068B0">
              <w:rPr>
                <w:rFonts w:eastAsiaTheme="minorEastAsia"/>
                <w:b w:val="0"/>
                <w:bCs w:val="0"/>
                <w:noProof/>
                <w:sz w:val="24"/>
                <w:szCs w:val="24"/>
              </w:rPr>
              <w:tab/>
            </w:r>
            <w:r w:rsidR="006068B0" w:rsidRPr="006068B0">
              <w:rPr>
                <w:rStyle w:val="Hyperlink"/>
                <w:noProof/>
              </w:rPr>
              <w:t>Circumstances Making the Collection of Information Necessary</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_Toc477443905 \h </w:instrText>
            </w:r>
            <w:r w:rsidR="006068B0" w:rsidRPr="006068B0">
              <w:rPr>
                <w:noProof/>
                <w:webHidden/>
              </w:rPr>
            </w:r>
            <w:r w:rsidR="006068B0" w:rsidRPr="006068B0">
              <w:rPr>
                <w:noProof/>
                <w:webHidden/>
              </w:rPr>
              <w:fldChar w:fldCharType="separate"/>
            </w:r>
            <w:r w:rsidR="00A369B8">
              <w:rPr>
                <w:noProof/>
                <w:webHidden/>
              </w:rPr>
              <w:t>3</w:t>
            </w:r>
            <w:r w:rsidR="006068B0" w:rsidRPr="006068B0">
              <w:rPr>
                <w:noProof/>
                <w:webHidden/>
              </w:rPr>
              <w:fldChar w:fldCharType="end"/>
            </w:r>
          </w:hyperlink>
        </w:p>
        <w:p w14:paraId="275C054B" w14:textId="583441E2" w:rsidR="006068B0" w:rsidRPr="006068B0" w:rsidRDefault="00BF0CFE">
          <w:pPr>
            <w:pStyle w:val="TOC2"/>
            <w:tabs>
              <w:tab w:val="left" w:pos="720"/>
              <w:tab w:val="right" w:leader="dot" w:pos="9350"/>
            </w:tabs>
            <w:rPr>
              <w:rFonts w:eastAsiaTheme="minorEastAsia"/>
              <w:b w:val="0"/>
              <w:bCs w:val="0"/>
              <w:noProof/>
              <w:sz w:val="24"/>
              <w:szCs w:val="24"/>
            </w:rPr>
          </w:pPr>
          <w:hyperlink w:anchor="_Toc477443906" w:history="1">
            <w:r w:rsidR="006068B0" w:rsidRPr="006068B0">
              <w:rPr>
                <w:rStyle w:val="Hyperlink"/>
                <w:noProof/>
              </w:rPr>
              <w:t>2.</w:t>
            </w:r>
            <w:r w:rsidR="006068B0" w:rsidRPr="006068B0">
              <w:rPr>
                <w:rFonts w:eastAsiaTheme="minorEastAsia"/>
                <w:b w:val="0"/>
                <w:bCs w:val="0"/>
                <w:noProof/>
                <w:sz w:val="24"/>
                <w:szCs w:val="24"/>
              </w:rPr>
              <w:tab/>
            </w:r>
            <w:r w:rsidR="006068B0" w:rsidRPr="006068B0">
              <w:rPr>
                <w:rStyle w:val="Hyperlink"/>
                <w:noProof/>
              </w:rPr>
              <w:t>Purpose and Use of the Information Collection</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_Toc477443906 \h </w:instrText>
            </w:r>
            <w:r w:rsidR="006068B0" w:rsidRPr="006068B0">
              <w:rPr>
                <w:noProof/>
                <w:webHidden/>
              </w:rPr>
            </w:r>
            <w:r w:rsidR="006068B0" w:rsidRPr="006068B0">
              <w:rPr>
                <w:noProof/>
                <w:webHidden/>
              </w:rPr>
              <w:fldChar w:fldCharType="separate"/>
            </w:r>
            <w:r w:rsidR="00A369B8">
              <w:rPr>
                <w:noProof/>
                <w:webHidden/>
              </w:rPr>
              <w:t>4</w:t>
            </w:r>
            <w:r w:rsidR="006068B0" w:rsidRPr="006068B0">
              <w:rPr>
                <w:noProof/>
                <w:webHidden/>
              </w:rPr>
              <w:fldChar w:fldCharType="end"/>
            </w:r>
          </w:hyperlink>
        </w:p>
        <w:p w14:paraId="1043E23E" w14:textId="422BA71F" w:rsidR="006068B0" w:rsidRPr="006068B0" w:rsidRDefault="00BF0CFE">
          <w:pPr>
            <w:pStyle w:val="TOC2"/>
            <w:tabs>
              <w:tab w:val="left" w:pos="720"/>
              <w:tab w:val="right" w:leader="dot" w:pos="9350"/>
            </w:tabs>
            <w:rPr>
              <w:rFonts w:eastAsiaTheme="minorEastAsia"/>
              <w:b w:val="0"/>
              <w:bCs w:val="0"/>
              <w:noProof/>
              <w:sz w:val="24"/>
              <w:szCs w:val="24"/>
            </w:rPr>
          </w:pPr>
          <w:hyperlink w:anchor="_Toc477443907" w:history="1">
            <w:r w:rsidR="006068B0" w:rsidRPr="006068B0">
              <w:rPr>
                <w:rStyle w:val="Hyperlink"/>
                <w:noProof/>
              </w:rPr>
              <w:t>3.</w:t>
            </w:r>
            <w:r w:rsidR="006068B0" w:rsidRPr="006068B0">
              <w:rPr>
                <w:rFonts w:eastAsiaTheme="minorEastAsia"/>
                <w:b w:val="0"/>
                <w:bCs w:val="0"/>
                <w:noProof/>
                <w:sz w:val="24"/>
                <w:szCs w:val="24"/>
              </w:rPr>
              <w:tab/>
            </w:r>
            <w:r w:rsidR="006068B0" w:rsidRPr="006068B0">
              <w:rPr>
                <w:rStyle w:val="Hyperlink"/>
                <w:noProof/>
              </w:rPr>
              <w:t>Use of Improved Information Technology and Burden Reduction</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_Toc477443907 \h </w:instrText>
            </w:r>
            <w:r w:rsidR="006068B0" w:rsidRPr="006068B0">
              <w:rPr>
                <w:noProof/>
                <w:webHidden/>
              </w:rPr>
            </w:r>
            <w:r w:rsidR="006068B0" w:rsidRPr="006068B0">
              <w:rPr>
                <w:noProof/>
                <w:webHidden/>
              </w:rPr>
              <w:fldChar w:fldCharType="separate"/>
            </w:r>
            <w:r w:rsidR="00A369B8">
              <w:rPr>
                <w:noProof/>
                <w:webHidden/>
              </w:rPr>
              <w:t>4</w:t>
            </w:r>
            <w:r w:rsidR="006068B0" w:rsidRPr="006068B0">
              <w:rPr>
                <w:noProof/>
                <w:webHidden/>
              </w:rPr>
              <w:fldChar w:fldCharType="end"/>
            </w:r>
          </w:hyperlink>
        </w:p>
        <w:p w14:paraId="174B2FC1" w14:textId="52E50173" w:rsidR="006068B0" w:rsidRPr="006068B0" w:rsidRDefault="00BF0CFE">
          <w:pPr>
            <w:pStyle w:val="TOC2"/>
            <w:tabs>
              <w:tab w:val="left" w:pos="720"/>
              <w:tab w:val="right" w:leader="dot" w:pos="9350"/>
            </w:tabs>
            <w:rPr>
              <w:rFonts w:eastAsiaTheme="minorEastAsia"/>
              <w:b w:val="0"/>
              <w:bCs w:val="0"/>
              <w:noProof/>
              <w:sz w:val="24"/>
              <w:szCs w:val="24"/>
            </w:rPr>
          </w:pPr>
          <w:hyperlink w:anchor="_Toc477443908" w:history="1">
            <w:r w:rsidR="006068B0" w:rsidRPr="006068B0">
              <w:rPr>
                <w:rStyle w:val="Hyperlink"/>
                <w:noProof/>
              </w:rPr>
              <w:t>4.</w:t>
            </w:r>
            <w:r w:rsidR="006068B0" w:rsidRPr="006068B0">
              <w:rPr>
                <w:rFonts w:eastAsiaTheme="minorEastAsia"/>
                <w:b w:val="0"/>
                <w:bCs w:val="0"/>
                <w:noProof/>
                <w:sz w:val="24"/>
                <w:szCs w:val="24"/>
              </w:rPr>
              <w:tab/>
            </w:r>
            <w:r w:rsidR="006068B0" w:rsidRPr="006068B0">
              <w:rPr>
                <w:rStyle w:val="Hyperlink"/>
                <w:noProof/>
              </w:rPr>
              <w:t>Efforts to Identify Duplication and Use of Similar Information</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_Toc477443908 \h </w:instrText>
            </w:r>
            <w:r w:rsidR="006068B0" w:rsidRPr="006068B0">
              <w:rPr>
                <w:noProof/>
                <w:webHidden/>
              </w:rPr>
            </w:r>
            <w:r w:rsidR="006068B0" w:rsidRPr="006068B0">
              <w:rPr>
                <w:noProof/>
                <w:webHidden/>
              </w:rPr>
              <w:fldChar w:fldCharType="separate"/>
            </w:r>
            <w:r w:rsidR="00A369B8">
              <w:rPr>
                <w:noProof/>
                <w:webHidden/>
              </w:rPr>
              <w:t>4</w:t>
            </w:r>
            <w:r w:rsidR="006068B0" w:rsidRPr="006068B0">
              <w:rPr>
                <w:noProof/>
                <w:webHidden/>
              </w:rPr>
              <w:fldChar w:fldCharType="end"/>
            </w:r>
          </w:hyperlink>
        </w:p>
        <w:p w14:paraId="3A73C0AD" w14:textId="54A0B337" w:rsidR="006068B0" w:rsidRPr="006068B0" w:rsidRDefault="00BF0CFE">
          <w:pPr>
            <w:pStyle w:val="TOC2"/>
            <w:tabs>
              <w:tab w:val="left" w:pos="720"/>
              <w:tab w:val="right" w:leader="dot" w:pos="9350"/>
            </w:tabs>
            <w:rPr>
              <w:rFonts w:eastAsiaTheme="minorEastAsia"/>
              <w:b w:val="0"/>
              <w:bCs w:val="0"/>
              <w:noProof/>
              <w:sz w:val="24"/>
              <w:szCs w:val="24"/>
            </w:rPr>
          </w:pPr>
          <w:hyperlink w:anchor="_Toc477443909" w:history="1">
            <w:r w:rsidR="006068B0" w:rsidRPr="006068B0">
              <w:rPr>
                <w:rStyle w:val="Hyperlink"/>
                <w:noProof/>
              </w:rPr>
              <w:t>5.</w:t>
            </w:r>
            <w:r w:rsidR="006068B0" w:rsidRPr="006068B0">
              <w:rPr>
                <w:rFonts w:eastAsiaTheme="minorEastAsia"/>
                <w:b w:val="0"/>
                <w:bCs w:val="0"/>
                <w:noProof/>
                <w:sz w:val="24"/>
                <w:szCs w:val="24"/>
              </w:rPr>
              <w:tab/>
            </w:r>
            <w:r w:rsidR="006068B0" w:rsidRPr="006068B0">
              <w:rPr>
                <w:rStyle w:val="Hyperlink"/>
                <w:noProof/>
              </w:rPr>
              <w:t>Impact on Small Businesses and Other Small Entities</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_Toc477443909 \h </w:instrText>
            </w:r>
            <w:r w:rsidR="006068B0" w:rsidRPr="006068B0">
              <w:rPr>
                <w:noProof/>
                <w:webHidden/>
              </w:rPr>
            </w:r>
            <w:r w:rsidR="006068B0" w:rsidRPr="006068B0">
              <w:rPr>
                <w:noProof/>
                <w:webHidden/>
              </w:rPr>
              <w:fldChar w:fldCharType="separate"/>
            </w:r>
            <w:r w:rsidR="00A369B8">
              <w:rPr>
                <w:noProof/>
                <w:webHidden/>
              </w:rPr>
              <w:t>5</w:t>
            </w:r>
            <w:r w:rsidR="006068B0" w:rsidRPr="006068B0">
              <w:rPr>
                <w:noProof/>
                <w:webHidden/>
              </w:rPr>
              <w:fldChar w:fldCharType="end"/>
            </w:r>
          </w:hyperlink>
        </w:p>
        <w:p w14:paraId="05B38438" w14:textId="359EDAF4" w:rsidR="006068B0" w:rsidRPr="006068B0" w:rsidRDefault="00BF0CFE">
          <w:pPr>
            <w:pStyle w:val="TOC2"/>
            <w:tabs>
              <w:tab w:val="left" w:pos="720"/>
              <w:tab w:val="right" w:leader="dot" w:pos="9350"/>
            </w:tabs>
            <w:rPr>
              <w:rFonts w:eastAsiaTheme="minorEastAsia"/>
              <w:b w:val="0"/>
              <w:bCs w:val="0"/>
              <w:noProof/>
              <w:sz w:val="24"/>
              <w:szCs w:val="24"/>
            </w:rPr>
          </w:pPr>
          <w:hyperlink w:anchor="_Toc477443910" w:history="1">
            <w:r w:rsidR="006068B0" w:rsidRPr="006068B0">
              <w:rPr>
                <w:rStyle w:val="Hyperlink"/>
                <w:noProof/>
              </w:rPr>
              <w:t>6.</w:t>
            </w:r>
            <w:r w:rsidR="006068B0" w:rsidRPr="006068B0">
              <w:rPr>
                <w:rFonts w:eastAsiaTheme="minorEastAsia"/>
                <w:b w:val="0"/>
                <w:bCs w:val="0"/>
                <w:noProof/>
                <w:sz w:val="24"/>
                <w:szCs w:val="24"/>
              </w:rPr>
              <w:tab/>
            </w:r>
            <w:r w:rsidR="006068B0" w:rsidRPr="006068B0">
              <w:rPr>
                <w:rStyle w:val="Hyperlink"/>
                <w:noProof/>
              </w:rPr>
              <w:t>Consequences of Collection the Information Less Frequently</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_Toc477443910 \h </w:instrText>
            </w:r>
            <w:r w:rsidR="006068B0" w:rsidRPr="006068B0">
              <w:rPr>
                <w:noProof/>
                <w:webHidden/>
              </w:rPr>
            </w:r>
            <w:r w:rsidR="006068B0" w:rsidRPr="006068B0">
              <w:rPr>
                <w:noProof/>
                <w:webHidden/>
              </w:rPr>
              <w:fldChar w:fldCharType="separate"/>
            </w:r>
            <w:r w:rsidR="00A369B8">
              <w:rPr>
                <w:noProof/>
                <w:webHidden/>
              </w:rPr>
              <w:t>5</w:t>
            </w:r>
            <w:r w:rsidR="006068B0" w:rsidRPr="006068B0">
              <w:rPr>
                <w:noProof/>
                <w:webHidden/>
              </w:rPr>
              <w:fldChar w:fldCharType="end"/>
            </w:r>
          </w:hyperlink>
        </w:p>
        <w:p w14:paraId="52E403E0" w14:textId="59294477" w:rsidR="006068B0" w:rsidRPr="006068B0" w:rsidRDefault="00BF0CFE">
          <w:pPr>
            <w:pStyle w:val="TOC2"/>
            <w:tabs>
              <w:tab w:val="left" w:pos="720"/>
              <w:tab w:val="right" w:leader="dot" w:pos="9350"/>
            </w:tabs>
            <w:rPr>
              <w:rFonts w:eastAsiaTheme="minorEastAsia"/>
              <w:b w:val="0"/>
              <w:bCs w:val="0"/>
              <w:noProof/>
              <w:sz w:val="24"/>
              <w:szCs w:val="24"/>
            </w:rPr>
          </w:pPr>
          <w:hyperlink w:anchor="_Toc477443911" w:history="1">
            <w:r w:rsidR="006068B0" w:rsidRPr="006068B0">
              <w:rPr>
                <w:rStyle w:val="Hyperlink"/>
                <w:noProof/>
              </w:rPr>
              <w:t>7.</w:t>
            </w:r>
            <w:r w:rsidR="006068B0" w:rsidRPr="006068B0">
              <w:rPr>
                <w:rFonts w:eastAsiaTheme="minorEastAsia"/>
                <w:b w:val="0"/>
                <w:bCs w:val="0"/>
                <w:noProof/>
                <w:sz w:val="24"/>
                <w:szCs w:val="24"/>
              </w:rPr>
              <w:tab/>
            </w:r>
            <w:r w:rsidR="006068B0" w:rsidRPr="006068B0">
              <w:rPr>
                <w:rStyle w:val="Hyperlink"/>
                <w:noProof/>
              </w:rPr>
              <w:t>Special Circumstances Relating to the Guidelines of 5 CFR 1320.5</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_Toc477443911 \h </w:instrText>
            </w:r>
            <w:r w:rsidR="006068B0" w:rsidRPr="006068B0">
              <w:rPr>
                <w:noProof/>
                <w:webHidden/>
              </w:rPr>
            </w:r>
            <w:r w:rsidR="006068B0" w:rsidRPr="006068B0">
              <w:rPr>
                <w:noProof/>
                <w:webHidden/>
              </w:rPr>
              <w:fldChar w:fldCharType="separate"/>
            </w:r>
            <w:r w:rsidR="00A369B8">
              <w:rPr>
                <w:noProof/>
                <w:webHidden/>
              </w:rPr>
              <w:t>5</w:t>
            </w:r>
            <w:r w:rsidR="006068B0" w:rsidRPr="006068B0">
              <w:rPr>
                <w:noProof/>
                <w:webHidden/>
              </w:rPr>
              <w:fldChar w:fldCharType="end"/>
            </w:r>
          </w:hyperlink>
        </w:p>
        <w:p w14:paraId="107596AC" w14:textId="4EE521B8" w:rsidR="006068B0" w:rsidRPr="006068B0" w:rsidRDefault="00BF0CFE" w:rsidP="00922E9C">
          <w:pPr>
            <w:pStyle w:val="TOC2"/>
            <w:tabs>
              <w:tab w:val="left" w:pos="720"/>
              <w:tab w:val="right" w:leader="dot" w:pos="9350"/>
            </w:tabs>
            <w:ind w:left="720" w:hanging="480"/>
            <w:rPr>
              <w:rFonts w:eastAsiaTheme="minorEastAsia"/>
              <w:b w:val="0"/>
              <w:bCs w:val="0"/>
              <w:noProof/>
              <w:sz w:val="24"/>
              <w:szCs w:val="24"/>
            </w:rPr>
          </w:pPr>
          <w:hyperlink w:anchor="_Toc477443912" w:history="1">
            <w:r w:rsidR="006068B0" w:rsidRPr="006068B0">
              <w:rPr>
                <w:rStyle w:val="Hyperlink"/>
                <w:noProof/>
              </w:rPr>
              <w:t>8.</w:t>
            </w:r>
            <w:r w:rsidR="006068B0" w:rsidRPr="006068B0">
              <w:rPr>
                <w:rFonts w:eastAsiaTheme="minorEastAsia"/>
                <w:b w:val="0"/>
                <w:bCs w:val="0"/>
                <w:noProof/>
                <w:sz w:val="24"/>
                <w:szCs w:val="24"/>
              </w:rPr>
              <w:tab/>
            </w:r>
            <w:r w:rsidR="006068B0" w:rsidRPr="006068B0">
              <w:rPr>
                <w:rStyle w:val="Hyperlink"/>
                <w:noProof/>
              </w:rPr>
              <w:t xml:space="preserve">Comments in Response to the Federal Register Notice and Efforts to Consult Outside the </w:t>
            </w:r>
            <w:r w:rsidR="00922E9C">
              <w:rPr>
                <w:rStyle w:val="Hyperlink"/>
                <w:noProof/>
              </w:rPr>
              <w:t xml:space="preserve">    </w:t>
            </w:r>
            <w:r w:rsidR="006068B0" w:rsidRPr="006068B0">
              <w:rPr>
                <w:rStyle w:val="Hyperlink"/>
                <w:noProof/>
              </w:rPr>
              <w:t>Agency</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_Toc477443912 \h </w:instrText>
            </w:r>
            <w:r w:rsidR="006068B0" w:rsidRPr="006068B0">
              <w:rPr>
                <w:noProof/>
                <w:webHidden/>
              </w:rPr>
            </w:r>
            <w:r w:rsidR="006068B0" w:rsidRPr="006068B0">
              <w:rPr>
                <w:noProof/>
                <w:webHidden/>
              </w:rPr>
              <w:fldChar w:fldCharType="separate"/>
            </w:r>
            <w:r w:rsidR="00A369B8">
              <w:rPr>
                <w:noProof/>
                <w:webHidden/>
              </w:rPr>
              <w:t>5</w:t>
            </w:r>
            <w:r w:rsidR="006068B0" w:rsidRPr="006068B0">
              <w:rPr>
                <w:noProof/>
                <w:webHidden/>
              </w:rPr>
              <w:fldChar w:fldCharType="end"/>
            </w:r>
          </w:hyperlink>
        </w:p>
        <w:p w14:paraId="0A22065A" w14:textId="3EE9182B" w:rsidR="006068B0" w:rsidRPr="006068B0" w:rsidRDefault="00BF0CFE">
          <w:pPr>
            <w:pStyle w:val="TOC2"/>
            <w:tabs>
              <w:tab w:val="left" w:pos="720"/>
              <w:tab w:val="right" w:leader="dot" w:pos="9350"/>
            </w:tabs>
            <w:rPr>
              <w:rFonts w:eastAsiaTheme="minorEastAsia"/>
              <w:b w:val="0"/>
              <w:bCs w:val="0"/>
              <w:noProof/>
              <w:sz w:val="24"/>
              <w:szCs w:val="24"/>
            </w:rPr>
          </w:pPr>
          <w:hyperlink w:anchor="_Toc477443913" w:history="1">
            <w:r w:rsidR="006068B0" w:rsidRPr="006068B0">
              <w:rPr>
                <w:rStyle w:val="Hyperlink"/>
                <w:noProof/>
              </w:rPr>
              <w:t>9.</w:t>
            </w:r>
            <w:r w:rsidR="006068B0" w:rsidRPr="006068B0">
              <w:rPr>
                <w:rFonts w:eastAsiaTheme="minorEastAsia"/>
                <w:b w:val="0"/>
                <w:bCs w:val="0"/>
                <w:noProof/>
                <w:sz w:val="24"/>
                <w:szCs w:val="24"/>
              </w:rPr>
              <w:tab/>
            </w:r>
            <w:r w:rsidR="006068B0" w:rsidRPr="006068B0">
              <w:rPr>
                <w:rStyle w:val="Hyperlink"/>
                <w:noProof/>
              </w:rPr>
              <w:t>Explanation of Any Payment of Gift to Respondents</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_Toc477443913 \h </w:instrText>
            </w:r>
            <w:r w:rsidR="006068B0" w:rsidRPr="006068B0">
              <w:rPr>
                <w:noProof/>
                <w:webHidden/>
              </w:rPr>
            </w:r>
            <w:r w:rsidR="006068B0" w:rsidRPr="006068B0">
              <w:rPr>
                <w:noProof/>
                <w:webHidden/>
              </w:rPr>
              <w:fldChar w:fldCharType="separate"/>
            </w:r>
            <w:r w:rsidR="00A369B8">
              <w:rPr>
                <w:noProof/>
                <w:webHidden/>
              </w:rPr>
              <w:t>5</w:t>
            </w:r>
            <w:r w:rsidR="006068B0" w:rsidRPr="006068B0">
              <w:rPr>
                <w:noProof/>
                <w:webHidden/>
              </w:rPr>
              <w:fldChar w:fldCharType="end"/>
            </w:r>
          </w:hyperlink>
        </w:p>
        <w:p w14:paraId="565A5135" w14:textId="6F3AE90B" w:rsidR="006068B0" w:rsidRPr="006068B0" w:rsidRDefault="00BF0CFE">
          <w:pPr>
            <w:pStyle w:val="TOC2"/>
            <w:tabs>
              <w:tab w:val="left" w:pos="960"/>
              <w:tab w:val="right" w:leader="dot" w:pos="9350"/>
            </w:tabs>
            <w:rPr>
              <w:rFonts w:eastAsiaTheme="minorEastAsia"/>
              <w:b w:val="0"/>
              <w:bCs w:val="0"/>
              <w:noProof/>
              <w:sz w:val="24"/>
              <w:szCs w:val="24"/>
            </w:rPr>
          </w:pPr>
          <w:hyperlink w:anchor="_Toc477443914" w:history="1">
            <w:r w:rsidR="006068B0" w:rsidRPr="006068B0">
              <w:rPr>
                <w:rStyle w:val="Hyperlink"/>
                <w:noProof/>
              </w:rPr>
              <w:t>10.</w:t>
            </w:r>
            <w:r w:rsidR="00922E9C">
              <w:rPr>
                <w:rStyle w:val="Hyperlink"/>
                <w:noProof/>
              </w:rPr>
              <w:t xml:space="preserve">    </w:t>
            </w:r>
            <w:r w:rsidR="006A6823" w:rsidRPr="006A6823">
              <w:rPr>
                <w:rStyle w:val="Hyperlink"/>
                <w:noProof/>
              </w:rPr>
              <w:t>Protection of the Privacy and Confidentiality of Information Provided by Respondents</w:t>
            </w:r>
            <w:r w:rsidR="006A6823">
              <w:rPr>
                <w:rStyle w:val="Hyperlink"/>
                <w:noProof/>
              </w:rPr>
              <w:t>……</w:t>
            </w:r>
            <w:r w:rsidR="00922E9C">
              <w:rPr>
                <w:rStyle w:val="Hyperlink"/>
                <w:noProof/>
              </w:rPr>
              <w:t>…..</w:t>
            </w:r>
            <w:r w:rsidR="006A6823">
              <w:rPr>
                <w:rStyle w:val="Hyperlink"/>
                <w:noProof/>
              </w:rPr>
              <w:t xml:space="preserve">..6 </w:t>
            </w:r>
          </w:hyperlink>
        </w:p>
        <w:p w14:paraId="61EA4607" w14:textId="3F2EFCF9" w:rsidR="006068B0" w:rsidRPr="006068B0" w:rsidRDefault="00BF0CFE">
          <w:pPr>
            <w:pStyle w:val="TOC2"/>
            <w:tabs>
              <w:tab w:val="left" w:pos="960"/>
              <w:tab w:val="right" w:leader="dot" w:pos="9350"/>
            </w:tabs>
            <w:rPr>
              <w:rFonts w:eastAsiaTheme="minorEastAsia"/>
              <w:b w:val="0"/>
              <w:bCs w:val="0"/>
              <w:noProof/>
              <w:sz w:val="24"/>
              <w:szCs w:val="24"/>
            </w:rPr>
          </w:pPr>
          <w:hyperlink w:anchor="_Toc477443915" w:history="1">
            <w:r w:rsidR="006068B0" w:rsidRPr="006068B0">
              <w:rPr>
                <w:rStyle w:val="Hyperlink"/>
                <w:noProof/>
              </w:rPr>
              <w:t>11.</w:t>
            </w:r>
            <w:r w:rsidR="00922E9C">
              <w:rPr>
                <w:rStyle w:val="Hyperlink"/>
                <w:noProof/>
              </w:rPr>
              <w:t xml:space="preserve">    </w:t>
            </w:r>
            <w:r w:rsidR="006A6823" w:rsidRPr="006A6823">
              <w:rPr>
                <w:rStyle w:val="Hyperlink"/>
                <w:noProof/>
              </w:rPr>
              <w:t>Institutional Review Board and Justification for Sensitive Questions</w:t>
            </w:r>
            <w:r w:rsidR="00922E9C">
              <w:rPr>
                <w:rStyle w:val="Hyperlink"/>
                <w:noProof/>
              </w:rPr>
              <w:t>………………...........……………</w:t>
            </w:r>
            <w:r w:rsidR="006068B0" w:rsidRPr="006068B0">
              <w:rPr>
                <w:noProof/>
                <w:webHidden/>
              </w:rPr>
              <w:fldChar w:fldCharType="begin"/>
            </w:r>
            <w:r w:rsidR="006068B0" w:rsidRPr="006068B0">
              <w:rPr>
                <w:noProof/>
                <w:webHidden/>
              </w:rPr>
              <w:instrText xml:space="preserve"> PAGEREF _Toc477443915 \h </w:instrText>
            </w:r>
            <w:r w:rsidR="006068B0" w:rsidRPr="006068B0">
              <w:rPr>
                <w:noProof/>
                <w:webHidden/>
              </w:rPr>
            </w:r>
            <w:r w:rsidR="006068B0" w:rsidRPr="006068B0">
              <w:rPr>
                <w:noProof/>
                <w:webHidden/>
              </w:rPr>
              <w:fldChar w:fldCharType="separate"/>
            </w:r>
            <w:r w:rsidR="00A369B8">
              <w:rPr>
                <w:noProof/>
                <w:webHidden/>
              </w:rPr>
              <w:t>6</w:t>
            </w:r>
            <w:r w:rsidR="006068B0" w:rsidRPr="006068B0">
              <w:rPr>
                <w:noProof/>
                <w:webHidden/>
              </w:rPr>
              <w:fldChar w:fldCharType="end"/>
            </w:r>
          </w:hyperlink>
        </w:p>
        <w:p w14:paraId="738D6A55" w14:textId="00BDAC19" w:rsidR="006068B0" w:rsidRPr="006068B0" w:rsidRDefault="00BF0CFE">
          <w:pPr>
            <w:pStyle w:val="TOC2"/>
            <w:tabs>
              <w:tab w:val="left" w:pos="960"/>
              <w:tab w:val="right" w:leader="dot" w:pos="9350"/>
            </w:tabs>
            <w:rPr>
              <w:rFonts w:eastAsiaTheme="minorEastAsia"/>
              <w:b w:val="0"/>
              <w:bCs w:val="0"/>
              <w:noProof/>
              <w:sz w:val="24"/>
              <w:szCs w:val="24"/>
            </w:rPr>
          </w:pPr>
          <w:hyperlink w:anchor="_Toc477443916" w:history="1">
            <w:r w:rsidR="006068B0" w:rsidRPr="006068B0">
              <w:rPr>
                <w:rStyle w:val="Hyperlink"/>
                <w:noProof/>
              </w:rPr>
              <w:t>12.</w:t>
            </w:r>
            <w:r w:rsidR="00922E9C">
              <w:rPr>
                <w:rFonts w:eastAsiaTheme="minorEastAsia"/>
                <w:b w:val="0"/>
                <w:bCs w:val="0"/>
                <w:noProof/>
                <w:sz w:val="24"/>
                <w:szCs w:val="24"/>
              </w:rPr>
              <w:t xml:space="preserve">    </w:t>
            </w:r>
            <w:r w:rsidR="006068B0" w:rsidRPr="006068B0">
              <w:rPr>
                <w:rStyle w:val="Hyperlink"/>
                <w:noProof/>
              </w:rPr>
              <w:t>Estimates of Annualized Burden Hours and Costs</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_Toc477443916 \h </w:instrText>
            </w:r>
            <w:r w:rsidR="006068B0" w:rsidRPr="006068B0">
              <w:rPr>
                <w:noProof/>
                <w:webHidden/>
              </w:rPr>
            </w:r>
            <w:r w:rsidR="006068B0" w:rsidRPr="006068B0">
              <w:rPr>
                <w:noProof/>
                <w:webHidden/>
              </w:rPr>
              <w:fldChar w:fldCharType="separate"/>
            </w:r>
            <w:r w:rsidR="00A369B8">
              <w:rPr>
                <w:noProof/>
                <w:webHidden/>
              </w:rPr>
              <w:t>6</w:t>
            </w:r>
            <w:r w:rsidR="006068B0" w:rsidRPr="006068B0">
              <w:rPr>
                <w:noProof/>
                <w:webHidden/>
              </w:rPr>
              <w:fldChar w:fldCharType="end"/>
            </w:r>
          </w:hyperlink>
        </w:p>
        <w:p w14:paraId="13353F62" w14:textId="12AECC7F" w:rsidR="006068B0" w:rsidRPr="006068B0" w:rsidRDefault="00BF0CFE">
          <w:pPr>
            <w:pStyle w:val="TOC2"/>
            <w:tabs>
              <w:tab w:val="left" w:pos="960"/>
              <w:tab w:val="right" w:leader="dot" w:pos="9350"/>
            </w:tabs>
            <w:rPr>
              <w:rFonts w:eastAsiaTheme="minorEastAsia"/>
              <w:b w:val="0"/>
              <w:bCs w:val="0"/>
              <w:noProof/>
              <w:sz w:val="24"/>
              <w:szCs w:val="24"/>
            </w:rPr>
          </w:pPr>
          <w:hyperlink w:anchor="_Toc477443917" w:history="1">
            <w:r w:rsidR="006068B0" w:rsidRPr="006068B0">
              <w:rPr>
                <w:rStyle w:val="Hyperlink"/>
                <w:noProof/>
              </w:rPr>
              <w:t>13.</w:t>
            </w:r>
            <w:r w:rsidR="00922E9C">
              <w:rPr>
                <w:rFonts w:eastAsiaTheme="minorEastAsia"/>
                <w:b w:val="0"/>
                <w:bCs w:val="0"/>
                <w:noProof/>
                <w:sz w:val="24"/>
                <w:szCs w:val="24"/>
              </w:rPr>
              <w:t xml:space="preserve">    </w:t>
            </w:r>
            <w:r w:rsidR="006068B0" w:rsidRPr="006068B0">
              <w:rPr>
                <w:rStyle w:val="Hyperlink"/>
                <w:noProof/>
              </w:rPr>
              <w:t>Estimates of Other Total Annual Cost Burden to Respondents and Record Keepers</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_Toc477443917 \h </w:instrText>
            </w:r>
            <w:r w:rsidR="006068B0" w:rsidRPr="006068B0">
              <w:rPr>
                <w:noProof/>
                <w:webHidden/>
              </w:rPr>
            </w:r>
            <w:r w:rsidR="006068B0" w:rsidRPr="006068B0">
              <w:rPr>
                <w:noProof/>
                <w:webHidden/>
              </w:rPr>
              <w:fldChar w:fldCharType="separate"/>
            </w:r>
            <w:r w:rsidR="00A369B8">
              <w:rPr>
                <w:noProof/>
                <w:webHidden/>
              </w:rPr>
              <w:t>8</w:t>
            </w:r>
            <w:r w:rsidR="006068B0" w:rsidRPr="006068B0">
              <w:rPr>
                <w:noProof/>
                <w:webHidden/>
              </w:rPr>
              <w:fldChar w:fldCharType="end"/>
            </w:r>
          </w:hyperlink>
        </w:p>
        <w:p w14:paraId="7CCD59DB" w14:textId="33A2E4DC" w:rsidR="006068B0" w:rsidRPr="006068B0" w:rsidRDefault="00BF0CFE">
          <w:pPr>
            <w:pStyle w:val="TOC2"/>
            <w:tabs>
              <w:tab w:val="left" w:pos="960"/>
              <w:tab w:val="right" w:leader="dot" w:pos="9350"/>
            </w:tabs>
            <w:rPr>
              <w:rFonts w:eastAsiaTheme="minorEastAsia"/>
              <w:b w:val="0"/>
              <w:bCs w:val="0"/>
              <w:noProof/>
              <w:sz w:val="24"/>
              <w:szCs w:val="24"/>
            </w:rPr>
          </w:pPr>
          <w:hyperlink w:anchor="_Toc477443918" w:history="1">
            <w:r w:rsidR="006068B0" w:rsidRPr="006068B0">
              <w:rPr>
                <w:rStyle w:val="Hyperlink"/>
                <w:noProof/>
              </w:rPr>
              <w:t>14.</w:t>
            </w:r>
            <w:r w:rsidR="00922E9C">
              <w:rPr>
                <w:rFonts w:eastAsiaTheme="minorEastAsia"/>
                <w:b w:val="0"/>
                <w:bCs w:val="0"/>
                <w:noProof/>
                <w:sz w:val="24"/>
                <w:szCs w:val="24"/>
              </w:rPr>
              <w:t xml:space="preserve">    </w:t>
            </w:r>
            <w:r w:rsidR="006068B0" w:rsidRPr="006068B0">
              <w:rPr>
                <w:rStyle w:val="Hyperlink"/>
                <w:noProof/>
              </w:rPr>
              <w:t>Annualized Cost to the Federal Government</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_Toc477443918 \h </w:instrText>
            </w:r>
            <w:r w:rsidR="006068B0" w:rsidRPr="006068B0">
              <w:rPr>
                <w:noProof/>
                <w:webHidden/>
              </w:rPr>
            </w:r>
            <w:r w:rsidR="006068B0" w:rsidRPr="006068B0">
              <w:rPr>
                <w:noProof/>
                <w:webHidden/>
              </w:rPr>
              <w:fldChar w:fldCharType="separate"/>
            </w:r>
            <w:r w:rsidR="00A369B8">
              <w:rPr>
                <w:noProof/>
                <w:webHidden/>
              </w:rPr>
              <w:t>8</w:t>
            </w:r>
            <w:r w:rsidR="006068B0" w:rsidRPr="006068B0">
              <w:rPr>
                <w:noProof/>
                <w:webHidden/>
              </w:rPr>
              <w:fldChar w:fldCharType="end"/>
            </w:r>
          </w:hyperlink>
        </w:p>
        <w:p w14:paraId="6CFD1CCB" w14:textId="078DD9D2" w:rsidR="006068B0" w:rsidRPr="006068B0" w:rsidRDefault="00BF0CFE">
          <w:pPr>
            <w:pStyle w:val="TOC2"/>
            <w:tabs>
              <w:tab w:val="left" w:pos="960"/>
              <w:tab w:val="right" w:leader="dot" w:pos="9350"/>
            </w:tabs>
            <w:rPr>
              <w:rFonts w:eastAsiaTheme="minorEastAsia"/>
              <w:b w:val="0"/>
              <w:bCs w:val="0"/>
              <w:noProof/>
              <w:sz w:val="24"/>
              <w:szCs w:val="24"/>
            </w:rPr>
          </w:pPr>
          <w:hyperlink w:anchor="_Toc477443919" w:history="1">
            <w:r w:rsidR="006068B0" w:rsidRPr="006068B0">
              <w:rPr>
                <w:rStyle w:val="Hyperlink"/>
                <w:noProof/>
              </w:rPr>
              <w:t>15.</w:t>
            </w:r>
            <w:r w:rsidR="00922E9C">
              <w:rPr>
                <w:rFonts w:eastAsiaTheme="minorEastAsia"/>
                <w:b w:val="0"/>
                <w:bCs w:val="0"/>
                <w:noProof/>
                <w:sz w:val="24"/>
                <w:szCs w:val="24"/>
              </w:rPr>
              <w:t xml:space="preserve">    </w:t>
            </w:r>
            <w:r w:rsidR="006068B0" w:rsidRPr="006068B0">
              <w:rPr>
                <w:rStyle w:val="Hyperlink"/>
                <w:noProof/>
              </w:rPr>
              <w:t>Explanation for Program Changes or Adjustments</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_Toc477443919 \h </w:instrText>
            </w:r>
            <w:r w:rsidR="006068B0" w:rsidRPr="006068B0">
              <w:rPr>
                <w:noProof/>
                <w:webHidden/>
              </w:rPr>
            </w:r>
            <w:r w:rsidR="006068B0" w:rsidRPr="006068B0">
              <w:rPr>
                <w:noProof/>
                <w:webHidden/>
              </w:rPr>
              <w:fldChar w:fldCharType="separate"/>
            </w:r>
            <w:r w:rsidR="00A369B8">
              <w:rPr>
                <w:noProof/>
                <w:webHidden/>
              </w:rPr>
              <w:t>9</w:t>
            </w:r>
            <w:r w:rsidR="006068B0" w:rsidRPr="006068B0">
              <w:rPr>
                <w:noProof/>
                <w:webHidden/>
              </w:rPr>
              <w:fldChar w:fldCharType="end"/>
            </w:r>
          </w:hyperlink>
        </w:p>
        <w:p w14:paraId="454689DD" w14:textId="5AB3B665" w:rsidR="006068B0" w:rsidRPr="006068B0" w:rsidRDefault="00BF0CFE">
          <w:pPr>
            <w:pStyle w:val="TOC2"/>
            <w:tabs>
              <w:tab w:val="left" w:pos="960"/>
              <w:tab w:val="right" w:leader="dot" w:pos="9350"/>
            </w:tabs>
            <w:rPr>
              <w:rFonts w:eastAsiaTheme="minorEastAsia"/>
              <w:b w:val="0"/>
              <w:bCs w:val="0"/>
              <w:noProof/>
              <w:sz w:val="24"/>
              <w:szCs w:val="24"/>
            </w:rPr>
          </w:pPr>
          <w:hyperlink w:anchor="_Toc477443920" w:history="1">
            <w:r w:rsidR="006068B0" w:rsidRPr="006068B0">
              <w:rPr>
                <w:rStyle w:val="Hyperlink"/>
                <w:noProof/>
              </w:rPr>
              <w:t>16.</w:t>
            </w:r>
            <w:r w:rsidR="00922E9C">
              <w:rPr>
                <w:rFonts w:eastAsiaTheme="minorEastAsia"/>
                <w:b w:val="0"/>
                <w:bCs w:val="0"/>
                <w:noProof/>
                <w:sz w:val="24"/>
                <w:szCs w:val="24"/>
              </w:rPr>
              <w:t xml:space="preserve">    </w:t>
            </w:r>
            <w:r w:rsidR="006068B0" w:rsidRPr="006068B0">
              <w:rPr>
                <w:rStyle w:val="Hyperlink"/>
                <w:noProof/>
              </w:rPr>
              <w:t>Plans for Tabulation and Publication and Project Time Schedule</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_Toc477443920 \h </w:instrText>
            </w:r>
            <w:r w:rsidR="006068B0" w:rsidRPr="006068B0">
              <w:rPr>
                <w:noProof/>
                <w:webHidden/>
              </w:rPr>
            </w:r>
            <w:r w:rsidR="006068B0" w:rsidRPr="006068B0">
              <w:rPr>
                <w:noProof/>
                <w:webHidden/>
              </w:rPr>
              <w:fldChar w:fldCharType="separate"/>
            </w:r>
            <w:r w:rsidR="00A369B8">
              <w:rPr>
                <w:noProof/>
                <w:webHidden/>
              </w:rPr>
              <w:t>9</w:t>
            </w:r>
            <w:r w:rsidR="006068B0" w:rsidRPr="006068B0">
              <w:rPr>
                <w:noProof/>
                <w:webHidden/>
              </w:rPr>
              <w:fldChar w:fldCharType="end"/>
            </w:r>
          </w:hyperlink>
        </w:p>
        <w:p w14:paraId="3E23AF56" w14:textId="65F59A8C" w:rsidR="006068B0" w:rsidRPr="006068B0" w:rsidRDefault="00BF0CFE">
          <w:pPr>
            <w:pStyle w:val="TOC2"/>
            <w:tabs>
              <w:tab w:val="left" w:pos="960"/>
              <w:tab w:val="right" w:leader="dot" w:pos="9350"/>
            </w:tabs>
            <w:rPr>
              <w:rFonts w:eastAsiaTheme="minorEastAsia"/>
              <w:b w:val="0"/>
              <w:bCs w:val="0"/>
              <w:noProof/>
              <w:sz w:val="24"/>
              <w:szCs w:val="24"/>
            </w:rPr>
          </w:pPr>
          <w:hyperlink w:anchor="_Toc477443921" w:history="1">
            <w:r w:rsidR="006068B0" w:rsidRPr="006068B0">
              <w:rPr>
                <w:rStyle w:val="Hyperlink"/>
                <w:noProof/>
              </w:rPr>
              <w:t>17.</w:t>
            </w:r>
            <w:r w:rsidR="00922E9C">
              <w:rPr>
                <w:rFonts w:eastAsiaTheme="minorEastAsia"/>
                <w:b w:val="0"/>
                <w:bCs w:val="0"/>
                <w:noProof/>
                <w:sz w:val="24"/>
                <w:szCs w:val="24"/>
              </w:rPr>
              <w:t xml:space="preserve">    </w:t>
            </w:r>
            <w:r w:rsidR="006068B0" w:rsidRPr="006068B0">
              <w:rPr>
                <w:rStyle w:val="Hyperlink"/>
                <w:noProof/>
              </w:rPr>
              <w:t>Reason(s) display of OMB Expiration Date is Inappropriate</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_Toc477443921 \h </w:instrText>
            </w:r>
            <w:r w:rsidR="006068B0" w:rsidRPr="006068B0">
              <w:rPr>
                <w:noProof/>
                <w:webHidden/>
              </w:rPr>
            </w:r>
            <w:r w:rsidR="006068B0" w:rsidRPr="006068B0">
              <w:rPr>
                <w:noProof/>
                <w:webHidden/>
              </w:rPr>
              <w:fldChar w:fldCharType="separate"/>
            </w:r>
            <w:r w:rsidR="00A369B8">
              <w:rPr>
                <w:noProof/>
                <w:webHidden/>
              </w:rPr>
              <w:t>9</w:t>
            </w:r>
            <w:r w:rsidR="006068B0" w:rsidRPr="006068B0">
              <w:rPr>
                <w:noProof/>
                <w:webHidden/>
              </w:rPr>
              <w:fldChar w:fldCharType="end"/>
            </w:r>
          </w:hyperlink>
        </w:p>
        <w:p w14:paraId="7A0A5E17" w14:textId="50F7937C" w:rsidR="006068B0" w:rsidRPr="006068B0" w:rsidRDefault="00BF0CFE">
          <w:pPr>
            <w:pStyle w:val="TOC2"/>
            <w:tabs>
              <w:tab w:val="left" w:pos="960"/>
              <w:tab w:val="right" w:leader="dot" w:pos="9350"/>
            </w:tabs>
            <w:rPr>
              <w:rFonts w:eastAsiaTheme="minorEastAsia"/>
              <w:b w:val="0"/>
              <w:bCs w:val="0"/>
              <w:noProof/>
              <w:sz w:val="24"/>
              <w:szCs w:val="24"/>
            </w:rPr>
          </w:pPr>
          <w:hyperlink w:anchor="_Toc477443922" w:history="1">
            <w:r w:rsidR="006068B0" w:rsidRPr="006068B0">
              <w:rPr>
                <w:rStyle w:val="Hyperlink"/>
                <w:noProof/>
              </w:rPr>
              <w:t>18.</w:t>
            </w:r>
            <w:r w:rsidR="00922E9C">
              <w:rPr>
                <w:rFonts w:eastAsiaTheme="minorEastAsia"/>
                <w:b w:val="0"/>
                <w:bCs w:val="0"/>
                <w:noProof/>
                <w:sz w:val="24"/>
                <w:szCs w:val="24"/>
              </w:rPr>
              <w:t xml:space="preserve">    </w:t>
            </w:r>
            <w:r w:rsidR="006068B0" w:rsidRPr="006068B0">
              <w:rPr>
                <w:rStyle w:val="Hyperlink"/>
                <w:noProof/>
              </w:rPr>
              <w:t>Exceptions to Certification for Paperwork Reduction Act Submissions</w:t>
            </w:r>
            <w:r w:rsidR="006068B0" w:rsidRPr="006068B0">
              <w:rPr>
                <w:noProof/>
                <w:webHidden/>
              </w:rPr>
              <w:tab/>
            </w:r>
            <w:r w:rsidR="006068B0" w:rsidRPr="006068B0">
              <w:rPr>
                <w:noProof/>
                <w:webHidden/>
              </w:rPr>
              <w:fldChar w:fldCharType="begin"/>
            </w:r>
            <w:r w:rsidR="006068B0" w:rsidRPr="006068B0">
              <w:rPr>
                <w:noProof/>
                <w:webHidden/>
              </w:rPr>
              <w:instrText xml:space="preserve"> PAGEREF _Toc477443922 \h </w:instrText>
            </w:r>
            <w:r w:rsidR="006068B0" w:rsidRPr="006068B0">
              <w:rPr>
                <w:noProof/>
                <w:webHidden/>
              </w:rPr>
            </w:r>
            <w:r w:rsidR="006068B0" w:rsidRPr="006068B0">
              <w:rPr>
                <w:noProof/>
                <w:webHidden/>
              </w:rPr>
              <w:fldChar w:fldCharType="separate"/>
            </w:r>
            <w:r w:rsidR="00A369B8">
              <w:rPr>
                <w:noProof/>
                <w:webHidden/>
              </w:rPr>
              <w:t>10</w:t>
            </w:r>
            <w:r w:rsidR="006068B0" w:rsidRPr="006068B0">
              <w:rPr>
                <w:noProof/>
                <w:webHidden/>
              </w:rPr>
              <w:fldChar w:fldCharType="end"/>
            </w:r>
          </w:hyperlink>
        </w:p>
        <w:p w14:paraId="7318A9D2" w14:textId="77777777" w:rsidR="003140FA" w:rsidRPr="006068B0" w:rsidRDefault="003140FA" w:rsidP="003140FA">
          <w:r w:rsidRPr="006068B0">
            <w:rPr>
              <w:b/>
              <w:bCs/>
              <w:noProof/>
            </w:rPr>
            <w:fldChar w:fldCharType="end"/>
          </w:r>
        </w:p>
      </w:sdtContent>
    </w:sdt>
    <w:p w14:paraId="7AC88F1D" w14:textId="77777777" w:rsidR="006068B0" w:rsidRPr="006068B0" w:rsidRDefault="006068B0" w:rsidP="003140FA">
      <w:r w:rsidRPr="006068B0">
        <w:t>List of Attachments</w:t>
      </w:r>
    </w:p>
    <w:p w14:paraId="2D01A9E0" w14:textId="25C51802" w:rsidR="006068B0" w:rsidRDefault="006068B0" w:rsidP="003140FA"/>
    <w:p w14:paraId="08E79251" w14:textId="6FB0D5CE" w:rsidR="00D15A76" w:rsidRDefault="00D15A76" w:rsidP="00D15A76">
      <w:r>
        <w:t>Attachment A – Authorizing Legislation</w:t>
      </w:r>
    </w:p>
    <w:p w14:paraId="36E4F55C" w14:textId="77777777" w:rsidR="00D15A76" w:rsidRDefault="00D15A76" w:rsidP="00D15A76"/>
    <w:p w14:paraId="1536D5CD" w14:textId="61743E59" w:rsidR="00D15A76" w:rsidRDefault="00D15A76" w:rsidP="00D15A76">
      <w:r>
        <w:t>Attachment B – Published 60-Day Federal Register Notice</w:t>
      </w:r>
    </w:p>
    <w:p w14:paraId="66B1238F" w14:textId="77777777" w:rsidR="00D15A76" w:rsidRPr="006068B0" w:rsidRDefault="00D15A76" w:rsidP="003140FA"/>
    <w:p w14:paraId="6A48E710" w14:textId="3E7E8CBF" w:rsidR="006068B0" w:rsidRPr="006068B0" w:rsidRDefault="006068B0" w:rsidP="003140FA">
      <w:r w:rsidRPr="006068B0">
        <w:t xml:space="preserve">Attachment </w:t>
      </w:r>
      <w:r w:rsidR="00D15A76">
        <w:t>C</w:t>
      </w:r>
      <w:r w:rsidRPr="006068B0">
        <w:t xml:space="preserve"> – Key Informant Survey/Questionnaire</w:t>
      </w:r>
    </w:p>
    <w:p w14:paraId="53E3028B" w14:textId="77777777" w:rsidR="006068B0" w:rsidRPr="006068B0" w:rsidRDefault="006068B0" w:rsidP="003140FA"/>
    <w:p w14:paraId="559558CF" w14:textId="6ACEB60D" w:rsidR="00887B1E" w:rsidRDefault="006068B0" w:rsidP="003140FA">
      <w:r w:rsidRPr="006068B0">
        <w:t xml:space="preserve">Attachment </w:t>
      </w:r>
      <w:r w:rsidR="00D15A76">
        <w:t>D</w:t>
      </w:r>
      <w:r w:rsidRPr="006068B0">
        <w:t xml:space="preserve"> – </w:t>
      </w:r>
      <w:r w:rsidR="0085732F" w:rsidRPr="0085732F">
        <w:t>Community Emergency Preparedness Survey</w:t>
      </w:r>
    </w:p>
    <w:p w14:paraId="1BFE8D87" w14:textId="77777777" w:rsidR="00887B1E" w:rsidRDefault="00887B1E" w:rsidP="003140FA"/>
    <w:p w14:paraId="3F0E162F" w14:textId="77777777" w:rsidR="003966A6" w:rsidRDefault="00887B1E" w:rsidP="003140FA">
      <w:r>
        <w:t>Attachment</w:t>
      </w:r>
      <w:r w:rsidR="00D15A76">
        <w:t xml:space="preserve"> E</w:t>
      </w:r>
      <w:r>
        <w:t>—</w:t>
      </w:r>
      <w:r w:rsidR="00561C70">
        <w:t>Human Subject Research Exemption</w:t>
      </w:r>
      <w:r w:rsidR="003966A6">
        <w:t xml:space="preserve"> CDC</w:t>
      </w:r>
    </w:p>
    <w:p w14:paraId="42E76275" w14:textId="77777777" w:rsidR="003966A6" w:rsidRDefault="003966A6" w:rsidP="003140FA"/>
    <w:p w14:paraId="1437BFAC" w14:textId="6EB373F5" w:rsidR="003140FA" w:rsidRPr="006068B0" w:rsidRDefault="003966A6" w:rsidP="003140FA">
      <w:r>
        <w:t>Attachment E1 – Human Subject Research Exemption - LAC</w:t>
      </w:r>
      <w:r w:rsidR="003140FA" w:rsidRPr="006068B0">
        <w:br w:type="page"/>
      </w:r>
    </w:p>
    <w:p w14:paraId="39C0EFFE" w14:textId="2ACC47BA" w:rsidR="003140FA" w:rsidRPr="006068B0" w:rsidRDefault="003A46C2" w:rsidP="003140FA">
      <w:pPr>
        <w:pStyle w:val="Heading1"/>
        <w:numPr>
          <w:ilvl w:val="0"/>
          <w:numId w:val="1"/>
        </w:numPr>
        <w:spacing w:before="0"/>
        <w:rPr>
          <w:rFonts w:asciiTheme="minorHAnsi" w:hAnsiTheme="minorHAnsi"/>
        </w:rPr>
      </w:pPr>
      <w:bookmarkStart w:id="1" w:name="_Toc477443904"/>
      <w:r w:rsidRPr="003A46C2">
        <w:rPr>
          <w:rFonts w:asciiTheme="minorHAnsi" w:hAnsiTheme="minorHAnsi"/>
          <w:noProof/>
        </w:rPr>
        <w:lastRenderedPageBreak/>
        <mc:AlternateContent>
          <mc:Choice Requires="wps">
            <w:drawing>
              <wp:anchor distT="45720" distB="45720" distL="114300" distR="114300" simplePos="0" relativeHeight="251659264" behindDoc="0" locked="0" layoutInCell="1" allowOverlap="1" wp14:anchorId="79E874E5" wp14:editId="77420DAB">
                <wp:simplePos x="0" y="0"/>
                <wp:positionH relativeFrom="margin">
                  <wp:align>left</wp:align>
                </wp:positionH>
                <wp:positionV relativeFrom="paragraph">
                  <wp:posOffset>0</wp:posOffset>
                </wp:positionV>
                <wp:extent cx="6042660" cy="42595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4259580"/>
                        </a:xfrm>
                        <a:prstGeom prst="rect">
                          <a:avLst/>
                        </a:prstGeom>
                        <a:solidFill>
                          <a:srgbClr val="FFFFFF"/>
                        </a:solidFill>
                        <a:ln w="9525">
                          <a:solidFill>
                            <a:srgbClr val="000000"/>
                          </a:solidFill>
                          <a:miter lim="800000"/>
                          <a:headEnd/>
                          <a:tailEnd/>
                        </a:ln>
                      </wps:spPr>
                      <wps:txbx>
                        <w:txbxContent>
                          <w:p w14:paraId="05438D07" w14:textId="7499226A" w:rsidR="00AD6F62" w:rsidRDefault="00AD6F62" w:rsidP="003A46C2">
                            <w:pPr>
                              <w:pStyle w:val="ListParagraph"/>
                              <w:numPr>
                                <w:ilvl w:val="0"/>
                                <w:numId w:val="8"/>
                              </w:numPr>
                            </w:pPr>
                            <w:r>
                              <w:t xml:space="preserve">The goal of this study is </w:t>
                            </w:r>
                            <w:r w:rsidRPr="003A46C2">
                              <w:t xml:space="preserve">to </w:t>
                            </w:r>
                            <w:r w:rsidR="0072739E">
                              <w:t>develop and p</w:t>
                            </w:r>
                            <w:r w:rsidR="004D7A4C">
                              <w:t xml:space="preserve">erform a demonstration of the </w:t>
                            </w:r>
                            <w:r w:rsidR="004D7A4C" w:rsidRPr="00B748A9">
                              <w:t>Risk Assessment, Mapping and Planning (RAMP) Tool</w:t>
                            </w:r>
                            <w:r w:rsidR="004D7A4C">
                              <w:t xml:space="preserve"> for </w:t>
                            </w:r>
                            <w:r w:rsidR="004D7A4C" w:rsidRPr="00B748A9">
                              <w:t xml:space="preserve">public health and emergency management professionals </w:t>
                            </w:r>
                            <w:r w:rsidR="004D7A4C">
                              <w:t xml:space="preserve">in Los Angeles County, and to solicit feedback from stakeholders on the potential utility, implementation, and outcomes of the tool. A separate survey will also be conducted among the general public in LA county to assess their needs during emergency situations. </w:t>
                            </w:r>
                          </w:p>
                          <w:p w14:paraId="416788A2" w14:textId="09E0C066" w:rsidR="00AD6F62" w:rsidRDefault="00AD6F62" w:rsidP="00E73BED">
                            <w:pPr>
                              <w:pStyle w:val="ListParagraph"/>
                              <w:numPr>
                                <w:ilvl w:val="0"/>
                                <w:numId w:val="8"/>
                              </w:numPr>
                            </w:pPr>
                            <w:r w:rsidRPr="003A46C2">
                              <w:t xml:space="preserve">The information collected in this study will be used by Los Angeles County and CDC project scientists to develop and improve the </w:t>
                            </w:r>
                            <w:r w:rsidRPr="00E73BED">
                              <w:t xml:space="preserve">Risk Assessment, Mapping and Planning </w:t>
                            </w:r>
                            <w:r>
                              <w:t>(</w:t>
                            </w:r>
                            <w:r w:rsidRPr="003A46C2">
                              <w:t>RAMP</w:t>
                            </w:r>
                            <w:r>
                              <w:t>) Tool</w:t>
                            </w:r>
                            <w:r w:rsidRPr="003A46C2">
                              <w:t xml:space="preserve"> prototype for delivery to CDC and then perhaps, subsequently available to all national, state and local health departments for use in assessing specific hazards and developing hazard specific, community based readiness, response and recovery plans.</w:t>
                            </w:r>
                          </w:p>
                          <w:p w14:paraId="257E1997" w14:textId="5CBD824E" w:rsidR="00AD6F62" w:rsidRDefault="00AD6F62" w:rsidP="003A46C2">
                            <w:pPr>
                              <w:pStyle w:val="ListParagraph"/>
                              <w:numPr>
                                <w:ilvl w:val="0"/>
                                <w:numId w:val="8"/>
                              </w:numPr>
                            </w:pPr>
                            <w:r w:rsidRPr="003A46C2">
                              <w:t>A series of research and investigative steps will be used to: Determine how health and medical risk varies by hazard and geography; Determine hazard specific impacts to vulnerable populations; Develop a formula and methodology for assessing the community based impact of 40 specific hazards on Public Health, Healthcare and Mental Health services; and Development of a web-based RAMP Tool for assessing risk and developing emergency health and medical plans for jurisdictions in the United States.</w:t>
                            </w:r>
                          </w:p>
                          <w:p w14:paraId="47CF662F" w14:textId="736BC182" w:rsidR="00AD6F62" w:rsidRDefault="00AD6F62" w:rsidP="003A46C2">
                            <w:pPr>
                              <w:pStyle w:val="ListParagraph"/>
                              <w:numPr>
                                <w:ilvl w:val="0"/>
                                <w:numId w:val="8"/>
                              </w:numPr>
                            </w:pPr>
                            <w:r w:rsidRPr="003A46C2">
                              <w:t xml:space="preserve">Information </w:t>
                            </w:r>
                            <w:r>
                              <w:t xml:space="preserve">will be </w:t>
                            </w:r>
                            <w:r w:rsidRPr="003A46C2">
                              <w:t>collected from Los Angeles County Public Health Center Guests, Community Partner Stakeholders, and Community Residents.</w:t>
                            </w:r>
                          </w:p>
                          <w:p w14:paraId="1F854AD6" w14:textId="75EE0A18" w:rsidR="00AD6F62" w:rsidRPr="003A46C2" w:rsidRDefault="00AD6F62" w:rsidP="00A419FC">
                            <w:pPr>
                              <w:pStyle w:val="ListParagraph"/>
                              <w:numPr>
                                <w:ilvl w:val="0"/>
                                <w:numId w:val="8"/>
                              </w:numPr>
                            </w:pPr>
                            <w:r w:rsidRPr="00A419FC">
                              <w:t>Information collected be utilized to better understand the demographics of LA County residents and their needs in a disaster.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5.8pt;height:335.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">
                <v:textbox>
                  <w:txbxContent>
                    <w:p w14:paraId="05438D07" w14:textId="7499226A" w:rsidR="00AD6F62" w:rsidRDefault="00AD6F62" w:rsidP="003A46C2">
                      <w:pPr>
                        <w:pStyle w:val="ListParagraph"/>
                        <w:numPr>
                          <w:ilvl w:val="0"/>
                          <w:numId w:val="8"/>
                        </w:numPr>
                      </w:pPr>
                      <w:r>
                        <w:t xml:space="preserve">The goal of this study is </w:t>
                      </w:r>
                      <w:r w:rsidRPr="003A46C2">
                        <w:t xml:space="preserve">to </w:t>
                      </w:r>
                      <w:r w:rsidR="0072739E">
                        <w:t>develop and p</w:t>
                      </w:r>
                      <w:r w:rsidR="004D7A4C">
                        <w:t xml:space="preserve">erform a demonstration of the </w:t>
                      </w:r>
                      <w:r w:rsidR="004D7A4C" w:rsidRPr="00B748A9">
                        <w:t>Risk Assessment, Mapping and Planning (RAMP) Tool</w:t>
                      </w:r>
                      <w:r w:rsidR="004D7A4C">
                        <w:t xml:space="preserve"> for </w:t>
                      </w:r>
                      <w:r w:rsidR="004D7A4C" w:rsidRPr="00B748A9">
                        <w:t xml:space="preserve">public health and emergency management professionals </w:t>
                      </w:r>
                      <w:r w:rsidR="004D7A4C">
                        <w:t xml:space="preserve">in Los Angeles County, and to solicit feedback from stakeholders on the potential utility, implementation, and outcomes of the tool. A separate survey will also be conducted among the general public in LA county to assess their needs during emergency situations. </w:t>
                      </w:r>
                    </w:p>
                    <w:p w14:paraId="416788A2" w14:textId="09E0C066" w:rsidR="00AD6F62" w:rsidRDefault="00AD6F62" w:rsidP="00E73BED">
                      <w:pPr>
                        <w:pStyle w:val="ListParagraph"/>
                        <w:numPr>
                          <w:ilvl w:val="0"/>
                          <w:numId w:val="8"/>
                        </w:numPr>
                      </w:pPr>
                      <w:r w:rsidRPr="003A46C2">
                        <w:t xml:space="preserve">The information collected in this study will be used by Los Angeles County and CDC project scientists to develop and improve the </w:t>
                      </w:r>
                      <w:r w:rsidRPr="00E73BED">
                        <w:t xml:space="preserve">Risk Assessment, Mapping and Planning </w:t>
                      </w:r>
                      <w:r>
                        <w:t>(</w:t>
                      </w:r>
                      <w:r w:rsidRPr="003A46C2">
                        <w:t>RAMP</w:t>
                      </w:r>
                      <w:r>
                        <w:t>) Tool</w:t>
                      </w:r>
                      <w:r w:rsidRPr="003A46C2">
                        <w:t xml:space="preserve"> prototype for delivery to CDC and then perhaps, subsequently available to all national, state and local health departments for use in assessing specific hazards and developing hazard specific, community based readiness, response and recovery plans.</w:t>
                      </w:r>
                    </w:p>
                    <w:p w14:paraId="257E1997" w14:textId="5CBD824E" w:rsidR="00AD6F62" w:rsidRDefault="00AD6F62" w:rsidP="003A46C2">
                      <w:pPr>
                        <w:pStyle w:val="ListParagraph"/>
                        <w:numPr>
                          <w:ilvl w:val="0"/>
                          <w:numId w:val="8"/>
                        </w:numPr>
                      </w:pPr>
                      <w:r w:rsidRPr="003A46C2">
                        <w:t>A series of research and investigative steps will be used to: Determine how health and medical risk varies by hazard and geography; Determine hazard specific impacts to vulnerable populations; Develop a formula and methodology for assessing the community based impact of 40 specific hazards on Public Health, Healthcare and Mental Health services; and Development of a web-based RAMP Tool for assessing risk and developing emergency health and medical plans for jurisdictions in the United States.</w:t>
                      </w:r>
                    </w:p>
                    <w:p w14:paraId="47CF662F" w14:textId="736BC182" w:rsidR="00AD6F62" w:rsidRDefault="00AD6F62" w:rsidP="003A46C2">
                      <w:pPr>
                        <w:pStyle w:val="ListParagraph"/>
                        <w:numPr>
                          <w:ilvl w:val="0"/>
                          <w:numId w:val="8"/>
                        </w:numPr>
                      </w:pPr>
                      <w:r w:rsidRPr="003A46C2">
                        <w:t xml:space="preserve">Information </w:t>
                      </w:r>
                      <w:r>
                        <w:t xml:space="preserve">will be </w:t>
                      </w:r>
                      <w:r w:rsidRPr="003A46C2">
                        <w:t>collected from Los Angeles County Public Health Center Guests, Community Partner Stakeholders, and Community Residents.</w:t>
                      </w:r>
                    </w:p>
                    <w:p w14:paraId="1F854AD6" w14:textId="75EE0A18" w:rsidR="00AD6F62" w:rsidRPr="003A46C2" w:rsidRDefault="00AD6F62" w:rsidP="00A419FC">
                      <w:pPr>
                        <w:pStyle w:val="ListParagraph"/>
                        <w:numPr>
                          <w:ilvl w:val="0"/>
                          <w:numId w:val="8"/>
                        </w:numPr>
                      </w:pPr>
                      <w:r w:rsidRPr="00A419FC">
                        <w:t>Information collected be utilized to better understand the demographics of LA County residents and their needs in a disaster.</w:t>
                      </w:r>
                    </w:p>
                  </w:txbxContent>
                </v:textbox>
                <w10:wrap type="square" anchorx="margin"/>
              </v:shape>
            </w:pict>
          </mc:Fallback>
        </mc:AlternateContent>
      </w:r>
      <w:r w:rsidR="003140FA" w:rsidRPr="006068B0">
        <w:rPr>
          <w:rFonts w:asciiTheme="minorHAnsi" w:hAnsiTheme="minorHAnsi"/>
        </w:rPr>
        <w:t>Justification</w:t>
      </w:r>
      <w:bookmarkEnd w:id="1"/>
    </w:p>
    <w:p w14:paraId="39C3BA31" w14:textId="77777777" w:rsidR="003140FA" w:rsidRPr="006068B0" w:rsidRDefault="003140FA" w:rsidP="003140FA"/>
    <w:p w14:paraId="24CAB841" w14:textId="77777777" w:rsidR="003140FA" w:rsidRPr="006068B0" w:rsidRDefault="003140FA" w:rsidP="003140FA">
      <w:pPr>
        <w:pStyle w:val="Heading2"/>
        <w:spacing w:before="0"/>
        <w:ind w:left="360"/>
        <w:rPr>
          <w:rFonts w:asciiTheme="minorHAnsi" w:hAnsiTheme="minorHAnsi"/>
        </w:rPr>
      </w:pPr>
      <w:bookmarkStart w:id="2" w:name="_Toc477443905"/>
      <w:r w:rsidRPr="006068B0">
        <w:rPr>
          <w:rFonts w:asciiTheme="minorHAnsi" w:hAnsiTheme="minorHAnsi"/>
        </w:rPr>
        <w:t>Circumstances Making the Collection of Information Necessary</w:t>
      </w:r>
      <w:bookmarkEnd w:id="2"/>
    </w:p>
    <w:p w14:paraId="100B4FE9" w14:textId="77777777" w:rsidR="003140FA" w:rsidRPr="006068B0" w:rsidRDefault="003140FA" w:rsidP="003140FA"/>
    <w:p w14:paraId="1D055D43" w14:textId="2DCEBB74" w:rsidR="003140FA" w:rsidRPr="00B748A9" w:rsidRDefault="003140FA" w:rsidP="003140FA">
      <w:r w:rsidRPr="00B748A9">
        <w:t xml:space="preserve">The Centers for Disease Control (CDC) request a </w:t>
      </w:r>
      <w:r w:rsidR="00B748A9">
        <w:t>two</w:t>
      </w:r>
      <w:r w:rsidR="00B748A9" w:rsidRPr="00B748A9">
        <w:t xml:space="preserve"> </w:t>
      </w:r>
      <w:r w:rsidR="001F7D37" w:rsidRPr="00B748A9">
        <w:t xml:space="preserve">year </w:t>
      </w:r>
      <w:r w:rsidR="00D15A76" w:rsidRPr="00B748A9">
        <w:t>approval</w:t>
      </w:r>
      <w:r w:rsidRPr="00B748A9">
        <w:t xml:space="preserve"> from the Office of Management and Budget (OMB) for a new information collection request under the Paperwork Reduction Act of 1995 for examining the process and tools available </w:t>
      </w:r>
      <w:r w:rsidR="00136A49" w:rsidRPr="00B748A9">
        <w:t xml:space="preserve">to </w:t>
      </w:r>
      <w:r w:rsidRPr="00B748A9">
        <w:t xml:space="preserve">local public health departments </w:t>
      </w:r>
      <w:r w:rsidR="00136A49" w:rsidRPr="00B748A9">
        <w:t>to</w:t>
      </w:r>
      <w:r w:rsidRPr="00B748A9">
        <w:t xml:space="preserve"> better evaluate</w:t>
      </w:r>
      <w:r w:rsidR="000B1DD5" w:rsidRPr="00B748A9">
        <w:t>,</w:t>
      </w:r>
      <w:r w:rsidRPr="00B748A9">
        <w:t xml:space="preserve"> analyze</w:t>
      </w:r>
      <w:r w:rsidR="00136A49" w:rsidRPr="00B748A9">
        <w:t>, and plan for</w:t>
      </w:r>
      <w:r w:rsidRPr="00B748A9">
        <w:t xml:space="preserve"> public health emergencies and disasters.</w:t>
      </w:r>
    </w:p>
    <w:p w14:paraId="71D78EFB" w14:textId="77777777" w:rsidR="003140FA" w:rsidRPr="00B748A9" w:rsidRDefault="003140FA" w:rsidP="003140FA"/>
    <w:p w14:paraId="75952380" w14:textId="1641EFA8" w:rsidR="003140FA" w:rsidRPr="00B748A9" w:rsidRDefault="003140FA" w:rsidP="003140FA">
      <w:r w:rsidRPr="00B748A9">
        <w:t xml:space="preserve">This project will conduct </w:t>
      </w:r>
      <w:r w:rsidR="00EE6167">
        <w:t>qualitative</w:t>
      </w:r>
      <w:r w:rsidR="00EE6167" w:rsidRPr="00B748A9">
        <w:t xml:space="preserve"> </w:t>
      </w:r>
      <w:r w:rsidRPr="00B748A9">
        <w:t xml:space="preserve">research </w:t>
      </w:r>
      <w:r w:rsidR="00A748F5">
        <w:t>that will inform the</w:t>
      </w:r>
      <w:r w:rsidR="00A748F5" w:rsidRPr="00B748A9">
        <w:t xml:space="preserve"> </w:t>
      </w:r>
      <w:r w:rsidRPr="00B748A9">
        <w:t>develop</w:t>
      </w:r>
      <w:r w:rsidR="00A748F5">
        <w:t>ment of</w:t>
      </w:r>
      <w:r w:rsidRPr="00B748A9">
        <w:t xml:space="preserve"> a comprehensive methodology—and practical, software based Tool(s)</w:t>
      </w:r>
      <w:r w:rsidR="00EE6167">
        <w:t>, known as RAMP,</w:t>
      </w:r>
      <w:r w:rsidRPr="00B748A9">
        <w:t xml:space="preserve">—to empower local, state and national health agencies to identify, analyze, and depict health risks at the community level and enable the development of improved emergency plans, emergency response objectives and response capabilities that improve health outcomes and reduce health disparities in public health emergencies. </w:t>
      </w:r>
    </w:p>
    <w:p w14:paraId="757FCA20" w14:textId="77777777" w:rsidR="003140FA" w:rsidRPr="00B748A9" w:rsidRDefault="003140FA" w:rsidP="003140FA"/>
    <w:p w14:paraId="427A2BBB" w14:textId="15CFDCFC" w:rsidR="003140FA" w:rsidRPr="00B748A9" w:rsidRDefault="003140FA" w:rsidP="003140FA">
      <w:r w:rsidRPr="00B748A9">
        <w:t>A series of research and investigative steps</w:t>
      </w:r>
      <w:r w:rsidR="0072739E">
        <w:t>—through collection of qualitative data from state and local public health and emergency management professionals—</w:t>
      </w:r>
      <w:r w:rsidRPr="00B748A9">
        <w:t>will be used to</w:t>
      </w:r>
      <w:r w:rsidR="005F21D6">
        <w:t xml:space="preserve"> inform, determine and better understand issues, gaps and methodologies related to risk assessment, at-risk and vulnerable population groups, and hazard and community specific emergency </w:t>
      </w:r>
      <w:r w:rsidR="005F21D6">
        <w:lastRenderedPageBreak/>
        <w:t>response plans utilized by public health preparedness officials; specifically to</w:t>
      </w:r>
      <w:r w:rsidRPr="00B748A9">
        <w:t xml:space="preserve">: Determine how health and medical risk varies by hazard and geography; Determine hazard specific impacts to vulnerable populations; Develop a formula and methodology for assessing </w:t>
      </w:r>
      <w:r w:rsidR="00A3770B" w:rsidRPr="00B748A9">
        <w:t xml:space="preserve">the </w:t>
      </w:r>
      <w:r w:rsidRPr="00B748A9">
        <w:t xml:space="preserve">community based impact of </w:t>
      </w:r>
      <w:r w:rsidR="00A3770B" w:rsidRPr="00B748A9">
        <w:t>40</w:t>
      </w:r>
      <w:r w:rsidRPr="00B748A9">
        <w:t xml:space="preserve"> specific hazards on Public Health, Healthcare and Mental Health services; and Development of a web-based Risk Assessment, Mapping and Planning (RAMP) Tool for assessing risk and developing emergency health and medical plans for jurisdictions in the United States. </w:t>
      </w:r>
    </w:p>
    <w:p w14:paraId="63EC7362" w14:textId="77777777" w:rsidR="003140FA" w:rsidRPr="00B748A9" w:rsidRDefault="003140FA" w:rsidP="003140FA"/>
    <w:p w14:paraId="01135743" w14:textId="601DA657" w:rsidR="003140FA" w:rsidRPr="00B748A9" w:rsidRDefault="003140FA" w:rsidP="003140FA">
      <w:r w:rsidRPr="00B748A9">
        <w:t xml:space="preserve">To assist in developing this tool, </w:t>
      </w:r>
      <w:r w:rsidR="00A748F5">
        <w:t>this study will collect</w:t>
      </w:r>
      <w:r w:rsidRPr="00B748A9">
        <w:t xml:space="preserve"> two types of information </w:t>
      </w:r>
      <w:r w:rsidR="00A748F5">
        <w:t>in</w:t>
      </w:r>
      <w:r w:rsidRPr="00B748A9">
        <w:t xml:space="preserve"> Los Angeles County:</w:t>
      </w:r>
    </w:p>
    <w:p w14:paraId="5E0764F4" w14:textId="5E763244" w:rsidR="003140FA" w:rsidRPr="00B748A9" w:rsidRDefault="003140FA" w:rsidP="00333A00">
      <w:pPr>
        <w:pStyle w:val="ListParagraph"/>
        <w:numPr>
          <w:ilvl w:val="0"/>
          <w:numId w:val="3"/>
        </w:numPr>
      </w:pPr>
      <w:r w:rsidRPr="00B748A9">
        <w:t xml:space="preserve">100 key informant interviews/focus groups </w:t>
      </w:r>
      <w:r w:rsidR="00333A00" w:rsidRPr="00B748A9">
        <w:t>(</w:t>
      </w:r>
      <w:r w:rsidR="00333A00" w:rsidRPr="00B748A9">
        <w:rPr>
          <w:b/>
        </w:rPr>
        <w:t>Attachment C – Key Informant Survey/Questionnaire</w:t>
      </w:r>
      <w:r w:rsidR="00333A00" w:rsidRPr="00B748A9">
        <w:t xml:space="preserve">) </w:t>
      </w:r>
      <w:r w:rsidRPr="00B748A9">
        <w:t xml:space="preserve">will be conducted with public health and emergency management professionals from </w:t>
      </w:r>
      <w:r w:rsidR="005F21D6">
        <w:t xml:space="preserve">state and local health agencies </w:t>
      </w:r>
      <w:r w:rsidRPr="00B748A9">
        <w:t xml:space="preserve">across the United States. </w:t>
      </w:r>
    </w:p>
    <w:p w14:paraId="5CB8C6A6" w14:textId="37E0BD87" w:rsidR="003140FA" w:rsidRPr="006068B0" w:rsidRDefault="003140FA" w:rsidP="0085732F">
      <w:pPr>
        <w:pStyle w:val="ListParagraph"/>
        <w:numPr>
          <w:ilvl w:val="0"/>
          <w:numId w:val="3"/>
        </w:numPr>
        <w:rPr>
          <w:sz w:val="22"/>
          <w:szCs w:val="22"/>
        </w:rPr>
      </w:pPr>
      <w:r w:rsidRPr="00B748A9">
        <w:t xml:space="preserve">An anonymous survey </w:t>
      </w:r>
      <w:r w:rsidR="00333A00" w:rsidRPr="00B748A9">
        <w:t>(</w:t>
      </w:r>
      <w:r w:rsidR="00333A00" w:rsidRPr="00B748A9">
        <w:rPr>
          <w:b/>
        </w:rPr>
        <w:t>Attachment D –</w:t>
      </w:r>
      <w:r w:rsidR="0085732F" w:rsidRPr="00B748A9">
        <w:rPr>
          <w:b/>
        </w:rPr>
        <w:t>Community Emergency Preparedness Survey</w:t>
      </w:r>
      <w:r w:rsidR="00333A00" w:rsidRPr="00B748A9">
        <w:t xml:space="preserve">) </w:t>
      </w:r>
      <w:r w:rsidRPr="00B748A9">
        <w:t xml:space="preserve">of approximately 1,500 individuals will be conducted at Los Angeles County Department of Public Health </w:t>
      </w:r>
      <w:r w:rsidR="00AA7457" w:rsidRPr="00B748A9">
        <w:t>Center</w:t>
      </w:r>
      <w:r w:rsidRPr="00B748A9">
        <w:t>s to understand the needs of at-risk populations</w:t>
      </w:r>
    </w:p>
    <w:p w14:paraId="37A9A3B9" w14:textId="165E8BD6" w:rsidR="003140FA" w:rsidRDefault="003140FA" w:rsidP="003140FA"/>
    <w:p w14:paraId="442760FE" w14:textId="795E4131" w:rsidR="00947971" w:rsidRDefault="00947971" w:rsidP="00947971">
      <w:r w:rsidRPr="00947971">
        <w:t>This data collection is authorized by Section 301 of the Public Health Service Act (42 U.S.C. 241)</w:t>
      </w:r>
      <w:r>
        <w:t>.</w:t>
      </w:r>
    </w:p>
    <w:p w14:paraId="2FF7E678" w14:textId="77777777" w:rsidR="00947971" w:rsidRPr="00947971" w:rsidRDefault="00947971" w:rsidP="00947971"/>
    <w:p w14:paraId="01FACCBF" w14:textId="77777777" w:rsidR="003140FA" w:rsidRPr="006068B0" w:rsidRDefault="003140FA" w:rsidP="003140FA">
      <w:pPr>
        <w:pStyle w:val="Heading2"/>
        <w:spacing w:before="0"/>
        <w:ind w:left="360"/>
        <w:rPr>
          <w:rFonts w:asciiTheme="minorHAnsi" w:hAnsiTheme="minorHAnsi"/>
        </w:rPr>
      </w:pPr>
      <w:bookmarkStart w:id="3" w:name="_Toc477443906"/>
      <w:r w:rsidRPr="006068B0">
        <w:rPr>
          <w:rFonts w:asciiTheme="minorHAnsi" w:hAnsiTheme="minorHAnsi"/>
        </w:rPr>
        <w:t>Purpose and Use of the Information Collection</w:t>
      </w:r>
      <w:bookmarkEnd w:id="3"/>
    </w:p>
    <w:p w14:paraId="0D8D7B61" w14:textId="77777777" w:rsidR="003140FA" w:rsidRPr="006068B0" w:rsidRDefault="003140FA" w:rsidP="003140FA"/>
    <w:p w14:paraId="07C2F05E" w14:textId="785BB26A" w:rsidR="003140FA" w:rsidRPr="00B748A9" w:rsidRDefault="003140FA" w:rsidP="003140FA">
      <w:r w:rsidRPr="00B748A9">
        <w:t xml:space="preserve">The information collected in this study will be used by Los Angeles County and CDC project scientists to </w:t>
      </w:r>
      <w:r w:rsidR="004D7A4C">
        <w:t>inform</w:t>
      </w:r>
      <w:r w:rsidR="004D7A4C" w:rsidRPr="00B748A9">
        <w:t xml:space="preserve"> </w:t>
      </w:r>
      <w:r w:rsidRPr="00B748A9">
        <w:t xml:space="preserve">and improve the RAMP prototype for delivery to CDC and then perhaps, subsequently </w:t>
      </w:r>
      <w:r w:rsidR="00A82243">
        <w:t xml:space="preserve">be made </w:t>
      </w:r>
      <w:r w:rsidRPr="00B748A9">
        <w:t>available to all national, state and local health departments for use in assessing specific hazards and developing hazard specific, community based readiness, response and recovery plans.</w:t>
      </w:r>
    </w:p>
    <w:p w14:paraId="5C8BEC23" w14:textId="77777777" w:rsidR="003140FA" w:rsidRPr="00B748A9" w:rsidRDefault="003140FA" w:rsidP="003140FA"/>
    <w:p w14:paraId="7EEED812" w14:textId="78707C10" w:rsidR="003140FA" w:rsidRPr="00B748A9" w:rsidRDefault="003140FA" w:rsidP="003140FA">
      <w:pPr>
        <w:rPr>
          <w:rFonts w:eastAsia="Malgun Gothic"/>
        </w:rPr>
      </w:pPr>
      <w:r w:rsidRPr="00B748A9">
        <w:t xml:space="preserve">Information collected from key informant interviews </w:t>
      </w:r>
      <w:r w:rsidR="00ED3AF1" w:rsidRPr="00B748A9">
        <w:rPr>
          <w:b/>
        </w:rPr>
        <w:t>(Attachment C – Key Informant Survey/Questionnaire)</w:t>
      </w:r>
      <w:r w:rsidR="00ED3AF1" w:rsidRPr="00B748A9">
        <w:t xml:space="preserve"> </w:t>
      </w:r>
      <w:r w:rsidRPr="00B748A9">
        <w:t xml:space="preserve">will </w:t>
      </w:r>
      <w:r w:rsidRPr="00B748A9">
        <w:rPr>
          <w:rFonts w:eastAsia="Malgun Gothic"/>
        </w:rPr>
        <w:t xml:space="preserve">be utilized to a) </w:t>
      </w:r>
      <w:r w:rsidR="004D7A4C">
        <w:rPr>
          <w:rFonts w:eastAsia="Malgun Gothic"/>
        </w:rPr>
        <w:t>collect feedback on</w:t>
      </w:r>
      <w:r w:rsidR="004D7A4C" w:rsidRPr="00B748A9">
        <w:rPr>
          <w:rFonts w:eastAsia="Malgun Gothic"/>
        </w:rPr>
        <w:t xml:space="preserve"> </w:t>
      </w:r>
      <w:r w:rsidRPr="00B748A9">
        <w:rPr>
          <w:rFonts w:eastAsia="Malgun Gothic"/>
        </w:rPr>
        <w:t xml:space="preserve">the </w:t>
      </w:r>
      <w:r w:rsidR="005016A5" w:rsidRPr="00B748A9">
        <w:rPr>
          <w:rFonts w:eastAsia="Malgun Gothic"/>
        </w:rPr>
        <w:t xml:space="preserve">preliminary </w:t>
      </w:r>
      <w:r w:rsidRPr="00B748A9">
        <w:rPr>
          <w:rFonts w:eastAsia="Malgun Gothic"/>
        </w:rPr>
        <w:t xml:space="preserve">version of the Risk Assessment, Analysis, Mapping and Planning (RAMP) Tool; b) Review, evaluate and judge the usefulness of the </w:t>
      </w:r>
      <w:r w:rsidR="005016A5" w:rsidRPr="00B748A9">
        <w:rPr>
          <w:rFonts w:eastAsia="Malgun Gothic"/>
        </w:rPr>
        <w:t xml:space="preserve">preliminary </w:t>
      </w:r>
      <w:r w:rsidRPr="00B748A9">
        <w:rPr>
          <w:rFonts w:eastAsia="Malgun Gothic"/>
        </w:rPr>
        <w:t>version of the RAMP Tool</w:t>
      </w:r>
      <w:r w:rsidR="004D7A4C">
        <w:rPr>
          <w:rFonts w:eastAsia="Malgun Gothic"/>
        </w:rPr>
        <w:t xml:space="preserve"> based on feedback post-demonstration</w:t>
      </w:r>
      <w:r w:rsidRPr="00B748A9">
        <w:rPr>
          <w:rFonts w:eastAsia="Malgun Gothic"/>
        </w:rPr>
        <w:t>; and c) Adjust and improve the RAMP Tool prior to completion of the project.</w:t>
      </w:r>
    </w:p>
    <w:p w14:paraId="2BE4372E" w14:textId="77777777" w:rsidR="003140FA" w:rsidRPr="00B748A9" w:rsidRDefault="003140FA" w:rsidP="003140FA">
      <w:pPr>
        <w:rPr>
          <w:rFonts w:eastAsia="Malgun Gothic"/>
        </w:rPr>
      </w:pPr>
    </w:p>
    <w:p w14:paraId="6D25B74D" w14:textId="2D1FB92A" w:rsidR="003140FA" w:rsidRPr="00B748A9" w:rsidRDefault="003140FA" w:rsidP="003140FA">
      <w:r w:rsidRPr="00B748A9">
        <w:rPr>
          <w:rFonts w:eastAsia="Malgun Gothic"/>
        </w:rPr>
        <w:t xml:space="preserve">Information collected from Los Angeles County Public Health </w:t>
      </w:r>
      <w:r w:rsidR="00AA7457" w:rsidRPr="00B748A9">
        <w:rPr>
          <w:rFonts w:eastAsia="Malgun Gothic"/>
        </w:rPr>
        <w:t>Center</w:t>
      </w:r>
      <w:r w:rsidRPr="00B748A9">
        <w:rPr>
          <w:rFonts w:eastAsia="Malgun Gothic"/>
        </w:rPr>
        <w:t xml:space="preserve"> </w:t>
      </w:r>
      <w:r w:rsidR="0085732F" w:rsidRPr="00B748A9">
        <w:rPr>
          <w:rFonts w:eastAsia="Malgun Gothic"/>
        </w:rPr>
        <w:t>Guests, Community Partner Stakeholders, and Community Residents</w:t>
      </w:r>
      <w:r w:rsidRPr="00B748A9">
        <w:rPr>
          <w:rFonts w:eastAsia="Malgun Gothic"/>
        </w:rPr>
        <w:t xml:space="preserve"> </w:t>
      </w:r>
      <w:r w:rsidR="00ED3AF1" w:rsidRPr="00B748A9">
        <w:rPr>
          <w:rFonts w:eastAsia="Malgun Gothic"/>
          <w:b/>
        </w:rPr>
        <w:t>(Attachment D –</w:t>
      </w:r>
      <w:r w:rsidR="0085732F" w:rsidRPr="00E73BED">
        <w:t xml:space="preserve"> </w:t>
      </w:r>
      <w:r w:rsidR="0085732F" w:rsidRPr="00B748A9">
        <w:rPr>
          <w:rFonts w:eastAsia="Malgun Gothic"/>
          <w:b/>
        </w:rPr>
        <w:t>Community Emergency Preparedness Survey</w:t>
      </w:r>
      <w:r w:rsidR="00ED3AF1" w:rsidRPr="00B748A9">
        <w:rPr>
          <w:rFonts w:eastAsia="Malgun Gothic"/>
          <w:b/>
        </w:rPr>
        <w:t xml:space="preserve">) </w:t>
      </w:r>
      <w:r w:rsidRPr="00B748A9">
        <w:rPr>
          <w:rFonts w:eastAsia="Malgun Gothic"/>
        </w:rPr>
        <w:t xml:space="preserve">will be utilized </w:t>
      </w:r>
      <w:r w:rsidRPr="00B748A9">
        <w:t>to better understand the demographics of LA County residents and their needs in a disaster.</w:t>
      </w:r>
    </w:p>
    <w:p w14:paraId="5AF5EBC6" w14:textId="77777777" w:rsidR="003140FA" w:rsidRPr="00E73BED" w:rsidRDefault="003140FA" w:rsidP="003140FA">
      <w:pPr>
        <w:pStyle w:val="ListParagraph"/>
      </w:pPr>
    </w:p>
    <w:p w14:paraId="2762ECDD" w14:textId="77777777" w:rsidR="003140FA" w:rsidRPr="006068B0" w:rsidRDefault="003140FA" w:rsidP="003140FA">
      <w:pPr>
        <w:pStyle w:val="Heading2"/>
        <w:spacing w:before="0"/>
        <w:ind w:left="360"/>
        <w:rPr>
          <w:rFonts w:asciiTheme="minorHAnsi" w:hAnsiTheme="minorHAnsi"/>
        </w:rPr>
      </w:pPr>
      <w:bookmarkStart w:id="4" w:name="_Toc477443907"/>
      <w:r w:rsidRPr="006068B0">
        <w:rPr>
          <w:rFonts w:asciiTheme="minorHAnsi" w:hAnsiTheme="minorHAnsi"/>
        </w:rPr>
        <w:t>Use of Improved Information Technology and Burden Reduction</w:t>
      </w:r>
      <w:bookmarkEnd w:id="4"/>
    </w:p>
    <w:p w14:paraId="19259D46" w14:textId="77777777" w:rsidR="003140FA" w:rsidRPr="006068B0" w:rsidRDefault="003140FA" w:rsidP="003140FA"/>
    <w:p w14:paraId="530F48BE" w14:textId="350F3FA6" w:rsidR="003140FA" w:rsidRPr="00E73BED" w:rsidRDefault="003140FA" w:rsidP="003140FA">
      <w:r w:rsidRPr="00E73BED">
        <w:t>Key Informant</w:t>
      </w:r>
      <w:r w:rsidR="00EF56E1" w:rsidRPr="00E73BED">
        <w:t xml:space="preserve"> </w:t>
      </w:r>
      <w:r w:rsidR="00ED3AF1" w:rsidRPr="00E73BED">
        <w:t xml:space="preserve">Survey/Questionnaire </w:t>
      </w:r>
      <w:r w:rsidR="00ED3AF1" w:rsidRPr="00B748A9">
        <w:rPr>
          <w:b/>
        </w:rPr>
        <w:t>(Attachment C)</w:t>
      </w:r>
      <w:r w:rsidRPr="00E73BED">
        <w:t xml:space="preserve">: Information will be collected through self-administered surveys—either electronic or paper-based—during participant workshops and/or during project specific focus groups. </w:t>
      </w:r>
    </w:p>
    <w:p w14:paraId="0C66715A" w14:textId="77777777" w:rsidR="003140FA" w:rsidRPr="00E73BED" w:rsidRDefault="003140FA" w:rsidP="003140FA"/>
    <w:p w14:paraId="51173261" w14:textId="22F3F2EE" w:rsidR="003140FA" w:rsidRPr="00E73BED" w:rsidRDefault="00153BA2" w:rsidP="003140FA">
      <w:r w:rsidRPr="00E73BED">
        <w:t>Community Emergency Preparedness</w:t>
      </w:r>
      <w:r w:rsidR="00ED3AF1" w:rsidRPr="00E73BED">
        <w:t xml:space="preserve"> Survey </w:t>
      </w:r>
      <w:r w:rsidR="00ED3AF1" w:rsidRPr="00E73BED">
        <w:rPr>
          <w:b/>
        </w:rPr>
        <w:t>(Attachment D)</w:t>
      </w:r>
      <w:r w:rsidR="003140FA" w:rsidRPr="00E73BED">
        <w:t>: All information will be collected via paper surveys because of ease of survey administration and to protect client confidentiality. All information from surveys will be entered into a secured database.</w:t>
      </w:r>
    </w:p>
    <w:p w14:paraId="01F4A549" w14:textId="77777777" w:rsidR="003140FA" w:rsidRPr="00E73BED" w:rsidRDefault="003140FA" w:rsidP="003140FA">
      <w:pPr>
        <w:pStyle w:val="ListParagraph"/>
      </w:pPr>
    </w:p>
    <w:p w14:paraId="2175802B" w14:textId="77777777" w:rsidR="003140FA" w:rsidRPr="006068B0" w:rsidRDefault="003140FA" w:rsidP="003140FA">
      <w:pPr>
        <w:pStyle w:val="Heading2"/>
        <w:ind w:left="360"/>
        <w:rPr>
          <w:rFonts w:asciiTheme="minorHAnsi" w:hAnsiTheme="minorHAnsi"/>
        </w:rPr>
      </w:pPr>
      <w:bookmarkStart w:id="5" w:name="_Toc477443908"/>
      <w:r w:rsidRPr="006068B0">
        <w:rPr>
          <w:rFonts w:asciiTheme="minorHAnsi" w:hAnsiTheme="minorHAnsi"/>
        </w:rPr>
        <w:t>Efforts to Identify Duplication and Use of Similar Information</w:t>
      </w:r>
      <w:bookmarkEnd w:id="5"/>
    </w:p>
    <w:p w14:paraId="33C2B044" w14:textId="08BFC134" w:rsidR="003140FA" w:rsidRPr="006068B0" w:rsidRDefault="003140FA" w:rsidP="007E763A"/>
    <w:p w14:paraId="4EF0E57D" w14:textId="4E31578E" w:rsidR="003140FA" w:rsidRPr="006068B0" w:rsidRDefault="003140FA" w:rsidP="003140FA">
      <w:r w:rsidRPr="006068B0">
        <w:t xml:space="preserve">There are no similar data available for this study. There has been no evaluation to date on the most efficacious and preferred methods—available to local health and medical health agencies—to evaluate, analyze, map and plan for public health emergencies. </w:t>
      </w:r>
      <w:r w:rsidR="009C5CFB">
        <w:t>The information collected in this study will help determine what types of information state and local emergency health planners require to identify vulnerable populations, what information specific to these populations is necessary to analyze and map in order to ensure service delivery to them during emergencies, and what type of hazard specific and demographic information is necessary to include in the development of effective community based emergency response plans.</w:t>
      </w:r>
    </w:p>
    <w:p w14:paraId="0AA0BC83" w14:textId="77777777" w:rsidR="003140FA" w:rsidRPr="006068B0" w:rsidRDefault="003140FA" w:rsidP="003140FA">
      <w:pPr>
        <w:pStyle w:val="ListParagraph"/>
      </w:pPr>
    </w:p>
    <w:p w14:paraId="536CA7BC" w14:textId="77777777" w:rsidR="003140FA" w:rsidRPr="006068B0" w:rsidRDefault="003140FA" w:rsidP="003140FA">
      <w:pPr>
        <w:pStyle w:val="Heading2"/>
        <w:ind w:left="360"/>
        <w:rPr>
          <w:rFonts w:asciiTheme="minorHAnsi" w:hAnsiTheme="minorHAnsi"/>
        </w:rPr>
      </w:pPr>
      <w:bookmarkStart w:id="6" w:name="_Toc477443909"/>
      <w:r w:rsidRPr="006068B0">
        <w:rPr>
          <w:rFonts w:asciiTheme="minorHAnsi" w:hAnsiTheme="minorHAnsi"/>
        </w:rPr>
        <w:t>Impact on Small Businesses and Other Small Entities</w:t>
      </w:r>
      <w:bookmarkEnd w:id="6"/>
    </w:p>
    <w:p w14:paraId="0A6BAF57" w14:textId="77777777" w:rsidR="003140FA" w:rsidRPr="006068B0" w:rsidRDefault="003140FA" w:rsidP="003140FA">
      <w:pPr>
        <w:pStyle w:val="ListParagraph"/>
        <w:ind w:left="360"/>
      </w:pPr>
    </w:p>
    <w:p w14:paraId="18181413" w14:textId="4FC29F2C" w:rsidR="004A344F" w:rsidRPr="006068B0" w:rsidRDefault="004A344F" w:rsidP="003140FA">
      <w:r>
        <w:t>No small businesses will be impacted by this data collection</w:t>
      </w:r>
    </w:p>
    <w:p w14:paraId="07AC8AFB" w14:textId="77777777" w:rsidR="003140FA" w:rsidRPr="006068B0" w:rsidRDefault="003140FA" w:rsidP="003140FA">
      <w:pPr>
        <w:pStyle w:val="ListParagraph"/>
      </w:pPr>
    </w:p>
    <w:p w14:paraId="015C846C" w14:textId="418BEA98" w:rsidR="003140FA" w:rsidRPr="006068B0" w:rsidRDefault="003140FA" w:rsidP="003140FA">
      <w:pPr>
        <w:pStyle w:val="Heading2"/>
        <w:ind w:left="360"/>
        <w:rPr>
          <w:rFonts w:asciiTheme="minorHAnsi" w:hAnsiTheme="minorHAnsi"/>
        </w:rPr>
      </w:pPr>
      <w:bookmarkStart w:id="7" w:name="_Toc477443910"/>
      <w:r w:rsidRPr="006068B0">
        <w:rPr>
          <w:rFonts w:asciiTheme="minorHAnsi" w:hAnsiTheme="minorHAnsi"/>
        </w:rPr>
        <w:t>Consequences of Collecti</w:t>
      </w:r>
      <w:r w:rsidR="00BD7ACC">
        <w:rPr>
          <w:rFonts w:asciiTheme="minorHAnsi" w:hAnsiTheme="minorHAnsi"/>
        </w:rPr>
        <w:t>ng</w:t>
      </w:r>
      <w:r w:rsidRPr="006068B0">
        <w:rPr>
          <w:rFonts w:asciiTheme="minorHAnsi" w:hAnsiTheme="minorHAnsi"/>
        </w:rPr>
        <w:t xml:space="preserve"> the Information Less Frequently</w:t>
      </w:r>
      <w:bookmarkEnd w:id="7"/>
    </w:p>
    <w:p w14:paraId="5550D06A" w14:textId="77777777" w:rsidR="003140FA" w:rsidRPr="006068B0" w:rsidRDefault="003140FA" w:rsidP="003140FA">
      <w:pPr>
        <w:pStyle w:val="ListParagraph"/>
        <w:ind w:left="0"/>
      </w:pPr>
    </w:p>
    <w:p w14:paraId="185860A8" w14:textId="7D0CDC24" w:rsidR="003140FA" w:rsidRPr="006068B0" w:rsidRDefault="003140FA" w:rsidP="003140FA">
      <w:pPr>
        <w:pStyle w:val="ListParagraph"/>
        <w:ind w:left="0"/>
      </w:pPr>
      <w:r w:rsidRPr="006068B0">
        <w:t xml:space="preserve">This request is for collection of information from the identified groups (key informant/stakeholders and Los Angeles County Public Health </w:t>
      </w:r>
      <w:r w:rsidR="00AA7457">
        <w:t>Center</w:t>
      </w:r>
      <w:r w:rsidR="003966A6">
        <w:t xml:space="preserve"> </w:t>
      </w:r>
      <w:r w:rsidR="00153BA2" w:rsidRPr="00153BA2">
        <w:t>Guests, Community Partner Stakeholders, and Community Residents</w:t>
      </w:r>
      <w:r w:rsidRPr="006068B0">
        <w:t xml:space="preserve">) during the course of the project. Not collecting this information will limit our understanding of 1) Factors leading to effective hazard vulnerability and jurisdictional risk assessments and the 2) Factors that make communities vulnerable to public health emergencies and disasters.  </w:t>
      </w:r>
    </w:p>
    <w:p w14:paraId="1180CC6C" w14:textId="77777777" w:rsidR="003140FA" w:rsidRPr="006068B0" w:rsidRDefault="003140FA" w:rsidP="003140FA">
      <w:pPr>
        <w:pStyle w:val="ListParagraph"/>
      </w:pPr>
    </w:p>
    <w:p w14:paraId="152F1857" w14:textId="77777777" w:rsidR="003140FA" w:rsidRPr="006068B0" w:rsidRDefault="003140FA" w:rsidP="003140FA">
      <w:pPr>
        <w:pStyle w:val="Heading2"/>
        <w:ind w:left="360"/>
        <w:rPr>
          <w:rFonts w:asciiTheme="minorHAnsi" w:hAnsiTheme="minorHAnsi"/>
        </w:rPr>
      </w:pPr>
      <w:bookmarkStart w:id="8" w:name="_Toc477443911"/>
      <w:r w:rsidRPr="006068B0">
        <w:rPr>
          <w:rFonts w:asciiTheme="minorHAnsi" w:hAnsiTheme="minorHAnsi"/>
        </w:rPr>
        <w:t>Special Circumstances Relating to the Guidelines of 5 CFR 1320.5</w:t>
      </w:r>
      <w:bookmarkEnd w:id="8"/>
    </w:p>
    <w:p w14:paraId="4AC5718F" w14:textId="77777777" w:rsidR="003140FA" w:rsidRPr="006068B0" w:rsidRDefault="003140FA" w:rsidP="003140FA"/>
    <w:p w14:paraId="13A25E62" w14:textId="77777777" w:rsidR="003140FA" w:rsidRPr="006068B0" w:rsidRDefault="003140FA" w:rsidP="003140FA">
      <w:r w:rsidRPr="006068B0">
        <w:t>This study does not involve any special circumstances relating to the Guidelines of 5 CFR 1320.5.</w:t>
      </w:r>
    </w:p>
    <w:p w14:paraId="570B8A80" w14:textId="77777777" w:rsidR="003140FA" w:rsidRPr="006068B0" w:rsidRDefault="003140FA" w:rsidP="003140FA">
      <w:pPr>
        <w:pStyle w:val="ListParagraph"/>
      </w:pPr>
    </w:p>
    <w:p w14:paraId="70CD337A" w14:textId="77777777" w:rsidR="003140FA" w:rsidRPr="006068B0" w:rsidRDefault="003140FA" w:rsidP="003140FA">
      <w:pPr>
        <w:pStyle w:val="Heading2"/>
        <w:ind w:left="360"/>
        <w:rPr>
          <w:rFonts w:asciiTheme="minorHAnsi" w:hAnsiTheme="minorHAnsi"/>
        </w:rPr>
      </w:pPr>
      <w:bookmarkStart w:id="9" w:name="_Toc477443912"/>
      <w:r w:rsidRPr="006068B0">
        <w:rPr>
          <w:rFonts w:asciiTheme="minorHAnsi" w:hAnsiTheme="minorHAnsi"/>
        </w:rPr>
        <w:t>Comments in Response to the Federal Register Notice and Efforts to Consult Outside the Agency</w:t>
      </w:r>
      <w:bookmarkEnd w:id="9"/>
    </w:p>
    <w:p w14:paraId="0B3CCD81" w14:textId="77777777" w:rsidR="003140FA" w:rsidRPr="006068B0" w:rsidRDefault="003140FA" w:rsidP="003140FA"/>
    <w:p w14:paraId="4D266580" w14:textId="6608D562" w:rsidR="00ED3AF1" w:rsidRDefault="003140FA" w:rsidP="003140FA">
      <w:r w:rsidRPr="006068B0">
        <w:t xml:space="preserve">A 60-day Federal Register Notice (FRN) was published in the Federal Register on [Date: </w:t>
      </w:r>
      <w:r w:rsidR="00D541C6">
        <w:t>05/18/2017</w:t>
      </w:r>
      <w:r w:rsidRPr="006068B0">
        <w:t xml:space="preserve">, PP: </w:t>
      </w:r>
      <w:r w:rsidR="00D541C6">
        <w:t>22833</w:t>
      </w:r>
      <w:r w:rsidRPr="006068B0">
        <w:t xml:space="preserve">] (see </w:t>
      </w:r>
      <w:r w:rsidRPr="003966A6">
        <w:rPr>
          <w:b/>
        </w:rPr>
        <w:t>Attachment B</w:t>
      </w:r>
      <w:r w:rsidRPr="006068B0">
        <w:t xml:space="preserve">). There were no public comments. </w:t>
      </w:r>
    </w:p>
    <w:p w14:paraId="61952487" w14:textId="77777777" w:rsidR="00ED3AF1" w:rsidRDefault="00ED3AF1" w:rsidP="003140FA"/>
    <w:p w14:paraId="36A47CD8" w14:textId="4F67F0FE" w:rsidR="003140FA" w:rsidRPr="006068B0" w:rsidRDefault="003140FA" w:rsidP="003140FA">
      <w:r w:rsidRPr="006068B0">
        <w:t>There were no efforts to consult outside the agency.</w:t>
      </w:r>
      <w:r w:rsidR="00ED3AF1">
        <w:t xml:space="preserve"> </w:t>
      </w:r>
    </w:p>
    <w:p w14:paraId="5F564009" w14:textId="77777777" w:rsidR="003140FA" w:rsidRPr="006068B0" w:rsidRDefault="003140FA" w:rsidP="003140FA">
      <w:pPr>
        <w:pStyle w:val="ListParagraph"/>
      </w:pPr>
    </w:p>
    <w:p w14:paraId="0AE383BF" w14:textId="77777777" w:rsidR="003140FA" w:rsidRPr="006068B0" w:rsidRDefault="003140FA" w:rsidP="003140FA">
      <w:pPr>
        <w:pStyle w:val="Heading2"/>
        <w:ind w:left="360"/>
        <w:rPr>
          <w:rFonts w:asciiTheme="minorHAnsi" w:hAnsiTheme="minorHAnsi"/>
        </w:rPr>
      </w:pPr>
      <w:bookmarkStart w:id="10" w:name="_Toc477443913"/>
      <w:r w:rsidRPr="006068B0">
        <w:rPr>
          <w:rFonts w:asciiTheme="minorHAnsi" w:hAnsiTheme="minorHAnsi"/>
        </w:rPr>
        <w:t>Explanation of Any Payment of Gift to Respondents</w:t>
      </w:r>
      <w:bookmarkEnd w:id="10"/>
    </w:p>
    <w:p w14:paraId="5541EE22" w14:textId="77777777" w:rsidR="003140FA" w:rsidRPr="006068B0" w:rsidRDefault="003140FA" w:rsidP="003140FA"/>
    <w:p w14:paraId="62B46600" w14:textId="41D090B2" w:rsidR="00947633" w:rsidRDefault="003140FA" w:rsidP="003140FA">
      <w:r w:rsidRPr="006068B0">
        <w:t>No gifts or incentives will be included or given to any survey/focus group participants involved in this project.</w:t>
      </w:r>
    </w:p>
    <w:p w14:paraId="794BCFC2" w14:textId="77777777" w:rsidR="00947633" w:rsidRPr="006068B0" w:rsidRDefault="00947633" w:rsidP="003140FA"/>
    <w:p w14:paraId="58505079" w14:textId="301ED04E" w:rsidR="003140FA" w:rsidRDefault="003966A6" w:rsidP="003966A6">
      <w:pPr>
        <w:pStyle w:val="Heading2"/>
        <w:rPr>
          <w:rFonts w:asciiTheme="minorHAnsi" w:hAnsiTheme="minorHAnsi"/>
        </w:rPr>
      </w:pPr>
      <w:r>
        <w:rPr>
          <w:rFonts w:asciiTheme="minorHAnsi" w:hAnsiTheme="minorHAnsi"/>
        </w:rPr>
        <w:t xml:space="preserve"> </w:t>
      </w:r>
      <w:r w:rsidRPr="003966A6">
        <w:rPr>
          <w:rFonts w:asciiTheme="minorHAnsi" w:hAnsiTheme="minorHAnsi"/>
        </w:rPr>
        <w:t>Protection of the Privacy and Confidentiality of Information Provided by Respondents</w:t>
      </w:r>
    </w:p>
    <w:p w14:paraId="292A0DAA" w14:textId="77777777" w:rsidR="00E06EE8" w:rsidRPr="00E06EE8" w:rsidRDefault="00E06EE8" w:rsidP="00E06EE8"/>
    <w:p w14:paraId="1C2C1B29" w14:textId="5D5A467D" w:rsidR="003140FA" w:rsidRDefault="00E06EE8" w:rsidP="003140FA">
      <w:r w:rsidRPr="000A2664">
        <w:t>OPHPR Science Office has reviewed this submission and determined that the Privacy Act does not apply</w:t>
      </w:r>
    </w:p>
    <w:p w14:paraId="6B4F1F58" w14:textId="77777777" w:rsidR="00E06EE8" w:rsidRPr="006068B0" w:rsidRDefault="00E06EE8" w:rsidP="003140FA"/>
    <w:p w14:paraId="631AA845" w14:textId="012F26CF" w:rsidR="003140FA" w:rsidRPr="006068B0" w:rsidRDefault="003140FA" w:rsidP="003140FA">
      <w:pPr>
        <w:pStyle w:val="ListParagraph"/>
        <w:numPr>
          <w:ilvl w:val="0"/>
          <w:numId w:val="4"/>
        </w:numPr>
        <w:rPr>
          <w:rFonts w:eastAsia="Malgun Gothic"/>
        </w:rPr>
      </w:pPr>
      <w:r w:rsidRPr="006068B0">
        <w:t xml:space="preserve">Key Informant/Stakeholder Surveys and Focus Groups: No sensitive information will be collected through these surveys and focus groups. Though the questionnaire will request the respondents’ names and workplace positions, that information will be used only for project planning and follow up purposes and will not be publically shared or disseminated outside of Los Angeles County Department of Public Health.  </w:t>
      </w:r>
      <w:r w:rsidRPr="006068B0">
        <w:rPr>
          <w:rFonts w:eastAsia="Malgun Gothic"/>
        </w:rPr>
        <w:t>Data will be entered into a secured database and de-identified data will only be disseminated and/or reported in aggregate form. All paper surveys will be locked in the secure offices of project staff.</w:t>
      </w:r>
      <w:r w:rsidR="00F447CD">
        <w:rPr>
          <w:rFonts w:eastAsia="Malgun Gothic"/>
        </w:rPr>
        <w:t xml:space="preserve"> CDC will not have access to </w:t>
      </w:r>
      <w:r w:rsidR="00561C70">
        <w:rPr>
          <w:rFonts w:eastAsia="Malgun Gothic"/>
        </w:rPr>
        <w:t>any</w:t>
      </w:r>
      <w:r w:rsidR="00F447CD">
        <w:rPr>
          <w:rFonts w:eastAsia="Malgun Gothic"/>
        </w:rPr>
        <w:t xml:space="preserve"> </w:t>
      </w:r>
      <w:r w:rsidR="00561C70">
        <w:rPr>
          <w:rFonts w:eastAsia="Malgun Gothic"/>
        </w:rPr>
        <w:t xml:space="preserve">identifiable </w:t>
      </w:r>
      <w:r w:rsidR="00F447CD">
        <w:rPr>
          <w:rFonts w:eastAsia="Malgun Gothic"/>
        </w:rPr>
        <w:t xml:space="preserve">information. </w:t>
      </w:r>
    </w:p>
    <w:p w14:paraId="10B637A3" w14:textId="54708E9C" w:rsidR="003140FA" w:rsidRDefault="00956156" w:rsidP="00956156">
      <w:pPr>
        <w:pStyle w:val="ListParagraph"/>
        <w:numPr>
          <w:ilvl w:val="0"/>
          <w:numId w:val="4"/>
        </w:numPr>
      </w:pPr>
      <w:r w:rsidRPr="00956156">
        <w:t xml:space="preserve"> </w:t>
      </w:r>
      <w:r w:rsidRPr="00956156">
        <w:rPr>
          <w:rFonts w:eastAsia="Malgun Gothic"/>
        </w:rPr>
        <w:t>Community Emergency Preparedness Survey</w:t>
      </w:r>
      <w:r w:rsidR="003140FA" w:rsidRPr="006068B0">
        <w:rPr>
          <w:rFonts w:eastAsia="Malgun Gothic"/>
        </w:rPr>
        <w:t xml:space="preserve">: </w:t>
      </w:r>
      <w:r w:rsidR="003140FA" w:rsidRPr="006068B0">
        <w:t xml:space="preserve">All surveys are strictly anonymous. To maintain respondent anonymity a unique identifier will be assigned to each survey and no record of participant names will be created. Individual responses will not be shown to the participants or other </w:t>
      </w:r>
      <w:r w:rsidR="00AA7457">
        <w:t>Center</w:t>
      </w:r>
      <w:r w:rsidR="003140FA" w:rsidRPr="006068B0">
        <w:t xml:space="preserve"> staff. Data will be entered into a secured database and de-identified data will only be disseminated and/or reported in aggregate form. All paper surveys will be locked in the secure offices of project staff.</w:t>
      </w:r>
    </w:p>
    <w:p w14:paraId="7D1BCD96" w14:textId="37BB90C4" w:rsidR="007E763A" w:rsidRPr="006068B0" w:rsidRDefault="007E763A" w:rsidP="00956156">
      <w:pPr>
        <w:pStyle w:val="ListParagraph"/>
        <w:numPr>
          <w:ilvl w:val="0"/>
          <w:numId w:val="4"/>
        </w:numPr>
      </w:pPr>
      <w:r>
        <w:t>No system of records is being created for this information collection.</w:t>
      </w:r>
    </w:p>
    <w:p w14:paraId="52EB530C" w14:textId="2DE7B095" w:rsidR="00947633" w:rsidRDefault="00947633" w:rsidP="003140FA"/>
    <w:p w14:paraId="3FDE2D49" w14:textId="77777777" w:rsidR="000A2664" w:rsidRPr="006068B0" w:rsidRDefault="000A2664" w:rsidP="003140FA"/>
    <w:p w14:paraId="27557AE4" w14:textId="500762E4" w:rsidR="003140FA" w:rsidRPr="006068B0" w:rsidRDefault="004A344F" w:rsidP="003140FA">
      <w:pPr>
        <w:pStyle w:val="Heading2"/>
        <w:ind w:left="360"/>
        <w:rPr>
          <w:rFonts w:asciiTheme="minorHAnsi" w:hAnsiTheme="minorHAnsi"/>
        </w:rPr>
      </w:pPr>
      <w:bookmarkStart w:id="11" w:name="_Toc477443915"/>
      <w:r>
        <w:rPr>
          <w:rFonts w:asciiTheme="minorHAnsi" w:hAnsiTheme="minorHAnsi"/>
        </w:rPr>
        <w:t xml:space="preserve">Institutional Review Board and </w:t>
      </w:r>
      <w:r w:rsidR="003140FA" w:rsidRPr="006068B0">
        <w:rPr>
          <w:rFonts w:asciiTheme="minorHAnsi" w:hAnsiTheme="minorHAnsi"/>
        </w:rPr>
        <w:t>Justification for Sensitive Questions</w:t>
      </w:r>
      <w:bookmarkEnd w:id="11"/>
    </w:p>
    <w:p w14:paraId="155844B0" w14:textId="77777777" w:rsidR="003140FA" w:rsidRPr="006068B0" w:rsidRDefault="003140FA" w:rsidP="003140FA"/>
    <w:p w14:paraId="775D07D9" w14:textId="7A044A40" w:rsidR="004A344F" w:rsidRDefault="004A344F" w:rsidP="003140FA">
      <w:r w:rsidRPr="004A344F">
        <w:t xml:space="preserve">An Institutional Review Board (IRB) review was not required for this study. </w:t>
      </w:r>
      <w:r w:rsidR="00947633">
        <w:t xml:space="preserve"> </w:t>
      </w:r>
      <w:r w:rsidRPr="004A344F">
        <w:t xml:space="preserve">An IRB Exemption Letter is included as </w:t>
      </w:r>
      <w:r w:rsidRPr="004A344F">
        <w:rPr>
          <w:b/>
        </w:rPr>
        <w:t>Attachment E</w:t>
      </w:r>
      <w:r>
        <w:t xml:space="preserve"> for the CDC and </w:t>
      </w:r>
      <w:r w:rsidRPr="004A344F">
        <w:rPr>
          <w:b/>
        </w:rPr>
        <w:t>Attachment E1</w:t>
      </w:r>
      <w:r>
        <w:t xml:space="preserve"> for the Los Angeles County Health Department</w:t>
      </w:r>
      <w:r w:rsidRPr="004A344F">
        <w:t>.</w:t>
      </w:r>
    </w:p>
    <w:p w14:paraId="05363C9A" w14:textId="77777777" w:rsidR="004A344F" w:rsidRDefault="004A344F" w:rsidP="003140FA"/>
    <w:p w14:paraId="764FCED4" w14:textId="1E6D2145" w:rsidR="003140FA" w:rsidRDefault="003140FA" w:rsidP="003140FA">
      <w:r w:rsidRPr="006068B0">
        <w:t>There are no potentially sensitive questions included in either survey instrument used in this project.</w:t>
      </w:r>
      <w:r w:rsidR="004A344F">
        <w:t xml:space="preserve"> </w:t>
      </w:r>
    </w:p>
    <w:p w14:paraId="5BA21434" w14:textId="77777777" w:rsidR="004A344F" w:rsidRPr="006068B0" w:rsidRDefault="004A344F" w:rsidP="003140FA"/>
    <w:p w14:paraId="2002545A" w14:textId="77777777" w:rsidR="003140FA" w:rsidRPr="006068B0" w:rsidRDefault="003140FA" w:rsidP="003140FA">
      <w:pPr>
        <w:pStyle w:val="Heading2"/>
        <w:ind w:left="360"/>
        <w:rPr>
          <w:rFonts w:asciiTheme="minorHAnsi" w:hAnsiTheme="minorHAnsi"/>
        </w:rPr>
      </w:pPr>
      <w:bookmarkStart w:id="12" w:name="_Toc477443916"/>
      <w:r w:rsidRPr="006068B0">
        <w:rPr>
          <w:rFonts w:asciiTheme="minorHAnsi" w:hAnsiTheme="minorHAnsi"/>
        </w:rPr>
        <w:t>Estimates of Annualized Burden Hours and Costs</w:t>
      </w:r>
      <w:bookmarkEnd w:id="12"/>
    </w:p>
    <w:p w14:paraId="146AD4B1" w14:textId="77777777" w:rsidR="003140FA" w:rsidRPr="006068B0" w:rsidRDefault="003140FA" w:rsidP="003140FA"/>
    <w:p w14:paraId="616E5587" w14:textId="3366AC0A" w:rsidR="003140FA" w:rsidRPr="006068B0" w:rsidRDefault="003140FA" w:rsidP="003140FA">
      <w:r w:rsidRPr="006068B0">
        <w:t>This collection has two components: 1) in-person and electronic surveys of key informants and stakeholders</w:t>
      </w:r>
      <w:r w:rsidR="000B1DD5">
        <w:t>,</w:t>
      </w:r>
      <w:r w:rsidRPr="006068B0">
        <w:t xml:space="preserve"> and 2) in-person interviews of Los Angeles County Public Health </w:t>
      </w:r>
      <w:r w:rsidR="00AA7457">
        <w:t>Center</w:t>
      </w:r>
      <w:r w:rsidR="00956156" w:rsidRPr="00956156">
        <w:t xml:space="preserve"> Guests, Community Partner Stakeholders, and Community Residents</w:t>
      </w:r>
      <w:r w:rsidRPr="006068B0">
        <w:t xml:space="preserve">. Exhibit 1 summarizes the estimated annualized burden for each of these data collection components. Time estimates are based on experience with previous surveys and data collection activities.  </w:t>
      </w:r>
    </w:p>
    <w:p w14:paraId="60D403F8" w14:textId="77777777" w:rsidR="003140FA" w:rsidRPr="006068B0" w:rsidRDefault="003140FA" w:rsidP="003140FA"/>
    <w:p w14:paraId="40A91876" w14:textId="77777777" w:rsidR="003140FA" w:rsidRPr="006068B0" w:rsidRDefault="003140FA" w:rsidP="003140FA">
      <w:pPr>
        <w:rPr>
          <w:b/>
        </w:rPr>
      </w:pPr>
      <w:r w:rsidRPr="006068B0">
        <w:rPr>
          <w:b/>
        </w:rPr>
        <w:t>Exhibit 1: Estimated Annualized Burden Hours</w:t>
      </w:r>
    </w:p>
    <w:p w14:paraId="06D53F34" w14:textId="055FBE78" w:rsidR="00B34A53" w:rsidRDefault="00B34A53" w:rsidP="00B34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710"/>
        <w:gridCol w:w="1702"/>
        <w:gridCol w:w="1358"/>
        <w:gridCol w:w="985"/>
      </w:tblGrid>
      <w:tr w:rsidR="00581C2D" w:rsidRPr="00581C2D" w14:paraId="5A1A8E63" w14:textId="77777777" w:rsidTr="00C25ED1">
        <w:tc>
          <w:tcPr>
            <w:tcW w:w="1975" w:type="dxa"/>
            <w:shd w:val="clear" w:color="auto" w:fill="auto"/>
          </w:tcPr>
          <w:p w14:paraId="551B7624" w14:textId="77777777" w:rsidR="00581C2D" w:rsidRPr="00581C2D" w:rsidRDefault="00581C2D" w:rsidP="00581C2D">
            <w:pPr>
              <w:tabs>
                <w:tab w:val="left" w:pos="0"/>
              </w:tabs>
              <w:rPr>
                <w:rFonts w:cs="EEAGN D+ Melior"/>
                <w:color w:val="000000"/>
              </w:rPr>
            </w:pPr>
            <w:r w:rsidRPr="00581C2D">
              <w:rPr>
                <w:rFonts w:cs="EEAGN D+ Melior"/>
                <w:color w:val="000000"/>
              </w:rPr>
              <w:t>Type of Respondents</w:t>
            </w:r>
          </w:p>
        </w:tc>
        <w:tc>
          <w:tcPr>
            <w:tcW w:w="1620" w:type="dxa"/>
            <w:shd w:val="clear" w:color="auto" w:fill="auto"/>
          </w:tcPr>
          <w:p w14:paraId="199021DD" w14:textId="77777777" w:rsidR="00581C2D" w:rsidRPr="00581C2D" w:rsidRDefault="00581C2D" w:rsidP="00581C2D">
            <w:pPr>
              <w:tabs>
                <w:tab w:val="left" w:pos="0"/>
              </w:tabs>
              <w:rPr>
                <w:rFonts w:cs="EEAGN D+ Melior"/>
                <w:color w:val="000000"/>
              </w:rPr>
            </w:pPr>
            <w:r w:rsidRPr="00581C2D">
              <w:rPr>
                <w:rFonts w:cs="EEAGN D+ Melior"/>
                <w:color w:val="000000"/>
              </w:rPr>
              <w:t>Form Name</w:t>
            </w:r>
          </w:p>
        </w:tc>
        <w:tc>
          <w:tcPr>
            <w:tcW w:w="1710" w:type="dxa"/>
            <w:shd w:val="clear" w:color="auto" w:fill="auto"/>
          </w:tcPr>
          <w:p w14:paraId="496FEC82" w14:textId="77777777" w:rsidR="00581C2D" w:rsidRPr="00581C2D" w:rsidRDefault="00581C2D" w:rsidP="00581C2D">
            <w:pPr>
              <w:tabs>
                <w:tab w:val="left" w:pos="0"/>
              </w:tabs>
              <w:rPr>
                <w:rFonts w:cs="EEAGN D+ Melior"/>
                <w:color w:val="000000"/>
              </w:rPr>
            </w:pPr>
            <w:r w:rsidRPr="00581C2D">
              <w:rPr>
                <w:rFonts w:cs="EEAGN D+ Melior"/>
                <w:color w:val="000000"/>
              </w:rPr>
              <w:t>No. of Respondents</w:t>
            </w:r>
          </w:p>
        </w:tc>
        <w:tc>
          <w:tcPr>
            <w:tcW w:w="1702" w:type="dxa"/>
            <w:shd w:val="clear" w:color="auto" w:fill="auto"/>
          </w:tcPr>
          <w:p w14:paraId="65D10D2B" w14:textId="77777777" w:rsidR="00581C2D" w:rsidRPr="00581C2D" w:rsidRDefault="00581C2D" w:rsidP="00581C2D">
            <w:pPr>
              <w:tabs>
                <w:tab w:val="left" w:pos="0"/>
              </w:tabs>
              <w:rPr>
                <w:rFonts w:cs="EEAGN D+ Melior"/>
                <w:color w:val="000000"/>
              </w:rPr>
            </w:pPr>
            <w:r w:rsidRPr="00581C2D">
              <w:rPr>
                <w:rFonts w:cs="EEAGN D+ Melior"/>
                <w:color w:val="000000"/>
              </w:rPr>
              <w:t>No. of Responses per Respondent</w:t>
            </w:r>
          </w:p>
        </w:tc>
        <w:tc>
          <w:tcPr>
            <w:tcW w:w="1358" w:type="dxa"/>
            <w:shd w:val="clear" w:color="auto" w:fill="auto"/>
          </w:tcPr>
          <w:p w14:paraId="1FF31193" w14:textId="77777777" w:rsidR="00581C2D" w:rsidRPr="00581C2D" w:rsidRDefault="00581C2D" w:rsidP="00581C2D">
            <w:pPr>
              <w:tabs>
                <w:tab w:val="left" w:pos="0"/>
              </w:tabs>
              <w:rPr>
                <w:rFonts w:cs="EEAGN D+ Melior"/>
                <w:color w:val="000000"/>
              </w:rPr>
            </w:pPr>
            <w:r w:rsidRPr="00581C2D">
              <w:rPr>
                <w:rFonts w:cs="EEAGN D+ Melior"/>
                <w:color w:val="000000"/>
              </w:rPr>
              <w:t>Avg. Burden per Response (in hrs.)</w:t>
            </w:r>
          </w:p>
        </w:tc>
        <w:tc>
          <w:tcPr>
            <w:tcW w:w="985" w:type="dxa"/>
            <w:shd w:val="clear" w:color="auto" w:fill="auto"/>
          </w:tcPr>
          <w:p w14:paraId="4AF5FDE8" w14:textId="77777777" w:rsidR="00581C2D" w:rsidRPr="00581C2D" w:rsidRDefault="00581C2D" w:rsidP="00581C2D">
            <w:pPr>
              <w:tabs>
                <w:tab w:val="left" w:pos="0"/>
              </w:tabs>
              <w:rPr>
                <w:rFonts w:cs="EEAGN D+ Melior"/>
                <w:color w:val="000000"/>
              </w:rPr>
            </w:pPr>
            <w:r w:rsidRPr="00581C2D">
              <w:rPr>
                <w:rFonts w:cs="EEAGN D+ Melior"/>
                <w:color w:val="000000"/>
              </w:rPr>
              <w:t>Total Burden (in hrs.)</w:t>
            </w:r>
          </w:p>
        </w:tc>
      </w:tr>
      <w:tr w:rsidR="00581C2D" w:rsidRPr="00581C2D" w14:paraId="6540597D" w14:textId="77777777" w:rsidTr="00C25ED1">
        <w:trPr>
          <w:trHeight w:val="656"/>
        </w:trPr>
        <w:tc>
          <w:tcPr>
            <w:tcW w:w="1975" w:type="dxa"/>
            <w:shd w:val="clear" w:color="auto" w:fill="auto"/>
          </w:tcPr>
          <w:p w14:paraId="47D55564" w14:textId="77777777" w:rsidR="00581C2D" w:rsidRPr="00581C2D" w:rsidRDefault="00581C2D" w:rsidP="00581C2D">
            <w:pPr>
              <w:tabs>
                <w:tab w:val="left" w:pos="0"/>
              </w:tabs>
              <w:rPr>
                <w:rFonts w:cs="EEAGN D+ Melior"/>
                <w:color w:val="000000"/>
              </w:rPr>
            </w:pPr>
            <w:r w:rsidRPr="00581C2D">
              <w:rPr>
                <w:rFonts w:cs="EEAGN D+ Melior"/>
                <w:color w:val="000000"/>
              </w:rPr>
              <w:t>Public Health and Medical Emergency Planners Key Informants</w:t>
            </w:r>
          </w:p>
        </w:tc>
        <w:tc>
          <w:tcPr>
            <w:tcW w:w="1620" w:type="dxa"/>
            <w:shd w:val="clear" w:color="auto" w:fill="auto"/>
          </w:tcPr>
          <w:p w14:paraId="5E39A69B" w14:textId="77777777" w:rsidR="00581C2D" w:rsidRPr="00581C2D" w:rsidRDefault="00581C2D" w:rsidP="00581C2D">
            <w:pPr>
              <w:tabs>
                <w:tab w:val="left" w:pos="0"/>
              </w:tabs>
              <w:rPr>
                <w:rFonts w:cs="EEAGN D+ Melior"/>
                <w:color w:val="000000"/>
              </w:rPr>
            </w:pPr>
            <w:r w:rsidRPr="00581C2D">
              <w:rPr>
                <w:rFonts w:cs="EEAGN D+ Melior"/>
                <w:color w:val="000000"/>
              </w:rPr>
              <w:t>Attachment C—Key Informant Survey/Questionnaire</w:t>
            </w:r>
          </w:p>
        </w:tc>
        <w:tc>
          <w:tcPr>
            <w:tcW w:w="1710" w:type="dxa"/>
            <w:shd w:val="clear" w:color="auto" w:fill="auto"/>
          </w:tcPr>
          <w:p w14:paraId="64B97ADF" w14:textId="77777777" w:rsidR="00581C2D" w:rsidRPr="00581C2D" w:rsidRDefault="00581C2D" w:rsidP="00581C2D">
            <w:pPr>
              <w:tabs>
                <w:tab w:val="left" w:pos="0"/>
              </w:tabs>
              <w:rPr>
                <w:rFonts w:cs="EEAGN D+ Melior"/>
                <w:color w:val="000000"/>
              </w:rPr>
            </w:pPr>
            <w:r w:rsidRPr="00581C2D">
              <w:rPr>
                <w:rFonts w:cs="EEAGN D+ Melior"/>
                <w:color w:val="000000"/>
              </w:rPr>
              <w:t>100</w:t>
            </w:r>
          </w:p>
        </w:tc>
        <w:tc>
          <w:tcPr>
            <w:tcW w:w="1702" w:type="dxa"/>
            <w:shd w:val="clear" w:color="auto" w:fill="auto"/>
          </w:tcPr>
          <w:p w14:paraId="3AABB2CD" w14:textId="77777777" w:rsidR="00581C2D" w:rsidRPr="00581C2D" w:rsidRDefault="00581C2D" w:rsidP="00581C2D">
            <w:pPr>
              <w:tabs>
                <w:tab w:val="left" w:pos="0"/>
              </w:tabs>
              <w:rPr>
                <w:rFonts w:cs="EEAGN D+ Melior"/>
                <w:color w:val="000000"/>
              </w:rPr>
            </w:pPr>
            <w:r w:rsidRPr="00581C2D">
              <w:rPr>
                <w:rFonts w:cs="EEAGN D+ Melior"/>
                <w:color w:val="000000"/>
              </w:rPr>
              <w:t>1</w:t>
            </w:r>
          </w:p>
        </w:tc>
        <w:tc>
          <w:tcPr>
            <w:tcW w:w="1358" w:type="dxa"/>
            <w:shd w:val="clear" w:color="auto" w:fill="auto"/>
          </w:tcPr>
          <w:p w14:paraId="67F72AA0" w14:textId="77777777" w:rsidR="00581C2D" w:rsidRPr="00581C2D" w:rsidRDefault="00581C2D" w:rsidP="00581C2D">
            <w:pPr>
              <w:tabs>
                <w:tab w:val="left" w:pos="0"/>
              </w:tabs>
              <w:rPr>
                <w:rFonts w:cs="EEAGN D+ Melior"/>
                <w:color w:val="000000"/>
              </w:rPr>
            </w:pPr>
            <w:r w:rsidRPr="00581C2D">
              <w:rPr>
                <w:rFonts w:cs="EEAGN D+ Melior"/>
                <w:color w:val="000000"/>
              </w:rPr>
              <w:t>1</w:t>
            </w:r>
          </w:p>
        </w:tc>
        <w:tc>
          <w:tcPr>
            <w:tcW w:w="985" w:type="dxa"/>
            <w:shd w:val="clear" w:color="auto" w:fill="auto"/>
          </w:tcPr>
          <w:p w14:paraId="102B3942" w14:textId="77777777" w:rsidR="00581C2D" w:rsidRPr="00581C2D" w:rsidRDefault="00581C2D" w:rsidP="00581C2D">
            <w:pPr>
              <w:tabs>
                <w:tab w:val="left" w:pos="0"/>
              </w:tabs>
              <w:rPr>
                <w:rFonts w:cs="EEAGN D+ Melior"/>
                <w:color w:val="000000"/>
              </w:rPr>
            </w:pPr>
            <w:r w:rsidRPr="00581C2D">
              <w:rPr>
                <w:rFonts w:cs="EEAGN D+ Melior"/>
                <w:color w:val="000000"/>
              </w:rPr>
              <w:t>100</w:t>
            </w:r>
          </w:p>
        </w:tc>
      </w:tr>
      <w:tr w:rsidR="00581C2D" w:rsidRPr="00581C2D" w14:paraId="59169EE9" w14:textId="77777777" w:rsidTr="00C25ED1">
        <w:trPr>
          <w:trHeight w:val="728"/>
        </w:trPr>
        <w:tc>
          <w:tcPr>
            <w:tcW w:w="1975" w:type="dxa"/>
            <w:shd w:val="clear" w:color="auto" w:fill="auto"/>
          </w:tcPr>
          <w:p w14:paraId="70B5F94F" w14:textId="77777777" w:rsidR="00581C2D" w:rsidRPr="00581C2D" w:rsidRDefault="00581C2D" w:rsidP="00581C2D">
            <w:pPr>
              <w:tabs>
                <w:tab w:val="left" w:pos="0"/>
              </w:tabs>
              <w:rPr>
                <w:rFonts w:cs="EEAGN D+ Melior"/>
                <w:color w:val="000000"/>
              </w:rPr>
            </w:pPr>
            <w:r w:rsidRPr="00581C2D">
              <w:rPr>
                <w:rFonts w:cs="EEAGN D+ Melior"/>
                <w:color w:val="000000"/>
              </w:rPr>
              <w:t>LA County Public Health Center Guests</w:t>
            </w:r>
          </w:p>
        </w:tc>
        <w:tc>
          <w:tcPr>
            <w:tcW w:w="1620" w:type="dxa"/>
            <w:shd w:val="clear" w:color="auto" w:fill="auto"/>
          </w:tcPr>
          <w:p w14:paraId="102A30EE" w14:textId="77777777" w:rsidR="00581C2D" w:rsidRPr="00581C2D" w:rsidRDefault="00581C2D" w:rsidP="00581C2D">
            <w:pPr>
              <w:tabs>
                <w:tab w:val="left" w:pos="0"/>
              </w:tabs>
              <w:rPr>
                <w:rFonts w:cs="EEAGN D+ Melior"/>
                <w:color w:val="000000"/>
              </w:rPr>
            </w:pPr>
            <w:r w:rsidRPr="00581C2D">
              <w:rPr>
                <w:rFonts w:cs="EEAGN D+ Melior"/>
                <w:color w:val="000000"/>
              </w:rPr>
              <w:t>Attachment D—Community Emergency Preparedness Survey</w:t>
            </w:r>
          </w:p>
        </w:tc>
        <w:tc>
          <w:tcPr>
            <w:tcW w:w="1710" w:type="dxa"/>
            <w:shd w:val="clear" w:color="auto" w:fill="auto"/>
          </w:tcPr>
          <w:p w14:paraId="3DA3DD39" w14:textId="77777777" w:rsidR="00581C2D" w:rsidRPr="00581C2D" w:rsidRDefault="00581C2D" w:rsidP="00581C2D">
            <w:pPr>
              <w:tabs>
                <w:tab w:val="left" w:pos="0"/>
              </w:tabs>
              <w:rPr>
                <w:rFonts w:cs="EEAGN D+ Melior"/>
                <w:color w:val="000000"/>
              </w:rPr>
            </w:pPr>
            <w:r w:rsidRPr="00581C2D">
              <w:rPr>
                <w:rFonts w:cs="EEAGN D+ Melior"/>
                <w:color w:val="000000"/>
              </w:rPr>
              <w:t>500</w:t>
            </w:r>
          </w:p>
        </w:tc>
        <w:tc>
          <w:tcPr>
            <w:tcW w:w="1702" w:type="dxa"/>
            <w:shd w:val="clear" w:color="auto" w:fill="auto"/>
          </w:tcPr>
          <w:p w14:paraId="526AA77A" w14:textId="77777777" w:rsidR="00581C2D" w:rsidRPr="00581C2D" w:rsidRDefault="00581C2D" w:rsidP="00581C2D">
            <w:pPr>
              <w:tabs>
                <w:tab w:val="left" w:pos="0"/>
              </w:tabs>
              <w:rPr>
                <w:rFonts w:cs="EEAGN D+ Melior"/>
                <w:color w:val="000000"/>
              </w:rPr>
            </w:pPr>
            <w:r w:rsidRPr="00581C2D">
              <w:rPr>
                <w:rFonts w:cs="EEAGN D+ Melior"/>
                <w:color w:val="000000"/>
              </w:rPr>
              <w:t>1</w:t>
            </w:r>
          </w:p>
        </w:tc>
        <w:tc>
          <w:tcPr>
            <w:tcW w:w="1358" w:type="dxa"/>
            <w:shd w:val="clear" w:color="auto" w:fill="auto"/>
          </w:tcPr>
          <w:p w14:paraId="60A7D001" w14:textId="77777777" w:rsidR="00581C2D" w:rsidRPr="00581C2D" w:rsidRDefault="00581C2D" w:rsidP="00581C2D">
            <w:pPr>
              <w:tabs>
                <w:tab w:val="left" w:pos="0"/>
              </w:tabs>
              <w:rPr>
                <w:rFonts w:cs="EEAGN D+ Melior"/>
                <w:color w:val="000000"/>
              </w:rPr>
            </w:pPr>
            <w:r w:rsidRPr="00581C2D">
              <w:rPr>
                <w:rFonts w:cs="EEAGN D+ Melior"/>
                <w:color w:val="000000"/>
              </w:rPr>
              <w:t>5/60</w:t>
            </w:r>
          </w:p>
        </w:tc>
        <w:tc>
          <w:tcPr>
            <w:tcW w:w="985" w:type="dxa"/>
            <w:shd w:val="clear" w:color="auto" w:fill="auto"/>
          </w:tcPr>
          <w:p w14:paraId="20E3AAA7" w14:textId="77777777" w:rsidR="00581C2D" w:rsidRPr="00581C2D" w:rsidRDefault="00581C2D" w:rsidP="00581C2D">
            <w:pPr>
              <w:tabs>
                <w:tab w:val="left" w:pos="0"/>
              </w:tabs>
              <w:rPr>
                <w:rFonts w:cs="EEAGN D+ Melior"/>
                <w:color w:val="000000"/>
              </w:rPr>
            </w:pPr>
            <w:r w:rsidRPr="00581C2D">
              <w:rPr>
                <w:rFonts w:cs="EEAGN D+ Melior"/>
                <w:color w:val="000000"/>
              </w:rPr>
              <w:t>42</w:t>
            </w:r>
          </w:p>
        </w:tc>
      </w:tr>
      <w:tr w:rsidR="00581C2D" w:rsidRPr="00581C2D" w14:paraId="2506F381" w14:textId="77777777" w:rsidTr="00C25ED1">
        <w:trPr>
          <w:trHeight w:val="728"/>
        </w:trPr>
        <w:tc>
          <w:tcPr>
            <w:tcW w:w="1975" w:type="dxa"/>
            <w:shd w:val="clear" w:color="auto" w:fill="auto"/>
          </w:tcPr>
          <w:p w14:paraId="53DB2D1B" w14:textId="77777777" w:rsidR="00581C2D" w:rsidRPr="00581C2D" w:rsidRDefault="00581C2D" w:rsidP="00581C2D">
            <w:pPr>
              <w:tabs>
                <w:tab w:val="left" w:pos="0"/>
              </w:tabs>
              <w:rPr>
                <w:rFonts w:cs="EEAGN D+ Melior"/>
                <w:color w:val="000000"/>
              </w:rPr>
            </w:pPr>
            <w:r w:rsidRPr="00581C2D">
              <w:rPr>
                <w:rFonts w:cs="EEAGN D+ Melior"/>
                <w:color w:val="000000"/>
              </w:rPr>
              <w:t>LA County Community Partner Stakeholders</w:t>
            </w:r>
          </w:p>
        </w:tc>
        <w:tc>
          <w:tcPr>
            <w:tcW w:w="1620" w:type="dxa"/>
            <w:shd w:val="clear" w:color="auto" w:fill="auto"/>
          </w:tcPr>
          <w:p w14:paraId="1A5E4432" w14:textId="77777777" w:rsidR="00581C2D" w:rsidRPr="00581C2D" w:rsidRDefault="00581C2D" w:rsidP="00581C2D">
            <w:pPr>
              <w:tabs>
                <w:tab w:val="left" w:pos="0"/>
              </w:tabs>
              <w:rPr>
                <w:rFonts w:cs="EEAGN D+ Melior"/>
                <w:color w:val="000000"/>
              </w:rPr>
            </w:pPr>
            <w:r w:rsidRPr="00581C2D">
              <w:rPr>
                <w:rFonts w:cs="EEAGN D+ Melior"/>
                <w:color w:val="000000"/>
              </w:rPr>
              <w:t>Attachment D—Community Emergency Preparedness Survey</w:t>
            </w:r>
          </w:p>
        </w:tc>
        <w:tc>
          <w:tcPr>
            <w:tcW w:w="1710" w:type="dxa"/>
            <w:shd w:val="clear" w:color="auto" w:fill="auto"/>
          </w:tcPr>
          <w:p w14:paraId="2D6AEE68" w14:textId="77777777" w:rsidR="00581C2D" w:rsidRPr="00581C2D" w:rsidRDefault="00581C2D" w:rsidP="00581C2D">
            <w:pPr>
              <w:tabs>
                <w:tab w:val="left" w:pos="0"/>
              </w:tabs>
              <w:rPr>
                <w:rFonts w:cs="EEAGN D+ Melior"/>
                <w:color w:val="000000"/>
              </w:rPr>
            </w:pPr>
            <w:r w:rsidRPr="00581C2D">
              <w:rPr>
                <w:rFonts w:cs="EEAGN D+ Melior"/>
                <w:color w:val="000000"/>
              </w:rPr>
              <w:t>500</w:t>
            </w:r>
          </w:p>
        </w:tc>
        <w:tc>
          <w:tcPr>
            <w:tcW w:w="1702" w:type="dxa"/>
            <w:shd w:val="clear" w:color="auto" w:fill="auto"/>
          </w:tcPr>
          <w:p w14:paraId="7A48E71E" w14:textId="77777777" w:rsidR="00581C2D" w:rsidRPr="00581C2D" w:rsidRDefault="00581C2D" w:rsidP="00581C2D">
            <w:pPr>
              <w:tabs>
                <w:tab w:val="left" w:pos="0"/>
              </w:tabs>
              <w:rPr>
                <w:rFonts w:cs="EEAGN D+ Melior"/>
                <w:color w:val="000000"/>
              </w:rPr>
            </w:pPr>
            <w:r w:rsidRPr="00581C2D">
              <w:rPr>
                <w:rFonts w:cs="EEAGN D+ Melior"/>
                <w:color w:val="000000"/>
              </w:rPr>
              <w:t>1</w:t>
            </w:r>
          </w:p>
        </w:tc>
        <w:tc>
          <w:tcPr>
            <w:tcW w:w="1358" w:type="dxa"/>
            <w:shd w:val="clear" w:color="auto" w:fill="auto"/>
          </w:tcPr>
          <w:p w14:paraId="59D753D9" w14:textId="77777777" w:rsidR="00581C2D" w:rsidRPr="00581C2D" w:rsidRDefault="00581C2D" w:rsidP="00581C2D">
            <w:pPr>
              <w:tabs>
                <w:tab w:val="left" w:pos="0"/>
              </w:tabs>
              <w:rPr>
                <w:rFonts w:cs="EEAGN D+ Melior"/>
                <w:color w:val="000000"/>
              </w:rPr>
            </w:pPr>
            <w:r w:rsidRPr="00581C2D">
              <w:rPr>
                <w:rFonts w:cs="EEAGN D+ Melior"/>
                <w:color w:val="000000"/>
              </w:rPr>
              <w:t>5/60</w:t>
            </w:r>
          </w:p>
        </w:tc>
        <w:tc>
          <w:tcPr>
            <w:tcW w:w="985" w:type="dxa"/>
            <w:shd w:val="clear" w:color="auto" w:fill="auto"/>
          </w:tcPr>
          <w:p w14:paraId="34B87FAE" w14:textId="77777777" w:rsidR="00581C2D" w:rsidRPr="00581C2D" w:rsidRDefault="00581C2D" w:rsidP="00581C2D">
            <w:pPr>
              <w:tabs>
                <w:tab w:val="left" w:pos="0"/>
              </w:tabs>
              <w:rPr>
                <w:rFonts w:cs="EEAGN D+ Melior"/>
                <w:color w:val="000000"/>
              </w:rPr>
            </w:pPr>
            <w:r w:rsidRPr="00581C2D">
              <w:rPr>
                <w:rFonts w:cs="EEAGN D+ Melior"/>
                <w:color w:val="000000"/>
              </w:rPr>
              <w:t>42</w:t>
            </w:r>
          </w:p>
        </w:tc>
      </w:tr>
      <w:tr w:rsidR="00581C2D" w:rsidRPr="00581C2D" w14:paraId="7A169E10" w14:textId="77777777" w:rsidTr="00C25ED1">
        <w:trPr>
          <w:trHeight w:val="728"/>
        </w:trPr>
        <w:tc>
          <w:tcPr>
            <w:tcW w:w="1975" w:type="dxa"/>
            <w:shd w:val="clear" w:color="auto" w:fill="auto"/>
          </w:tcPr>
          <w:p w14:paraId="16B865AC" w14:textId="77777777" w:rsidR="00581C2D" w:rsidRPr="00581C2D" w:rsidRDefault="00581C2D" w:rsidP="00581C2D">
            <w:pPr>
              <w:tabs>
                <w:tab w:val="left" w:pos="0"/>
              </w:tabs>
              <w:rPr>
                <w:rFonts w:cs="EEAGN D+ Melior"/>
                <w:color w:val="000000"/>
              </w:rPr>
            </w:pPr>
            <w:r w:rsidRPr="00581C2D">
              <w:rPr>
                <w:rFonts w:cs="EEAGN D+ Melior"/>
                <w:color w:val="000000"/>
              </w:rPr>
              <w:t>LA County Community Residents</w:t>
            </w:r>
          </w:p>
        </w:tc>
        <w:tc>
          <w:tcPr>
            <w:tcW w:w="1620" w:type="dxa"/>
            <w:shd w:val="clear" w:color="auto" w:fill="auto"/>
          </w:tcPr>
          <w:p w14:paraId="3B2127BD" w14:textId="77777777" w:rsidR="00581C2D" w:rsidRPr="00581C2D" w:rsidRDefault="00581C2D" w:rsidP="00581C2D">
            <w:pPr>
              <w:tabs>
                <w:tab w:val="left" w:pos="0"/>
              </w:tabs>
              <w:rPr>
                <w:rFonts w:cs="EEAGN D+ Melior"/>
                <w:color w:val="000000"/>
              </w:rPr>
            </w:pPr>
            <w:r w:rsidRPr="00581C2D">
              <w:rPr>
                <w:rFonts w:cs="EEAGN D+ Melior"/>
                <w:color w:val="000000"/>
              </w:rPr>
              <w:t>Attachment D—Community Emergency Preparedness Survey</w:t>
            </w:r>
          </w:p>
        </w:tc>
        <w:tc>
          <w:tcPr>
            <w:tcW w:w="1710" w:type="dxa"/>
            <w:shd w:val="clear" w:color="auto" w:fill="auto"/>
          </w:tcPr>
          <w:p w14:paraId="01FE569B" w14:textId="77777777" w:rsidR="00581C2D" w:rsidRPr="00581C2D" w:rsidRDefault="00581C2D" w:rsidP="00581C2D">
            <w:pPr>
              <w:tabs>
                <w:tab w:val="left" w:pos="0"/>
              </w:tabs>
              <w:rPr>
                <w:rFonts w:cs="EEAGN D+ Melior"/>
                <w:color w:val="000000"/>
              </w:rPr>
            </w:pPr>
            <w:r w:rsidRPr="00581C2D">
              <w:rPr>
                <w:rFonts w:cs="EEAGN D+ Melior"/>
                <w:color w:val="000000"/>
              </w:rPr>
              <w:t>500</w:t>
            </w:r>
          </w:p>
        </w:tc>
        <w:tc>
          <w:tcPr>
            <w:tcW w:w="1702" w:type="dxa"/>
            <w:shd w:val="clear" w:color="auto" w:fill="auto"/>
          </w:tcPr>
          <w:p w14:paraId="154D1CBA" w14:textId="77777777" w:rsidR="00581C2D" w:rsidRPr="00581C2D" w:rsidRDefault="00581C2D" w:rsidP="00581C2D">
            <w:pPr>
              <w:tabs>
                <w:tab w:val="left" w:pos="0"/>
              </w:tabs>
              <w:rPr>
                <w:rFonts w:cs="EEAGN D+ Melior"/>
                <w:color w:val="000000"/>
              </w:rPr>
            </w:pPr>
            <w:r w:rsidRPr="00581C2D">
              <w:rPr>
                <w:rFonts w:cs="EEAGN D+ Melior"/>
                <w:color w:val="000000"/>
              </w:rPr>
              <w:t>1</w:t>
            </w:r>
          </w:p>
        </w:tc>
        <w:tc>
          <w:tcPr>
            <w:tcW w:w="1358" w:type="dxa"/>
            <w:shd w:val="clear" w:color="auto" w:fill="auto"/>
          </w:tcPr>
          <w:p w14:paraId="4A53C9B0" w14:textId="77777777" w:rsidR="00581C2D" w:rsidRPr="00581C2D" w:rsidRDefault="00581C2D" w:rsidP="00581C2D">
            <w:pPr>
              <w:tabs>
                <w:tab w:val="left" w:pos="0"/>
              </w:tabs>
              <w:rPr>
                <w:rFonts w:cs="EEAGN D+ Melior"/>
                <w:color w:val="000000"/>
              </w:rPr>
            </w:pPr>
            <w:r w:rsidRPr="00581C2D">
              <w:rPr>
                <w:rFonts w:cs="EEAGN D+ Melior"/>
                <w:color w:val="000000"/>
              </w:rPr>
              <w:t>5/60</w:t>
            </w:r>
          </w:p>
        </w:tc>
        <w:tc>
          <w:tcPr>
            <w:tcW w:w="985" w:type="dxa"/>
            <w:shd w:val="clear" w:color="auto" w:fill="auto"/>
          </w:tcPr>
          <w:p w14:paraId="0B6D45AC" w14:textId="1BC5F82E" w:rsidR="00581C2D" w:rsidRPr="00581C2D" w:rsidRDefault="00EE5253" w:rsidP="00EE5253">
            <w:pPr>
              <w:tabs>
                <w:tab w:val="left" w:pos="0"/>
              </w:tabs>
              <w:rPr>
                <w:rFonts w:cs="EEAGN D+ Melior"/>
                <w:color w:val="000000"/>
              </w:rPr>
            </w:pPr>
            <w:r w:rsidRPr="00581C2D">
              <w:rPr>
                <w:rFonts w:cs="EEAGN D+ Melior"/>
                <w:color w:val="000000"/>
              </w:rPr>
              <w:t>4</w:t>
            </w:r>
            <w:r>
              <w:rPr>
                <w:rFonts w:cs="EEAGN D+ Melior"/>
                <w:color w:val="000000"/>
              </w:rPr>
              <w:t>2</w:t>
            </w:r>
          </w:p>
        </w:tc>
      </w:tr>
      <w:tr w:rsidR="00581C2D" w:rsidRPr="00581C2D" w14:paraId="40AEFFF5" w14:textId="77777777" w:rsidTr="00C25ED1">
        <w:trPr>
          <w:trHeight w:val="728"/>
        </w:trPr>
        <w:tc>
          <w:tcPr>
            <w:tcW w:w="1975" w:type="dxa"/>
            <w:shd w:val="clear" w:color="auto" w:fill="auto"/>
          </w:tcPr>
          <w:p w14:paraId="50BAD00F" w14:textId="77777777" w:rsidR="00581C2D" w:rsidRPr="00581C2D" w:rsidRDefault="00581C2D" w:rsidP="00581C2D">
            <w:pPr>
              <w:tabs>
                <w:tab w:val="left" w:pos="0"/>
              </w:tabs>
              <w:rPr>
                <w:rFonts w:cs="EEAGN D+ Melior"/>
                <w:color w:val="000000"/>
              </w:rPr>
            </w:pPr>
            <w:r w:rsidRPr="00581C2D">
              <w:rPr>
                <w:rFonts w:cs="EEAGN D+ Melior"/>
                <w:color w:val="000000"/>
              </w:rPr>
              <w:t>Total</w:t>
            </w:r>
          </w:p>
        </w:tc>
        <w:tc>
          <w:tcPr>
            <w:tcW w:w="1620" w:type="dxa"/>
            <w:shd w:val="clear" w:color="auto" w:fill="auto"/>
          </w:tcPr>
          <w:p w14:paraId="29CCC038" w14:textId="77777777" w:rsidR="00581C2D" w:rsidRPr="00581C2D" w:rsidRDefault="00581C2D" w:rsidP="00581C2D">
            <w:pPr>
              <w:tabs>
                <w:tab w:val="left" w:pos="0"/>
              </w:tabs>
              <w:rPr>
                <w:rFonts w:cs="EEAGN D+ Melior"/>
                <w:color w:val="000000"/>
              </w:rPr>
            </w:pPr>
          </w:p>
        </w:tc>
        <w:tc>
          <w:tcPr>
            <w:tcW w:w="1710" w:type="dxa"/>
            <w:shd w:val="clear" w:color="auto" w:fill="auto"/>
          </w:tcPr>
          <w:p w14:paraId="2EF6E5FB" w14:textId="32F8A286" w:rsidR="00581C2D" w:rsidRPr="00581C2D" w:rsidRDefault="00581C2D" w:rsidP="00581C2D">
            <w:pPr>
              <w:tabs>
                <w:tab w:val="left" w:pos="0"/>
              </w:tabs>
              <w:rPr>
                <w:rFonts w:cs="EEAGN D+ Melior"/>
                <w:color w:val="000000"/>
              </w:rPr>
            </w:pPr>
          </w:p>
        </w:tc>
        <w:tc>
          <w:tcPr>
            <w:tcW w:w="1702" w:type="dxa"/>
            <w:shd w:val="clear" w:color="auto" w:fill="auto"/>
          </w:tcPr>
          <w:p w14:paraId="50E1AC85" w14:textId="77777777" w:rsidR="00581C2D" w:rsidRPr="00581C2D" w:rsidRDefault="00581C2D" w:rsidP="00581C2D">
            <w:pPr>
              <w:tabs>
                <w:tab w:val="left" w:pos="0"/>
              </w:tabs>
              <w:rPr>
                <w:rFonts w:cs="EEAGN D+ Melior"/>
                <w:color w:val="000000"/>
              </w:rPr>
            </w:pPr>
          </w:p>
        </w:tc>
        <w:tc>
          <w:tcPr>
            <w:tcW w:w="1358" w:type="dxa"/>
            <w:shd w:val="clear" w:color="auto" w:fill="auto"/>
          </w:tcPr>
          <w:p w14:paraId="7CA43817" w14:textId="77777777" w:rsidR="00581C2D" w:rsidRPr="00581C2D" w:rsidRDefault="00581C2D" w:rsidP="00581C2D">
            <w:pPr>
              <w:tabs>
                <w:tab w:val="left" w:pos="0"/>
              </w:tabs>
              <w:rPr>
                <w:rFonts w:cs="EEAGN D+ Melior"/>
                <w:color w:val="000000"/>
              </w:rPr>
            </w:pPr>
          </w:p>
        </w:tc>
        <w:tc>
          <w:tcPr>
            <w:tcW w:w="985" w:type="dxa"/>
            <w:shd w:val="clear" w:color="auto" w:fill="auto"/>
          </w:tcPr>
          <w:p w14:paraId="4308B906" w14:textId="712750A8" w:rsidR="00581C2D" w:rsidRPr="00581C2D" w:rsidRDefault="00EE5253" w:rsidP="00EE5253">
            <w:pPr>
              <w:tabs>
                <w:tab w:val="left" w:pos="0"/>
              </w:tabs>
              <w:rPr>
                <w:rFonts w:cs="EEAGN D+ Melior"/>
                <w:color w:val="000000"/>
              </w:rPr>
            </w:pPr>
            <w:r w:rsidRPr="00581C2D">
              <w:rPr>
                <w:rFonts w:cs="EEAGN D+ Melior"/>
                <w:color w:val="000000"/>
              </w:rPr>
              <w:t>22</w:t>
            </w:r>
            <w:r>
              <w:rPr>
                <w:rFonts w:cs="EEAGN D+ Melior"/>
                <w:color w:val="000000"/>
              </w:rPr>
              <w:t>6</w:t>
            </w:r>
          </w:p>
        </w:tc>
      </w:tr>
    </w:tbl>
    <w:p w14:paraId="451AC421" w14:textId="77777777" w:rsidR="00581C2D" w:rsidRPr="006068B0" w:rsidRDefault="00581C2D" w:rsidP="00B34A53"/>
    <w:p w14:paraId="6A16C6CB" w14:textId="67EB9953" w:rsidR="00B34A53" w:rsidRPr="006068B0" w:rsidRDefault="00B34A53" w:rsidP="00B34A53">
      <w:r w:rsidRPr="006068B0">
        <w:t xml:space="preserve">From Exhibit 1, the total burden hours of data collection </w:t>
      </w:r>
      <w:r w:rsidR="00AD6B26">
        <w:t>activities for this study is 226</w:t>
      </w:r>
      <w:r w:rsidRPr="006068B0">
        <w:t>. Exhibit 2 shows the estimated annualized costs of the data collection activities described above. From Exhibit 2 the total estimated annualized burden cost of data collection for this study is $4,859.</w:t>
      </w:r>
    </w:p>
    <w:p w14:paraId="480DDE62" w14:textId="77777777" w:rsidR="003140FA" w:rsidRPr="006068B0" w:rsidRDefault="003140FA" w:rsidP="003140FA"/>
    <w:p w14:paraId="5A90EAAC" w14:textId="0487ACD1" w:rsidR="00B34A53" w:rsidRPr="006068B0" w:rsidRDefault="00B34A53" w:rsidP="003140FA">
      <w:pPr>
        <w:rPr>
          <w:b/>
        </w:rPr>
      </w:pPr>
      <w:r w:rsidRPr="006068B0">
        <w:rPr>
          <w:b/>
        </w:rPr>
        <w:t>Exhibit 2: Estimated Annualized Burden Costs</w:t>
      </w:r>
    </w:p>
    <w:p w14:paraId="01F64205" w14:textId="77777777" w:rsidR="00F30BDC" w:rsidRDefault="00F30BDC" w:rsidP="00B34A53"/>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0"/>
        <w:gridCol w:w="1170"/>
        <w:gridCol w:w="1080"/>
        <w:gridCol w:w="1260"/>
        <w:gridCol w:w="900"/>
        <w:gridCol w:w="990"/>
        <w:gridCol w:w="990"/>
      </w:tblGrid>
      <w:tr w:rsidR="00F30BDC" w:rsidRPr="00F30BDC" w14:paraId="32BD618C" w14:textId="77777777" w:rsidTr="00A82243">
        <w:tc>
          <w:tcPr>
            <w:tcW w:w="1975" w:type="dxa"/>
            <w:shd w:val="clear" w:color="auto" w:fill="auto"/>
          </w:tcPr>
          <w:p w14:paraId="5B67CD97" w14:textId="77777777" w:rsidR="00F30BDC" w:rsidRPr="00F30BDC" w:rsidRDefault="00F30BDC" w:rsidP="00F30BDC">
            <w:pPr>
              <w:tabs>
                <w:tab w:val="left" w:pos="0"/>
              </w:tabs>
              <w:rPr>
                <w:rFonts w:cs="EEAGN D+ Melior"/>
                <w:color w:val="000000"/>
              </w:rPr>
            </w:pPr>
            <w:r w:rsidRPr="00F30BDC">
              <w:rPr>
                <w:rFonts w:cs="EEAGN D+ Melior"/>
                <w:color w:val="000000"/>
              </w:rPr>
              <w:t>Type of Respondents</w:t>
            </w:r>
          </w:p>
        </w:tc>
        <w:tc>
          <w:tcPr>
            <w:tcW w:w="1440" w:type="dxa"/>
            <w:shd w:val="clear" w:color="auto" w:fill="auto"/>
          </w:tcPr>
          <w:p w14:paraId="38470A53" w14:textId="77777777" w:rsidR="00F30BDC" w:rsidRPr="00F30BDC" w:rsidRDefault="00F30BDC" w:rsidP="00F30BDC">
            <w:pPr>
              <w:tabs>
                <w:tab w:val="left" w:pos="0"/>
              </w:tabs>
              <w:rPr>
                <w:rFonts w:cs="EEAGN D+ Melior"/>
                <w:color w:val="000000"/>
              </w:rPr>
            </w:pPr>
            <w:r w:rsidRPr="00F30BDC">
              <w:rPr>
                <w:rFonts w:cs="EEAGN D+ Melior"/>
                <w:color w:val="000000"/>
              </w:rPr>
              <w:t>Form Name</w:t>
            </w:r>
          </w:p>
        </w:tc>
        <w:tc>
          <w:tcPr>
            <w:tcW w:w="1170" w:type="dxa"/>
            <w:shd w:val="clear" w:color="auto" w:fill="auto"/>
          </w:tcPr>
          <w:p w14:paraId="1863DE48" w14:textId="77777777" w:rsidR="00F30BDC" w:rsidRPr="00F30BDC" w:rsidRDefault="00F30BDC" w:rsidP="00F30BDC">
            <w:pPr>
              <w:tabs>
                <w:tab w:val="left" w:pos="0"/>
              </w:tabs>
              <w:rPr>
                <w:rFonts w:cs="EEAGN D+ Melior"/>
                <w:color w:val="000000"/>
              </w:rPr>
            </w:pPr>
            <w:r w:rsidRPr="00F30BDC">
              <w:rPr>
                <w:rFonts w:cs="EEAGN D+ Melior"/>
                <w:color w:val="000000"/>
              </w:rPr>
              <w:t>No. of Respondents</w:t>
            </w:r>
          </w:p>
        </w:tc>
        <w:tc>
          <w:tcPr>
            <w:tcW w:w="1080" w:type="dxa"/>
            <w:shd w:val="clear" w:color="auto" w:fill="auto"/>
          </w:tcPr>
          <w:p w14:paraId="4A53389D" w14:textId="77777777" w:rsidR="00F30BDC" w:rsidRPr="00F30BDC" w:rsidRDefault="00F30BDC" w:rsidP="00F30BDC">
            <w:pPr>
              <w:tabs>
                <w:tab w:val="left" w:pos="0"/>
              </w:tabs>
              <w:rPr>
                <w:rFonts w:cs="EEAGN D+ Melior"/>
                <w:color w:val="000000"/>
              </w:rPr>
            </w:pPr>
            <w:r w:rsidRPr="00F30BDC">
              <w:rPr>
                <w:rFonts w:cs="EEAGN D+ Melior"/>
                <w:color w:val="000000"/>
              </w:rPr>
              <w:t>No. of Responses per Respondent</w:t>
            </w:r>
          </w:p>
        </w:tc>
        <w:tc>
          <w:tcPr>
            <w:tcW w:w="1260" w:type="dxa"/>
            <w:shd w:val="clear" w:color="auto" w:fill="auto"/>
          </w:tcPr>
          <w:p w14:paraId="75AFAB4F" w14:textId="77777777" w:rsidR="00F30BDC" w:rsidRPr="00F30BDC" w:rsidRDefault="00F30BDC" w:rsidP="00F30BDC">
            <w:pPr>
              <w:tabs>
                <w:tab w:val="left" w:pos="0"/>
              </w:tabs>
              <w:rPr>
                <w:rFonts w:cs="EEAGN D+ Melior"/>
                <w:color w:val="000000"/>
              </w:rPr>
            </w:pPr>
            <w:r w:rsidRPr="00F30BDC">
              <w:rPr>
                <w:rFonts w:cs="EEAGN D+ Melior"/>
                <w:color w:val="000000"/>
              </w:rPr>
              <w:t>Avg. Burden per Response (in hrs.)</w:t>
            </w:r>
          </w:p>
        </w:tc>
        <w:tc>
          <w:tcPr>
            <w:tcW w:w="900" w:type="dxa"/>
            <w:shd w:val="clear" w:color="auto" w:fill="auto"/>
          </w:tcPr>
          <w:p w14:paraId="6F4BF274" w14:textId="77777777" w:rsidR="00F30BDC" w:rsidRPr="00F30BDC" w:rsidRDefault="00F30BDC" w:rsidP="00F30BDC">
            <w:pPr>
              <w:tabs>
                <w:tab w:val="left" w:pos="0"/>
              </w:tabs>
              <w:rPr>
                <w:rFonts w:cs="EEAGN D+ Melior"/>
                <w:color w:val="000000"/>
              </w:rPr>
            </w:pPr>
            <w:r w:rsidRPr="00F30BDC">
              <w:rPr>
                <w:rFonts w:cs="EEAGN D+ Melior"/>
                <w:color w:val="000000"/>
              </w:rPr>
              <w:t>Total Burden (in hrs.)</w:t>
            </w:r>
          </w:p>
        </w:tc>
        <w:tc>
          <w:tcPr>
            <w:tcW w:w="990" w:type="dxa"/>
          </w:tcPr>
          <w:p w14:paraId="4FA1369D" w14:textId="77777777" w:rsidR="00F30BDC" w:rsidRPr="00F30BDC" w:rsidRDefault="00F30BDC" w:rsidP="00F30BDC">
            <w:pPr>
              <w:tabs>
                <w:tab w:val="left" w:pos="0"/>
              </w:tabs>
              <w:rPr>
                <w:rFonts w:cs="EEAGN D+ Melior"/>
                <w:color w:val="000000"/>
              </w:rPr>
            </w:pPr>
            <w:r w:rsidRPr="00F30BDC">
              <w:rPr>
                <w:rFonts w:cs="EEAGN D+ Melior"/>
                <w:color w:val="000000"/>
              </w:rPr>
              <w:t>Hourly Wage Rate</w:t>
            </w:r>
          </w:p>
        </w:tc>
        <w:tc>
          <w:tcPr>
            <w:tcW w:w="990" w:type="dxa"/>
          </w:tcPr>
          <w:p w14:paraId="76B90338" w14:textId="77777777" w:rsidR="00F30BDC" w:rsidRPr="00F30BDC" w:rsidRDefault="00F30BDC" w:rsidP="00F30BDC">
            <w:pPr>
              <w:tabs>
                <w:tab w:val="left" w:pos="0"/>
              </w:tabs>
              <w:ind w:right="240"/>
              <w:rPr>
                <w:rFonts w:cs="EEAGN D+ Melior"/>
                <w:color w:val="000000"/>
              </w:rPr>
            </w:pPr>
            <w:r w:rsidRPr="00F30BDC">
              <w:rPr>
                <w:rFonts w:cs="EEAGN D+ Melior"/>
                <w:color w:val="000000"/>
              </w:rPr>
              <w:t>Total Respondent Costs</w:t>
            </w:r>
          </w:p>
        </w:tc>
      </w:tr>
      <w:tr w:rsidR="00F30BDC" w:rsidRPr="00F30BDC" w14:paraId="753561FC" w14:textId="77777777" w:rsidTr="00A82243">
        <w:trPr>
          <w:trHeight w:val="656"/>
        </w:trPr>
        <w:tc>
          <w:tcPr>
            <w:tcW w:w="1975" w:type="dxa"/>
            <w:shd w:val="clear" w:color="auto" w:fill="auto"/>
          </w:tcPr>
          <w:p w14:paraId="26540869" w14:textId="77777777" w:rsidR="00F30BDC" w:rsidRPr="00F30BDC" w:rsidRDefault="00F30BDC" w:rsidP="00F30BDC">
            <w:pPr>
              <w:tabs>
                <w:tab w:val="left" w:pos="0"/>
              </w:tabs>
              <w:rPr>
                <w:rFonts w:cs="EEAGN D+ Melior"/>
                <w:color w:val="000000"/>
              </w:rPr>
            </w:pPr>
            <w:r w:rsidRPr="00F30BDC">
              <w:rPr>
                <w:rFonts w:cs="EEAGN D+ Melior"/>
                <w:color w:val="000000"/>
              </w:rPr>
              <w:t>Public Health and Medical Emergency Planners Key Informants</w:t>
            </w:r>
          </w:p>
        </w:tc>
        <w:tc>
          <w:tcPr>
            <w:tcW w:w="1440" w:type="dxa"/>
            <w:shd w:val="clear" w:color="auto" w:fill="auto"/>
          </w:tcPr>
          <w:p w14:paraId="00D361BD" w14:textId="77777777" w:rsidR="00F30BDC" w:rsidRPr="00F30BDC" w:rsidRDefault="00F30BDC" w:rsidP="00F30BDC">
            <w:pPr>
              <w:tabs>
                <w:tab w:val="left" w:pos="0"/>
              </w:tabs>
              <w:rPr>
                <w:rFonts w:cs="EEAGN D+ Melior"/>
                <w:color w:val="000000"/>
              </w:rPr>
            </w:pPr>
            <w:r w:rsidRPr="00F30BDC">
              <w:rPr>
                <w:rFonts w:cs="EEAGN D+ Melior"/>
                <w:color w:val="000000"/>
              </w:rPr>
              <w:t>Attachment C— Key Informant Survey/Questionnaire</w:t>
            </w:r>
          </w:p>
        </w:tc>
        <w:tc>
          <w:tcPr>
            <w:tcW w:w="1170" w:type="dxa"/>
            <w:shd w:val="clear" w:color="auto" w:fill="auto"/>
          </w:tcPr>
          <w:p w14:paraId="48594EF9" w14:textId="77777777" w:rsidR="00F30BDC" w:rsidRPr="00F30BDC" w:rsidRDefault="00F30BDC" w:rsidP="00F30BDC">
            <w:pPr>
              <w:tabs>
                <w:tab w:val="left" w:pos="0"/>
              </w:tabs>
              <w:rPr>
                <w:rFonts w:cs="EEAGN D+ Melior"/>
                <w:color w:val="000000"/>
              </w:rPr>
            </w:pPr>
            <w:r w:rsidRPr="00F30BDC">
              <w:rPr>
                <w:rFonts w:cs="EEAGN D+ Melior"/>
                <w:color w:val="000000"/>
              </w:rPr>
              <w:t>100</w:t>
            </w:r>
          </w:p>
        </w:tc>
        <w:tc>
          <w:tcPr>
            <w:tcW w:w="1080" w:type="dxa"/>
            <w:shd w:val="clear" w:color="auto" w:fill="auto"/>
          </w:tcPr>
          <w:p w14:paraId="253792F5" w14:textId="77777777" w:rsidR="00F30BDC" w:rsidRPr="00F30BDC" w:rsidRDefault="00F30BDC" w:rsidP="00F30BDC">
            <w:pPr>
              <w:tabs>
                <w:tab w:val="left" w:pos="0"/>
              </w:tabs>
              <w:rPr>
                <w:rFonts w:cs="EEAGN D+ Melior"/>
                <w:color w:val="000000"/>
              </w:rPr>
            </w:pPr>
            <w:r w:rsidRPr="00F30BDC">
              <w:rPr>
                <w:rFonts w:cs="EEAGN D+ Melior"/>
                <w:color w:val="000000"/>
              </w:rPr>
              <w:t>1</w:t>
            </w:r>
          </w:p>
        </w:tc>
        <w:tc>
          <w:tcPr>
            <w:tcW w:w="1260" w:type="dxa"/>
            <w:shd w:val="clear" w:color="auto" w:fill="auto"/>
          </w:tcPr>
          <w:p w14:paraId="600D808B" w14:textId="77777777" w:rsidR="00F30BDC" w:rsidRPr="00F30BDC" w:rsidRDefault="00F30BDC" w:rsidP="00F30BDC">
            <w:pPr>
              <w:tabs>
                <w:tab w:val="left" w:pos="0"/>
              </w:tabs>
              <w:rPr>
                <w:rFonts w:cs="EEAGN D+ Melior"/>
                <w:color w:val="000000"/>
              </w:rPr>
            </w:pPr>
            <w:r w:rsidRPr="00F30BDC">
              <w:rPr>
                <w:rFonts w:cs="EEAGN D+ Melior"/>
                <w:color w:val="000000"/>
              </w:rPr>
              <w:t>1</w:t>
            </w:r>
          </w:p>
        </w:tc>
        <w:tc>
          <w:tcPr>
            <w:tcW w:w="900" w:type="dxa"/>
            <w:shd w:val="clear" w:color="auto" w:fill="auto"/>
          </w:tcPr>
          <w:p w14:paraId="01092F8A" w14:textId="77777777" w:rsidR="00F30BDC" w:rsidRPr="00F30BDC" w:rsidRDefault="00F30BDC" w:rsidP="00F30BDC">
            <w:pPr>
              <w:tabs>
                <w:tab w:val="left" w:pos="0"/>
              </w:tabs>
              <w:rPr>
                <w:rFonts w:cs="EEAGN D+ Melior"/>
                <w:color w:val="000000"/>
              </w:rPr>
            </w:pPr>
            <w:r w:rsidRPr="00F30BDC">
              <w:rPr>
                <w:rFonts w:cs="EEAGN D+ Melior"/>
                <w:color w:val="000000"/>
              </w:rPr>
              <w:t>100</w:t>
            </w:r>
          </w:p>
        </w:tc>
        <w:tc>
          <w:tcPr>
            <w:tcW w:w="990" w:type="dxa"/>
          </w:tcPr>
          <w:p w14:paraId="587168D8" w14:textId="77777777" w:rsidR="00F30BDC" w:rsidRPr="00F30BDC" w:rsidRDefault="00F30BDC" w:rsidP="00F30BDC">
            <w:pPr>
              <w:tabs>
                <w:tab w:val="left" w:pos="0"/>
              </w:tabs>
              <w:rPr>
                <w:rFonts w:cs="EEAGN D+ Melior"/>
                <w:color w:val="000000"/>
              </w:rPr>
            </w:pPr>
            <w:r w:rsidRPr="00F30BDC">
              <w:rPr>
                <w:rFonts w:cs="EEAGN D+ Melior"/>
                <w:color w:val="000000"/>
              </w:rPr>
              <w:t>$35.46*</w:t>
            </w:r>
          </w:p>
        </w:tc>
        <w:tc>
          <w:tcPr>
            <w:tcW w:w="990" w:type="dxa"/>
          </w:tcPr>
          <w:p w14:paraId="11D00AA7" w14:textId="77777777" w:rsidR="00F30BDC" w:rsidRPr="00F30BDC" w:rsidRDefault="00F30BDC" w:rsidP="00F30BDC">
            <w:pPr>
              <w:tabs>
                <w:tab w:val="left" w:pos="0"/>
              </w:tabs>
              <w:rPr>
                <w:rFonts w:cs="EEAGN D+ Melior"/>
                <w:color w:val="000000"/>
              </w:rPr>
            </w:pPr>
            <w:r w:rsidRPr="00F30BDC">
              <w:rPr>
                <w:rFonts w:cs="EEAGN D+ Melior"/>
                <w:color w:val="000000"/>
              </w:rPr>
              <w:t>$3,546</w:t>
            </w:r>
          </w:p>
        </w:tc>
      </w:tr>
      <w:tr w:rsidR="00F30BDC" w:rsidRPr="00F30BDC" w14:paraId="59D26F31" w14:textId="77777777" w:rsidTr="00A82243">
        <w:trPr>
          <w:trHeight w:val="728"/>
        </w:trPr>
        <w:tc>
          <w:tcPr>
            <w:tcW w:w="1975" w:type="dxa"/>
            <w:shd w:val="clear" w:color="auto" w:fill="auto"/>
          </w:tcPr>
          <w:p w14:paraId="1BFCFF07" w14:textId="77777777" w:rsidR="00F30BDC" w:rsidRPr="00F30BDC" w:rsidRDefault="00F30BDC" w:rsidP="00F30BDC">
            <w:pPr>
              <w:tabs>
                <w:tab w:val="left" w:pos="0"/>
              </w:tabs>
              <w:rPr>
                <w:rFonts w:cs="EEAGN D+ Melior"/>
                <w:color w:val="000000"/>
              </w:rPr>
            </w:pPr>
            <w:r w:rsidRPr="00F30BDC">
              <w:rPr>
                <w:rFonts w:cs="EEAGN D+ Melior"/>
                <w:color w:val="000000"/>
              </w:rPr>
              <w:t>LA County Public Health Center Guests</w:t>
            </w:r>
          </w:p>
        </w:tc>
        <w:tc>
          <w:tcPr>
            <w:tcW w:w="1440" w:type="dxa"/>
            <w:shd w:val="clear" w:color="auto" w:fill="auto"/>
          </w:tcPr>
          <w:p w14:paraId="53D07A65" w14:textId="77777777" w:rsidR="00F30BDC" w:rsidRPr="00F30BDC" w:rsidRDefault="00F30BDC" w:rsidP="00F30BDC">
            <w:pPr>
              <w:tabs>
                <w:tab w:val="left" w:pos="0"/>
              </w:tabs>
              <w:rPr>
                <w:rFonts w:cs="EEAGN D+ Melior"/>
                <w:color w:val="000000"/>
              </w:rPr>
            </w:pPr>
            <w:r w:rsidRPr="00F30BDC">
              <w:rPr>
                <w:rFonts w:cs="EEAGN D+ Melior"/>
                <w:color w:val="000000"/>
              </w:rPr>
              <w:t>Attachment D—Community Emergency Preparedness Survey</w:t>
            </w:r>
          </w:p>
        </w:tc>
        <w:tc>
          <w:tcPr>
            <w:tcW w:w="1170" w:type="dxa"/>
            <w:shd w:val="clear" w:color="auto" w:fill="auto"/>
          </w:tcPr>
          <w:p w14:paraId="7FF46023" w14:textId="77777777" w:rsidR="00F30BDC" w:rsidRPr="00F30BDC" w:rsidRDefault="00F30BDC" w:rsidP="00F30BDC">
            <w:pPr>
              <w:tabs>
                <w:tab w:val="left" w:pos="0"/>
              </w:tabs>
              <w:rPr>
                <w:rFonts w:cs="EEAGN D+ Melior"/>
                <w:color w:val="000000"/>
              </w:rPr>
            </w:pPr>
            <w:r w:rsidRPr="00F30BDC">
              <w:rPr>
                <w:rFonts w:cs="EEAGN D+ Melior"/>
                <w:color w:val="000000"/>
              </w:rPr>
              <w:t>500</w:t>
            </w:r>
          </w:p>
        </w:tc>
        <w:tc>
          <w:tcPr>
            <w:tcW w:w="1080" w:type="dxa"/>
            <w:shd w:val="clear" w:color="auto" w:fill="auto"/>
          </w:tcPr>
          <w:p w14:paraId="5D190AAF" w14:textId="77777777" w:rsidR="00F30BDC" w:rsidRPr="00F30BDC" w:rsidRDefault="00F30BDC" w:rsidP="00F30BDC">
            <w:pPr>
              <w:tabs>
                <w:tab w:val="left" w:pos="0"/>
              </w:tabs>
              <w:rPr>
                <w:rFonts w:cs="EEAGN D+ Melior"/>
                <w:color w:val="000000"/>
              </w:rPr>
            </w:pPr>
            <w:r w:rsidRPr="00F30BDC">
              <w:rPr>
                <w:rFonts w:cs="EEAGN D+ Melior"/>
                <w:color w:val="000000"/>
              </w:rPr>
              <w:t>1</w:t>
            </w:r>
          </w:p>
        </w:tc>
        <w:tc>
          <w:tcPr>
            <w:tcW w:w="1260" w:type="dxa"/>
            <w:shd w:val="clear" w:color="auto" w:fill="auto"/>
          </w:tcPr>
          <w:p w14:paraId="24BBD20A" w14:textId="77777777" w:rsidR="00F30BDC" w:rsidRPr="00F30BDC" w:rsidRDefault="00F30BDC" w:rsidP="00F30BDC">
            <w:pPr>
              <w:tabs>
                <w:tab w:val="left" w:pos="0"/>
              </w:tabs>
              <w:rPr>
                <w:rFonts w:cs="EEAGN D+ Melior"/>
                <w:color w:val="000000"/>
              </w:rPr>
            </w:pPr>
            <w:r w:rsidRPr="00F30BDC">
              <w:rPr>
                <w:rFonts w:cs="EEAGN D+ Melior"/>
                <w:color w:val="000000"/>
              </w:rPr>
              <w:t>5/60</w:t>
            </w:r>
          </w:p>
        </w:tc>
        <w:tc>
          <w:tcPr>
            <w:tcW w:w="900" w:type="dxa"/>
            <w:shd w:val="clear" w:color="auto" w:fill="auto"/>
          </w:tcPr>
          <w:p w14:paraId="547583C7" w14:textId="77777777" w:rsidR="00F30BDC" w:rsidRPr="00F30BDC" w:rsidRDefault="00F30BDC" w:rsidP="00F30BDC">
            <w:pPr>
              <w:tabs>
                <w:tab w:val="left" w:pos="0"/>
              </w:tabs>
              <w:rPr>
                <w:rFonts w:cs="EEAGN D+ Melior"/>
                <w:color w:val="000000"/>
              </w:rPr>
            </w:pPr>
            <w:r w:rsidRPr="00F30BDC">
              <w:rPr>
                <w:rFonts w:cs="EEAGN D+ Melior"/>
                <w:color w:val="000000"/>
              </w:rPr>
              <w:t>42</w:t>
            </w:r>
          </w:p>
        </w:tc>
        <w:tc>
          <w:tcPr>
            <w:tcW w:w="990" w:type="dxa"/>
          </w:tcPr>
          <w:p w14:paraId="3B4D4156" w14:textId="77777777" w:rsidR="00F30BDC" w:rsidRPr="00F30BDC" w:rsidRDefault="00F30BDC" w:rsidP="00F30BDC">
            <w:pPr>
              <w:tabs>
                <w:tab w:val="left" w:pos="0"/>
              </w:tabs>
              <w:rPr>
                <w:rFonts w:cs="EEAGN D+ Melior"/>
                <w:color w:val="000000"/>
              </w:rPr>
            </w:pPr>
            <w:r w:rsidRPr="00F30BDC">
              <w:rPr>
                <w:rFonts w:cs="EEAGN D+ Melior"/>
                <w:color w:val="000000"/>
              </w:rPr>
              <w:t>$10.50^</w:t>
            </w:r>
          </w:p>
        </w:tc>
        <w:tc>
          <w:tcPr>
            <w:tcW w:w="990" w:type="dxa"/>
          </w:tcPr>
          <w:p w14:paraId="1DD04421" w14:textId="77777777" w:rsidR="00F30BDC" w:rsidRPr="00F30BDC" w:rsidRDefault="00F30BDC" w:rsidP="00F30BDC">
            <w:pPr>
              <w:tabs>
                <w:tab w:val="left" w:pos="0"/>
              </w:tabs>
              <w:rPr>
                <w:rFonts w:cs="EEAGN D+ Melior"/>
                <w:color w:val="000000"/>
              </w:rPr>
            </w:pPr>
            <w:r w:rsidRPr="00F30BDC">
              <w:rPr>
                <w:rFonts w:cs="EEAGN D+ Melior"/>
                <w:color w:val="000000"/>
              </w:rPr>
              <w:t>$441</w:t>
            </w:r>
          </w:p>
        </w:tc>
      </w:tr>
      <w:tr w:rsidR="00F30BDC" w:rsidRPr="00F30BDC" w14:paraId="63309052" w14:textId="77777777" w:rsidTr="00A82243">
        <w:trPr>
          <w:trHeight w:val="728"/>
        </w:trPr>
        <w:tc>
          <w:tcPr>
            <w:tcW w:w="1975" w:type="dxa"/>
            <w:shd w:val="clear" w:color="auto" w:fill="auto"/>
          </w:tcPr>
          <w:p w14:paraId="79009665" w14:textId="77777777" w:rsidR="00F30BDC" w:rsidRPr="00F30BDC" w:rsidRDefault="00F30BDC" w:rsidP="00F30BDC">
            <w:pPr>
              <w:tabs>
                <w:tab w:val="left" w:pos="0"/>
              </w:tabs>
              <w:rPr>
                <w:rFonts w:cs="EEAGN D+ Melior"/>
                <w:color w:val="000000"/>
              </w:rPr>
            </w:pPr>
            <w:r w:rsidRPr="00F30BDC">
              <w:rPr>
                <w:rFonts w:cs="EEAGN D+ Melior"/>
                <w:color w:val="000000"/>
              </w:rPr>
              <w:t>LA County Community Partner Stakeholders</w:t>
            </w:r>
          </w:p>
        </w:tc>
        <w:tc>
          <w:tcPr>
            <w:tcW w:w="1440" w:type="dxa"/>
            <w:shd w:val="clear" w:color="auto" w:fill="auto"/>
          </w:tcPr>
          <w:p w14:paraId="26969A9A" w14:textId="77777777" w:rsidR="00F30BDC" w:rsidRPr="00F30BDC" w:rsidRDefault="00F30BDC" w:rsidP="00F30BDC">
            <w:pPr>
              <w:tabs>
                <w:tab w:val="left" w:pos="0"/>
              </w:tabs>
              <w:rPr>
                <w:rFonts w:cs="EEAGN D+ Melior"/>
                <w:color w:val="000000"/>
              </w:rPr>
            </w:pPr>
            <w:r w:rsidRPr="00F30BDC">
              <w:rPr>
                <w:rFonts w:cs="EEAGN D+ Melior"/>
                <w:color w:val="000000"/>
              </w:rPr>
              <w:t>Attachment D—Community Emergency Preparedness Survey</w:t>
            </w:r>
          </w:p>
        </w:tc>
        <w:tc>
          <w:tcPr>
            <w:tcW w:w="1170" w:type="dxa"/>
            <w:shd w:val="clear" w:color="auto" w:fill="auto"/>
          </w:tcPr>
          <w:p w14:paraId="7AB5CDCC" w14:textId="77777777" w:rsidR="00F30BDC" w:rsidRPr="00F30BDC" w:rsidRDefault="00F30BDC" w:rsidP="00F30BDC">
            <w:pPr>
              <w:tabs>
                <w:tab w:val="left" w:pos="0"/>
              </w:tabs>
              <w:rPr>
                <w:rFonts w:cs="EEAGN D+ Melior"/>
                <w:color w:val="000000"/>
              </w:rPr>
            </w:pPr>
            <w:r w:rsidRPr="00F30BDC">
              <w:rPr>
                <w:rFonts w:cs="EEAGN D+ Melior"/>
                <w:color w:val="000000"/>
              </w:rPr>
              <w:t>500</w:t>
            </w:r>
          </w:p>
        </w:tc>
        <w:tc>
          <w:tcPr>
            <w:tcW w:w="1080" w:type="dxa"/>
            <w:shd w:val="clear" w:color="auto" w:fill="auto"/>
          </w:tcPr>
          <w:p w14:paraId="2BA512BB" w14:textId="77777777" w:rsidR="00F30BDC" w:rsidRPr="00F30BDC" w:rsidRDefault="00F30BDC" w:rsidP="00F30BDC">
            <w:pPr>
              <w:tabs>
                <w:tab w:val="left" w:pos="0"/>
              </w:tabs>
              <w:rPr>
                <w:rFonts w:cs="EEAGN D+ Melior"/>
                <w:color w:val="000000"/>
              </w:rPr>
            </w:pPr>
            <w:r w:rsidRPr="00F30BDC">
              <w:rPr>
                <w:rFonts w:cs="EEAGN D+ Melior"/>
                <w:color w:val="000000"/>
              </w:rPr>
              <w:t>1</w:t>
            </w:r>
          </w:p>
        </w:tc>
        <w:tc>
          <w:tcPr>
            <w:tcW w:w="1260" w:type="dxa"/>
            <w:shd w:val="clear" w:color="auto" w:fill="auto"/>
          </w:tcPr>
          <w:p w14:paraId="76CC6114" w14:textId="77777777" w:rsidR="00F30BDC" w:rsidRPr="00F30BDC" w:rsidRDefault="00F30BDC" w:rsidP="00F30BDC">
            <w:pPr>
              <w:tabs>
                <w:tab w:val="left" w:pos="0"/>
              </w:tabs>
              <w:rPr>
                <w:rFonts w:cs="EEAGN D+ Melior"/>
                <w:color w:val="000000"/>
              </w:rPr>
            </w:pPr>
            <w:r w:rsidRPr="00F30BDC">
              <w:rPr>
                <w:rFonts w:cs="EEAGN D+ Melior"/>
                <w:color w:val="000000"/>
              </w:rPr>
              <w:t>5/60</w:t>
            </w:r>
          </w:p>
        </w:tc>
        <w:tc>
          <w:tcPr>
            <w:tcW w:w="900" w:type="dxa"/>
            <w:shd w:val="clear" w:color="auto" w:fill="auto"/>
          </w:tcPr>
          <w:p w14:paraId="19B5319B" w14:textId="77777777" w:rsidR="00F30BDC" w:rsidRPr="00F30BDC" w:rsidRDefault="00F30BDC" w:rsidP="00F30BDC">
            <w:pPr>
              <w:tabs>
                <w:tab w:val="left" w:pos="0"/>
              </w:tabs>
              <w:rPr>
                <w:rFonts w:cs="EEAGN D+ Melior"/>
                <w:color w:val="000000"/>
              </w:rPr>
            </w:pPr>
            <w:r w:rsidRPr="00F30BDC">
              <w:rPr>
                <w:rFonts w:cs="EEAGN D+ Melior"/>
                <w:color w:val="000000"/>
              </w:rPr>
              <w:t>42</w:t>
            </w:r>
          </w:p>
        </w:tc>
        <w:tc>
          <w:tcPr>
            <w:tcW w:w="990" w:type="dxa"/>
          </w:tcPr>
          <w:p w14:paraId="573CCC2B" w14:textId="77777777" w:rsidR="00F30BDC" w:rsidRPr="00F30BDC" w:rsidRDefault="00F30BDC" w:rsidP="00F30BDC">
            <w:pPr>
              <w:tabs>
                <w:tab w:val="left" w:pos="0"/>
              </w:tabs>
              <w:rPr>
                <w:rFonts w:cs="EEAGN D+ Melior"/>
                <w:color w:val="000000"/>
              </w:rPr>
            </w:pPr>
            <w:r w:rsidRPr="00F30BDC">
              <w:rPr>
                <w:rFonts w:cs="EEAGN D+ Melior"/>
                <w:color w:val="000000"/>
              </w:rPr>
              <w:t>$10.50^</w:t>
            </w:r>
          </w:p>
        </w:tc>
        <w:tc>
          <w:tcPr>
            <w:tcW w:w="990" w:type="dxa"/>
          </w:tcPr>
          <w:p w14:paraId="527164B0" w14:textId="77777777" w:rsidR="00F30BDC" w:rsidRPr="00F30BDC" w:rsidRDefault="00F30BDC" w:rsidP="00F30BDC">
            <w:pPr>
              <w:tabs>
                <w:tab w:val="left" w:pos="0"/>
              </w:tabs>
              <w:rPr>
                <w:rFonts w:cs="EEAGN D+ Melior"/>
                <w:color w:val="000000"/>
              </w:rPr>
            </w:pPr>
            <w:r w:rsidRPr="00F30BDC">
              <w:rPr>
                <w:rFonts w:cs="EEAGN D+ Melior"/>
                <w:color w:val="000000"/>
              </w:rPr>
              <w:t>$441</w:t>
            </w:r>
          </w:p>
        </w:tc>
      </w:tr>
      <w:tr w:rsidR="00F30BDC" w:rsidRPr="00F30BDC" w14:paraId="6FFFDF01" w14:textId="77777777" w:rsidTr="00A82243">
        <w:trPr>
          <w:trHeight w:val="728"/>
        </w:trPr>
        <w:tc>
          <w:tcPr>
            <w:tcW w:w="1975" w:type="dxa"/>
            <w:shd w:val="clear" w:color="auto" w:fill="auto"/>
          </w:tcPr>
          <w:p w14:paraId="591D9891" w14:textId="77777777" w:rsidR="00F30BDC" w:rsidRPr="00F30BDC" w:rsidRDefault="00F30BDC" w:rsidP="00F30BDC">
            <w:pPr>
              <w:tabs>
                <w:tab w:val="left" w:pos="0"/>
              </w:tabs>
              <w:rPr>
                <w:rFonts w:cs="EEAGN D+ Melior"/>
                <w:color w:val="000000"/>
              </w:rPr>
            </w:pPr>
            <w:r w:rsidRPr="00F30BDC">
              <w:rPr>
                <w:rFonts w:cs="EEAGN D+ Melior"/>
                <w:color w:val="000000"/>
              </w:rPr>
              <w:t>LA County Community Residents</w:t>
            </w:r>
          </w:p>
        </w:tc>
        <w:tc>
          <w:tcPr>
            <w:tcW w:w="1440" w:type="dxa"/>
            <w:shd w:val="clear" w:color="auto" w:fill="auto"/>
          </w:tcPr>
          <w:p w14:paraId="5F72D967" w14:textId="77777777" w:rsidR="00F30BDC" w:rsidRPr="00F30BDC" w:rsidRDefault="00F30BDC" w:rsidP="00F30BDC">
            <w:pPr>
              <w:tabs>
                <w:tab w:val="left" w:pos="0"/>
              </w:tabs>
              <w:rPr>
                <w:rFonts w:cs="EEAGN D+ Melior"/>
                <w:color w:val="000000"/>
              </w:rPr>
            </w:pPr>
            <w:r w:rsidRPr="00F30BDC">
              <w:rPr>
                <w:rFonts w:cs="EEAGN D+ Melior"/>
                <w:color w:val="000000"/>
              </w:rPr>
              <w:t>Attachment D—Community Emergency Preparedness Survey</w:t>
            </w:r>
          </w:p>
        </w:tc>
        <w:tc>
          <w:tcPr>
            <w:tcW w:w="1170" w:type="dxa"/>
            <w:shd w:val="clear" w:color="auto" w:fill="auto"/>
          </w:tcPr>
          <w:p w14:paraId="540B1F61" w14:textId="77777777" w:rsidR="00F30BDC" w:rsidRPr="00F30BDC" w:rsidRDefault="00F30BDC" w:rsidP="00F30BDC">
            <w:pPr>
              <w:tabs>
                <w:tab w:val="left" w:pos="0"/>
              </w:tabs>
              <w:rPr>
                <w:rFonts w:cs="EEAGN D+ Melior"/>
                <w:color w:val="000000"/>
              </w:rPr>
            </w:pPr>
            <w:r w:rsidRPr="00F30BDC">
              <w:rPr>
                <w:rFonts w:cs="EEAGN D+ Melior"/>
                <w:color w:val="000000"/>
              </w:rPr>
              <w:t>500</w:t>
            </w:r>
          </w:p>
        </w:tc>
        <w:tc>
          <w:tcPr>
            <w:tcW w:w="1080" w:type="dxa"/>
            <w:shd w:val="clear" w:color="auto" w:fill="auto"/>
          </w:tcPr>
          <w:p w14:paraId="49BFB9B5" w14:textId="77777777" w:rsidR="00F30BDC" w:rsidRPr="00F30BDC" w:rsidRDefault="00F30BDC" w:rsidP="00F30BDC">
            <w:pPr>
              <w:tabs>
                <w:tab w:val="left" w:pos="0"/>
              </w:tabs>
              <w:rPr>
                <w:rFonts w:cs="EEAGN D+ Melior"/>
                <w:color w:val="000000"/>
              </w:rPr>
            </w:pPr>
            <w:r w:rsidRPr="00F30BDC">
              <w:rPr>
                <w:rFonts w:cs="EEAGN D+ Melior"/>
                <w:color w:val="000000"/>
              </w:rPr>
              <w:t>1</w:t>
            </w:r>
          </w:p>
        </w:tc>
        <w:tc>
          <w:tcPr>
            <w:tcW w:w="1260" w:type="dxa"/>
            <w:shd w:val="clear" w:color="auto" w:fill="auto"/>
          </w:tcPr>
          <w:p w14:paraId="5B443D0E" w14:textId="77777777" w:rsidR="00F30BDC" w:rsidRPr="00F30BDC" w:rsidRDefault="00F30BDC" w:rsidP="00F30BDC">
            <w:pPr>
              <w:tabs>
                <w:tab w:val="left" w:pos="0"/>
              </w:tabs>
              <w:rPr>
                <w:rFonts w:cs="EEAGN D+ Melior"/>
                <w:color w:val="000000"/>
              </w:rPr>
            </w:pPr>
            <w:r w:rsidRPr="00F30BDC">
              <w:rPr>
                <w:rFonts w:cs="EEAGN D+ Melior"/>
                <w:color w:val="000000"/>
              </w:rPr>
              <w:t>5/60</w:t>
            </w:r>
          </w:p>
        </w:tc>
        <w:tc>
          <w:tcPr>
            <w:tcW w:w="900" w:type="dxa"/>
            <w:shd w:val="clear" w:color="auto" w:fill="auto"/>
          </w:tcPr>
          <w:p w14:paraId="63E715EE" w14:textId="11D5B3D6" w:rsidR="00F30BDC" w:rsidRPr="00F30BDC" w:rsidRDefault="00EE5253" w:rsidP="00EE5253">
            <w:pPr>
              <w:tabs>
                <w:tab w:val="left" w:pos="0"/>
              </w:tabs>
              <w:rPr>
                <w:rFonts w:cs="EEAGN D+ Melior"/>
                <w:color w:val="000000"/>
              </w:rPr>
            </w:pPr>
            <w:r w:rsidRPr="00F30BDC">
              <w:rPr>
                <w:rFonts w:cs="EEAGN D+ Melior"/>
                <w:color w:val="000000"/>
              </w:rPr>
              <w:t>4</w:t>
            </w:r>
            <w:r>
              <w:rPr>
                <w:rFonts w:cs="EEAGN D+ Melior"/>
                <w:color w:val="000000"/>
              </w:rPr>
              <w:t>2</w:t>
            </w:r>
          </w:p>
        </w:tc>
        <w:tc>
          <w:tcPr>
            <w:tcW w:w="990" w:type="dxa"/>
          </w:tcPr>
          <w:p w14:paraId="33412F1E" w14:textId="77777777" w:rsidR="00F30BDC" w:rsidRPr="00F30BDC" w:rsidRDefault="00F30BDC" w:rsidP="00F30BDC">
            <w:pPr>
              <w:tabs>
                <w:tab w:val="left" w:pos="0"/>
              </w:tabs>
              <w:rPr>
                <w:rFonts w:cs="EEAGN D+ Melior"/>
                <w:color w:val="000000"/>
              </w:rPr>
            </w:pPr>
            <w:r w:rsidRPr="00F30BDC">
              <w:rPr>
                <w:rFonts w:cs="EEAGN D+ Melior"/>
                <w:color w:val="000000"/>
              </w:rPr>
              <w:t>$10.50^</w:t>
            </w:r>
          </w:p>
        </w:tc>
        <w:tc>
          <w:tcPr>
            <w:tcW w:w="990" w:type="dxa"/>
          </w:tcPr>
          <w:p w14:paraId="66B95BB3" w14:textId="7C17406F" w:rsidR="00F30BDC" w:rsidRPr="00F30BDC" w:rsidRDefault="00F30BDC" w:rsidP="00EE5253">
            <w:pPr>
              <w:tabs>
                <w:tab w:val="left" w:pos="0"/>
              </w:tabs>
              <w:rPr>
                <w:rFonts w:cs="EEAGN D+ Melior"/>
                <w:color w:val="000000"/>
              </w:rPr>
            </w:pPr>
            <w:r w:rsidRPr="00F30BDC">
              <w:rPr>
                <w:rFonts w:cs="EEAGN D+ Melior"/>
                <w:color w:val="000000"/>
              </w:rPr>
              <w:t>$</w:t>
            </w:r>
            <w:r w:rsidR="00EE5253" w:rsidRPr="00F30BDC">
              <w:rPr>
                <w:rFonts w:cs="EEAGN D+ Melior"/>
                <w:color w:val="000000"/>
              </w:rPr>
              <w:t>4</w:t>
            </w:r>
            <w:r w:rsidR="00EE5253">
              <w:rPr>
                <w:rFonts w:cs="EEAGN D+ Melior"/>
                <w:color w:val="000000"/>
              </w:rPr>
              <w:t>4</w:t>
            </w:r>
            <w:r w:rsidR="00EE5253" w:rsidRPr="00F30BDC">
              <w:rPr>
                <w:rFonts w:cs="EEAGN D+ Melior"/>
                <w:color w:val="000000"/>
              </w:rPr>
              <w:t>1</w:t>
            </w:r>
          </w:p>
        </w:tc>
      </w:tr>
      <w:tr w:rsidR="00F30BDC" w:rsidRPr="00F30BDC" w14:paraId="195027F8" w14:textId="77777777" w:rsidTr="00A82243">
        <w:trPr>
          <w:trHeight w:val="728"/>
        </w:trPr>
        <w:tc>
          <w:tcPr>
            <w:tcW w:w="1975" w:type="dxa"/>
            <w:shd w:val="clear" w:color="auto" w:fill="auto"/>
          </w:tcPr>
          <w:p w14:paraId="461B28AB" w14:textId="77777777" w:rsidR="00F30BDC" w:rsidRPr="00F30BDC" w:rsidRDefault="00F30BDC" w:rsidP="00F30BDC">
            <w:pPr>
              <w:tabs>
                <w:tab w:val="left" w:pos="0"/>
              </w:tabs>
              <w:rPr>
                <w:rFonts w:cs="EEAGN D+ Melior"/>
                <w:color w:val="000000"/>
              </w:rPr>
            </w:pPr>
            <w:r w:rsidRPr="00F30BDC">
              <w:rPr>
                <w:rFonts w:cs="EEAGN D+ Melior"/>
                <w:color w:val="000000"/>
              </w:rPr>
              <w:t>Total</w:t>
            </w:r>
          </w:p>
        </w:tc>
        <w:tc>
          <w:tcPr>
            <w:tcW w:w="1440" w:type="dxa"/>
            <w:shd w:val="clear" w:color="auto" w:fill="auto"/>
          </w:tcPr>
          <w:p w14:paraId="1AF3F2FA" w14:textId="77777777" w:rsidR="00F30BDC" w:rsidRPr="00F30BDC" w:rsidRDefault="00F30BDC" w:rsidP="00F30BDC">
            <w:pPr>
              <w:tabs>
                <w:tab w:val="left" w:pos="0"/>
              </w:tabs>
              <w:rPr>
                <w:rFonts w:cs="EEAGN D+ Melior"/>
                <w:color w:val="000000"/>
              </w:rPr>
            </w:pPr>
          </w:p>
        </w:tc>
        <w:tc>
          <w:tcPr>
            <w:tcW w:w="1170" w:type="dxa"/>
            <w:shd w:val="clear" w:color="auto" w:fill="auto"/>
          </w:tcPr>
          <w:p w14:paraId="1BBD25E8" w14:textId="107D44A9" w:rsidR="00F30BDC" w:rsidRPr="00F30BDC" w:rsidRDefault="00F30BDC" w:rsidP="00F30BDC">
            <w:pPr>
              <w:tabs>
                <w:tab w:val="left" w:pos="0"/>
              </w:tabs>
              <w:rPr>
                <w:rFonts w:cs="EEAGN D+ Melior"/>
                <w:color w:val="000000"/>
              </w:rPr>
            </w:pPr>
          </w:p>
        </w:tc>
        <w:tc>
          <w:tcPr>
            <w:tcW w:w="1080" w:type="dxa"/>
            <w:shd w:val="clear" w:color="auto" w:fill="auto"/>
          </w:tcPr>
          <w:p w14:paraId="4263FAE4" w14:textId="77777777" w:rsidR="00F30BDC" w:rsidRPr="00F30BDC" w:rsidRDefault="00F30BDC" w:rsidP="00F30BDC">
            <w:pPr>
              <w:tabs>
                <w:tab w:val="left" w:pos="0"/>
              </w:tabs>
              <w:rPr>
                <w:rFonts w:cs="EEAGN D+ Melior"/>
                <w:color w:val="000000"/>
              </w:rPr>
            </w:pPr>
          </w:p>
        </w:tc>
        <w:tc>
          <w:tcPr>
            <w:tcW w:w="1260" w:type="dxa"/>
            <w:shd w:val="clear" w:color="auto" w:fill="auto"/>
          </w:tcPr>
          <w:p w14:paraId="109CCCDB" w14:textId="77777777" w:rsidR="00F30BDC" w:rsidRPr="00F30BDC" w:rsidRDefault="00F30BDC" w:rsidP="00F30BDC">
            <w:pPr>
              <w:tabs>
                <w:tab w:val="left" w:pos="0"/>
              </w:tabs>
              <w:rPr>
                <w:rFonts w:cs="EEAGN D+ Melior"/>
                <w:color w:val="000000"/>
              </w:rPr>
            </w:pPr>
          </w:p>
        </w:tc>
        <w:tc>
          <w:tcPr>
            <w:tcW w:w="900" w:type="dxa"/>
            <w:shd w:val="clear" w:color="auto" w:fill="auto"/>
          </w:tcPr>
          <w:p w14:paraId="6A6BA0BB" w14:textId="30BFD15A" w:rsidR="00F30BDC" w:rsidRPr="00F30BDC" w:rsidRDefault="00F30BDC" w:rsidP="00F30BDC">
            <w:pPr>
              <w:tabs>
                <w:tab w:val="left" w:pos="0"/>
              </w:tabs>
              <w:rPr>
                <w:rFonts w:cs="EEAGN D+ Melior"/>
                <w:color w:val="000000"/>
              </w:rPr>
            </w:pPr>
          </w:p>
        </w:tc>
        <w:tc>
          <w:tcPr>
            <w:tcW w:w="990" w:type="dxa"/>
          </w:tcPr>
          <w:p w14:paraId="3E022876" w14:textId="77777777" w:rsidR="00F30BDC" w:rsidRPr="00F30BDC" w:rsidRDefault="00F30BDC" w:rsidP="00F30BDC">
            <w:pPr>
              <w:tabs>
                <w:tab w:val="left" w:pos="0"/>
              </w:tabs>
              <w:rPr>
                <w:rFonts w:cs="EEAGN D+ Melior"/>
                <w:color w:val="000000"/>
              </w:rPr>
            </w:pPr>
          </w:p>
        </w:tc>
        <w:tc>
          <w:tcPr>
            <w:tcW w:w="990" w:type="dxa"/>
          </w:tcPr>
          <w:p w14:paraId="73D6FA60" w14:textId="310377AE" w:rsidR="00F30BDC" w:rsidRPr="00F30BDC" w:rsidRDefault="00F30BDC" w:rsidP="00EE5253">
            <w:pPr>
              <w:tabs>
                <w:tab w:val="left" w:pos="0"/>
              </w:tabs>
              <w:rPr>
                <w:rFonts w:cs="EEAGN D+ Melior"/>
                <w:color w:val="000000"/>
              </w:rPr>
            </w:pPr>
            <w:r w:rsidRPr="00F30BDC">
              <w:rPr>
                <w:rFonts w:cs="EEAGN D+ Melior"/>
                <w:color w:val="000000"/>
              </w:rPr>
              <w:t>$4,</w:t>
            </w:r>
            <w:r w:rsidR="00EE5253" w:rsidRPr="00F30BDC">
              <w:rPr>
                <w:rFonts w:cs="EEAGN D+ Melior"/>
                <w:color w:val="000000"/>
              </w:rPr>
              <w:t>8</w:t>
            </w:r>
            <w:r w:rsidR="00EE5253">
              <w:rPr>
                <w:rFonts w:cs="EEAGN D+ Melior"/>
                <w:color w:val="000000"/>
              </w:rPr>
              <w:t>6</w:t>
            </w:r>
            <w:r w:rsidR="00EE5253" w:rsidRPr="00F30BDC">
              <w:rPr>
                <w:rFonts w:cs="EEAGN D+ Melior"/>
                <w:color w:val="000000"/>
              </w:rPr>
              <w:t>9</w:t>
            </w:r>
          </w:p>
        </w:tc>
      </w:tr>
    </w:tbl>
    <w:p w14:paraId="785036E1" w14:textId="77777777" w:rsidR="00F30BDC" w:rsidRDefault="00F30BDC" w:rsidP="00B34A53"/>
    <w:p w14:paraId="571D9E76" w14:textId="449DE468" w:rsidR="00B34A53" w:rsidRPr="006068B0" w:rsidRDefault="00B34A53" w:rsidP="00B34A53">
      <w:r w:rsidRPr="006068B0">
        <w:t>* Hourly wage of Emergency Manager; US Department of Labor, Bureau of Labor Statistics, Occupational Employment and Wages, May 2015.</w:t>
      </w:r>
    </w:p>
    <w:p w14:paraId="6A7092C6" w14:textId="4FC10E9F" w:rsidR="00B34A53" w:rsidRPr="006068B0" w:rsidRDefault="00B34A53" w:rsidP="00B34A53">
      <w:r w:rsidRPr="006068B0">
        <w:t>^State of California, Department of Industrial Relations, Schedule for California Minimum Wage Rate 2017-2023</w:t>
      </w:r>
    </w:p>
    <w:p w14:paraId="7B7D3C62" w14:textId="77777777" w:rsidR="003140FA" w:rsidRPr="006068B0" w:rsidRDefault="003140FA" w:rsidP="003140FA"/>
    <w:p w14:paraId="25B3D057" w14:textId="77777777" w:rsidR="003140FA" w:rsidRPr="006068B0" w:rsidRDefault="003140FA" w:rsidP="003140FA">
      <w:pPr>
        <w:pStyle w:val="Heading2"/>
        <w:ind w:left="360"/>
        <w:rPr>
          <w:rFonts w:asciiTheme="minorHAnsi" w:hAnsiTheme="minorHAnsi"/>
        </w:rPr>
      </w:pPr>
      <w:bookmarkStart w:id="13" w:name="_Toc477443917"/>
      <w:r w:rsidRPr="006068B0">
        <w:rPr>
          <w:rFonts w:asciiTheme="minorHAnsi" w:hAnsiTheme="minorHAnsi"/>
        </w:rPr>
        <w:t>Estimates of Other Total Annual Cost Burden to Respondents and Record Keepers</w:t>
      </w:r>
      <w:bookmarkEnd w:id="13"/>
    </w:p>
    <w:p w14:paraId="7E4C5D90" w14:textId="77777777" w:rsidR="003140FA" w:rsidRPr="006068B0" w:rsidRDefault="003140FA" w:rsidP="003140FA"/>
    <w:p w14:paraId="52AE53D9" w14:textId="3664AA3D" w:rsidR="003140FA" w:rsidRPr="006068B0" w:rsidRDefault="00CB7EA1" w:rsidP="003140FA">
      <w:r w:rsidRPr="006068B0">
        <w:t>There are no other cost burdens to respondents and record keepers for this data collection.</w:t>
      </w:r>
    </w:p>
    <w:p w14:paraId="04D39376" w14:textId="77777777" w:rsidR="003140FA" w:rsidRPr="006068B0" w:rsidRDefault="003140FA" w:rsidP="003140FA"/>
    <w:p w14:paraId="43CCD15C" w14:textId="77777777" w:rsidR="003140FA" w:rsidRPr="006068B0" w:rsidRDefault="003140FA" w:rsidP="003140FA">
      <w:pPr>
        <w:pStyle w:val="Heading2"/>
        <w:ind w:left="360"/>
        <w:rPr>
          <w:rFonts w:asciiTheme="minorHAnsi" w:hAnsiTheme="minorHAnsi"/>
        </w:rPr>
      </w:pPr>
      <w:bookmarkStart w:id="14" w:name="_Toc477443918"/>
      <w:r w:rsidRPr="006068B0">
        <w:rPr>
          <w:rFonts w:asciiTheme="minorHAnsi" w:hAnsiTheme="minorHAnsi"/>
        </w:rPr>
        <w:t>Annualized Cost to the Federal Government</w:t>
      </w:r>
      <w:bookmarkEnd w:id="14"/>
    </w:p>
    <w:p w14:paraId="4A5ADD45" w14:textId="08E7FA75" w:rsidR="003140FA" w:rsidRPr="006068B0" w:rsidRDefault="003140FA" w:rsidP="003140FA"/>
    <w:p w14:paraId="667738E2" w14:textId="0A9DFB68" w:rsidR="006D06DD" w:rsidRPr="006D06DD" w:rsidRDefault="00F447CD" w:rsidP="006D06DD">
      <w:pPr>
        <w:tabs>
          <w:tab w:val="left" w:pos="540"/>
        </w:tabs>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annual cost to the Federal Government for this data collection is $540,038.00. </w:t>
      </w:r>
      <w:r w:rsidR="00436BAF">
        <w:rPr>
          <w:rFonts w:ascii="Times New Roman" w:eastAsia="Times New Roman" w:hAnsi="Times New Roman" w:cs="Times New Roman"/>
          <w:color w:val="000000"/>
        </w:rPr>
        <w:t xml:space="preserve">The total cost of the contact is $1,499,973 over three years. The project proposes to collect information over a two-year period. The annual cost of CDC staff in this project is $40,047. The annualized cost of the proposed information collection is $499,991. </w:t>
      </w:r>
      <w:r w:rsidR="006D06DD" w:rsidRPr="006D06DD">
        <w:rPr>
          <w:rFonts w:ascii="Times New Roman" w:eastAsia="Times New Roman" w:hAnsi="Times New Roman" w:cs="Times New Roman"/>
          <w:color w:val="000000"/>
        </w:rPr>
        <w:t xml:space="preserve">There are no equipment or overhead costs. </w:t>
      </w:r>
    </w:p>
    <w:p w14:paraId="06CE23E0" w14:textId="77777777" w:rsidR="006D06DD" w:rsidRPr="006D06DD" w:rsidRDefault="006D06DD" w:rsidP="006D06DD">
      <w:pPr>
        <w:tabs>
          <w:tab w:val="left" w:pos="540"/>
        </w:tabs>
        <w:rPr>
          <w:rFonts w:ascii="Times New Roman" w:eastAsia="Times New Roman" w:hAnsi="Times New Roman" w:cs="Times New Roman"/>
          <w:color w:val="000000"/>
        </w:rPr>
      </w:pPr>
    </w:p>
    <w:p w14:paraId="2D42FFD3" w14:textId="77777777" w:rsidR="006D06DD" w:rsidRPr="006D06DD" w:rsidRDefault="006D06DD" w:rsidP="006D06DD">
      <w:pPr>
        <w:tabs>
          <w:tab w:val="left" w:pos="540"/>
        </w:tabs>
        <w:rPr>
          <w:rFonts w:ascii="Times New Roman" w:eastAsia="Times New Roman" w:hAnsi="Times New Roman" w:cs="Times New Roman"/>
          <w:i/>
          <w:color w:val="000000"/>
        </w:rPr>
      </w:pPr>
      <w:r w:rsidRPr="006D06DD">
        <w:rPr>
          <w:rFonts w:ascii="Times New Roman" w:eastAsia="Times New Roman" w:hAnsi="Times New Roman" w:cs="Times New Roman"/>
          <w:i/>
          <w:color w:val="000000"/>
        </w:rPr>
        <w:t>Average Annualized Cost of Federal Contract for Information Collection</w:t>
      </w:r>
    </w:p>
    <w:tbl>
      <w:tblPr>
        <w:tblStyle w:val="TableGrid11"/>
        <w:tblW w:w="0" w:type="auto"/>
        <w:tblInd w:w="0" w:type="dxa"/>
        <w:tblLook w:val="04A0" w:firstRow="1" w:lastRow="0" w:firstColumn="1" w:lastColumn="0" w:noHBand="0" w:noVBand="1"/>
      </w:tblPr>
      <w:tblGrid>
        <w:gridCol w:w="3595"/>
        <w:gridCol w:w="1800"/>
        <w:gridCol w:w="1710"/>
        <w:gridCol w:w="1751"/>
      </w:tblGrid>
      <w:tr w:rsidR="006D06DD" w:rsidRPr="006D06DD" w14:paraId="5737E3A6" w14:textId="77777777" w:rsidTr="00A82243">
        <w:trPr>
          <w:trHeight w:val="593"/>
        </w:trPr>
        <w:tc>
          <w:tcPr>
            <w:tcW w:w="3595" w:type="dxa"/>
            <w:tcBorders>
              <w:top w:val="single" w:sz="4" w:space="0" w:color="auto"/>
              <w:left w:val="single" w:sz="4" w:space="0" w:color="auto"/>
              <w:bottom w:val="single" w:sz="4" w:space="0" w:color="auto"/>
              <w:right w:val="single" w:sz="4" w:space="0" w:color="auto"/>
            </w:tcBorders>
            <w:vAlign w:val="center"/>
            <w:hideMark/>
          </w:tcPr>
          <w:p w14:paraId="7E5D0502" w14:textId="77777777" w:rsidR="006D06DD" w:rsidRPr="006D06DD" w:rsidRDefault="006D06DD" w:rsidP="006D06DD">
            <w:pPr>
              <w:jc w:val="center"/>
              <w:rPr>
                <w:rFonts w:ascii="Times New Roman" w:eastAsia="Times New Roman" w:hAnsi="Times New Roman"/>
                <w:b/>
              </w:rPr>
            </w:pPr>
            <w:r w:rsidRPr="006D06DD">
              <w:rPr>
                <w:rFonts w:ascii="Times New Roman" w:eastAsia="Times New Roman" w:hAnsi="Times New Roman"/>
                <w:b/>
              </w:rPr>
              <w:t>Contract duration</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196293E" w14:textId="77777777" w:rsidR="006D06DD" w:rsidRPr="006D06DD" w:rsidRDefault="006D06DD" w:rsidP="006D06DD">
            <w:pPr>
              <w:jc w:val="center"/>
              <w:rPr>
                <w:rFonts w:ascii="Times New Roman" w:eastAsia="Times New Roman" w:hAnsi="Times New Roman"/>
                <w:b/>
              </w:rPr>
            </w:pPr>
            <w:r w:rsidRPr="006D06DD">
              <w:rPr>
                <w:rFonts w:ascii="Times New Roman" w:eastAsia="Times New Roman" w:hAnsi="Times New Roman"/>
                <w:b/>
              </w:rPr>
              <w:t>Total Contract Cost</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B911C2" w14:textId="77777777" w:rsidR="006D06DD" w:rsidRPr="006D06DD" w:rsidRDefault="006D06DD" w:rsidP="006D06DD">
            <w:pPr>
              <w:jc w:val="center"/>
              <w:rPr>
                <w:rFonts w:ascii="Times New Roman" w:eastAsia="Times New Roman" w:hAnsi="Times New Roman"/>
                <w:b/>
              </w:rPr>
            </w:pPr>
            <w:r w:rsidRPr="006D06DD">
              <w:rPr>
                <w:rFonts w:ascii="Times New Roman" w:eastAsia="Times New Roman" w:hAnsi="Times New Roman"/>
                <w:b/>
              </w:rPr>
              <w:t>Contract years covering data collection</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EEAF7F9" w14:textId="77777777" w:rsidR="006D06DD" w:rsidRPr="006D06DD" w:rsidRDefault="006D06DD" w:rsidP="006D06DD">
            <w:pPr>
              <w:jc w:val="center"/>
              <w:rPr>
                <w:rFonts w:ascii="Times New Roman" w:eastAsia="Times New Roman" w:hAnsi="Times New Roman"/>
                <w:b/>
              </w:rPr>
            </w:pPr>
            <w:r w:rsidRPr="006D06DD">
              <w:rPr>
                <w:rFonts w:ascii="Times New Roman" w:eastAsia="Times New Roman" w:hAnsi="Times New Roman"/>
                <w:b/>
              </w:rPr>
              <w:t>Resulting Annualized Contract Cost</w:t>
            </w:r>
          </w:p>
        </w:tc>
      </w:tr>
      <w:tr w:rsidR="006D06DD" w:rsidRPr="006D06DD" w14:paraId="155D4C80" w14:textId="77777777" w:rsidTr="007E763A">
        <w:tc>
          <w:tcPr>
            <w:tcW w:w="3595" w:type="dxa"/>
            <w:tcBorders>
              <w:top w:val="single" w:sz="4" w:space="0" w:color="auto"/>
              <w:left w:val="single" w:sz="4" w:space="0" w:color="auto"/>
              <w:bottom w:val="single" w:sz="4" w:space="0" w:color="auto"/>
              <w:right w:val="single" w:sz="4" w:space="0" w:color="auto"/>
            </w:tcBorders>
            <w:hideMark/>
          </w:tcPr>
          <w:p w14:paraId="16252921" w14:textId="77777777" w:rsidR="006D06DD" w:rsidRPr="006D06DD" w:rsidRDefault="006D06DD" w:rsidP="006D06DD">
            <w:pPr>
              <w:jc w:val="center"/>
              <w:rPr>
                <w:rFonts w:ascii="Times New Roman" w:eastAsia="Times New Roman" w:hAnsi="Times New Roman"/>
              </w:rPr>
            </w:pPr>
            <w:r w:rsidRPr="006D06DD">
              <w:rPr>
                <w:rFonts w:ascii="Times New Roman" w:eastAsia="Times New Roman" w:hAnsi="Times New Roman"/>
              </w:rPr>
              <w:t xml:space="preserve">Three-year period of performance </w:t>
            </w:r>
          </w:p>
        </w:tc>
        <w:tc>
          <w:tcPr>
            <w:tcW w:w="1800" w:type="dxa"/>
            <w:tcBorders>
              <w:top w:val="single" w:sz="4" w:space="0" w:color="auto"/>
              <w:left w:val="single" w:sz="4" w:space="0" w:color="auto"/>
              <w:bottom w:val="single" w:sz="4" w:space="0" w:color="auto"/>
              <w:right w:val="single" w:sz="4" w:space="0" w:color="auto"/>
            </w:tcBorders>
            <w:hideMark/>
          </w:tcPr>
          <w:p w14:paraId="2AA797F4" w14:textId="77777777" w:rsidR="006D06DD" w:rsidRPr="006D06DD" w:rsidRDefault="006D06DD" w:rsidP="006D06DD">
            <w:pPr>
              <w:jc w:val="center"/>
              <w:rPr>
                <w:rFonts w:ascii="Times New Roman" w:eastAsia="Times New Roman" w:hAnsi="Times New Roman"/>
              </w:rPr>
            </w:pPr>
            <w:r w:rsidRPr="006D06DD">
              <w:rPr>
                <w:rFonts w:ascii="Times New Roman" w:eastAsia="Times New Roman" w:hAnsi="Times New Roman"/>
              </w:rPr>
              <w:t>$</w:t>
            </w:r>
            <w:r w:rsidRPr="006D06DD">
              <w:rPr>
                <w:rFonts w:ascii="Times New Roman" w:eastAsia="MS Gothic" w:hAnsi="Times New Roman"/>
                <w:color w:val="000000"/>
              </w:rPr>
              <w:t>1,499,973</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7A7D319F" w14:textId="77777777" w:rsidR="006D06DD" w:rsidRPr="006D06DD" w:rsidRDefault="006D06DD" w:rsidP="006D06DD">
            <w:pPr>
              <w:jc w:val="center"/>
              <w:rPr>
                <w:rFonts w:ascii="Times New Roman" w:eastAsia="Times New Roman" w:hAnsi="Times New Roman"/>
                <w:color w:val="808080"/>
              </w:rPr>
            </w:pPr>
            <w:r w:rsidRPr="006D06DD">
              <w:rPr>
                <w:rFonts w:ascii="Times New Roman" w:eastAsia="Times New Roman" w:hAnsi="Times New Roman"/>
                <w:color w:val="000000"/>
              </w:rPr>
              <w:t>2</w:t>
            </w:r>
          </w:p>
        </w:tc>
        <w:tc>
          <w:tcPr>
            <w:tcW w:w="1751" w:type="dxa"/>
            <w:tcBorders>
              <w:top w:val="single" w:sz="4" w:space="0" w:color="auto"/>
              <w:left w:val="single" w:sz="4" w:space="0" w:color="auto"/>
              <w:bottom w:val="single" w:sz="4" w:space="0" w:color="auto"/>
              <w:right w:val="single" w:sz="4" w:space="0" w:color="auto"/>
            </w:tcBorders>
            <w:hideMark/>
          </w:tcPr>
          <w:p w14:paraId="2FE593A1" w14:textId="77777777" w:rsidR="006D06DD" w:rsidRPr="006D06DD" w:rsidRDefault="006D06DD" w:rsidP="006D06DD">
            <w:pPr>
              <w:jc w:val="center"/>
              <w:rPr>
                <w:rFonts w:ascii="Times New Roman" w:eastAsia="Times New Roman" w:hAnsi="Times New Roman"/>
                <w:color w:val="808080"/>
              </w:rPr>
            </w:pPr>
            <w:r w:rsidRPr="006D06DD">
              <w:rPr>
                <w:rFonts w:ascii="Times New Roman" w:eastAsia="Times New Roman" w:hAnsi="Times New Roman"/>
              </w:rPr>
              <w:t>$499,991</w:t>
            </w:r>
          </w:p>
        </w:tc>
      </w:tr>
    </w:tbl>
    <w:p w14:paraId="374C8924" w14:textId="77777777" w:rsidR="006D06DD" w:rsidRPr="006D06DD" w:rsidRDefault="006D06DD" w:rsidP="006D06DD">
      <w:pPr>
        <w:rPr>
          <w:rFonts w:ascii="Times New Roman" w:eastAsia="Times New Roman" w:hAnsi="Times New Roman" w:cs="Times New Roman"/>
        </w:rPr>
      </w:pPr>
    </w:p>
    <w:tbl>
      <w:tblPr>
        <w:tblW w:w="9456" w:type="dxa"/>
        <w:tblLook w:val="04A0" w:firstRow="1" w:lastRow="0" w:firstColumn="1" w:lastColumn="0" w:noHBand="0" w:noVBand="1"/>
      </w:tblPr>
      <w:tblGrid>
        <w:gridCol w:w="2970"/>
        <w:gridCol w:w="1266"/>
        <w:gridCol w:w="1164"/>
        <w:gridCol w:w="1710"/>
        <w:gridCol w:w="1080"/>
        <w:gridCol w:w="1266"/>
      </w:tblGrid>
      <w:tr w:rsidR="006D06DD" w:rsidRPr="006D06DD" w14:paraId="4866A9DF" w14:textId="77777777" w:rsidTr="00A82243">
        <w:trPr>
          <w:trHeight w:val="302"/>
        </w:trPr>
        <w:tc>
          <w:tcPr>
            <w:tcW w:w="9456" w:type="dxa"/>
            <w:gridSpan w:val="6"/>
            <w:noWrap/>
            <w:vAlign w:val="center"/>
            <w:hideMark/>
          </w:tcPr>
          <w:p w14:paraId="0E35FE3A" w14:textId="77777777" w:rsidR="006D06DD" w:rsidRPr="006D06DD" w:rsidRDefault="006D06DD" w:rsidP="006D06DD">
            <w:pPr>
              <w:spacing w:line="276" w:lineRule="auto"/>
              <w:rPr>
                <w:rFonts w:ascii="Times New Roman" w:eastAsia="Times New Roman" w:hAnsi="Times New Roman" w:cs="Times New Roman"/>
                <w:sz w:val="20"/>
                <w:szCs w:val="20"/>
              </w:rPr>
            </w:pPr>
            <w:r w:rsidRPr="006D06DD">
              <w:rPr>
                <w:rFonts w:ascii="Times New Roman" w:eastAsia="Times New Roman" w:hAnsi="Times New Roman" w:cs="Times New Roman"/>
                <w:i/>
                <w:iCs/>
                <w:color w:val="000000"/>
              </w:rPr>
              <w:t>Estimate of Annualized Cost of Federal Employee Involvement</w:t>
            </w:r>
          </w:p>
        </w:tc>
      </w:tr>
      <w:tr w:rsidR="006D06DD" w:rsidRPr="006D06DD" w14:paraId="63FD1E5D" w14:textId="77777777" w:rsidTr="00A82243">
        <w:trPr>
          <w:trHeight w:val="282"/>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258FAFB2" w14:textId="77777777" w:rsidR="006D06DD" w:rsidRPr="006D06DD" w:rsidRDefault="006D06DD" w:rsidP="006D06DD">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Staff (FTE)</w:t>
            </w:r>
          </w:p>
        </w:tc>
        <w:tc>
          <w:tcPr>
            <w:tcW w:w="1266" w:type="dxa"/>
            <w:tcBorders>
              <w:top w:val="single" w:sz="4" w:space="0" w:color="auto"/>
              <w:left w:val="nil"/>
              <w:bottom w:val="single" w:sz="4" w:space="0" w:color="auto"/>
              <w:right w:val="single" w:sz="4" w:space="0" w:color="auto"/>
            </w:tcBorders>
            <w:noWrap/>
            <w:vAlign w:val="center"/>
            <w:hideMark/>
          </w:tcPr>
          <w:p w14:paraId="145417C8" w14:textId="77777777" w:rsidR="006D06DD" w:rsidRPr="006D06DD" w:rsidRDefault="006D06DD" w:rsidP="006D06DD">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Salary</w:t>
            </w:r>
          </w:p>
        </w:tc>
        <w:tc>
          <w:tcPr>
            <w:tcW w:w="1164" w:type="dxa"/>
            <w:tcBorders>
              <w:top w:val="single" w:sz="4" w:space="0" w:color="auto"/>
              <w:left w:val="nil"/>
              <w:bottom w:val="single" w:sz="4" w:space="0" w:color="auto"/>
              <w:right w:val="single" w:sz="4" w:space="0" w:color="auto"/>
            </w:tcBorders>
            <w:noWrap/>
            <w:vAlign w:val="center"/>
            <w:hideMark/>
          </w:tcPr>
          <w:p w14:paraId="79211E82" w14:textId="77777777" w:rsidR="006D06DD" w:rsidRPr="006D06DD" w:rsidRDefault="006D06DD" w:rsidP="006D06DD">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Fringe (38%)</w:t>
            </w:r>
          </w:p>
        </w:tc>
        <w:tc>
          <w:tcPr>
            <w:tcW w:w="1710" w:type="dxa"/>
            <w:tcBorders>
              <w:top w:val="single" w:sz="4" w:space="0" w:color="auto"/>
              <w:left w:val="nil"/>
              <w:bottom w:val="single" w:sz="4" w:space="0" w:color="auto"/>
              <w:right w:val="single" w:sz="4" w:space="0" w:color="auto"/>
            </w:tcBorders>
            <w:noWrap/>
            <w:vAlign w:val="center"/>
            <w:hideMark/>
          </w:tcPr>
          <w:p w14:paraId="069C4CAD" w14:textId="77777777" w:rsidR="006D06DD" w:rsidRPr="006D06DD" w:rsidRDefault="006D06DD" w:rsidP="006D06DD">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Total Compensation</w:t>
            </w:r>
          </w:p>
        </w:tc>
        <w:tc>
          <w:tcPr>
            <w:tcW w:w="1080" w:type="dxa"/>
            <w:tcBorders>
              <w:top w:val="single" w:sz="4" w:space="0" w:color="auto"/>
              <w:left w:val="nil"/>
              <w:bottom w:val="single" w:sz="4" w:space="0" w:color="auto"/>
              <w:right w:val="single" w:sz="4" w:space="0" w:color="auto"/>
            </w:tcBorders>
            <w:noWrap/>
            <w:vAlign w:val="center"/>
            <w:hideMark/>
          </w:tcPr>
          <w:p w14:paraId="35364E9B" w14:textId="77777777" w:rsidR="006D06DD" w:rsidRPr="006D06DD" w:rsidRDefault="006D06DD" w:rsidP="006D06DD">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 xml:space="preserve">% Time </w:t>
            </w:r>
          </w:p>
        </w:tc>
        <w:tc>
          <w:tcPr>
            <w:tcW w:w="1266" w:type="dxa"/>
            <w:tcBorders>
              <w:top w:val="single" w:sz="4" w:space="0" w:color="auto"/>
              <w:left w:val="nil"/>
              <w:bottom w:val="single" w:sz="4" w:space="0" w:color="auto"/>
              <w:right w:val="single" w:sz="4" w:space="0" w:color="auto"/>
            </w:tcBorders>
            <w:noWrap/>
            <w:vAlign w:val="center"/>
            <w:hideMark/>
          </w:tcPr>
          <w:p w14:paraId="7F726E44" w14:textId="77777777" w:rsidR="006D06DD" w:rsidRPr="006D06DD" w:rsidRDefault="006D06DD" w:rsidP="006D06DD">
            <w:pPr>
              <w:spacing w:line="276" w:lineRule="auto"/>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Total Annual</w:t>
            </w:r>
          </w:p>
        </w:tc>
      </w:tr>
      <w:tr w:rsidR="006D06DD" w:rsidRPr="006D06DD" w14:paraId="4835016D" w14:textId="77777777" w:rsidTr="00A82243">
        <w:trPr>
          <w:trHeight w:val="302"/>
        </w:trPr>
        <w:tc>
          <w:tcPr>
            <w:tcW w:w="2970" w:type="dxa"/>
            <w:tcBorders>
              <w:top w:val="nil"/>
              <w:left w:val="single" w:sz="4" w:space="0" w:color="auto"/>
              <w:bottom w:val="single" w:sz="4" w:space="0" w:color="auto"/>
              <w:right w:val="single" w:sz="4" w:space="0" w:color="auto"/>
            </w:tcBorders>
            <w:noWrap/>
            <w:vAlign w:val="center"/>
            <w:hideMark/>
          </w:tcPr>
          <w:p w14:paraId="0082B2C6"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Senior GS-15 Supervising Office Director</w:t>
            </w:r>
          </w:p>
        </w:tc>
        <w:tc>
          <w:tcPr>
            <w:tcW w:w="1266" w:type="dxa"/>
            <w:tcBorders>
              <w:top w:val="nil"/>
              <w:left w:val="nil"/>
              <w:bottom w:val="single" w:sz="4" w:space="0" w:color="auto"/>
              <w:right w:val="single" w:sz="4" w:space="0" w:color="auto"/>
            </w:tcBorders>
            <w:noWrap/>
            <w:vAlign w:val="center"/>
            <w:hideMark/>
          </w:tcPr>
          <w:p w14:paraId="3111195E"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$158,503</w:t>
            </w:r>
          </w:p>
        </w:tc>
        <w:tc>
          <w:tcPr>
            <w:tcW w:w="1164" w:type="dxa"/>
            <w:tcBorders>
              <w:top w:val="nil"/>
              <w:left w:val="nil"/>
              <w:bottom w:val="single" w:sz="4" w:space="0" w:color="auto"/>
              <w:right w:val="single" w:sz="4" w:space="0" w:color="auto"/>
            </w:tcBorders>
            <w:noWrap/>
            <w:vAlign w:val="center"/>
            <w:hideMark/>
          </w:tcPr>
          <w:p w14:paraId="7806F0E8"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$60,231</w:t>
            </w:r>
          </w:p>
        </w:tc>
        <w:tc>
          <w:tcPr>
            <w:tcW w:w="1710" w:type="dxa"/>
            <w:tcBorders>
              <w:top w:val="nil"/>
              <w:left w:val="nil"/>
              <w:bottom w:val="single" w:sz="4" w:space="0" w:color="auto"/>
              <w:right w:val="single" w:sz="4" w:space="0" w:color="auto"/>
            </w:tcBorders>
            <w:noWrap/>
            <w:vAlign w:val="center"/>
            <w:hideMark/>
          </w:tcPr>
          <w:p w14:paraId="3D54DDBE"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$218,734</w:t>
            </w:r>
          </w:p>
        </w:tc>
        <w:tc>
          <w:tcPr>
            <w:tcW w:w="1080" w:type="dxa"/>
            <w:tcBorders>
              <w:top w:val="nil"/>
              <w:left w:val="nil"/>
              <w:bottom w:val="single" w:sz="4" w:space="0" w:color="auto"/>
              <w:right w:val="single" w:sz="4" w:space="0" w:color="auto"/>
            </w:tcBorders>
            <w:noWrap/>
            <w:vAlign w:val="center"/>
            <w:hideMark/>
          </w:tcPr>
          <w:p w14:paraId="7BCBA201"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2.5</w:t>
            </w:r>
          </w:p>
        </w:tc>
        <w:tc>
          <w:tcPr>
            <w:tcW w:w="1266" w:type="dxa"/>
            <w:tcBorders>
              <w:top w:val="nil"/>
              <w:left w:val="nil"/>
              <w:bottom w:val="single" w:sz="4" w:space="0" w:color="auto"/>
              <w:right w:val="single" w:sz="4" w:space="0" w:color="auto"/>
            </w:tcBorders>
            <w:noWrap/>
            <w:vAlign w:val="center"/>
            <w:hideMark/>
          </w:tcPr>
          <w:p w14:paraId="4E12F45A"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$5,468</w:t>
            </w:r>
          </w:p>
        </w:tc>
      </w:tr>
      <w:tr w:rsidR="006D06DD" w:rsidRPr="006D06DD" w14:paraId="4EBB2692" w14:textId="77777777" w:rsidTr="00A82243">
        <w:trPr>
          <w:trHeight w:val="302"/>
        </w:trPr>
        <w:tc>
          <w:tcPr>
            <w:tcW w:w="2970" w:type="dxa"/>
            <w:tcBorders>
              <w:top w:val="nil"/>
              <w:left w:val="single" w:sz="4" w:space="0" w:color="auto"/>
              <w:bottom w:val="single" w:sz="4" w:space="0" w:color="auto"/>
              <w:right w:val="single" w:sz="4" w:space="0" w:color="auto"/>
            </w:tcBorders>
            <w:noWrap/>
            <w:vAlign w:val="center"/>
            <w:hideMark/>
          </w:tcPr>
          <w:p w14:paraId="34849F8B"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GS-15 Project Collaborator</w:t>
            </w:r>
          </w:p>
        </w:tc>
        <w:tc>
          <w:tcPr>
            <w:tcW w:w="1266" w:type="dxa"/>
            <w:tcBorders>
              <w:top w:val="nil"/>
              <w:left w:val="nil"/>
              <w:bottom w:val="single" w:sz="4" w:space="0" w:color="auto"/>
              <w:right w:val="single" w:sz="4" w:space="0" w:color="auto"/>
            </w:tcBorders>
            <w:noWrap/>
            <w:vAlign w:val="center"/>
            <w:hideMark/>
          </w:tcPr>
          <w:p w14:paraId="5EE97561"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$133,359</w:t>
            </w:r>
          </w:p>
        </w:tc>
        <w:tc>
          <w:tcPr>
            <w:tcW w:w="1164" w:type="dxa"/>
            <w:tcBorders>
              <w:top w:val="nil"/>
              <w:left w:val="nil"/>
              <w:bottom w:val="single" w:sz="4" w:space="0" w:color="auto"/>
              <w:right w:val="single" w:sz="4" w:space="0" w:color="auto"/>
            </w:tcBorders>
            <w:noWrap/>
            <w:vAlign w:val="center"/>
            <w:hideMark/>
          </w:tcPr>
          <w:p w14:paraId="3D48FAEE"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$50,676</w:t>
            </w:r>
          </w:p>
        </w:tc>
        <w:tc>
          <w:tcPr>
            <w:tcW w:w="1710" w:type="dxa"/>
            <w:tcBorders>
              <w:top w:val="nil"/>
              <w:left w:val="nil"/>
              <w:bottom w:val="single" w:sz="4" w:space="0" w:color="auto"/>
              <w:right w:val="single" w:sz="4" w:space="0" w:color="auto"/>
            </w:tcBorders>
            <w:noWrap/>
            <w:vAlign w:val="center"/>
            <w:hideMark/>
          </w:tcPr>
          <w:p w14:paraId="33CF5D7F"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$184,035</w:t>
            </w:r>
          </w:p>
        </w:tc>
        <w:tc>
          <w:tcPr>
            <w:tcW w:w="1080" w:type="dxa"/>
            <w:tcBorders>
              <w:top w:val="nil"/>
              <w:left w:val="nil"/>
              <w:bottom w:val="single" w:sz="4" w:space="0" w:color="auto"/>
              <w:right w:val="single" w:sz="4" w:space="0" w:color="auto"/>
            </w:tcBorders>
            <w:noWrap/>
            <w:vAlign w:val="center"/>
            <w:hideMark/>
          </w:tcPr>
          <w:p w14:paraId="35428D3B"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2.5</w:t>
            </w:r>
          </w:p>
        </w:tc>
        <w:tc>
          <w:tcPr>
            <w:tcW w:w="1266" w:type="dxa"/>
            <w:tcBorders>
              <w:top w:val="nil"/>
              <w:left w:val="nil"/>
              <w:bottom w:val="single" w:sz="4" w:space="0" w:color="auto"/>
              <w:right w:val="single" w:sz="4" w:space="0" w:color="auto"/>
            </w:tcBorders>
            <w:noWrap/>
            <w:vAlign w:val="center"/>
            <w:hideMark/>
          </w:tcPr>
          <w:p w14:paraId="5530DDD5"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$4,601</w:t>
            </w:r>
          </w:p>
        </w:tc>
      </w:tr>
      <w:tr w:rsidR="006D06DD" w:rsidRPr="006D06DD" w14:paraId="782026F2" w14:textId="77777777" w:rsidTr="00A82243">
        <w:trPr>
          <w:trHeight w:val="302"/>
        </w:trPr>
        <w:tc>
          <w:tcPr>
            <w:tcW w:w="2970" w:type="dxa"/>
            <w:tcBorders>
              <w:top w:val="nil"/>
              <w:left w:val="single" w:sz="4" w:space="0" w:color="auto"/>
              <w:bottom w:val="single" w:sz="4" w:space="0" w:color="auto"/>
              <w:right w:val="single" w:sz="4" w:space="0" w:color="auto"/>
            </w:tcBorders>
            <w:noWrap/>
            <w:vAlign w:val="center"/>
            <w:hideMark/>
          </w:tcPr>
          <w:p w14:paraId="7CC381FB"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Senior GS-14 Project Manager</w:t>
            </w:r>
          </w:p>
        </w:tc>
        <w:tc>
          <w:tcPr>
            <w:tcW w:w="1266" w:type="dxa"/>
            <w:tcBorders>
              <w:top w:val="nil"/>
              <w:left w:val="nil"/>
              <w:bottom w:val="single" w:sz="4" w:space="0" w:color="auto"/>
              <w:right w:val="single" w:sz="4" w:space="0" w:color="auto"/>
            </w:tcBorders>
            <w:noWrap/>
            <w:vAlign w:val="center"/>
            <w:hideMark/>
          </w:tcPr>
          <w:p w14:paraId="735E7D4E"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$134,749</w:t>
            </w:r>
          </w:p>
        </w:tc>
        <w:tc>
          <w:tcPr>
            <w:tcW w:w="1164" w:type="dxa"/>
            <w:tcBorders>
              <w:top w:val="nil"/>
              <w:left w:val="nil"/>
              <w:bottom w:val="single" w:sz="4" w:space="0" w:color="auto"/>
              <w:right w:val="single" w:sz="4" w:space="0" w:color="auto"/>
            </w:tcBorders>
            <w:noWrap/>
            <w:vAlign w:val="center"/>
            <w:hideMark/>
          </w:tcPr>
          <w:p w14:paraId="0AFA14BF"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$51,205</w:t>
            </w:r>
          </w:p>
        </w:tc>
        <w:tc>
          <w:tcPr>
            <w:tcW w:w="1710" w:type="dxa"/>
            <w:tcBorders>
              <w:top w:val="nil"/>
              <w:left w:val="nil"/>
              <w:bottom w:val="single" w:sz="4" w:space="0" w:color="auto"/>
              <w:right w:val="single" w:sz="4" w:space="0" w:color="auto"/>
            </w:tcBorders>
            <w:noWrap/>
            <w:vAlign w:val="center"/>
            <w:hideMark/>
          </w:tcPr>
          <w:p w14:paraId="36FA9D28"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$185,954</w:t>
            </w:r>
          </w:p>
        </w:tc>
        <w:tc>
          <w:tcPr>
            <w:tcW w:w="1080" w:type="dxa"/>
            <w:tcBorders>
              <w:top w:val="nil"/>
              <w:left w:val="nil"/>
              <w:bottom w:val="single" w:sz="4" w:space="0" w:color="auto"/>
              <w:right w:val="single" w:sz="4" w:space="0" w:color="auto"/>
            </w:tcBorders>
            <w:noWrap/>
            <w:vAlign w:val="center"/>
            <w:hideMark/>
          </w:tcPr>
          <w:p w14:paraId="476BE318"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10</w:t>
            </w:r>
          </w:p>
        </w:tc>
        <w:tc>
          <w:tcPr>
            <w:tcW w:w="1266" w:type="dxa"/>
            <w:tcBorders>
              <w:top w:val="nil"/>
              <w:left w:val="nil"/>
              <w:bottom w:val="single" w:sz="4" w:space="0" w:color="auto"/>
              <w:right w:val="single" w:sz="4" w:space="0" w:color="auto"/>
            </w:tcBorders>
            <w:noWrap/>
            <w:vAlign w:val="center"/>
            <w:hideMark/>
          </w:tcPr>
          <w:p w14:paraId="10F3E836"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$18,595</w:t>
            </w:r>
          </w:p>
        </w:tc>
      </w:tr>
      <w:tr w:rsidR="006D06DD" w:rsidRPr="006D06DD" w14:paraId="7A1669E6" w14:textId="77777777" w:rsidTr="00A82243">
        <w:trPr>
          <w:trHeight w:val="302"/>
        </w:trPr>
        <w:tc>
          <w:tcPr>
            <w:tcW w:w="2970" w:type="dxa"/>
            <w:tcBorders>
              <w:top w:val="nil"/>
              <w:left w:val="single" w:sz="4" w:space="0" w:color="auto"/>
              <w:bottom w:val="single" w:sz="4" w:space="0" w:color="auto"/>
              <w:right w:val="single" w:sz="4" w:space="0" w:color="auto"/>
            </w:tcBorders>
            <w:noWrap/>
            <w:vAlign w:val="center"/>
            <w:hideMark/>
          </w:tcPr>
          <w:p w14:paraId="04830F20"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Senior GS-14 Project Collaborator</w:t>
            </w:r>
          </w:p>
        </w:tc>
        <w:tc>
          <w:tcPr>
            <w:tcW w:w="1266" w:type="dxa"/>
            <w:tcBorders>
              <w:top w:val="nil"/>
              <w:left w:val="nil"/>
              <w:bottom w:val="single" w:sz="4" w:space="0" w:color="auto"/>
              <w:right w:val="single" w:sz="4" w:space="0" w:color="auto"/>
            </w:tcBorders>
            <w:noWrap/>
            <w:vAlign w:val="center"/>
            <w:hideMark/>
          </w:tcPr>
          <w:p w14:paraId="32E7DFD2"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$117,808</w:t>
            </w:r>
          </w:p>
        </w:tc>
        <w:tc>
          <w:tcPr>
            <w:tcW w:w="1164" w:type="dxa"/>
            <w:tcBorders>
              <w:top w:val="nil"/>
              <w:left w:val="nil"/>
              <w:bottom w:val="single" w:sz="4" w:space="0" w:color="auto"/>
              <w:right w:val="single" w:sz="4" w:space="0" w:color="auto"/>
            </w:tcBorders>
            <w:noWrap/>
            <w:vAlign w:val="center"/>
            <w:hideMark/>
          </w:tcPr>
          <w:p w14:paraId="048240AD"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$44,767</w:t>
            </w:r>
          </w:p>
        </w:tc>
        <w:tc>
          <w:tcPr>
            <w:tcW w:w="1710" w:type="dxa"/>
            <w:tcBorders>
              <w:top w:val="nil"/>
              <w:left w:val="nil"/>
              <w:bottom w:val="single" w:sz="4" w:space="0" w:color="auto"/>
              <w:right w:val="single" w:sz="4" w:space="0" w:color="auto"/>
            </w:tcBorders>
            <w:noWrap/>
            <w:vAlign w:val="center"/>
            <w:hideMark/>
          </w:tcPr>
          <w:p w14:paraId="13F7E7F8"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$162,575</w:t>
            </w:r>
          </w:p>
        </w:tc>
        <w:tc>
          <w:tcPr>
            <w:tcW w:w="1080" w:type="dxa"/>
            <w:tcBorders>
              <w:top w:val="nil"/>
              <w:left w:val="nil"/>
              <w:bottom w:val="single" w:sz="4" w:space="0" w:color="auto"/>
              <w:right w:val="single" w:sz="4" w:space="0" w:color="auto"/>
            </w:tcBorders>
            <w:noWrap/>
            <w:vAlign w:val="center"/>
            <w:hideMark/>
          </w:tcPr>
          <w:p w14:paraId="288AD4A2"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2.5</w:t>
            </w:r>
          </w:p>
        </w:tc>
        <w:tc>
          <w:tcPr>
            <w:tcW w:w="1266" w:type="dxa"/>
            <w:tcBorders>
              <w:top w:val="nil"/>
              <w:left w:val="nil"/>
              <w:bottom w:val="single" w:sz="4" w:space="0" w:color="auto"/>
              <w:right w:val="single" w:sz="4" w:space="0" w:color="auto"/>
            </w:tcBorders>
            <w:noWrap/>
            <w:vAlign w:val="center"/>
            <w:hideMark/>
          </w:tcPr>
          <w:p w14:paraId="710C25E3"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$4,064</w:t>
            </w:r>
          </w:p>
        </w:tc>
      </w:tr>
      <w:tr w:rsidR="006D06DD" w:rsidRPr="006D06DD" w14:paraId="3A8A4FCC" w14:textId="77777777" w:rsidTr="00A82243">
        <w:trPr>
          <w:trHeight w:val="302"/>
        </w:trPr>
        <w:tc>
          <w:tcPr>
            <w:tcW w:w="2970" w:type="dxa"/>
            <w:tcBorders>
              <w:top w:val="nil"/>
              <w:left w:val="single" w:sz="4" w:space="0" w:color="auto"/>
              <w:bottom w:val="single" w:sz="4" w:space="0" w:color="auto"/>
              <w:right w:val="single" w:sz="4" w:space="0" w:color="auto"/>
            </w:tcBorders>
            <w:noWrap/>
            <w:vAlign w:val="center"/>
            <w:hideMark/>
          </w:tcPr>
          <w:p w14:paraId="48E9A73F"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ORISE Fellow GS-11 Equivalent Project Support</w:t>
            </w:r>
          </w:p>
        </w:tc>
        <w:tc>
          <w:tcPr>
            <w:tcW w:w="1266" w:type="dxa"/>
            <w:tcBorders>
              <w:top w:val="nil"/>
              <w:left w:val="nil"/>
              <w:bottom w:val="single" w:sz="4" w:space="0" w:color="auto"/>
              <w:right w:val="single" w:sz="4" w:space="0" w:color="auto"/>
            </w:tcBorders>
            <w:noWrap/>
            <w:vAlign w:val="center"/>
            <w:hideMark/>
          </w:tcPr>
          <w:p w14:paraId="46C1FE1E"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$63,161</w:t>
            </w:r>
          </w:p>
        </w:tc>
        <w:tc>
          <w:tcPr>
            <w:tcW w:w="1164" w:type="dxa"/>
            <w:tcBorders>
              <w:top w:val="nil"/>
              <w:left w:val="nil"/>
              <w:bottom w:val="single" w:sz="4" w:space="0" w:color="auto"/>
              <w:right w:val="single" w:sz="4" w:space="0" w:color="auto"/>
            </w:tcBorders>
            <w:noWrap/>
            <w:vAlign w:val="center"/>
            <w:hideMark/>
          </w:tcPr>
          <w:p w14:paraId="1B3EA3C3"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$24,001</w:t>
            </w:r>
          </w:p>
        </w:tc>
        <w:tc>
          <w:tcPr>
            <w:tcW w:w="1710" w:type="dxa"/>
            <w:tcBorders>
              <w:top w:val="nil"/>
              <w:left w:val="nil"/>
              <w:bottom w:val="single" w:sz="4" w:space="0" w:color="auto"/>
              <w:right w:val="single" w:sz="4" w:space="0" w:color="auto"/>
            </w:tcBorders>
            <w:noWrap/>
            <w:vAlign w:val="center"/>
            <w:hideMark/>
          </w:tcPr>
          <w:p w14:paraId="4D1D21AB"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$87,162</w:t>
            </w:r>
          </w:p>
        </w:tc>
        <w:tc>
          <w:tcPr>
            <w:tcW w:w="1080" w:type="dxa"/>
            <w:tcBorders>
              <w:top w:val="nil"/>
              <w:left w:val="nil"/>
              <w:bottom w:val="single" w:sz="4" w:space="0" w:color="auto"/>
              <w:right w:val="single" w:sz="4" w:space="0" w:color="auto"/>
            </w:tcBorders>
            <w:noWrap/>
            <w:vAlign w:val="center"/>
            <w:hideMark/>
          </w:tcPr>
          <w:p w14:paraId="71A16EF1"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5</w:t>
            </w:r>
          </w:p>
        </w:tc>
        <w:tc>
          <w:tcPr>
            <w:tcW w:w="1266" w:type="dxa"/>
            <w:tcBorders>
              <w:top w:val="nil"/>
              <w:left w:val="nil"/>
              <w:bottom w:val="single" w:sz="4" w:space="0" w:color="auto"/>
              <w:right w:val="single" w:sz="4" w:space="0" w:color="auto"/>
            </w:tcBorders>
            <w:noWrap/>
            <w:vAlign w:val="center"/>
            <w:hideMark/>
          </w:tcPr>
          <w:p w14:paraId="5929FAE0"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$4,358</w:t>
            </w:r>
          </w:p>
        </w:tc>
      </w:tr>
      <w:tr w:rsidR="006D06DD" w:rsidRPr="006D06DD" w14:paraId="71DAB0D8" w14:textId="77777777" w:rsidTr="00A82243">
        <w:trPr>
          <w:trHeight w:val="302"/>
        </w:trPr>
        <w:tc>
          <w:tcPr>
            <w:tcW w:w="2970" w:type="dxa"/>
            <w:tcBorders>
              <w:top w:val="nil"/>
              <w:left w:val="single" w:sz="4" w:space="0" w:color="auto"/>
              <w:bottom w:val="single" w:sz="4" w:space="0" w:color="auto"/>
              <w:right w:val="single" w:sz="4" w:space="0" w:color="auto"/>
            </w:tcBorders>
            <w:noWrap/>
            <w:vAlign w:val="center"/>
            <w:hideMark/>
          </w:tcPr>
          <w:p w14:paraId="67241894"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Contracting Officer Rep GS-12</w:t>
            </w:r>
          </w:p>
        </w:tc>
        <w:tc>
          <w:tcPr>
            <w:tcW w:w="1266" w:type="dxa"/>
            <w:tcBorders>
              <w:top w:val="nil"/>
              <w:left w:val="nil"/>
              <w:bottom w:val="single" w:sz="4" w:space="0" w:color="auto"/>
              <w:right w:val="single" w:sz="4" w:space="0" w:color="auto"/>
            </w:tcBorders>
            <w:noWrap/>
            <w:vAlign w:val="center"/>
            <w:hideMark/>
          </w:tcPr>
          <w:p w14:paraId="6ECFCCF0"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$85,801</w:t>
            </w:r>
          </w:p>
        </w:tc>
        <w:tc>
          <w:tcPr>
            <w:tcW w:w="1164" w:type="dxa"/>
            <w:tcBorders>
              <w:top w:val="nil"/>
              <w:left w:val="nil"/>
              <w:bottom w:val="single" w:sz="4" w:space="0" w:color="auto"/>
              <w:right w:val="single" w:sz="4" w:space="0" w:color="auto"/>
            </w:tcBorders>
            <w:noWrap/>
            <w:vAlign w:val="center"/>
            <w:hideMark/>
          </w:tcPr>
          <w:p w14:paraId="34F617F6"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$32,604</w:t>
            </w:r>
          </w:p>
        </w:tc>
        <w:tc>
          <w:tcPr>
            <w:tcW w:w="1710" w:type="dxa"/>
            <w:tcBorders>
              <w:top w:val="nil"/>
              <w:left w:val="nil"/>
              <w:bottom w:val="single" w:sz="4" w:space="0" w:color="auto"/>
              <w:right w:val="single" w:sz="4" w:space="0" w:color="auto"/>
            </w:tcBorders>
            <w:noWrap/>
            <w:vAlign w:val="center"/>
            <w:hideMark/>
          </w:tcPr>
          <w:p w14:paraId="60020D1C"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$118,405</w:t>
            </w:r>
          </w:p>
        </w:tc>
        <w:tc>
          <w:tcPr>
            <w:tcW w:w="1080" w:type="dxa"/>
            <w:tcBorders>
              <w:top w:val="nil"/>
              <w:left w:val="nil"/>
              <w:bottom w:val="single" w:sz="4" w:space="0" w:color="auto"/>
              <w:right w:val="single" w:sz="4" w:space="0" w:color="auto"/>
            </w:tcBorders>
            <w:noWrap/>
            <w:vAlign w:val="center"/>
            <w:hideMark/>
          </w:tcPr>
          <w:p w14:paraId="49BDD5B8"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2.5</w:t>
            </w:r>
          </w:p>
        </w:tc>
        <w:tc>
          <w:tcPr>
            <w:tcW w:w="1266" w:type="dxa"/>
            <w:tcBorders>
              <w:top w:val="nil"/>
              <w:left w:val="nil"/>
              <w:bottom w:val="single" w:sz="4" w:space="0" w:color="auto"/>
              <w:right w:val="single" w:sz="4" w:space="0" w:color="auto"/>
            </w:tcBorders>
            <w:noWrap/>
            <w:vAlign w:val="center"/>
            <w:hideMark/>
          </w:tcPr>
          <w:p w14:paraId="12BCD8ED" w14:textId="77777777" w:rsidR="006D06DD" w:rsidRPr="006D06DD" w:rsidRDefault="006D06DD" w:rsidP="006D06DD">
            <w:pPr>
              <w:spacing w:line="276" w:lineRule="auto"/>
              <w:jc w:val="center"/>
              <w:rPr>
                <w:rFonts w:ascii="Times New Roman" w:eastAsia="Times New Roman" w:hAnsi="Times New Roman" w:cs="Times New Roman"/>
                <w:color w:val="000000"/>
              </w:rPr>
            </w:pPr>
            <w:r w:rsidRPr="006D06DD">
              <w:rPr>
                <w:rFonts w:ascii="Times New Roman" w:eastAsia="Times New Roman" w:hAnsi="Times New Roman" w:cs="Times New Roman"/>
                <w:color w:val="000000"/>
              </w:rPr>
              <w:t>$2,960</w:t>
            </w:r>
          </w:p>
        </w:tc>
      </w:tr>
      <w:tr w:rsidR="006D06DD" w:rsidRPr="006D06DD" w14:paraId="4CA3674E" w14:textId="77777777" w:rsidTr="00A82243">
        <w:trPr>
          <w:trHeight w:val="282"/>
        </w:trPr>
        <w:tc>
          <w:tcPr>
            <w:tcW w:w="2970" w:type="dxa"/>
            <w:tcBorders>
              <w:top w:val="nil"/>
              <w:left w:val="single" w:sz="4" w:space="0" w:color="auto"/>
              <w:bottom w:val="single" w:sz="4" w:space="0" w:color="auto"/>
              <w:right w:val="single" w:sz="4" w:space="0" w:color="auto"/>
            </w:tcBorders>
            <w:noWrap/>
            <w:vAlign w:val="bottom"/>
            <w:hideMark/>
          </w:tcPr>
          <w:p w14:paraId="6DBF49E0" w14:textId="77777777" w:rsidR="006D06DD" w:rsidRPr="006D06DD" w:rsidRDefault="006D06DD" w:rsidP="006D06DD">
            <w:pPr>
              <w:spacing w:line="276" w:lineRule="auto"/>
              <w:rPr>
                <w:rFonts w:ascii="Times New Roman" w:eastAsia="Times New Roman" w:hAnsi="Times New Roman" w:cs="Times New Roman"/>
                <w:color w:val="000000"/>
              </w:rPr>
            </w:pPr>
            <w:r w:rsidRPr="006D06DD">
              <w:rPr>
                <w:rFonts w:ascii="Times New Roman" w:eastAsia="Times New Roman" w:hAnsi="Times New Roman" w:cs="Times New Roman"/>
                <w:color w:val="000000"/>
              </w:rPr>
              <w:t> </w:t>
            </w:r>
          </w:p>
        </w:tc>
        <w:tc>
          <w:tcPr>
            <w:tcW w:w="1266" w:type="dxa"/>
            <w:tcBorders>
              <w:top w:val="nil"/>
              <w:left w:val="nil"/>
              <w:bottom w:val="single" w:sz="4" w:space="0" w:color="auto"/>
              <w:right w:val="single" w:sz="4" w:space="0" w:color="auto"/>
            </w:tcBorders>
            <w:noWrap/>
            <w:vAlign w:val="center"/>
            <w:hideMark/>
          </w:tcPr>
          <w:p w14:paraId="5E81F682" w14:textId="77777777" w:rsidR="006D06DD" w:rsidRPr="006D06DD" w:rsidRDefault="006D06DD" w:rsidP="006D06DD">
            <w:pPr>
              <w:rPr>
                <w:rFonts w:ascii="Times New Roman" w:eastAsia="Times New Roman" w:hAnsi="Times New Roman" w:cs="Times New Roman"/>
                <w:color w:val="000000"/>
              </w:rPr>
            </w:pPr>
          </w:p>
        </w:tc>
        <w:tc>
          <w:tcPr>
            <w:tcW w:w="1164" w:type="dxa"/>
            <w:tcBorders>
              <w:top w:val="nil"/>
              <w:left w:val="nil"/>
              <w:bottom w:val="single" w:sz="4" w:space="0" w:color="auto"/>
              <w:right w:val="single" w:sz="4" w:space="0" w:color="auto"/>
            </w:tcBorders>
            <w:noWrap/>
            <w:vAlign w:val="center"/>
            <w:hideMark/>
          </w:tcPr>
          <w:p w14:paraId="3ADAB4DD" w14:textId="77777777" w:rsidR="006D06DD" w:rsidRPr="006D06DD" w:rsidRDefault="006D06DD" w:rsidP="006D06DD">
            <w:pPr>
              <w:rPr>
                <w:rFonts w:ascii="Calibri" w:eastAsia="Times New Roman" w:hAnsi="Calibri" w:cs="Calibri"/>
                <w:sz w:val="20"/>
                <w:szCs w:val="20"/>
              </w:rPr>
            </w:pPr>
          </w:p>
        </w:tc>
        <w:tc>
          <w:tcPr>
            <w:tcW w:w="1710" w:type="dxa"/>
            <w:tcBorders>
              <w:top w:val="nil"/>
              <w:left w:val="nil"/>
              <w:bottom w:val="single" w:sz="4" w:space="0" w:color="auto"/>
              <w:right w:val="single" w:sz="4" w:space="0" w:color="auto"/>
            </w:tcBorders>
            <w:noWrap/>
            <w:vAlign w:val="center"/>
            <w:hideMark/>
          </w:tcPr>
          <w:p w14:paraId="735961BE" w14:textId="77777777" w:rsidR="006D06DD" w:rsidRPr="006D06DD" w:rsidRDefault="006D06DD" w:rsidP="006D06DD">
            <w:pPr>
              <w:rPr>
                <w:rFonts w:ascii="Calibri" w:eastAsia="Times New Roman" w:hAnsi="Calibri" w:cs="Calibri"/>
                <w:sz w:val="20"/>
                <w:szCs w:val="20"/>
              </w:rPr>
            </w:pPr>
          </w:p>
        </w:tc>
        <w:tc>
          <w:tcPr>
            <w:tcW w:w="1080" w:type="dxa"/>
            <w:tcBorders>
              <w:top w:val="nil"/>
              <w:left w:val="nil"/>
              <w:bottom w:val="single" w:sz="4" w:space="0" w:color="auto"/>
              <w:right w:val="single" w:sz="4" w:space="0" w:color="auto"/>
            </w:tcBorders>
            <w:noWrap/>
            <w:vAlign w:val="center"/>
            <w:hideMark/>
          </w:tcPr>
          <w:p w14:paraId="47079F99" w14:textId="77777777" w:rsidR="006D06DD" w:rsidRPr="006D06DD" w:rsidRDefault="006D06DD" w:rsidP="006D06DD">
            <w:pPr>
              <w:rPr>
                <w:rFonts w:ascii="Calibri" w:eastAsia="Times New Roman" w:hAnsi="Calibri" w:cs="Calibri"/>
                <w:sz w:val="20"/>
                <w:szCs w:val="20"/>
              </w:rPr>
            </w:pPr>
          </w:p>
        </w:tc>
        <w:tc>
          <w:tcPr>
            <w:tcW w:w="1266" w:type="dxa"/>
            <w:tcBorders>
              <w:top w:val="nil"/>
              <w:left w:val="nil"/>
              <w:bottom w:val="single" w:sz="4" w:space="0" w:color="auto"/>
              <w:right w:val="single" w:sz="4" w:space="0" w:color="auto"/>
            </w:tcBorders>
            <w:noWrap/>
            <w:vAlign w:val="center"/>
            <w:hideMark/>
          </w:tcPr>
          <w:p w14:paraId="0A8287E1" w14:textId="77777777" w:rsidR="006D06DD" w:rsidRPr="006D06DD" w:rsidRDefault="006D06DD" w:rsidP="006D06DD">
            <w:pPr>
              <w:spacing w:line="276" w:lineRule="auto"/>
              <w:jc w:val="center"/>
              <w:rPr>
                <w:rFonts w:ascii="Times New Roman" w:eastAsia="Times New Roman" w:hAnsi="Times New Roman" w:cs="Times New Roman"/>
                <w:b/>
                <w:bCs/>
                <w:color w:val="000000"/>
              </w:rPr>
            </w:pPr>
            <w:r w:rsidRPr="006D06DD">
              <w:rPr>
                <w:rFonts w:ascii="Times New Roman" w:eastAsia="Times New Roman" w:hAnsi="Times New Roman" w:cs="Times New Roman"/>
                <w:b/>
                <w:bCs/>
                <w:color w:val="000000"/>
              </w:rPr>
              <w:t>$40,047</w:t>
            </w:r>
          </w:p>
        </w:tc>
      </w:tr>
    </w:tbl>
    <w:p w14:paraId="33BEE764" w14:textId="77777777" w:rsidR="006D06DD" w:rsidRPr="006D06DD" w:rsidRDefault="006D06DD" w:rsidP="006D06DD">
      <w:pPr>
        <w:rPr>
          <w:rFonts w:ascii="Times New Roman" w:eastAsia="Times New Roman" w:hAnsi="Times New Roman" w:cs="Times New Roman"/>
        </w:rPr>
      </w:pPr>
    </w:p>
    <w:p w14:paraId="3DBFA8D1" w14:textId="77777777" w:rsidR="006D06DD" w:rsidRPr="006D06DD" w:rsidRDefault="006D06DD" w:rsidP="006D06DD">
      <w:pPr>
        <w:tabs>
          <w:tab w:val="left" w:pos="540"/>
        </w:tabs>
        <w:rPr>
          <w:rFonts w:ascii="Times New Roman" w:eastAsia="Times New Roman" w:hAnsi="Times New Roman" w:cs="Times New Roman"/>
          <w:i/>
        </w:rPr>
      </w:pPr>
      <w:r w:rsidRPr="006D06DD">
        <w:rPr>
          <w:rFonts w:ascii="Times New Roman" w:eastAsia="Times New Roman" w:hAnsi="Times New Roman" w:cs="Times New Roman"/>
          <w:i/>
        </w:rPr>
        <w:t>Total Annualized Cost to the Federal Government</w:t>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85"/>
      </w:tblGrid>
      <w:tr w:rsidR="006D06DD" w:rsidRPr="006D06DD" w14:paraId="6464C78A" w14:textId="77777777" w:rsidTr="00A82243">
        <w:trPr>
          <w:cnfStyle w:val="100000000000" w:firstRow="1" w:lastRow="0" w:firstColumn="0" w:lastColumn="0" w:oddVBand="0" w:evenVBand="0" w:oddHBand="0" w:evenHBand="0" w:firstRowFirstColumn="0" w:firstRowLastColumn="0" w:lastRowFirstColumn="0" w:lastRowLastColumn="0"/>
        </w:trPr>
        <w:tc>
          <w:tcPr>
            <w:tcW w:w="6565" w:type="dxa"/>
            <w:tcBorders>
              <w:top w:val="single" w:sz="4" w:space="0" w:color="auto"/>
              <w:left w:val="single" w:sz="4" w:space="0" w:color="auto"/>
              <w:bottom w:val="single" w:sz="4" w:space="0" w:color="auto"/>
              <w:right w:val="single" w:sz="4" w:space="0" w:color="auto"/>
            </w:tcBorders>
            <w:hideMark/>
          </w:tcPr>
          <w:p w14:paraId="7CBC2A52" w14:textId="77777777" w:rsidR="006D06DD" w:rsidRPr="006D06DD" w:rsidRDefault="006D06DD" w:rsidP="006D06DD">
            <w:pPr>
              <w:tabs>
                <w:tab w:val="left" w:pos="540"/>
              </w:tabs>
              <w:rPr>
                <w:b/>
              </w:rPr>
            </w:pPr>
            <w:r w:rsidRPr="006D06DD">
              <w:rPr>
                <w:rFonts w:ascii="Calibri" w:hAnsi="Calibri"/>
                <w:b/>
              </w:rPr>
              <w:t>Cost Type</w:t>
            </w:r>
          </w:p>
        </w:tc>
        <w:tc>
          <w:tcPr>
            <w:tcW w:w="2785" w:type="dxa"/>
            <w:tcBorders>
              <w:top w:val="single" w:sz="4" w:space="0" w:color="auto"/>
              <w:left w:val="single" w:sz="4" w:space="0" w:color="auto"/>
              <w:bottom w:val="single" w:sz="4" w:space="0" w:color="auto"/>
              <w:right w:val="single" w:sz="4" w:space="0" w:color="auto"/>
            </w:tcBorders>
            <w:hideMark/>
          </w:tcPr>
          <w:p w14:paraId="59B0882B" w14:textId="77777777" w:rsidR="006D06DD" w:rsidRPr="006D06DD" w:rsidRDefault="006D06DD" w:rsidP="006D06DD">
            <w:pPr>
              <w:tabs>
                <w:tab w:val="left" w:pos="540"/>
              </w:tabs>
              <w:rPr>
                <w:rFonts w:ascii="Calibri" w:hAnsi="Calibri"/>
                <w:b/>
              </w:rPr>
            </w:pPr>
            <w:r w:rsidRPr="006D06DD">
              <w:rPr>
                <w:rFonts w:ascii="Calibri" w:hAnsi="Calibri"/>
                <w:b/>
              </w:rPr>
              <w:t>Annualized Cost</w:t>
            </w:r>
          </w:p>
        </w:tc>
      </w:tr>
      <w:tr w:rsidR="006D06DD" w:rsidRPr="006D06DD" w14:paraId="5E7EE33F" w14:textId="77777777" w:rsidTr="00A82243">
        <w:tc>
          <w:tcPr>
            <w:tcW w:w="6565" w:type="dxa"/>
            <w:tcBorders>
              <w:top w:val="single" w:sz="4" w:space="0" w:color="auto"/>
              <w:left w:val="single" w:sz="4" w:space="0" w:color="auto"/>
              <w:bottom w:val="single" w:sz="4" w:space="0" w:color="auto"/>
              <w:right w:val="single" w:sz="4" w:space="0" w:color="auto"/>
            </w:tcBorders>
            <w:hideMark/>
          </w:tcPr>
          <w:p w14:paraId="0947E4E2" w14:textId="77777777" w:rsidR="006D06DD" w:rsidRPr="006D06DD" w:rsidRDefault="006D06DD" w:rsidP="006D06DD">
            <w:pPr>
              <w:tabs>
                <w:tab w:val="left" w:pos="540"/>
              </w:tabs>
              <w:rPr>
                <w:rFonts w:ascii="Times New Roman" w:hAnsi="Times New Roman"/>
              </w:rPr>
            </w:pPr>
            <w:r w:rsidRPr="006D06DD">
              <w:rPr>
                <w:rFonts w:ascii="Times New Roman" w:hAnsi="Times New Roman"/>
              </w:rPr>
              <w:t xml:space="preserve">Federal Contract </w:t>
            </w:r>
          </w:p>
        </w:tc>
        <w:tc>
          <w:tcPr>
            <w:tcW w:w="2785" w:type="dxa"/>
            <w:tcBorders>
              <w:top w:val="single" w:sz="4" w:space="0" w:color="auto"/>
              <w:left w:val="single" w:sz="4" w:space="0" w:color="auto"/>
              <w:bottom w:val="single" w:sz="4" w:space="0" w:color="auto"/>
              <w:right w:val="single" w:sz="4" w:space="0" w:color="auto"/>
            </w:tcBorders>
            <w:hideMark/>
          </w:tcPr>
          <w:p w14:paraId="26246D39" w14:textId="77777777" w:rsidR="006D06DD" w:rsidRPr="006D06DD" w:rsidRDefault="006D06DD" w:rsidP="006D06DD">
            <w:pPr>
              <w:tabs>
                <w:tab w:val="left" w:pos="540"/>
              </w:tabs>
              <w:rPr>
                <w:rFonts w:ascii="Times New Roman" w:hAnsi="Times New Roman"/>
              </w:rPr>
            </w:pPr>
            <w:r w:rsidRPr="006D06DD">
              <w:rPr>
                <w:rFonts w:ascii="Times New Roman" w:hAnsi="Times New Roman"/>
              </w:rPr>
              <w:t>$499,991</w:t>
            </w:r>
          </w:p>
        </w:tc>
      </w:tr>
      <w:tr w:rsidR="006D06DD" w:rsidRPr="006D06DD" w14:paraId="697F9829" w14:textId="77777777" w:rsidTr="00A82243">
        <w:tc>
          <w:tcPr>
            <w:tcW w:w="6565" w:type="dxa"/>
            <w:tcBorders>
              <w:top w:val="single" w:sz="4" w:space="0" w:color="auto"/>
              <w:left w:val="single" w:sz="4" w:space="0" w:color="auto"/>
              <w:bottom w:val="single" w:sz="4" w:space="0" w:color="auto"/>
              <w:right w:val="single" w:sz="4" w:space="0" w:color="auto"/>
            </w:tcBorders>
            <w:hideMark/>
          </w:tcPr>
          <w:p w14:paraId="44E0C2ED" w14:textId="77777777" w:rsidR="006D06DD" w:rsidRPr="006D06DD" w:rsidRDefault="006D06DD" w:rsidP="006D06DD">
            <w:pPr>
              <w:tabs>
                <w:tab w:val="left" w:pos="540"/>
              </w:tabs>
              <w:rPr>
                <w:rFonts w:ascii="Times New Roman" w:hAnsi="Times New Roman"/>
              </w:rPr>
            </w:pPr>
            <w:r w:rsidRPr="006D06DD">
              <w:rPr>
                <w:rFonts w:ascii="Times New Roman" w:hAnsi="Times New Roman"/>
              </w:rPr>
              <w:t>Federal Employees</w:t>
            </w:r>
          </w:p>
        </w:tc>
        <w:tc>
          <w:tcPr>
            <w:tcW w:w="2785" w:type="dxa"/>
            <w:tcBorders>
              <w:top w:val="single" w:sz="4" w:space="0" w:color="auto"/>
              <w:left w:val="single" w:sz="4" w:space="0" w:color="auto"/>
              <w:bottom w:val="single" w:sz="4" w:space="0" w:color="auto"/>
              <w:right w:val="single" w:sz="4" w:space="0" w:color="auto"/>
            </w:tcBorders>
            <w:hideMark/>
          </w:tcPr>
          <w:p w14:paraId="7DA2CC2B" w14:textId="77777777" w:rsidR="006D06DD" w:rsidRPr="006D06DD" w:rsidRDefault="006D06DD" w:rsidP="006D06DD">
            <w:pPr>
              <w:tabs>
                <w:tab w:val="left" w:pos="540"/>
              </w:tabs>
              <w:rPr>
                <w:rFonts w:ascii="Times New Roman" w:hAnsi="Times New Roman"/>
              </w:rPr>
            </w:pPr>
            <w:r w:rsidRPr="006D06DD">
              <w:rPr>
                <w:rFonts w:ascii="Times New Roman" w:hAnsi="Times New Roman"/>
              </w:rPr>
              <w:t>$40,047</w:t>
            </w:r>
          </w:p>
        </w:tc>
      </w:tr>
      <w:tr w:rsidR="006D06DD" w:rsidRPr="006D06DD" w14:paraId="0ACA7E99" w14:textId="77777777" w:rsidTr="00A82243">
        <w:tc>
          <w:tcPr>
            <w:tcW w:w="6565" w:type="dxa"/>
            <w:tcBorders>
              <w:top w:val="single" w:sz="4" w:space="0" w:color="auto"/>
              <w:left w:val="single" w:sz="4" w:space="0" w:color="auto"/>
              <w:bottom w:val="single" w:sz="4" w:space="0" w:color="auto"/>
              <w:right w:val="single" w:sz="4" w:space="0" w:color="auto"/>
            </w:tcBorders>
            <w:hideMark/>
          </w:tcPr>
          <w:p w14:paraId="5EFD578D" w14:textId="77777777" w:rsidR="006D06DD" w:rsidRPr="006D06DD" w:rsidRDefault="006D06DD" w:rsidP="006D06DD">
            <w:pPr>
              <w:tabs>
                <w:tab w:val="left" w:pos="540"/>
              </w:tabs>
              <w:rPr>
                <w:rFonts w:ascii="Times New Roman" w:hAnsi="Times New Roman"/>
                <w:b/>
              </w:rPr>
            </w:pPr>
            <w:r w:rsidRPr="006D06DD">
              <w:rPr>
                <w:rFonts w:ascii="Times New Roman" w:hAnsi="Times New Roman"/>
                <w:b/>
              </w:rPr>
              <w:t>Total Annualized Cost</w:t>
            </w:r>
          </w:p>
        </w:tc>
        <w:tc>
          <w:tcPr>
            <w:tcW w:w="2785" w:type="dxa"/>
            <w:tcBorders>
              <w:top w:val="single" w:sz="4" w:space="0" w:color="auto"/>
              <w:left w:val="single" w:sz="4" w:space="0" w:color="auto"/>
              <w:bottom w:val="single" w:sz="4" w:space="0" w:color="auto"/>
              <w:right w:val="single" w:sz="4" w:space="0" w:color="auto"/>
            </w:tcBorders>
            <w:hideMark/>
          </w:tcPr>
          <w:p w14:paraId="3814A353" w14:textId="77777777" w:rsidR="006D06DD" w:rsidRPr="006D06DD" w:rsidRDefault="006D06DD" w:rsidP="006D06DD">
            <w:pPr>
              <w:tabs>
                <w:tab w:val="left" w:pos="540"/>
              </w:tabs>
              <w:rPr>
                <w:rFonts w:ascii="Times New Roman" w:hAnsi="Times New Roman"/>
                <w:b/>
              </w:rPr>
            </w:pPr>
            <w:r w:rsidRPr="006D06DD">
              <w:rPr>
                <w:rFonts w:ascii="Times New Roman" w:hAnsi="Times New Roman"/>
                <w:b/>
              </w:rPr>
              <w:t>$540,038</w:t>
            </w:r>
          </w:p>
        </w:tc>
      </w:tr>
    </w:tbl>
    <w:p w14:paraId="15676616" w14:textId="77777777" w:rsidR="006D06DD" w:rsidRPr="006D06DD" w:rsidRDefault="006D06DD" w:rsidP="006D06DD">
      <w:pPr>
        <w:rPr>
          <w:rFonts w:ascii="Calibri" w:eastAsia="Times New Roman" w:hAnsi="Calibri" w:cs="Times New Roman"/>
          <w:sz w:val="22"/>
          <w:szCs w:val="22"/>
        </w:rPr>
      </w:pPr>
    </w:p>
    <w:p w14:paraId="0277011B" w14:textId="77777777" w:rsidR="00480C3B" w:rsidRPr="006068B0" w:rsidRDefault="00480C3B" w:rsidP="003140FA"/>
    <w:p w14:paraId="3BC11C06" w14:textId="77777777" w:rsidR="003140FA" w:rsidRPr="006068B0" w:rsidRDefault="003140FA" w:rsidP="003140FA">
      <w:pPr>
        <w:pStyle w:val="Heading2"/>
        <w:ind w:left="360"/>
        <w:rPr>
          <w:rFonts w:asciiTheme="minorHAnsi" w:hAnsiTheme="minorHAnsi"/>
        </w:rPr>
      </w:pPr>
      <w:bookmarkStart w:id="15" w:name="_Toc477443919"/>
      <w:r w:rsidRPr="006068B0">
        <w:rPr>
          <w:rFonts w:asciiTheme="minorHAnsi" w:hAnsiTheme="minorHAnsi"/>
        </w:rPr>
        <w:t>Explanation for Program Changes or Adjustments</w:t>
      </w:r>
      <w:bookmarkEnd w:id="15"/>
    </w:p>
    <w:p w14:paraId="7A5CF276" w14:textId="77777777" w:rsidR="003140FA" w:rsidRPr="006068B0" w:rsidRDefault="003140FA" w:rsidP="003140FA"/>
    <w:p w14:paraId="4499B458" w14:textId="57A87680" w:rsidR="00AA159D" w:rsidRPr="006068B0" w:rsidRDefault="00AA159D" w:rsidP="003140FA">
      <w:r w:rsidRPr="006068B0">
        <w:t>This is a new data collection.</w:t>
      </w:r>
    </w:p>
    <w:p w14:paraId="5ACE825D" w14:textId="77777777" w:rsidR="003140FA" w:rsidRPr="006068B0" w:rsidRDefault="003140FA" w:rsidP="003140FA"/>
    <w:p w14:paraId="3223B123" w14:textId="77777777" w:rsidR="003140FA" w:rsidRPr="006068B0" w:rsidRDefault="003140FA" w:rsidP="003140FA">
      <w:pPr>
        <w:pStyle w:val="Heading2"/>
        <w:ind w:left="360"/>
        <w:rPr>
          <w:rFonts w:asciiTheme="minorHAnsi" w:hAnsiTheme="minorHAnsi"/>
        </w:rPr>
      </w:pPr>
      <w:bookmarkStart w:id="16" w:name="_Toc477443920"/>
      <w:r w:rsidRPr="006068B0">
        <w:rPr>
          <w:rFonts w:asciiTheme="minorHAnsi" w:hAnsiTheme="minorHAnsi"/>
        </w:rPr>
        <w:t>Plans for Tabulation and Publication and Project Time Schedule</w:t>
      </w:r>
      <w:bookmarkEnd w:id="16"/>
    </w:p>
    <w:p w14:paraId="1E4F5B84" w14:textId="77777777" w:rsidR="003140FA" w:rsidRPr="006068B0" w:rsidRDefault="003140FA" w:rsidP="003140FA"/>
    <w:p w14:paraId="65769B96" w14:textId="4C02BD78" w:rsidR="003140FA" w:rsidRPr="006068B0" w:rsidRDefault="00AA159D" w:rsidP="003140FA">
      <w:r w:rsidRPr="006068B0">
        <w:t>Exhibit 3 illustrate the timeline for activities related to this collection, including recruitment of participants, data collection, data analysis and publication.</w:t>
      </w:r>
    </w:p>
    <w:p w14:paraId="233F3C8D" w14:textId="77777777" w:rsidR="00AA159D" w:rsidRPr="006068B0" w:rsidRDefault="00AA159D" w:rsidP="003140FA"/>
    <w:p w14:paraId="29C784F6" w14:textId="3B98BC0C" w:rsidR="00AA159D" w:rsidRPr="006068B0" w:rsidRDefault="00B6749B" w:rsidP="003140FA">
      <w:r w:rsidRPr="006068B0">
        <w:t>Exhibit 3: Project Timeline</w:t>
      </w:r>
    </w:p>
    <w:tbl>
      <w:tblPr>
        <w:tblStyle w:val="TableGrid"/>
        <w:tblW w:w="0" w:type="auto"/>
        <w:tblLook w:val="04A0" w:firstRow="1" w:lastRow="0" w:firstColumn="1" w:lastColumn="0" w:noHBand="0" w:noVBand="1"/>
      </w:tblPr>
      <w:tblGrid>
        <w:gridCol w:w="4675"/>
        <w:gridCol w:w="4675"/>
      </w:tblGrid>
      <w:tr w:rsidR="00B6749B" w:rsidRPr="006068B0" w14:paraId="42FC72F3" w14:textId="77777777" w:rsidTr="00B6749B">
        <w:tc>
          <w:tcPr>
            <w:tcW w:w="4675" w:type="dxa"/>
          </w:tcPr>
          <w:p w14:paraId="026372E3" w14:textId="45CC7CCE" w:rsidR="00B6749B" w:rsidRPr="006068B0" w:rsidRDefault="00B6749B" w:rsidP="003140FA">
            <w:r w:rsidRPr="006068B0">
              <w:t>Activity</w:t>
            </w:r>
          </w:p>
        </w:tc>
        <w:tc>
          <w:tcPr>
            <w:tcW w:w="4675" w:type="dxa"/>
          </w:tcPr>
          <w:p w14:paraId="3C3B1E0B" w14:textId="50DCC38D" w:rsidR="00B6749B" w:rsidRPr="006068B0" w:rsidRDefault="00B6749B" w:rsidP="003140FA">
            <w:r w:rsidRPr="006068B0">
              <w:t>Time Schedule</w:t>
            </w:r>
          </w:p>
        </w:tc>
      </w:tr>
      <w:tr w:rsidR="00B6749B" w:rsidRPr="006068B0" w14:paraId="4BA838B2" w14:textId="77777777" w:rsidTr="00B6749B">
        <w:tc>
          <w:tcPr>
            <w:tcW w:w="4675" w:type="dxa"/>
          </w:tcPr>
          <w:p w14:paraId="4046D476" w14:textId="5DDAC6B3" w:rsidR="00B6749B" w:rsidRPr="006068B0" w:rsidRDefault="00B6749B" w:rsidP="003140FA">
            <w:r w:rsidRPr="006068B0">
              <w:t>Recruitment</w:t>
            </w:r>
          </w:p>
          <w:p w14:paraId="168A974B" w14:textId="2D05B28C" w:rsidR="00B6749B" w:rsidRPr="006068B0" w:rsidRDefault="00B6749B" w:rsidP="00B6749B">
            <w:pPr>
              <w:pStyle w:val="ListParagraph"/>
              <w:numPr>
                <w:ilvl w:val="0"/>
                <w:numId w:val="5"/>
              </w:numPr>
            </w:pPr>
            <w:r w:rsidRPr="006068B0">
              <w:t>Key Informant Interviews and Surveys</w:t>
            </w:r>
          </w:p>
          <w:p w14:paraId="69D2B4C8" w14:textId="0F7A6186" w:rsidR="00B6749B" w:rsidRPr="006068B0" w:rsidRDefault="00B63639" w:rsidP="00B63639">
            <w:pPr>
              <w:pStyle w:val="ListParagraph"/>
              <w:numPr>
                <w:ilvl w:val="0"/>
                <w:numId w:val="5"/>
              </w:numPr>
            </w:pPr>
            <w:r w:rsidRPr="00B63639">
              <w:t>Community Emergency Preparedness Survey</w:t>
            </w:r>
          </w:p>
        </w:tc>
        <w:tc>
          <w:tcPr>
            <w:tcW w:w="4675" w:type="dxa"/>
          </w:tcPr>
          <w:p w14:paraId="3D25B399" w14:textId="77777777" w:rsidR="00B6749B" w:rsidRPr="006068B0" w:rsidRDefault="00B6749B" w:rsidP="003140FA"/>
          <w:p w14:paraId="6A67CE01" w14:textId="77777777" w:rsidR="00490115" w:rsidRPr="006068B0" w:rsidRDefault="00490115" w:rsidP="003140FA">
            <w:r w:rsidRPr="006068B0">
              <w:t>1 month after OMB approval</w:t>
            </w:r>
          </w:p>
          <w:p w14:paraId="536E5B0F" w14:textId="2EB7B3AD" w:rsidR="00490115" w:rsidRPr="006068B0" w:rsidRDefault="00ED139D" w:rsidP="003140FA">
            <w:r w:rsidRPr="006068B0">
              <w:t>4 months after OMB approval</w:t>
            </w:r>
          </w:p>
        </w:tc>
      </w:tr>
      <w:tr w:rsidR="00B6749B" w:rsidRPr="006068B0" w14:paraId="2F367174" w14:textId="77777777" w:rsidTr="00B6749B">
        <w:tc>
          <w:tcPr>
            <w:tcW w:w="4675" w:type="dxa"/>
          </w:tcPr>
          <w:p w14:paraId="415B0CE9" w14:textId="6830C5F7" w:rsidR="00B6749B" w:rsidRPr="006068B0" w:rsidRDefault="00490115" w:rsidP="003140FA">
            <w:r w:rsidRPr="006068B0">
              <w:t>Data Collection</w:t>
            </w:r>
          </w:p>
          <w:p w14:paraId="0F4EA232" w14:textId="11ADC583" w:rsidR="00490115" w:rsidRPr="006068B0" w:rsidRDefault="00490115" w:rsidP="00490115">
            <w:pPr>
              <w:pStyle w:val="ListParagraph"/>
              <w:numPr>
                <w:ilvl w:val="0"/>
                <w:numId w:val="6"/>
              </w:numPr>
            </w:pPr>
            <w:r w:rsidRPr="006068B0">
              <w:t xml:space="preserve">Key Informant Interviews and Surveys: </w:t>
            </w:r>
          </w:p>
          <w:p w14:paraId="0F93F43C" w14:textId="6FA32E0C" w:rsidR="00490115" w:rsidRPr="006068B0" w:rsidRDefault="00B63639" w:rsidP="00B63639">
            <w:pPr>
              <w:pStyle w:val="ListParagraph"/>
              <w:numPr>
                <w:ilvl w:val="0"/>
                <w:numId w:val="6"/>
              </w:numPr>
            </w:pPr>
            <w:r>
              <w:t xml:space="preserve"> </w:t>
            </w:r>
            <w:r w:rsidRPr="00B63639">
              <w:t>Community Emergency Preparedness Survey</w:t>
            </w:r>
            <w:r w:rsidR="00E767F0" w:rsidRPr="006068B0">
              <w:t xml:space="preserve"> </w:t>
            </w:r>
          </w:p>
        </w:tc>
        <w:tc>
          <w:tcPr>
            <w:tcW w:w="4675" w:type="dxa"/>
          </w:tcPr>
          <w:p w14:paraId="527EF2CD" w14:textId="77777777" w:rsidR="00B6749B" w:rsidRPr="006068B0" w:rsidRDefault="00B6749B" w:rsidP="003140FA"/>
          <w:p w14:paraId="01C30EA3" w14:textId="77777777" w:rsidR="00ED139D" w:rsidRPr="006068B0" w:rsidRDefault="00ED139D" w:rsidP="003140FA">
            <w:r w:rsidRPr="006068B0">
              <w:t>3-18 months after OMB approval</w:t>
            </w:r>
          </w:p>
          <w:p w14:paraId="3315447A" w14:textId="77777777" w:rsidR="00ED139D" w:rsidRPr="006068B0" w:rsidRDefault="00ED139D" w:rsidP="003140FA"/>
          <w:p w14:paraId="3A0D6708" w14:textId="51F0DE2E" w:rsidR="00ED139D" w:rsidRPr="006068B0" w:rsidRDefault="00ED139D" w:rsidP="003140FA">
            <w:r w:rsidRPr="006068B0">
              <w:t>4-6 months after OMB approval</w:t>
            </w:r>
          </w:p>
        </w:tc>
      </w:tr>
      <w:tr w:rsidR="00B6749B" w:rsidRPr="006068B0" w14:paraId="612D794C" w14:textId="77777777" w:rsidTr="00B6749B">
        <w:tc>
          <w:tcPr>
            <w:tcW w:w="4675" w:type="dxa"/>
          </w:tcPr>
          <w:p w14:paraId="62995C86" w14:textId="307F7472" w:rsidR="00B6749B" w:rsidRPr="006068B0" w:rsidRDefault="00ED139D" w:rsidP="003140FA">
            <w:r w:rsidRPr="006068B0">
              <w:t>Data Analysis</w:t>
            </w:r>
          </w:p>
          <w:p w14:paraId="2A58096B" w14:textId="2652F488" w:rsidR="00ED139D" w:rsidRPr="006068B0" w:rsidRDefault="00ED139D" w:rsidP="00ED139D">
            <w:pPr>
              <w:pStyle w:val="ListParagraph"/>
              <w:numPr>
                <w:ilvl w:val="0"/>
                <w:numId w:val="7"/>
              </w:numPr>
            </w:pPr>
            <w:r w:rsidRPr="006068B0">
              <w:t xml:space="preserve">Key Informant Interviews and Surveys: </w:t>
            </w:r>
          </w:p>
          <w:p w14:paraId="56AB36EC" w14:textId="4FFE9A96" w:rsidR="00ED139D" w:rsidRPr="006068B0" w:rsidRDefault="00B63639" w:rsidP="00B63639">
            <w:pPr>
              <w:pStyle w:val="ListParagraph"/>
              <w:numPr>
                <w:ilvl w:val="0"/>
                <w:numId w:val="7"/>
              </w:numPr>
            </w:pPr>
            <w:r w:rsidRPr="00B63639">
              <w:t>Community Emergency Preparedness Survey</w:t>
            </w:r>
          </w:p>
        </w:tc>
        <w:tc>
          <w:tcPr>
            <w:tcW w:w="4675" w:type="dxa"/>
          </w:tcPr>
          <w:p w14:paraId="577BD7E7" w14:textId="77777777" w:rsidR="00B6749B" w:rsidRPr="006068B0" w:rsidRDefault="00B6749B" w:rsidP="003140FA"/>
          <w:p w14:paraId="0DF4CF0F" w14:textId="77777777" w:rsidR="00ED139D" w:rsidRPr="006068B0" w:rsidRDefault="00ED139D" w:rsidP="003140FA">
            <w:r w:rsidRPr="006068B0">
              <w:t>6-24 months after OMB approval</w:t>
            </w:r>
          </w:p>
          <w:p w14:paraId="03B81BF7" w14:textId="77777777" w:rsidR="00ED139D" w:rsidRPr="006068B0" w:rsidRDefault="00ED139D" w:rsidP="003140FA"/>
          <w:p w14:paraId="0166D607" w14:textId="491577F8" w:rsidR="00ED139D" w:rsidRPr="006068B0" w:rsidRDefault="00ED139D" w:rsidP="003140FA">
            <w:r w:rsidRPr="006068B0">
              <w:t>6-9 months after OMB approval</w:t>
            </w:r>
          </w:p>
        </w:tc>
      </w:tr>
      <w:tr w:rsidR="00B6749B" w:rsidRPr="006068B0" w14:paraId="1293A924" w14:textId="77777777" w:rsidTr="00B6749B">
        <w:tc>
          <w:tcPr>
            <w:tcW w:w="4675" w:type="dxa"/>
          </w:tcPr>
          <w:p w14:paraId="28933FA4" w14:textId="57A8497F" w:rsidR="00B6749B" w:rsidRPr="006068B0" w:rsidRDefault="00ED139D" w:rsidP="003140FA">
            <w:r w:rsidRPr="006068B0">
              <w:t>Publication</w:t>
            </w:r>
          </w:p>
        </w:tc>
        <w:tc>
          <w:tcPr>
            <w:tcW w:w="4675" w:type="dxa"/>
          </w:tcPr>
          <w:p w14:paraId="33FD2C27" w14:textId="6E187642" w:rsidR="00B6749B" w:rsidRPr="006068B0" w:rsidRDefault="00ED139D" w:rsidP="003140FA">
            <w:r w:rsidRPr="006068B0">
              <w:t>24 months after OMB approval</w:t>
            </w:r>
          </w:p>
        </w:tc>
      </w:tr>
    </w:tbl>
    <w:p w14:paraId="79FEB5FE" w14:textId="77777777" w:rsidR="00B6749B" w:rsidRPr="006068B0" w:rsidRDefault="00B6749B" w:rsidP="003140FA"/>
    <w:p w14:paraId="74D6E0DE" w14:textId="77777777" w:rsidR="00AA159D" w:rsidRPr="006068B0" w:rsidRDefault="00AA159D" w:rsidP="003140FA"/>
    <w:p w14:paraId="123BB205" w14:textId="77777777" w:rsidR="003140FA" w:rsidRPr="006068B0" w:rsidRDefault="003140FA" w:rsidP="003140FA">
      <w:pPr>
        <w:pStyle w:val="Heading2"/>
        <w:ind w:left="360"/>
        <w:rPr>
          <w:rFonts w:asciiTheme="minorHAnsi" w:hAnsiTheme="minorHAnsi"/>
        </w:rPr>
      </w:pPr>
      <w:bookmarkStart w:id="17" w:name="_Toc477443921"/>
      <w:r w:rsidRPr="006068B0">
        <w:rPr>
          <w:rFonts w:asciiTheme="minorHAnsi" w:hAnsiTheme="minorHAnsi"/>
        </w:rPr>
        <w:t>Reason(s) display of OMB Expiration Date is Inappropriate</w:t>
      </w:r>
      <w:bookmarkEnd w:id="17"/>
    </w:p>
    <w:p w14:paraId="17292C35" w14:textId="77777777" w:rsidR="003140FA" w:rsidRPr="006068B0" w:rsidRDefault="003140FA" w:rsidP="003140FA"/>
    <w:p w14:paraId="21919E2F" w14:textId="3B7DBC1C" w:rsidR="003140FA" w:rsidRPr="006068B0" w:rsidRDefault="00ED139D" w:rsidP="003140FA">
      <w:r w:rsidRPr="006068B0">
        <w:t>The display of the OMB expiration date is not appropriate.</w:t>
      </w:r>
    </w:p>
    <w:p w14:paraId="6A6E3C00" w14:textId="77777777" w:rsidR="003140FA" w:rsidRPr="006068B0" w:rsidRDefault="003140FA" w:rsidP="003140FA"/>
    <w:p w14:paraId="2200BE6B" w14:textId="77777777" w:rsidR="003140FA" w:rsidRPr="006068B0" w:rsidRDefault="003140FA" w:rsidP="003140FA">
      <w:pPr>
        <w:pStyle w:val="Heading2"/>
        <w:ind w:left="360"/>
        <w:rPr>
          <w:rFonts w:asciiTheme="minorHAnsi" w:hAnsiTheme="minorHAnsi"/>
        </w:rPr>
      </w:pPr>
      <w:bookmarkStart w:id="18" w:name="_Toc477443922"/>
      <w:r w:rsidRPr="006068B0">
        <w:rPr>
          <w:rFonts w:asciiTheme="minorHAnsi" w:hAnsiTheme="minorHAnsi"/>
        </w:rPr>
        <w:t>Exceptions to Certification for Paperwork Reduction Act Submissions</w:t>
      </w:r>
      <w:bookmarkEnd w:id="18"/>
    </w:p>
    <w:p w14:paraId="1195D05D" w14:textId="77777777" w:rsidR="00A82243" w:rsidRPr="006068B0" w:rsidRDefault="00A82243"/>
    <w:p w14:paraId="61A65B02" w14:textId="611D195E" w:rsidR="00ED139D" w:rsidRDefault="00ED139D">
      <w:r w:rsidRPr="006068B0">
        <w:t>There are no exceptions to the certification.</w:t>
      </w:r>
    </w:p>
    <w:p w14:paraId="34632129" w14:textId="771FA43E" w:rsidR="00A369B8" w:rsidRDefault="00A369B8"/>
    <w:p w14:paraId="0306AEF3" w14:textId="77777777" w:rsidR="00A369B8" w:rsidRDefault="00A369B8" w:rsidP="00A369B8">
      <w:r>
        <w:t>List of Attachments</w:t>
      </w:r>
    </w:p>
    <w:p w14:paraId="327246DE" w14:textId="77777777" w:rsidR="00A369B8" w:rsidRDefault="00A369B8" w:rsidP="00A369B8"/>
    <w:p w14:paraId="65157B08" w14:textId="77777777" w:rsidR="00A369B8" w:rsidRDefault="00A369B8" w:rsidP="00A369B8">
      <w:r>
        <w:t>Attachment A – Authorizing Legislation</w:t>
      </w:r>
    </w:p>
    <w:p w14:paraId="041DBE39" w14:textId="77777777" w:rsidR="00A369B8" w:rsidRDefault="00A369B8" w:rsidP="00A369B8"/>
    <w:p w14:paraId="04173BCB" w14:textId="77777777" w:rsidR="00A369B8" w:rsidRDefault="00A369B8" w:rsidP="00A369B8">
      <w:r>
        <w:t>Attachment B – Published 60-Day Federal Register Notice</w:t>
      </w:r>
    </w:p>
    <w:p w14:paraId="0A5D9F3C" w14:textId="77777777" w:rsidR="00A369B8" w:rsidRDefault="00A369B8" w:rsidP="00A369B8"/>
    <w:p w14:paraId="44B27506" w14:textId="77777777" w:rsidR="00A369B8" w:rsidRDefault="00A369B8" w:rsidP="00A369B8">
      <w:r>
        <w:t>Attachment C – Key Informant Survey/Questionnaire</w:t>
      </w:r>
    </w:p>
    <w:p w14:paraId="0D4031D0" w14:textId="77777777" w:rsidR="00A369B8" w:rsidRDefault="00A369B8" w:rsidP="00A369B8"/>
    <w:p w14:paraId="72C3A8BD" w14:textId="77777777" w:rsidR="00A369B8" w:rsidRDefault="00A369B8" w:rsidP="00A369B8">
      <w:r>
        <w:t>Attachment D – Community Emergency Preparedness Survey</w:t>
      </w:r>
    </w:p>
    <w:p w14:paraId="572D52FE" w14:textId="77777777" w:rsidR="00A369B8" w:rsidRDefault="00A369B8" w:rsidP="00A369B8"/>
    <w:p w14:paraId="00D5CFB1" w14:textId="77777777" w:rsidR="00A369B8" w:rsidRDefault="00A369B8" w:rsidP="00A369B8">
      <w:r>
        <w:t>Attachment E—Human Subject Research Exemption CDC</w:t>
      </w:r>
    </w:p>
    <w:p w14:paraId="258D5E9E" w14:textId="77777777" w:rsidR="00A369B8" w:rsidRDefault="00A369B8" w:rsidP="00A369B8"/>
    <w:p w14:paraId="13ECE386" w14:textId="3B739869" w:rsidR="00A369B8" w:rsidRPr="006068B0" w:rsidRDefault="00A369B8" w:rsidP="00A369B8">
      <w:r>
        <w:t>Attachment E1 – Human Subject Research Exemption - LAC</w:t>
      </w:r>
    </w:p>
    <w:sectPr w:rsidR="00A369B8" w:rsidRPr="006068B0" w:rsidSect="009C4E8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AFC8E" w14:textId="77777777" w:rsidR="00840EE7" w:rsidRDefault="00840EE7">
      <w:r>
        <w:separator/>
      </w:r>
    </w:p>
  </w:endnote>
  <w:endnote w:type="continuationSeparator" w:id="0">
    <w:p w14:paraId="7040C637" w14:textId="77777777" w:rsidR="00840EE7" w:rsidRDefault="0084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Futura Condensed">
    <w:altName w:val="Times New Roman"/>
    <w:charset w:val="00"/>
    <w:family w:val="auto"/>
    <w:pitch w:val="variable"/>
    <w:sig w:usb0="8000006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EEAGN D+ Melior">
    <w:altName w:val="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21513" w14:textId="77777777" w:rsidR="00AD6F62" w:rsidRDefault="00AD6F62" w:rsidP="00A822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F3851" w14:textId="77777777" w:rsidR="00AD6F62" w:rsidRDefault="00AD6F62" w:rsidP="00A822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72F13" w14:textId="7A769081" w:rsidR="00AD6F62" w:rsidRDefault="00AD6F62" w:rsidP="00A822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CFE">
      <w:rPr>
        <w:rStyle w:val="PageNumber"/>
        <w:noProof/>
      </w:rPr>
      <w:t>3</w:t>
    </w:r>
    <w:r>
      <w:rPr>
        <w:rStyle w:val="PageNumber"/>
      </w:rPr>
      <w:fldChar w:fldCharType="end"/>
    </w:r>
  </w:p>
  <w:p w14:paraId="3115A41A" w14:textId="77777777" w:rsidR="00AD6F62" w:rsidRDefault="00AD6F62" w:rsidP="00A822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9DD89" w14:textId="77777777" w:rsidR="00840EE7" w:rsidRDefault="00840EE7">
      <w:r>
        <w:separator/>
      </w:r>
    </w:p>
  </w:footnote>
  <w:footnote w:type="continuationSeparator" w:id="0">
    <w:p w14:paraId="306E6C96" w14:textId="77777777" w:rsidR="00840EE7" w:rsidRDefault="00840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7C1"/>
    <w:multiLevelType w:val="hybridMultilevel"/>
    <w:tmpl w:val="44E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5763A"/>
    <w:multiLevelType w:val="hybridMultilevel"/>
    <w:tmpl w:val="4802C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7331E"/>
    <w:multiLevelType w:val="hybridMultilevel"/>
    <w:tmpl w:val="CEC86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042E2"/>
    <w:multiLevelType w:val="hybridMultilevel"/>
    <w:tmpl w:val="F8FA1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822C6"/>
    <w:multiLevelType w:val="hybridMultilevel"/>
    <w:tmpl w:val="F282F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C0F7A"/>
    <w:multiLevelType w:val="hybridMultilevel"/>
    <w:tmpl w:val="38186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0C7E0A"/>
    <w:multiLevelType w:val="hybridMultilevel"/>
    <w:tmpl w:val="021A10F4"/>
    <w:lvl w:ilvl="0" w:tplc="D31C7B8C">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F751E"/>
    <w:multiLevelType w:val="hybridMultilevel"/>
    <w:tmpl w:val="845E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0FA"/>
    <w:rsid w:val="00074CDA"/>
    <w:rsid w:val="000A2664"/>
    <w:rsid w:val="000B1DD5"/>
    <w:rsid w:val="001330F9"/>
    <w:rsid w:val="00136A49"/>
    <w:rsid w:val="00153BA2"/>
    <w:rsid w:val="0016652D"/>
    <w:rsid w:val="001939BA"/>
    <w:rsid w:val="001E0A24"/>
    <w:rsid w:val="001F7D37"/>
    <w:rsid w:val="002A6CCC"/>
    <w:rsid w:val="002B09A1"/>
    <w:rsid w:val="002C5A29"/>
    <w:rsid w:val="003140FA"/>
    <w:rsid w:val="00333A00"/>
    <w:rsid w:val="00362755"/>
    <w:rsid w:val="0037280A"/>
    <w:rsid w:val="003966A6"/>
    <w:rsid w:val="003A46C2"/>
    <w:rsid w:val="003E5720"/>
    <w:rsid w:val="00413FA5"/>
    <w:rsid w:val="00436BAF"/>
    <w:rsid w:val="00480C3B"/>
    <w:rsid w:val="00490115"/>
    <w:rsid w:val="004A344F"/>
    <w:rsid w:val="004D7A4C"/>
    <w:rsid w:val="004F1E84"/>
    <w:rsid w:val="005016A5"/>
    <w:rsid w:val="0051158F"/>
    <w:rsid w:val="005119E8"/>
    <w:rsid w:val="00515DE9"/>
    <w:rsid w:val="00525149"/>
    <w:rsid w:val="005375CC"/>
    <w:rsid w:val="00561C70"/>
    <w:rsid w:val="00571255"/>
    <w:rsid w:val="00581C2D"/>
    <w:rsid w:val="005C1BC9"/>
    <w:rsid w:val="005E412F"/>
    <w:rsid w:val="005E7088"/>
    <w:rsid w:val="005F21D6"/>
    <w:rsid w:val="006068B0"/>
    <w:rsid w:val="006537E6"/>
    <w:rsid w:val="006A6823"/>
    <w:rsid w:val="006D06DD"/>
    <w:rsid w:val="006D4DD9"/>
    <w:rsid w:val="00717DEF"/>
    <w:rsid w:val="0072739E"/>
    <w:rsid w:val="00777864"/>
    <w:rsid w:val="007C4B14"/>
    <w:rsid w:val="007D3B03"/>
    <w:rsid w:val="007E763A"/>
    <w:rsid w:val="00840EE7"/>
    <w:rsid w:val="008412F5"/>
    <w:rsid w:val="00853E41"/>
    <w:rsid w:val="0085732F"/>
    <w:rsid w:val="008849FF"/>
    <w:rsid w:val="00885FBD"/>
    <w:rsid w:val="00887B1E"/>
    <w:rsid w:val="00891966"/>
    <w:rsid w:val="008A4872"/>
    <w:rsid w:val="008C125B"/>
    <w:rsid w:val="008D1644"/>
    <w:rsid w:val="008E694E"/>
    <w:rsid w:val="008E6D02"/>
    <w:rsid w:val="00910A82"/>
    <w:rsid w:val="00922E9C"/>
    <w:rsid w:val="00947633"/>
    <w:rsid w:val="00947971"/>
    <w:rsid w:val="00956156"/>
    <w:rsid w:val="00994B08"/>
    <w:rsid w:val="009B70A6"/>
    <w:rsid w:val="009C4E85"/>
    <w:rsid w:val="009C5CFB"/>
    <w:rsid w:val="00A369B8"/>
    <w:rsid w:val="00A37438"/>
    <w:rsid w:val="00A3770B"/>
    <w:rsid w:val="00A419FC"/>
    <w:rsid w:val="00A748F5"/>
    <w:rsid w:val="00A82243"/>
    <w:rsid w:val="00AA159D"/>
    <w:rsid w:val="00AA7457"/>
    <w:rsid w:val="00AC1F3B"/>
    <w:rsid w:val="00AC4ED0"/>
    <w:rsid w:val="00AD6B26"/>
    <w:rsid w:val="00AD6F62"/>
    <w:rsid w:val="00B34A53"/>
    <w:rsid w:val="00B472B0"/>
    <w:rsid w:val="00B63639"/>
    <w:rsid w:val="00B6749B"/>
    <w:rsid w:val="00B72281"/>
    <w:rsid w:val="00B748A9"/>
    <w:rsid w:val="00BA576F"/>
    <w:rsid w:val="00BB6D24"/>
    <w:rsid w:val="00BD7ACC"/>
    <w:rsid w:val="00BF0CFE"/>
    <w:rsid w:val="00C1786F"/>
    <w:rsid w:val="00C25ED1"/>
    <w:rsid w:val="00CA30B9"/>
    <w:rsid w:val="00CA3B3E"/>
    <w:rsid w:val="00CB770A"/>
    <w:rsid w:val="00CB7EA1"/>
    <w:rsid w:val="00CC013F"/>
    <w:rsid w:val="00CC737D"/>
    <w:rsid w:val="00CF17E4"/>
    <w:rsid w:val="00D15A76"/>
    <w:rsid w:val="00D541C6"/>
    <w:rsid w:val="00D840EE"/>
    <w:rsid w:val="00DA3E15"/>
    <w:rsid w:val="00DF0038"/>
    <w:rsid w:val="00DF1BC3"/>
    <w:rsid w:val="00E06EE8"/>
    <w:rsid w:val="00E41134"/>
    <w:rsid w:val="00E47DA8"/>
    <w:rsid w:val="00E73BED"/>
    <w:rsid w:val="00E767F0"/>
    <w:rsid w:val="00EC5B75"/>
    <w:rsid w:val="00ED139D"/>
    <w:rsid w:val="00ED3AF1"/>
    <w:rsid w:val="00EE5253"/>
    <w:rsid w:val="00EE6167"/>
    <w:rsid w:val="00EF56E1"/>
    <w:rsid w:val="00F040BC"/>
    <w:rsid w:val="00F30BDC"/>
    <w:rsid w:val="00F447CD"/>
    <w:rsid w:val="00F93FD5"/>
    <w:rsid w:val="00FE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742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3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CC"/>
    <w:rPr>
      <w:rFonts w:ascii="Segoe UI" w:hAnsi="Segoe UI" w:cs="Segoe UI"/>
      <w:sz w:val="18"/>
      <w:szCs w:val="18"/>
    </w:rPr>
  </w:style>
  <w:style w:type="character" w:styleId="CommentReference">
    <w:name w:val="annotation reference"/>
    <w:basedOn w:val="DefaultParagraphFont"/>
    <w:uiPriority w:val="99"/>
    <w:semiHidden/>
    <w:unhideWhenUsed/>
    <w:rsid w:val="00C1786F"/>
    <w:rPr>
      <w:sz w:val="16"/>
      <w:szCs w:val="16"/>
    </w:rPr>
  </w:style>
  <w:style w:type="paragraph" w:styleId="CommentText">
    <w:name w:val="annotation text"/>
    <w:basedOn w:val="Normal"/>
    <w:link w:val="CommentTextChar"/>
    <w:uiPriority w:val="99"/>
    <w:semiHidden/>
    <w:unhideWhenUsed/>
    <w:rsid w:val="00C1786F"/>
    <w:rPr>
      <w:sz w:val="20"/>
      <w:szCs w:val="20"/>
    </w:rPr>
  </w:style>
  <w:style w:type="character" w:customStyle="1" w:styleId="CommentTextChar">
    <w:name w:val="Comment Text Char"/>
    <w:basedOn w:val="DefaultParagraphFont"/>
    <w:link w:val="CommentText"/>
    <w:uiPriority w:val="99"/>
    <w:semiHidden/>
    <w:rsid w:val="00C1786F"/>
    <w:rPr>
      <w:sz w:val="20"/>
      <w:szCs w:val="20"/>
    </w:rPr>
  </w:style>
  <w:style w:type="paragraph" w:styleId="CommentSubject">
    <w:name w:val="annotation subject"/>
    <w:basedOn w:val="CommentText"/>
    <w:next w:val="CommentText"/>
    <w:link w:val="CommentSubjectChar"/>
    <w:uiPriority w:val="99"/>
    <w:semiHidden/>
    <w:unhideWhenUsed/>
    <w:rsid w:val="00C1786F"/>
    <w:rPr>
      <w:b/>
      <w:bCs/>
    </w:rPr>
  </w:style>
  <w:style w:type="character" w:customStyle="1" w:styleId="CommentSubjectChar">
    <w:name w:val="Comment Subject Char"/>
    <w:basedOn w:val="CommentTextChar"/>
    <w:link w:val="CommentSubject"/>
    <w:uiPriority w:val="99"/>
    <w:semiHidden/>
    <w:rsid w:val="00C1786F"/>
    <w:rPr>
      <w:b/>
      <w:bCs/>
      <w:sz w:val="20"/>
      <w:szCs w:val="20"/>
    </w:rPr>
  </w:style>
  <w:style w:type="paragraph" w:styleId="Revision">
    <w:name w:val="Revision"/>
    <w:hidden/>
    <w:uiPriority w:val="99"/>
    <w:semiHidden/>
    <w:rsid w:val="00C1786F"/>
  </w:style>
  <w:style w:type="table" w:customStyle="1" w:styleId="TableGrid1">
    <w:name w:val="Table Grid1"/>
    <w:basedOn w:val="TableNormal"/>
    <w:next w:val="TableGrid"/>
    <w:uiPriority w:val="59"/>
    <w:rsid w:val="006D06DD"/>
    <w:rPr>
      <w:rFonts w:ascii="Futura Condensed" w:eastAsia="Times New Roman" w:hAnsi="Futura Condensed" w:cs="Times New Roman"/>
      <w:sz w:val="20"/>
      <w:szCs w:val="20"/>
    </w:rPr>
    <w:tblPr>
      <w:tblInd w:w="0" w:type="nil"/>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table" w:customStyle="1" w:styleId="TableGrid11">
    <w:name w:val="Table Grid11"/>
    <w:basedOn w:val="TableNormal"/>
    <w:uiPriority w:val="59"/>
    <w:rsid w:val="006D06DD"/>
    <w:rPr>
      <w:rFonts w:ascii="Calibri" w:eastAsia="MS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BED"/>
    <w:pPr>
      <w:tabs>
        <w:tab w:val="center" w:pos="4680"/>
        <w:tab w:val="right" w:pos="9360"/>
      </w:tabs>
    </w:pPr>
  </w:style>
  <w:style w:type="character" w:customStyle="1" w:styleId="HeaderChar">
    <w:name w:val="Header Char"/>
    <w:basedOn w:val="DefaultParagraphFont"/>
    <w:link w:val="Header"/>
    <w:uiPriority w:val="99"/>
    <w:rsid w:val="00E73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0FA"/>
  </w:style>
  <w:style w:type="paragraph" w:styleId="Heading1">
    <w:name w:val="heading 1"/>
    <w:basedOn w:val="Normal"/>
    <w:next w:val="Normal"/>
    <w:link w:val="Heading1Char"/>
    <w:uiPriority w:val="9"/>
    <w:qFormat/>
    <w:rsid w:val="003140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0FA"/>
    <w:pPr>
      <w:keepNext/>
      <w:keepLines/>
      <w:numPr>
        <w:numId w:val="2"/>
      </w:numPr>
      <w:spacing w:before="40"/>
      <w:ind w:left="7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0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0F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140FA"/>
    <w:pPr>
      <w:spacing w:before="480" w:line="276" w:lineRule="auto"/>
      <w:outlineLvl w:val="9"/>
    </w:pPr>
    <w:rPr>
      <w:b/>
      <w:bCs/>
      <w:sz w:val="28"/>
      <w:szCs w:val="28"/>
    </w:rPr>
  </w:style>
  <w:style w:type="paragraph" w:styleId="TOC1">
    <w:name w:val="toc 1"/>
    <w:basedOn w:val="Normal"/>
    <w:next w:val="Normal"/>
    <w:autoRedefine/>
    <w:uiPriority w:val="39"/>
    <w:unhideWhenUsed/>
    <w:rsid w:val="003140FA"/>
    <w:pPr>
      <w:spacing w:before="120"/>
    </w:pPr>
    <w:rPr>
      <w:b/>
      <w:bCs/>
    </w:rPr>
  </w:style>
  <w:style w:type="paragraph" w:styleId="TOC2">
    <w:name w:val="toc 2"/>
    <w:basedOn w:val="Normal"/>
    <w:next w:val="Normal"/>
    <w:autoRedefine/>
    <w:uiPriority w:val="39"/>
    <w:unhideWhenUsed/>
    <w:rsid w:val="003140FA"/>
    <w:pPr>
      <w:ind w:left="240"/>
    </w:pPr>
    <w:rPr>
      <w:b/>
      <w:bCs/>
      <w:sz w:val="22"/>
      <w:szCs w:val="22"/>
    </w:rPr>
  </w:style>
  <w:style w:type="paragraph" w:styleId="ListParagraph">
    <w:name w:val="List Paragraph"/>
    <w:basedOn w:val="Normal"/>
    <w:uiPriority w:val="34"/>
    <w:qFormat/>
    <w:rsid w:val="003140FA"/>
    <w:pPr>
      <w:ind w:left="720"/>
      <w:contextualSpacing/>
    </w:pPr>
  </w:style>
  <w:style w:type="character" w:styleId="Hyperlink">
    <w:name w:val="Hyperlink"/>
    <w:basedOn w:val="DefaultParagraphFont"/>
    <w:uiPriority w:val="99"/>
    <w:unhideWhenUsed/>
    <w:rsid w:val="003140FA"/>
    <w:rPr>
      <w:color w:val="0563C1" w:themeColor="hyperlink"/>
      <w:u w:val="single"/>
    </w:rPr>
  </w:style>
  <w:style w:type="paragraph" w:styleId="Footer">
    <w:name w:val="footer"/>
    <w:basedOn w:val="Normal"/>
    <w:link w:val="FooterChar"/>
    <w:uiPriority w:val="99"/>
    <w:unhideWhenUsed/>
    <w:rsid w:val="003140FA"/>
    <w:pPr>
      <w:tabs>
        <w:tab w:val="center" w:pos="4680"/>
        <w:tab w:val="right" w:pos="9360"/>
      </w:tabs>
    </w:pPr>
  </w:style>
  <w:style w:type="character" w:customStyle="1" w:styleId="FooterChar">
    <w:name w:val="Footer Char"/>
    <w:basedOn w:val="DefaultParagraphFont"/>
    <w:link w:val="Footer"/>
    <w:uiPriority w:val="99"/>
    <w:rsid w:val="003140FA"/>
  </w:style>
  <w:style w:type="character" w:styleId="PageNumber">
    <w:name w:val="page number"/>
    <w:basedOn w:val="DefaultParagraphFont"/>
    <w:uiPriority w:val="99"/>
    <w:semiHidden/>
    <w:unhideWhenUsed/>
    <w:rsid w:val="003140FA"/>
  </w:style>
  <w:style w:type="table" w:styleId="TableGrid">
    <w:name w:val="Table Grid"/>
    <w:basedOn w:val="TableNormal"/>
    <w:uiPriority w:val="39"/>
    <w:rsid w:val="00B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ACC"/>
    <w:rPr>
      <w:rFonts w:ascii="Segoe UI" w:hAnsi="Segoe UI" w:cs="Segoe UI"/>
      <w:sz w:val="18"/>
      <w:szCs w:val="18"/>
    </w:rPr>
  </w:style>
  <w:style w:type="character" w:styleId="CommentReference">
    <w:name w:val="annotation reference"/>
    <w:basedOn w:val="DefaultParagraphFont"/>
    <w:uiPriority w:val="99"/>
    <w:semiHidden/>
    <w:unhideWhenUsed/>
    <w:rsid w:val="00C1786F"/>
    <w:rPr>
      <w:sz w:val="16"/>
      <w:szCs w:val="16"/>
    </w:rPr>
  </w:style>
  <w:style w:type="paragraph" w:styleId="CommentText">
    <w:name w:val="annotation text"/>
    <w:basedOn w:val="Normal"/>
    <w:link w:val="CommentTextChar"/>
    <w:uiPriority w:val="99"/>
    <w:semiHidden/>
    <w:unhideWhenUsed/>
    <w:rsid w:val="00C1786F"/>
    <w:rPr>
      <w:sz w:val="20"/>
      <w:szCs w:val="20"/>
    </w:rPr>
  </w:style>
  <w:style w:type="character" w:customStyle="1" w:styleId="CommentTextChar">
    <w:name w:val="Comment Text Char"/>
    <w:basedOn w:val="DefaultParagraphFont"/>
    <w:link w:val="CommentText"/>
    <w:uiPriority w:val="99"/>
    <w:semiHidden/>
    <w:rsid w:val="00C1786F"/>
    <w:rPr>
      <w:sz w:val="20"/>
      <w:szCs w:val="20"/>
    </w:rPr>
  </w:style>
  <w:style w:type="paragraph" w:styleId="CommentSubject">
    <w:name w:val="annotation subject"/>
    <w:basedOn w:val="CommentText"/>
    <w:next w:val="CommentText"/>
    <w:link w:val="CommentSubjectChar"/>
    <w:uiPriority w:val="99"/>
    <w:semiHidden/>
    <w:unhideWhenUsed/>
    <w:rsid w:val="00C1786F"/>
    <w:rPr>
      <w:b/>
      <w:bCs/>
    </w:rPr>
  </w:style>
  <w:style w:type="character" w:customStyle="1" w:styleId="CommentSubjectChar">
    <w:name w:val="Comment Subject Char"/>
    <w:basedOn w:val="CommentTextChar"/>
    <w:link w:val="CommentSubject"/>
    <w:uiPriority w:val="99"/>
    <w:semiHidden/>
    <w:rsid w:val="00C1786F"/>
    <w:rPr>
      <w:b/>
      <w:bCs/>
      <w:sz w:val="20"/>
      <w:szCs w:val="20"/>
    </w:rPr>
  </w:style>
  <w:style w:type="paragraph" w:styleId="Revision">
    <w:name w:val="Revision"/>
    <w:hidden/>
    <w:uiPriority w:val="99"/>
    <w:semiHidden/>
    <w:rsid w:val="00C1786F"/>
  </w:style>
  <w:style w:type="table" w:customStyle="1" w:styleId="TableGrid1">
    <w:name w:val="Table Grid1"/>
    <w:basedOn w:val="TableNormal"/>
    <w:next w:val="TableGrid"/>
    <w:uiPriority w:val="59"/>
    <w:rsid w:val="006D06DD"/>
    <w:rPr>
      <w:rFonts w:ascii="Futura Condensed" w:eastAsia="Times New Roman" w:hAnsi="Futura Condensed" w:cs="Times New Roman"/>
      <w:sz w:val="20"/>
      <w:szCs w:val="20"/>
    </w:rPr>
    <w:tblPr>
      <w:tblInd w:w="0" w:type="nil"/>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table" w:customStyle="1" w:styleId="TableGrid11">
    <w:name w:val="Table Grid11"/>
    <w:basedOn w:val="TableNormal"/>
    <w:uiPriority w:val="59"/>
    <w:rsid w:val="006D06DD"/>
    <w:rPr>
      <w:rFonts w:ascii="Calibri" w:eastAsia="MS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BED"/>
    <w:pPr>
      <w:tabs>
        <w:tab w:val="center" w:pos="4680"/>
        <w:tab w:val="right" w:pos="9360"/>
      </w:tabs>
    </w:pPr>
  </w:style>
  <w:style w:type="character" w:customStyle="1" w:styleId="HeaderChar">
    <w:name w:val="Header Char"/>
    <w:basedOn w:val="DefaultParagraphFont"/>
    <w:link w:val="Header"/>
    <w:uiPriority w:val="99"/>
    <w:rsid w:val="00E7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30179">
      <w:bodyDiv w:val="1"/>
      <w:marLeft w:val="0"/>
      <w:marRight w:val="0"/>
      <w:marTop w:val="0"/>
      <w:marBottom w:val="0"/>
      <w:divBdr>
        <w:top w:val="none" w:sz="0" w:space="0" w:color="auto"/>
        <w:left w:val="none" w:sz="0" w:space="0" w:color="auto"/>
        <w:bottom w:val="none" w:sz="0" w:space="0" w:color="auto"/>
        <w:right w:val="none" w:sz="0" w:space="0" w:color="auto"/>
      </w:divBdr>
    </w:div>
    <w:div w:id="1012957108">
      <w:bodyDiv w:val="1"/>
      <w:marLeft w:val="0"/>
      <w:marRight w:val="0"/>
      <w:marTop w:val="0"/>
      <w:marBottom w:val="0"/>
      <w:divBdr>
        <w:top w:val="none" w:sz="0" w:space="0" w:color="auto"/>
        <w:left w:val="none" w:sz="0" w:space="0" w:color="auto"/>
        <w:bottom w:val="none" w:sz="0" w:space="0" w:color="auto"/>
        <w:right w:val="none" w:sz="0" w:space="0" w:color="auto"/>
      </w:divBdr>
    </w:div>
    <w:div w:id="1810172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2519</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16849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cp:lastPrinted>2017-08-25T17:54:00Z</cp:lastPrinted>
  <dcterms:created xsi:type="dcterms:W3CDTF">2018-03-14T18:07:00Z</dcterms:created>
  <dcterms:modified xsi:type="dcterms:W3CDTF">2018-03-14T18:07:00Z</dcterms:modified>
</cp:coreProperties>
</file>