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2EFB9" w14:textId="77777777" w:rsidR="000F6DD7" w:rsidRPr="00330E3E" w:rsidRDefault="000F6DD7" w:rsidP="00974254">
      <w:pPr>
        <w:pStyle w:val="Body"/>
        <w:rPr>
          <w:rFonts w:ascii="Garamond" w:hAnsi="Garamond"/>
        </w:rPr>
      </w:pPr>
      <w:bookmarkStart w:id="0" w:name="_GoBack"/>
      <w:bookmarkEnd w:id="0"/>
    </w:p>
    <w:p w14:paraId="27337EDA" w14:textId="77777777" w:rsidR="006F5CDB" w:rsidRPr="000F4788" w:rsidRDefault="00330E3E" w:rsidP="000F6DD7">
      <w:pPr>
        <w:jc w:val="center"/>
        <w:rPr>
          <w:rFonts w:ascii="Garamond" w:hAnsi="Garamond"/>
          <w:b/>
          <w:sz w:val="28"/>
        </w:rPr>
      </w:pPr>
      <w:r w:rsidRPr="000F4788">
        <w:rPr>
          <w:rFonts w:ascii="Garamond" w:hAnsi="Garamond"/>
          <w:b/>
          <w:sz w:val="28"/>
        </w:rPr>
        <w:t>“</w:t>
      </w:r>
      <w:r w:rsidR="000F6DD7" w:rsidRPr="000F4788">
        <w:rPr>
          <w:rFonts w:ascii="Garamond" w:hAnsi="Garamond"/>
          <w:b/>
          <w:sz w:val="28"/>
        </w:rPr>
        <w:t xml:space="preserve">Promoting Adolescent Health </w:t>
      </w:r>
      <w:r w:rsidR="00F03F2B" w:rsidRPr="000F4788">
        <w:rPr>
          <w:rFonts w:ascii="Garamond" w:hAnsi="Garamond"/>
          <w:b/>
          <w:sz w:val="28"/>
        </w:rPr>
        <w:t>through</w:t>
      </w:r>
      <w:r w:rsidR="000F6DD7" w:rsidRPr="000F4788">
        <w:rPr>
          <w:rFonts w:ascii="Garamond" w:hAnsi="Garamond"/>
          <w:b/>
          <w:sz w:val="28"/>
        </w:rPr>
        <w:t xml:space="preserve"> </w:t>
      </w:r>
      <w:r w:rsidRPr="000F4788">
        <w:rPr>
          <w:rFonts w:ascii="Garamond" w:hAnsi="Garamond"/>
          <w:b/>
          <w:sz w:val="28"/>
        </w:rPr>
        <w:t>School-Based HIV/STD Prevention”</w:t>
      </w:r>
    </w:p>
    <w:p w14:paraId="7D962CAF" w14:textId="77777777" w:rsidR="006F5CDB" w:rsidRPr="000F4788" w:rsidRDefault="006F5CDB" w:rsidP="00036B1E">
      <w:pPr>
        <w:rPr>
          <w:rFonts w:ascii="Garamond" w:hAnsi="Garamond"/>
          <w:sz w:val="28"/>
        </w:rPr>
      </w:pPr>
    </w:p>
    <w:p w14:paraId="053D3E53" w14:textId="77777777" w:rsidR="000E4EE5" w:rsidRPr="000F4788" w:rsidRDefault="000E4EE5" w:rsidP="000E4EE5">
      <w:pPr>
        <w:jc w:val="center"/>
        <w:rPr>
          <w:rFonts w:ascii="Garamond" w:hAnsi="Garamond"/>
          <w:sz w:val="28"/>
        </w:rPr>
      </w:pPr>
    </w:p>
    <w:p w14:paraId="198C964D" w14:textId="77777777" w:rsidR="000E4EE5" w:rsidRPr="000F4788" w:rsidRDefault="000E4EE5" w:rsidP="000E4EE5">
      <w:pPr>
        <w:jc w:val="center"/>
        <w:rPr>
          <w:rFonts w:ascii="Garamond" w:hAnsi="Garamond"/>
          <w:sz w:val="28"/>
        </w:rPr>
      </w:pPr>
    </w:p>
    <w:p w14:paraId="416EB887" w14:textId="77777777" w:rsidR="000E4EE5" w:rsidRPr="000F4788" w:rsidRDefault="000E4EE5" w:rsidP="000E4EE5">
      <w:pPr>
        <w:jc w:val="center"/>
        <w:rPr>
          <w:rFonts w:ascii="Garamond" w:hAnsi="Garamond"/>
          <w:sz w:val="28"/>
        </w:rPr>
      </w:pPr>
    </w:p>
    <w:p w14:paraId="4FA9E17E" w14:textId="0A35ED34" w:rsidR="006F5CDB" w:rsidRPr="000F4788" w:rsidRDefault="000E4EE5" w:rsidP="000E4EE5">
      <w:pPr>
        <w:jc w:val="center"/>
        <w:rPr>
          <w:rFonts w:ascii="Garamond" w:hAnsi="Garamond"/>
          <w:sz w:val="28"/>
        </w:rPr>
      </w:pPr>
      <w:r w:rsidRPr="000F4788">
        <w:rPr>
          <w:rFonts w:ascii="Garamond" w:hAnsi="Garamond"/>
          <w:sz w:val="28"/>
        </w:rPr>
        <w:t>OMB #</w:t>
      </w:r>
      <w:r w:rsidR="00330E3E" w:rsidRPr="000F4788">
        <w:rPr>
          <w:rFonts w:ascii="Garamond" w:hAnsi="Garamond"/>
          <w:sz w:val="28"/>
        </w:rPr>
        <w:t>0920-</w:t>
      </w:r>
      <w:r w:rsidR="000F3A2D" w:rsidRPr="000F4788">
        <w:rPr>
          <w:rFonts w:ascii="Garamond" w:hAnsi="Garamond"/>
          <w:sz w:val="28"/>
        </w:rPr>
        <w:t>1049</w:t>
      </w:r>
      <w:r w:rsidR="006C609F" w:rsidRPr="006C609F">
        <w:rPr>
          <w:rFonts w:ascii="Garamond" w:hAnsi="Garamond"/>
          <w:bCs/>
          <w:iCs/>
          <w:sz w:val="28"/>
          <w:szCs w:val="28"/>
        </w:rPr>
        <w:t xml:space="preserve"> </w:t>
      </w:r>
    </w:p>
    <w:p w14:paraId="433C7F6E" w14:textId="77777777" w:rsidR="000E4EE5" w:rsidRPr="000F4788" w:rsidRDefault="000E4EE5" w:rsidP="000E4EE5">
      <w:pPr>
        <w:jc w:val="center"/>
        <w:rPr>
          <w:rFonts w:ascii="Garamond" w:hAnsi="Garamond"/>
          <w:sz w:val="28"/>
        </w:rPr>
      </w:pPr>
    </w:p>
    <w:p w14:paraId="02F184F1" w14:textId="77777777" w:rsidR="00083F51" w:rsidRPr="000F4788" w:rsidRDefault="000E4EE5" w:rsidP="000E4EE5">
      <w:pPr>
        <w:jc w:val="center"/>
        <w:rPr>
          <w:rFonts w:ascii="Garamond" w:hAnsi="Garamond"/>
          <w:sz w:val="28"/>
        </w:rPr>
      </w:pPr>
      <w:r w:rsidRPr="000F4788">
        <w:rPr>
          <w:rFonts w:ascii="Garamond" w:hAnsi="Garamond"/>
          <w:sz w:val="28"/>
        </w:rPr>
        <w:t xml:space="preserve">Supporting </w:t>
      </w:r>
      <w:r w:rsidR="00082D49" w:rsidRPr="000F4788">
        <w:rPr>
          <w:rFonts w:ascii="Garamond" w:hAnsi="Garamond"/>
          <w:sz w:val="28"/>
        </w:rPr>
        <w:t xml:space="preserve">Statement </w:t>
      </w:r>
      <w:r w:rsidRPr="000F4788">
        <w:rPr>
          <w:rFonts w:ascii="Garamond" w:hAnsi="Garamond"/>
          <w:sz w:val="28"/>
        </w:rPr>
        <w:t xml:space="preserve">Part </w:t>
      </w:r>
      <w:r w:rsidR="00082D49" w:rsidRPr="000F4788">
        <w:rPr>
          <w:rFonts w:ascii="Garamond" w:hAnsi="Garamond"/>
          <w:sz w:val="28"/>
        </w:rPr>
        <w:t>A</w:t>
      </w:r>
    </w:p>
    <w:p w14:paraId="2993153C" w14:textId="7629D256" w:rsidR="006C609F" w:rsidRPr="0026143E" w:rsidRDefault="006C609F" w:rsidP="000E4EE5">
      <w:pPr>
        <w:jc w:val="center"/>
        <w:rPr>
          <w:rFonts w:ascii="Garamond" w:hAnsi="Garamond"/>
          <w:b/>
          <w:bCs/>
          <w:iCs/>
          <w:sz w:val="28"/>
          <w:szCs w:val="28"/>
        </w:rPr>
      </w:pPr>
      <w:r w:rsidRPr="0026143E">
        <w:rPr>
          <w:rFonts w:ascii="Garamond" w:hAnsi="Garamond"/>
          <w:b/>
          <w:bCs/>
          <w:iCs/>
          <w:sz w:val="28"/>
          <w:szCs w:val="28"/>
        </w:rPr>
        <w:t>Extension</w:t>
      </w:r>
    </w:p>
    <w:p w14:paraId="0685CD33" w14:textId="77777777" w:rsidR="00082D49" w:rsidRPr="006C609F" w:rsidRDefault="00082D49" w:rsidP="000E4EE5">
      <w:pPr>
        <w:jc w:val="center"/>
        <w:rPr>
          <w:rFonts w:ascii="Garamond" w:hAnsi="Garamond"/>
          <w:bCs/>
          <w:iCs/>
          <w:sz w:val="28"/>
          <w:szCs w:val="28"/>
        </w:rPr>
      </w:pPr>
    </w:p>
    <w:p w14:paraId="561DC11F" w14:textId="77777777" w:rsidR="00082D49" w:rsidRPr="00330E3E" w:rsidRDefault="00082D49" w:rsidP="00036B1E">
      <w:pPr>
        <w:rPr>
          <w:rFonts w:ascii="Garamond" w:hAnsi="Garamond"/>
        </w:rPr>
      </w:pPr>
    </w:p>
    <w:p w14:paraId="4E869772" w14:textId="77777777" w:rsidR="00082D49" w:rsidRPr="00330E3E" w:rsidRDefault="00082D49" w:rsidP="00036B1E">
      <w:pPr>
        <w:rPr>
          <w:rFonts w:ascii="Garamond" w:hAnsi="Garamond"/>
        </w:rPr>
      </w:pPr>
    </w:p>
    <w:p w14:paraId="1C6CCF20" w14:textId="77777777" w:rsidR="00330E3E" w:rsidRPr="00330E3E" w:rsidRDefault="00330E3E" w:rsidP="00036B1E">
      <w:pPr>
        <w:rPr>
          <w:rFonts w:ascii="Garamond" w:hAnsi="Garamond"/>
        </w:rPr>
      </w:pPr>
    </w:p>
    <w:p w14:paraId="1F6F184D" w14:textId="2C7F4552" w:rsidR="00FE7F1F" w:rsidRPr="00330E3E" w:rsidRDefault="006C609F" w:rsidP="00FE7F1F">
      <w:pPr>
        <w:jc w:val="center"/>
        <w:rPr>
          <w:rFonts w:ascii="Garamond" w:hAnsi="Garamond"/>
        </w:rPr>
      </w:pPr>
      <w:r>
        <w:rPr>
          <w:rFonts w:ascii="Garamond" w:hAnsi="Garamond"/>
        </w:rPr>
        <w:t>August 31, 2017</w:t>
      </w:r>
    </w:p>
    <w:p w14:paraId="23F139CE" w14:textId="77777777" w:rsidR="00330E3E" w:rsidRPr="00330E3E" w:rsidRDefault="00330E3E" w:rsidP="00036B1E">
      <w:pPr>
        <w:rPr>
          <w:rFonts w:ascii="Garamond" w:hAnsi="Garamond"/>
        </w:rPr>
      </w:pPr>
    </w:p>
    <w:p w14:paraId="7843540C" w14:textId="77777777" w:rsidR="00330E3E" w:rsidRPr="00330E3E" w:rsidRDefault="00330E3E" w:rsidP="00036B1E">
      <w:pPr>
        <w:rPr>
          <w:rFonts w:ascii="Garamond" w:hAnsi="Garamond"/>
        </w:rPr>
      </w:pPr>
    </w:p>
    <w:p w14:paraId="49FC43C0" w14:textId="77777777" w:rsidR="00082D49" w:rsidRPr="00330E3E" w:rsidRDefault="00082D49" w:rsidP="00036B1E">
      <w:pPr>
        <w:rPr>
          <w:rFonts w:ascii="Garamond" w:hAnsi="Garamond"/>
        </w:rPr>
      </w:pPr>
    </w:p>
    <w:p w14:paraId="6DBFEC19" w14:textId="77777777" w:rsidR="000E4EE5" w:rsidRPr="00330E3E" w:rsidRDefault="000E4EE5" w:rsidP="00330E3E">
      <w:pPr>
        <w:jc w:val="center"/>
        <w:rPr>
          <w:rFonts w:ascii="Garamond" w:hAnsi="Garamond"/>
        </w:rPr>
      </w:pPr>
      <w:r w:rsidRPr="00330E3E">
        <w:rPr>
          <w:rFonts w:ascii="Garamond" w:hAnsi="Garamond"/>
        </w:rPr>
        <w:t>Supported by:</w:t>
      </w:r>
    </w:p>
    <w:p w14:paraId="76D162A1" w14:textId="77777777" w:rsidR="000E4EE5" w:rsidRPr="00330E3E" w:rsidRDefault="000E4EE5" w:rsidP="00330E3E">
      <w:pPr>
        <w:jc w:val="center"/>
        <w:rPr>
          <w:rFonts w:ascii="Garamond" w:hAnsi="Garamond"/>
        </w:rPr>
      </w:pPr>
    </w:p>
    <w:p w14:paraId="59C1BBE3" w14:textId="77777777" w:rsidR="000E4EE5" w:rsidRPr="00330E3E" w:rsidRDefault="000E4EE5" w:rsidP="00330E3E">
      <w:pPr>
        <w:jc w:val="center"/>
        <w:rPr>
          <w:rFonts w:ascii="Garamond" w:hAnsi="Garamond"/>
        </w:rPr>
      </w:pPr>
      <w:r w:rsidRPr="00330E3E">
        <w:rPr>
          <w:rFonts w:ascii="Garamond" w:hAnsi="Garamond"/>
        </w:rPr>
        <w:t>Division of Adolescent and School Health</w:t>
      </w:r>
    </w:p>
    <w:p w14:paraId="7851E7FA" w14:textId="77777777" w:rsidR="000E4EE5" w:rsidRPr="00330E3E" w:rsidRDefault="000E4EE5" w:rsidP="00330E3E">
      <w:pPr>
        <w:jc w:val="center"/>
        <w:rPr>
          <w:rFonts w:ascii="Garamond" w:hAnsi="Garamond"/>
        </w:rPr>
      </w:pPr>
      <w:r w:rsidRPr="00330E3E">
        <w:rPr>
          <w:rFonts w:ascii="Garamond" w:hAnsi="Garamond"/>
        </w:rPr>
        <w:t>Centers for Disease Control and Prevention</w:t>
      </w:r>
    </w:p>
    <w:p w14:paraId="793D4CF7" w14:textId="77777777" w:rsidR="00082D49" w:rsidRPr="00330E3E" w:rsidRDefault="00082D49" w:rsidP="00330E3E">
      <w:pPr>
        <w:jc w:val="center"/>
        <w:rPr>
          <w:rFonts w:ascii="Garamond" w:hAnsi="Garamond"/>
        </w:rPr>
      </w:pPr>
    </w:p>
    <w:p w14:paraId="3FBE9658" w14:textId="77777777" w:rsidR="00CC43F0" w:rsidRPr="00330E3E" w:rsidRDefault="00CC43F0" w:rsidP="00330E3E">
      <w:pPr>
        <w:tabs>
          <w:tab w:val="left" w:leader="dot" w:pos="7200"/>
        </w:tabs>
        <w:jc w:val="center"/>
        <w:rPr>
          <w:rFonts w:ascii="Garamond" w:hAnsi="Garamond"/>
        </w:rPr>
      </w:pPr>
      <w:r w:rsidRPr="00330E3E">
        <w:rPr>
          <w:rFonts w:ascii="Garamond" w:hAnsi="Garamond"/>
        </w:rPr>
        <w:t>Chris Harper, PhD</w:t>
      </w:r>
    </w:p>
    <w:p w14:paraId="0D9A7621" w14:textId="77777777" w:rsidR="00CC43F0" w:rsidRPr="00330E3E" w:rsidRDefault="00CC43F0" w:rsidP="00330E3E">
      <w:pPr>
        <w:tabs>
          <w:tab w:val="left" w:leader="dot" w:pos="7200"/>
        </w:tabs>
        <w:jc w:val="center"/>
        <w:rPr>
          <w:rFonts w:ascii="Garamond" w:hAnsi="Garamond"/>
        </w:rPr>
      </w:pPr>
      <w:r w:rsidRPr="00330E3E">
        <w:rPr>
          <w:rFonts w:ascii="Garamond" w:hAnsi="Garamond"/>
        </w:rPr>
        <w:t xml:space="preserve">CDC/OID/NCHHSTP, </w:t>
      </w:r>
      <w:r w:rsidR="00855D80">
        <w:rPr>
          <w:rFonts w:ascii="Garamond" w:hAnsi="Garamond"/>
        </w:rPr>
        <w:t>Behavioral Scientist</w:t>
      </w:r>
    </w:p>
    <w:p w14:paraId="79B28064" w14:textId="77777777" w:rsidR="00CC43F0" w:rsidRPr="00330E3E" w:rsidRDefault="00CC43F0" w:rsidP="00330E3E">
      <w:pPr>
        <w:jc w:val="center"/>
        <w:rPr>
          <w:rFonts w:ascii="Garamond" w:hAnsi="Garamond"/>
        </w:rPr>
      </w:pPr>
      <w:r w:rsidRPr="00330E3E">
        <w:rPr>
          <w:rFonts w:ascii="Garamond" w:hAnsi="Garamond"/>
        </w:rPr>
        <w:t>(404) 718-8330</w:t>
      </w:r>
    </w:p>
    <w:p w14:paraId="4FF46334" w14:textId="77777777" w:rsidR="00CC43F0" w:rsidRDefault="000F7404"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hyperlink r:id="rId12" w:history="1">
        <w:r w:rsidR="00855D80" w:rsidRPr="00837508">
          <w:rPr>
            <w:rStyle w:val="Hyperlink"/>
            <w:rFonts w:ascii="Garamond" w:hAnsi="Garamond"/>
          </w:rPr>
          <w:t>crharper1@cdc.gov</w:t>
        </w:r>
      </w:hyperlink>
    </w:p>
    <w:p w14:paraId="6D8EAADD" w14:textId="77777777" w:rsidR="00855D80" w:rsidRDefault="00855D8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p>
    <w:p w14:paraId="245BA07E" w14:textId="77777777" w:rsidR="00855D80" w:rsidRPr="00330E3E" w:rsidRDefault="00855D8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p>
    <w:p w14:paraId="6A28BBB1" w14:textId="77777777" w:rsidR="00CC43F0" w:rsidRPr="00330E3E"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Garamond" w:hAnsi="Garamond"/>
        </w:rPr>
      </w:pPr>
    </w:p>
    <w:p w14:paraId="37B55ECD" w14:textId="77777777" w:rsidR="00CC43F0" w:rsidRPr="00330E3E"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Garamond" w:hAnsi="Garamond"/>
        </w:rPr>
      </w:pPr>
    </w:p>
    <w:p w14:paraId="4402AEB9" w14:textId="77777777" w:rsidR="00FB76A1" w:rsidRPr="00330E3E" w:rsidRDefault="006F5CDB" w:rsidP="00036B1E">
      <w:pPr>
        <w:rPr>
          <w:rFonts w:ascii="Garamond" w:hAnsi="Garamond"/>
        </w:rPr>
      </w:pPr>
      <w:r w:rsidRPr="00330E3E">
        <w:rPr>
          <w:rFonts w:ascii="Garamond" w:hAnsi="Garamond"/>
        </w:rPr>
        <w:br w:type="page"/>
      </w:r>
      <w:bookmarkStart w:id="1" w:name="_Toc227033740"/>
    </w:p>
    <w:p w14:paraId="40341140" w14:textId="05BED14D" w:rsidR="008053E1" w:rsidRPr="008053E1" w:rsidRDefault="008053E1" w:rsidP="000F4788">
      <w:pPr>
        <w:rPr>
          <w:rFonts w:ascii="Garamond" w:hAnsi="Garamond"/>
          <w:b/>
        </w:rPr>
      </w:pPr>
      <w:bookmarkStart w:id="2" w:name="_Toc352670576"/>
      <w:r w:rsidRPr="008053E1">
        <w:rPr>
          <w:rFonts w:ascii="Garamond" w:hAnsi="Garamond"/>
          <w:b/>
        </w:rPr>
        <w:lastRenderedPageBreak/>
        <w:t>Table of Contents</w:t>
      </w:r>
    </w:p>
    <w:p w14:paraId="28868836" w14:textId="77777777" w:rsidR="008053E1" w:rsidRPr="000F4788" w:rsidRDefault="008053E1" w:rsidP="000F4788">
      <w:pPr>
        <w:rPr>
          <w:rFonts w:ascii="Garamond" w:hAnsi="Garamond"/>
        </w:rPr>
      </w:pPr>
    </w:p>
    <w:p w14:paraId="4C244FCA" w14:textId="5B56A4CB" w:rsidR="008053E1" w:rsidRPr="008053E1" w:rsidRDefault="008053E1" w:rsidP="008053E1">
      <w:pPr>
        <w:ind w:left="630" w:hanging="630"/>
        <w:rPr>
          <w:rFonts w:ascii="Garamond" w:hAnsi="Garamond"/>
        </w:rPr>
      </w:pPr>
      <w:r w:rsidRPr="008053E1">
        <w:rPr>
          <w:rFonts w:ascii="Garamond" w:hAnsi="Garamond"/>
        </w:rPr>
        <w:t>1</w:t>
      </w:r>
      <w:r w:rsidRPr="008053E1">
        <w:rPr>
          <w:rFonts w:ascii="Garamond" w:hAnsi="Garamond"/>
        </w:rPr>
        <w:tab/>
        <w:t>Circumstances Making the Collection of Information Necessary</w:t>
      </w:r>
      <w:r w:rsidR="00C22357">
        <w:rPr>
          <w:rFonts w:ascii="Garamond" w:hAnsi="Garamond"/>
        </w:rPr>
        <w:t xml:space="preserve"> ………………………......4</w:t>
      </w:r>
      <w:r w:rsidRPr="008053E1">
        <w:rPr>
          <w:rFonts w:ascii="Garamond" w:hAnsi="Garamond"/>
        </w:rPr>
        <w:tab/>
      </w:r>
    </w:p>
    <w:p w14:paraId="2815DFDC" w14:textId="467370DD" w:rsidR="008053E1" w:rsidRPr="008053E1" w:rsidRDefault="008053E1" w:rsidP="008053E1">
      <w:pPr>
        <w:ind w:left="630" w:hanging="630"/>
        <w:rPr>
          <w:rFonts w:ascii="Garamond" w:hAnsi="Garamond"/>
        </w:rPr>
      </w:pPr>
      <w:r w:rsidRPr="008053E1">
        <w:rPr>
          <w:rFonts w:ascii="Garamond" w:hAnsi="Garamond"/>
        </w:rPr>
        <w:t>2</w:t>
      </w:r>
      <w:r w:rsidRPr="008053E1">
        <w:rPr>
          <w:rFonts w:ascii="Garamond" w:hAnsi="Garamond"/>
        </w:rPr>
        <w:tab/>
        <w:t>Purpose and Use of Information Collection</w:t>
      </w:r>
      <w:r w:rsidR="00C22357">
        <w:rPr>
          <w:rFonts w:ascii="Garamond" w:hAnsi="Garamond"/>
        </w:rPr>
        <w:t xml:space="preserve"> ……………………………………………….7</w:t>
      </w:r>
      <w:r w:rsidRPr="008053E1">
        <w:rPr>
          <w:rFonts w:ascii="Garamond" w:hAnsi="Garamond"/>
        </w:rPr>
        <w:tab/>
      </w:r>
    </w:p>
    <w:p w14:paraId="6A39CED7" w14:textId="657B1421" w:rsidR="008053E1" w:rsidRPr="008053E1" w:rsidRDefault="008053E1" w:rsidP="008053E1">
      <w:pPr>
        <w:ind w:left="630" w:hanging="630"/>
        <w:rPr>
          <w:rFonts w:ascii="Garamond" w:hAnsi="Garamond"/>
        </w:rPr>
      </w:pPr>
      <w:r w:rsidRPr="008053E1">
        <w:rPr>
          <w:rFonts w:ascii="Garamond" w:hAnsi="Garamond"/>
        </w:rPr>
        <w:t>3</w:t>
      </w:r>
      <w:r w:rsidRPr="008053E1">
        <w:rPr>
          <w:rFonts w:ascii="Garamond" w:hAnsi="Garamond"/>
        </w:rPr>
        <w:tab/>
        <w:t>Use of Improved Information Technology and Burden Reduction</w:t>
      </w:r>
      <w:r w:rsidR="00C22357">
        <w:rPr>
          <w:rFonts w:ascii="Garamond" w:hAnsi="Garamond"/>
        </w:rPr>
        <w:t xml:space="preserve"> ………………….……11</w:t>
      </w:r>
      <w:r w:rsidRPr="008053E1">
        <w:rPr>
          <w:rFonts w:ascii="Garamond" w:hAnsi="Garamond"/>
        </w:rPr>
        <w:tab/>
      </w:r>
    </w:p>
    <w:p w14:paraId="46C0F8BA" w14:textId="022A8A20" w:rsidR="008053E1" w:rsidRPr="008053E1" w:rsidRDefault="008053E1" w:rsidP="008053E1">
      <w:pPr>
        <w:ind w:left="630" w:hanging="630"/>
        <w:rPr>
          <w:rFonts w:ascii="Garamond" w:hAnsi="Garamond"/>
        </w:rPr>
      </w:pPr>
      <w:r w:rsidRPr="008053E1">
        <w:rPr>
          <w:rFonts w:ascii="Garamond" w:hAnsi="Garamond"/>
        </w:rPr>
        <w:t>4</w:t>
      </w:r>
      <w:r w:rsidRPr="008053E1">
        <w:rPr>
          <w:rFonts w:ascii="Garamond" w:hAnsi="Garamond"/>
        </w:rPr>
        <w:tab/>
        <w:t>Efforts to Identify and Use of Similar Information</w:t>
      </w:r>
      <w:r w:rsidR="00C22357">
        <w:rPr>
          <w:rFonts w:ascii="Garamond" w:hAnsi="Garamond"/>
        </w:rPr>
        <w:t xml:space="preserve"> ……………………………………….12</w:t>
      </w:r>
      <w:r w:rsidRPr="008053E1">
        <w:rPr>
          <w:rFonts w:ascii="Garamond" w:hAnsi="Garamond"/>
        </w:rPr>
        <w:tab/>
      </w:r>
    </w:p>
    <w:p w14:paraId="7412E39D" w14:textId="44E3AD90" w:rsidR="008053E1" w:rsidRPr="008053E1" w:rsidRDefault="008053E1" w:rsidP="008053E1">
      <w:pPr>
        <w:ind w:left="630" w:hanging="630"/>
        <w:rPr>
          <w:rFonts w:ascii="Garamond" w:hAnsi="Garamond"/>
        </w:rPr>
      </w:pPr>
      <w:r w:rsidRPr="008053E1">
        <w:rPr>
          <w:rFonts w:ascii="Garamond" w:hAnsi="Garamond"/>
        </w:rPr>
        <w:t>5</w:t>
      </w:r>
      <w:r w:rsidRPr="008053E1">
        <w:rPr>
          <w:rFonts w:ascii="Garamond" w:hAnsi="Garamond"/>
        </w:rPr>
        <w:tab/>
        <w:t>Impact of Small Businesses or Other Small Entities</w:t>
      </w:r>
      <w:r w:rsidR="00C22357">
        <w:rPr>
          <w:rFonts w:ascii="Garamond" w:hAnsi="Garamond"/>
        </w:rPr>
        <w:t xml:space="preserve"> ………………………………………12</w:t>
      </w:r>
      <w:r w:rsidRPr="008053E1">
        <w:rPr>
          <w:rFonts w:ascii="Garamond" w:hAnsi="Garamond"/>
        </w:rPr>
        <w:tab/>
      </w:r>
    </w:p>
    <w:p w14:paraId="13B2FB65" w14:textId="3BA7FFB3" w:rsidR="008053E1" w:rsidRPr="008053E1" w:rsidRDefault="008053E1" w:rsidP="008053E1">
      <w:pPr>
        <w:ind w:left="630" w:hanging="630"/>
        <w:rPr>
          <w:rFonts w:ascii="Garamond" w:hAnsi="Garamond"/>
        </w:rPr>
      </w:pPr>
      <w:r w:rsidRPr="008053E1">
        <w:rPr>
          <w:rFonts w:ascii="Garamond" w:hAnsi="Garamond"/>
        </w:rPr>
        <w:t>6</w:t>
      </w:r>
      <w:r w:rsidRPr="008053E1">
        <w:rPr>
          <w:rFonts w:ascii="Garamond" w:hAnsi="Garamond"/>
        </w:rPr>
        <w:tab/>
        <w:t>Consequences of Collecting the Information Less Frequently</w:t>
      </w:r>
      <w:r w:rsidR="00C22357">
        <w:rPr>
          <w:rFonts w:ascii="Garamond" w:hAnsi="Garamond"/>
        </w:rPr>
        <w:t xml:space="preserve"> …………………………….12</w:t>
      </w:r>
      <w:r w:rsidRPr="008053E1">
        <w:rPr>
          <w:rFonts w:ascii="Garamond" w:hAnsi="Garamond"/>
        </w:rPr>
        <w:tab/>
      </w:r>
    </w:p>
    <w:p w14:paraId="546300D2" w14:textId="0BB9241A" w:rsidR="008053E1" w:rsidRPr="008053E1" w:rsidRDefault="008053E1" w:rsidP="008053E1">
      <w:pPr>
        <w:ind w:left="630" w:hanging="630"/>
        <w:rPr>
          <w:rFonts w:ascii="Garamond" w:hAnsi="Garamond"/>
        </w:rPr>
      </w:pPr>
      <w:r w:rsidRPr="008053E1">
        <w:rPr>
          <w:rFonts w:ascii="Garamond" w:hAnsi="Garamond"/>
        </w:rPr>
        <w:t>7</w:t>
      </w:r>
      <w:r w:rsidRPr="008053E1">
        <w:rPr>
          <w:rFonts w:ascii="Garamond" w:hAnsi="Garamond"/>
        </w:rPr>
        <w:tab/>
        <w:t>Special Circumstances Relating to the Guidelines of 5 CFR 1320.5</w:t>
      </w:r>
      <w:r w:rsidR="00C22357">
        <w:rPr>
          <w:rFonts w:ascii="Garamond" w:hAnsi="Garamond"/>
        </w:rPr>
        <w:t xml:space="preserve"> ……………………….13</w:t>
      </w:r>
      <w:r w:rsidRPr="008053E1">
        <w:rPr>
          <w:rFonts w:ascii="Garamond" w:hAnsi="Garamond"/>
        </w:rPr>
        <w:tab/>
      </w:r>
    </w:p>
    <w:p w14:paraId="75235BCA" w14:textId="2EA2C96A" w:rsidR="008053E1" w:rsidRPr="008053E1" w:rsidRDefault="008053E1" w:rsidP="008053E1">
      <w:pPr>
        <w:ind w:left="630" w:hanging="630"/>
        <w:rPr>
          <w:rFonts w:ascii="Garamond" w:hAnsi="Garamond"/>
        </w:rPr>
      </w:pPr>
      <w:r w:rsidRPr="008053E1">
        <w:rPr>
          <w:rFonts w:ascii="Garamond" w:hAnsi="Garamond"/>
        </w:rPr>
        <w:t>8</w:t>
      </w:r>
      <w:r w:rsidRPr="008053E1">
        <w:rPr>
          <w:rFonts w:ascii="Garamond" w:hAnsi="Garamond"/>
        </w:rPr>
        <w:tab/>
        <w:t>Comments in Response to the Federal Register Notice and Efforts to Consult Outside the Agency</w:t>
      </w:r>
      <w:r w:rsidRPr="008053E1">
        <w:rPr>
          <w:rFonts w:ascii="Garamond" w:hAnsi="Garamond"/>
        </w:rPr>
        <w:tab/>
      </w:r>
      <w:r w:rsidR="00C22357">
        <w:rPr>
          <w:rFonts w:ascii="Garamond" w:hAnsi="Garamond"/>
        </w:rPr>
        <w:t xml:space="preserve"> …………………………………………………………………………………..13</w:t>
      </w:r>
    </w:p>
    <w:p w14:paraId="68855CFA" w14:textId="274291B6" w:rsidR="008053E1" w:rsidRPr="008053E1" w:rsidRDefault="008053E1" w:rsidP="008053E1">
      <w:pPr>
        <w:ind w:left="630" w:hanging="630"/>
        <w:rPr>
          <w:rFonts w:ascii="Garamond" w:hAnsi="Garamond"/>
        </w:rPr>
      </w:pPr>
      <w:r w:rsidRPr="008053E1">
        <w:rPr>
          <w:rFonts w:ascii="Garamond" w:hAnsi="Garamond"/>
        </w:rPr>
        <w:t>9</w:t>
      </w:r>
      <w:r w:rsidRPr="008053E1">
        <w:rPr>
          <w:rFonts w:ascii="Garamond" w:hAnsi="Garamond"/>
        </w:rPr>
        <w:tab/>
        <w:t>Explanation of Any Payment or Gift to Respondents</w:t>
      </w:r>
      <w:r w:rsidR="00C22357">
        <w:rPr>
          <w:rFonts w:ascii="Garamond" w:hAnsi="Garamond"/>
        </w:rPr>
        <w:t xml:space="preserve"> …………………………………….14</w:t>
      </w:r>
      <w:r w:rsidRPr="008053E1">
        <w:rPr>
          <w:rFonts w:ascii="Garamond" w:hAnsi="Garamond"/>
        </w:rPr>
        <w:tab/>
      </w:r>
    </w:p>
    <w:p w14:paraId="5F4CC1C1" w14:textId="5F2E55A6" w:rsidR="008053E1" w:rsidRPr="008053E1" w:rsidRDefault="008053E1" w:rsidP="008053E1">
      <w:pPr>
        <w:ind w:left="630" w:hanging="630"/>
        <w:rPr>
          <w:rFonts w:ascii="Garamond" w:hAnsi="Garamond"/>
        </w:rPr>
      </w:pPr>
      <w:r w:rsidRPr="008053E1">
        <w:rPr>
          <w:rFonts w:ascii="Garamond" w:hAnsi="Garamond"/>
        </w:rPr>
        <w:t>10</w:t>
      </w:r>
      <w:r w:rsidRPr="008053E1">
        <w:rPr>
          <w:rFonts w:ascii="Garamond" w:hAnsi="Garamond"/>
        </w:rPr>
        <w:tab/>
      </w:r>
      <w:r w:rsidR="003E0DB3" w:rsidRPr="003E0DB3">
        <w:rPr>
          <w:rFonts w:ascii="Garamond" w:hAnsi="Garamond"/>
        </w:rPr>
        <w:t>Protection of the Privacy and Confidentiality of Information Provided by Respondents</w:t>
      </w:r>
      <w:r w:rsidR="00E623C4">
        <w:rPr>
          <w:rFonts w:ascii="Garamond" w:hAnsi="Garamond"/>
        </w:rPr>
        <w:t xml:space="preserve"> ….14</w:t>
      </w:r>
      <w:r w:rsidRPr="008053E1">
        <w:rPr>
          <w:rFonts w:ascii="Garamond" w:hAnsi="Garamond"/>
        </w:rPr>
        <w:tab/>
      </w:r>
    </w:p>
    <w:p w14:paraId="1EB1E846" w14:textId="5920B8F1" w:rsidR="008053E1" w:rsidRPr="008053E1" w:rsidRDefault="008053E1" w:rsidP="008053E1">
      <w:pPr>
        <w:ind w:left="630" w:hanging="630"/>
        <w:rPr>
          <w:rFonts w:ascii="Garamond" w:hAnsi="Garamond"/>
        </w:rPr>
      </w:pPr>
      <w:r w:rsidRPr="008053E1">
        <w:rPr>
          <w:rFonts w:ascii="Garamond" w:hAnsi="Garamond"/>
        </w:rPr>
        <w:t>11</w:t>
      </w:r>
      <w:r w:rsidRPr="008053E1">
        <w:rPr>
          <w:rFonts w:ascii="Garamond" w:hAnsi="Garamond"/>
        </w:rPr>
        <w:tab/>
      </w:r>
      <w:r w:rsidR="003E0DB3" w:rsidRPr="003E0DB3">
        <w:rPr>
          <w:rFonts w:ascii="Garamond" w:hAnsi="Garamond"/>
        </w:rPr>
        <w:t>Institutional Review Board (IRB) and Justification for Sensitive Questions</w:t>
      </w:r>
      <w:r w:rsidR="00E623C4">
        <w:rPr>
          <w:rFonts w:ascii="Garamond" w:hAnsi="Garamond"/>
        </w:rPr>
        <w:t xml:space="preserve"> ……………….14</w:t>
      </w:r>
      <w:r w:rsidRPr="008053E1">
        <w:rPr>
          <w:rFonts w:ascii="Garamond" w:hAnsi="Garamond"/>
        </w:rPr>
        <w:tab/>
      </w:r>
    </w:p>
    <w:p w14:paraId="2A289322" w14:textId="7FC8CE7B" w:rsidR="008053E1" w:rsidRPr="008053E1" w:rsidRDefault="008053E1" w:rsidP="008053E1">
      <w:pPr>
        <w:ind w:left="630" w:hanging="630"/>
        <w:rPr>
          <w:rFonts w:ascii="Garamond" w:hAnsi="Garamond"/>
        </w:rPr>
      </w:pPr>
      <w:r w:rsidRPr="008053E1">
        <w:rPr>
          <w:rFonts w:ascii="Garamond" w:hAnsi="Garamond"/>
        </w:rPr>
        <w:t>12</w:t>
      </w:r>
      <w:r w:rsidRPr="008053E1">
        <w:rPr>
          <w:rFonts w:ascii="Garamond" w:hAnsi="Garamond"/>
        </w:rPr>
        <w:tab/>
        <w:t>Estimates of Annualized Burden Hours and Costs</w:t>
      </w:r>
      <w:r w:rsidR="00E623C4">
        <w:rPr>
          <w:rFonts w:ascii="Garamond" w:hAnsi="Garamond"/>
        </w:rPr>
        <w:t xml:space="preserve"> ………………………………………..15</w:t>
      </w:r>
      <w:r w:rsidRPr="008053E1">
        <w:rPr>
          <w:rFonts w:ascii="Garamond" w:hAnsi="Garamond"/>
        </w:rPr>
        <w:tab/>
      </w:r>
    </w:p>
    <w:p w14:paraId="71A140B0" w14:textId="3350F370" w:rsidR="008053E1" w:rsidRPr="008053E1" w:rsidRDefault="008053E1" w:rsidP="008053E1">
      <w:pPr>
        <w:ind w:left="630" w:hanging="630"/>
        <w:rPr>
          <w:rFonts w:ascii="Garamond" w:hAnsi="Garamond"/>
        </w:rPr>
      </w:pPr>
      <w:r w:rsidRPr="008053E1">
        <w:rPr>
          <w:rFonts w:ascii="Garamond" w:hAnsi="Garamond"/>
        </w:rPr>
        <w:t>13</w:t>
      </w:r>
      <w:r w:rsidRPr="008053E1">
        <w:rPr>
          <w:rFonts w:ascii="Garamond" w:hAnsi="Garamond"/>
        </w:rPr>
        <w:tab/>
        <w:t>Estimates of Other Annual Cost Burden to Respondents or Record Keepers</w:t>
      </w:r>
      <w:r w:rsidR="00E623C4">
        <w:rPr>
          <w:rFonts w:ascii="Garamond" w:hAnsi="Garamond"/>
        </w:rPr>
        <w:t xml:space="preserve"> ………….…17</w:t>
      </w:r>
      <w:r w:rsidRPr="008053E1">
        <w:rPr>
          <w:rFonts w:ascii="Garamond" w:hAnsi="Garamond"/>
        </w:rPr>
        <w:tab/>
      </w:r>
    </w:p>
    <w:p w14:paraId="523B88C3" w14:textId="4FBCE73A" w:rsidR="008053E1" w:rsidRPr="008053E1" w:rsidRDefault="008053E1" w:rsidP="008053E1">
      <w:pPr>
        <w:ind w:left="630" w:hanging="630"/>
        <w:rPr>
          <w:rFonts w:ascii="Garamond" w:hAnsi="Garamond"/>
        </w:rPr>
      </w:pPr>
      <w:r w:rsidRPr="008053E1">
        <w:rPr>
          <w:rFonts w:ascii="Garamond" w:hAnsi="Garamond"/>
        </w:rPr>
        <w:t>14</w:t>
      </w:r>
      <w:r w:rsidRPr="008053E1">
        <w:rPr>
          <w:rFonts w:ascii="Garamond" w:hAnsi="Garamond"/>
        </w:rPr>
        <w:tab/>
        <w:t>Annualized Cost to Federal Government</w:t>
      </w:r>
      <w:r w:rsidR="00E623C4">
        <w:rPr>
          <w:rFonts w:ascii="Garamond" w:hAnsi="Garamond"/>
        </w:rPr>
        <w:t xml:space="preserve"> …………………………………………………17</w:t>
      </w:r>
      <w:r w:rsidRPr="008053E1">
        <w:rPr>
          <w:rFonts w:ascii="Garamond" w:hAnsi="Garamond"/>
        </w:rPr>
        <w:tab/>
      </w:r>
    </w:p>
    <w:p w14:paraId="50FA7F2D" w14:textId="502D3250" w:rsidR="008053E1" w:rsidRPr="008053E1" w:rsidRDefault="008053E1" w:rsidP="008053E1">
      <w:pPr>
        <w:ind w:left="630" w:hanging="630"/>
        <w:rPr>
          <w:rFonts w:ascii="Garamond" w:hAnsi="Garamond"/>
        </w:rPr>
      </w:pPr>
      <w:r w:rsidRPr="008053E1">
        <w:rPr>
          <w:rFonts w:ascii="Garamond" w:hAnsi="Garamond"/>
        </w:rPr>
        <w:t>15</w:t>
      </w:r>
      <w:r w:rsidRPr="008053E1">
        <w:rPr>
          <w:rFonts w:ascii="Garamond" w:hAnsi="Garamond"/>
        </w:rPr>
        <w:tab/>
        <w:t>Explanation for Program Changes or Adjustments</w:t>
      </w:r>
      <w:r w:rsidR="00E623C4">
        <w:rPr>
          <w:rFonts w:ascii="Garamond" w:hAnsi="Garamond"/>
        </w:rPr>
        <w:t xml:space="preserve"> ………………………………………..18</w:t>
      </w:r>
      <w:r w:rsidRPr="008053E1">
        <w:rPr>
          <w:rFonts w:ascii="Garamond" w:hAnsi="Garamond"/>
        </w:rPr>
        <w:tab/>
      </w:r>
    </w:p>
    <w:p w14:paraId="34EDAF20" w14:textId="1099E86D" w:rsidR="008053E1" w:rsidRPr="008053E1" w:rsidRDefault="008053E1" w:rsidP="008053E1">
      <w:pPr>
        <w:ind w:left="630" w:hanging="630"/>
        <w:rPr>
          <w:rFonts w:ascii="Garamond" w:hAnsi="Garamond"/>
        </w:rPr>
      </w:pPr>
      <w:r w:rsidRPr="008053E1">
        <w:rPr>
          <w:rFonts w:ascii="Garamond" w:hAnsi="Garamond"/>
        </w:rPr>
        <w:t>16</w:t>
      </w:r>
      <w:r w:rsidRPr="008053E1">
        <w:rPr>
          <w:rFonts w:ascii="Garamond" w:hAnsi="Garamond"/>
        </w:rPr>
        <w:tab/>
        <w:t>Plans for Tabulation and Publication and Project Time Schedule</w:t>
      </w:r>
      <w:r w:rsidR="00E623C4">
        <w:rPr>
          <w:rFonts w:ascii="Garamond" w:hAnsi="Garamond"/>
        </w:rPr>
        <w:t xml:space="preserve"> …………………………18</w:t>
      </w:r>
      <w:r w:rsidRPr="008053E1">
        <w:rPr>
          <w:rFonts w:ascii="Garamond" w:hAnsi="Garamond"/>
        </w:rPr>
        <w:tab/>
      </w:r>
    </w:p>
    <w:p w14:paraId="1D6426EF" w14:textId="3639A0BB" w:rsidR="008053E1" w:rsidRPr="008053E1" w:rsidRDefault="008053E1" w:rsidP="008053E1">
      <w:pPr>
        <w:ind w:left="630" w:hanging="630"/>
        <w:rPr>
          <w:rFonts w:ascii="Garamond" w:hAnsi="Garamond"/>
        </w:rPr>
      </w:pPr>
      <w:r w:rsidRPr="008053E1">
        <w:rPr>
          <w:rFonts w:ascii="Garamond" w:hAnsi="Garamond"/>
        </w:rPr>
        <w:t>17</w:t>
      </w:r>
      <w:r w:rsidRPr="008053E1">
        <w:rPr>
          <w:rFonts w:ascii="Garamond" w:hAnsi="Garamond"/>
        </w:rPr>
        <w:tab/>
        <w:t>Reason(s) Display of OMB Expiration Date is Inappropriate</w:t>
      </w:r>
      <w:r w:rsidR="00E623C4">
        <w:rPr>
          <w:rFonts w:ascii="Garamond" w:hAnsi="Garamond"/>
        </w:rPr>
        <w:t xml:space="preserve"> ……………………………..19</w:t>
      </w:r>
      <w:r w:rsidRPr="008053E1">
        <w:rPr>
          <w:rFonts w:ascii="Garamond" w:hAnsi="Garamond"/>
        </w:rPr>
        <w:tab/>
      </w:r>
    </w:p>
    <w:p w14:paraId="26365D2B" w14:textId="05E18B08" w:rsidR="008053E1" w:rsidRPr="008053E1" w:rsidRDefault="008053E1" w:rsidP="008053E1">
      <w:pPr>
        <w:ind w:left="630" w:hanging="630"/>
        <w:rPr>
          <w:rFonts w:ascii="Garamond" w:hAnsi="Garamond"/>
        </w:rPr>
      </w:pPr>
      <w:r w:rsidRPr="008053E1">
        <w:rPr>
          <w:rFonts w:ascii="Garamond" w:hAnsi="Garamond"/>
        </w:rPr>
        <w:t>18</w:t>
      </w:r>
      <w:r w:rsidRPr="008053E1">
        <w:rPr>
          <w:rFonts w:ascii="Garamond" w:hAnsi="Garamond"/>
        </w:rPr>
        <w:tab/>
        <w:t>Exceptions to Certification for Paperwork Reduction Act Submissions</w:t>
      </w:r>
      <w:r w:rsidRPr="008053E1">
        <w:rPr>
          <w:rFonts w:ascii="Garamond" w:hAnsi="Garamond"/>
        </w:rPr>
        <w:tab/>
      </w:r>
      <w:r w:rsidR="00E623C4">
        <w:rPr>
          <w:rFonts w:ascii="Garamond" w:hAnsi="Garamond"/>
        </w:rPr>
        <w:t xml:space="preserve"> …………………..19</w:t>
      </w:r>
    </w:p>
    <w:p w14:paraId="1890BC6E" w14:textId="7FFFA4F3" w:rsidR="00FB76A1" w:rsidRPr="00330E3E" w:rsidRDefault="00FB76A1" w:rsidP="00036B1E">
      <w:pPr>
        <w:rPr>
          <w:rFonts w:ascii="Garamond" w:hAnsi="Garamond"/>
        </w:rPr>
      </w:pPr>
    </w:p>
    <w:p w14:paraId="039974C6" w14:textId="77777777" w:rsidR="00BE0AF6" w:rsidRPr="00330E3E" w:rsidRDefault="00BE0AF6" w:rsidP="00036B1E">
      <w:pPr>
        <w:rPr>
          <w:rFonts w:ascii="Garamond" w:hAnsi="Garamond"/>
        </w:rPr>
      </w:pPr>
    </w:p>
    <w:p w14:paraId="3121805F" w14:textId="77777777" w:rsidR="00330E3E" w:rsidRPr="00330E3E" w:rsidRDefault="00BE0AF6" w:rsidP="00036B1E">
      <w:pPr>
        <w:rPr>
          <w:rFonts w:ascii="Garamond" w:hAnsi="Garamond"/>
        </w:rPr>
      </w:pPr>
      <w:r w:rsidRPr="00330E3E">
        <w:rPr>
          <w:rFonts w:ascii="Garamond" w:hAnsi="Garamond"/>
        </w:rPr>
        <w:t>List of Attachments</w:t>
      </w:r>
    </w:p>
    <w:tbl>
      <w:tblPr>
        <w:tblW w:w="81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7"/>
        <w:gridCol w:w="6443"/>
      </w:tblGrid>
      <w:tr w:rsidR="006E7890" w:rsidRPr="00330E3E" w14:paraId="0D21ABF8" w14:textId="77777777" w:rsidTr="006E7890">
        <w:trPr>
          <w:trHeight w:val="255"/>
        </w:trPr>
        <w:tc>
          <w:tcPr>
            <w:tcW w:w="1657" w:type="dxa"/>
            <w:noWrap/>
            <w:vAlign w:val="bottom"/>
          </w:tcPr>
          <w:p w14:paraId="6D4693B0" w14:textId="77777777" w:rsidR="006E7890" w:rsidRPr="00330E3E" w:rsidRDefault="006E7890" w:rsidP="00E35112">
            <w:pPr>
              <w:spacing w:before="120"/>
              <w:jc w:val="center"/>
              <w:rPr>
                <w:rFonts w:ascii="Garamond" w:eastAsia="SimSun" w:hAnsi="Garamond"/>
                <w:b/>
                <w:bCs/>
                <w:lang w:eastAsia="zh-CN"/>
              </w:rPr>
            </w:pPr>
            <w:r w:rsidRPr="00330E3E">
              <w:rPr>
                <w:rFonts w:ascii="Garamond" w:eastAsia="SimSun" w:hAnsi="Garamond"/>
                <w:b/>
                <w:bCs/>
                <w:lang w:eastAsia="zh-CN"/>
              </w:rPr>
              <w:t>Attachment Number</w:t>
            </w:r>
          </w:p>
        </w:tc>
        <w:tc>
          <w:tcPr>
            <w:tcW w:w="6443" w:type="dxa"/>
            <w:noWrap/>
            <w:vAlign w:val="bottom"/>
          </w:tcPr>
          <w:p w14:paraId="63A35C88" w14:textId="77777777" w:rsidR="006E7890" w:rsidRPr="00330E3E" w:rsidRDefault="006E7890" w:rsidP="00E35112">
            <w:pPr>
              <w:spacing w:before="120"/>
              <w:rPr>
                <w:rFonts w:ascii="Garamond" w:eastAsia="SimSun" w:hAnsi="Garamond"/>
                <w:b/>
                <w:bCs/>
                <w:lang w:eastAsia="zh-CN"/>
              </w:rPr>
            </w:pPr>
            <w:r w:rsidRPr="00330E3E">
              <w:rPr>
                <w:rFonts w:ascii="Garamond" w:eastAsia="SimSun" w:hAnsi="Garamond"/>
                <w:b/>
                <w:bCs/>
                <w:lang w:eastAsia="zh-CN"/>
              </w:rPr>
              <w:t>Document Description</w:t>
            </w:r>
          </w:p>
        </w:tc>
      </w:tr>
      <w:tr w:rsidR="006E7890" w:rsidRPr="00330E3E" w14:paraId="4EF4B29B" w14:textId="77777777" w:rsidTr="006E7890">
        <w:trPr>
          <w:trHeight w:val="255"/>
        </w:trPr>
        <w:tc>
          <w:tcPr>
            <w:tcW w:w="1657" w:type="dxa"/>
            <w:noWrap/>
            <w:vAlign w:val="bottom"/>
          </w:tcPr>
          <w:p w14:paraId="39528596" w14:textId="77777777" w:rsidR="006E7890" w:rsidRPr="00330E3E" w:rsidRDefault="006E7890" w:rsidP="00E35112">
            <w:pPr>
              <w:spacing w:before="120"/>
              <w:jc w:val="center"/>
              <w:rPr>
                <w:rFonts w:ascii="Garamond" w:eastAsia="SimSun" w:hAnsi="Garamond"/>
                <w:lang w:eastAsia="zh-CN"/>
              </w:rPr>
            </w:pPr>
            <w:r w:rsidRPr="00330E3E">
              <w:rPr>
                <w:rFonts w:ascii="Garamond" w:eastAsia="SimSun" w:hAnsi="Garamond"/>
                <w:lang w:eastAsia="zh-CN"/>
              </w:rPr>
              <w:t>1</w:t>
            </w:r>
          </w:p>
        </w:tc>
        <w:tc>
          <w:tcPr>
            <w:tcW w:w="6443" w:type="dxa"/>
            <w:noWrap/>
            <w:vAlign w:val="bottom"/>
          </w:tcPr>
          <w:p w14:paraId="5C3A9861" w14:textId="77777777" w:rsidR="006E7890" w:rsidRPr="00330E3E" w:rsidRDefault="006E7890" w:rsidP="00E35112">
            <w:pPr>
              <w:spacing w:before="120"/>
              <w:rPr>
                <w:rFonts w:ascii="Garamond" w:hAnsi="Garamond"/>
              </w:rPr>
            </w:pPr>
            <w:r w:rsidRPr="00330E3E">
              <w:rPr>
                <w:rFonts w:ascii="Garamond" w:eastAsia="SimSun" w:hAnsi="Garamond"/>
                <w:lang w:eastAsia="zh-CN"/>
              </w:rPr>
              <w:t>Public Health Service Act</w:t>
            </w:r>
            <w:r w:rsidRPr="00330E3E">
              <w:rPr>
                <w:rFonts w:ascii="Garamond" w:hAnsi="Garamond"/>
              </w:rPr>
              <w:t xml:space="preserve"> Legislation</w:t>
            </w:r>
          </w:p>
        </w:tc>
      </w:tr>
      <w:tr w:rsidR="006E7890" w:rsidRPr="00330E3E" w14:paraId="6E341FE3" w14:textId="77777777" w:rsidTr="006E7890">
        <w:trPr>
          <w:trHeight w:val="255"/>
        </w:trPr>
        <w:tc>
          <w:tcPr>
            <w:tcW w:w="1657" w:type="dxa"/>
            <w:noWrap/>
            <w:vAlign w:val="bottom"/>
          </w:tcPr>
          <w:p w14:paraId="1C74B755" w14:textId="77777777" w:rsidR="006E7890" w:rsidRPr="00330E3E" w:rsidRDefault="006E7890" w:rsidP="00E35112">
            <w:pPr>
              <w:spacing w:before="120"/>
              <w:jc w:val="center"/>
              <w:rPr>
                <w:rFonts w:ascii="Garamond" w:eastAsia="SimSun" w:hAnsi="Garamond"/>
                <w:lang w:eastAsia="zh-CN"/>
              </w:rPr>
            </w:pPr>
            <w:r w:rsidRPr="00330E3E">
              <w:rPr>
                <w:rFonts w:ascii="Garamond" w:eastAsia="SimSun" w:hAnsi="Garamond"/>
                <w:lang w:eastAsia="zh-CN"/>
              </w:rPr>
              <w:t>2</w:t>
            </w:r>
          </w:p>
        </w:tc>
        <w:tc>
          <w:tcPr>
            <w:tcW w:w="6443" w:type="dxa"/>
            <w:noWrap/>
            <w:vAlign w:val="bottom"/>
          </w:tcPr>
          <w:p w14:paraId="473242A9" w14:textId="77777777" w:rsidR="006E7890" w:rsidRPr="00330E3E" w:rsidRDefault="006E7890" w:rsidP="00E35112">
            <w:pPr>
              <w:spacing w:before="120"/>
              <w:rPr>
                <w:rFonts w:ascii="Garamond" w:hAnsi="Garamond"/>
              </w:rPr>
            </w:pPr>
            <w:r w:rsidRPr="00330E3E">
              <w:rPr>
                <w:rFonts w:ascii="Garamond" w:hAnsi="Garamond"/>
              </w:rPr>
              <w:t>60 Day FRN</w:t>
            </w:r>
          </w:p>
        </w:tc>
      </w:tr>
      <w:tr w:rsidR="006E7890" w14:paraId="309F0886" w14:textId="77777777" w:rsidTr="006E7890">
        <w:trPr>
          <w:trHeight w:val="255"/>
        </w:trPr>
        <w:tc>
          <w:tcPr>
            <w:tcW w:w="1657" w:type="dxa"/>
            <w:noWrap/>
            <w:vAlign w:val="bottom"/>
          </w:tcPr>
          <w:p w14:paraId="60B84724" w14:textId="41CC7362" w:rsidR="006E7890" w:rsidRPr="001B058F" w:rsidRDefault="006E7890">
            <w:pPr>
              <w:spacing w:before="120"/>
              <w:jc w:val="center"/>
              <w:rPr>
                <w:rFonts w:ascii="Garamond" w:eastAsia="SimSun" w:hAnsi="Garamond"/>
                <w:lang w:eastAsia="zh-CN"/>
              </w:rPr>
            </w:pPr>
            <w:r w:rsidRPr="001B058F">
              <w:rPr>
                <w:rFonts w:ascii="Garamond" w:eastAsia="SimSun" w:hAnsi="Garamond"/>
                <w:lang w:eastAsia="zh-CN"/>
              </w:rPr>
              <w:t>2a</w:t>
            </w:r>
          </w:p>
        </w:tc>
        <w:tc>
          <w:tcPr>
            <w:tcW w:w="6443" w:type="dxa"/>
            <w:noWrap/>
            <w:vAlign w:val="bottom"/>
          </w:tcPr>
          <w:p w14:paraId="1F162BE7" w14:textId="681CF6BA" w:rsidR="006E7890" w:rsidRPr="001B058F" w:rsidRDefault="006E7890" w:rsidP="008053E1">
            <w:pPr>
              <w:spacing w:before="120"/>
              <w:ind w:left="720"/>
              <w:rPr>
                <w:rFonts w:ascii="Garamond" w:hAnsi="Garamond"/>
              </w:rPr>
            </w:pPr>
            <w:r w:rsidRPr="001B058F">
              <w:rPr>
                <w:rFonts w:ascii="Garamond" w:hAnsi="Garamond"/>
              </w:rPr>
              <w:t xml:space="preserve">60 Day FRN </w:t>
            </w:r>
            <w:r w:rsidR="008053E1" w:rsidRPr="001B058F">
              <w:rPr>
                <w:rFonts w:ascii="Garamond" w:hAnsi="Garamond"/>
              </w:rPr>
              <w:t xml:space="preserve">Comments </w:t>
            </w:r>
            <w:r w:rsidR="008053E1">
              <w:rPr>
                <w:rFonts w:ascii="Garamond" w:hAnsi="Garamond"/>
              </w:rPr>
              <w:t xml:space="preserve"> </w:t>
            </w:r>
          </w:p>
        </w:tc>
      </w:tr>
      <w:tr w:rsidR="006E7890" w:rsidRPr="00330E3E" w14:paraId="1317870D" w14:textId="77777777" w:rsidTr="006E7890">
        <w:trPr>
          <w:trHeight w:val="255"/>
        </w:trPr>
        <w:tc>
          <w:tcPr>
            <w:tcW w:w="1657" w:type="dxa"/>
            <w:noWrap/>
            <w:vAlign w:val="bottom"/>
          </w:tcPr>
          <w:p w14:paraId="3350D675" w14:textId="77777777" w:rsidR="006E7890" w:rsidRPr="00330E3E" w:rsidRDefault="006E7890" w:rsidP="00E35112">
            <w:pPr>
              <w:spacing w:before="120"/>
              <w:jc w:val="center"/>
              <w:rPr>
                <w:rFonts w:ascii="Garamond" w:eastAsia="SimSun" w:hAnsi="Garamond"/>
                <w:lang w:eastAsia="zh-CN"/>
              </w:rPr>
            </w:pPr>
            <w:r w:rsidRPr="00330E3E">
              <w:rPr>
                <w:rFonts w:ascii="Garamond" w:eastAsia="SimSun" w:hAnsi="Garamond"/>
                <w:lang w:eastAsia="zh-CN"/>
              </w:rPr>
              <w:t>3</w:t>
            </w:r>
          </w:p>
        </w:tc>
        <w:tc>
          <w:tcPr>
            <w:tcW w:w="6443" w:type="dxa"/>
            <w:noWrap/>
            <w:vAlign w:val="bottom"/>
          </w:tcPr>
          <w:p w14:paraId="1AA6FBD3" w14:textId="77777777" w:rsidR="006E7890" w:rsidRPr="00330E3E" w:rsidRDefault="006E7890" w:rsidP="00111BD7">
            <w:pPr>
              <w:spacing w:before="120"/>
              <w:rPr>
                <w:rFonts w:ascii="Garamond" w:hAnsi="Garamond"/>
              </w:rPr>
            </w:pPr>
            <w:r>
              <w:rPr>
                <w:rFonts w:ascii="Garamond" w:hAnsi="Garamond"/>
              </w:rPr>
              <w:t xml:space="preserve">NGO Measure </w:t>
            </w:r>
            <w:r w:rsidRPr="003A12F1">
              <w:rPr>
                <w:rFonts w:ascii="Garamond" w:hAnsi="Garamond"/>
              </w:rPr>
              <w:t xml:space="preserve">Collection Instruments </w:t>
            </w:r>
          </w:p>
        </w:tc>
      </w:tr>
      <w:tr w:rsidR="006E7890" w:rsidRPr="00330E3E" w14:paraId="03BB77CB" w14:textId="77777777" w:rsidTr="006E7890">
        <w:trPr>
          <w:trHeight w:val="255"/>
        </w:trPr>
        <w:tc>
          <w:tcPr>
            <w:tcW w:w="1657" w:type="dxa"/>
            <w:noWrap/>
            <w:vAlign w:val="bottom"/>
          </w:tcPr>
          <w:p w14:paraId="08A4B672" w14:textId="77777777" w:rsidR="006E7890" w:rsidRPr="00330E3E" w:rsidRDefault="006E7890" w:rsidP="00E35112">
            <w:pPr>
              <w:spacing w:before="120"/>
              <w:jc w:val="center"/>
              <w:rPr>
                <w:rFonts w:ascii="Garamond" w:eastAsia="SimSun" w:hAnsi="Garamond"/>
                <w:lang w:eastAsia="zh-CN"/>
              </w:rPr>
            </w:pPr>
            <w:r w:rsidRPr="00330E3E">
              <w:rPr>
                <w:rFonts w:ascii="Garamond" w:eastAsia="SimSun" w:hAnsi="Garamond"/>
                <w:lang w:eastAsia="zh-CN"/>
              </w:rPr>
              <w:t>3a</w:t>
            </w:r>
          </w:p>
        </w:tc>
        <w:tc>
          <w:tcPr>
            <w:tcW w:w="6443" w:type="dxa"/>
            <w:noWrap/>
            <w:vAlign w:val="bottom"/>
          </w:tcPr>
          <w:p w14:paraId="11444944" w14:textId="77777777" w:rsidR="006E7890" w:rsidRPr="00330E3E" w:rsidRDefault="006E7890" w:rsidP="000064EE">
            <w:pPr>
              <w:spacing w:before="120"/>
              <w:ind w:left="720"/>
              <w:rPr>
                <w:rFonts w:ascii="Garamond" w:hAnsi="Garamond"/>
              </w:rPr>
            </w:pPr>
            <w:r>
              <w:rPr>
                <w:rFonts w:ascii="Garamond" w:hAnsi="Garamond"/>
              </w:rPr>
              <w:t>NGO SHS Items</w:t>
            </w:r>
          </w:p>
        </w:tc>
      </w:tr>
      <w:tr w:rsidR="006E7890" w:rsidRPr="00330E3E" w14:paraId="2CEABC48" w14:textId="77777777" w:rsidTr="006E7890">
        <w:trPr>
          <w:trHeight w:val="255"/>
        </w:trPr>
        <w:tc>
          <w:tcPr>
            <w:tcW w:w="1657" w:type="dxa"/>
            <w:noWrap/>
            <w:vAlign w:val="bottom"/>
          </w:tcPr>
          <w:p w14:paraId="49EF622A" w14:textId="77777777" w:rsidR="006E7890" w:rsidRPr="00330E3E" w:rsidRDefault="006E7890" w:rsidP="00E35112">
            <w:pPr>
              <w:spacing w:before="120"/>
              <w:jc w:val="center"/>
              <w:rPr>
                <w:rFonts w:ascii="Garamond" w:eastAsia="SimSun" w:hAnsi="Garamond"/>
                <w:lang w:eastAsia="zh-CN"/>
              </w:rPr>
            </w:pPr>
            <w:r>
              <w:rPr>
                <w:rFonts w:ascii="Garamond" w:eastAsia="SimSun" w:hAnsi="Garamond"/>
                <w:lang w:eastAsia="zh-CN"/>
              </w:rPr>
              <w:t>3b</w:t>
            </w:r>
          </w:p>
        </w:tc>
        <w:tc>
          <w:tcPr>
            <w:tcW w:w="6443" w:type="dxa"/>
            <w:noWrap/>
            <w:vAlign w:val="bottom"/>
          </w:tcPr>
          <w:p w14:paraId="2F0D510A" w14:textId="77777777" w:rsidR="006E7890" w:rsidRDefault="006E7890" w:rsidP="000064EE">
            <w:pPr>
              <w:spacing w:before="120"/>
              <w:ind w:left="720"/>
              <w:rPr>
                <w:rFonts w:ascii="Garamond" w:hAnsi="Garamond"/>
              </w:rPr>
            </w:pPr>
            <w:r w:rsidRPr="003A12F1">
              <w:rPr>
                <w:rFonts w:ascii="Garamond" w:hAnsi="Garamond"/>
              </w:rPr>
              <w:t xml:space="preserve">NGO </w:t>
            </w:r>
            <w:r>
              <w:rPr>
                <w:rFonts w:ascii="Garamond" w:hAnsi="Garamond"/>
              </w:rPr>
              <w:t>SSE Items</w:t>
            </w:r>
          </w:p>
        </w:tc>
      </w:tr>
      <w:tr w:rsidR="006E7890" w:rsidRPr="00330E3E" w14:paraId="20089C4D" w14:textId="77777777" w:rsidTr="006E7890">
        <w:trPr>
          <w:trHeight w:val="255"/>
        </w:trPr>
        <w:tc>
          <w:tcPr>
            <w:tcW w:w="1657" w:type="dxa"/>
            <w:noWrap/>
            <w:vAlign w:val="bottom"/>
          </w:tcPr>
          <w:p w14:paraId="4445F338" w14:textId="77777777" w:rsidR="006E7890" w:rsidRPr="00330E3E" w:rsidRDefault="006E7890" w:rsidP="00E35112">
            <w:pPr>
              <w:spacing w:before="120"/>
              <w:jc w:val="center"/>
              <w:rPr>
                <w:rFonts w:ascii="Garamond" w:eastAsia="SimSun" w:hAnsi="Garamond"/>
                <w:lang w:eastAsia="zh-CN"/>
              </w:rPr>
            </w:pPr>
            <w:r>
              <w:rPr>
                <w:rFonts w:ascii="Garamond" w:eastAsia="SimSun" w:hAnsi="Garamond"/>
                <w:lang w:eastAsia="zh-CN"/>
              </w:rPr>
              <w:t>3c</w:t>
            </w:r>
          </w:p>
        </w:tc>
        <w:tc>
          <w:tcPr>
            <w:tcW w:w="6443" w:type="dxa"/>
            <w:noWrap/>
            <w:vAlign w:val="bottom"/>
          </w:tcPr>
          <w:p w14:paraId="23020864" w14:textId="77777777" w:rsidR="006E7890" w:rsidRPr="00330E3E" w:rsidRDefault="006E7890" w:rsidP="000064EE">
            <w:pPr>
              <w:spacing w:before="120"/>
              <w:ind w:left="720"/>
              <w:rPr>
                <w:rFonts w:ascii="Garamond" w:hAnsi="Garamond"/>
              </w:rPr>
            </w:pPr>
            <w:r w:rsidRPr="003A12F1">
              <w:rPr>
                <w:rFonts w:ascii="Garamond" w:hAnsi="Garamond"/>
              </w:rPr>
              <w:t xml:space="preserve">NGO </w:t>
            </w:r>
            <w:r>
              <w:rPr>
                <w:rFonts w:ascii="Garamond" w:hAnsi="Garamond"/>
              </w:rPr>
              <w:t xml:space="preserve">ESHE </w:t>
            </w:r>
            <w:r w:rsidRPr="003A12F1">
              <w:rPr>
                <w:rFonts w:ascii="Garamond" w:hAnsi="Garamond"/>
              </w:rPr>
              <w:t xml:space="preserve"> </w:t>
            </w:r>
            <w:r>
              <w:rPr>
                <w:rFonts w:ascii="Garamond" w:hAnsi="Garamond"/>
              </w:rPr>
              <w:t>Items</w:t>
            </w:r>
          </w:p>
        </w:tc>
      </w:tr>
      <w:tr w:rsidR="006E7890" w:rsidRPr="00330E3E" w14:paraId="7ADE9A04" w14:textId="77777777" w:rsidTr="006E7890">
        <w:trPr>
          <w:trHeight w:val="255"/>
        </w:trPr>
        <w:tc>
          <w:tcPr>
            <w:tcW w:w="1657" w:type="dxa"/>
            <w:noWrap/>
            <w:vAlign w:val="bottom"/>
          </w:tcPr>
          <w:p w14:paraId="056103C1" w14:textId="77777777" w:rsidR="006E7890" w:rsidRPr="00330E3E" w:rsidRDefault="006E7890" w:rsidP="00E35112">
            <w:pPr>
              <w:spacing w:before="120"/>
              <w:jc w:val="center"/>
              <w:rPr>
                <w:rFonts w:ascii="Garamond" w:eastAsia="SimSun" w:hAnsi="Garamond"/>
                <w:lang w:eastAsia="zh-CN"/>
              </w:rPr>
            </w:pPr>
            <w:r>
              <w:rPr>
                <w:rFonts w:ascii="Garamond" w:eastAsia="SimSun" w:hAnsi="Garamond"/>
                <w:lang w:eastAsia="zh-CN"/>
              </w:rPr>
              <w:t>4</w:t>
            </w:r>
          </w:p>
        </w:tc>
        <w:tc>
          <w:tcPr>
            <w:tcW w:w="6443" w:type="dxa"/>
            <w:noWrap/>
            <w:vAlign w:val="bottom"/>
          </w:tcPr>
          <w:p w14:paraId="399DEECA" w14:textId="77777777" w:rsidR="006E7890" w:rsidRDefault="006E7890" w:rsidP="00111BD7">
            <w:pPr>
              <w:spacing w:before="120"/>
              <w:rPr>
                <w:rFonts w:ascii="Garamond" w:hAnsi="Garamond"/>
              </w:rPr>
            </w:pPr>
            <w:r>
              <w:rPr>
                <w:rFonts w:ascii="Garamond" w:hAnsi="Garamond"/>
              </w:rPr>
              <w:t>SEA Measure Collection Instruments</w:t>
            </w:r>
          </w:p>
        </w:tc>
      </w:tr>
      <w:tr w:rsidR="006E7890" w:rsidRPr="00330E3E" w14:paraId="1E78BCA2" w14:textId="77777777" w:rsidTr="006E7890">
        <w:trPr>
          <w:trHeight w:val="255"/>
        </w:trPr>
        <w:tc>
          <w:tcPr>
            <w:tcW w:w="1657" w:type="dxa"/>
            <w:noWrap/>
            <w:vAlign w:val="bottom"/>
          </w:tcPr>
          <w:p w14:paraId="48C7751A"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4a</w:t>
            </w:r>
          </w:p>
        </w:tc>
        <w:tc>
          <w:tcPr>
            <w:tcW w:w="6443" w:type="dxa"/>
            <w:noWrap/>
            <w:vAlign w:val="bottom"/>
          </w:tcPr>
          <w:p w14:paraId="1E2F7A6F" w14:textId="77777777" w:rsidR="006E7890" w:rsidRDefault="006E7890" w:rsidP="000064EE">
            <w:pPr>
              <w:spacing w:before="120"/>
              <w:ind w:left="720"/>
              <w:rPr>
                <w:rFonts w:ascii="Garamond" w:hAnsi="Garamond"/>
              </w:rPr>
            </w:pPr>
            <w:r w:rsidRPr="00247E1F">
              <w:rPr>
                <w:rFonts w:ascii="Garamond" w:hAnsi="Garamond"/>
              </w:rPr>
              <w:t xml:space="preserve">SEA </w:t>
            </w:r>
            <w:r>
              <w:rPr>
                <w:rFonts w:ascii="Garamond" w:hAnsi="Garamond"/>
              </w:rPr>
              <w:t>SSE Items</w:t>
            </w:r>
          </w:p>
        </w:tc>
      </w:tr>
      <w:tr w:rsidR="006E7890" w:rsidRPr="00330E3E" w14:paraId="5722A8A4" w14:textId="77777777" w:rsidTr="006E7890">
        <w:trPr>
          <w:trHeight w:val="255"/>
        </w:trPr>
        <w:tc>
          <w:tcPr>
            <w:tcW w:w="1657" w:type="dxa"/>
            <w:noWrap/>
            <w:vAlign w:val="bottom"/>
          </w:tcPr>
          <w:p w14:paraId="18E95132"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4b</w:t>
            </w:r>
          </w:p>
        </w:tc>
        <w:tc>
          <w:tcPr>
            <w:tcW w:w="6443" w:type="dxa"/>
            <w:noWrap/>
            <w:vAlign w:val="bottom"/>
          </w:tcPr>
          <w:p w14:paraId="3076C2F9" w14:textId="77777777" w:rsidR="006E7890" w:rsidRDefault="006E7890" w:rsidP="000064EE">
            <w:pPr>
              <w:spacing w:before="120"/>
              <w:ind w:left="720"/>
              <w:rPr>
                <w:rFonts w:ascii="Garamond" w:hAnsi="Garamond"/>
              </w:rPr>
            </w:pPr>
            <w:r w:rsidRPr="00247E1F">
              <w:rPr>
                <w:rFonts w:ascii="Garamond" w:hAnsi="Garamond"/>
              </w:rPr>
              <w:t xml:space="preserve">SEA </w:t>
            </w:r>
            <w:r>
              <w:rPr>
                <w:rFonts w:ascii="Garamond" w:hAnsi="Garamond"/>
              </w:rPr>
              <w:t>SHS Items</w:t>
            </w:r>
          </w:p>
        </w:tc>
      </w:tr>
      <w:tr w:rsidR="006E7890" w:rsidRPr="00330E3E" w14:paraId="03A7D027" w14:textId="77777777" w:rsidTr="006E7890">
        <w:trPr>
          <w:trHeight w:val="255"/>
        </w:trPr>
        <w:tc>
          <w:tcPr>
            <w:tcW w:w="1657" w:type="dxa"/>
            <w:noWrap/>
            <w:vAlign w:val="bottom"/>
          </w:tcPr>
          <w:p w14:paraId="67AC81C7"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lastRenderedPageBreak/>
              <w:t>4c</w:t>
            </w:r>
          </w:p>
        </w:tc>
        <w:tc>
          <w:tcPr>
            <w:tcW w:w="6443" w:type="dxa"/>
            <w:noWrap/>
            <w:vAlign w:val="bottom"/>
          </w:tcPr>
          <w:p w14:paraId="5423FCD8" w14:textId="77777777" w:rsidR="006E7890" w:rsidRDefault="006E7890" w:rsidP="000064EE">
            <w:pPr>
              <w:spacing w:before="120"/>
              <w:ind w:left="720"/>
              <w:rPr>
                <w:rFonts w:ascii="Garamond" w:hAnsi="Garamond"/>
              </w:rPr>
            </w:pPr>
            <w:r w:rsidRPr="00247E1F">
              <w:rPr>
                <w:rFonts w:ascii="Garamond" w:hAnsi="Garamond"/>
              </w:rPr>
              <w:t xml:space="preserve">SEA </w:t>
            </w:r>
            <w:r>
              <w:rPr>
                <w:rFonts w:ascii="Garamond" w:hAnsi="Garamond"/>
              </w:rPr>
              <w:t>ESHE</w:t>
            </w:r>
            <w:r w:rsidRPr="00247E1F">
              <w:rPr>
                <w:rFonts w:ascii="Garamond" w:hAnsi="Garamond"/>
              </w:rPr>
              <w:t xml:space="preserve"> </w:t>
            </w:r>
            <w:r>
              <w:rPr>
                <w:rFonts w:ascii="Garamond" w:hAnsi="Garamond"/>
              </w:rPr>
              <w:t>Items</w:t>
            </w:r>
          </w:p>
        </w:tc>
      </w:tr>
      <w:tr w:rsidR="006E7890" w:rsidRPr="00330E3E" w14:paraId="4CEC487F" w14:textId="77777777" w:rsidTr="006E7890">
        <w:trPr>
          <w:trHeight w:val="255"/>
        </w:trPr>
        <w:tc>
          <w:tcPr>
            <w:tcW w:w="1657" w:type="dxa"/>
            <w:noWrap/>
            <w:vAlign w:val="bottom"/>
          </w:tcPr>
          <w:p w14:paraId="57E907F0"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5</w:t>
            </w:r>
          </w:p>
        </w:tc>
        <w:tc>
          <w:tcPr>
            <w:tcW w:w="6443" w:type="dxa"/>
            <w:noWrap/>
            <w:vAlign w:val="bottom"/>
          </w:tcPr>
          <w:p w14:paraId="0408492F" w14:textId="77777777" w:rsidR="006E7890" w:rsidRDefault="006E7890" w:rsidP="00111BD7">
            <w:pPr>
              <w:spacing w:before="120"/>
              <w:rPr>
                <w:rFonts w:ascii="Garamond" w:hAnsi="Garamond"/>
              </w:rPr>
            </w:pPr>
            <w:r>
              <w:rPr>
                <w:rFonts w:ascii="Garamond" w:hAnsi="Garamond"/>
              </w:rPr>
              <w:t>L</w:t>
            </w:r>
            <w:r w:rsidRPr="00247E1F">
              <w:rPr>
                <w:rFonts w:ascii="Garamond" w:hAnsi="Garamond"/>
              </w:rPr>
              <w:t>EA Measure Collection Instruments</w:t>
            </w:r>
          </w:p>
        </w:tc>
      </w:tr>
      <w:tr w:rsidR="006E7890" w:rsidRPr="00330E3E" w14:paraId="21FCB62B" w14:textId="77777777" w:rsidTr="006E7890">
        <w:trPr>
          <w:trHeight w:val="255"/>
        </w:trPr>
        <w:tc>
          <w:tcPr>
            <w:tcW w:w="1657" w:type="dxa"/>
            <w:noWrap/>
            <w:vAlign w:val="bottom"/>
          </w:tcPr>
          <w:p w14:paraId="1FA6015C"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5a</w:t>
            </w:r>
          </w:p>
        </w:tc>
        <w:tc>
          <w:tcPr>
            <w:tcW w:w="6443" w:type="dxa"/>
            <w:noWrap/>
            <w:vAlign w:val="bottom"/>
          </w:tcPr>
          <w:p w14:paraId="0E7462BD" w14:textId="77777777" w:rsidR="006E7890" w:rsidRDefault="006E7890" w:rsidP="000064EE">
            <w:pPr>
              <w:spacing w:before="120"/>
              <w:ind w:left="720"/>
              <w:rPr>
                <w:rFonts w:ascii="Garamond" w:hAnsi="Garamond"/>
              </w:rPr>
            </w:pPr>
            <w:r>
              <w:rPr>
                <w:rFonts w:ascii="Garamond" w:hAnsi="Garamond"/>
              </w:rPr>
              <w:t xml:space="preserve">LEA SSE </w:t>
            </w:r>
            <w:r w:rsidRPr="00247E1F">
              <w:rPr>
                <w:rFonts w:ascii="Garamond" w:hAnsi="Garamond"/>
              </w:rPr>
              <w:t xml:space="preserve"> </w:t>
            </w:r>
            <w:r>
              <w:rPr>
                <w:rFonts w:ascii="Garamond" w:hAnsi="Garamond"/>
              </w:rPr>
              <w:t>Items</w:t>
            </w:r>
          </w:p>
        </w:tc>
      </w:tr>
      <w:tr w:rsidR="006E7890" w:rsidRPr="00330E3E" w14:paraId="7E9B56A0" w14:textId="77777777" w:rsidTr="006E7890">
        <w:trPr>
          <w:trHeight w:val="255"/>
        </w:trPr>
        <w:tc>
          <w:tcPr>
            <w:tcW w:w="1657" w:type="dxa"/>
            <w:noWrap/>
            <w:vAlign w:val="bottom"/>
          </w:tcPr>
          <w:p w14:paraId="76E54A5D"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5b</w:t>
            </w:r>
          </w:p>
        </w:tc>
        <w:tc>
          <w:tcPr>
            <w:tcW w:w="6443" w:type="dxa"/>
            <w:noWrap/>
            <w:vAlign w:val="bottom"/>
          </w:tcPr>
          <w:p w14:paraId="47B4CFF9" w14:textId="77777777" w:rsidR="006E7890" w:rsidRDefault="006E7890" w:rsidP="000064EE">
            <w:pPr>
              <w:spacing w:before="120"/>
              <w:ind w:left="720"/>
              <w:rPr>
                <w:rFonts w:ascii="Garamond" w:hAnsi="Garamond"/>
              </w:rPr>
            </w:pPr>
            <w:r>
              <w:rPr>
                <w:rFonts w:ascii="Garamond" w:hAnsi="Garamond"/>
              </w:rPr>
              <w:t>LEA SHS</w:t>
            </w:r>
            <w:r w:rsidRPr="00247E1F">
              <w:rPr>
                <w:rFonts w:ascii="Garamond" w:hAnsi="Garamond"/>
              </w:rPr>
              <w:t xml:space="preserve"> </w:t>
            </w:r>
            <w:r>
              <w:rPr>
                <w:rFonts w:ascii="Garamond" w:hAnsi="Garamond"/>
              </w:rPr>
              <w:t>Items</w:t>
            </w:r>
          </w:p>
        </w:tc>
      </w:tr>
      <w:tr w:rsidR="006E7890" w:rsidRPr="00330E3E" w14:paraId="0F9097CC" w14:textId="77777777" w:rsidTr="006E7890">
        <w:trPr>
          <w:trHeight w:val="255"/>
        </w:trPr>
        <w:tc>
          <w:tcPr>
            <w:tcW w:w="1657" w:type="dxa"/>
            <w:noWrap/>
            <w:vAlign w:val="bottom"/>
          </w:tcPr>
          <w:p w14:paraId="285729CB"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5c</w:t>
            </w:r>
          </w:p>
        </w:tc>
        <w:tc>
          <w:tcPr>
            <w:tcW w:w="6443" w:type="dxa"/>
            <w:noWrap/>
            <w:vAlign w:val="bottom"/>
          </w:tcPr>
          <w:p w14:paraId="00386BEA" w14:textId="77777777" w:rsidR="006E7890" w:rsidRDefault="006E7890" w:rsidP="000064EE">
            <w:pPr>
              <w:spacing w:before="120"/>
              <w:ind w:left="720"/>
              <w:rPr>
                <w:rFonts w:ascii="Garamond" w:hAnsi="Garamond"/>
              </w:rPr>
            </w:pPr>
            <w:r>
              <w:rPr>
                <w:rFonts w:ascii="Garamond" w:hAnsi="Garamond"/>
              </w:rPr>
              <w:t xml:space="preserve">LEA </w:t>
            </w:r>
            <w:r w:rsidRPr="00247E1F">
              <w:rPr>
                <w:rFonts w:ascii="Garamond" w:hAnsi="Garamond"/>
              </w:rPr>
              <w:t xml:space="preserve">ESHE </w:t>
            </w:r>
            <w:r>
              <w:rPr>
                <w:rFonts w:ascii="Garamond" w:hAnsi="Garamond"/>
              </w:rPr>
              <w:t>Items</w:t>
            </w:r>
          </w:p>
        </w:tc>
      </w:tr>
      <w:tr w:rsidR="006E7890" w:rsidRPr="00330E3E" w14:paraId="63EBF5DF" w14:textId="77777777" w:rsidTr="006E7890">
        <w:trPr>
          <w:trHeight w:val="255"/>
        </w:trPr>
        <w:tc>
          <w:tcPr>
            <w:tcW w:w="1657" w:type="dxa"/>
            <w:noWrap/>
            <w:vAlign w:val="bottom"/>
          </w:tcPr>
          <w:p w14:paraId="391C31E5"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6</w:t>
            </w:r>
          </w:p>
        </w:tc>
        <w:tc>
          <w:tcPr>
            <w:tcW w:w="6443" w:type="dxa"/>
            <w:noWrap/>
            <w:vAlign w:val="bottom"/>
          </w:tcPr>
          <w:p w14:paraId="32939C9D" w14:textId="77777777" w:rsidR="006E7890" w:rsidRDefault="006E7890" w:rsidP="007C74D0">
            <w:pPr>
              <w:spacing w:before="120"/>
              <w:rPr>
                <w:rFonts w:ascii="Garamond" w:hAnsi="Garamond"/>
              </w:rPr>
            </w:pPr>
            <w:r>
              <w:rPr>
                <w:rFonts w:ascii="Garamond" w:hAnsi="Garamond"/>
              </w:rPr>
              <w:t>L</w:t>
            </w:r>
            <w:r w:rsidRPr="007C74D0">
              <w:rPr>
                <w:rFonts w:ascii="Garamond" w:hAnsi="Garamond"/>
              </w:rPr>
              <w:t xml:space="preserve">ist of the </w:t>
            </w:r>
            <w:r>
              <w:rPr>
                <w:rFonts w:ascii="Garamond" w:hAnsi="Garamond"/>
              </w:rPr>
              <w:t>F</w:t>
            </w:r>
            <w:r w:rsidRPr="007C74D0">
              <w:rPr>
                <w:rFonts w:ascii="Garamond" w:hAnsi="Garamond"/>
              </w:rPr>
              <w:t xml:space="preserve">unded </w:t>
            </w:r>
            <w:r>
              <w:rPr>
                <w:rFonts w:ascii="Garamond" w:hAnsi="Garamond"/>
              </w:rPr>
              <w:t>A</w:t>
            </w:r>
            <w:r w:rsidRPr="007C74D0">
              <w:rPr>
                <w:rFonts w:ascii="Garamond" w:hAnsi="Garamond"/>
              </w:rPr>
              <w:t>gencies</w:t>
            </w:r>
          </w:p>
        </w:tc>
      </w:tr>
      <w:tr w:rsidR="006E7890" w:rsidRPr="00330E3E" w14:paraId="465C6B08" w14:textId="77777777" w:rsidTr="006E7890">
        <w:trPr>
          <w:trHeight w:val="255"/>
        </w:trPr>
        <w:tc>
          <w:tcPr>
            <w:tcW w:w="1657" w:type="dxa"/>
            <w:noWrap/>
            <w:vAlign w:val="bottom"/>
          </w:tcPr>
          <w:p w14:paraId="6E4446BF"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7</w:t>
            </w:r>
          </w:p>
        </w:tc>
        <w:tc>
          <w:tcPr>
            <w:tcW w:w="6443" w:type="dxa"/>
            <w:noWrap/>
            <w:vAlign w:val="bottom"/>
          </w:tcPr>
          <w:p w14:paraId="5BF44DE0" w14:textId="77777777" w:rsidR="006E7890" w:rsidRDefault="006E7890" w:rsidP="001B058F">
            <w:pPr>
              <w:spacing w:before="120"/>
              <w:rPr>
                <w:rFonts w:ascii="Garamond" w:hAnsi="Garamond"/>
              </w:rPr>
            </w:pPr>
            <w:r w:rsidRPr="00F555C3">
              <w:rPr>
                <w:rFonts w:ascii="Garamond" w:hAnsi="Garamond"/>
              </w:rPr>
              <w:t>List of the Funded Agencies</w:t>
            </w:r>
            <w:r>
              <w:rPr>
                <w:rFonts w:ascii="Garamond" w:hAnsi="Garamond"/>
              </w:rPr>
              <w:t xml:space="preserve"> Providing Feedback</w:t>
            </w:r>
          </w:p>
        </w:tc>
      </w:tr>
      <w:tr w:rsidR="006E7890" w14:paraId="63A0CF2D" w14:textId="77777777" w:rsidTr="006E7890">
        <w:trPr>
          <w:trHeight w:val="255"/>
        </w:trPr>
        <w:tc>
          <w:tcPr>
            <w:tcW w:w="1657" w:type="dxa"/>
            <w:noWrap/>
            <w:vAlign w:val="bottom"/>
          </w:tcPr>
          <w:p w14:paraId="6282F7E2" w14:textId="77777777" w:rsidR="006E7890" w:rsidRPr="001B058F" w:rsidRDefault="006E7890">
            <w:pPr>
              <w:spacing w:before="120"/>
              <w:jc w:val="center"/>
              <w:rPr>
                <w:rFonts w:ascii="Garamond" w:eastAsia="SimSun" w:hAnsi="Garamond"/>
                <w:lang w:eastAsia="zh-CN"/>
              </w:rPr>
            </w:pPr>
            <w:r w:rsidRPr="001B058F">
              <w:rPr>
                <w:rFonts w:ascii="Garamond" w:eastAsia="SimSun" w:hAnsi="Garamond"/>
                <w:lang w:eastAsia="zh-CN"/>
              </w:rPr>
              <w:t>8</w:t>
            </w:r>
          </w:p>
        </w:tc>
        <w:tc>
          <w:tcPr>
            <w:tcW w:w="6443" w:type="dxa"/>
            <w:noWrap/>
            <w:vAlign w:val="bottom"/>
          </w:tcPr>
          <w:p w14:paraId="3DBBAB20" w14:textId="77777777" w:rsidR="006E7890" w:rsidRPr="001B058F" w:rsidRDefault="006E7890">
            <w:pPr>
              <w:spacing w:before="120"/>
              <w:rPr>
                <w:rFonts w:ascii="Garamond" w:hAnsi="Garamond"/>
              </w:rPr>
            </w:pPr>
            <w:r w:rsidRPr="001B058F">
              <w:rPr>
                <w:rFonts w:ascii="Garamond" w:hAnsi="Garamond"/>
              </w:rPr>
              <w:t>Screenshots from PERS</w:t>
            </w:r>
          </w:p>
        </w:tc>
      </w:tr>
      <w:tr w:rsidR="006E7890" w14:paraId="4BD8E29E" w14:textId="77777777" w:rsidTr="006E7890">
        <w:trPr>
          <w:trHeight w:val="255"/>
        </w:trPr>
        <w:tc>
          <w:tcPr>
            <w:tcW w:w="1657" w:type="dxa"/>
            <w:noWrap/>
            <w:vAlign w:val="bottom"/>
          </w:tcPr>
          <w:p w14:paraId="2B38E869" w14:textId="77777777" w:rsidR="006E7890" w:rsidRPr="001B058F" w:rsidRDefault="006E7890">
            <w:pPr>
              <w:spacing w:before="120"/>
              <w:jc w:val="center"/>
              <w:rPr>
                <w:rFonts w:ascii="Garamond" w:eastAsia="SimSun" w:hAnsi="Garamond"/>
                <w:lang w:eastAsia="zh-CN"/>
              </w:rPr>
            </w:pPr>
            <w:r>
              <w:rPr>
                <w:rFonts w:ascii="Garamond" w:eastAsia="SimSun" w:hAnsi="Garamond"/>
                <w:lang w:eastAsia="zh-CN"/>
              </w:rPr>
              <w:t>8a</w:t>
            </w:r>
          </w:p>
        </w:tc>
        <w:tc>
          <w:tcPr>
            <w:tcW w:w="6443" w:type="dxa"/>
            <w:noWrap/>
            <w:vAlign w:val="bottom"/>
          </w:tcPr>
          <w:p w14:paraId="3B83D6EC" w14:textId="77777777" w:rsidR="006E7890" w:rsidRPr="001B058F" w:rsidRDefault="006E7890" w:rsidP="00BB572D">
            <w:pPr>
              <w:spacing w:before="120"/>
              <w:ind w:left="720"/>
              <w:rPr>
                <w:rFonts w:ascii="Garamond" w:hAnsi="Garamond"/>
              </w:rPr>
            </w:pPr>
            <w:r>
              <w:rPr>
                <w:rFonts w:ascii="Garamond" w:hAnsi="Garamond"/>
              </w:rPr>
              <w:t>SEA Questionnaires</w:t>
            </w:r>
          </w:p>
        </w:tc>
      </w:tr>
      <w:tr w:rsidR="006E7890" w14:paraId="0E2E185B" w14:textId="77777777" w:rsidTr="006E7890">
        <w:trPr>
          <w:trHeight w:val="255"/>
        </w:trPr>
        <w:tc>
          <w:tcPr>
            <w:tcW w:w="1657" w:type="dxa"/>
            <w:noWrap/>
            <w:vAlign w:val="bottom"/>
          </w:tcPr>
          <w:p w14:paraId="5A7A9ACB" w14:textId="77777777" w:rsidR="006E7890" w:rsidRPr="001B058F" w:rsidRDefault="006E7890">
            <w:pPr>
              <w:spacing w:before="120"/>
              <w:jc w:val="center"/>
              <w:rPr>
                <w:rFonts w:ascii="Garamond" w:eastAsia="SimSun" w:hAnsi="Garamond"/>
                <w:lang w:eastAsia="zh-CN"/>
              </w:rPr>
            </w:pPr>
            <w:r>
              <w:rPr>
                <w:rFonts w:ascii="Garamond" w:eastAsia="SimSun" w:hAnsi="Garamond"/>
                <w:lang w:eastAsia="zh-CN"/>
              </w:rPr>
              <w:t>8b</w:t>
            </w:r>
          </w:p>
        </w:tc>
        <w:tc>
          <w:tcPr>
            <w:tcW w:w="6443" w:type="dxa"/>
            <w:noWrap/>
            <w:vAlign w:val="bottom"/>
          </w:tcPr>
          <w:p w14:paraId="5B029C2C" w14:textId="77777777" w:rsidR="006E7890" w:rsidRPr="001B058F" w:rsidRDefault="006E7890" w:rsidP="00BB572D">
            <w:pPr>
              <w:spacing w:before="120"/>
              <w:ind w:left="720"/>
              <w:rPr>
                <w:rFonts w:ascii="Garamond" w:hAnsi="Garamond"/>
              </w:rPr>
            </w:pPr>
            <w:r>
              <w:rPr>
                <w:rFonts w:ascii="Garamond" w:hAnsi="Garamond"/>
              </w:rPr>
              <w:t>LEA Questionnaires</w:t>
            </w:r>
          </w:p>
        </w:tc>
      </w:tr>
      <w:tr w:rsidR="006E7890" w14:paraId="49FD2319" w14:textId="77777777" w:rsidTr="006E7890">
        <w:trPr>
          <w:trHeight w:val="255"/>
        </w:trPr>
        <w:tc>
          <w:tcPr>
            <w:tcW w:w="1657" w:type="dxa"/>
            <w:noWrap/>
            <w:vAlign w:val="bottom"/>
          </w:tcPr>
          <w:p w14:paraId="196922C5" w14:textId="77777777" w:rsidR="006E7890" w:rsidRPr="001B058F" w:rsidRDefault="006E7890">
            <w:pPr>
              <w:spacing w:before="120"/>
              <w:jc w:val="center"/>
              <w:rPr>
                <w:rFonts w:ascii="Garamond" w:eastAsia="SimSun" w:hAnsi="Garamond"/>
                <w:lang w:eastAsia="zh-CN"/>
              </w:rPr>
            </w:pPr>
            <w:r>
              <w:rPr>
                <w:rFonts w:ascii="Garamond" w:eastAsia="SimSun" w:hAnsi="Garamond"/>
                <w:lang w:eastAsia="zh-CN"/>
              </w:rPr>
              <w:t>8c</w:t>
            </w:r>
          </w:p>
        </w:tc>
        <w:tc>
          <w:tcPr>
            <w:tcW w:w="6443" w:type="dxa"/>
            <w:noWrap/>
            <w:vAlign w:val="bottom"/>
          </w:tcPr>
          <w:p w14:paraId="2C86C9EC" w14:textId="77777777" w:rsidR="006E7890" w:rsidRPr="001B058F" w:rsidRDefault="006E7890" w:rsidP="00BB572D">
            <w:pPr>
              <w:spacing w:before="120"/>
              <w:ind w:left="720"/>
              <w:rPr>
                <w:rFonts w:ascii="Garamond" w:hAnsi="Garamond"/>
              </w:rPr>
            </w:pPr>
            <w:r>
              <w:rPr>
                <w:rFonts w:ascii="Garamond" w:hAnsi="Garamond"/>
              </w:rPr>
              <w:t>NGO Questionnaires</w:t>
            </w:r>
          </w:p>
        </w:tc>
      </w:tr>
      <w:tr w:rsidR="006E7890" w14:paraId="41B3DE40" w14:textId="77777777" w:rsidTr="006E7890">
        <w:trPr>
          <w:trHeight w:val="255"/>
        </w:trPr>
        <w:tc>
          <w:tcPr>
            <w:tcW w:w="1657" w:type="dxa"/>
            <w:noWrap/>
            <w:vAlign w:val="bottom"/>
          </w:tcPr>
          <w:p w14:paraId="0F38510C" w14:textId="77777777" w:rsidR="006E7890" w:rsidRPr="001B058F" w:rsidRDefault="006E7890">
            <w:pPr>
              <w:spacing w:before="120"/>
              <w:jc w:val="center"/>
              <w:rPr>
                <w:rFonts w:ascii="Garamond" w:eastAsia="SimSun" w:hAnsi="Garamond"/>
                <w:lang w:eastAsia="zh-CN"/>
              </w:rPr>
            </w:pPr>
            <w:r w:rsidRPr="001B058F">
              <w:rPr>
                <w:rFonts w:ascii="Garamond" w:eastAsia="SimSun" w:hAnsi="Garamond"/>
                <w:lang w:eastAsia="zh-CN"/>
              </w:rPr>
              <w:t>9</w:t>
            </w:r>
          </w:p>
        </w:tc>
        <w:tc>
          <w:tcPr>
            <w:tcW w:w="6443" w:type="dxa"/>
            <w:noWrap/>
            <w:vAlign w:val="bottom"/>
          </w:tcPr>
          <w:p w14:paraId="0F40BD89" w14:textId="77777777" w:rsidR="006E7890" w:rsidRPr="001B058F" w:rsidRDefault="006E7890">
            <w:pPr>
              <w:spacing w:before="120"/>
              <w:rPr>
                <w:rFonts w:ascii="Garamond" w:hAnsi="Garamond"/>
              </w:rPr>
            </w:pPr>
            <w:r w:rsidRPr="001B058F">
              <w:rPr>
                <w:rFonts w:ascii="Garamond" w:hAnsi="Garamond"/>
              </w:rPr>
              <w:t>Rationale for Approaches</w:t>
            </w:r>
          </w:p>
        </w:tc>
      </w:tr>
      <w:tr w:rsidR="006E7890" w14:paraId="2223B19D" w14:textId="77777777" w:rsidTr="006E7890">
        <w:trPr>
          <w:trHeight w:val="255"/>
        </w:trPr>
        <w:tc>
          <w:tcPr>
            <w:tcW w:w="1657" w:type="dxa"/>
            <w:noWrap/>
            <w:vAlign w:val="bottom"/>
          </w:tcPr>
          <w:p w14:paraId="2C6220E8" w14:textId="77777777" w:rsidR="006E7890" w:rsidRPr="001B058F" w:rsidRDefault="006E7890">
            <w:pPr>
              <w:spacing w:before="120"/>
              <w:jc w:val="center"/>
              <w:rPr>
                <w:rFonts w:ascii="Garamond" w:eastAsia="SimSun" w:hAnsi="Garamond"/>
                <w:lang w:eastAsia="zh-CN"/>
              </w:rPr>
            </w:pPr>
            <w:r w:rsidRPr="001B058F">
              <w:rPr>
                <w:rFonts w:ascii="Garamond" w:eastAsia="SimSun" w:hAnsi="Garamond"/>
                <w:lang w:eastAsia="zh-CN"/>
              </w:rPr>
              <w:t>9a</w:t>
            </w:r>
          </w:p>
        </w:tc>
        <w:tc>
          <w:tcPr>
            <w:tcW w:w="6443" w:type="dxa"/>
            <w:noWrap/>
            <w:vAlign w:val="bottom"/>
          </w:tcPr>
          <w:p w14:paraId="3515D89C" w14:textId="77777777" w:rsidR="006E7890" w:rsidRPr="001B058F" w:rsidRDefault="006E7890" w:rsidP="001B058F">
            <w:pPr>
              <w:spacing w:before="120"/>
              <w:ind w:left="720"/>
              <w:rPr>
                <w:rFonts w:ascii="Garamond" w:hAnsi="Garamond"/>
              </w:rPr>
            </w:pPr>
            <w:r w:rsidRPr="001B058F">
              <w:rPr>
                <w:rFonts w:ascii="Garamond" w:hAnsi="Garamond"/>
              </w:rPr>
              <w:t>ESHE Rationale</w:t>
            </w:r>
          </w:p>
        </w:tc>
      </w:tr>
      <w:tr w:rsidR="006E7890" w14:paraId="66A1A838" w14:textId="77777777" w:rsidTr="006E7890">
        <w:trPr>
          <w:trHeight w:val="255"/>
        </w:trPr>
        <w:tc>
          <w:tcPr>
            <w:tcW w:w="1657" w:type="dxa"/>
            <w:noWrap/>
            <w:vAlign w:val="bottom"/>
          </w:tcPr>
          <w:p w14:paraId="4E619ED0" w14:textId="77777777" w:rsidR="006E7890" w:rsidRPr="001B058F" w:rsidRDefault="006E7890">
            <w:pPr>
              <w:spacing w:before="120"/>
              <w:jc w:val="center"/>
              <w:rPr>
                <w:rFonts w:ascii="Garamond" w:eastAsia="SimSun" w:hAnsi="Garamond"/>
                <w:lang w:eastAsia="zh-CN"/>
              </w:rPr>
            </w:pPr>
            <w:r w:rsidRPr="001B058F">
              <w:rPr>
                <w:rFonts w:ascii="Garamond" w:eastAsia="SimSun" w:hAnsi="Garamond"/>
                <w:lang w:eastAsia="zh-CN"/>
              </w:rPr>
              <w:t>9b</w:t>
            </w:r>
          </w:p>
        </w:tc>
        <w:tc>
          <w:tcPr>
            <w:tcW w:w="6443" w:type="dxa"/>
            <w:noWrap/>
            <w:vAlign w:val="bottom"/>
          </w:tcPr>
          <w:p w14:paraId="02BB4DBB" w14:textId="77777777" w:rsidR="006E7890" w:rsidRPr="001B058F" w:rsidRDefault="006E7890" w:rsidP="001B058F">
            <w:pPr>
              <w:spacing w:before="120"/>
              <w:ind w:left="720"/>
              <w:rPr>
                <w:rFonts w:ascii="Garamond" w:hAnsi="Garamond"/>
              </w:rPr>
            </w:pPr>
            <w:r w:rsidRPr="001B058F">
              <w:rPr>
                <w:rFonts w:ascii="Garamond" w:hAnsi="Garamond"/>
              </w:rPr>
              <w:t>SHS Rationale</w:t>
            </w:r>
          </w:p>
        </w:tc>
      </w:tr>
      <w:tr w:rsidR="006E7890" w14:paraId="0BBDC7AD" w14:textId="77777777" w:rsidTr="006E7890">
        <w:trPr>
          <w:trHeight w:val="255"/>
        </w:trPr>
        <w:tc>
          <w:tcPr>
            <w:tcW w:w="1657" w:type="dxa"/>
            <w:noWrap/>
            <w:vAlign w:val="bottom"/>
          </w:tcPr>
          <w:p w14:paraId="62BF4968" w14:textId="77777777" w:rsidR="006E7890" w:rsidRPr="001B058F" w:rsidRDefault="006E7890">
            <w:pPr>
              <w:spacing w:before="120"/>
              <w:jc w:val="center"/>
              <w:rPr>
                <w:rFonts w:ascii="Garamond" w:eastAsia="SimSun" w:hAnsi="Garamond"/>
                <w:lang w:eastAsia="zh-CN"/>
              </w:rPr>
            </w:pPr>
            <w:r w:rsidRPr="001B058F">
              <w:rPr>
                <w:rFonts w:ascii="Garamond" w:eastAsia="SimSun" w:hAnsi="Garamond"/>
                <w:lang w:eastAsia="zh-CN"/>
              </w:rPr>
              <w:t>9c</w:t>
            </w:r>
          </w:p>
        </w:tc>
        <w:tc>
          <w:tcPr>
            <w:tcW w:w="6443" w:type="dxa"/>
            <w:noWrap/>
            <w:vAlign w:val="bottom"/>
          </w:tcPr>
          <w:p w14:paraId="662A9C5F" w14:textId="77777777" w:rsidR="006E7890" w:rsidRPr="001B058F" w:rsidRDefault="006E7890" w:rsidP="001B058F">
            <w:pPr>
              <w:spacing w:before="120"/>
              <w:ind w:left="720"/>
              <w:rPr>
                <w:rFonts w:ascii="Garamond" w:hAnsi="Garamond"/>
              </w:rPr>
            </w:pPr>
            <w:r w:rsidRPr="001B058F">
              <w:rPr>
                <w:rFonts w:ascii="Garamond" w:hAnsi="Garamond"/>
              </w:rPr>
              <w:t>SSE Rationale</w:t>
            </w:r>
          </w:p>
        </w:tc>
      </w:tr>
      <w:tr w:rsidR="006E7890" w14:paraId="4E4DEB73" w14:textId="77777777" w:rsidTr="006E7890">
        <w:trPr>
          <w:trHeight w:val="255"/>
        </w:trPr>
        <w:tc>
          <w:tcPr>
            <w:tcW w:w="1657" w:type="dxa"/>
            <w:noWrap/>
            <w:vAlign w:val="bottom"/>
          </w:tcPr>
          <w:p w14:paraId="0AA1DF30" w14:textId="77777777" w:rsidR="006E7890" w:rsidRPr="001B058F" w:rsidRDefault="006E7890">
            <w:pPr>
              <w:spacing w:before="120"/>
              <w:jc w:val="center"/>
              <w:rPr>
                <w:rFonts w:ascii="Garamond" w:eastAsia="SimSun" w:hAnsi="Garamond"/>
                <w:lang w:eastAsia="zh-CN"/>
              </w:rPr>
            </w:pPr>
            <w:r w:rsidRPr="001B058F">
              <w:rPr>
                <w:rFonts w:ascii="Garamond" w:eastAsia="SimSun" w:hAnsi="Garamond"/>
                <w:lang w:eastAsia="zh-CN"/>
              </w:rPr>
              <w:t>10</w:t>
            </w:r>
          </w:p>
        </w:tc>
        <w:tc>
          <w:tcPr>
            <w:tcW w:w="6443" w:type="dxa"/>
            <w:noWrap/>
            <w:vAlign w:val="bottom"/>
          </w:tcPr>
          <w:p w14:paraId="231095C2" w14:textId="77777777" w:rsidR="006E7890" w:rsidRPr="001B058F" w:rsidRDefault="006E7890">
            <w:pPr>
              <w:spacing w:before="120"/>
              <w:rPr>
                <w:rFonts w:ascii="Garamond" w:hAnsi="Garamond"/>
              </w:rPr>
            </w:pPr>
            <w:r w:rsidRPr="001B058F">
              <w:rPr>
                <w:rFonts w:ascii="Garamond" w:hAnsi="Garamond"/>
              </w:rPr>
              <w:t>Analysis of Alternatives</w:t>
            </w:r>
          </w:p>
        </w:tc>
      </w:tr>
      <w:tr w:rsidR="006E7890" w:rsidRPr="00330E3E" w14:paraId="2C0C820B" w14:textId="77777777" w:rsidTr="006E7890">
        <w:trPr>
          <w:trHeight w:val="255"/>
        </w:trPr>
        <w:tc>
          <w:tcPr>
            <w:tcW w:w="1657" w:type="dxa"/>
            <w:noWrap/>
            <w:vAlign w:val="bottom"/>
          </w:tcPr>
          <w:p w14:paraId="1E4E688E" w14:textId="77777777" w:rsidR="006E7890" w:rsidRDefault="006E7890" w:rsidP="00E35112">
            <w:pPr>
              <w:spacing w:before="120"/>
              <w:jc w:val="center"/>
              <w:rPr>
                <w:rFonts w:ascii="Garamond" w:eastAsia="SimSun" w:hAnsi="Garamond"/>
                <w:lang w:eastAsia="zh-CN"/>
              </w:rPr>
            </w:pPr>
            <w:r>
              <w:rPr>
                <w:rFonts w:ascii="Garamond" w:eastAsia="SimSun" w:hAnsi="Garamond"/>
                <w:lang w:eastAsia="zh-CN"/>
              </w:rPr>
              <w:t>11</w:t>
            </w:r>
          </w:p>
        </w:tc>
        <w:tc>
          <w:tcPr>
            <w:tcW w:w="6443" w:type="dxa"/>
            <w:noWrap/>
            <w:vAlign w:val="bottom"/>
          </w:tcPr>
          <w:p w14:paraId="4B202A88" w14:textId="77777777" w:rsidR="006E7890" w:rsidRPr="008F2A65" w:rsidRDefault="006E7890" w:rsidP="007C74D0">
            <w:pPr>
              <w:spacing w:before="120"/>
              <w:rPr>
                <w:rFonts w:ascii="Garamond" w:hAnsi="Garamond"/>
              </w:rPr>
            </w:pPr>
            <w:r w:rsidRPr="008F2A65">
              <w:rPr>
                <w:rFonts w:ascii="Garamond" w:eastAsia="Calibri" w:hAnsi="Garamond"/>
              </w:rPr>
              <w:t>Framework for Program Evaluation in Public Health</w:t>
            </w:r>
          </w:p>
        </w:tc>
      </w:tr>
    </w:tbl>
    <w:p w14:paraId="76E5A347" w14:textId="77777777" w:rsidR="00330E3E" w:rsidRDefault="00330E3E">
      <w:pPr>
        <w:widowControl/>
        <w:autoSpaceDE/>
        <w:autoSpaceDN/>
        <w:adjustRightInd/>
        <w:spacing w:line="240" w:lineRule="auto"/>
        <w:rPr>
          <w:rFonts w:ascii="Garamond" w:hAnsi="Garamond"/>
          <w:b/>
        </w:rPr>
      </w:pPr>
      <w:bookmarkStart w:id="3" w:name="_Toc352670664"/>
      <w:r>
        <w:rPr>
          <w:rFonts w:ascii="Garamond" w:hAnsi="Garamond"/>
          <w:b/>
        </w:rPr>
        <w:br w:type="page"/>
      </w:r>
    </w:p>
    <w:p w14:paraId="62B5DF57" w14:textId="77777777" w:rsidR="00F70653" w:rsidRDefault="00F70653">
      <w:pPr>
        <w:widowControl/>
        <w:autoSpaceDE/>
        <w:autoSpaceDN/>
        <w:adjustRightInd/>
        <w:spacing w:line="240" w:lineRule="auto"/>
        <w:rPr>
          <w:rFonts w:ascii="Garamond" w:hAnsi="Garamond"/>
          <w:b/>
        </w:rPr>
      </w:pPr>
    </w:p>
    <w:p w14:paraId="7645F2E1" w14:textId="77777777" w:rsidR="00F70653" w:rsidRDefault="00F70653">
      <w:pPr>
        <w:widowControl/>
        <w:autoSpaceDE/>
        <w:autoSpaceDN/>
        <w:adjustRightInd/>
        <w:spacing w:line="240" w:lineRule="auto"/>
        <w:rPr>
          <w:rFonts w:ascii="Garamond" w:hAnsi="Garamond"/>
          <w:b/>
        </w:rPr>
      </w:pPr>
      <w:bookmarkStart w:id="4" w:name="_Toc413847747"/>
      <w:bookmarkStart w:id="5" w:name="_Toc444514926"/>
      <w:r w:rsidRPr="000E3B3A">
        <w:rPr>
          <w:rFonts w:eastAsia="Calibri"/>
          <w:b/>
          <w:noProof/>
          <w:sz w:val="22"/>
        </w:rPr>
        <mc:AlternateContent>
          <mc:Choice Requires="wps">
            <w:drawing>
              <wp:inline distT="0" distB="0" distL="0" distR="0" wp14:anchorId="50672C02" wp14:editId="21102A49">
                <wp:extent cx="5943600" cy="4216557"/>
                <wp:effectExtent l="0" t="0" r="19050" b="127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16557"/>
                        </a:xfrm>
                        <a:prstGeom prst="rect">
                          <a:avLst/>
                        </a:prstGeom>
                        <a:solidFill>
                          <a:srgbClr val="FFFFFF"/>
                        </a:solidFill>
                        <a:ln w="9525">
                          <a:solidFill>
                            <a:srgbClr val="000000"/>
                          </a:solidFill>
                          <a:miter lim="800000"/>
                          <a:headEnd/>
                          <a:tailEnd/>
                        </a:ln>
                      </wps:spPr>
                      <wps:txbx>
                        <w:txbxContent>
                          <w:p w14:paraId="2DB30868" w14:textId="77777777" w:rsidR="000F4788" w:rsidRPr="00945D21" w:rsidRDefault="000F4788" w:rsidP="00700138">
                            <w:pPr>
                              <w:pStyle w:val="ListParagraph"/>
                              <w:widowControl/>
                              <w:numPr>
                                <w:ilvl w:val="0"/>
                                <w:numId w:val="14"/>
                              </w:numPr>
                              <w:tabs>
                                <w:tab w:val="right" w:pos="9360"/>
                              </w:tabs>
                              <w:autoSpaceDE/>
                              <w:autoSpaceDN/>
                              <w:adjustRightInd/>
                            </w:pPr>
                            <w:r w:rsidRPr="00945D21">
                              <w:t xml:space="preserve">The purpose of this data collection is to gather information from funded partners to monitor their progress towards achieving the goals of DASH’s funding opportunity announcement </w:t>
                            </w:r>
                            <w:r w:rsidRPr="00945D21">
                              <w:rPr>
                                <w:i/>
                              </w:rPr>
                              <w:t>Promoting Adolescent Health through School-Based HIV/STD Prevention and School-Based</w:t>
                            </w:r>
                            <w:r w:rsidRPr="00945D21">
                              <w:t xml:space="preserve"> </w:t>
                            </w:r>
                            <w:r w:rsidRPr="00945D21">
                              <w:rPr>
                                <w:i/>
                              </w:rPr>
                              <w:t>Surveillance.</w:t>
                            </w:r>
                          </w:p>
                          <w:p w14:paraId="48564B68" w14:textId="77777777" w:rsidR="000F4788" w:rsidRPr="00945D21" w:rsidRDefault="000F4788" w:rsidP="00F70653">
                            <w:pPr>
                              <w:pStyle w:val="ListParagraph"/>
                              <w:ind w:left="360"/>
                            </w:pPr>
                          </w:p>
                          <w:p w14:paraId="3197B584" w14:textId="77777777" w:rsidR="000F4788" w:rsidRPr="00945D21" w:rsidRDefault="000F4788" w:rsidP="00F70653">
                            <w:pPr>
                              <w:pStyle w:val="ListParagraph"/>
                              <w:widowControl/>
                              <w:numPr>
                                <w:ilvl w:val="0"/>
                                <w:numId w:val="14"/>
                              </w:numPr>
                              <w:autoSpaceDE/>
                              <w:autoSpaceDN/>
                              <w:adjustRightInd/>
                              <w:spacing w:after="200"/>
                            </w:pPr>
                            <w:r w:rsidRPr="00945D21">
                              <w:t xml:space="preserve">The intended use of this data is to help develop technical assistance guidance and identify partner successes associated with DASH’s funding opportunity announcement </w:t>
                            </w:r>
                            <w:r w:rsidRPr="00945D21">
                              <w:rPr>
                                <w:i/>
                              </w:rPr>
                              <w:t>Promoting Adolescent Health through School-Based HIV/STD Prevention and School-Based</w:t>
                            </w:r>
                            <w:r w:rsidRPr="00945D21">
                              <w:t xml:space="preserve"> </w:t>
                            </w:r>
                            <w:r w:rsidRPr="00945D21">
                              <w:rPr>
                                <w:i/>
                              </w:rPr>
                              <w:t>Surveillance.</w:t>
                            </w:r>
                            <w:r w:rsidRPr="00945D21">
                              <w:t xml:space="preserve"> Specifically, it will be used to generate reports that demonstrate partners’ achievement of process and performance measures that are specified in the funding opportunity announcement. </w:t>
                            </w:r>
                          </w:p>
                          <w:p w14:paraId="241B4F8A" w14:textId="77777777" w:rsidR="000F4788" w:rsidRPr="00945D21" w:rsidRDefault="000F4788" w:rsidP="00F70653">
                            <w:pPr>
                              <w:pStyle w:val="ListParagraph"/>
                              <w:spacing w:after="200"/>
                              <w:ind w:left="360"/>
                            </w:pPr>
                          </w:p>
                          <w:p w14:paraId="46C718A8" w14:textId="595DAE95" w:rsidR="000F4788" w:rsidRPr="00945D21" w:rsidRDefault="000F4788" w:rsidP="00F70653">
                            <w:pPr>
                              <w:pStyle w:val="ListParagraph"/>
                              <w:widowControl/>
                              <w:numPr>
                                <w:ilvl w:val="0"/>
                                <w:numId w:val="13"/>
                              </w:numPr>
                              <w:autoSpaceDE/>
                              <w:autoSpaceDN/>
                              <w:adjustRightInd/>
                              <w:spacing w:after="200"/>
                            </w:pPr>
                            <w:r w:rsidRPr="00945D21">
                              <w:t>The method that will be used for data collection is a web-based instrument, allowing respondents to complete and submit their responses electronically.</w:t>
                            </w:r>
                            <w:r>
                              <w:t xml:space="preserve"> The surveys that partners complete primarily includes quantitative (e.g., yes/no, select all options that apply) survey questions with a few short-answer questions. </w:t>
                            </w:r>
                          </w:p>
                          <w:p w14:paraId="5F09AF5C" w14:textId="77777777" w:rsidR="000F4788" w:rsidRPr="00945D21" w:rsidRDefault="000F4788" w:rsidP="00F70653">
                            <w:pPr>
                              <w:pStyle w:val="ListParagraph"/>
                              <w:spacing w:after="200"/>
                              <w:ind w:left="360"/>
                            </w:pPr>
                          </w:p>
                          <w:p w14:paraId="11993D75" w14:textId="77777777" w:rsidR="000F4788" w:rsidRPr="00945D21" w:rsidRDefault="000F4788" w:rsidP="00F70653">
                            <w:pPr>
                              <w:pStyle w:val="ListParagraph"/>
                              <w:widowControl/>
                              <w:numPr>
                                <w:ilvl w:val="0"/>
                                <w:numId w:val="13"/>
                              </w:numPr>
                              <w:autoSpaceDE/>
                              <w:autoSpaceDN/>
                              <w:adjustRightInd/>
                              <w:spacing w:after="200"/>
                            </w:pPr>
                            <w:r w:rsidRPr="00945D21">
                              <w:t xml:space="preserve">The subpopulation to be studied are state and local education agencies funded through DASH’s funding opportunity announcement </w:t>
                            </w:r>
                            <w:r w:rsidRPr="00945D21">
                              <w:rPr>
                                <w:i/>
                              </w:rPr>
                              <w:t>Promoting Adolescent Health through School-Based HIV/STD Prevention and School-Based</w:t>
                            </w:r>
                            <w:r w:rsidRPr="00945D21">
                              <w:t xml:space="preserve"> </w:t>
                            </w:r>
                            <w:r w:rsidRPr="00945D21">
                              <w:rPr>
                                <w:i/>
                              </w:rPr>
                              <w:t xml:space="preserve">Surveillance. </w:t>
                            </w:r>
                          </w:p>
                          <w:p w14:paraId="3ED76D99" w14:textId="77777777" w:rsidR="000F4788" w:rsidRPr="00945D21" w:rsidRDefault="000F4788" w:rsidP="00F70653">
                            <w:pPr>
                              <w:pStyle w:val="ListParagraph"/>
                              <w:ind w:left="360"/>
                            </w:pPr>
                          </w:p>
                          <w:p w14:paraId="699453FB" w14:textId="77777777" w:rsidR="000F4788" w:rsidRPr="00945D21" w:rsidRDefault="000F4788" w:rsidP="00F70653">
                            <w:pPr>
                              <w:pStyle w:val="ListParagraph"/>
                              <w:widowControl/>
                              <w:numPr>
                                <w:ilvl w:val="0"/>
                                <w:numId w:val="13"/>
                              </w:numPr>
                              <w:autoSpaceDE/>
                              <w:autoSpaceDN/>
                              <w:adjustRightInd/>
                              <w:spacing w:after="200"/>
                            </w:pPr>
                            <w:r w:rsidRPr="00945D21">
                              <w:t xml:space="preserve">Data analysis will be conducted by SAS and SQL using univariate statistics.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">
                <v:textbox>
                  <w:txbxContent>
                    <w:p w14:paraId="2DB30868" w14:textId="77777777" w:rsidR="000F4788" w:rsidRPr="00945D21" w:rsidRDefault="000F4788" w:rsidP="00700138">
                      <w:pPr>
                        <w:pStyle w:val="ListParagraph"/>
                        <w:widowControl/>
                        <w:numPr>
                          <w:ilvl w:val="0"/>
                          <w:numId w:val="14"/>
                        </w:numPr>
                        <w:tabs>
                          <w:tab w:val="right" w:pos="9360"/>
                        </w:tabs>
                        <w:autoSpaceDE/>
                        <w:autoSpaceDN/>
                        <w:adjustRightInd/>
                      </w:pPr>
                      <w:r w:rsidRPr="00945D21">
                        <w:t xml:space="preserve">The purpose of this data collection is to gather information from funded partners to monitor their progress towards achieving the goals of DASH’s funding opportunity announcement </w:t>
                      </w:r>
                      <w:r w:rsidRPr="00945D21">
                        <w:rPr>
                          <w:i/>
                        </w:rPr>
                        <w:t>Promoting Adolescent Health through School-Based HIV/STD Prevention and School-Based</w:t>
                      </w:r>
                      <w:r w:rsidRPr="00945D21">
                        <w:t xml:space="preserve"> </w:t>
                      </w:r>
                      <w:r w:rsidRPr="00945D21">
                        <w:rPr>
                          <w:i/>
                        </w:rPr>
                        <w:t>Surveillance.</w:t>
                      </w:r>
                    </w:p>
                    <w:p w14:paraId="48564B68" w14:textId="77777777" w:rsidR="000F4788" w:rsidRPr="00945D21" w:rsidRDefault="000F4788" w:rsidP="00F70653">
                      <w:pPr>
                        <w:pStyle w:val="ListParagraph"/>
                        <w:ind w:left="360"/>
                      </w:pPr>
                    </w:p>
                    <w:p w14:paraId="3197B584" w14:textId="77777777" w:rsidR="000F4788" w:rsidRPr="00945D21" w:rsidRDefault="000F4788" w:rsidP="00F70653">
                      <w:pPr>
                        <w:pStyle w:val="ListParagraph"/>
                        <w:widowControl/>
                        <w:numPr>
                          <w:ilvl w:val="0"/>
                          <w:numId w:val="14"/>
                        </w:numPr>
                        <w:autoSpaceDE/>
                        <w:autoSpaceDN/>
                        <w:adjustRightInd/>
                        <w:spacing w:after="200"/>
                      </w:pPr>
                      <w:r w:rsidRPr="00945D21">
                        <w:t xml:space="preserve">The intended use of this data is to help develop technical assistance guidance and identify partner successes associated with DASH’s funding opportunity announcement </w:t>
                      </w:r>
                      <w:r w:rsidRPr="00945D21">
                        <w:rPr>
                          <w:i/>
                        </w:rPr>
                        <w:t>Promoting Adolescent Health through School-Based HIV/STD Prevention and School-Based</w:t>
                      </w:r>
                      <w:r w:rsidRPr="00945D21">
                        <w:t xml:space="preserve"> </w:t>
                      </w:r>
                      <w:r w:rsidRPr="00945D21">
                        <w:rPr>
                          <w:i/>
                        </w:rPr>
                        <w:t>Surveillance.</w:t>
                      </w:r>
                      <w:r w:rsidRPr="00945D21">
                        <w:t xml:space="preserve"> Specifically, it will be used to generate reports that demonstrate partners’ achievement of process and performance measures that are specified in the funding opportunity announcement. </w:t>
                      </w:r>
                    </w:p>
                    <w:p w14:paraId="241B4F8A" w14:textId="77777777" w:rsidR="000F4788" w:rsidRPr="00945D21" w:rsidRDefault="000F4788" w:rsidP="00F70653">
                      <w:pPr>
                        <w:pStyle w:val="ListParagraph"/>
                        <w:spacing w:after="200"/>
                        <w:ind w:left="360"/>
                      </w:pPr>
                    </w:p>
                    <w:p w14:paraId="46C718A8" w14:textId="595DAE95" w:rsidR="000F4788" w:rsidRPr="00945D21" w:rsidRDefault="000F4788" w:rsidP="00F70653">
                      <w:pPr>
                        <w:pStyle w:val="ListParagraph"/>
                        <w:widowControl/>
                        <w:numPr>
                          <w:ilvl w:val="0"/>
                          <w:numId w:val="13"/>
                        </w:numPr>
                        <w:autoSpaceDE/>
                        <w:autoSpaceDN/>
                        <w:adjustRightInd/>
                        <w:spacing w:after="200"/>
                      </w:pPr>
                      <w:r w:rsidRPr="00945D21">
                        <w:t>The method that will be used for data collection is a web-based instrument, allowing respondents to complete and submit their responses electronically.</w:t>
                      </w:r>
                      <w:r>
                        <w:t xml:space="preserve"> The surveys that partners complete primarily includes quantitative (e.g., yes/no, select all options that apply) survey questions with a few short-answer questions. </w:t>
                      </w:r>
                    </w:p>
                    <w:p w14:paraId="5F09AF5C" w14:textId="77777777" w:rsidR="000F4788" w:rsidRPr="00945D21" w:rsidRDefault="000F4788" w:rsidP="00F70653">
                      <w:pPr>
                        <w:pStyle w:val="ListParagraph"/>
                        <w:spacing w:after="200"/>
                        <w:ind w:left="360"/>
                      </w:pPr>
                    </w:p>
                    <w:p w14:paraId="11993D75" w14:textId="77777777" w:rsidR="000F4788" w:rsidRPr="00945D21" w:rsidRDefault="000F4788" w:rsidP="00F70653">
                      <w:pPr>
                        <w:pStyle w:val="ListParagraph"/>
                        <w:widowControl/>
                        <w:numPr>
                          <w:ilvl w:val="0"/>
                          <w:numId w:val="13"/>
                        </w:numPr>
                        <w:autoSpaceDE/>
                        <w:autoSpaceDN/>
                        <w:adjustRightInd/>
                        <w:spacing w:after="200"/>
                      </w:pPr>
                      <w:r w:rsidRPr="00945D21">
                        <w:t xml:space="preserve">The subpopulation to be studied are state and local education agencies funded through DASH’s funding opportunity announcement </w:t>
                      </w:r>
                      <w:r w:rsidRPr="00945D21">
                        <w:rPr>
                          <w:i/>
                        </w:rPr>
                        <w:t>Promoting Adolescent Health through School-Based HIV/STD Prevention and School-Based</w:t>
                      </w:r>
                      <w:r w:rsidRPr="00945D21">
                        <w:t xml:space="preserve"> </w:t>
                      </w:r>
                      <w:r w:rsidRPr="00945D21">
                        <w:rPr>
                          <w:i/>
                        </w:rPr>
                        <w:t xml:space="preserve">Surveillance. </w:t>
                      </w:r>
                    </w:p>
                    <w:p w14:paraId="3ED76D99" w14:textId="77777777" w:rsidR="000F4788" w:rsidRPr="00945D21" w:rsidRDefault="000F4788" w:rsidP="00F70653">
                      <w:pPr>
                        <w:pStyle w:val="ListParagraph"/>
                        <w:ind w:left="360"/>
                      </w:pPr>
                    </w:p>
                    <w:p w14:paraId="699453FB" w14:textId="77777777" w:rsidR="000F4788" w:rsidRPr="00945D21" w:rsidRDefault="000F4788" w:rsidP="00F70653">
                      <w:pPr>
                        <w:pStyle w:val="ListParagraph"/>
                        <w:widowControl/>
                        <w:numPr>
                          <w:ilvl w:val="0"/>
                          <w:numId w:val="13"/>
                        </w:numPr>
                        <w:autoSpaceDE/>
                        <w:autoSpaceDN/>
                        <w:adjustRightInd/>
                        <w:spacing w:after="200"/>
                      </w:pPr>
                      <w:r w:rsidRPr="00945D21">
                        <w:t xml:space="preserve">Data analysis will be conducted by SAS and SQL using univariate statistics. </w:t>
                      </w:r>
                    </w:p>
                  </w:txbxContent>
                </v:textbox>
                <w10:anchorlock/>
              </v:shape>
            </w:pict>
          </mc:Fallback>
        </mc:AlternateContent>
      </w:r>
      <w:bookmarkEnd w:id="4"/>
      <w:bookmarkEnd w:id="5"/>
    </w:p>
    <w:p w14:paraId="74839F9D" w14:textId="77777777" w:rsidR="00F70653" w:rsidRDefault="00F70653">
      <w:pPr>
        <w:widowControl/>
        <w:autoSpaceDE/>
        <w:autoSpaceDN/>
        <w:adjustRightInd/>
        <w:spacing w:line="240" w:lineRule="auto"/>
        <w:rPr>
          <w:rFonts w:ascii="Garamond" w:hAnsi="Garamond"/>
          <w:b/>
        </w:rPr>
      </w:pPr>
    </w:p>
    <w:p w14:paraId="788F503B" w14:textId="77777777" w:rsidR="00F70653" w:rsidRDefault="00F70653">
      <w:pPr>
        <w:widowControl/>
        <w:autoSpaceDE/>
        <w:autoSpaceDN/>
        <w:adjustRightInd/>
        <w:spacing w:line="240" w:lineRule="auto"/>
        <w:rPr>
          <w:rFonts w:ascii="Garamond" w:hAnsi="Garamond"/>
          <w:b/>
        </w:rPr>
      </w:pPr>
    </w:p>
    <w:bookmarkEnd w:id="1"/>
    <w:bookmarkEnd w:id="2"/>
    <w:bookmarkEnd w:id="3"/>
    <w:p w14:paraId="1A690B9D" w14:textId="44002610" w:rsidR="008053E1" w:rsidRPr="008053E1" w:rsidRDefault="008053E1" w:rsidP="000F4788">
      <w:pPr>
        <w:pStyle w:val="Body"/>
        <w:rPr>
          <w:rFonts w:ascii="Garamond" w:hAnsi="Garamond"/>
          <w:b/>
        </w:rPr>
      </w:pPr>
      <w:r w:rsidRPr="008053E1">
        <w:rPr>
          <w:rFonts w:ascii="Garamond" w:hAnsi="Garamond"/>
          <w:b/>
        </w:rPr>
        <w:t>A. Justification</w:t>
      </w:r>
    </w:p>
    <w:p w14:paraId="4AEF4619" w14:textId="77777777" w:rsidR="008053E1" w:rsidRPr="008053E1" w:rsidRDefault="008053E1" w:rsidP="008053E1">
      <w:pPr>
        <w:pStyle w:val="Body"/>
        <w:rPr>
          <w:rFonts w:ascii="Garamond" w:hAnsi="Garamond"/>
          <w:b/>
        </w:rPr>
      </w:pPr>
    </w:p>
    <w:p w14:paraId="58611289" w14:textId="123C25CF" w:rsidR="008053E1" w:rsidRPr="00062334" w:rsidRDefault="008053E1" w:rsidP="000F4788">
      <w:pPr>
        <w:pStyle w:val="Body"/>
        <w:numPr>
          <w:ilvl w:val="0"/>
          <w:numId w:val="15"/>
        </w:numPr>
        <w:rPr>
          <w:rFonts w:ascii="Garamond" w:hAnsi="Garamond"/>
        </w:rPr>
      </w:pPr>
      <w:bookmarkStart w:id="6" w:name="_Toc383603847"/>
      <w:r w:rsidRPr="000F4788">
        <w:rPr>
          <w:rFonts w:ascii="Garamond" w:hAnsi="Garamond"/>
          <w:b/>
        </w:rPr>
        <w:t>Circumstances Making the Collection of Information Necessary</w:t>
      </w:r>
      <w:bookmarkEnd w:id="6"/>
    </w:p>
    <w:p w14:paraId="56247D1C" w14:textId="6B00F6B1" w:rsidR="00082D49" w:rsidRPr="00330E3E" w:rsidRDefault="00554729" w:rsidP="00036B1E">
      <w:pPr>
        <w:pStyle w:val="Body"/>
        <w:rPr>
          <w:rFonts w:ascii="Garamond" w:hAnsi="Garamond"/>
          <w:u w:val="single"/>
        </w:rPr>
      </w:pPr>
      <w:r w:rsidRPr="00330E3E">
        <w:rPr>
          <w:rFonts w:ascii="Garamond" w:hAnsi="Garamond"/>
          <w:u w:val="single"/>
        </w:rPr>
        <w:t>Background</w:t>
      </w:r>
    </w:p>
    <w:p w14:paraId="50E08B90" w14:textId="1EEC6D15" w:rsidR="001D0212" w:rsidRPr="00330E3E" w:rsidRDefault="00330E3E" w:rsidP="000F4788">
      <w:pPr>
        <w:rPr>
          <w:rFonts w:ascii="Garamond" w:eastAsia="Calibri" w:hAnsi="Garamond"/>
          <w:color w:val="000000"/>
        </w:rPr>
      </w:pPr>
      <w:r w:rsidRPr="00330E3E">
        <w:rPr>
          <w:rFonts w:ascii="Garamond" w:hAnsi="Garamond"/>
        </w:rPr>
        <w:t xml:space="preserve">The Centers for Disease Control and Prevention (CDC) requests a </w:t>
      </w:r>
      <w:r w:rsidR="00855D80">
        <w:rPr>
          <w:rFonts w:ascii="Garamond" w:hAnsi="Garamond"/>
        </w:rPr>
        <w:t>1</w:t>
      </w:r>
      <w:r>
        <w:rPr>
          <w:rFonts w:ascii="Garamond" w:hAnsi="Garamond"/>
        </w:rPr>
        <w:t>-</w:t>
      </w:r>
      <w:r w:rsidRPr="00330E3E">
        <w:rPr>
          <w:rFonts w:ascii="Garamond" w:hAnsi="Garamond"/>
        </w:rPr>
        <w:t xml:space="preserve">year OMB approval to </w:t>
      </w:r>
      <w:r w:rsidR="00F70653">
        <w:rPr>
          <w:rFonts w:ascii="Garamond" w:hAnsi="Garamond"/>
        </w:rPr>
        <w:t>extend</w:t>
      </w:r>
      <w:r w:rsidR="00F70653" w:rsidRPr="00330E3E">
        <w:rPr>
          <w:rFonts w:ascii="Garamond" w:hAnsi="Garamond"/>
        </w:rPr>
        <w:t xml:space="preserve"> </w:t>
      </w:r>
      <w:r w:rsidR="008053E1">
        <w:rPr>
          <w:rFonts w:ascii="Garamond" w:hAnsi="Garamond"/>
        </w:rPr>
        <w:t>the</w:t>
      </w:r>
      <w:r w:rsidR="00127211">
        <w:rPr>
          <w:rFonts w:ascii="Garamond" w:hAnsi="Garamond"/>
        </w:rPr>
        <w:t xml:space="preserve"> currently</w:t>
      </w:r>
      <w:r w:rsidR="00F70653">
        <w:rPr>
          <w:rFonts w:ascii="Garamond" w:hAnsi="Garamond"/>
        </w:rPr>
        <w:t xml:space="preserve"> approved </w:t>
      </w:r>
      <w:r w:rsidRPr="00330E3E">
        <w:rPr>
          <w:rFonts w:ascii="Garamond" w:hAnsi="Garamond"/>
        </w:rPr>
        <w:t>information collection entitled</w:t>
      </w:r>
      <w:r>
        <w:rPr>
          <w:rFonts w:ascii="Garamond" w:hAnsi="Garamond"/>
        </w:rPr>
        <w:t>, “</w:t>
      </w:r>
      <w:r w:rsidRPr="00330E3E">
        <w:rPr>
          <w:rFonts w:ascii="Garamond" w:hAnsi="Garamond"/>
          <w:bCs/>
          <w:iCs/>
        </w:rPr>
        <w:t>Promoting Adolescent Health Through School-Based HIV/STD Prevention</w:t>
      </w:r>
      <w:r>
        <w:rPr>
          <w:rFonts w:ascii="Garamond" w:hAnsi="Garamond"/>
          <w:bCs/>
          <w:iCs/>
        </w:rPr>
        <w:t>”</w:t>
      </w:r>
      <w:r w:rsidR="008053E1">
        <w:rPr>
          <w:rFonts w:ascii="Garamond" w:hAnsi="Garamond"/>
          <w:bCs/>
          <w:iCs/>
        </w:rPr>
        <w:t xml:space="preserve"> (Expires 2/28/2018)</w:t>
      </w:r>
      <w:r>
        <w:rPr>
          <w:rFonts w:ascii="Garamond" w:hAnsi="Garamond"/>
          <w:bCs/>
          <w:iCs/>
        </w:rPr>
        <w:t>.</w:t>
      </w:r>
      <w:r w:rsidR="00CD3F81" w:rsidRPr="00CD3F81">
        <w:t xml:space="preserve"> </w:t>
      </w:r>
      <w:r w:rsidR="00CD3F81">
        <w:t xml:space="preserve">The information collection system uses Web-based questionnaires to collect, organize, and track DASH funded agency activities conducted under CDC funding opportunity announcement PS13-1308 entitled </w:t>
      </w:r>
      <w:r w:rsidR="00CD3F81" w:rsidRPr="00330E3E">
        <w:rPr>
          <w:rFonts w:ascii="Garamond" w:hAnsi="Garamond"/>
          <w:i/>
        </w:rPr>
        <w:t>Promoting Adolescent Health through School-Based HIV/STD Prevention and School-Based</w:t>
      </w:r>
      <w:r w:rsidR="00CD3F81" w:rsidRPr="00330E3E">
        <w:rPr>
          <w:rFonts w:ascii="Garamond" w:hAnsi="Garamond"/>
        </w:rPr>
        <w:t xml:space="preserve"> </w:t>
      </w:r>
      <w:r w:rsidR="00CD3F81" w:rsidRPr="00330E3E">
        <w:rPr>
          <w:rFonts w:ascii="Garamond" w:hAnsi="Garamond"/>
          <w:i/>
        </w:rPr>
        <w:t>Surveillanc</w:t>
      </w:r>
      <w:r w:rsidR="00CD3F81">
        <w:rPr>
          <w:rFonts w:ascii="Garamond" w:hAnsi="Garamond"/>
          <w:i/>
        </w:rPr>
        <w:t xml:space="preserve">e. </w:t>
      </w:r>
      <w:r w:rsidR="00CD3F81" w:rsidRPr="00CD5F82">
        <w:rPr>
          <w:rFonts w:ascii="Garamond" w:hAnsi="Garamond"/>
        </w:rPr>
        <w:t>The activities being tracked</w:t>
      </w:r>
      <w:r w:rsidR="00CD3F81">
        <w:rPr>
          <w:rFonts w:ascii="Garamond" w:hAnsi="Garamond"/>
        </w:rPr>
        <w:t xml:space="preserve"> support the achievement of process and performance measures established in the funding opportunity announcement</w:t>
      </w:r>
      <w:r w:rsidR="004B2C21">
        <w:rPr>
          <w:rFonts w:ascii="Garamond" w:hAnsi="Garamond"/>
        </w:rPr>
        <w:t xml:space="preserve">. </w:t>
      </w:r>
      <w:r w:rsidR="00082C63" w:rsidRPr="00330E3E">
        <w:rPr>
          <w:rFonts w:ascii="Garamond" w:hAnsi="Garamond"/>
        </w:rPr>
        <w:t xml:space="preserve">The system </w:t>
      </w:r>
      <w:r w:rsidR="005F6A97">
        <w:rPr>
          <w:rFonts w:ascii="Garamond" w:hAnsi="Garamond"/>
        </w:rPr>
        <w:t xml:space="preserve">laid out in this ICR </w:t>
      </w:r>
      <w:r w:rsidR="00082C63" w:rsidRPr="00330E3E">
        <w:rPr>
          <w:rFonts w:ascii="Garamond" w:hAnsi="Garamond"/>
        </w:rPr>
        <w:t xml:space="preserve">will </w:t>
      </w:r>
      <w:r w:rsidR="00082C63" w:rsidRPr="00330E3E">
        <w:rPr>
          <w:rFonts w:ascii="Garamond" w:eastAsia="Calibri" w:hAnsi="Garamond"/>
          <w:color w:val="000000"/>
        </w:rPr>
        <w:t xml:space="preserve">provide access to data and reports for </w:t>
      </w:r>
      <w:r w:rsidR="00082C63" w:rsidRPr="00330E3E">
        <w:rPr>
          <w:rFonts w:ascii="Garamond" w:hAnsi="Garamond"/>
        </w:rPr>
        <w:t xml:space="preserve">DASH </w:t>
      </w:r>
      <w:r w:rsidR="00082C63" w:rsidRPr="00330E3E">
        <w:rPr>
          <w:rFonts w:ascii="Garamond" w:eastAsia="Calibri" w:hAnsi="Garamond"/>
          <w:color w:val="000000"/>
        </w:rPr>
        <w:t xml:space="preserve">and its </w:t>
      </w:r>
      <w:r w:rsidR="00A65E0D" w:rsidRPr="00330E3E">
        <w:rPr>
          <w:rFonts w:ascii="Garamond" w:eastAsia="Calibri" w:hAnsi="Garamond"/>
          <w:color w:val="000000"/>
        </w:rPr>
        <w:t>funded agencies</w:t>
      </w:r>
      <w:r w:rsidR="00082C63" w:rsidRPr="00330E3E">
        <w:rPr>
          <w:rFonts w:ascii="Garamond" w:eastAsia="Calibri" w:hAnsi="Garamond"/>
          <w:color w:val="000000"/>
        </w:rPr>
        <w:t xml:space="preserve">, which allows </w:t>
      </w:r>
      <w:r w:rsidR="00F30178" w:rsidRPr="00330E3E">
        <w:rPr>
          <w:rFonts w:ascii="Garamond" w:eastAsia="Calibri" w:hAnsi="Garamond"/>
          <w:color w:val="000000"/>
        </w:rPr>
        <w:t>areas for</w:t>
      </w:r>
      <w:r w:rsidR="00084BB8" w:rsidRPr="00330E3E">
        <w:rPr>
          <w:rFonts w:ascii="Garamond" w:eastAsia="Calibri" w:hAnsi="Garamond"/>
          <w:color w:val="000000"/>
        </w:rPr>
        <w:t xml:space="preserve"> program</w:t>
      </w:r>
      <w:r w:rsidR="00F30178" w:rsidRPr="00330E3E">
        <w:rPr>
          <w:rFonts w:ascii="Garamond" w:eastAsia="Calibri" w:hAnsi="Garamond"/>
          <w:color w:val="000000"/>
        </w:rPr>
        <w:t xml:space="preserve"> improvement</w:t>
      </w:r>
      <w:r w:rsidR="00082C63" w:rsidRPr="00330E3E">
        <w:rPr>
          <w:rFonts w:ascii="Garamond" w:eastAsia="Calibri" w:hAnsi="Garamond"/>
          <w:color w:val="000000"/>
        </w:rPr>
        <w:t xml:space="preserve"> to be identified </w:t>
      </w:r>
      <w:r w:rsidR="0011144B" w:rsidRPr="00330E3E">
        <w:rPr>
          <w:rFonts w:ascii="Garamond" w:eastAsia="Calibri" w:hAnsi="Garamond"/>
          <w:color w:val="000000"/>
        </w:rPr>
        <w:t xml:space="preserve">and </w:t>
      </w:r>
      <w:r w:rsidR="00082C63" w:rsidRPr="00330E3E">
        <w:rPr>
          <w:rFonts w:ascii="Garamond" w:eastAsia="Calibri" w:hAnsi="Garamond"/>
          <w:color w:val="000000"/>
        </w:rPr>
        <w:t xml:space="preserve">addressed efficiently.  </w:t>
      </w:r>
      <w:r w:rsidR="009277EF" w:rsidRPr="00330E3E">
        <w:rPr>
          <w:rFonts w:ascii="Garamond" w:hAnsi="Garamond"/>
        </w:rPr>
        <w:t xml:space="preserve">These questionnaires will </w:t>
      </w:r>
      <w:r w:rsidR="009277EF" w:rsidRPr="00330E3E">
        <w:rPr>
          <w:rFonts w:ascii="Garamond" w:eastAsia="Calibri" w:hAnsi="Garamond"/>
          <w:color w:val="000000"/>
        </w:rPr>
        <w:t>include</w:t>
      </w:r>
      <w:r w:rsidR="00A379DD" w:rsidRPr="00330E3E">
        <w:rPr>
          <w:rFonts w:ascii="Garamond" w:eastAsia="Calibri" w:hAnsi="Garamond"/>
          <w:color w:val="000000"/>
        </w:rPr>
        <w:t xml:space="preserve"> </w:t>
      </w:r>
      <w:r w:rsidR="006355ED" w:rsidRPr="00330E3E">
        <w:rPr>
          <w:rFonts w:ascii="Garamond" w:eastAsia="Calibri" w:hAnsi="Garamond"/>
          <w:color w:val="000000"/>
        </w:rPr>
        <w:t>performance and process</w:t>
      </w:r>
      <w:r w:rsidR="007630C5" w:rsidRPr="00330E3E">
        <w:rPr>
          <w:rFonts w:ascii="Garamond" w:eastAsia="Calibri" w:hAnsi="Garamond"/>
          <w:color w:val="000000"/>
        </w:rPr>
        <w:t xml:space="preserve"> measures to be used for </w:t>
      </w:r>
      <w:r w:rsidR="00084BB8" w:rsidRPr="00330E3E">
        <w:rPr>
          <w:rFonts w:ascii="Garamond" w:eastAsia="Calibri" w:hAnsi="Garamond"/>
          <w:color w:val="000000"/>
        </w:rPr>
        <w:t xml:space="preserve">program </w:t>
      </w:r>
      <w:r w:rsidR="00111BD7" w:rsidRPr="00330E3E">
        <w:rPr>
          <w:rFonts w:ascii="Garamond" w:eastAsia="Calibri" w:hAnsi="Garamond"/>
          <w:color w:val="000000"/>
        </w:rPr>
        <w:t>monitoring and</w:t>
      </w:r>
      <w:r w:rsidR="007630C5" w:rsidRPr="00330E3E">
        <w:rPr>
          <w:rFonts w:ascii="Garamond" w:eastAsia="Calibri" w:hAnsi="Garamond"/>
          <w:color w:val="000000"/>
        </w:rPr>
        <w:t xml:space="preserve"> quality improvement for</w:t>
      </w:r>
      <w:r w:rsidR="00473A7A" w:rsidRPr="00330E3E">
        <w:rPr>
          <w:rFonts w:ascii="Garamond" w:eastAsia="Calibri" w:hAnsi="Garamond"/>
          <w:color w:val="000000"/>
        </w:rPr>
        <w:t xml:space="preserve"> HIV/STD prevention</w:t>
      </w:r>
      <w:r w:rsidR="009277EF" w:rsidRPr="00330E3E">
        <w:rPr>
          <w:rFonts w:ascii="Garamond" w:eastAsia="Calibri" w:hAnsi="Garamond"/>
          <w:color w:val="000000"/>
        </w:rPr>
        <w:t xml:space="preserve"> </w:t>
      </w:r>
      <w:r w:rsidR="00AE78A7" w:rsidRPr="00330E3E">
        <w:rPr>
          <w:rFonts w:ascii="Garamond" w:eastAsia="Calibri" w:hAnsi="Garamond"/>
          <w:color w:val="000000"/>
        </w:rPr>
        <w:t>activities</w:t>
      </w:r>
      <w:r w:rsidR="00A379DD" w:rsidRPr="00330E3E">
        <w:rPr>
          <w:rFonts w:ascii="Garamond" w:eastAsia="Calibri" w:hAnsi="Garamond"/>
          <w:color w:val="000000"/>
        </w:rPr>
        <w:t xml:space="preserve">. </w:t>
      </w:r>
    </w:p>
    <w:p w14:paraId="5156FED5" w14:textId="77777777" w:rsidR="006355ED" w:rsidRPr="00330E3E" w:rsidRDefault="006355ED" w:rsidP="00992B44">
      <w:pPr>
        <w:ind w:firstLine="720"/>
        <w:rPr>
          <w:rFonts w:ascii="Garamond" w:hAnsi="Garamond"/>
        </w:rPr>
      </w:pPr>
    </w:p>
    <w:p w14:paraId="117B2452" w14:textId="77777777" w:rsidR="00AD3135" w:rsidRPr="00330E3E" w:rsidRDefault="00687A84" w:rsidP="000F4788">
      <w:pPr>
        <w:rPr>
          <w:rFonts w:ascii="Garamond" w:eastAsia="Calibri" w:hAnsi="Garamond"/>
          <w:color w:val="000000"/>
        </w:rPr>
      </w:pPr>
      <w:r w:rsidRPr="00330E3E">
        <w:rPr>
          <w:rFonts w:ascii="Garamond" w:hAnsi="Garamond"/>
        </w:rPr>
        <w:t xml:space="preserve">As part of the </w:t>
      </w:r>
      <w:r w:rsidR="0097707D" w:rsidRPr="00330E3E">
        <w:rPr>
          <w:rFonts w:ascii="Garamond" w:hAnsi="Garamond"/>
        </w:rPr>
        <w:t xml:space="preserve">CDC </w:t>
      </w:r>
      <w:r w:rsidR="00F8056F" w:rsidRPr="00330E3E">
        <w:rPr>
          <w:rFonts w:ascii="Garamond" w:hAnsi="Garamond"/>
        </w:rPr>
        <w:t>National Center for HIV/AIDS, Viral Hepatitis, STD, and TB Prevention (NCHHSTP)</w:t>
      </w:r>
      <w:r w:rsidRPr="00330E3E">
        <w:rPr>
          <w:rFonts w:ascii="Garamond" w:hAnsi="Garamond"/>
        </w:rPr>
        <w:t xml:space="preserve">, DASH awarded funds to implement PS13-1308: </w:t>
      </w:r>
      <w:r w:rsidRPr="00330E3E">
        <w:rPr>
          <w:rFonts w:ascii="Garamond" w:hAnsi="Garamond"/>
          <w:i/>
        </w:rPr>
        <w:t>Promoting Adolescent Health through School-Based HIV/STD Prevention and School-Based</w:t>
      </w:r>
      <w:r w:rsidRPr="00330E3E">
        <w:rPr>
          <w:rFonts w:ascii="Garamond" w:hAnsi="Garamond"/>
        </w:rPr>
        <w:t xml:space="preserve"> </w:t>
      </w:r>
      <w:r w:rsidRPr="00330E3E">
        <w:rPr>
          <w:rFonts w:ascii="Garamond" w:hAnsi="Garamond"/>
          <w:i/>
        </w:rPr>
        <w:t>Surveillance</w:t>
      </w:r>
      <w:r w:rsidRPr="00330E3E">
        <w:rPr>
          <w:rFonts w:ascii="Garamond" w:hAnsi="Garamond"/>
        </w:rPr>
        <w:t xml:space="preserve"> in order t</w:t>
      </w:r>
      <w:r w:rsidR="00F72409" w:rsidRPr="00330E3E">
        <w:rPr>
          <w:rFonts w:ascii="Garamond" w:hAnsi="Garamond"/>
        </w:rPr>
        <w:t>o build the capacity of state and local agencies and support the efforts of national, non-governmental organizations (NGO</w:t>
      </w:r>
      <w:r w:rsidR="006355ED" w:rsidRPr="00330E3E">
        <w:rPr>
          <w:rFonts w:ascii="Garamond" w:hAnsi="Garamond"/>
        </w:rPr>
        <w:t>s</w:t>
      </w:r>
      <w:r w:rsidR="00F72409" w:rsidRPr="00330E3E">
        <w:rPr>
          <w:rFonts w:ascii="Garamond" w:hAnsi="Garamond"/>
        </w:rPr>
        <w:t xml:space="preserve">) to help </w:t>
      </w:r>
      <w:r w:rsidR="002F4AC3" w:rsidRPr="00330E3E">
        <w:rPr>
          <w:rFonts w:ascii="Garamond" w:hAnsi="Garamond"/>
        </w:rPr>
        <w:t xml:space="preserve">priority </w:t>
      </w:r>
      <w:r w:rsidR="00F72409" w:rsidRPr="00330E3E">
        <w:rPr>
          <w:rFonts w:ascii="Garamond" w:hAnsi="Garamond"/>
        </w:rPr>
        <w:t>school districts (districts) and schools develop and implement sustainable adolescent-focused program activities. The project period is 5 years and began in August 2013.</w:t>
      </w:r>
      <w:r w:rsidR="006355ED" w:rsidRPr="00330E3E">
        <w:rPr>
          <w:rFonts w:ascii="Garamond" w:hAnsi="Garamond"/>
        </w:rPr>
        <w:t xml:space="preserve">  </w:t>
      </w:r>
      <w:r w:rsidR="00981567" w:rsidRPr="00330E3E">
        <w:rPr>
          <w:rFonts w:ascii="Garamond" w:eastAsia="Calibri" w:hAnsi="Garamond"/>
          <w:color w:val="000000"/>
        </w:rPr>
        <w:t xml:space="preserve"> </w:t>
      </w:r>
      <w:r w:rsidR="009D5BD5" w:rsidRPr="00330E3E">
        <w:rPr>
          <w:rFonts w:ascii="Garamond" w:eastAsia="Calibri" w:hAnsi="Garamond"/>
          <w:color w:val="000000"/>
        </w:rPr>
        <w:t xml:space="preserve"> </w:t>
      </w:r>
    </w:p>
    <w:p w14:paraId="3C2D29B1" w14:textId="77777777" w:rsidR="006355ED" w:rsidRPr="00330E3E" w:rsidRDefault="006355ED" w:rsidP="009D5BD5">
      <w:pPr>
        <w:ind w:firstLine="720"/>
        <w:rPr>
          <w:rFonts w:ascii="Garamond" w:hAnsi="Garamond"/>
        </w:rPr>
      </w:pPr>
    </w:p>
    <w:p w14:paraId="2BA54537" w14:textId="77777777" w:rsidR="00687A84" w:rsidRPr="00330E3E" w:rsidRDefault="009277EF" w:rsidP="000F4788">
      <w:pPr>
        <w:rPr>
          <w:rFonts w:ascii="Garamond" w:hAnsi="Garamond"/>
        </w:rPr>
      </w:pPr>
      <w:r w:rsidRPr="00330E3E">
        <w:rPr>
          <w:rFonts w:ascii="Garamond" w:hAnsi="Garamond"/>
        </w:rPr>
        <w:t xml:space="preserve">The primary purpose of </w:t>
      </w:r>
      <w:r w:rsidR="00AD3135" w:rsidRPr="00330E3E">
        <w:rPr>
          <w:rFonts w:ascii="Garamond" w:hAnsi="Garamond"/>
        </w:rPr>
        <w:t>PS-13-1308</w:t>
      </w:r>
      <w:r w:rsidRPr="00330E3E">
        <w:rPr>
          <w:rFonts w:ascii="Garamond" w:hAnsi="Garamond"/>
        </w:rPr>
        <w:t xml:space="preserve"> is to build the capacity of districts and schools to effectively contribute to the reduction of HIV infection and other STD among adolescents; the reduction of disparities in HIV infection and other STD experienced by specific adolescent sub-populations; and the conducting of school-based surveillance</w:t>
      </w:r>
      <w:r w:rsidR="006910AF" w:rsidRPr="00330E3E">
        <w:rPr>
          <w:rFonts w:ascii="Garamond" w:hAnsi="Garamond"/>
        </w:rPr>
        <w:t xml:space="preserve">, a component not included in this data collection for </w:t>
      </w:r>
      <w:r w:rsidR="00111BD7">
        <w:rPr>
          <w:rFonts w:ascii="Garamond" w:hAnsi="Garamond"/>
        </w:rPr>
        <w:t>program monitoring</w:t>
      </w:r>
      <w:r w:rsidRPr="00330E3E">
        <w:rPr>
          <w:rFonts w:ascii="Garamond" w:hAnsi="Garamond"/>
        </w:rPr>
        <w:t>. Program activities are expected to reinforce efforts to reduce teen pregnancy rates, due to the shared risk factors for, and intervention activities to address, HIV infection,</w:t>
      </w:r>
      <w:r w:rsidR="009D5BD5" w:rsidRPr="00330E3E">
        <w:rPr>
          <w:rFonts w:ascii="Garamond" w:hAnsi="Garamond"/>
        </w:rPr>
        <w:t xml:space="preserve"> other STD, and teen pregnancy</w:t>
      </w:r>
      <w:r w:rsidR="00687A84" w:rsidRPr="00330E3E">
        <w:rPr>
          <w:rFonts w:ascii="Garamond" w:hAnsi="Garamond"/>
        </w:rPr>
        <w:t xml:space="preserve"> through f</w:t>
      </w:r>
      <w:r w:rsidR="002C44B9" w:rsidRPr="00330E3E">
        <w:rPr>
          <w:rFonts w:ascii="Garamond" w:hAnsi="Garamond"/>
        </w:rPr>
        <w:t>our strategies.  Only Strategy 2 and 3 apply to this data collection package:</w:t>
      </w:r>
    </w:p>
    <w:p w14:paraId="7E5D279E" w14:textId="77777777" w:rsidR="00181FAC" w:rsidRPr="00330E3E" w:rsidRDefault="00687A84" w:rsidP="0088117D">
      <w:pPr>
        <w:pStyle w:val="ListParagraph"/>
        <w:numPr>
          <w:ilvl w:val="0"/>
          <w:numId w:val="11"/>
        </w:numPr>
        <w:rPr>
          <w:rFonts w:ascii="Garamond" w:hAnsi="Garamond"/>
        </w:rPr>
      </w:pPr>
      <w:r w:rsidRPr="00330E3E">
        <w:rPr>
          <w:rFonts w:ascii="Garamond" w:hAnsi="Garamond"/>
        </w:rPr>
        <w:t>Strategy 1: School-Based Surveillance</w:t>
      </w:r>
    </w:p>
    <w:p w14:paraId="56C5D407" w14:textId="77777777" w:rsidR="00181FAC" w:rsidRPr="00330E3E" w:rsidRDefault="00687A84" w:rsidP="0088117D">
      <w:pPr>
        <w:pStyle w:val="ListParagraph"/>
        <w:numPr>
          <w:ilvl w:val="0"/>
          <w:numId w:val="11"/>
        </w:numPr>
        <w:rPr>
          <w:rFonts w:ascii="Garamond" w:hAnsi="Garamond"/>
        </w:rPr>
      </w:pPr>
      <w:r w:rsidRPr="00330E3E">
        <w:rPr>
          <w:rFonts w:ascii="Garamond" w:hAnsi="Garamond"/>
        </w:rPr>
        <w:t>Strategy 2: School-Based HIV/STD Prevention</w:t>
      </w:r>
    </w:p>
    <w:p w14:paraId="7E6405A7" w14:textId="77777777" w:rsidR="00181FAC" w:rsidRPr="00330E3E" w:rsidRDefault="00687A84" w:rsidP="0088117D">
      <w:pPr>
        <w:pStyle w:val="ListParagraph"/>
        <w:numPr>
          <w:ilvl w:val="0"/>
          <w:numId w:val="11"/>
        </w:numPr>
        <w:rPr>
          <w:rFonts w:ascii="Garamond" w:hAnsi="Garamond"/>
        </w:rPr>
      </w:pPr>
      <w:r w:rsidRPr="00330E3E">
        <w:rPr>
          <w:rFonts w:ascii="Garamond" w:hAnsi="Garamond"/>
        </w:rPr>
        <w:t>Strategy 3: Capacity Building Assistance for School-Based HIV/STD Prevention</w:t>
      </w:r>
    </w:p>
    <w:p w14:paraId="5E39D433" w14:textId="77777777" w:rsidR="00181FAC" w:rsidRPr="00330E3E" w:rsidRDefault="00687A84" w:rsidP="0088117D">
      <w:pPr>
        <w:pStyle w:val="ListParagraph"/>
        <w:numPr>
          <w:ilvl w:val="0"/>
          <w:numId w:val="11"/>
        </w:numPr>
        <w:rPr>
          <w:rFonts w:ascii="Garamond" w:hAnsi="Garamond"/>
        </w:rPr>
      </w:pPr>
      <w:r w:rsidRPr="00330E3E">
        <w:rPr>
          <w:rFonts w:ascii="Garamond" w:hAnsi="Garamond"/>
        </w:rPr>
        <w:t>Strategy 4: School-Centered HIV/STD Prevention for Young Men Who Have Sex with Men</w:t>
      </w:r>
    </w:p>
    <w:p w14:paraId="6B8E7E2B" w14:textId="77777777" w:rsidR="00687A84" w:rsidRPr="00330E3E" w:rsidRDefault="00687A84" w:rsidP="009D5BD5">
      <w:pPr>
        <w:ind w:firstLine="720"/>
        <w:rPr>
          <w:rFonts w:ascii="Garamond" w:hAnsi="Garamond"/>
        </w:rPr>
      </w:pPr>
    </w:p>
    <w:p w14:paraId="548B2910" w14:textId="77777777" w:rsidR="008D4791" w:rsidRPr="00330E3E" w:rsidRDefault="001D0212" w:rsidP="001D0212">
      <w:pPr>
        <w:ind w:firstLine="720"/>
        <w:rPr>
          <w:rFonts w:ascii="Garamond" w:hAnsi="Garamond"/>
        </w:rPr>
      </w:pPr>
      <w:r w:rsidRPr="00330E3E">
        <w:rPr>
          <w:rFonts w:ascii="Garamond" w:hAnsi="Garamond"/>
        </w:rPr>
        <w:t xml:space="preserve">CDC is authorized to collect the data described in this </w:t>
      </w:r>
      <w:r w:rsidR="009D5BD5" w:rsidRPr="00330E3E">
        <w:rPr>
          <w:rFonts w:ascii="Garamond" w:hAnsi="Garamond"/>
        </w:rPr>
        <w:t>request</w:t>
      </w:r>
      <w:r w:rsidRPr="00330E3E">
        <w:rPr>
          <w:rFonts w:ascii="Garamond" w:hAnsi="Garamond"/>
        </w:rPr>
        <w:t xml:space="preserve"> by Section 301 of the Public Health Service Act (</w:t>
      </w:r>
      <w:bookmarkStart w:id="7" w:name="OLE_LINK3"/>
      <w:bookmarkStart w:id="8" w:name="OLE_LINK4"/>
      <w:r w:rsidRPr="00330E3E">
        <w:rPr>
          <w:rFonts w:ascii="Garamond" w:hAnsi="Garamond"/>
        </w:rPr>
        <w:t>42 USC 241</w:t>
      </w:r>
      <w:bookmarkEnd w:id="7"/>
      <w:bookmarkEnd w:id="8"/>
      <w:r w:rsidRPr="00330E3E">
        <w:rPr>
          <w:rFonts w:ascii="Garamond" w:hAnsi="Garamond"/>
        </w:rPr>
        <w:t xml:space="preserve">).  A copy of this enabling legislation is provided in </w:t>
      </w:r>
      <w:r w:rsidR="00330E3E">
        <w:rPr>
          <w:rFonts w:ascii="Garamond" w:hAnsi="Garamond"/>
        </w:rPr>
        <w:t>(</w:t>
      </w:r>
      <w:r w:rsidRPr="00330E3E">
        <w:rPr>
          <w:rFonts w:ascii="Garamond" w:hAnsi="Garamond"/>
          <w:b/>
        </w:rPr>
        <w:t xml:space="preserve">Attachment </w:t>
      </w:r>
      <w:r w:rsidR="00330E3E">
        <w:rPr>
          <w:rFonts w:ascii="Garamond" w:hAnsi="Garamond"/>
          <w:b/>
        </w:rPr>
        <w:t>1)</w:t>
      </w:r>
      <w:r w:rsidR="006C1265" w:rsidRPr="00330E3E">
        <w:rPr>
          <w:rFonts w:ascii="Garamond" w:hAnsi="Garamond"/>
        </w:rPr>
        <w:t>.</w:t>
      </w:r>
      <w:r w:rsidR="00813A66" w:rsidRPr="00330E3E">
        <w:rPr>
          <w:rFonts w:ascii="Garamond" w:hAnsi="Garamond"/>
        </w:rPr>
        <w:t xml:space="preserve">  In addition to this legislation, there are several national initiatives and programs that this data co</w:t>
      </w:r>
      <w:r w:rsidR="00016FAA" w:rsidRPr="00330E3E">
        <w:rPr>
          <w:rFonts w:ascii="Garamond" w:hAnsi="Garamond"/>
        </w:rPr>
        <w:t>ll</w:t>
      </w:r>
      <w:r w:rsidR="009D5BD5" w:rsidRPr="00330E3E">
        <w:rPr>
          <w:rFonts w:ascii="Garamond" w:hAnsi="Garamond"/>
        </w:rPr>
        <w:t xml:space="preserve">ection would serve to support, including but not limited to: </w:t>
      </w:r>
    </w:p>
    <w:p w14:paraId="79B324F3" w14:textId="77777777" w:rsidR="008D4791" w:rsidRPr="00330E3E" w:rsidRDefault="008D4791" w:rsidP="0088117D">
      <w:pPr>
        <w:pStyle w:val="ListParagraph"/>
        <w:numPr>
          <w:ilvl w:val="0"/>
          <w:numId w:val="7"/>
        </w:numPr>
        <w:rPr>
          <w:rFonts w:ascii="Garamond" w:eastAsia="Calibri" w:hAnsi="Garamond"/>
        </w:rPr>
      </w:pPr>
      <w:r w:rsidRPr="00330E3E">
        <w:rPr>
          <w:rFonts w:ascii="Garamond" w:eastAsia="Calibri" w:hAnsi="Garamond"/>
          <w:i/>
          <w:iCs/>
        </w:rPr>
        <w:t>Healthy People 2020</w:t>
      </w:r>
      <w:r w:rsidR="009D5BD5" w:rsidRPr="00330E3E">
        <w:rPr>
          <w:rFonts w:ascii="Garamond" w:eastAsia="Calibri" w:hAnsi="Garamond"/>
          <w:i/>
          <w:iCs/>
        </w:rPr>
        <w:t xml:space="preserve">, </w:t>
      </w:r>
      <w:r w:rsidR="009D5BD5" w:rsidRPr="00330E3E">
        <w:rPr>
          <w:rFonts w:ascii="Garamond" w:eastAsia="Calibri" w:hAnsi="Garamond"/>
          <w:iCs/>
        </w:rPr>
        <w:t>which provides</w:t>
      </w:r>
      <w:r w:rsidRPr="00330E3E">
        <w:rPr>
          <w:rFonts w:ascii="Garamond" w:eastAsia="Calibri" w:hAnsi="Garamond"/>
        </w:rPr>
        <w:t xml:space="preserve"> national health objectives </w:t>
      </w:r>
      <w:r w:rsidR="009D5BD5" w:rsidRPr="00330E3E">
        <w:rPr>
          <w:rFonts w:ascii="Garamond" w:eastAsia="Calibri" w:hAnsi="Garamond"/>
        </w:rPr>
        <w:t xml:space="preserve">and </w:t>
      </w:r>
      <w:r w:rsidRPr="00330E3E">
        <w:rPr>
          <w:rFonts w:ascii="Garamond" w:eastAsia="Calibri" w:hAnsi="Garamond"/>
        </w:rPr>
        <w:t>outline</w:t>
      </w:r>
      <w:r w:rsidR="002812A6" w:rsidRPr="00330E3E">
        <w:rPr>
          <w:rFonts w:ascii="Garamond" w:eastAsia="Calibri" w:hAnsi="Garamond"/>
        </w:rPr>
        <w:t>s</w:t>
      </w:r>
      <w:r w:rsidRPr="00330E3E">
        <w:rPr>
          <w:rFonts w:ascii="Garamond" w:eastAsia="Calibri" w:hAnsi="Garamond"/>
        </w:rPr>
        <w:t xml:space="preserve"> a comprehensive plan for health promotion and disease prevention in the United States. Of the Healthy People 2020 objectives, 31 objecti</w:t>
      </w:r>
      <w:r w:rsidR="00016FAA" w:rsidRPr="00330E3E">
        <w:rPr>
          <w:rFonts w:ascii="Garamond" w:eastAsia="Calibri" w:hAnsi="Garamond"/>
        </w:rPr>
        <w:t xml:space="preserve">ves align specifically </w:t>
      </w:r>
      <w:r w:rsidR="009D5BD5" w:rsidRPr="00330E3E">
        <w:rPr>
          <w:rFonts w:ascii="Garamond" w:eastAsia="Calibri" w:hAnsi="Garamond"/>
        </w:rPr>
        <w:t xml:space="preserve">with </w:t>
      </w:r>
      <w:r w:rsidR="00AD3135" w:rsidRPr="00330E3E">
        <w:rPr>
          <w:rFonts w:ascii="Garamond" w:eastAsia="Calibri" w:hAnsi="Garamond"/>
        </w:rPr>
        <w:t>PS-13-1308</w:t>
      </w:r>
      <w:r w:rsidRPr="00330E3E">
        <w:rPr>
          <w:rFonts w:ascii="Garamond" w:eastAsia="Calibri" w:hAnsi="Garamond"/>
        </w:rPr>
        <w:t xml:space="preserve"> </w:t>
      </w:r>
      <w:r w:rsidR="00016FAA" w:rsidRPr="00330E3E">
        <w:rPr>
          <w:rFonts w:ascii="Garamond" w:eastAsia="Calibri" w:hAnsi="Garamond"/>
        </w:rPr>
        <w:t xml:space="preserve">activities </w:t>
      </w:r>
      <w:r w:rsidRPr="00330E3E">
        <w:rPr>
          <w:rFonts w:ascii="Garamond" w:eastAsia="Calibri" w:hAnsi="Garamond"/>
        </w:rPr>
        <w:t>related to reducing HIV infection, other STD, a</w:t>
      </w:r>
      <w:r w:rsidR="009D5BD5" w:rsidRPr="00330E3E">
        <w:rPr>
          <w:rFonts w:ascii="Garamond" w:eastAsia="Calibri" w:hAnsi="Garamond"/>
        </w:rPr>
        <w:t>nd pregnancy among adolescents.</w:t>
      </w:r>
    </w:p>
    <w:p w14:paraId="689D6BD2" w14:textId="77777777" w:rsidR="008D4791" w:rsidRPr="00330E3E" w:rsidRDefault="008D4791" w:rsidP="00813A66">
      <w:pPr>
        <w:rPr>
          <w:rFonts w:ascii="Garamond" w:eastAsia="Calibri" w:hAnsi="Garamond"/>
        </w:rPr>
      </w:pPr>
    </w:p>
    <w:p w14:paraId="7A3E46B4" w14:textId="77777777" w:rsidR="008D4791" w:rsidRPr="00330E3E" w:rsidRDefault="008D4791" w:rsidP="0088117D">
      <w:pPr>
        <w:pStyle w:val="ListParagraph"/>
        <w:numPr>
          <w:ilvl w:val="0"/>
          <w:numId w:val="7"/>
        </w:numPr>
        <w:rPr>
          <w:rFonts w:ascii="Garamond" w:eastAsia="Calibri" w:hAnsi="Garamond"/>
        </w:rPr>
      </w:pPr>
      <w:r w:rsidRPr="00330E3E">
        <w:rPr>
          <w:rFonts w:ascii="Garamond" w:eastAsia="Calibri" w:hAnsi="Garamond"/>
        </w:rPr>
        <w:t xml:space="preserve">The </w:t>
      </w:r>
      <w:r w:rsidRPr="00330E3E">
        <w:rPr>
          <w:rFonts w:ascii="Garamond" w:eastAsia="Calibri" w:hAnsi="Garamond"/>
          <w:i/>
          <w:iCs/>
        </w:rPr>
        <w:t>National Prevention Strategy (</w:t>
      </w:r>
      <w:r w:rsidRPr="00330E3E">
        <w:rPr>
          <w:rFonts w:ascii="Garamond" w:eastAsia="Calibri" w:hAnsi="Garamond"/>
        </w:rPr>
        <w:t>NPS</w:t>
      </w:r>
      <w:r w:rsidRPr="00330E3E">
        <w:rPr>
          <w:rFonts w:ascii="Garamond" w:eastAsia="Calibri" w:hAnsi="Garamond"/>
          <w:i/>
          <w:iCs/>
        </w:rPr>
        <w:t>)</w:t>
      </w:r>
      <w:r w:rsidRPr="00330E3E">
        <w:rPr>
          <w:rFonts w:ascii="Garamond" w:eastAsia="Calibri" w:hAnsi="Garamond"/>
        </w:rPr>
        <w:t xml:space="preserve"> calls for “medically accurate, dev</w:t>
      </w:r>
      <w:r w:rsidR="00016FAA" w:rsidRPr="00330E3E">
        <w:rPr>
          <w:rFonts w:ascii="Garamond" w:eastAsia="Calibri" w:hAnsi="Garamond"/>
        </w:rPr>
        <w:t>elopmentally appropriate, and evidence-based</w:t>
      </w:r>
      <w:r w:rsidRPr="00330E3E">
        <w:rPr>
          <w:rFonts w:ascii="Garamond" w:eastAsia="Calibri" w:hAnsi="Garamond"/>
        </w:rPr>
        <w:t xml:space="preserve"> sexual health education.” The NPS encourages the involvement of parents in educating their children about sexual health, the provision of sexual and reproductive health services, and the reduction of intimate partner violence.</w:t>
      </w:r>
      <w:r w:rsidR="00813A66" w:rsidRPr="00330E3E">
        <w:rPr>
          <w:rStyle w:val="FootnoteReference"/>
          <w:rFonts w:ascii="Garamond" w:eastAsia="Calibri" w:hAnsi="Garamond"/>
          <w:vertAlign w:val="superscript"/>
        </w:rPr>
        <w:footnoteReference w:id="2"/>
      </w:r>
      <w:r w:rsidRPr="00330E3E">
        <w:rPr>
          <w:rFonts w:ascii="Garamond" w:eastAsia="Calibri" w:hAnsi="Garamond"/>
          <w:vertAlign w:val="superscript"/>
        </w:rPr>
        <w:t xml:space="preserve"> </w:t>
      </w:r>
    </w:p>
    <w:p w14:paraId="422B6B6A" w14:textId="77777777" w:rsidR="00CB7FE5" w:rsidRPr="00330E3E" w:rsidRDefault="00CB7FE5" w:rsidP="00813A66">
      <w:pPr>
        <w:rPr>
          <w:rFonts w:ascii="Garamond" w:eastAsia="Calibri" w:hAnsi="Garamond"/>
        </w:rPr>
      </w:pPr>
    </w:p>
    <w:p w14:paraId="16C49D73" w14:textId="77777777" w:rsidR="008D4791" w:rsidRPr="00330E3E" w:rsidRDefault="008D4791" w:rsidP="0088117D">
      <w:pPr>
        <w:pStyle w:val="ListParagraph"/>
        <w:numPr>
          <w:ilvl w:val="0"/>
          <w:numId w:val="7"/>
        </w:numPr>
        <w:rPr>
          <w:rFonts w:ascii="Garamond" w:eastAsia="Calibri" w:hAnsi="Garamond"/>
        </w:rPr>
      </w:pPr>
      <w:r w:rsidRPr="00330E3E">
        <w:rPr>
          <w:rFonts w:ascii="Garamond" w:eastAsia="Calibri" w:hAnsi="Garamond"/>
        </w:rPr>
        <w:t xml:space="preserve">The U.S. Department of Health and Human Services’ (DHHS) </w:t>
      </w:r>
      <w:r w:rsidRPr="00330E3E">
        <w:rPr>
          <w:rFonts w:ascii="Garamond" w:eastAsia="Calibri" w:hAnsi="Garamond"/>
          <w:i/>
          <w:iCs/>
        </w:rPr>
        <w:t>Teen Pregnancy Prevention Initiative</w:t>
      </w:r>
      <w:r w:rsidRPr="00330E3E">
        <w:rPr>
          <w:rFonts w:ascii="Garamond" w:eastAsia="Calibri" w:hAnsi="Garamond"/>
        </w:rPr>
        <w:t xml:space="preserve"> supports the replication of teen pregnancy prevention (TPP) programs that have been shown to be effective through rigorous research as well as the testing of new, innovative program activities to combat teen pregnancy.</w:t>
      </w:r>
      <w:r w:rsidR="00813A66" w:rsidRPr="00330E3E">
        <w:rPr>
          <w:rStyle w:val="FootnoteReference"/>
          <w:rFonts w:ascii="Garamond" w:eastAsia="Calibri" w:hAnsi="Garamond"/>
          <w:vertAlign w:val="superscript"/>
        </w:rPr>
        <w:footnoteReference w:id="3"/>
      </w:r>
      <w:r w:rsidRPr="00330E3E">
        <w:rPr>
          <w:rFonts w:ascii="Garamond" w:eastAsia="Calibri" w:hAnsi="Garamond"/>
          <w:vertAlign w:val="superscript"/>
        </w:rPr>
        <w:t xml:space="preserve"> </w:t>
      </w:r>
    </w:p>
    <w:p w14:paraId="0FD8F363" w14:textId="77777777" w:rsidR="00CB7FE5" w:rsidRPr="00330E3E" w:rsidRDefault="00CB7FE5" w:rsidP="00813A66">
      <w:pPr>
        <w:rPr>
          <w:rFonts w:ascii="Garamond" w:eastAsia="Calibri" w:hAnsi="Garamond"/>
          <w:i/>
          <w:iCs/>
        </w:rPr>
      </w:pPr>
    </w:p>
    <w:p w14:paraId="10FDCFB2" w14:textId="77777777" w:rsidR="008D4791" w:rsidRPr="00330E3E" w:rsidRDefault="00231F71" w:rsidP="0088117D">
      <w:pPr>
        <w:pStyle w:val="ListParagraph"/>
        <w:numPr>
          <w:ilvl w:val="0"/>
          <w:numId w:val="7"/>
        </w:numPr>
        <w:rPr>
          <w:rFonts w:ascii="Garamond" w:eastAsia="Calibri" w:hAnsi="Garamond"/>
        </w:rPr>
      </w:pPr>
      <w:r w:rsidRPr="00330E3E">
        <w:rPr>
          <w:rFonts w:ascii="Garamond" w:eastAsia="Calibri" w:hAnsi="Garamond"/>
        </w:rPr>
        <w:t>The</w:t>
      </w:r>
      <w:r w:rsidR="008D4791" w:rsidRPr="00330E3E">
        <w:rPr>
          <w:rFonts w:ascii="Garamond" w:eastAsia="Calibri" w:hAnsi="Garamond"/>
        </w:rPr>
        <w:t xml:space="preserve"> NCHHSTP program imperative call</w:t>
      </w:r>
      <w:r w:rsidR="009D5BD5" w:rsidRPr="00330E3E">
        <w:rPr>
          <w:rFonts w:ascii="Garamond" w:eastAsia="Calibri" w:hAnsi="Garamond"/>
        </w:rPr>
        <w:t>s</w:t>
      </w:r>
      <w:r w:rsidR="008D4791" w:rsidRPr="00330E3E">
        <w:rPr>
          <w:rFonts w:ascii="Garamond" w:eastAsia="Calibri" w:hAnsi="Garamond"/>
        </w:rPr>
        <w:t xml:space="preserve"> for </w:t>
      </w:r>
      <w:r w:rsidR="008D4791" w:rsidRPr="00330E3E">
        <w:rPr>
          <w:rFonts w:ascii="Garamond" w:eastAsia="Calibri" w:hAnsi="Garamond"/>
          <w:i/>
          <w:iCs/>
        </w:rPr>
        <w:t>Program Collaboration and Service Integration (</w:t>
      </w:r>
      <w:r w:rsidR="008D4791" w:rsidRPr="00330E3E">
        <w:rPr>
          <w:rFonts w:ascii="Garamond" w:eastAsia="Calibri" w:hAnsi="Garamond"/>
        </w:rPr>
        <w:t>PCSI</w:t>
      </w:r>
      <w:r w:rsidR="008D4791" w:rsidRPr="00330E3E">
        <w:rPr>
          <w:rFonts w:ascii="Garamond" w:eastAsia="Calibri" w:hAnsi="Garamond"/>
          <w:i/>
          <w:iCs/>
        </w:rPr>
        <w:t>)</w:t>
      </w:r>
      <w:r w:rsidR="008D4791" w:rsidRPr="00330E3E">
        <w:rPr>
          <w:rFonts w:ascii="Garamond" w:eastAsia="Calibri" w:hAnsi="Garamond"/>
        </w:rPr>
        <w:t xml:space="preserve"> to provide improved integration of HIV, viral hepatitis, STD, and TB prevention and treatment services at the user level.</w:t>
      </w:r>
      <w:r w:rsidRPr="00330E3E">
        <w:rPr>
          <w:rStyle w:val="FootnoteReference"/>
          <w:rFonts w:ascii="Garamond" w:eastAsia="Calibri" w:hAnsi="Garamond"/>
          <w:vertAlign w:val="superscript"/>
        </w:rPr>
        <w:footnoteReference w:id="4"/>
      </w:r>
      <w:r w:rsidR="008D4791" w:rsidRPr="00330E3E">
        <w:rPr>
          <w:rFonts w:ascii="Garamond" w:eastAsia="Calibri" w:hAnsi="Garamond"/>
          <w:vertAlign w:val="superscript"/>
        </w:rPr>
        <w:t xml:space="preserve"> </w:t>
      </w:r>
    </w:p>
    <w:p w14:paraId="74159203" w14:textId="77777777" w:rsidR="00CB7FE5" w:rsidRPr="00330E3E" w:rsidRDefault="00CB7FE5" w:rsidP="00813A66">
      <w:pPr>
        <w:rPr>
          <w:rFonts w:ascii="Garamond" w:eastAsia="Calibri" w:hAnsi="Garamond"/>
        </w:rPr>
      </w:pPr>
    </w:p>
    <w:p w14:paraId="7A8F7FB0" w14:textId="77777777" w:rsidR="00CB7FE5" w:rsidRDefault="00CB7FE5" w:rsidP="0088117D">
      <w:pPr>
        <w:pStyle w:val="ListParagraph"/>
        <w:numPr>
          <w:ilvl w:val="0"/>
          <w:numId w:val="7"/>
        </w:numPr>
        <w:rPr>
          <w:rFonts w:ascii="Garamond" w:eastAsia="Calibri" w:hAnsi="Garamond"/>
        </w:rPr>
      </w:pPr>
      <w:r w:rsidRPr="00330E3E">
        <w:rPr>
          <w:rFonts w:ascii="Garamond" w:eastAsia="Calibri" w:hAnsi="Garamond"/>
          <w:i/>
          <w:iCs/>
        </w:rPr>
        <w:t>CDC Winnable Battles</w:t>
      </w:r>
      <w:r w:rsidRPr="00330E3E">
        <w:rPr>
          <w:rFonts w:ascii="Garamond" w:eastAsia="Calibri" w:hAnsi="Garamond"/>
        </w:rPr>
        <w:t xml:space="preserve">, including prevention of HIV infection and TPP, have been chosen by CDC based on the magnitude of the health problems and the ability to make significant progress in improving outcomes. These are public health priorities with large-scale impact on health with known, effective strategies to address them. </w:t>
      </w:r>
      <w:r w:rsidR="00231F71" w:rsidRPr="00330E3E">
        <w:rPr>
          <w:rStyle w:val="FootnoteReference"/>
          <w:rFonts w:ascii="Garamond" w:eastAsia="Calibri" w:hAnsi="Garamond"/>
          <w:vertAlign w:val="superscript"/>
        </w:rPr>
        <w:footnoteReference w:id="5"/>
      </w:r>
    </w:p>
    <w:p w14:paraId="6E2273DA" w14:textId="77777777" w:rsidR="00F70653" w:rsidRPr="00B715F3" w:rsidRDefault="00F70653" w:rsidP="00B715F3">
      <w:pPr>
        <w:pStyle w:val="ListParagraph"/>
        <w:rPr>
          <w:rFonts w:ascii="Garamond" w:eastAsia="Calibri" w:hAnsi="Garamond"/>
        </w:rPr>
      </w:pPr>
    </w:p>
    <w:p w14:paraId="302E77DD" w14:textId="77777777" w:rsidR="00A33859" w:rsidRDefault="00A33859" w:rsidP="00A33859">
      <w:pPr>
        <w:rPr>
          <w:rFonts w:ascii="Garamond" w:eastAsia="Calibri" w:hAnsi="Garamond"/>
        </w:rPr>
      </w:pPr>
    </w:p>
    <w:p w14:paraId="3AC36835" w14:textId="0F703841" w:rsidR="00F70653" w:rsidRDefault="00F70653" w:rsidP="000F4788">
      <w:pPr>
        <w:rPr>
          <w:rFonts w:ascii="Garamond" w:eastAsia="Calibri" w:hAnsi="Garamond"/>
        </w:rPr>
      </w:pPr>
      <w:r w:rsidRPr="00561E88">
        <w:rPr>
          <w:rFonts w:ascii="Garamond" w:eastAsia="Calibri" w:hAnsi="Garamond"/>
        </w:rPr>
        <w:t xml:space="preserve">During the previous approval period we </w:t>
      </w:r>
      <w:r w:rsidR="00B715F3" w:rsidRPr="00561E88">
        <w:rPr>
          <w:rFonts w:ascii="Garamond" w:eastAsia="Calibri" w:hAnsi="Garamond"/>
        </w:rPr>
        <w:t>completed six rounds of data collection and review, including the completion of biannual progress reports that provided our funded partners with information on their progress towards achieving the goals of PS13-1308. We completed two annual reports that summarize</w:t>
      </w:r>
      <w:r w:rsidR="005E0BF6" w:rsidRPr="00561E88">
        <w:rPr>
          <w:rFonts w:ascii="Garamond" w:eastAsia="Calibri" w:hAnsi="Garamond"/>
        </w:rPr>
        <w:t>d</w:t>
      </w:r>
      <w:r w:rsidR="00B715F3" w:rsidRPr="00561E88">
        <w:rPr>
          <w:rFonts w:ascii="Garamond" w:eastAsia="Calibri" w:hAnsi="Garamond"/>
        </w:rPr>
        <w:t xml:space="preserve"> all of the data collected via this information collection request and provide</w:t>
      </w:r>
      <w:r w:rsidR="005E0BF6" w:rsidRPr="00561E88">
        <w:rPr>
          <w:rFonts w:ascii="Garamond" w:eastAsia="Calibri" w:hAnsi="Garamond"/>
        </w:rPr>
        <w:t>d</w:t>
      </w:r>
      <w:r w:rsidR="00B715F3" w:rsidRPr="00561E88">
        <w:rPr>
          <w:rFonts w:ascii="Garamond" w:eastAsia="Calibri" w:hAnsi="Garamond"/>
        </w:rPr>
        <w:t xml:space="preserve"> our division and center information on strengths and barriers to </w:t>
      </w:r>
      <w:r w:rsidR="005E0BF6" w:rsidRPr="00561E88">
        <w:rPr>
          <w:rFonts w:ascii="Garamond" w:eastAsia="Calibri" w:hAnsi="Garamond"/>
        </w:rPr>
        <w:t xml:space="preserve">the </w:t>
      </w:r>
      <w:r w:rsidR="00B715F3" w:rsidRPr="00561E88">
        <w:rPr>
          <w:rFonts w:ascii="Garamond" w:eastAsia="Calibri" w:hAnsi="Garamond"/>
        </w:rPr>
        <w:t xml:space="preserve">success of PS13-1308. Additionally, these findings have been submitted to the </w:t>
      </w:r>
      <w:r w:rsidR="005E0BF6" w:rsidRPr="00561E88">
        <w:rPr>
          <w:rFonts w:ascii="Garamond" w:eastAsia="Calibri" w:hAnsi="Garamond"/>
        </w:rPr>
        <w:t xml:space="preserve">upcoming American Public Health Association </w:t>
      </w:r>
      <w:r w:rsidR="00B715F3" w:rsidRPr="00561E88">
        <w:rPr>
          <w:rFonts w:ascii="Garamond" w:eastAsia="Calibri" w:hAnsi="Garamond"/>
        </w:rPr>
        <w:t xml:space="preserve">2017 meeting for dissemination to broader public health audiences. </w:t>
      </w:r>
    </w:p>
    <w:p w14:paraId="5F2AD5AD" w14:textId="2B60830D" w:rsidR="00606787" w:rsidRDefault="00606787" w:rsidP="000F4788">
      <w:pPr>
        <w:rPr>
          <w:rFonts w:ascii="Garamond" w:eastAsia="Calibri" w:hAnsi="Garamond"/>
        </w:rPr>
      </w:pPr>
    </w:p>
    <w:p w14:paraId="30906117" w14:textId="0A8B8CD5" w:rsidR="00606787" w:rsidRPr="00606787" w:rsidRDefault="00606787" w:rsidP="00A33859">
      <w:pPr>
        <w:rPr>
          <w:rFonts w:ascii="Garamond" w:eastAsia="Calibri" w:hAnsi="Garamond"/>
        </w:rPr>
      </w:pPr>
      <w:r w:rsidRPr="00606787">
        <w:rPr>
          <w:rFonts w:ascii="Garamond" w:eastAsia="Calibri" w:hAnsi="Garamond"/>
        </w:rPr>
        <w:t xml:space="preserve">The results of previous data collections have highlighted important achievements among our </w:t>
      </w:r>
      <w:r w:rsidR="0032016F">
        <w:rPr>
          <w:rFonts w:ascii="Garamond" w:eastAsia="Calibri" w:hAnsi="Garamond"/>
        </w:rPr>
        <w:t>funded partners</w:t>
      </w:r>
      <w:r w:rsidRPr="00606787">
        <w:rPr>
          <w:rFonts w:ascii="Garamond" w:eastAsia="Calibri" w:hAnsi="Garamond"/>
        </w:rPr>
        <w:t xml:space="preserve">. For example, among the State Education Agencies (SEA) funded through PS13-1308, there has been an increase in the </w:t>
      </w:r>
      <w:r w:rsidR="0032016F">
        <w:rPr>
          <w:rFonts w:ascii="Garamond" w:eastAsia="Calibri" w:hAnsi="Garamond"/>
        </w:rPr>
        <w:t xml:space="preserve">median </w:t>
      </w:r>
      <w:r w:rsidRPr="00606787">
        <w:rPr>
          <w:rFonts w:ascii="Garamond" w:eastAsia="Calibri" w:hAnsi="Garamond"/>
        </w:rPr>
        <w:t xml:space="preserve">percentage of priority districts including key topics in sexual health education, </w:t>
      </w:r>
      <w:r w:rsidRPr="00606787">
        <w:rPr>
          <w:rFonts w:ascii="Garamond" w:hAnsi="Garamond"/>
        </w:rPr>
        <w:t>from 55.6% in reporting period 1 (Fall 2014) to 83.3% in reporting period 5 (Fall 2016)</w:t>
      </w:r>
      <w:r w:rsidR="0032016F">
        <w:rPr>
          <w:rFonts w:ascii="Garamond" w:hAnsi="Garamond"/>
        </w:rPr>
        <w:t xml:space="preserve"> for students in grades 9-12</w:t>
      </w:r>
      <w:r w:rsidRPr="00606787">
        <w:rPr>
          <w:rFonts w:ascii="Garamond" w:hAnsi="Garamond"/>
        </w:rPr>
        <w:t>.</w:t>
      </w:r>
      <w:r w:rsidRPr="00606787">
        <w:rPr>
          <w:rFonts w:ascii="Garamond" w:eastAsia="Calibri" w:hAnsi="Garamond"/>
        </w:rPr>
        <w:t xml:space="preserve"> </w:t>
      </w:r>
      <w:r>
        <w:rPr>
          <w:rFonts w:ascii="Garamond" w:eastAsia="Calibri" w:hAnsi="Garamond"/>
        </w:rPr>
        <w:t>Simil</w:t>
      </w:r>
      <w:r w:rsidR="0032016F">
        <w:rPr>
          <w:rFonts w:ascii="Garamond" w:eastAsia="Calibri" w:hAnsi="Garamond"/>
        </w:rPr>
        <w:t xml:space="preserve">arly, among the Local Education Agencies (LEA) funded through PS13-1308, there have been improvements in school implementation of activities that support safe and environments for all students. Specifically, the median percentage of priority schools implementing </w:t>
      </w:r>
      <w:r w:rsidR="0032016F" w:rsidRPr="0032016F">
        <w:rPr>
          <w:rFonts w:ascii="Garamond" w:eastAsia="Calibri" w:hAnsi="Garamond"/>
        </w:rPr>
        <w:t xml:space="preserve">a </w:t>
      </w:r>
      <w:r w:rsidR="0032016F">
        <w:rPr>
          <w:rFonts w:ascii="Garamond" w:eastAsia="Calibri" w:hAnsi="Garamond"/>
        </w:rPr>
        <w:t>student-led club that aims to c</w:t>
      </w:r>
      <w:r w:rsidR="0032016F" w:rsidRPr="0032016F">
        <w:rPr>
          <w:rFonts w:ascii="Garamond" w:eastAsia="Calibri" w:hAnsi="Garamond"/>
        </w:rPr>
        <w:t xml:space="preserve">reate a </w:t>
      </w:r>
      <w:r w:rsidR="0032016F">
        <w:rPr>
          <w:rFonts w:ascii="Garamond" w:eastAsia="Calibri" w:hAnsi="Garamond"/>
        </w:rPr>
        <w:t>safe, w</w:t>
      </w:r>
      <w:r w:rsidR="0032016F" w:rsidRPr="0032016F">
        <w:rPr>
          <w:rFonts w:ascii="Garamond" w:eastAsia="Calibri" w:hAnsi="Garamond"/>
        </w:rPr>
        <w:t xml:space="preserve">elcoming, and </w:t>
      </w:r>
      <w:r w:rsidR="0032016F">
        <w:rPr>
          <w:rFonts w:ascii="Garamond" w:eastAsia="Calibri" w:hAnsi="Garamond"/>
        </w:rPr>
        <w:t>accepting school e</w:t>
      </w:r>
      <w:r w:rsidR="0032016F" w:rsidRPr="0032016F">
        <w:rPr>
          <w:rFonts w:ascii="Garamond" w:eastAsia="Calibri" w:hAnsi="Garamond"/>
        </w:rPr>
        <w:t xml:space="preserve">nvironment for </w:t>
      </w:r>
      <w:r w:rsidR="0032016F">
        <w:rPr>
          <w:rFonts w:ascii="Garamond" w:eastAsia="Calibri" w:hAnsi="Garamond"/>
        </w:rPr>
        <w:t>a</w:t>
      </w:r>
      <w:r w:rsidR="0032016F" w:rsidRPr="0032016F">
        <w:rPr>
          <w:rFonts w:ascii="Garamond" w:eastAsia="Calibri" w:hAnsi="Garamond"/>
        </w:rPr>
        <w:t xml:space="preserve">ll </w:t>
      </w:r>
      <w:r w:rsidR="0032016F">
        <w:rPr>
          <w:rFonts w:ascii="Garamond" w:eastAsia="Calibri" w:hAnsi="Garamond"/>
        </w:rPr>
        <w:t>y</w:t>
      </w:r>
      <w:r w:rsidR="0032016F" w:rsidRPr="0032016F">
        <w:rPr>
          <w:rFonts w:ascii="Garamond" w:eastAsia="Calibri" w:hAnsi="Garamond"/>
        </w:rPr>
        <w:t xml:space="preserve">outh, </w:t>
      </w:r>
      <w:r w:rsidR="0032016F">
        <w:rPr>
          <w:rFonts w:ascii="Garamond" w:eastAsia="Calibri" w:hAnsi="Garamond"/>
        </w:rPr>
        <w:t>r</w:t>
      </w:r>
      <w:r w:rsidR="0032016F" w:rsidRPr="0032016F">
        <w:rPr>
          <w:rFonts w:ascii="Garamond" w:eastAsia="Calibri" w:hAnsi="Garamond"/>
        </w:rPr>
        <w:t xml:space="preserve">egardless of </w:t>
      </w:r>
      <w:r w:rsidR="0032016F">
        <w:rPr>
          <w:rFonts w:ascii="Garamond" w:eastAsia="Calibri" w:hAnsi="Garamond"/>
        </w:rPr>
        <w:t>s</w:t>
      </w:r>
      <w:r w:rsidR="0032016F" w:rsidRPr="0032016F">
        <w:rPr>
          <w:rFonts w:ascii="Garamond" w:eastAsia="Calibri" w:hAnsi="Garamond"/>
        </w:rPr>
        <w:t xml:space="preserve">exual </w:t>
      </w:r>
      <w:r w:rsidR="0032016F">
        <w:rPr>
          <w:rFonts w:ascii="Garamond" w:eastAsia="Calibri" w:hAnsi="Garamond"/>
        </w:rPr>
        <w:t>o</w:t>
      </w:r>
      <w:r w:rsidR="0032016F" w:rsidRPr="0032016F">
        <w:rPr>
          <w:rFonts w:ascii="Garamond" w:eastAsia="Calibri" w:hAnsi="Garamond"/>
        </w:rPr>
        <w:t xml:space="preserve">rientation or </w:t>
      </w:r>
      <w:r w:rsidR="0032016F">
        <w:rPr>
          <w:rFonts w:ascii="Garamond" w:eastAsia="Calibri" w:hAnsi="Garamond"/>
        </w:rPr>
        <w:t>g</w:t>
      </w:r>
      <w:r w:rsidR="0032016F" w:rsidRPr="0032016F">
        <w:rPr>
          <w:rFonts w:ascii="Garamond" w:eastAsia="Calibri" w:hAnsi="Garamond"/>
        </w:rPr>
        <w:t xml:space="preserve">ender </w:t>
      </w:r>
      <w:r w:rsidR="0032016F">
        <w:rPr>
          <w:rFonts w:ascii="Garamond" w:eastAsia="Calibri" w:hAnsi="Garamond"/>
        </w:rPr>
        <w:t>i</w:t>
      </w:r>
      <w:r w:rsidR="0032016F" w:rsidRPr="0032016F">
        <w:rPr>
          <w:rFonts w:ascii="Garamond" w:eastAsia="Calibri" w:hAnsi="Garamond"/>
        </w:rPr>
        <w:t>dentity (</w:t>
      </w:r>
      <w:r w:rsidR="0032016F">
        <w:rPr>
          <w:rFonts w:ascii="Garamond" w:eastAsia="Calibri" w:hAnsi="Garamond"/>
        </w:rPr>
        <w:t>these clubs s</w:t>
      </w:r>
      <w:r w:rsidR="0032016F" w:rsidRPr="0032016F">
        <w:rPr>
          <w:rFonts w:ascii="Garamond" w:eastAsia="Calibri" w:hAnsi="Garamond"/>
        </w:rPr>
        <w:t>ometimes are Called Gay/Straight Alliances)</w:t>
      </w:r>
      <w:r w:rsidR="0032016F">
        <w:rPr>
          <w:rFonts w:ascii="Garamond" w:eastAsia="Calibri" w:hAnsi="Garamond"/>
        </w:rPr>
        <w:t xml:space="preserve"> increased from 47.6% in reporting period 1 (Fall 2014) to 80.0% in reporting period 5 (Fall 2016). </w:t>
      </w:r>
    </w:p>
    <w:p w14:paraId="75819663" w14:textId="77777777" w:rsidR="00B715F3" w:rsidRPr="00561E88" w:rsidRDefault="00B715F3" w:rsidP="00B715F3">
      <w:pPr>
        <w:ind w:left="360"/>
        <w:rPr>
          <w:rFonts w:ascii="Garamond" w:eastAsia="Calibri" w:hAnsi="Garamond"/>
        </w:rPr>
      </w:pPr>
    </w:p>
    <w:p w14:paraId="07734BB4" w14:textId="35A0CDAE" w:rsidR="00B715F3" w:rsidRPr="00B715F3" w:rsidRDefault="00B715F3" w:rsidP="000F4788">
      <w:pPr>
        <w:rPr>
          <w:rFonts w:ascii="Garamond" w:eastAsia="Calibri" w:hAnsi="Garamond"/>
        </w:rPr>
      </w:pPr>
      <w:r w:rsidRPr="00561E88">
        <w:rPr>
          <w:rFonts w:ascii="Garamond" w:eastAsia="Calibri" w:hAnsi="Garamond"/>
        </w:rPr>
        <w:t xml:space="preserve">We are requesting an extension of the current information collection request so that we can </w:t>
      </w:r>
      <w:r w:rsidR="005E0BF6" w:rsidRPr="00561E88">
        <w:rPr>
          <w:rFonts w:ascii="Garamond" w:eastAsia="Calibri" w:hAnsi="Garamond"/>
        </w:rPr>
        <w:t xml:space="preserve">gather </w:t>
      </w:r>
      <w:r w:rsidRPr="00561E88">
        <w:rPr>
          <w:rFonts w:ascii="Garamond" w:eastAsia="Calibri" w:hAnsi="Garamond"/>
        </w:rPr>
        <w:t xml:space="preserve">performance monitoring data for the remaining </w:t>
      </w:r>
      <w:r w:rsidR="00AC252E" w:rsidRPr="00561E88">
        <w:rPr>
          <w:rFonts w:ascii="Garamond" w:eastAsia="Calibri" w:hAnsi="Garamond"/>
        </w:rPr>
        <w:t>year</w:t>
      </w:r>
      <w:r w:rsidRPr="00561E88">
        <w:rPr>
          <w:rFonts w:ascii="Garamond" w:eastAsia="Calibri" w:hAnsi="Garamond"/>
        </w:rPr>
        <w:t xml:space="preserve"> of PS13-1308. </w:t>
      </w:r>
      <w:r w:rsidR="00AC252E" w:rsidRPr="00561E88">
        <w:rPr>
          <w:rFonts w:ascii="Garamond" w:eastAsia="Calibri" w:hAnsi="Garamond"/>
        </w:rPr>
        <w:t>W</w:t>
      </w:r>
      <w:r w:rsidRPr="00561E88">
        <w:rPr>
          <w:rFonts w:ascii="Garamond" w:eastAsia="Calibri" w:hAnsi="Garamond"/>
        </w:rPr>
        <w:t xml:space="preserve">e will use this time to </w:t>
      </w:r>
      <w:r w:rsidR="00855D80" w:rsidRPr="00561E88">
        <w:rPr>
          <w:rFonts w:ascii="Garamond" w:eastAsia="Calibri" w:hAnsi="Garamond"/>
        </w:rPr>
        <w:t>collect</w:t>
      </w:r>
      <w:r w:rsidRPr="00561E88">
        <w:rPr>
          <w:rFonts w:ascii="Garamond" w:eastAsia="Calibri" w:hAnsi="Garamond"/>
        </w:rPr>
        <w:t xml:space="preserve"> data on the performance of PS13-1308 funded agencies </w:t>
      </w:r>
      <w:r w:rsidR="005E0BF6" w:rsidRPr="00561E88">
        <w:rPr>
          <w:rFonts w:ascii="Garamond" w:eastAsia="Calibri" w:hAnsi="Garamond"/>
        </w:rPr>
        <w:t xml:space="preserve">to better </w:t>
      </w:r>
      <w:r w:rsidR="00561E88" w:rsidRPr="00561E88">
        <w:rPr>
          <w:rFonts w:ascii="Garamond" w:eastAsia="Calibri" w:hAnsi="Garamond"/>
        </w:rPr>
        <w:t>inform our</w:t>
      </w:r>
      <w:r w:rsidRPr="00561E88">
        <w:rPr>
          <w:rFonts w:ascii="Garamond" w:eastAsia="Calibri" w:hAnsi="Garamond"/>
        </w:rPr>
        <w:t xml:space="preserve"> program </w:t>
      </w:r>
      <w:r w:rsidR="005E0BF6" w:rsidRPr="00561E88">
        <w:rPr>
          <w:rFonts w:ascii="Garamond" w:eastAsia="Calibri" w:hAnsi="Garamond"/>
        </w:rPr>
        <w:t xml:space="preserve">as </w:t>
      </w:r>
      <w:r w:rsidR="00561E88" w:rsidRPr="00561E88">
        <w:rPr>
          <w:rFonts w:ascii="Garamond" w:eastAsia="Calibri" w:hAnsi="Garamond"/>
        </w:rPr>
        <w:t>they make</w:t>
      </w:r>
      <w:r w:rsidRPr="00561E88">
        <w:rPr>
          <w:rFonts w:ascii="Garamond" w:eastAsia="Calibri" w:hAnsi="Garamond"/>
        </w:rPr>
        <w:t xml:space="preserve"> decision</w:t>
      </w:r>
      <w:r w:rsidR="00855D80" w:rsidRPr="00561E88">
        <w:rPr>
          <w:rFonts w:ascii="Garamond" w:eastAsia="Calibri" w:hAnsi="Garamond"/>
        </w:rPr>
        <w:t>s</w:t>
      </w:r>
      <w:r w:rsidRPr="00561E88">
        <w:rPr>
          <w:rFonts w:ascii="Garamond" w:eastAsia="Calibri" w:hAnsi="Garamond"/>
        </w:rPr>
        <w:t xml:space="preserve"> about the progress of the current funding opportunity and future </w:t>
      </w:r>
      <w:r w:rsidR="00AC252E" w:rsidRPr="00561E88">
        <w:rPr>
          <w:rFonts w:ascii="Garamond" w:eastAsia="Calibri" w:hAnsi="Garamond"/>
        </w:rPr>
        <w:t xml:space="preserve">funding </w:t>
      </w:r>
      <w:r w:rsidR="00855D80" w:rsidRPr="00561E88">
        <w:rPr>
          <w:rFonts w:ascii="Garamond" w:eastAsia="Calibri" w:hAnsi="Garamond"/>
        </w:rPr>
        <w:t>announcements.</w:t>
      </w:r>
      <w:r w:rsidR="00855D80">
        <w:rPr>
          <w:rFonts w:ascii="Garamond" w:eastAsia="Calibri" w:hAnsi="Garamond"/>
        </w:rPr>
        <w:t xml:space="preserve"> </w:t>
      </w:r>
    </w:p>
    <w:p w14:paraId="6D2BF60E" w14:textId="77777777" w:rsidR="00CB7FE5" w:rsidRPr="00330E3E" w:rsidRDefault="00CB7FE5" w:rsidP="00CB7FE5">
      <w:pPr>
        <w:widowControl/>
        <w:rPr>
          <w:rFonts w:ascii="Garamond" w:eastAsia="Calibri" w:hAnsi="Garamond" w:cs="Calibri"/>
          <w:color w:val="000000"/>
        </w:rPr>
      </w:pPr>
    </w:p>
    <w:p w14:paraId="4C6AE410" w14:textId="17599585" w:rsidR="005E28F1" w:rsidRPr="00330E3E" w:rsidRDefault="00823980" w:rsidP="00606787">
      <w:pPr>
        <w:rPr>
          <w:rFonts w:ascii="Garamond" w:hAnsi="Garamond"/>
        </w:rPr>
      </w:pPr>
      <w:r w:rsidRPr="00330E3E">
        <w:rPr>
          <w:rFonts w:ascii="Garamond" w:hAnsi="Garamond"/>
        </w:rPr>
        <w:t xml:space="preserve"> </w:t>
      </w:r>
    </w:p>
    <w:p w14:paraId="132BD348" w14:textId="32509EF6" w:rsidR="000F4788" w:rsidRPr="001E7CA7" w:rsidRDefault="005E28F1" w:rsidP="001E7CA7">
      <w:pPr>
        <w:pStyle w:val="ListParagraph"/>
        <w:numPr>
          <w:ilvl w:val="0"/>
          <w:numId w:val="15"/>
        </w:numPr>
        <w:rPr>
          <w:rFonts w:ascii="Garamond" w:eastAsia="Calibri" w:hAnsi="Garamond"/>
        </w:rPr>
      </w:pPr>
      <w:r w:rsidRPr="005E28F1">
        <w:rPr>
          <w:rFonts w:ascii="Garamond" w:hAnsi="Garamond" w:cs="Arial"/>
          <w:b/>
          <w:bCs/>
          <w:kern w:val="32"/>
        </w:rPr>
        <w:t>Purpose and Use of Information Collection.</w:t>
      </w:r>
    </w:p>
    <w:p w14:paraId="6F8E04E0" w14:textId="08E6A3F0" w:rsidR="00A9251A" w:rsidRPr="00330E3E" w:rsidRDefault="00A9251A" w:rsidP="000F4788">
      <w:pPr>
        <w:rPr>
          <w:rFonts w:ascii="Garamond" w:hAnsi="Garamond"/>
        </w:rPr>
      </w:pPr>
      <w:r w:rsidRPr="00330E3E" w:rsidDel="00A33859">
        <w:rPr>
          <w:rFonts w:ascii="Garamond" w:eastAsia="Calibri" w:hAnsi="Garamond"/>
        </w:rPr>
        <w:t xml:space="preserve">DASH will work with PS13-1308 funded agencies to determine program impact. Funded agencies include LEAs (local education agencies), SEAs (state education agencies), and NGOs (non-governmental organizations).  LEAs and SEAs have been funded under PS13-1308 because they are critical for determining school curricula, policies, and services. </w:t>
      </w:r>
      <w:r w:rsidRPr="00330E3E">
        <w:rPr>
          <w:rFonts w:ascii="Garamond" w:eastAsia="Calibri" w:hAnsi="Garamond"/>
        </w:rPr>
        <w:t xml:space="preserve">Through school curricula, policies, and services, schools and districts can influence students’ risk for HIV infection and other STD through a variety of ways, including sexual health education, provision of or referral to physical and mental health services, and establishment of a safe and supportive environment that provides social and emotional support to young people, particularly those at high risk for HIV- and STD-related behaviors.  NGOs have been funded under PS13-1308 because they provide valuable support for HIV prevention efforts conducted by education agencies and other agencies that serve youth at risk for HIV infection and other STD. NGOs have access to a wide range of highly trained experts who know how to appropriately tailor and disseminate HIV and STD prevention guidance and tools for school board members, administrators, teachers, and parents. NGOs also have the capacity to use a wide range of media to transmit critical information and skills across the Nation. In addition, NGOs help education agencies develop strategic partnerships and collaborations, including coalitions, to advance HIV/STD prevention work. </w:t>
      </w:r>
      <w:r>
        <w:rPr>
          <w:rFonts w:ascii="Garamond" w:hAnsi="Garamond"/>
        </w:rPr>
        <w:t xml:space="preserve">See </w:t>
      </w:r>
      <w:r w:rsidRPr="006959E1">
        <w:rPr>
          <w:rFonts w:ascii="Garamond" w:hAnsi="Garamond"/>
          <w:b/>
        </w:rPr>
        <w:t>Attachment 6</w:t>
      </w:r>
      <w:r>
        <w:rPr>
          <w:rFonts w:ascii="Garamond" w:hAnsi="Garamond"/>
        </w:rPr>
        <w:t xml:space="preserve"> for a complete list of funded agencies.</w:t>
      </w:r>
    </w:p>
    <w:p w14:paraId="365DF8D7" w14:textId="77777777" w:rsidR="00A9251A" w:rsidRPr="00330E3E" w:rsidRDefault="00A9251A" w:rsidP="00A9251A">
      <w:pPr>
        <w:ind w:firstLine="720"/>
        <w:rPr>
          <w:rFonts w:ascii="Garamond" w:eastAsia="Calibri" w:hAnsi="Garamond"/>
        </w:rPr>
      </w:pPr>
    </w:p>
    <w:p w14:paraId="4E20267F" w14:textId="77777777" w:rsidR="00A9251A" w:rsidRPr="00330E3E" w:rsidRDefault="00A9251A" w:rsidP="000F4788">
      <w:pPr>
        <w:rPr>
          <w:rFonts w:ascii="Garamond" w:eastAsia="Calibri" w:hAnsi="Garamond"/>
        </w:rPr>
      </w:pPr>
      <w:r w:rsidRPr="00330E3E">
        <w:rPr>
          <w:rFonts w:ascii="Garamond" w:eastAsia="Calibri" w:hAnsi="Garamond"/>
        </w:rPr>
        <w:t xml:space="preserve">The two strategies of PS13-1308 that will be completed using this data collection include Strategy 2: School-Based HIV/STD Prevention and Strategy 3: Capacity Building Assistance for School-Based HIV/STD Prevention.  </w:t>
      </w:r>
      <w:r w:rsidRPr="00330E3E">
        <w:rPr>
          <w:rFonts w:ascii="Garamond" w:eastAsia="Calibri" w:hAnsi="Garamond"/>
          <w:b/>
        </w:rPr>
        <w:t>Strategy 2: School-Based HIV/STD Prevention</w:t>
      </w:r>
      <w:r w:rsidRPr="00330E3E">
        <w:rPr>
          <w:rFonts w:ascii="Garamond" w:eastAsia="Calibri" w:hAnsi="Garamond"/>
        </w:rPr>
        <w:t xml:space="preserve"> will enable SEAs and LEAs to help districts and schools deliver exemplary sexual health education (ESHE) emphasizing HIV and other STD prevention; increase adolescent access to key sexual health services (SHS); and establish safe and supportive environments (SSE) for students and staff. </w:t>
      </w:r>
      <w:r>
        <w:rPr>
          <w:rFonts w:ascii="Garamond" w:eastAsia="Calibri" w:hAnsi="Garamond"/>
        </w:rPr>
        <w:t>As part of the PS13-1308 cooperative agreement, f</w:t>
      </w:r>
      <w:r w:rsidRPr="00330E3E">
        <w:rPr>
          <w:rFonts w:ascii="Garamond" w:eastAsia="Calibri" w:hAnsi="Garamond"/>
        </w:rPr>
        <w:t xml:space="preserve">unded agencies will implement program activities related to ESHE that will influence school policies and practices for </w:t>
      </w:r>
      <w:r w:rsidRPr="00330E3E">
        <w:rPr>
          <w:rFonts w:ascii="Garamond" w:eastAsia="Calibri" w:hAnsi="Garamond"/>
          <w:bCs/>
          <w:i/>
          <w:iCs/>
        </w:rPr>
        <w:t>all</w:t>
      </w:r>
      <w:r w:rsidRPr="00330E3E">
        <w:rPr>
          <w:rFonts w:ascii="Garamond" w:eastAsia="Calibri" w:hAnsi="Garamond"/>
          <w:b/>
          <w:bCs/>
          <w:i/>
          <w:iCs/>
        </w:rPr>
        <w:t xml:space="preserve"> </w:t>
      </w:r>
      <w:r w:rsidRPr="00330E3E">
        <w:rPr>
          <w:rFonts w:ascii="Garamond" w:eastAsia="Calibri" w:hAnsi="Garamond"/>
        </w:rPr>
        <w:t xml:space="preserve">secondary school students within their jurisdictions. In addition, technical assistance activities related to ESHE, SHS, and SSE will be implemented in </w:t>
      </w:r>
      <w:r w:rsidRPr="00330E3E">
        <w:rPr>
          <w:rFonts w:ascii="Garamond" w:eastAsia="Calibri" w:hAnsi="Garamond"/>
          <w:bCs/>
          <w:i/>
          <w:iCs/>
        </w:rPr>
        <w:t>priority</w:t>
      </w:r>
      <w:r w:rsidRPr="00330E3E">
        <w:rPr>
          <w:rFonts w:ascii="Garamond" w:eastAsia="Calibri" w:hAnsi="Garamond"/>
          <w:b/>
          <w:bCs/>
          <w:i/>
          <w:iCs/>
        </w:rPr>
        <w:t xml:space="preserve"> </w:t>
      </w:r>
      <w:r w:rsidRPr="00330E3E">
        <w:rPr>
          <w:rFonts w:ascii="Garamond" w:eastAsia="Calibri" w:hAnsi="Garamond"/>
        </w:rPr>
        <w:t xml:space="preserve">districts and </w:t>
      </w:r>
      <w:r w:rsidRPr="00330E3E">
        <w:rPr>
          <w:rFonts w:ascii="Garamond" w:eastAsia="Calibri" w:hAnsi="Garamond"/>
          <w:i/>
        </w:rPr>
        <w:t xml:space="preserve">priority </w:t>
      </w:r>
      <w:r w:rsidRPr="00330E3E">
        <w:rPr>
          <w:rFonts w:ascii="Garamond" w:eastAsia="Calibri" w:hAnsi="Garamond"/>
        </w:rPr>
        <w:t xml:space="preserve">schools. LEAs will be implementing activities in 20 priority schools and SEAs will be implementing activities in 15 priority districts.  Priority districts and schools in this package refer to high-risk districts and schools in the jurisdiction of funded agencies. These priority sites were selected during the first year that funds were disseminated under PS13-1308. The SEAs and LEAs selected their priority sites based on information regarding the site’s health policies and vital statistics, as well as input from site staff, DASH, and funded NGOs.   </w:t>
      </w:r>
      <w:r w:rsidRPr="00330E3E">
        <w:rPr>
          <w:rFonts w:ascii="Garamond" w:eastAsia="Calibri" w:hAnsi="Garamond"/>
          <w:b/>
        </w:rPr>
        <w:t>Strategy 3: Capacity Building Assistance for School-Based HIV/STD Prevention</w:t>
      </w:r>
      <w:r w:rsidRPr="00330E3E">
        <w:rPr>
          <w:rFonts w:ascii="Garamond" w:eastAsia="Calibri" w:hAnsi="Garamond"/>
        </w:rPr>
        <w:t xml:space="preserve"> will enable NGOs to build the capacity of funded LEAs and SEAs to implement approaches within Strategy 2 (ESHE, SHS, SSE) and to deliver sustainable initiatives in districts and schools that contribute to reductions in HIV infection and other STD among adolescents, and reductions in disparities in HIV infection and other STD experienced by specific adolescent sub-populations.  </w:t>
      </w:r>
      <w:r>
        <w:rPr>
          <w:rFonts w:ascii="Garamond" w:eastAsia="Calibri" w:hAnsi="Garamond"/>
        </w:rPr>
        <w:t>Rationale for</w:t>
      </w:r>
      <w:r w:rsidRPr="00330E3E">
        <w:rPr>
          <w:rFonts w:ascii="Garamond" w:eastAsia="Calibri" w:hAnsi="Garamond"/>
        </w:rPr>
        <w:t xml:space="preserve"> ESHE, SHS, and SSE approaches can be found in </w:t>
      </w:r>
      <w:r w:rsidRPr="00926190">
        <w:rPr>
          <w:rFonts w:ascii="Garamond" w:eastAsia="Calibri" w:hAnsi="Garamond"/>
          <w:b/>
        </w:rPr>
        <w:t>Attachment</w:t>
      </w:r>
      <w:r>
        <w:rPr>
          <w:rFonts w:ascii="Garamond" w:eastAsia="Calibri" w:hAnsi="Garamond"/>
          <w:b/>
        </w:rPr>
        <w:t>s 9</w:t>
      </w:r>
      <w:r w:rsidRPr="00926190">
        <w:rPr>
          <w:rFonts w:ascii="Garamond" w:eastAsia="Calibri" w:hAnsi="Garamond"/>
          <w:b/>
        </w:rPr>
        <w:t>a, b &amp;c</w:t>
      </w:r>
      <w:r w:rsidRPr="00330E3E">
        <w:rPr>
          <w:rFonts w:ascii="Garamond" w:eastAsia="Calibri" w:hAnsi="Garamond"/>
        </w:rPr>
        <w:t>.</w:t>
      </w:r>
    </w:p>
    <w:p w14:paraId="4271C089" w14:textId="77777777" w:rsidR="00A9251A" w:rsidRPr="00330E3E" w:rsidRDefault="00A9251A" w:rsidP="00A9251A">
      <w:pPr>
        <w:ind w:firstLine="720"/>
        <w:rPr>
          <w:rFonts w:ascii="Garamond" w:eastAsia="Calibri" w:hAnsi="Garamond"/>
        </w:rPr>
      </w:pPr>
      <w:r>
        <w:rPr>
          <w:rFonts w:ascii="Garamond" w:eastAsia="Calibri" w:hAnsi="Garamond"/>
        </w:rPr>
        <w:t xml:space="preserve"> </w:t>
      </w:r>
    </w:p>
    <w:p w14:paraId="20F41EEA" w14:textId="77777777" w:rsidR="00A9251A" w:rsidRPr="00330E3E" w:rsidRDefault="00A9251A" w:rsidP="000F4788">
      <w:pPr>
        <w:rPr>
          <w:rFonts w:ascii="Garamond" w:eastAsia="Calibri" w:hAnsi="Garamond"/>
        </w:rPr>
      </w:pPr>
      <w:r w:rsidRPr="00330E3E">
        <w:rPr>
          <w:rFonts w:ascii="Garamond" w:eastAsia="Calibri" w:hAnsi="Garamond"/>
        </w:rPr>
        <w:t xml:space="preserve">The linkages between the SEAs, LEAs, and the NGOs can be seen in </w:t>
      </w:r>
      <w:r w:rsidRPr="00330E3E">
        <w:rPr>
          <w:rFonts w:ascii="Garamond" w:eastAsia="Calibri" w:hAnsi="Garamond"/>
          <w:b/>
        </w:rPr>
        <w:t>Figure A.1-1</w:t>
      </w:r>
      <w:r w:rsidRPr="00330E3E">
        <w:rPr>
          <w:rFonts w:ascii="Garamond" w:eastAsia="Calibri" w:hAnsi="Garamond"/>
        </w:rPr>
        <w:t>.</w:t>
      </w:r>
    </w:p>
    <w:p w14:paraId="5052B400" w14:textId="26049CCA" w:rsidR="00A9251A" w:rsidRPr="00330E3E" w:rsidRDefault="00A9251A" w:rsidP="00A9251A">
      <w:pPr>
        <w:ind w:firstLine="720"/>
        <w:rPr>
          <w:rFonts w:ascii="Garamond" w:hAnsi="Garamond"/>
        </w:rPr>
      </w:pPr>
      <w:r>
        <w:rPr>
          <w:rFonts w:ascii="Garamond" w:hAnsi="Garamond"/>
          <w:noProof/>
        </w:rPr>
        <w:drawing>
          <wp:inline distT="0" distB="0" distL="0" distR="0" wp14:anchorId="151407D7" wp14:editId="3C7D72C3">
            <wp:extent cx="5581650" cy="3200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581650" cy="3200400"/>
                    </a:xfrm>
                    <a:prstGeom prst="rect">
                      <a:avLst/>
                    </a:prstGeom>
                    <a:noFill/>
                    <a:ln w="9525">
                      <a:noFill/>
                      <a:miter lim="800000"/>
                      <a:headEnd/>
                      <a:tailEnd/>
                    </a:ln>
                  </pic:spPr>
                </pic:pic>
              </a:graphicData>
            </a:graphic>
          </wp:inline>
        </w:drawing>
      </w:r>
      <w:r>
        <w:rPr>
          <w:rFonts w:ascii="Garamond" w:hAnsi="Garamond"/>
          <w:noProof/>
        </w:rPr>
        <mc:AlternateContent>
          <mc:Choice Requires="wps">
            <w:drawing>
              <wp:anchor distT="0" distB="0" distL="114300" distR="114300" simplePos="0" relativeHeight="251659264" behindDoc="0" locked="0" layoutInCell="1" allowOverlap="1" wp14:anchorId="33A86A66" wp14:editId="5F069070">
                <wp:simplePos x="0" y="0"/>
                <wp:positionH relativeFrom="column">
                  <wp:posOffset>66675</wp:posOffset>
                </wp:positionH>
                <wp:positionV relativeFrom="paragraph">
                  <wp:posOffset>158750</wp:posOffset>
                </wp:positionV>
                <wp:extent cx="5908040" cy="2108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778B1" w14:textId="77777777" w:rsidR="000F4788" w:rsidRPr="00990976" w:rsidRDefault="000F4788" w:rsidP="00A9251A">
                            <w:pPr>
                              <w:pStyle w:val="Caption"/>
                              <w:spacing w:after="0" w:line="240" w:lineRule="auto"/>
                              <w:ind w:left="-720"/>
                              <w:jc w:val="center"/>
                              <w:rPr>
                                <w:rFonts w:eastAsia="Calibri"/>
                                <w:noProof/>
                                <w:color w:val="auto"/>
                                <w:sz w:val="24"/>
                                <w:szCs w:val="24"/>
                              </w:rPr>
                            </w:pPr>
                            <w:r w:rsidRPr="00990976">
                              <w:rPr>
                                <w:color w:val="auto"/>
                                <w:sz w:val="24"/>
                                <w:szCs w:val="24"/>
                              </w:rPr>
                              <w:t xml:space="preserve">Figure </w:t>
                            </w:r>
                            <w:r>
                              <w:rPr>
                                <w:color w:val="auto"/>
                                <w:sz w:val="24"/>
                                <w:szCs w:val="24"/>
                              </w:rPr>
                              <w:t>A.1-</w:t>
                            </w:r>
                            <w:r w:rsidRPr="00990976">
                              <w:rPr>
                                <w:color w:val="auto"/>
                                <w:sz w:val="24"/>
                                <w:szCs w:val="24"/>
                              </w:rPr>
                              <w:fldChar w:fldCharType="begin"/>
                            </w:r>
                            <w:r w:rsidRPr="00990976">
                              <w:rPr>
                                <w:color w:val="auto"/>
                                <w:sz w:val="24"/>
                                <w:szCs w:val="24"/>
                              </w:rPr>
                              <w:instrText xml:space="preserve"> SEQ Figure \* ARABIC </w:instrText>
                            </w:r>
                            <w:r w:rsidRPr="00990976">
                              <w:rPr>
                                <w:color w:val="auto"/>
                                <w:sz w:val="24"/>
                                <w:szCs w:val="24"/>
                              </w:rPr>
                              <w:fldChar w:fldCharType="separate"/>
                            </w:r>
                            <w:r>
                              <w:rPr>
                                <w:noProof/>
                                <w:color w:val="auto"/>
                                <w:sz w:val="24"/>
                                <w:szCs w:val="24"/>
                              </w:rPr>
                              <w:t>1</w:t>
                            </w:r>
                            <w:r w:rsidRPr="00990976">
                              <w:rPr>
                                <w:color w:val="auto"/>
                                <w:sz w:val="24"/>
                                <w:szCs w:val="24"/>
                              </w:rPr>
                              <w:fldChar w:fldCharType="end"/>
                            </w:r>
                            <w:r w:rsidRPr="00990976">
                              <w:rPr>
                                <w:color w:val="auto"/>
                                <w:sz w:val="24"/>
                                <w:szCs w:val="24"/>
                              </w:rPr>
                              <w:t>. Linkages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25pt;margin-top:12.5pt;width:465.2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91fAIAAAYF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" stroked="f">
                <v:textbox inset="0,0,0,0">
                  <w:txbxContent>
                    <w:p w14:paraId="6F6778B1" w14:textId="77777777" w:rsidR="000F4788" w:rsidRPr="00990976" w:rsidRDefault="000F4788" w:rsidP="00A9251A">
                      <w:pPr>
                        <w:pStyle w:val="Caption"/>
                        <w:spacing w:after="0" w:line="240" w:lineRule="auto"/>
                        <w:ind w:left="-720"/>
                        <w:jc w:val="center"/>
                        <w:rPr>
                          <w:rFonts w:eastAsia="Calibri"/>
                          <w:noProof/>
                          <w:color w:val="auto"/>
                          <w:sz w:val="24"/>
                          <w:szCs w:val="24"/>
                        </w:rPr>
                      </w:pPr>
                      <w:r w:rsidRPr="00990976">
                        <w:rPr>
                          <w:color w:val="auto"/>
                          <w:sz w:val="24"/>
                          <w:szCs w:val="24"/>
                        </w:rPr>
                        <w:t xml:space="preserve">Figure </w:t>
                      </w:r>
                      <w:r>
                        <w:rPr>
                          <w:color w:val="auto"/>
                          <w:sz w:val="24"/>
                          <w:szCs w:val="24"/>
                        </w:rPr>
                        <w:t>A.1-</w:t>
                      </w:r>
                      <w:r w:rsidRPr="00990976">
                        <w:rPr>
                          <w:color w:val="auto"/>
                          <w:sz w:val="24"/>
                          <w:szCs w:val="24"/>
                        </w:rPr>
                        <w:fldChar w:fldCharType="begin"/>
                      </w:r>
                      <w:r w:rsidRPr="00990976">
                        <w:rPr>
                          <w:color w:val="auto"/>
                          <w:sz w:val="24"/>
                          <w:szCs w:val="24"/>
                        </w:rPr>
                        <w:instrText xml:space="preserve"> SEQ Figure \* ARABIC </w:instrText>
                      </w:r>
                      <w:r w:rsidRPr="00990976">
                        <w:rPr>
                          <w:color w:val="auto"/>
                          <w:sz w:val="24"/>
                          <w:szCs w:val="24"/>
                        </w:rPr>
                        <w:fldChar w:fldCharType="separate"/>
                      </w:r>
                      <w:r>
                        <w:rPr>
                          <w:noProof/>
                          <w:color w:val="auto"/>
                          <w:sz w:val="24"/>
                          <w:szCs w:val="24"/>
                        </w:rPr>
                        <w:t>1</w:t>
                      </w:r>
                      <w:r w:rsidRPr="00990976">
                        <w:rPr>
                          <w:color w:val="auto"/>
                          <w:sz w:val="24"/>
                          <w:szCs w:val="24"/>
                        </w:rPr>
                        <w:fldChar w:fldCharType="end"/>
                      </w:r>
                      <w:r w:rsidRPr="00990976">
                        <w:rPr>
                          <w:color w:val="auto"/>
                          <w:sz w:val="24"/>
                          <w:szCs w:val="24"/>
                        </w:rPr>
                        <w:t>. Linkages</w:t>
                      </w:r>
                    </w:p>
                  </w:txbxContent>
                </v:textbox>
                <w10:wrap type="square"/>
              </v:shape>
            </w:pict>
          </mc:Fallback>
        </mc:AlternateContent>
      </w:r>
    </w:p>
    <w:p w14:paraId="0FD0384C" w14:textId="77777777" w:rsidR="00A9251A" w:rsidRPr="00330E3E" w:rsidRDefault="00A9251A" w:rsidP="00A9251A">
      <w:pPr>
        <w:ind w:firstLine="720"/>
        <w:rPr>
          <w:rFonts w:ascii="Garamond" w:eastAsia="Calibri" w:hAnsi="Garamond"/>
        </w:rPr>
      </w:pPr>
    </w:p>
    <w:p w14:paraId="420C7C59" w14:textId="77777777" w:rsidR="00A9251A" w:rsidRPr="00330E3E" w:rsidRDefault="00A9251A" w:rsidP="00A9251A">
      <w:pPr>
        <w:ind w:firstLine="720"/>
        <w:rPr>
          <w:rFonts w:ascii="Garamond" w:eastAsia="Calibri" w:hAnsi="Garamond"/>
          <w:noProof/>
        </w:rPr>
      </w:pPr>
    </w:p>
    <w:p w14:paraId="740B39C5" w14:textId="4274BD91" w:rsidR="00A9251A" w:rsidRPr="00330E3E" w:rsidRDefault="00A9251A" w:rsidP="000F4788">
      <w:pPr>
        <w:rPr>
          <w:rFonts w:ascii="Garamond" w:eastAsia="Calibri" w:hAnsi="Garamond"/>
        </w:rPr>
      </w:pPr>
      <w:r w:rsidRPr="00330E3E">
        <w:rPr>
          <w:rFonts w:ascii="Garamond" w:eastAsia="Calibri" w:hAnsi="Garamond"/>
        </w:rPr>
        <w:t>The data will be collected from funded agencies via the Program Evaluation and Reporting System (PERS). DASH use</w:t>
      </w:r>
      <w:r>
        <w:rPr>
          <w:rFonts w:ascii="Garamond" w:eastAsia="Calibri" w:hAnsi="Garamond"/>
        </w:rPr>
        <w:t>s</w:t>
      </w:r>
      <w:r w:rsidRPr="00330E3E">
        <w:rPr>
          <w:rFonts w:ascii="Garamond" w:eastAsia="Calibri" w:hAnsi="Garamond"/>
        </w:rPr>
        <w:t xml:space="preserve"> PERS to organize, plan, and track activities conducted to meet performance and process measures established by DASH for each of the approaches (ESHE, SHS, SSE). PERS records will reflect affiliations between NGOs and their assigned SEAs or LEAs.  PERS will link each SEA with its priority districts, and each LEA with its priority schools. PERS will serve as a tracking system where those organizations can enter reporting information on a semi-annual basis that will be available to DASH. DASH will use the data on an ongoing basis </w:t>
      </w:r>
      <w:r>
        <w:rPr>
          <w:rFonts w:ascii="Garamond" w:eastAsia="Calibri" w:hAnsi="Garamond"/>
        </w:rPr>
        <w:t xml:space="preserve">to </w:t>
      </w:r>
      <w:r w:rsidRPr="00330E3E">
        <w:rPr>
          <w:rFonts w:ascii="Garamond" w:eastAsia="Calibri" w:hAnsi="Garamond"/>
        </w:rPr>
        <w:t>provide support, feedback, and technical assistance that improves program outcomes.</w:t>
      </w:r>
    </w:p>
    <w:p w14:paraId="6DB439CB" w14:textId="77777777" w:rsidR="00A9251A" w:rsidRPr="00330E3E" w:rsidRDefault="00A9251A" w:rsidP="00A9251A">
      <w:pPr>
        <w:ind w:firstLine="720"/>
        <w:rPr>
          <w:rFonts w:ascii="Garamond" w:eastAsia="Calibri" w:hAnsi="Garamond"/>
        </w:rPr>
      </w:pPr>
    </w:p>
    <w:p w14:paraId="361A0B12" w14:textId="77777777" w:rsidR="00A9251A" w:rsidRPr="00330E3E" w:rsidRDefault="00A9251A" w:rsidP="000F4788">
      <w:pPr>
        <w:rPr>
          <w:rFonts w:ascii="Garamond" w:hAnsi="Garamond"/>
        </w:rPr>
      </w:pPr>
      <w:r w:rsidRPr="00330E3E">
        <w:rPr>
          <w:rFonts w:ascii="Garamond" w:hAnsi="Garamond"/>
        </w:rPr>
        <w:t>The goal of the PERS is to provide a system through which funded agencies can enter data on their activities semi-annually to assist DASH staff and partners with meeting administrative, budgetary, and performance standards expected by CDC and the Procurement Governance Office (PGO).  To accomplish this, PERS will serve the following functions:</w:t>
      </w:r>
    </w:p>
    <w:p w14:paraId="202781CA" w14:textId="77777777" w:rsidR="00A9251A" w:rsidRPr="00330E3E" w:rsidRDefault="00A9251A" w:rsidP="00A9251A">
      <w:pPr>
        <w:pStyle w:val="ListParagraph"/>
        <w:widowControl/>
        <w:numPr>
          <w:ilvl w:val="0"/>
          <w:numId w:val="8"/>
        </w:numPr>
        <w:autoSpaceDE/>
        <w:autoSpaceDN/>
        <w:adjustRightInd/>
        <w:rPr>
          <w:rFonts w:ascii="Garamond" w:hAnsi="Garamond"/>
        </w:rPr>
      </w:pPr>
      <w:r w:rsidRPr="00330E3E">
        <w:rPr>
          <w:rFonts w:ascii="Garamond" w:hAnsi="Garamond"/>
        </w:rPr>
        <w:t>To help DASH organize and automate the data collection of their funded agencies’ activities that are conducted to meet performance and process measures</w:t>
      </w:r>
    </w:p>
    <w:p w14:paraId="26AAEA77" w14:textId="77777777" w:rsidR="00A9251A" w:rsidRPr="00330E3E" w:rsidRDefault="00A9251A" w:rsidP="00A9251A">
      <w:pPr>
        <w:pStyle w:val="ListParagraph"/>
        <w:widowControl/>
        <w:numPr>
          <w:ilvl w:val="0"/>
          <w:numId w:val="8"/>
        </w:numPr>
        <w:autoSpaceDE/>
        <w:autoSpaceDN/>
        <w:adjustRightInd/>
        <w:rPr>
          <w:rFonts w:ascii="Garamond" w:hAnsi="Garamond"/>
        </w:rPr>
      </w:pPr>
      <w:r w:rsidRPr="00330E3E">
        <w:rPr>
          <w:rFonts w:ascii="Garamond" w:hAnsi="Garamond"/>
        </w:rPr>
        <w:t xml:space="preserve">To aggregate data provided by funded agencies </w:t>
      </w:r>
    </w:p>
    <w:p w14:paraId="05F1A708" w14:textId="77777777" w:rsidR="00A9251A" w:rsidRPr="00330E3E" w:rsidRDefault="00A9251A" w:rsidP="00A9251A">
      <w:pPr>
        <w:pStyle w:val="ListParagraph"/>
        <w:widowControl/>
        <w:numPr>
          <w:ilvl w:val="0"/>
          <w:numId w:val="8"/>
        </w:numPr>
        <w:autoSpaceDE/>
        <w:autoSpaceDN/>
        <w:adjustRightInd/>
        <w:rPr>
          <w:rFonts w:ascii="Garamond" w:hAnsi="Garamond"/>
        </w:rPr>
      </w:pPr>
      <w:r w:rsidRPr="00330E3E">
        <w:rPr>
          <w:rFonts w:ascii="Garamond" w:hAnsi="Garamond"/>
        </w:rPr>
        <w:t>Once the data are collected, the system will help DASH generate reports and data sets that describe funded agency outcomes</w:t>
      </w:r>
    </w:p>
    <w:p w14:paraId="22A1A28B" w14:textId="77777777" w:rsidR="00A9251A" w:rsidRPr="00330E3E" w:rsidRDefault="00A9251A" w:rsidP="00A9251A">
      <w:pPr>
        <w:pStyle w:val="ListParagraph"/>
        <w:widowControl/>
        <w:numPr>
          <w:ilvl w:val="0"/>
          <w:numId w:val="8"/>
        </w:numPr>
        <w:autoSpaceDE/>
        <w:autoSpaceDN/>
        <w:adjustRightInd/>
        <w:rPr>
          <w:rFonts w:ascii="Garamond" w:hAnsi="Garamond"/>
        </w:rPr>
      </w:pPr>
      <w:r w:rsidRPr="00330E3E">
        <w:rPr>
          <w:rFonts w:ascii="Garamond" w:hAnsi="Garamond"/>
        </w:rPr>
        <w:t>To allow funded agencies to generate reports of their own data for program improvement</w:t>
      </w:r>
    </w:p>
    <w:p w14:paraId="2DE570A9" w14:textId="77777777" w:rsidR="00A9251A" w:rsidRPr="00330E3E" w:rsidRDefault="00A9251A" w:rsidP="00A9251A">
      <w:pPr>
        <w:pStyle w:val="ListParagraph"/>
        <w:widowControl/>
        <w:autoSpaceDE/>
        <w:autoSpaceDN/>
        <w:adjustRightInd/>
        <w:rPr>
          <w:rFonts w:ascii="Garamond" w:hAnsi="Garamond"/>
        </w:rPr>
      </w:pPr>
    </w:p>
    <w:p w14:paraId="561FC5C8" w14:textId="77777777" w:rsidR="00A9251A" w:rsidRPr="00330E3E" w:rsidRDefault="00A9251A" w:rsidP="000F4788">
      <w:pPr>
        <w:rPr>
          <w:rFonts w:ascii="Garamond" w:hAnsi="Garamond"/>
        </w:rPr>
      </w:pPr>
      <w:r w:rsidRPr="00330E3E">
        <w:rPr>
          <w:rFonts w:ascii="Garamond" w:eastAsia="Calibri" w:hAnsi="Garamond"/>
        </w:rPr>
        <w:t xml:space="preserve">DASH will use process and performance measures as a means to collect program </w:t>
      </w:r>
      <w:r>
        <w:rPr>
          <w:rFonts w:ascii="Garamond" w:eastAsia="Calibri" w:hAnsi="Garamond"/>
        </w:rPr>
        <w:t>monitoring</w:t>
      </w:r>
      <w:r w:rsidRPr="00330E3E">
        <w:rPr>
          <w:rFonts w:ascii="Garamond" w:eastAsia="Calibri" w:hAnsi="Garamond"/>
        </w:rPr>
        <w:t xml:space="preserve"> data (</w:t>
      </w:r>
      <w:r w:rsidRPr="00926190">
        <w:rPr>
          <w:rFonts w:ascii="Garamond" w:eastAsia="Calibri" w:hAnsi="Garamond"/>
          <w:b/>
        </w:rPr>
        <w:t>Attachments 3a, b &amp;c – 5a, b, &amp;c</w:t>
      </w:r>
      <w:r w:rsidRPr="00330E3E">
        <w:rPr>
          <w:rFonts w:ascii="Garamond" w:eastAsia="Calibri" w:hAnsi="Garamond"/>
        </w:rPr>
        <w:t xml:space="preserve"> for a complete list of the measures). To track funded agency progress and evaluate the effectiveness of program activities, DASH will be collecting a mix of process and performance measures in PERS.  </w:t>
      </w:r>
      <w:r w:rsidRPr="00330E3E">
        <w:rPr>
          <w:rFonts w:ascii="Garamond" w:hAnsi="Garamond"/>
        </w:rPr>
        <w:t xml:space="preserve">Process measures, which will be completed by SEAs, LEAs, and NGOs,  will assess the extent to which planned program activities have been implemented and lead to feasible and sustainable programmatic outcomes. Process measures include items on school health policy assessment and monitoring, and on providing training and technical assistance to partner education agencies and schools. Performance measures, which will be completed only by LEAs and SEAs, will assess whether DASH-funded activities at each site are leading to intended outcomes </w:t>
      </w:r>
    </w:p>
    <w:p w14:paraId="1BF360F3" w14:textId="77777777" w:rsidR="00A9251A" w:rsidRPr="00330E3E" w:rsidRDefault="00A9251A" w:rsidP="00A9251A">
      <w:pPr>
        <w:rPr>
          <w:rFonts w:ascii="Garamond" w:eastAsia="Calibri" w:hAnsi="Garamond"/>
        </w:rPr>
      </w:pPr>
    </w:p>
    <w:p w14:paraId="62DB1534" w14:textId="77777777" w:rsidR="00A9251A" w:rsidRPr="00330E3E" w:rsidRDefault="00A9251A" w:rsidP="000F4788">
      <w:pPr>
        <w:rPr>
          <w:rFonts w:ascii="Garamond" w:eastAsia="Calibri" w:hAnsi="Garamond"/>
        </w:rPr>
      </w:pPr>
      <w:r w:rsidRPr="00330E3E">
        <w:rPr>
          <w:rFonts w:ascii="Garamond" w:eastAsia="Calibri" w:hAnsi="Garamond"/>
        </w:rPr>
        <w:t xml:space="preserve">The process and performance measures will be collected twice a year to assist with the </w:t>
      </w:r>
      <w:r>
        <w:rPr>
          <w:rFonts w:ascii="Garamond" w:eastAsia="Calibri" w:hAnsi="Garamond"/>
        </w:rPr>
        <w:t>program improvement</w:t>
      </w:r>
      <w:r w:rsidRPr="00330E3E">
        <w:rPr>
          <w:rFonts w:ascii="Garamond" w:eastAsia="Calibri" w:hAnsi="Garamond"/>
        </w:rPr>
        <w:t xml:space="preserve"> of LEA, SEA, and NGO activities</w:t>
      </w:r>
      <w:r>
        <w:rPr>
          <w:rFonts w:ascii="Garamond" w:eastAsia="Calibri" w:hAnsi="Garamond"/>
        </w:rPr>
        <w:t xml:space="preserve"> (</w:t>
      </w:r>
      <w:r w:rsidRPr="00926190">
        <w:rPr>
          <w:rFonts w:ascii="Garamond" w:eastAsia="Calibri" w:hAnsi="Garamond"/>
          <w:b/>
        </w:rPr>
        <w:t>Attachments 3a, b &amp;c – 5a, b, &amp;c</w:t>
      </w:r>
      <w:r w:rsidRPr="00926190">
        <w:rPr>
          <w:rFonts w:ascii="Garamond" w:eastAsia="Calibri" w:hAnsi="Garamond"/>
        </w:rPr>
        <w:t>.</w:t>
      </w:r>
      <w:r>
        <w:rPr>
          <w:rFonts w:ascii="Garamond" w:eastAsia="Calibri" w:hAnsi="Garamond"/>
        </w:rPr>
        <w:t>)</w:t>
      </w:r>
      <w:r w:rsidRPr="00330E3E">
        <w:rPr>
          <w:rFonts w:ascii="Garamond" w:eastAsia="Calibri" w:hAnsi="Garamond"/>
        </w:rPr>
        <w:t>. DASH will request that LEAs, SEAs, and NGOs enter the data for their appropriate measures into PERS. The dates when data are requested will reflect PGO deadlines to provide timely feedback to funded agencies and DASH staff for accountability and optimal use of funds. SEAs and LEAs will complete questions for both process and performance measures, while NGOs will only complete one process measure.  Because NGOs are fulfilling a supporting role to the SEAs</w:t>
      </w:r>
      <w:r>
        <w:rPr>
          <w:rFonts w:ascii="Garamond" w:eastAsia="Calibri" w:hAnsi="Garamond"/>
        </w:rPr>
        <w:t xml:space="preserve"> and LEAs, we are not collecting performance measures</w:t>
      </w:r>
      <w:r w:rsidRPr="00330E3E">
        <w:rPr>
          <w:rFonts w:ascii="Garamond" w:eastAsia="Calibri" w:hAnsi="Garamond"/>
        </w:rPr>
        <w:t xml:space="preserve">.  Funded </w:t>
      </w:r>
      <w:r w:rsidRPr="00330E3E">
        <w:rPr>
          <w:rFonts w:ascii="Garamond" w:hAnsi="Garamond"/>
        </w:rPr>
        <w:t>agencies will also be asked semi-annually to</w:t>
      </w:r>
      <w:r w:rsidRPr="00330E3E">
        <w:rPr>
          <w:rFonts w:ascii="Garamond" w:eastAsia="Calibri" w:hAnsi="Garamond"/>
        </w:rPr>
        <w:t xml:space="preserve"> submit an electronic copy of their existing, new, and revised policies </w:t>
      </w:r>
      <w:r>
        <w:rPr>
          <w:rFonts w:ascii="Garamond" w:eastAsia="Calibri" w:hAnsi="Garamond"/>
        </w:rPr>
        <w:t>concerning any of their programmatic work</w:t>
      </w:r>
      <w:r w:rsidRPr="00330E3E">
        <w:rPr>
          <w:rFonts w:ascii="Garamond" w:eastAsia="Calibri" w:hAnsi="Garamond"/>
        </w:rPr>
        <w:t>. If such policies exist, funded agencies will be able to use PERS to upload the policy documents (or links to the documents) for DASH. This task will enable DASH to monitor policies that influence districts’ and schools’ work in these approaches.</w:t>
      </w:r>
    </w:p>
    <w:p w14:paraId="09C95E4F" w14:textId="750FC4BB" w:rsidR="00A9251A" w:rsidRPr="00330E3E" w:rsidRDefault="00A9251A" w:rsidP="00A9251A">
      <w:pPr>
        <w:ind w:firstLine="720"/>
        <w:rPr>
          <w:rFonts w:ascii="Garamond" w:eastAsia="Calibri" w:hAnsi="Garamond"/>
        </w:rPr>
      </w:pPr>
    </w:p>
    <w:p w14:paraId="526C7436" w14:textId="0020C143" w:rsidR="001D0212" w:rsidRPr="005E28F1" w:rsidRDefault="00A9251A" w:rsidP="000F4788">
      <w:pPr>
        <w:rPr>
          <w:rFonts w:ascii="Garamond" w:eastAsia="Calibri" w:hAnsi="Garamond"/>
        </w:rPr>
      </w:pPr>
      <w:r w:rsidRPr="00330E3E">
        <w:rPr>
          <w:rFonts w:ascii="Garamond" w:hAnsi="Garamond"/>
        </w:rPr>
        <w:t xml:space="preserve">The request involves use of web-based data collection methods.  The website does use cookies. Access to the web-based questionnaire is password-protected and given only to the staff of the DASH-funded SEAs, LEAs, and NGOs who will complete the questionnaires. </w:t>
      </w:r>
      <w:r w:rsidR="001D0212" w:rsidRPr="005E28F1">
        <w:rPr>
          <w:rFonts w:ascii="Garamond" w:hAnsi="Garamond"/>
        </w:rPr>
        <w:t xml:space="preserve">Data gathered from these questionnaires </w:t>
      </w:r>
      <w:r w:rsidR="00C50F3F" w:rsidRPr="005E28F1">
        <w:rPr>
          <w:rFonts w:ascii="Garamond" w:hAnsi="Garamond"/>
        </w:rPr>
        <w:t xml:space="preserve">will allow DASH to assess programmatic activities among </w:t>
      </w:r>
      <w:r w:rsidR="00BA1F65" w:rsidRPr="005E28F1">
        <w:rPr>
          <w:rFonts w:ascii="Garamond" w:hAnsi="Garamond"/>
        </w:rPr>
        <w:t>LEAs, SEAs, and NGOs</w:t>
      </w:r>
      <w:r w:rsidR="00C50F3F" w:rsidRPr="005E28F1">
        <w:rPr>
          <w:rFonts w:ascii="Garamond" w:hAnsi="Garamond"/>
        </w:rPr>
        <w:t xml:space="preserve"> funded by DASH to ensure </w:t>
      </w:r>
      <w:r w:rsidR="00A65E0D" w:rsidRPr="005E28F1">
        <w:rPr>
          <w:rFonts w:ascii="Garamond" w:hAnsi="Garamond"/>
        </w:rPr>
        <w:t>funded agencies</w:t>
      </w:r>
      <w:r w:rsidR="00C50F3F" w:rsidRPr="005E28F1">
        <w:rPr>
          <w:rFonts w:ascii="Garamond" w:hAnsi="Garamond"/>
        </w:rPr>
        <w:t xml:space="preserve"> are </w:t>
      </w:r>
      <w:r w:rsidR="00C50F3F" w:rsidRPr="005E28F1">
        <w:rPr>
          <w:rFonts w:ascii="Garamond" w:eastAsia="Calibri" w:hAnsi="Garamond"/>
        </w:rPr>
        <w:t>implementing approaches that will ultimately improve HIV/STD prevention practices</w:t>
      </w:r>
      <w:r w:rsidR="00CE00E1" w:rsidRPr="005E28F1">
        <w:rPr>
          <w:rFonts w:ascii="Garamond" w:eastAsia="Calibri" w:hAnsi="Garamond"/>
        </w:rPr>
        <w:t xml:space="preserve"> and services</w:t>
      </w:r>
      <w:r w:rsidR="00C50F3F" w:rsidRPr="005E28F1">
        <w:rPr>
          <w:rFonts w:ascii="Garamond" w:eastAsia="Calibri" w:hAnsi="Garamond"/>
        </w:rPr>
        <w:t xml:space="preserve"> in secondary schools, contribute to reductions in HIV/STD infections among adolescents, and reduc</w:t>
      </w:r>
      <w:r w:rsidR="00CE00E1" w:rsidRPr="005E28F1">
        <w:rPr>
          <w:rFonts w:ascii="Garamond" w:eastAsia="Calibri" w:hAnsi="Garamond"/>
        </w:rPr>
        <w:t>e</w:t>
      </w:r>
      <w:r w:rsidR="00C50F3F" w:rsidRPr="005E28F1">
        <w:rPr>
          <w:rFonts w:ascii="Garamond" w:eastAsia="Calibri" w:hAnsi="Garamond"/>
        </w:rPr>
        <w:t xml:space="preserve"> disparities in HIV/STD infections experienced by specific adolescent sub-populations</w:t>
      </w:r>
      <w:r w:rsidR="00273B2F" w:rsidRPr="005E28F1">
        <w:rPr>
          <w:rFonts w:ascii="Garamond" w:eastAsia="Calibri" w:hAnsi="Garamond"/>
        </w:rPr>
        <w:t>.</w:t>
      </w:r>
    </w:p>
    <w:p w14:paraId="25B316A8" w14:textId="77777777" w:rsidR="00273B2F" w:rsidRPr="00330E3E" w:rsidRDefault="00273B2F" w:rsidP="00273B2F">
      <w:pPr>
        <w:rPr>
          <w:rFonts w:ascii="Garamond" w:eastAsia="Calibri" w:hAnsi="Garamond"/>
        </w:rPr>
      </w:pPr>
    </w:p>
    <w:p w14:paraId="6278F91B" w14:textId="7D707E64" w:rsidR="001D0212" w:rsidRPr="00330E3E" w:rsidRDefault="001D0212" w:rsidP="000F4788">
      <w:pPr>
        <w:rPr>
          <w:rFonts w:ascii="Garamond" w:hAnsi="Garamond"/>
        </w:rPr>
      </w:pPr>
      <w:r w:rsidRPr="00330E3E">
        <w:rPr>
          <w:rFonts w:ascii="Garamond" w:hAnsi="Garamond"/>
        </w:rPr>
        <w:t xml:space="preserve">In addition, the results of the questionnaires are used by </w:t>
      </w:r>
      <w:r w:rsidR="00BA1F65" w:rsidRPr="00330E3E">
        <w:rPr>
          <w:rFonts w:ascii="Garamond" w:hAnsi="Garamond"/>
        </w:rPr>
        <w:t>DASH</w:t>
      </w:r>
      <w:r w:rsidRPr="00330E3E">
        <w:rPr>
          <w:rFonts w:ascii="Garamond" w:hAnsi="Garamond"/>
        </w:rPr>
        <w:t xml:space="preserve"> to make recommendations about HIV prevention in LEAs and SEAs</w:t>
      </w:r>
      <w:r w:rsidR="00C41B78" w:rsidRPr="00330E3E">
        <w:rPr>
          <w:rFonts w:ascii="Garamond" w:hAnsi="Garamond"/>
        </w:rPr>
        <w:t xml:space="preserve"> a</w:t>
      </w:r>
      <w:r w:rsidRPr="00330E3E">
        <w:rPr>
          <w:rFonts w:ascii="Garamond" w:hAnsi="Garamond"/>
        </w:rPr>
        <w:t>nd about future program needs in these areas.  The data may be used by other federal agencies to make policy decisions and to set priorities for research, demonstration</w:t>
      </w:r>
      <w:r w:rsidR="00693967" w:rsidRPr="00330E3E">
        <w:rPr>
          <w:rFonts w:ascii="Garamond" w:hAnsi="Garamond"/>
        </w:rPr>
        <w:t xml:space="preserve"> and service projects.  State</w:t>
      </w:r>
      <w:r w:rsidRPr="00330E3E">
        <w:rPr>
          <w:rFonts w:ascii="Garamond" w:hAnsi="Garamond"/>
        </w:rPr>
        <w:t xml:space="preserve"> and local health </w:t>
      </w:r>
      <w:r w:rsidR="00693967" w:rsidRPr="00330E3E">
        <w:rPr>
          <w:rFonts w:ascii="Garamond" w:hAnsi="Garamond"/>
        </w:rPr>
        <w:t xml:space="preserve">departments </w:t>
      </w:r>
      <w:r w:rsidRPr="00330E3E">
        <w:rPr>
          <w:rFonts w:ascii="Garamond" w:hAnsi="Garamond"/>
        </w:rPr>
        <w:t xml:space="preserve">and education agencies use the results to </w:t>
      </w:r>
      <w:r w:rsidR="00823980" w:rsidRPr="00330E3E">
        <w:rPr>
          <w:rFonts w:ascii="Garamond" w:hAnsi="Garamond"/>
        </w:rPr>
        <w:t>improve programs and practices</w:t>
      </w:r>
      <w:r w:rsidR="00CE00E1" w:rsidRPr="00330E3E">
        <w:rPr>
          <w:rFonts w:ascii="Garamond" w:hAnsi="Garamond"/>
        </w:rPr>
        <w:t>.</w:t>
      </w:r>
      <w:r w:rsidR="00823980" w:rsidRPr="00330E3E">
        <w:rPr>
          <w:rStyle w:val="CommentReference"/>
          <w:rFonts w:ascii="Garamond" w:hAnsi="Garamond"/>
        </w:rPr>
        <w:t xml:space="preserve"> </w:t>
      </w:r>
      <w:r w:rsidRPr="00330E3E">
        <w:rPr>
          <w:rFonts w:ascii="Garamond" w:hAnsi="Garamond"/>
        </w:rPr>
        <w:t xml:space="preserve"> </w:t>
      </w:r>
    </w:p>
    <w:p w14:paraId="55F964FD" w14:textId="77777777" w:rsidR="00786106" w:rsidRPr="00330E3E" w:rsidRDefault="00786106" w:rsidP="00BA1F65">
      <w:pPr>
        <w:ind w:firstLine="720"/>
        <w:rPr>
          <w:rFonts w:ascii="Garamond" w:hAnsi="Garamond"/>
        </w:rPr>
      </w:pPr>
    </w:p>
    <w:p w14:paraId="5BA41221" w14:textId="77777777" w:rsidR="00864D92" w:rsidRPr="00330E3E" w:rsidRDefault="00693967" w:rsidP="000F4788">
      <w:pPr>
        <w:rPr>
          <w:rFonts w:ascii="Garamond" w:hAnsi="Garamond"/>
        </w:rPr>
      </w:pPr>
      <w:r w:rsidRPr="00330E3E">
        <w:rPr>
          <w:rFonts w:ascii="Garamond" w:hAnsi="Garamond"/>
        </w:rPr>
        <w:t xml:space="preserve">DASH has been </w:t>
      </w:r>
      <w:r w:rsidR="000B699B" w:rsidRPr="00330E3E">
        <w:rPr>
          <w:rFonts w:ascii="Garamond" w:hAnsi="Garamond"/>
        </w:rPr>
        <w:t>using</w:t>
      </w:r>
      <w:r w:rsidR="004C411E" w:rsidRPr="00330E3E">
        <w:rPr>
          <w:rFonts w:ascii="Garamond" w:hAnsi="Garamond"/>
        </w:rPr>
        <w:t xml:space="preserve"> </w:t>
      </w:r>
      <w:r w:rsidRPr="00330E3E">
        <w:rPr>
          <w:rFonts w:ascii="Garamond" w:hAnsi="Garamond"/>
        </w:rPr>
        <w:t>the CDC Framework for Program Evaluation</w:t>
      </w:r>
      <w:r w:rsidR="00D97318">
        <w:rPr>
          <w:rFonts w:ascii="Garamond" w:hAnsi="Garamond"/>
        </w:rPr>
        <w:t xml:space="preserve"> </w:t>
      </w:r>
      <w:r w:rsidR="00D97318" w:rsidRPr="00330E3E">
        <w:rPr>
          <w:rFonts w:ascii="Garamond" w:hAnsi="Garamond"/>
        </w:rPr>
        <w:t>(</w:t>
      </w:r>
      <w:r w:rsidR="00D97318" w:rsidRPr="00E35112">
        <w:rPr>
          <w:rFonts w:ascii="Garamond" w:hAnsi="Garamond"/>
        </w:rPr>
        <w:t xml:space="preserve">see </w:t>
      </w:r>
      <w:r w:rsidR="00D97318" w:rsidRPr="00E35112">
        <w:rPr>
          <w:rFonts w:ascii="Garamond" w:hAnsi="Garamond"/>
          <w:b/>
        </w:rPr>
        <w:t xml:space="preserve">Attachment </w:t>
      </w:r>
      <w:r w:rsidR="00D97318">
        <w:rPr>
          <w:rFonts w:ascii="Garamond" w:hAnsi="Garamond"/>
          <w:b/>
        </w:rPr>
        <w:t>11</w:t>
      </w:r>
      <w:r w:rsidR="00D97318">
        <w:rPr>
          <w:rFonts w:ascii="Garamond" w:hAnsi="Garamond"/>
        </w:rPr>
        <w:t xml:space="preserve">) </w:t>
      </w:r>
      <w:r w:rsidRPr="00330E3E">
        <w:rPr>
          <w:rFonts w:ascii="Garamond" w:hAnsi="Garamond"/>
        </w:rPr>
        <w:t xml:space="preserve">to ensure that the </w:t>
      </w:r>
      <w:r w:rsidR="00864D92" w:rsidRPr="00330E3E">
        <w:rPr>
          <w:rFonts w:ascii="Garamond" w:hAnsi="Garamond"/>
        </w:rPr>
        <w:t xml:space="preserve">data resulting from the questionnaires can be used to demonstrate program impact using procedures that are useful, feasible, ethical, and accurate.  </w:t>
      </w:r>
      <w:r w:rsidR="00274288" w:rsidRPr="00330E3E">
        <w:rPr>
          <w:rFonts w:ascii="Garamond" w:hAnsi="Garamond"/>
        </w:rPr>
        <w:t>Throughout the</w:t>
      </w:r>
      <w:r w:rsidR="00864D92" w:rsidRPr="00330E3E">
        <w:rPr>
          <w:rFonts w:ascii="Garamond" w:hAnsi="Garamond"/>
        </w:rPr>
        <w:t xml:space="preserve"> project period, DASH will work with each funded agency to demonstrate program impact through process and outcome </w:t>
      </w:r>
      <w:r w:rsidR="00111BD7">
        <w:rPr>
          <w:rFonts w:ascii="Garamond" w:hAnsi="Garamond"/>
        </w:rPr>
        <w:t>monitoring</w:t>
      </w:r>
      <w:r w:rsidR="00111BD7" w:rsidRPr="00330E3E">
        <w:rPr>
          <w:rFonts w:ascii="Garamond" w:hAnsi="Garamond"/>
        </w:rPr>
        <w:t xml:space="preserve"> </w:t>
      </w:r>
      <w:r w:rsidR="00864D92" w:rsidRPr="00330E3E">
        <w:rPr>
          <w:rFonts w:ascii="Garamond" w:hAnsi="Garamond"/>
        </w:rPr>
        <w:t xml:space="preserve">of DASH-funded activities. DASH will use process </w:t>
      </w:r>
      <w:r w:rsidR="00111BD7">
        <w:rPr>
          <w:rFonts w:ascii="Garamond" w:hAnsi="Garamond"/>
        </w:rPr>
        <w:t>monitoring</w:t>
      </w:r>
      <w:r w:rsidR="00111BD7" w:rsidRPr="00330E3E">
        <w:rPr>
          <w:rFonts w:ascii="Garamond" w:hAnsi="Garamond"/>
        </w:rPr>
        <w:t xml:space="preserve"> </w:t>
      </w:r>
      <w:r w:rsidR="00864D92" w:rsidRPr="00330E3E">
        <w:rPr>
          <w:rFonts w:ascii="Garamond" w:hAnsi="Garamond"/>
        </w:rPr>
        <w:t xml:space="preserve">to assess the extent to which planned program activities have been implemented and lead to feasible and sustainable programmatic outcomes. DASH will use outcome </w:t>
      </w:r>
      <w:r w:rsidR="00111BD7">
        <w:rPr>
          <w:rFonts w:ascii="Garamond" w:hAnsi="Garamond"/>
        </w:rPr>
        <w:t>monitoring</w:t>
      </w:r>
      <w:r w:rsidR="00111BD7" w:rsidRPr="00330E3E">
        <w:rPr>
          <w:rFonts w:ascii="Garamond" w:hAnsi="Garamond"/>
        </w:rPr>
        <w:t xml:space="preserve"> </w:t>
      </w:r>
      <w:r w:rsidR="00864D92" w:rsidRPr="00330E3E">
        <w:rPr>
          <w:rFonts w:ascii="Garamond" w:hAnsi="Garamond"/>
        </w:rPr>
        <w:t xml:space="preserve">to assess whether DASH-funded activities at each site are leading to intended outcomes. DASH </w:t>
      </w:r>
      <w:r w:rsidR="00986803" w:rsidRPr="00330E3E">
        <w:rPr>
          <w:rFonts w:ascii="Garamond" w:hAnsi="Garamond"/>
        </w:rPr>
        <w:t xml:space="preserve">and its </w:t>
      </w:r>
      <w:r w:rsidR="00C23F8B" w:rsidRPr="00330E3E">
        <w:rPr>
          <w:rFonts w:ascii="Garamond" w:hAnsi="Garamond"/>
        </w:rPr>
        <w:t>contractor</w:t>
      </w:r>
      <w:r w:rsidR="00986803" w:rsidRPr="00330E3E">
        <w:rPr>
          <w:rFonts w:ascii="Garamond" w:hAnsi="Garamond"/>
        </w:rPr>
        <w:t xml:space="preserve"> </w:t>
      </w:r>
      <w:r w:rsidR="00864D92" w:rsidRPr="00330E3E">
        <w:rPr>
          <w:rFonts w:ascii="Garamond" w:hAnsi="Garamond"/>
        </w:rPr>
        <w:t>will manage and analyze data submitted by funded agencies through PERS.</w:t>
      </w:r>
      <w:r w:rsidR="008C5653" w:rsidRPr="00330E3E">
        <w:rPr>
          <w:rFonts w:ascii="Garamond" w:hAnsi="Garamond"/>
        </w:rPr>
        <w:t xml:space="preserve">  </w:t>
      </w:r>
      <w:r w:rsidR="00864D92" w:rsidRPr="00330E3E">
        <w:rPr>
          <w:rFonts w:ascii="Garamond" w:hAnsi="Garamond"/>
        </w:rPr>
        <w:t xml:space="preserve">In addition, DASH will conduct content analyses of priority district and school policies </w:t>
      </w:r>
      <w:r w:rsidR="00FD3F78" w:rsidRPr="00330E3E">
        <w:rPr>
          <w:rFonts w:ascii="Garamond" w:hAnsi="Garamond"/>
        </w:rPr>
        <w:t xml:space="preserve">submitted by funded education agencies addressing one of the program approaches (EHSE, SHS, or SSE). </w:t>
      </w:r>
      <w:r w:rsidR="00D04398">
        <w:rPr>
          <w:rFonts w:ascii="Garamond" w:hAnsi="Garamond"/>
        </w:rPr>
        <w:t>A content analysis is a systematic coding of the text of a policy for themes, differences, or trends</w:t>
      </w:r>
      <w:r w:rsidR="004B2C21">
        <w:rPr>
          <w:rFonts w:ascii="Garamond" w:hAnsi="Garamond"/>
        </w:rPr>
        <w:t>.</w:t>
      </w:r>
      <w:r w:rsidR="00D04398">
        <w:rPr>
          <w:rFonts w:ascii="Garamond" w:hAnsi="Garamond"/>
        </w:rPr>
        <w:t xml:space="preserve"> </w:t>
      </w:r>
      <w:r w:rsidR="00FD3F78" w:rsidRPr="00330E3E">
        <w:rPr>
          <w:rFonts w:ascii="Garamond" w:hAnsi="Garamond"/>
        </w:rPr>
        <w:t xml:space="preserve">DASH will use the results of the content analysis to monitor policies of its funded partners and examine the characteristics of policies addressing the program approaches. </w:t>
      </w:r>
      <w:r w:rsidR="00864D92" w:rsidRPr="00330E3E">
        <w:rPr>
          <w:rFonts w:ascii="Garamond" w:hAnsi="Garamond"/>
        </w:rPr>
        <w:t xml:space="preserve">DASH will use overall </w:t>
      </w:r>
      <w:r w:rsidR="00111BD7">
        <w:rPr>
          <w:rFonts w:ascii="Garamond" w:hAnsi="Garamond"/>
        </w:rPr>
        <w:t>program monitoring</w:t>
      </w:r>
      <w:r w:rsidR="00111BD7" w:rsidRPr="00330E3E">
        <w:rPr>
          <w:rFonts w:ascii="Garamond" w:hAnsi="Garamond"/>
        </w:rPr>
        <w:t xml:space="preserve"> </w:t>
      </w:r>
      <w:r w:rsidR="008C5653" w:rsidRPr="00330E3E">
        <w:rPr>
          <w:rFonts w:ascii="Garamond" w:hAnsi="Garamond"/>
        </w:rPr>
        <w:t>findings during the</w:t>
      </w:r>
      <w:r w:rsidR="00864D92" w:rsidRPr="00330E3E">
        <w:rPr>
          <w:rFonts w:ascii="Garamond" w:hAnsi="Garamond"/>
        </w:rPr>
        <w:t xml:space="preserve"> project period to establish key recommendations for partners on program impact, sustainability, and continued program improvement. </w:t>
      </w:r>
    </w:p>
    <w:p w14:paraId="40585C1F" w14:textId="77777777" w:rsidR="00864D92" w:rsidRPr="00330E3E" w:rsidRDefault="00864D92" w:rsidP="00864D92">
      <w:pPr>
        <w:ind w:firstLine="720"/>
        <w:rPr>
          <w:rFonts w:ascii="Garamond" w:hAnsi="Garamond"/>
        </w:rPr>
      </w:pPr>
    </w:p>
    <w:p w14:paraId="18D2ECD4" w14:textId="77777777" w:rsidR="00181FAC" w:rsidRPr="00330E3E" w:rsidRDefault="00181FAC" w:rsidP="000F4788">
      <w:pPr>
        <w:rPr>
          <w:rFonts w:ascii="Garamond" w:eastAsia="Calibri" w:hAnsi="Garamond"/>
        </w:rPr>
      </w:pPr>
      <w:r w:rsidRPr="00330E3E">
        <w:rPr>
          <w:rFonts w:ascii="Garamond" w:eastAsia="Calibri" w:hAnsi="Garamond"/>
        </w:rPr>
        <w:t xml:space="preserve">The </w:t>
      </w:r>
      <w:r w:rsidR="00864D92" w:rsidRPr="00330E3E">
        <w:rPr>
          <w:rFonts w:ascii="Garamond" w:eastAsia="Calibri" w:hAnsi="Garamond"/>
        </w:rPr>
        <w:t xml:space="preserve">process and performance </w:t>
      </w:r>
      <w:r w:rsidRPr="00330E3E">
        <w:rPr>
          <w:rFonts w:ascii="Garamond" w:eastAsia="Calibri" w:hAnsi="Garamond"/>
        </w:rPr>
        <w:t>measures</w:t>
      </w:r>
      <w:r w:rsidR="00864D92" w:rsidRPr="00330E3E">
        <w:rPr>
          <w:rFonts w:ascii="Garamond" w:eastAsia="Calibri" w:hAnsi="Garamond"/>
        </w:rPr>
        <w:t xml:space="preserve"> developed by DASH in consultation with funded agencies</w:t>
      </w:r>
      <w:r w:rsidRPr="00330E3E">
        <w:rPr>
          <w:rFonts w:ascii="Garamond" w:eastAsia="Calibri" w:hAnsi="Garamond"/>
        </w:rPr>
        <w:t xml:space="preserve"> are intended to collect data that answer the following </w:t>
      </w:r>
      <w:r w:rsidR="00111BD7">
        <w:rPr>
          <w:rFonts w:ascii="Garamond" w:eastAsia="Calibri" w:hAnsi="Garamond"/>
        </w:rPr>
        <w:t>program improvement</w:t>
      </w:r>
      <w:r w:rsidR="00111BD7" w:rsidRPr="00330E3E">
        <w:rPr>
          <w:rFonts w:ascii="Garamond" w:eastAsia="Calibri" w:hAnsi="Garamond"/>
        </w:rPr>
        <w:t xml:space="preserve"> </w:t>
      </w:r>
      <w:r w:rsidRPr="00330E3E">
        <w:rPr>
          <w:rFonts w:ascii="Garamond" w:eastAsia="Calibri" w:hAnsi="Garamond"/>
        </w:rPr>
        <w:t>questions:</w:t>
      </w:r>
    </w:p>
    <w:p w14:paraId="6ED43324" w14:textId="77777777" w:rsidR="00181FAC" w:rsidRPr="00330E3E" w:rsidRDefault="00864D92" w:rsidP="0088117D">
      <w:pPr>
        <w:pStyle w:val="ListParagraph"/>
        <w:numPr>
          <w:ilvl w:val="0"/>
          <w:numId w:val="9"/>
        </w:numPr>
        <w:rPr>
          <w:rFonts w:ascii="Garamond" w:eastAsia="Calibri" w:hAnsi="Garamond"/>
        </w:rPr>
      </w:pPr>
      <w:r w:rsidRPr="00330E3E">
        <w:rPr>
          <w:rFonts w:ascii="Garamond" w:eastAsia="Calibri" w:hAnsi="Garamond"/>
        </w:rPr>
        <w:t xml:space="preserve">To what extent do </w:t>
      </w:r>
      <w:r w:rsidR="00181FAC" w:rsidRPr="00330E3E">
        <w:rPr>
          <w:rFonts w:ascii="Garamond" w:eastAsia="Calibri" w:hAnsi="Garamond"/>
        </w:rPr>
        <w:t xml:space="preserve">priority districts and </w:t>
      </w:r>
      <w:r w:rsidR="00274288" w:rsidRPr="00330E3E">
        <w:rPr>
          <w:rFonts w:ascii="Garamond" w:eastAsia="Calibri" w:hAnsi="Garamond"/>
        </w:rPr>
        <w:t xml:space="preserve">priority </w:t>
      </w:r>
      <w:r w:rsidR="00181FAC" w:rsidRPr="00330E3E">
        <w:rPr>
          <w:rFonts w:ascii="Garamond" w:eastAsia="Calibri" w:hAnsi="Garamond"/>
        </w:rPr>
        <w:t>schools implement exemplary sexual health education?</w:t>
      </w:r>
    </w:p>
    <w:p w14:paraId="5DBAD9C6" w14:textId="77777777"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 xml:space="preserve">To what extent do priority districts and </w:t>
      </w:r>
      <w:r w:rsidR="00274288" w:rsidRPr="00330E3E">
        <w:rPr>
          <w:rFonts w:ascii="Garamond" w:eastAsia="Calibri" w:hAnsi="Garamond"/>
        </w:rPr>
        <w:t xml:space="preserve">priority </w:t>
      </w:r>
      <w:r w:rsidRPr="00330E3E">
        <w:rPr>
          <w:rFonts w:ascii="Garamond" w:eastAsia="Calibri" w:hAnsi="Garamond"/>
        </w:rPr>
        <w:t>schools improve student access to key youth-friendly sexual health services?</w:t>
      </w:r>
    </w:p>
    <w:p w14:paraId="644157C5" w14:textId="77777777"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 xml:space="preserve">To what extent are priority districts and </w:t>
      </w:r>
      <w:r w:rsidR="00274288" w:rsidRPr="00330E3E">
        <w:rPr>
          <w:rFonts w:ascii="Garamond" w:eastAsia="Calibri" w:hAnsi="Garamond"/>
        </w:rPr>
        <w:t xml:space="preserve">priority </w:t>
      </w:r>
      <w:r w:rsidRPr="00330E3E">
        <w:rPr>
          <w:rFonts w:ascii="Garamond" w:eastAsia="Calibri" w:hAnsi="Garamond"/>
        </w:rPr>
        <w:t>schools able to create and maintain a safe and supportive environment for students and staff?</w:t>
      </w:r>
    </w:p>
    <w:p w14:paraId="39D10E69" w14:textId="77777777"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To what extent do NGOs increase the capacity o</w:t>
      </w:r>
      <w:r w:rsidR="00274288" w:rsidRPr="00330E3E">
        <w:rPr>
          <w:rFonts w:ascii="Garamond" w:eastAsia="Calibri" w:hAnsi="Garamond"/>
        </w:rPr>
        <w:t xml:space="preserve">f SEAs and </w:t>
      </w:r>
      <w:r w:rsidRPr="00330E3E">
        <w:rPr>
          <w:rFonts w:ascii="Garamond" w:eastAsia="Calibri" w:hAnsi="Garamond"/>
        </w:rPr>
        <w:t>LEA</w:t>
      </w:r>
      <w:r w:rsidR="00274288" w:rsidRPr="00330E3E">
        <w:rPr>
          <w:rFonts w:ascii="Garamond" w:eastAsia="Calibri" w:hAnsi="Garamond"/>
        </w:rPr>
        <w:t>s</w:t>
      </w:r>
      <w:r w:rsidRPr="00330E3E">
        <w:rPr>
          <w:rFonts w:ascii="Garamond" w:eastAsia="Calibri" w:hAnsi="Garamond"/>
        </w:rPr>
        <w:t xml:space="preserve"> to implement exemplary sexual health education in priority districts and </w:t>
      </w:r>
      <w:r w:rsidR="00274288" w:rsidRPr="00330E3E">
        <w:rPr>
          <w:rFonts w:ascii="Garamond" w:eastAsia="Calibri" w:hAnsi="Garamond"/>
        </w:rPr>
        <w:t>priority s</w:t>
      </w:r>
      <w:r w:rsidRPr="00330E3E">
        <w:rPr>
          <w:rFonts w:ascii="Garamond" w:eastAsia="Calibri" w:hAnsi="Garamond"/>
        </w:rPr>
        <w:t>chools?</w:t>
      </w:r>
    </w:p>
    <w:p w14:paraId="2422B6ED" w14:textId="77777777"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 xml:space="preserve">To what extent do NGOs increase the capacity of </w:t>
      </w:r>
      <w:r w:rsidR="00274288" w:rsidRPr="00330E3E">
        <w:rPr>
          <w:rFonts w:ascii="Garamond" w:eastAsia="Calibri" w:hAnsi="Garamond"/>
        </w:rPr>
        <w:t xml:space="preserve">SEAs and LEAs </w:t>
      </w:r>
      <w:r w:rsidRPr="00330E3E">
        <w:rPr>
          <w:rFonts w:ascii="Garamond" w:eastAsia="Calibri" w:hAnsi="Garamond"/>
        </w:rPr>
        <w:t xml:space="preserve">to improve student access to key youth-friendly sexual health services in priority districts and </w:t>
      </w:r>
      <w:r w:rsidR="00274288" w:rsidRPr="00330E3E">
        <w:rPr>
          <w:rFonts w:ascii="Garamond" w:eastAsia="Calibri" w:hAnsi="Garamond"/>
        </w:rPr>
        <w:t xml:space="preserve">priority </w:t>
      </w:r>
      <w:r w:rsidRPr="00330E3E">
        <w:rPr>
          <w:rFonts w:ascii="Garamond" w:eastAsia="Calibri" w:hAnsi="Garamond"/>
        </w:rPr>
        <w:t>schools?</w:t>
      </w:r>
    </w:p>
    <w:p w14:paraId="62D06156" w14:textId="77777777"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 xml:space="preserve">To what extent do NGOs increase the capacity of </w:t>
      </w:r>
      <w:r w:rsidR="00274288" w:rsidRPr="00330E3E">
        <w:rPr>
          <w:rFonts w:ascii="Garamond" w:eastAsia="Calibri" w:hAnsi="Garamond"/>
        </w:rPr>
        <w:t xml:space="preserve">SEAs and LEAs </w:t>
      </w:r>
      <w:r w:rsidRPr="00330E3E">
        <w:rPr>
          <w:rFonts w:ascii="Garamond" w:eastAsia="Calibri" w:hAnsi="Garamond"/>
        </w:rPr>
        <w:t xml:space="preserve">to create and maintain a safe and supportive environment for students and staff in priority districts and </w:t>
      </w:r>
      <w:r w:rsidR="00274288" w:rsidRPr="00330E3E">
        <w:rPr>
          <w:rFonts w:ascii="Garamond" w:eastAsia="Calibri" w:hAnsi="Garamond"/>
        </w:rPr>
        <w:t xml:space="preserve">priority </w:t>
      </w:r>
      <w:r w:rsidRPr="00330E3E">
        <w:rPr>
          <w:rFonts w:ascii="Garamond" w:eastAsia="Calibri" w:hAnsi="Garamond"/>
        </w:rPr>
        <w:t>schools?</w:t>
      </w:r>
    </w:p>
    <w:p w14:paraId="6F3305C4" w14:textId="77777777" w:rsidR="00181FAC" w:rsidRPr="00330E3E" w:rsidRDefault="00181FAC" w:rsidP="00181FAC">
      <w:pPr>
        <w:pStyle w:val="ListParagraph"/>
        <w:rPr>
          <w:rFonts w:ascii="Garamond" w:eastAsia="Calibri" w:hAnsi="Garamond"/>
        </w:rPr>
      </w:pPr>
    </w:p>
    <w:p w14:paraId="13713521" w14:textId="45535D97" w:rsidR="00A0577B" w:rsidRPr="00330E3E" w:rsidRDefault="009404ED" w:rsidP="009404ED">
      <w:pPr>
        <w:rPr>
          <w:rFonts w:ascii="Garamond" w:hAnsi="Garamond"/>
        </w:rPr>
      </w:pPr>
      <w:r w:rsidRPr="00330E3E">
        <w:rPr>
          <w:rFonts w:ascii="Garamond" w:hAnsi="Garamond"/>
        </w:rPr>
        <w:t xml:space="preserve">To answer these </w:t>
      </w:r>
      <w:r w:rsidR="00111BD7">
        <w:rPr>
          <w:rFonts w:ascii="Garamond" w:hAnsi="Garamond"/>
        </w:rPr>
        <w:t>program improvement</w:t>
      </w:r>
      <w:r w:rsidR="00111BD7" w:rsidRPr="00330E3E">
        <w:rPr>
          <w:rFonts w:ascii="Garamond" w:hAnsi="Garamond"/>
        </w:rPr>
        <w:t xml:space="preserve"> </w:t>
      </w:r>
      <w:r w:rsidRPr="00330E3E">
        <w:rPr>
          <w:rFonts w:ascii="Garamond" w:hAnsi="Garamond"/>
        </w:rPr>
        <w:t>questions</w:t>
      </w:r>
      <w:r w:rsidR="00531EA8" w:rsidRPr="00330E3E">
        <w:rPr>
          <w:rFonts w:ascii="Garamond" w:hAnsi="Garamond"/>
        </w:rPr>
        <w:t xml:space="preserve"> and continually improve the program</w:t>
      </w:r>
      <w:r w:rsidRPr="00330E3E">
        <w:rPr>
          <w:rFonts w:ascii="Garamond" w:hAnsi="Garamond"/>
        </w:rPr>
        <w:t xml:space="preserve">, DASH, with input from funded agencies, developed a series of questionnaires that </w:t>
      </w:r>
      <w:r w:rsidR="00A0577B" w:rsidRPr="00330E3E">
        <w:rPr>
          <w:rFonts w:ascii="Garamond" w:hAnsi="Garamond"/>
        </w:rPr>
        <w:t xml:space="preserve">collect data from SEAs, LEAs, and NGOs for the various </w:t>
      </w:r>
      <w:r w:rsidR="00FD3F78" w:rsidRPr="00330E3E">
        <w:rPr>
          <w:rFonts w:ascii="Garamond" w:hAnsi="Garamond"/>
        </w:rPr>
        <w:t xml:space="preserve">program </w:t>
      </w:r>
      <w:r w:rsidR="00A0577B" w:rsidRPr="00330E3E">
        <w:rPr>
          <w:rFonts w:ascii="Garamond" w:hAnsi="Garamond"/>
        </w:rPr>
        <w:t>approaches being implemented (ESHE, SHS, SSE). SEAs and LEAs each have questionnaires with both process and performance measures tailored to each</w:t>
      </w:r>
      <w:r w:rsidR="00FD3F78" w:rsidRPr="00330E3E">
        <w:rPr>
          <w:rFonts w:ascii="Garamond" w:hAnsi="Garamond"/>
        </w:rPr>
        <w:t xml:space="preserve"> approach</w:t>
      </w:r>
      <w:r w:rsidR="00A0577B" w:rsidRPr="00330E3E">
        <w:rPr>
          <w:rFonts w:ascii="Garamond" w:hAnsi="Garamond"/>
        </w:rPr>
        <w:t xml:space="preserve">.  NGOs each have a questionnaire that </w:t>
      </w:r>
      <w:r w:rsidR="00FD3F78" w:rsidRPr="00330E3E">
        <w:rPr>
          <w:rFonts w:ascii="Garamond" w:hAnsi="Garamond"/>
        </w:rPr>
        <w:t xml:space="preserve">process measures regarding </w:t>
      </w:r>
      <w:r w:rsidR="00A0577B" w:rsidRPr="00330E3E">
        <w:rPr>
          <w:rFonts w:ascii="Garamond" w:hAnsi="Garamond"/>
        </w:rPr>
        <w:t xml:space="preserve">their activities </w:t>
      </w:r>
      <w:r w:rsidR="00531EA8" w:rsidRPr="00330E3E">
        <w:rPr>
          <w:rFonts w:ascii="Garamond" w:hAnsi="Garamond"/>
        </w:rPr>
        <w:t>with SEAs and LEAs</w:t>
      </w:r>
      <w:r w:rsidR="00A0577B" w:rsidRPr="00330E3E">
        <w:rPr>
          <w:rFonts w:ascii="Garamond" w:hAnsi="Garamond"/>
        </w:rPr>
        <w:t xml:space="preserve">.  </w:t>
      </w:r>
      <w:r w:rsidR="009021C6" w:rsidRPr="00330E3E">
        <w:rPr>
          <w:rFonts w:ascii="Garamond" w:hAnsi="Garamond"/>
        </w:rPr>
        <w:t>T</w:t>
      </w:r>
      <w:r w:rsidR="00A0577B" w:rsidRPr="00330E3E">
        <w:rPr>
          <w:rFonts w:ascii="Garamond" w:hAnsi="Garamond"/>
        </w:rPr>
        <w:t xml:space="preserve">he questionnaires for NGOs are tailored to the approach they </w:t>
      </w:r>
      <w:r w:rsidR="009021C6" w:rsidRPr="00330E3E">
        <w:rPr>
          <w:rFonts w:ascii="Garamond" w:hAnsi="Garamond"/>
        </w:rPr>
        <w:t>are implementing in support of SEAs and LEAs</w:t>
      </w:r>
      <w:r w:rsidR="00A0577B" w:rsidRPr="00330E3E">
        <w:rPr>
          <w:rFonts w:ascii="Garamond" w:hAnsi="Garamond"/>
        </w:rPr>
        <w:t xml:space="preserve">.  An overview of what questionnaires will be available is included below.  For the complete questionnaires, see </w:t>
      </w:r>
      <w:r w:rsidR="00926190" w:rsidRPr="00926190">
        <w:rPr>
          <w:rFonts w:ascii="Garamond" w:hAnsi="Garamond"/>
          <w:b/>
        </w:rPr>
        <w:t>Attachments 3a, b &amp;c – 5a, b, &amp;c</w:t>
      </w:r>
      <w:r w:rsidR="00A0577B" w:rsidRPr="00926190">
        <w:rPr>
          <w:rFonts w:ascii="Garamond" w:hAnsi="Garamond"/>
        </w:rPr>
        <w:t>.</w:t>
      </w:r>
      <w:r w:rsidR="00A0577B" w:rsidRPr="00330E3E">
        <w:rPr>
          <w:rFonts w:ascii="Garamond" w:hAnsi="Garamond"/>
        </w:rPr>
        <w:t xml:space="preserve"> </w:t>
      </w:r>
      <w:r w:rsidR="00D77513" w:rsidRPr="00330E3E">
        <w:rPr>
          <w:rFonts w:ascii="Garamond" w:hAnsi="Garamond"/>
        </w:rPr>
        <w:t xml:space="preserve">For screenshots of how the questions will look in PERS, </w:t>
      </w:r>
      <w:r w:rsidR="00D77513" w:rsidRPr="00926190">
        <w:rPr>
          <w:rFonts w:ascii="Garamond" w:hAnsi="Garamond"/>
        </w:rPr>
        <w:t xml:space="preserve">see </w:t>
      </w:r>
      <w:r w:rsidR="00D77513" w:rsidRPr="00926190">
        <w:rPr>
          <w:rFonts w:ascii="Garamond" w:hAnsi="Garamond"/>
          <w:b/>
        </w:rPr>
        <w:t xml:space="preserve">Attachment </w:t>
      </w:r>
      <w:r w:rsidR="001B058F">
        <w:rPr>
          <w:rFonts w:ascii="Garamond" w:hAnsi="Garamond"/>
          <w:b/>
        </w:rPr>
        <w:t>8</w:t>
      </w:r>
      <w:r w:rsidR="0072332F">
        <w:rPr>
          <w:rFonts w:ascii="Garamond" w:hAnsi="Garamond"/>
          <w:b/>
        </w:rPr>
        <w:t>a, b &amp;c</w:t>
      </w:r>
      <w:r w:rsidR="00D77513" w:rsidRPr="00330E3E">
        <w:rPr>
          <w:rFonts w:ascii="Garamond" w:hAnsi="Garamond"/>
        </w:rPr>
        <w:t>.</w:t>
      </w:r>
    </w:p>
    <w:p w14:paraId="790FEF74" w14:textId="77777777" w:rsidR="00A0577B" w:rsidRPr="00330E3E" w:rsidRDefault="00A0577B" w:rsidP="0088117D">
      <w:pPr>
        <w:pStyle w:val="ListParagraph"/>
        <w:numPr>
          <w:ilvl w:val="0"/>
          <w:numId w:val="12"/>
        </w:numPr>
        <w:rPr>
          <w:rFonts w:ascii="Garamond" w:hAnsi="Garamond"/>
        </w:rPr>
      </w:pPr>
      <w:r w:rsidRPr="00330E3E">
        <w:rPr>
          <w:rFonts w:ascii="Garamond" w:hAnsi="Garamond"/>
        </w:rPr>
        <w:t>SEA</w:t>
      </w:r>
      <w:r w:rsidR="000E3043" w:rsidRPr="00330E3E">
        <w:rPr>
          <w:rFonts w:ascii="Garamond" w:hAnsi="Garamond"/>
        </w:rPr>
        <w:t xml:space="preserve"> measures include all of the following:</w:t>
      </w:r>
      <w:r w:rsidR="00E7630A" w:rsidRPr="00E7630A">
        <w:rPr>
          <w:rFonts w:ascii="Garamond" w:eastAsia="Calibri" w:hAnsi="Garamond"/>
          <w:b/>
        </w:rPr>
        <w:t xml:space="preserve"> </w:t>
      </w:r>
    </w:p>
    <w:p w14:paraId="73622561" w14:textId="77777777" w:rsidR="00A0577B" w:rsidRPr="00330E3E" w:rsidRDefault="00A0577B" w:rsidP="0088117D">
      <w:pPr>
        <w:pStyle w:val="ListParagraph"/>
        <w:numPr>
          <w:ilvl w:val="1"/>
          <w:numId w:val="12"/>
        </w:numPr>
        <w:rPr>
          <w:rFonts w:ascii="Garamond" w:hAnsi="Garamond"/>
        </w:rPr>
      </w:pPr>
      <w:r w:rsidRPr="00330E3E">
        <w:rPr>
          <w:rFonts w:ascii="Garamond" w:hAnsi="Garamond"/>
        </w:rPr>
        <w:t>ESHE Measures</w:t>
      </w:r>
      <w:r w:rsidR="00BF4B41">
        <w:rPr>
          <w:rFonts w:ascii="Garamond" w:hAnsi="Garamond"/>
        </w:rPr>
        <w:t xml:space="preserve"> (Attachment 4c)</w:t>
      </w:r>
    </w:p>
    <w:p w14:paraId="1740FE57" w14:textId="77777777" w:rsidR="00A0577B" w:rsidRPr="00330E3E" w:rsidRDefault="00A0577B" w:rsidP="0088117D">
      <w:pPr>
        <w:pStyle w:val="ListParagraph"/>
        <w:numPr>
          <w:ilvl w:val="1"/>
          <w:numId w:val="12"/>
        </w:numPr>
        <w:rPr>
          <w:rFonts w:ascii="Garamond" w:hAnsi="Garamond"/>
        </w:rPr>
      </w:pPr>
      <w:r w:rsidRPr="00330E3E">
        <w:rPr>
          <w:rFonts w:ascii="Garamond" w:hAnsi="Garamond"/>
        </w:rPr>
        <w:t>SHS Measures</w:t>
      </w:r>
      <w:r w:rsidR="00BF4B41">
        <w:rPr>
          <w:rFonts w:ascii="Garamond" w:hAnsi="Garamond"/>
        </w:rPr>
        <w:t xml:space="preserve"> (Attachment 4b)</w:t>
      </w:r>
    </w:p>
    <w:p w14:paraId="336A0C13" w14:textId="77777777" w:rsidR="00A0577B" w:rsidRPr="00330E3E" w:rsidRDefault="00A0577B" w:rsidP="0088117D">
      <w:pPr>
        <w:pStyle w:val="ListParagraph"/>
        <w:numPr>
          <w:ilvl w:val="1"/>
          <w:numId w:val="12"/>
        </w:numPr>
        <w:rPr>
          <w:rFonts w:ascii="Garamond" w:hAnsi="Garamond"/>
        </w:rPr>
      </w:pPr>
      <w:r w:rsidRPr="00330E3E">
        <w:rPr>
          <w:rFonts w:ascii="Garamond" w:hAnsi="Garamond"/>
        </w:rPr>
        <w:t>SSE Measures</w:t>
      </w:r>
      <w:r w:rsidR="00BF4B41">
        <w:rPr>
          <w:rFonts w:ascii="Garamond" w:hAnsi="Garamond"/>
        </w:rPr>
        <w:t xml:space="preserve"> (Attachment 4a)</w:t>
      </w:r>
    </w:p>
    <w:p w14:paraId="065DFEC9" w14:textId="77777777" w:rsidR="00A0577B" w:rsidRPr="00330E3E" w:rsidRDefault="00A0577B" w:rsidP="0088117D">
      <w:pPr>
        <w:pStyle w:val="ListParagraph"/>
        <w:numPr>
          <w:ilvl w:val="0"/>
          <w:numId w:val="12"/>
        </w:numPr>
        <w:rPr>
          <w:rFonts w:ascii="Garamond" w:hAnsi="Garamond"/>
        </w:rPr>
      </w:pPr>
      <w:r w:rsidRPr="00330E3E">
        <w:rPr>
          <w:rFonts w:ascii="Garamond" w:hAnsi="Garamond"/>
        </w:rPr>
        <w:t>LEA</w:t>
      </w:r>
      <w:r w:rsidR="000E3043" w:rsidRPr="00330E3E">
        <w:rPr>
          <w:rFonts w:ascii="Garamond" w:hAnsi="Garamond"/>
        </w:rPr>
        <w:t xml:space="preserve"> measures include all of the following:</w:t>
      </w:r>
      <w:r w:rsidR="00E7630A" w:rsidRPr="00E7630A">
        <w:rPr>
          <w:rFonts w:ascii="Garamond" w:eastAsia="Calibri" w:hAnsi="Garamond"/>
          <w:b/>
        </w:rPr>
        <w:t xml:space="preserve"> </w:t>
      </w:r>
    </w:p>
    <w:p w14:paraId="5F041C3D" w14:textId="77777777" w:rsidR="00A0577B" w:rsidRPr="00330E3E" w:rsidRDefault="00A0577B" w:rsidP="0088117D">
      <w:pPr>
        <w:pStyle w:val="ListParagraph"/>
        <w:numPr>
          <w:ilvl w:val="1"/>
          <w:numId w:val="12"/>
        </w:numPr>
        <w:rPr>
          <w:rFonts w:ascii="Garamond" w:hAnsi="Garamond"/>
        </w:rPr>
      </w:pPr>
      <w:r w:rsidRPr="00330E3E">
        <w:rPr>
          <w:rFonts w:ascii="Garamond" w:hAnsi="Garamond"/>
        </w:rPr>
        <w:t>ESHE Measures</w:t>
      </w:r>
      <w:r w:rsidR="00BF4B41">
        <w:rPr>
          <w:rFonts w:ascii="Garamond" w:hAnsi="Garamond"/>
        </w:rPr>
        <w:t xml:space="preserve"> (Attachment 5c)</w:t>
      </w:r>
    </w:p>
    <w:p w14:paraId="3BBC4B58" w14:textId="77777777" w:rsidR="00A0577B" w:rsidRPr="00330E3E" w:rsidRDefault="00A0577B" w:rsidP="0088117D">
      <w:pPr>
        <w:pStyle w:val="ListParagraph"/>
        <w:numPr>
          <w:ilvl w:val="1"/>
          <w:numId w:val="12"/>
        </w:numPr>
        <w:rPr>
          <w:rFonts w:ascii="Garamond" w:hAnsi="Garamond"/>
        </w:rPr>
      </w:pPr>
      <w:r w:rsidRPr="00330E3E">
        <w:rPr>
          <w:rFonts w:ascii="Garamond" w:hAnsi="Garamond"/>
        </w:rPr>
        <w:t>SHS Measures</w:t>
      </w:r>
      <w:r w:rsidR="00BF4B41">
        <w:rPr>
          <w:rFonts w:ascii="Garamond" w:hAnsi="Garamond"/>
        </w:rPr>
        <w:t xml:space="preserve"> (Attachment 5b)</w:t>
      </w:r>
    </w:p>
    <w:p w14:paraId="41A33A1F" w14:textId="77777777" w:rsidR="00A0577B" w:rsidRPr="00330E3E" w:rsidRDefault="00A0577B" w:rsidP="0088117D">
      <w:pPr>
        <w:pStyle w:val="ListParagraph"/>
        <w:numPr>
          <w:ilvl w:val="1"/>
          <w:numId w:val="12"/>
        </w:numPr>
        <w:rPr>
          <w:rFonts w:ascii="Garamond" w:hAnsi="Garamond"/>
        </w:rPr>
      </w:pPr>
      <w:r w:rsidRPr="00330E3E">
        <w:rPr>
          <w:rFonts w:ascii="Garamond" w:hAnsi="Garamond"/>
        </w:rPr>
        <w:t>SSE Measures</w:t>
      </w:r>
      <w:r w:rsidR="00BF4B41">
        <w:rPr>
          <w:rFonts w:ascii="Garamond" w:hAnsi="Garamond"/>
        </w:rPr>
        <w:t xml:space="preserve"> (Attachment 5a)</w:t>
      </w:r>
    </w:p>
    <w:p w14:paraId="2DF99838" w14:textId="77777777" w:rsidR="00A0577B" w:rsidRPr="00330E3E" w:rsidRDefault="00A0577B" w:rsidP="0088117D">
      <w:pPr>
        <w:pStyle w:val="ListParagraph"/>
        <w:numPr>
          <w:ilvl w:val="0"/>
          <w:numId w:val="12"/>
        </w:numPr>
        <w:rPr>
          <w:rFonts w:ascii="Garamond" w:hAnsi="Garamond"/>
        </w:rPr>
      </w:pPr>
      <w:r w:rsidRPr="00330E3E">
        <w:rPr>
          <w:rFonts w:ascii="Garamond" w:hAnsi="Garamond"/>
        </w:rPr>
        <w:t>NGOs</w:t>
      </w:r>
      <w:r w:rsidR="000E3043" w:rsidRPr="00330E3E">
        <w:rPr>
          <w:rFonts w:ascii="Garamond" w:hAnsi="Garamond"/>
        </w:rPr>
        <w:t xml:space="preserve"> measures include one of the following:</w:t>
      </w:r>
      <w:r w:rsidR="00E7630A">
        <w:rPr>
          <w:rFonts w:ascii="Garamond" w:hAnsi="Garamond"/>
        </w:rPr>
        <w:t xml:space="preserve"> </w:t>
      </w:r>
    </w:p>
    <w:p w14:paraId="5B5177D4" w14:textId="77777777" w:rsidR="00A0577B" w:rsidRPr="00330E3E" w:rsidRDefault="009021C6" w:rsidP="0088117D">
      <w:pPr>
        <w:pStyle w:val="ListParagraph"/>
        <w:numPr>
          <w:ilvl w:val="1"/>
          <w:numId w:val="12"/>
        </w:numPr>
        <w:rPr>
          <w:rFonts w:ascii="Garamond" w:hAnsi="Garamond"/>
        </w:rPr>
      </w:pPr>
      <w:r w:rsidRPr="00330E3E">
        <w:rPr>
          <w:rFonts w:ascii="Garamond" w:hAnsi="Garamond"/>
        </w:rPr>
        <w:t>ESHE Measures</w:t>
      </w:r>
      <w:r w:rsidR="00BF4B41">
        <w:rPr>
          <w:rFonts w:ascii="Garamond" w:hAnsi="Garamond"/>
        </w:rPr>
        <w:t xml:space="preserve"> (Attachment 3c)</w:t>
      </w:r>
    </w:p>
    <w:p w14:paraId="5F6EF7E6" w14:textId="77777777" w:rsidR="009021C6" w:rsidRPr="00330E3E" w:rsidRDefault="009021C6" w:rsidP="0088117D">
      <w:pPr>
        <w:pStyle w:val="ListParagraph"/>
        <w:numPr>
          <w:ilvl w:val="1"/>
          <w:numId w:val="12"/>
        </w:numPr>
        <w:rPr>
          <w:rFonts w:ascii="Garamond" w:hAnsi="Garamond"/>
        </w:rPr>
      </w:pPr>
      <w:r w:rsidRPr="00330E3E">
        <w:rPr>
          <w:rFonts w:ascii="Garamond" w:hAnsi="Garamond"/>
        </w:rPr>
        <w:t>SHS Measures</w:t>
      </w:r>
      <w:r w:rsidR="00BF4B41">
        <w:rPr>
          <w:rFonts w:ascii="Garamond" w:hAnsi="Garamond"/>
        </w:rPr>
        <w:t xml:space="preserve">  (Attachment 3b)</w:t>
      </w:r>
    </w:p>
    <w:p w14:paraId="3F29245F" w14:textId="77777777" w:rsidR="009021C6" w:rsidRPr="00330E3E" w:rsidRDefault="009021C6" w:rsidP="0088117D">
      <w:pPr>
        <w:pStyle w:val="ListParagraph"/>
        <w:numPr>
          <w:ilvl w:val="1"/>
          <w:numId w:val="12"/>
        </w:numPr>
        <w:rPr>
          <w:rFonts w:ascii="Garamond" w:hAnsi="Garamond"/>
        </w:rPr>
      </w:pPr>
      <w:r w:rsidRPr="00330E3E">
        <w:rPr>
          <w:rFonts w:ascii="Garamond" w:hAnsi="Garamond"/>
        </w:rPr>
        <w:t>SSE Measures</w:t>
      </w:r>
      <w:r w:rsidR="00BF4B41">
        <w:rPr>
          <w:rFonts w:ascii="Garamond" w:hAnsi="Garamond"/>
        </w:rPr>
        <w:t xml:space="preserve"> (Attachment 3a)</w:t>
      </w:r>
    </w:p>
    <w:p w14:paraId="286526FB" w14:textId="77777777" w:rsidR="009404ED" w:rsidRPr="00330E3E" w:rsidRDefault="009404ED" w:rsidP="00181FAC">
      <w:pPr>
        <w:pStyle w:val="ListParagraph"/>
        <w:rPr>
          <w:rFonts w:ascii="Garamond" w:eastAsia="Calibri" w:hAnsi="Garamond"/>
        </w:rPr>
      </w:pPr>
    </w:p>
    <w:p w14:paraId="4B953630" w14:textId="77777777" w:rsidR="001D0212" w:rsidRPr="00330E3E" w:rsidRDefault="001D0212" w:rsidP="009404ED">
      <w:pPr>
        <w:rPr>
          <w:rFonts w:ascii="Garamond" w:hAnsi="Garamond"/>
        </w:rPr>
      </w:pPr>
      <w:r w:rsidRPr="00330E3E">
        <w:rPr>
          <w:rFonts w:ascii="Garamond" w:hAnsi="Garamond"/>
        </w:rPr>
        <w:t xml:space="preserve">The findings from these questionnaires enable </w:t>
      </w:r>
      <w:r w:rsidR="00BA1F65" w:rsidRPr="00330E3E">
        <w:rPr>
          <w:rFonts w:ascii="Garamond" w:hAnsi="Garamond"/>
        </w:rPr>
        <w:t>DASH</w:t>
      </w:r>
      <w:r w:rsidRPr="00330E3E">
        <w:rPr>
          <w:rFonts w:ascii="Garamond" w:hAnsi="Garamond"/>
        </w:rPr>
        <w:t xml:space="preserve"> </w:t>
      </w:r>
      <w:r w:rsidR="00986803" w:rsidRPr="00330E3E">
        <w:rPr>
          <w:rFonts w:ascii="Garamond" w:hAnsi="Garamond"/>
        </w:rPr>
        <w:t xml:space="preserve">and its </w:t>
      </w:r>
      <w:r w:rsidR="00C23F8B" w:rsidRPr="00330E3E">
        <w:rPr>
          <w:rFonts w:ascii="Garamond" w:hAnsi="Garamond"/>
        </w:rPr>
        <w:t>contractor</w:t>
      </w:r>
      <w:r w:rsidR="00986803" w:rsidRPr="00330E3E">
        <w:rPr>
          <w:rFonts w:ascii="Garamond" w:hAnsi="Garamond"/>
        </w:rPr>
        <w:t xml:space="preserve"> </w:t>
      </w:r>
      <w:r w:rsidRPr="00330E3E">
        <w:rPr>
          <w:rFonts w:ascii="Garamond" w:hAnsi="Garamond"/>
        </w:rPr>
        <w:t xml:space="preserve">to aggregate and collect consistent documentation on cooperative agreements that support programming through </w:t>
      </w:r>
      <w:r w:rsidR="00C41B78" w:rsidRPr="00330E3E">
        <w:rPr>
          <w:rFonts w:ascii="Garamond" w:hAnsi="Garamond"/>
        </w:rPr>
        <w:t>July 2018</w:t>
      </w:r>
      <w:r w:rsidRPr="00330E3E">
        <w:rPr>
          <w:rFonts w:ascii="Garamond" w:hAnsi="Garamond"/>
        </w:rPr>
        <w:t>.</w:t>
      </w:r>
    </w:p>
    <w:p w14:paraId="364CA275" w14:textId="77777777" w:rsidR="00C41B78" w:rsidRPr="00330E3E" w:rsidRDefault="00C41B78" w:rsidP="001D0212">
      <w:pPr>
        <w:widowControl/>
        <w:autoSpaceDE/>
        <w:autoSpaceDN/>
        <w:adjustRightInd/>
        <w:rPr>
          <w:rFonts w:ascii="Garamond" w:hAnsi="Garamond"/>
          <w:u w:val="single"/>
        </w:rPr>
      </w:pPr>
    </w:p>
    <w:p w14:paraId="5B673FF0" w14:textId="5D65813F" w:rsidR="005E28F1" w:rsidRDefault="006910AF" w:rsidP="005E28F1">
      <w:pPr>
        <w:rPr>
          <w:rFonts w:ascii="Garamond" w:hAnsi="Garamond"/>
        </w:rPr>
      </w:pPr>
      <w:r w:rsidRPr="00330E3E">
        <w:rPr>
          <w:rFonts w:ascii="Garamond" w:hAnsi="Garamond"/>
        </w:rPr>
        <w:t xml:space="preserve">No information in identifiable form (IIF) will be collected.  Data collection involves collecting programmatic reporting data; it does not involve the collection of sensitive, personal, and/or personally identifiable information.  System users, included funded agency users, will provide their name, agency, and work email as part of the registration process and considered business personally identifiable information. Response data will be filed by the LEA, SEA, or NGO name and all data pertains to programmatic activities.  </w:t>
      </w:r>
      <w:bookmarkStart w:id="9" w:name="_Toc383603849"/>
    </w:p>
    <w:p w14:paraId="3B09CF34" w14:textId="77777777" w:rsidR="005E28F1" w:rsidRDefault="005E28F1" w:rsidP="005E28F1">
      <w:pPr>
        <w:ind w:firstLine="720"/>
        <w:rPr>
          <w:rFonts w:ascii="Garamond" w:hAnsi="Garamond"/>
        </w:rPr>
      </w:pPr>
    </w:p>
    <w:p w14:paraId="77507F88" w14:textId="230CBF0B" w:rsidR="00B6728A" w:rsidRPr="00062334" w:rsidRDefault="00A510BA" w:rsidP="000F4788">
      <w:pPr>
        <w:pStyle w:val="ListParagraph"/>
        <w:numPr>
          <w:ilvl w:val="0"/>
          <w:numId w:val="15"/>
        </w:numPr>
        <w:rPr>
          <w:rFonts w:ascii="Garamond" w:hAnsi="Garamond"/>
        </w:rPr>
      </w:pPr>
      <w:r w:rsidRPr="000F4788">
        <w:rPr>
          <w:rFonts w:ascii="Garamond" w:hAnsi="Garamond"/>
          <w:b/>
        </w:rPr>
        <w:t>Use of Improved Inf</w:t>
      </w:r>
      <w:r w:rsidR="007811F1" w:rsidRPr="000F4788">
        <w:rPr>
          <w:rFonts w:ascii="Garamond" w:hAnsi="Garamond"/>
          <w:b/>
        </w:rPr>
        <w:t>ormation Technology and Burden R</w:t>
      </w:r>
      <w:r w:rsidRPr="000F4788">
        <w:rPr>
          <w:rFonts w:ascii="Garamond" w:hAnsi="Garamond"/>
          <w:b/>
        </w:rPr>
        <w:t>eduction</w:t>
      </w:r>
      <w:bookmarkEnd w:id="9"/>
    </w:p>
    <w:p w14:paraId="66398415" w14:textId="77777777" w:rsidR="00931A19" w:rsidRPr="00330E3E" w:rsidRDefault="00931A19" w:rsidP="000F4788">
      <w:pPr>
        <w:shd w:val="clear" w:color="auto" w:fill="FFFFFF"/>
        <w:rPr>
          <w:rFonts w:ascii="Garamond" w:hAnsi="Garamond"/>
        </w:rPr>
      </w:pPr>
      <w:r w:rsidRPr="00330E3E">
        <w:rPr>
          <w:rFonts w:ascii="Garamond" w:hAnsi="Garamond"/>
        </w:rPr>
        <w:t>The questionnaires were carefully developed to ensure that they can be used as a Web-enabled indicator survey which greatly reduces the reporting burden of documenting annual progress.  A set of integrated components – such as survey management, results in a tabulation package, and a separate program for generating reports – provide CDC the data it needs for tracking indicators online.  It is anticipated that 100% of questionnaires will be complete</w:t>
      </w:r>
      <w:r w:rsidR="00273B2F" w:rsidRPr="00330E3E">
        <w:rPr>
          <w:rFonts w:ascii="Garamond" w:hAnsi="Garamond"/>
        </w:rPr>
        <w:t>d</w:t>
      </w:r>
      <w:r w:rsidRPr="00330E3E">
        <w:rPr>
          <w:rFonts w:ascii="Garamond" w:hAnsi="Garamond"/>
        </w:rPr>
        <w:t xml:space="preserve"> electronically.</w:t>
      </w:r>
    </w:p>
    <w:p w14:paraId="478D0740" w14:textId="77777777" w:rsidR="00931A19" w:rsidRPr="00330E3E" w:rsidRDefault="00931A19" w:rsidP="00931A19">
      <w:pPr>
        <w:rPr>
          <w:rFonts w:ascii="Garamond" w:hAnsi="Garamond"/>
        </w:rPr>
      </w:pPr>
    </w:p>
    <w:p w14:paraId="085BF221" w14:textId="77777777" w:rsidR="00931A19" w:rsidRPr="00330E3E" w:rsidRDefault="00931A19" w:rsidP="006D7BF6">
      <w:pPr>
        <w:ind w:firstLine="720"/>
        <w:rPr>
          <w:rFonts w:ascii="Garamond" w:hAnsi="Garamond"/>
        </w:rPr>
      </w:pPr>
      <w:r w:rsidRPr="00330E3E">
        <w:rPr>
          <w:rFonts w:ascii="Garamond" w:hAnsi="Garamond"/>
        </w:rPr>
        <w:t>The Web-based indicator surveys offer the following advantages for burden reduction:</w:t>
      </w:r>
    </w:p>
    <w:p w14:paraId="4A64813A" w14:textId="77777777" w:rsidR="00931A19" w:rsidRPr="00330E3E" w:rsidRDefault="00DE2706" w:rsidP="0088117D">
      <w:pPr>
        <w:pStyle w:val="Level1"/>
        <w:numPr>
          <w:ilvl w:val="0"/>
          <w:numId w:val="5"/>
        </w:numPr>
        <w:rPr>
          <w:rFonts w:ascii="Garamond" w:hAnsi="Garamond"/>
          <w:szCs w:val="24"/>
        </w:rPr>
      </w:pPr>
      <w:r w:rsidRPr="00330E3E">
        <w:rPr>
          <w:rFonts w:ascii="Garamond" w:hAnsi="Garamond"/>
          <w:szCs w:val="24"/>
        </w:rPr>
        <w:t>Easy and secure access for NGOs, SEAs,</w:t>
      </w:r>
      <w:r w:rsidR="00931A19" w:rsidRPr="00330E3E">
        <w:rPr>
          <w:rFonts w:ascii="Garamond" w:hAnsi="Garamond"/>
          <w:szCs w:val="24"/>
        </w:rPr>
        <w:t xml:space="preserve"> and LEAs, decreasing the burden of reporting program activities.</w:t>
      </w:r>
    </w:p>
    <w:p w14:paraId="0CBE727A" w14:textId="77777777" w:rsidR="00931A19" w:rsidRPr="00330E3E" w:rsidRDefault="00931A19" w:rsidP="0088117D">
      <w:pPr>
        <w:pStyle w:val="Level1"/>
        <w:numPr>
          <w:ilvl w:val="0"/>
          <w:numId w:val="5"/>
        </w:numPr>
        <w:rPr>
          <w:rFonts w:ascii="Garamond" w:hAnsi="Garamond"/>
          <w:szCs w:val="24"/>
        </w:rPr>
      </w:pPr>
      <w:r w:rsidRPr="00330E3E">
        <w:rPr>
          <w:rFonts w:ascii="Garamond" w:hAnsi="Garamond"/>
          <w:szCs w:val="24"/>
        </w:rPr>
        <w:t>Instant publication of survey results, with no printing, labeling, or postage costs, no lost paperwork, and no misprints.</w:t>
      </w:r>
    </w:p>
    <w:p w14:paraId="013A7516" w14:textId="77777777" w:rsidR="00931A19" w:rsidRPr="00330E3E" w:rsidRDefault="00931A19" w:rsidP="0088117D">
      <w:pPr>
        <w:pStyle w:val="Level1"/>
        <w:numPr>
          <w:ilvl w:val="0"/>
          <w:numId w:val="5"/>
        </w:numPr>
        <w:rPr>
          <w:rFonts w:ascii="Garamond" w:hAnsi="Garamond"/>
          <w:szCs w:val="24"/>
        </w:rPr>
      </w:pPr>
      <w:r w:rsidRPr="00330E3E">
        <w:rPr>
          <w:rFonts w:ascii="Garamond" w:hAnsi="Garamond"/>
          <w:szCs w:val="24"/>
        </w:rPr>
        <w:t>Automatic sequencing of questions based on responses to previous questions, eliminating problems of inapplicable questions.</w:t>
      </w:r>
    </w:p>
    <w:p w14:paraId="3AAA7A66" w14:textId="77777777" w:rsidR="00931A19" w:rsidRPr="00330E3E" w:rsidRDefault="00931A19" w:rsidP="0088117D">
      <w:pPr>
        <w:pStyle w:val="Level1"/>
        <w:numPr>
          <w:ilvl w:val="0"/>
          <w:numId w:val="5"/>
        </w:numPr>
        <w:rPr>
          <w:rFonts w:ascii="Garamond" w:hAnsi="Garamond"/>
          <w:szCs w:val="24"/>
        </w:rPr>
      </w:pPr>
      <w:r w:rsidRPr="00330E3E">
        <w:rPr>
          <w:rFonts w:ascii="Garamond" w:hAnsi="Garamond"/>
          <w:szCs w:val="24"/>
        </w:rPr>
        <w:t>Error-checking to ensure the integrity of responses before they are submitted for review.</w:t>
      </w:r>
    </w:p>
    <w:p w14:paraId="392677BE" w14:textId="77777777" w:rsidR="00931A19" w:rsidRPr="00330E3E" w:rsidRDefault="00931A19" w:rsidP="00931A19">
      <w:pPr>
        <w:rPr>
          <w:rFonts w:ascii="Garamond" w:hAnsi="Garamond"/>
        </w:rPr>
      </w:pPr>
    </w:p>
    <w:p w14:paraId="13CC8D6A" w14:textId="77777777" w:rsidR="00931A19" w:rsidRPr="00330E3E" w:rsidRDefault="00931A19" w:rsidP="006D7BF6">
      <w:pPr>
        <w:ind w:firstLine="720"/>
        <w:rPr>
          <w:rFonts w:ascii="Garamond" w:hAnsi="Garamond"/>
        </w:rPr>
      </w:pPr>
      <w:r w:rsidRPr="00330E3E">
        <w:rPr>
          <w:rFonts w:ascii="Garamond" w:hAnsi="Garamond"/>
        </w:rPr>
        <w:t xml:space="preserve">Specifically, the Web-based indicators surveys help </w:t>
      </w:r>
      <w:r w:rsidR="000D5CD9" w:rsidRPr="00330E3E">
        <w:rPr>
          <w:rFonts w:ascii="Garamond" w:hAnsi="Garamond"/>
        </w:rPr>
        <w:t>funded agencies</w:t>
      </w:r>
      <w:r w:rsidRPr="00330E3E">
        <w:rPr>
          <w:rFonts w:ascii="Garamond" w:hAnsi="Garamond"/>
        </w:rPr>
        <w:t xml:space="preserve"> in the following ways:</w:t>
      </w:r>
    </w:p>
    <w:p w14:paraId="2959E9BC" w14:textId="77777777" w:rsidR="00931A19" w:rsidRPr="00330E3E" w:rsidRDefault="00931A19" w:rsidP="0088117D">
      <w:pPr>
        <w:pStyle w:val="Level1"/>
        <w:numPr>
          <w:ilvl w:val="0"/>
          <w:numId w:val="6"/>
        </w:numPr>
        <w:rPr>
          <w:rFonts w:ascii="Garamond" w:hAnsi="Garamond"/>
          <w:szCs w:val="24"/>
        </w:rPr>
      </w:pPr>
      <w:r w:rsidRPr="00330E3E">
        <w:rPr>
          <w:rFonts w:ascii="Garamond" w:hAnsi="Garamond"/>
          <w:szCs w:val="24"/>
        </w:rPr>
        <w:t>Responding to the survey through the Web.</w:t>
      </w:r>
    </w:p>
    <w:p w14:paraId="79689D0C" w14:textId="77777777" w:rsidR="00931A19" w:rsidRPr="00330E3E" w:rsidRDefault="00931A19" w:rsidP="0088117D">
      <w:pPr>
        <w:pStyle w:val="Level1"/>
        <w:numPr>
          <w:ilvl w:val="0"/>
          <w:numId w:val="6"/>
        </w:numPr>
        <w:rPr>
          <w:rFonts w:ascii="Garamond" w:hAnsi="Garamond"/>
          <w:szCs w:val="24"/>
        </w:rPr>
      </w:pPr>
      <w:r w:rsidRPr="00330E3E">
        <w:rPr>
          <w:rFonts w:ascii="Garamond" w:hAnsi="Garamond"/>
          <w:szCs w:val="24"/>
        </w:rPr>
        <w:t>Providing a means of giving feedback through the Web to DASH on the survey content and process.</w:t>
      </w:r>
    </w:p>
    <w:p w14:paraId="3D5DC7B3" w14:textId="77777777" w:rsidR="00931A19" w:rsidRPr="00330E3E" w:rsidRDefault="00931A19" w:rsidP="0088117D">
      <w:pPr>
        <w:pStyle w:val="Level1"/>
        <w:numPr>
          <w:ilvl w:val="0"/>
          <w:numId w:val="6"/>
        </w:numPr>
        <w:rPr>
          <w:rFonts w:ascii="Garamond" w:hAnsi="Garamond"/>
          <w:szCs w:val="24"/>
        </w:rPr>
      </w:pPr>
      <w:r w:rsidRPr="00330E3E">
        <w:rPr>
          <w:rFonts w:ascii="Garamond" w:hAnsi="Garamond"/>
          <w:szCs w:val="24"/>
        </w:rPr>
        <w:t>Reducing burden to the respondent by reducing overall time spent completing questionnaires as a result of appropriately programmed skip patterns.</w:t>
      </w:r>
    </w:p>
    <w:p w14:paraId="51C2FF0F" w14:textId="77777777" w:rsidR="00D2136B" w:rsidRDefault="00D2136B" w:rsidP="00D2136B">
      <w:pPr>
        <w:shd w:val="clear" w:color="auto" w:fill="FFFFFF"/>
        <w:ind w:firstLine="720"/>
        <w:rPr>
          <w:rFonts w:ascii="Garamond" w:hAnsi="Garamond"/>
        </w:rPr>
      </w:pPr>
    </w:p>
    <w:p w14:paraId="40BFC4E8" w14:textId="5DCEF146" w:rsidR="009347AB" w:rsidRDefault="009347AB" w:rsidP="000F4788">
      <w:pPr>
        <w:shd w:val="clear" w:color="auto" w:fill="FFFFFF"/>
        <w:rPr>
          <w:rFonts w:ascii="Garamond" w:hAnsi="Garamond"/>
        </w:rPr>
      </w:pPr>
      <w:r w:rsidRPr="00330E3E">
        <w:rPr>
          <w:rFonts w:ascii="Garamond" w:hAnsi="Garamond"/>
        </w:rPr>
        <w:t xml:space="preserve">DASH and its </w:t>
      </w:r>
      <w:r w:rsidR="00C23F8B" w:rsidRPr="00330E3E">
        <w:rPr>
          <w:rFonts w:ascii="Garamond" w:hAnsi="Garamond"/>
        </w:rPr>
        <w:t>contractor</w:t>
      </w:r>
      <w:r w:rsidRPr="00330E3E">
        <w:rPr>
          <w:rFonts w:ascii="Garamond" w:hAnsi="Garamond"/>
        </w:rPr>
        <w:t xml:space="preserve"> conducted feedback sessions from March—May 2014 with funded agencies and internally to ensure that PERS allows funded agencies to access the system, upload policy documents, enter data, and run reports quickly and easily.  The purpose of these sessions was to identify potential content for the technical assistance protocol document that will be developed and disseminated during the system launch. The availability of the protocol and its relevant content will ultimately reduce the burden for funded agencies. </w:t>
      </w:r>
    </w:p>
    <w:p w14:paraId="670B0276" w14:textId="77777777" w:rsidR="000F4788" w:rsidRPr="00330E3E" w:rsidRDefault="000F4788" w:rsidP="000F4788">
      <w:pPr>
        <w:shd w:val="clear" w:color="auto" w:fill="FFFFFF"/>
        <w:rPr>
          <w:rFonts w:ascii="Garamond" w:hAnsi="Garamond"/>
        </w:rPr>
      </w:pPr>
    </w:p>
    <w:p w14:paraId="17F1C5AF" w14:textId="77777777" w:rsidR="00B6728A" w:rsidRPr="00330E3E" w:rsidRDefault="007811F1" w:rsidP="000F4788">
      <w:pPr>
        <w:pStyle w:val="Heading1"/>
        <w:numPr>
          <w:ilvl w:val="0"/>
          <w:numId w:val="15"/>
        </w:numPr>
        <w:rPr>
          <w:rFonts w:ascii="Garamond" w:hAnsi="Garamond"/>
          <w:szCs w:val="24"/>
        </w:rPr>
      </w:pPr>
      <w:bookmarkStart w:id="10" w:name="_Toc383603850"/>
      <w:r w:rsidRPr="00330E3E">
        <w:rPr>
          <w:rFonts w:ascii="Garamond" w:hAnsi="Garamond"/>
          <w:szCs w:val="24"/>
        </w:rPr>
        <w:t>Efforts t</w:t>
      </w:r>
      <w:r w:rsidR="00A510BA" w:rsidRPr="00330E3E">
        <w:rPr>
          <w:rFonts w:ascii="Garamond" w:hAnsi="Garamond"/>
          <w:szCs w:val="24"/>
        </w:rPr>
        <w:t>o Identify and Use of Similar Information</w:t>
      </w:r>
      <w:bookmarkEnd w:id="10"/>
    </w:p>
    <w:p w14:paraId="31399667" w14:textId="4C3848C7" w:rsidR="00931A19" w:rsidRDefault="00931A19" w:rsidP="000F4788">
      <w:pPr>
        <w:rPr>
          <w:rFonts w:ascii="Garamond" w:hAnsi="Garamond"/>
        </w:rPr>
      </w:pPr>
      <w:r w:rsidRPr="005E28F1">
        <w:rPr>
          <w:rFonts w:ascii="Garamond" w:hAnsi="Garamond"/>
        </w:rPr>
        <w:t xml:space="preserve">These questionnaires are not duplicated by other survey efforts or program </w:t>
      </w:r>
      <w:r w:rsidR="00111BD7" w:rsidRPr="005E28F1">
        <w:rPr>
          <w:rFonts w:ascii="Garamond" w:hAnsi="Garamond"/>
        </w:rPr>
        <w:t xml:space="preserve">monitoring </w:t>
      </w:r>
      <w:r w:rsidRPr="005E28F1">
        <w:rPr>
          <w:rFonts w:ascii="Garamond" w:hAnsi="Garamond"/>
        </w:rPr>
        <w:t xml:space="preserve">activities.  Additionally, there are no existing data collected by SEAs, </w:t>
      </w:r>
      <w:r w:rsidR="00C63635" w:rsidRPr="005E28F1">
        <w:rPr>
          <w:rFonts w:ascii="Garamond" w:hAnsi="Garamond"/>
        </w:rPr>
        <w:t>L</w:t>
      </w:r>
      <w:r w:rsidRPr="005E28F1">
        <w:rPr>
          <w:rFonts w:ascii="Garamond" w:hAnsi="Garamond"/>
        </w:rPr>
        <w:t xml:space="preserve">EAs, </w:t>
      </w:r>
      <w:r w:rsidR="00C63635" w:rsidRPr="005E28F1">
        <w:rPr>
          <w:rFonts w:ascii="Garamond" w:hAnsi="Garamond"/>
        </w:rPr>
        <w:t>or NGOs</w:t>
      </w:r>
      <w:r w:rsidRPr="005E28F1">
        <w:rPr>
          <w:rFonts w:ascii="Garamond" w:hAnsi="Garamond"/>
        </w:rPr>
        <w:t xml:space="preserve"> funded by CDC that can be used to generate data that are similar to the information collected under this clearance.  The </w:t>
      </w:r>
      <w:r w:rsidR="009347AB" w:rsidRPr="005E28F1">
        <w:rPr>
          <w:rFonts w:ascii="Garamond" w:hAnsi="Garamond"/>
        </w:rPr>
        <w:t xml:space="preserve">CDC </w:t>
      </w:r>
      <w:r w:rsidRPr="005E28F1">
        <w:rPr>
          <w:rFonts w:ascii="Garamond" w:hAnsi="Garamond"/>
        </w:rPr>
        <w:t>Project Officers</w:t>
      </w:r>
      <w:r w:rsidR="009347AB" w:rsidRPr="005E28F1">
        <w:rPr>
          <w:rFonts w:ascii="Garamond" w:hAnsi="Garamond"/>
        </w:rPr>
        <w:t xml:space="preserve"> for the funded agencies</w:t>
      </w:r>
      <w:r w:rsidRPr="005E28F1">
        <w:rPr>
          <w:rFonts w:ascii="Garamond" w:hAnsi="Garamond"/>
        </w:rPr>
        <w:t xml:space="preserve"> were consulted in the revision process for these questionnaires to ensure that the data reported in this system were not being collected currently through any other mechanism</w:t>
      </w:r>
      <w:r w:rsidR="00273B2F" w:rsidRPr="005E28F1">
        <w:rPr>
          <w:rFonts w:ascii="Garamond" w:hAnsi="Garamond"/>
        </w:rPr>
        <w:t xml:space="preserve"> (see </w:t>
      </w:r>
      <w:r w:rsidR="008F37F4" w:rsidRPr="005E28F1">
        <w:rPr>
          <w:rFonts w:ascii="Garamond" w:hAnsi="Garamond"/>
          <w:b/>
        </w:rPr>
        <w:t>Attachment</w:t>
      </w:r>
      <w:r w:rsidR="00273B2F" w:rsidRPr="005E28F1">
        <w:rPr>
          <w:rFonts w:ascii="Garamond" w:hAnsi="Garamond"/>
          <w:b/>
        </w:rPr>
        <w:t xml:space="preserve"> </w:t>
      </w:r>
      <w:r w:rsidR="001B058F" w:rsidRPr="005E28F1">
        <w:rPr>
          <w:rFonts w:ascii="Garamond" w:hAnsi="Garamond"/>
          <w:b/>
        </w:rPr>
        <w:t xml:space="preserve">10 </w:t>
      </w:r>
      <w:r w:rsidR="001B058F" w:rsidRPr="005E28F1">
        <w:rPr>
          <w:rFonts w:ascii="Garamond" w:hAnsi="Garamond"/>
        </w:rPr>
        <w:t>for the Analysis of Alternatives</w:t>
      </w:r>
      <w:r w:rsidR="00273B2F" w:rsidRPr="005E28F1">
        <w:rPr>
          <w:rFonts w:ascii="Garamond" w:hAnsi="Garamond"/>
        </w:rPr>
        <w:t>)</w:t>
      </w:r>
      <w:r w:rsidRPr="005E28F1">
        <w:rPr>
          <w:rFonts w:ascii="Garamond" w:hAnsi="Garamond"/>
        </w:rPr>
        <w:t>.</w:t>
      </w:r>
    </w:p>
    <w:p w14:paraId="264CC735" w14:textId="77777777" w:rsidR="000F4788" w:rsidRPr="005E28F1" w:rsidRDefault="000F4788" w:rsidP="000F4788">
      <w:pPr>
        <w:rPr>
          <w:rFonts w:ascii="Garamond" w:hAnsi="Garamond"/>
        </w:rPr>
      </w:pPr>
    </w:p>
    <w:p w14:paraId="094BC05E" w14:textId="6E323DC3" w:rsidR="00B6728A" w:rsidRPr="00330E3E" w:rsidRDefault="00A510BA" w:rsidP="001E7CA7">
      <w:pPr>
        <w:pStyle w:val="Heading1"/>
        <w:numPr>
          <w:ilvl w:val="0"/>
          <w:numId w:val="15"/>
        </w:numPr>
        <w:rPr>
          <w:rFonts w:ascii="Garamond" w:hAnsi="Garamond"/>
          <w:szCs w:val="24"/>
        </w:rPr>
      </w:pPr>
      <w:bookmarkStart w:id="11" w:name="_Toc383603851"/>
      <w:r w:rsidRPr="00330E3E">
        <w:rPr>
          <w:rFonts w:ascii="Garamond" w:hAnsi="Garamond"/>
          <w:szCs w:val="24"/>
        </w:rPr>
        <w:t>Impact of Small Businesses or Other Small Entities</w:t>
      </w:r>
      <w:bookmarkEnd w:id="11"/>
    </w:p>
    <w:p w14:paraId="3A1F8C8C" w14:textId="77777777" w:rsidR="00731459" w:rsidRPr="005E28F1" w:rsidRDefault="00731459" w:rsidP="000F4788">
      <w:pPr>
        <w:rPr>
          <w:rFonts w:ascii="Garamond" w:hAnsi="Garamond"/>
        </w:rPr>
      </w:pPr>
      <w:bookmarkStart w:id="12" w:name="_Toc227033746"/>
      <w:bookmarkStart w:id="13" w:name="_Toc322357314"/>
      <w:r w:rsidRPr="005E28F1">
        <w:rPr>
          <w:rFonts w:ascii="Garamond" w:hAnsi="Garamond"/>
        </w:rPr>
        <w:t xml:space="preserve">No small businesses or other small entities will be involved in this data collection. </w:t>
      </w:r>
    </w:p>
    <w:p w14:paraId="675FABC0" w14:textId="77777777" w:rsidR="00B6728A" w:rsidRPr="00330E3E" w:rsidRDefault="00A510BA" w:rsidP="001E7CA7">
      <w:pPr>
        <w:pStyle w:val="Heading1"/>
        <w:numPr>
          <w:ilvl w:val="0"/>
          <w:numId w:val="15"/>
        </w:numPr>
        <w:rPr>
          <w:rFonts w:ascii="Garamond" w:hAnsi="Garamond"/>
          <w:szCs w:val="24"/>
        </w:rPr>
      </w:pPr>
      <w:bookmarkStart w:id="14" w:name="_Toc383603852"/>
      <w:bookmarkEnd w:id="12"/>
      <w:bookmarkEnd w:id="13"/>
      <w:r w:rsidRPr="00330E3E">
        <w:rPr>
          <w:rFonts w:ascii="Garamond" w:hAnsi="Garamond"/>
          <w:szCs w:val="24"/>
        </w:rPr>
        <w:t>Consequences of Collecting the Information Less Frequently</w:t>
      </w:r>
      <w:bookmarkEnd w:id="14"/>
    </w:p>
    <w:p w14:paraId="5C4CDD3C" w14:textId="77777777" w:rsidR="00931A19" w:rsidRPr="00330E3E" w:rsidRDefault="00931A19" w:rsidP="000F4788">
      <w:pPr>
        <w:rPr>
          <w:rFonts w:ascii="Garamond" w:hAnsi="Garamond"/>
        </w:rPr>
      </w:pPr>
      <w:r w:rsidRPr="00330E3E">
        <w:rPr>
          <w:rFonts w:ascii="Garamond" w:hAnsi="Garamond"/>
        </w:rPr>
        <w:t>The data collection is schedule</w:t>
      </w:r>
      <w:r w:rsidR="00ED215A" w:rsidRPr="00330E3E">
        <w:rPr>
          <w:rFonts w:ascii="Garamond" w:hAnsi="Garamond"/>
        </w:rPr>
        <w:t xml:space="preserve">d to provide information on </w:t>
      </w:r>
      <w:r w:rsidR="00864D92" w:rsidRPr="00330E3E">
        <w:rPr>
          <w:rFonts w:ascii="Garamond" w:hAnsi="Garamond"/>
        </w:rPr>
        <w:t>funded agency</w:t>
      </w:r>
      <w:r w:rsidR="00280355" w:rsidRPr="00330E3E">
        <w:rPr>
          <w:rFonts w:ascii="Garamond" w:hAnsi="Garamond"/>
        </w:rPr>
        <w:t xml:space="preserve"> activities related to </w:t>
      </w:r>
      <w:r w:rsidR="00ED215A" w:rsidRPr="00330E3E">
        <w:rPr>
          <w:rFonts w:ascii="Garamond" w:hAnsi="Garamond"/>
        </w:rPr>
        <w:t xml:space="preserve">HIV/STD </w:t>
      </w:r>
      <w:r w:rsidRPr="00330E3E">
        <w:rPr>
          <w:rFonts w:ascii="Garamond" w:hAnsi="Garamond"/>
        </w:rPr>
        <w:t>prevention</w:t>
      </w:r>
      <w:r w:rsidR="00273B2F" w:rsidRPr="00330E3E">
        <w:rPr>
          <w:rFonts w:ascii="Garamond" w:hAnsi="Garamond"/>
        </w:rPr>
        <w:t xml:space="preserve"> </w:t>
      </w:r>
      <w:r w:rsidR="006D7BF6" w:rsidRPr="00330E3E">
        <w:rPr>
          <w:rFonts w:ascii="Garamond" w:hAnsi="Garamond"/>
        </w:rPr>
        <w:t xml:space="preserve">on </w:t>
      </w:r>
      <w:r w:rsidR="00273B2F" w:rsidRPr="00330E3E">
        <w:rPr>
          <w:rFonts w:ascii="Garamond" w:hAnsi="Garamond"/>
        </w:rPr>
        <w:t>a</w:t>
      </w:r>
      <w:r w:rsidR="00EE0536" w:rsidRPr="00330E3E">
        <w:rPr>
          <w:rFonts w:ascii="Garamond" w:hAnsi="Garamond"/>
        </w:rPr>
        <w:t xml:space="preserve"> </w:t>
      </w:r>
      <w:r w:rsidR="00704C3D" w:rsidRPr="00330E3E">
        <w:rPr>
          <w:rFonts w:ascii="Garamond" w:hAnsi="Garamond"/>
        </w:rPr>
        <w:t>semi-annual</w:t>
      </w:r>
      <w:r w:rsidRPr="00330E3E">
        <w:rPr>
          <w:rFonts w:ascii="Garamond" w:hAnsi="Garamond"/>
        </w:rPr>
        <w:t xml:space="preserve"> basis</w:t>
      </w:r>
      <w:r w:rsidR="00614B05" w:rsidRPr="00330E3E">
        <w:rPr>
          <w:rFonts w:ascii="Garamond" w:hAnsi="Garamond"/>
        </w:rPr>
        <w:t>, depending on the measure that is needed</w:t>
      </w:r>
      <w:r w:rsidRPr="00330E3E">
        <w:rPr>
          <w:rFonts w:ascii="Garamond" w:hAnsi="Garamond"/>
        </w:rPr>
        <w:t>.  The SEAs</w:t>
      </w:r>
      <w:r w:rsidR="00614B05" w:rsidRPr="00330E3E">
        <w:rPr>
          <w:rFonts w:ascii="Garamond" w:hAnsi="Garamond"/>
        </w:rPr>
        <w:t>, LEAs, and NGOs</w:t>
      </w:r>
      <w:r w:rsidRPr="00330E3E">
        <w:rPr>
          <w:rFonts w:ascii="Garamond" w:hAnsi="Garamond"/>
        </w:rPr>
        <w:t xml:space="preserve"> are funded on an annual basis (</w:t>
      </w:r>
      <w:r w:rsidR="00614B05" w:rsidRPr="00330E3E">
        <w:rPr>
          <w:rFonts w:ascii="Garamond" w:hAnsi="Garamond"/>
        </w:rPr>
        <w:t>August 1 to July 31</w:t>
      </w:r>
      <w:r w:rsidRPr="00330E3E">
        <w:rPr>
          <w:rFonts w:ascii="Garamond" w:hAnsi="Garamond"/>
        </w:rPr>
        <w:t xml:space="preserve"> of the following year)</w:t>
      </w:r>
      <w:r w:rsidR="00ED215A" w:rsidRPr="00330E3E">
        <w:rPr>
          <w:rFonts w:ascii="Garamond" w:hAnsi="Garamond"/>
        </w:rPr>
        <w:t xml:space="preserve">. There are two reporting periods within each year, with data due within </w:t>
      </w:r>
      <w:r w:rsidR="000A7273" w:rsidRPr="00330E3E">
        <w:rPr>
          <w:rFonts w:ascii="Garamond" w:hAnsi="Garamond"/>
        </w:rPr>
        <w:t xml:space="preserve">30 </w:t>
      </w:r>
      <w:r w:rsidR="00ED215A" w:rsidRPr="00330E3E">
        <w:rPr>
          <w:rFonts w:ascii="Garamond" w:hAnsi="Garamond"/>
        </w:rPr>
        <w:t xml:space="preserve">days of the close of </w:t>
      </w:r>
      <w:r w:rsidR="0034577B" w:rsidRPr="00330E3E">
        <w:rPr>
          <w:rFonts w:ascii="Garamond" w:hAnsi="Garamond"/>
        </w:rPr>
        <w:t xml:space="preserve">the </w:t>
      </w:r>
      <w:r w:rsidR="000A7273" w:rsidRPr="00330E3E">
        <w:rPr>
          <w:rFonts w:ascii="Garamond" w:hAnsi="Garamond"/>
        </w:rPr>
        <w:t>each</w:t>
      </w:r>
      <w:r w:rsidR="0034577B" w:rsidRPr="00330E3E">
        <w:rPr>
          <w:rFonts w:ascii="Garamond" w:hAnsi="Garamond"/>
        </w:rPr>
        <w:t xml:space="preserve"> period</w:t>
      </w:r>
      <w:r w:rsidR="00ED215A" w:rsidRPr="00330E3E">
        <w:rPr>
          <w:rFonts w:ascii="Garamond" w:hAnsi="Garamond"/>
        </w:rPr>
        <w:t xml:space="preserve">. </w:t>
      </w:r>
      <w:r w:rsidRPr="00330E3E">
        <w:rPr>
          <w:rFonts w:ascii="Garamond" w:hAnsi="Garamond"/>
        </w:rPr>
        <w:t xml:space="preserve"> </w:t>
      </w:r>
      <w:r w:rsidR="00ED215A" w:rsidRPr="00330E3E">
        <w:rPr>
          <w:rFonts w:ascii="Garamond" w:hAnsi="Garamond"/>
        </w:rPr>
        <w:t>The data collection period frequency</w:t>
      </w:r>
      <w:r w:rsidRPr="00330E3E">
        <w:rPr>
          <w:rFonts w:ascii="Garamond" w:hAnsi="Garamond"/>
        </w:rPr>
        <w:t xml:space="preserve"> enables CDC to track the progress of </w:t>
      </w:r>
      <w:r w:rsidR="00614B05" w:rsidRPr="00330E3E">
        <w:rPr>
          <w:rFonts w:ascii="Garamond" w:hAnsi="Garamond"/>
        </w:rPr>
        <w:t xml:space="preserve">SEAs, LEAs, and NGOs </w:t>
      </w:r>
      <w:r w:rsidR="00ED215A" w:rsidRPr="00330E3E">
        <w:rPr>
          <w:rFonts w:ascii="Garamond" w:hAnsi="Garamond"/>
        </w:rPr>
        <w:t xml:space="preserve">with sufficient time to intervene and </w:t>
      </w:r>
      <w:r w:rsidRPr="00330E3E">
        <w:rPr>
          <w:rFonts w:ascii="Garamond" w:hAnsi="Garamond"/>
        </w:rPr>
        <w:t xml:space="preserve">meet grant funding criteria.  This </w:t>
      </w:r>
      <w:r w:rsidR="00704C3D" w:rsidRPr="00330E3E">
        <w:rPr>
          <w:rFonts w:ascii="Garamond" w:hAnsi="Garamond"/>
        </w:rPr>
        <w:t>semi-annual</w:t>
      </w:r>
      <w:r w:rsidRPr="00330E3E">
        <w:rPr>
          <w:rFonts w:ascii="Garamond" w:hAnsi="Garamond"/>
        </w:rPr>
        <w:t xml:space="preserve"> </w:t>
      </w:r>
      <w:r w:rsidR="00111BD7">
        <w:rPr>
          <w:rFonts w:ascii="Garamond" w:hAnsi="Garamond"/>
        </w:rPr>
        <w:t>program monitoring</w:t>
      </w:r>
      <w:r w:rsidR="00111BD7" w:rsidRPr="00330E3E">
        <w:rPr>
          <w:rFonts w:ascii="Garamond" w:hAnsi="Garamond"/>
        </w:rPr>
        <w:t xml:space="preserve"> </w:t>
      </w:r>
      <w:r w:rsidRPr="00330E3E">
        <w:rPr>
          <w:rFonts w:ascii="Garamond" w:hAnsi="Garamond"/>
        </w:rPr>
        <w:t>also enables CDC to maintain up-to-date records on th</w:t>
      </w:r>
      <w:r w:rsidR="00FA2E12" w:rsidRPr="00330E3E">
        <w:rPr>
          <w:rFonts w:ascii="Garamond" w:hAnsi="Garamond"/>
        </w:rPr>
        <w:t>e impact of HIV</w:t>
      </w:r>
      <w:r w:rsidR="009C75C9" w:rsidRPr="00330E3E">
        <w:rPr>
          <w:rFonts w:ascii="Garamond" w:hAnsi="Garamond"/>
        </w:rPr>
        <w:t>/STD</w:t>
      </w:r>
      <w:r w:rsidR="00FA2E12" w:rsidRPr="00330E3E">
        <w:rPr>
          <w:rFonts w:ascii="Garamond" w:hAnsi="Garamond"/>
        </w:rPr>
        <w:t xml:space="preserve"> prevention</w:t>
      </w:r>
      <w:r w:rsidRPr="00330E3E">
        <w:rPr>
          <w:rFonts w:ascii="Garamond" w:hAnsi="Garamond"/>
        </w:rPr>
        <w:t xml:space="preserve"> activities for </w:t>
      </w:r>
      <w:r w:rsidR="00A071D4" w:rsidRPr="00330E3E">
        <w:rPr>
          <w:rFonts w:ascii="Garamond" w:hAnsi="Garamond"/>
        </w:rPr>
        <w:t xml:space="preserve">adolescents </w:t>
      </w:r>
      <w:r w:rsidRPr="00330E3E">
        <w:rPr>
          <w:rFonts w:ascii="Garamond" w:hAnsi="Garamond"/>
        </w:rPr>
        <w:t xml:space="preserve">and school officials.  Without this data collection, CDC would not be able to </w:t>
      </w:r>
      <w:r w:rsidR="00273B2F" w:rsidRPr="00330E3E">
        <w:rPr>
          <w:rFonts w:ascii="Garamond" w:hAnsi="Garamond"/>
        </w:rPr>
        <w:t xml:space="preserve">efficiently and effectively </w:t>
      </w:r>
      <w:r w:rsidRPr="00330E3E">
        <w:rPr>
          <w:rFonts w:ascii="Garamond" w:hAnsi="Garamond"/>
        </w:rPr>
        <w:t xml:space="preserve">assess the impact of </w:t>
      </w:r>
      <w:r w:rsidR="00A65E0D" w:rsidRPr="00330E3E">
        <w:rPr>
          <w:rFonts w:ascii="Garamond" w:hAnsi="Garamond"/>
        </w:rPr>
        <w:t>funded agencies</w:t>
      </w:r>
      <w:r w:rsidR="00527A0B" w:rsidRPr="00330E3E">
        <w:rPr>
          <w:rFonts w:ascii="Garamond" w:hAnsi="Garamond"/>
        </w:rPr>
        <w:t>’</w:t>
      </w:r>
      <w:r w:rsidR="00273B2F" w:rsidRPr="00330E3E">
        <w:rPr>
          <w:rFonts w:ascii="Garamond" w:hAnsi="Garamond"/>
        </w:rPr>
        <w:t xml:space="preserve"> activities with sufficient time for replication and/or correction.</w:t>
      </w:r>
      <w:r w:rsidRPr="00330E3E">
        <w:rPr>
          <w:rFonts w:ascii="Garamond" w:hAnsi="Garamond"/>
        </w:rPr>
        <w:t xml:space="preserve"> </w:t>
      </w:r>
      <w:r w:rsidR="00527A0B" w:rsidRPr="00330E3E">
        <w:rPr>
          <w:rFonts w:ascii="Garamond" w:eastAsia="Calibri" w:hAnsi="Garamond"/>
        </w:rPr>
        <w:t xml:space="preserve">The dates when </w:t>
      </w:r>
      <w:r w:rsidR="0085723B" w:rsidRPr="00330E3E">
        <w:rPr>
          <w:rFonts w:ascii="Garamond" w:eastAsia="Calibri" w:hAnsi="Garamond"/>
        </w:rPr>
        <w:t>data are</w:t>
      </w:r>
      <w:r w:rsidR="00527A0B" w:rsidRPr="00330E3E">
        <w:rPr>
          <w:rFonts w:ascii="Garamond" w:eastAsia="Calibri" w:hAnsi="Garamond"/>
        </w:rPr>
        <w:t xml:space="preserve"> requested reflect PGO deadlines to provide timely feedback to </w:t>
      </w:r>
      <w:r w:rsidR="00A65E0D" w:rsidRPr="00330E3E">
        <w:rPr>
          <w:rFonts w:ascii="Garamond" w:eastAsia="Calibri" w:hAnsi="Garamond"/>
        </w:rPr>
        <w:t>funded agencies</w:t>
      </w:r>
      <w:r w:rsidR="00527A0B" w:rsidRPr="00330E3E">
        <w:rPr>
          <w:rFonts w:ascii="Garamond" w:eastAsia="Calibri" w:hAnsi="Garamond"/>
        </w:rPr>
        <w:t xml:space="preserve"> and DASH staff for accountability and optimal use of funds. </w:t>
      </w:r>
      <w:r w:rsidRPr="00330E3E">
        <w:rPr>
          <w:rFonts w:ascii="Garamond" w:hAnsi="Garamond"/>
        </w:rPr>
        <w:t>Policy makers and education officials would lack data with which to make sound decisions about implementing or refining prevention programming for youths in school settings.</w:t>
      </w:r>
    </w:p>
    <w:p w14:paraId="0BD023A3" w14:textId="77777777" w:rsidR="00614B05" w:rsidRPr="00330E3E" w:rsidRDefault="00614B05" w:rsidP="00931A19">
      <w:pPr>
        <w:ind w:firstLine="720"/>
        <w:rPr>
          <w:rFonts w:ascii="Garamond" w:hAnsi="Garamond"/>
        </w:rPr>
      </w:pPr>
    </w:p>
    <w:p w14:paraId="4AF3D9B7" w14:textId="77777777" w:rsidR="009347AB" w:rsidRPr="00330E3E" w:rsidRDefault="009347AB" w:rsidP="000F4788">
      <w:pPr>
        <w:rPr>
          <w:rFonts w:ascii="Garamond" w:hAnsi="Garamond"/>
        </w:rPr>
      </w:pPr>
      <w:r w:rsidRPr="00330E3E">
        <w:rPr>
          <w:rFonts w:ascii="Garamond" w:hAnsi="Garamond"/>
        </w:rPr>
        <w:t>Collecting the data less than semi-annually will result in data gaps for the measures needed to accurately track the impact of funded programs and may decrease opportunities for program improvement and corrective actions.</w:t>
      </w:r>
    </w:p>
    <w:p w14:paraId="07F40F7C" w14:textId="77777777" w:rsidR="00B6728A" w:rsidRPr="00330E3E" w:rsidRDefault="00B6728A" w:rsidP="001E7CA7">
      <w:pPr>
        <w:pStyle w:val="Heading1"/>
        <w:numPr>
          <w:ilvl w:val="0"/>
          <w:numId w:val="15"/>
        </w:numPr>
        <w:rPr>
          <w:rFonts w:ascii="Garamond" w:hAnsi="Garamond"/>
          <w:szCs w:val="24"/>
        </w:rPr>
      </w:pPr>
      <w:bookmarkStart w:id="15" w:name="_Toc227033747"/>
      <w:bookmarkStart w:id="16" w:name="_Toc322357315"/>
      <w:bookmarkStart w:id="17" w:name="_Toc383603853"/>
      <w:r w:rsidRPr="00330E3E">
        <w:rPr>
          <w:rFonts w:ascii="Garamond" w:hAnsi="Garamond"/>
          <w:szCs w:val="24"/>
        </w:rPr>
        <w:t>Special Circumstance</w:t>
      </w:r>
      <w:bookmarkEnd w:id="15"/>
      <w:bookmarkEnd w:id="16"/>
      <w:r w:rsidR="007811F1" w:rsidRPr="00330E3E">
        <w:rPr>
          <w:rFonts w:ascii="Garamond" w:hAnsi="Garamond"/>
          <w:szCs w:val="24"/>
        </w:rPr>
        <w:t>s Relating to the G</w:t>
      </w:r>
      <w:r w:rsidR="00470C36" w:rsidRPr="00330E3E">
        <w:rPr>
          <w:rFonts w:ascii="Garamond" w:hAnsi="Garamond"/>
          <w:szCs w:val="24"/>
        </w:rPr>
        <w:t>uidelines of 5 CFR</w:t>
      </w:r>
      <w:r w:rsidR="002C4654" w:rsidRPr="00330E3E">
        <w:rPr>
          <w:rFonts w:ascii="Garamond" w:hAnsi="Garamond"/>
          <w:szCs w:val="24"/>
        </w:rPr>
        <w:t xml:space="preserve"> 1320.5</w:t>
      </w:r>
      <w:bookmarkEnd w:id="17"/>
    </w:p>
    <w:p w14:paraId="3902BEE5" w14:textId="77777777" w:rsidR="00731459" w:rsidRPr="005E28F1" w:rsidRDefault="00731459" w:rsidP="000F4788">
      <w:pPr>
        <w:rPr>
          <w:rFonts w:ascii="Garamond" w:hAnsi="Garamond"/>
        </w:rPr>
      </w:pPr>
      <w:r w:rsidRPr="005E28F1">
        <w:rPr>
          <w:rFonts w:ascii="Garamond" w:hAnsi="Garamond"/>
        </w:rPr>
        <w:t xml:space="preserve">There are no special circumstances. The activities outlined in this package fully comply with all guidelines of 5 CFR 1320.5. </w:t>
      </w:r>
    </w:p>
    <w:p w14:paraId="39622F88" w14:textId="77777777" w:rsidR="00B6728A" w:rsidRPr="00330E3E" w:rsidRDefault="00A510BA" w:rsidP="001E7CA7">
      <w:pPr>
        <w:pStyle w:val="Heading1"/>
        <w:numPr>
          <w:ilvl w:val="0"/>
          <w:numId w:val="15"/>
        </w:numPr>
        <w:rPr>
          <w:rFonts w:ascii="Garamond" w:hAnsi="Garamond"/>
          <w:szCs w:val="24"/>
        </w:rPr>
      </w:pPr>
      <w:bookmarkStart w:id="18" w:name="_Toc383603854"/>
      <w:r w:rsidRPr="00330E3E">
        <w:rPr>
          <w:rFonts w:ascii="Garamond" w:hAnsi="Garamond"/>
          <w:szCs w:val="24"/>
        </w:rPr>
        <w:t>Comments in Response to the Federal Register Notice and Efforts to Consult Outside the Agency</w:t>
      </w:r>
      <w:bookmarkEnd w:id="18"/>
    </w:p>
    <w:p w14:paraId="06C6542B" w14:textId="0D221AE8" w:rsidR="00470C36" w:rsidRPr="005E28F1" w:rsidRDefault="00470C36" w:rsidP="005E28F1">
      <w:pPr>
        <w:rPr>
          <w:rFonts w:ascii="Garamond" w:hAnsi="Garamond"/>
        </w:rPr>
      </w:pPr>
      <w:r w:rsidRPr="005E28F1">
        <w:rPr>
          <w:rFonts w:ascii="Garamond" w:hAnsi="Garamond"/>
        </w:rPr>
        <w:t xml:space="preserve">As required by 5 CFR 1320.8(d), a 60-day Notice was published in the </w:t>
      </w:r>
      <w:r w:rsidRPr="005E28F1">
        <w:rPr>
          <w:rFonts w:ascii="Garamond" w:hAnsi="Garamond"/>
          <w:i/>
        </w:rPr>
        <w:t>Federal Register</w:t>
      </w:r>
      <w:r w:rsidR="00A869C5" w:rsidRPr="005E28F1">
        <w:rPr>
          <w:rFonts w:ascii="Garamond" w:hAnsi="Garamond"/>
        </w:rPr>
        <w:t xml:space="preserve"> on April </w:t>
      </w:r>
      <w:r w:rsidR="00890BF0" w:rsidRPr="005E28F1">
        <w:rPr>
          <w:rFonts w:ascii="Garamond" w:hAnsi="Garamond"/>
        </w:rPr>
        <w:t>6, 2017, Vol. 82</w:t>
      </w:r>
      <w:r w:rsidRPr="005E28F1">
        <w:rPr>
          <w:rFonts w:ascii="Garamond" w:hAnsi="Garamond"/>
        </w:rPr>
        <w:t xml:space="preserve">, </w:t>
      </w:r>
      <w:r w:rsidR="00890BF0" w:rsidRPr="005E28F1">
        <w:rPr>
          <w:rFonts w:ascii="Garamond" w:hAnsi="Garamond"/>
        </w:rPr>
        <w:t>No. 65</w:t>
      </w:r>
      <w:r w:rsidR="001520DC" w:rsidRPr="005E28F1">
        <w:rPr>
          <w:rFonts w:ascii="Garamond" w:hAnsi="Garamond"/>
        </w:rPr>
        <w:t xml:space="preserve">, pages </w:t>
      </w:r>
      <w:r w:rsidR="00890BF0" w:rsidRPr="005E28F1">
        <w:rPr>
          <w:rFonts w:ascii="Garamond" w:hAnsi="Garamond"/>
        </w:rPr>
        <w:t>16833-16835</w:t>
      </w:r>
      <w:r w:rsidRPr="005E28F1">
        <w:rPr>
          <w:rFonts w:ascii="Garamond" w:hAnsi="Garamond"/>
        </w:rPr>
        <w:t xml:space="preserve">  (see </w:t>
      </w:r>
      <w:r w:rsidRPr="005E28F1">
        <w:rPr>
          <w:rFonts w:ascii="Garamond" w:hAnsi="Garamond"/>
          <w:b/>
        </w:rPr>
        <w:t xml:space="preserve">Attachment </w:t>
      </w:r>
      <w:r w:rsidR="00E35112" w:rsidRPr="005E28F1">
        <w:rPr>
          <w:rFonts w:ascii="Garamond" w:hAnsi="Garamond"/>
          <w:b/>
        </w:rPr>
        <w:t>2</w:t>
      </w:r>
      <w:r w:rsidR="00DC4591" w:rsidRPr="005E28F1">
        <w:rPr>
          <w:rFonts w:ascii="Garamond" w:hAnsi="Garamond"/>
        </w:rPr>
        <w:t xml:space="preserve">). </w:t>
      </w:r>
      <w:r w:rsidR="00DC4591" w:rsidRPr="00890BF0">
        <w:t xml:space="preserve"> </w:t>
      </w:r>
      <w:r w:rsidR="00DC4591" w:rsidRPr="005E28F1">
        <w:rPr>
          <w:rFonts w:ascii="Garamond" w:hAnsi="Garamond"/>
        </w:rPr>
        <w:t>No public comments were received.</w:t>
      </w:r>
    </w:p>
    <w:p w14:paraId="16A8C72B" w14:textId="77777777" w:rsidR="00D45CFC" w:rsidRDefault="00D45CFC" w:rsidP="005E28F1">
      <w:pPr>
        <w:rPr>
          <w:rFonts w:ascii="Garamond" w:hAnsi="Garamond"/>
        </w:rPr>
      </w:pPr>
    </w:p>
    <w:p w14:paraId="0197AE59" w14:textId="0D5115E7" w:rsidR="00181FAC" w:rsidRPr="005E28F1" w:rsidRDefault="006C237A" w:rsidP="000F4788">
      <w:pPr>
        <w:rPr>
          <w:rFonts w:ascii="Garamond" w:hAnsi="Garamond"/>
        </w:rPr>
      </w:pPr>
      <w:r w:rsidRPr="005E28F1">
        <w:rPr>
          <w:rFonts w:ascii="Garamond" w:hAnsi="Garamond"/>
        </w:rPr>
        <w:t>All funded agencies</w:t>
      </w:r>
      <w:r w:rsidR="0097707D" w:rsidRPr="005E28F1">
        <w:rPr>
          <w:rFonts w:ascii="Garamond" w:hAnsi="Garamond"/>
        </w:rPr>
        <w:t xml:space="preserve"> (1</w:t>
      </w:r>
      <w:r w:rsidR="00F93EA9" w:rsidRPr="005E28F1">
        <w:rPr>
          <w:rFonts w:ascii="Garamond" w:hAnsi="Garamond"/>
        </w:rPr>
        <w:t>8</w:t>
      </w:r>
      <w:r w:rsidR="0097707D" w:rsidRPr="005E28F1">
        <w:rPr>
          <w:rFonts w:ascii="Garamond" w:hAnsi="Garamond"/>
        </w:rPr>
        <w:t xml:space="preserve"> SEAs, 17 LEAs, and 6 NGOs)</w:t>
      </w:r>
      <w:r w:rsidRPr="005E28F1">
        <w:rPr>
          <w:rFonts w:ascii="Garamond" w:hAnsi="Garamond"/>
        </w:rPr>
        <w:t xml:space="preserve"> were sent the performance and process measures to </w:t>
      </w:r>
      <w:r w:rsidR="00BA1EB0" w:rsidRPr="005E28F1">
        <w:rPr>
          <w:rFonts w:ascii="Garamond" w:hAnsi="Garamond"/>
        </w:rPr>
        <w:t xml:space="preserve">voluntarily </w:t>
      </w:r>
      <w:r w:rsidRPr="005E28F1">
        <w:rPr>
          <w:rFonts w:ascii="Garamond" w:hAnsi="Garamond"/>
        </w:rPr>
        <w:t xml:space="preserve">provide their feedback in </w:t>
      </w:r>
      <w:r w:rsidR="0034577B" w:rsidRPr="005E28F1">
        <w:rPr>
          <w:rFonts w:ascii="Garamond" w:hAnsi="Garamond"/>
        </w:rPr>
        <w:t>November of 2013</w:t>
      </w:r>
      <w:r w:rsidR="00883AE5">
        <w:rPr>
          <w:rFonts w:ascii="Garamond" w:hAnsi="Garamond"/>
        </w:rPr>
        <w:t xml:space="preserve"> and</w:t>
      </w:r>
      <w:r w:rsidR="00883AE5" w:rsidRPr="00883AE5">
        <w:rPr>
          <w:rFonts w:ascii="Garamond" w:hAnsi="Garamond"/>
        </w:rPr>
        <w:t xml:space="preserve"> </w:t>
      </w:r>
      <w:r w:rsidR="00883AE5" w:rsidRPr="00D2136B">
        <w:rPr>
          <w:rFonts w:ascii="Garamond" w:hAnsi="Garamond"/>
        </w:rPr>
        <w:t>March of 2014</w:t>
      </w:r>
      <w:r w:rsidR="0034577B" w:rsidRPr="005E28F1">
        <w:rPr>
          <w:rFonts w:ascii="Garamond" w:hAnsi="Garamond"/>
        </w:rPr>
        <w:t>.</w:t>
      </w:r>
      <w:r w:rsidRPr="005E28F1">
        <w:rPr>
          <w:rFonts w:ascii="Garamond" w:hAnsi="Garamond"/>
        </w:rPr>
        <w:t xml:space="preserve">  </w:t>
      </w:r>
      <w:r w:rsidR="00D45CFC">
        <w:rPr>
          <w:rFonts w:ascii="Garamond" w:hAnsi="Garamond"/>
        </w:rPr>
        <w:t>The full</w:t>
      </w:r>
      <w:r w:rsidR="001B19A9" w:rsidRPr="005E28F1">
        <w:rPr>
          <w:rFonts w:ascii="Garamond" w:hAnsi="Garamond"/>
        </w:rPr>
        <w:t xml:space="preserve"> list of the</w:t>
      </w:r>
      <w:r w:rsidRPr="005E28F1">
        <w:rPr>
          <w:rFonts w:ascii="Garamond" w:hAnsi="Garamond"/>
        </w:rPr>
        <w:t xml:space="preserve"> funded agencies</w:t>
      </w:r>
      <w:r w:rsidR="001B19A9" w:rsidRPr="005E28F1">
        <w:rPr>
          <w:rFonts w:ascii="Garamond" w:hAnsi="Garamond"/>
        </w:rPr>
        <w:t xml:space="preserve"> that</w:t>
      </w:r>
      <w:r w:rsidRPr="005E28F1">
        <w:rPr>
          <w:rFonts w:ascii="Garamond" w:hAnsi="Garamond"/>
        </w:rPr>
        <w:t xml:space="preserve"> provided feedback</w:t>
      </w:r>
      <w:r w:rsidR="00264A6F" w:rsidRPr="005E28F1">
        <w:rPr>
          <w:rFonts w:ascii="Garamond" w:hAnsi="Garamond"/>
        </w:rPr>
        <w:t xml:space="preserve"> on the measures is included in </w:t>
      </w:r>
      <w:r w:rsidR="001520DC" w:rsidRPr="005E28F1">
        <w:rPr>
          <w:rFonts w:ascii="Garamond" w:hAnsi="Garamond"/>
          <w:b/>
        </w:rPr>
        <w:t>Attachment 7</w:t>
      </w:r>
      <w:r w:rsidR="00264A6F" w:rsidRPr="005E28F1">
        <w:rPr>
          <w:rFonts w:ascii="Garamond" w:hAnsi="Garamond"/>
        </w:rPr>
        <w:t>.</w:t>
      </w:r>
    </w:p>
    <w:p w14:paraId="33082CB4" w14:textId="77777777" w:rsidR="00181FAC" w:rsidRPr="00330E3E" w:rsidRDefault="00181FAC" w:rsidP="001278CF">
      <w:pPr>
        <w:rPr>
          <w:rFonts w:ascii="Garamond" w:hAnsi="Garamond"/>
        </w:rPr>
      </w:pPr>
    </w:p>
    <w:p w14:paraId="5BA7BAD9" w14:textId="3C19861F" w:rsidR="00181FAC" w:rsidRDefault="006C237A" w:rsidP="000F4788">
      <w:pPr>
        <w:rPr>
          <w:rFonts w:ascii="Garamond" w:hAnsi="Garamond"/>
        </w:rPr>
      </w:pPr>
      <w:r w:rsidRPr="00330E3E">
        <w:rPr>
          <w:rFonts w:ascii="Garamond" w:hAnsi="Garamond"/>
        </w:rPr>
        <w:t xml:space="preserve">A small group of funded agencies were asked to provide additional feedback on </w:t>
      </w:r>
      <w:r w:rsidR="00111BD7">
        <w:rPr>
          <w:rFonts w:ascii="Garamond" w:hAnsi="Garamond"/>
        </w:rPr>
        <w:t>program improvement</w:t>
      </w:r>
      <w:r w:rsidR="00111BD7" w:rsidRPr="00330E3E">
        <w:rPr>
          <w:rFonts w:ascii="Garamond" w:hAnsi="Garamond"/>
        </w:rPr>
        <w:t xml:space="preserve"> </w:t>
      </w:r>
      <w:r w:rsidRPr="00330E3E">
        <w:rPr>
          <w:rFonts w:ascii="Garamond" w:hAnsi="Garamond"/>
        </w:rPr>
        <w:t xml:space="preserve">measures and the collection of those measures on an ad hoc basis.  </w:t>
      </w:r>
      <w:r w:rsidR="00BA1EB0" w:rsidRPr="00330E3E">
        <w:rPr>
          <w:rFonts w:ascii="Garamond" w:hAnsi="Garamond"/>
        </w:rPr>
        <w:t xml:space="preserve">Due to the feedback that was received from this ad hoc group, some process </w:t>
      </w:r>
      <w:r w:rsidR="00FB107C" w:rsidRPr="00330E3E">
        <w:rPr>
          <w:rFonts w:ascii="Garamond" w:hAnsi="Garamond"/>
        </w:rPr>
        <w:t xml:space="preserve">and performance </w:t>
      </w:r>
      <w:r w:rsidR="00BA1EB0" w:rsidRPr="00330E3E">
        <w:rPr>
          <w:rFonts w:ascii="Garamond" w:hAnsi="Garamond"/>
        </w:rPr>
        <w:t xml:space="preserve">measures were dropped and reframed to ensure that the necessary data could be adequately captured without individual participant level tracking, which was not desired for this data collection because it would be too burdensome for funded agencies to complete.  </w:t>
      </w:r>
      <w:r w:rsidR="00D45CFC">
        <w:rPr>
          <w:rFonts w:ascii="Garamond" w:hAnsi="Garamond"/>
        </w:rPr>
        <w:t xml:space="preserve"> </w:t>
      </w:r>
    </w:p>
    <w:p w14:paraId="28B14F96" w14:textId="77777777" w:rsidR="00D45CFC" w:rsidRPr="00D45CFC" w:rsidRDefault="00D45CFC" w:rsidP="000F4788">
      <w:pPr>
        <w:rPr>
          <w:rFonts w:ascii="Garamond" w:hAnsi="Garamond"/>
        </w:rPr>
      </w:pPr>
    </w:p>
    <w:tbl>
      <w:tblPr>
        <w:tblStyle w:val="TableGrid"/>
        <w:tblW w:w="0" w:type="auto"/>
        <w:tblInd w:w="175" w:type="dxa"/>
        <w:tblLook w:val="04A0" w:firstRow="1" w:lastRow="0" w:firstColumn="1" w:lastColumn="0" w:noHBand="0" w:noVBand="1"/>
      </w:tblPr>
      <w:tblGrid>
        <w:gridCol w:w="4500"/>
        <w:gridCol w:w="4675"/>
      </w:tblGrid>
      <w:tr w:rsidR="00D45CFC" w:rsidRPr="00D45CFC" w14:paraId="31FC0437" w14:textId="77777777" w:rsidTr="00D45CFC">
        <w:tc>
          <w:tcPr>
            <w:tcW w:w="4500" w:type="dxa"/>
          </w:tcPr>
          <w:p w14:paraId="3546F68C" w14:textId="2764C81F" w:rsidR="00E302BB" w:rsidRPr="00D45CFC" w:rsidRDefault="00CA4AD2" w:rsidP="00D45CFC">
            <w:pPr>
              <w:rPr>
                <w:rFonts w:ascii="Garamond" w:hAnsi="Garamond"/>
              </w:rPr>
            </w:pPr>
            <w:r w:rsidRPr="00D45CFC">
              <w:rPr>
                <w:rFonts w:ascii="Garamond" w:hAnsi="Garamond"/>
              </w:rPr>
              <w:t>Laurie Becholfer, Project Director</w:t>
            </w:r>
          </w:p>
          <w:p w14:paraId="7E6D3684" w14:textId="77777777" w:rsidR="00E302BB" w:rsidRPr="00D45CFC" w:rsidRDefault="00CA4AD2" w:rsidP="00D45CFC">
            <w:pPr>
              <w:rPr>
                <w:rFonts w:ascii="Garamond" w:hAnsi="Garamond"/>
              </w:rPr>
            </w:pPr>
            <w:r w:rsidRPr="00D45CFC">
              <w:rPr>
                <w:rFonts w:ascii="Garamond" w:hAnsi="Garamond"/>
              </w:rPr>
              <w:t>Michigan Department of Education</w:t>
            </w:r>
          </w:p>
          <w:p w14:paraId="3ED1681B" w14:textId="77777777" w:rsidR="00E302BB" w:rsidRPr="00D45CFC" w:rsidRDefault="00CA4AD2" w:rsidP="00D45CFC">
            <w:pPr>
              <w:rPr>
                <w:rFonts w:ascii="Garamond" w:hAnsi="Garamond"/>
              </w:rPr>
            </w:pPr>
            <w:r w:rsidRPr="00D45CFC">
              <w:rPr>
                <w:rFonts w:ascii="Garamond" w:hAnsi="Garamond"/>
              </w:rPr>
              <w:t>Phone: (517) 335-7252</w:t>
            </w:r>
          </w:p>
          <w:p w14:paraId="02939AEB" w14:textId="77777777" w:rsidR="00E302BB" w:rsidRPr="00D45CFC" w:rsidRDefault="000F7404" w:rsidP="00D45CFC">
            <w:pPr>
              <w:rPr>
                <w:rFonts w:ascii="Garamond" w:hAnsi="Garamond"/>
              </w:rPr>
            </w:pPr>
            <w:hyperlink r:id="rId14" w:history="1">
              <w:r w:rsidR="00CA4AD2" w:rsidRPr="00D45CFC">
                <w:rPr>
                  <w:rStyle w:val="Hyperlink"/>
                  <w:rFonts w:ascii="Garamond" w:hAnsi="Garamond"/>
                </w:rPr>
                <w:t>BechhoferL@michigan.gov</w:t>
              </w:r>
            </w:hyperlink>
          </w:p>
          <w:p w14:paraId="73AAEB4E" w14:textId="77777777" w:rsidR="00D45CFC" w:rsidRPr="00D45CFC" w:rsidRDefault="00D45CFC" w:rsidP="00D45CFC">
            <w:pPr>
              <w:rPr>
                <w:rFonts w:ascii="Garamond" w:hAnsi="Garamond"/>
              </w:rPr>
            </w:pPr>
          </w:p>
        </w:tc>
        <w:tc>
          <w:tcPr>
            <w:tcW w:w="4675" w:type="dxa"/>
          </w:tcPr>
          <w:p w14:paraId="7F12098B" w14:textId="77777777" w:rsidR="00E302BB" w:rsidRPr="00D45CFC" w:rsidRDefault="00CA4AD2" w:rsidP="00D45CFC">
            <w:pPr>
              <w:rPr>
                <w:rFonts w:ascii="Garamond" w:hAnsi="Garamond"/>
              </w:rPr>
            </w:pPr>
            <w:r w:rsidRPr="00D45CFC">
              <w:rPr>
                <w:rFonts w:ascii="Garamond" w:hAnsi="Garamond"/>
              </w:rPr>
              <w:t>Carla Shirley, Research Analyst</w:t>
            </w:r>
          </w:p>
          <w:p w14:paraId="72051427" w14:textId="77777777" w:rsidR="00E302BB" w:rsidRPr="00D45CFC" w:rsidRDefault="00CA4AD2" w:rsidP="00D45CFC">
            <w:pPr>
              <w:rPr>
                <w:rFonts w:ascii="Garamond" w:hAnsi="Garamond"/>
              </w:rPr>
            </w:pPr>
            <w:r w:rsidRPr="00D45CFC">
              <w:rPr>
                <w:rFonts w:ascii="Garamond" w:hAnsi="Garamond"/>
              </w:rPr>
              <w:t>Shelby County Schools</w:t>
            </w:r>
          </w:p>
          <w:p w14:paraId="47E30358" w14:textId="5C39E58C" w:rsidR="00E302BB" w:rsidRPr="00D45CFC" w:rsidRDefault="00CA4AD2" w:rsidP="00D45CFC">
            <w:pPr>
              <w:rPr>
                <w:rFonts w:ascii="Garamond" w:hAnsi="Garamond"/>
              </w:rPr>
            </w:pPr>
            <w:r w:rsidRPr="00D45CFC">
              <w:rPr>
                <w:rFonts w:ascii="Garamond" w:hAnsi="Garamond"/>
              </w:rPr>
              <w:t>Phone: (901) 416-0083</w:t>
            </w:r>
          </w:p>
          <w:p w14:paraId="6B042573" w14:textId="77777777" w:rsidR="00E302BB" w:rsidRPr="00D45CFC" w:rsidRDefault="00CA4AD2" w:rsidP="00D45CFC">
            <w:pPr>
              <w:rPr>
                <w:rFonts w:ascii="Garamond" w:hAnsi="Garamond"/>
              </w:rPr>
            </w:pPr>
            <w:r w:rsidRPr="00D45CFC">
              <w:rPr>
                <w:rFonts w:ascii="Garamond" w:hAnsi="Garamond"/>
              </w:rPr>
              <w:t>Fax: (901) 416-5708</w:t>
            </w:r>
          </w:p>
          <w:p w14:paraId="191DAEDB" w14:textId="7D4AC25F" w:rsidR="00E302BB" w:rsidRPr="00D45CFC" w:rsidRDefault="000F7404" w:rsidP="00D45CFC">
            <w:pPr>
              <w:rPr>
                <w:rFonts w:ascii="Garamond" w:hAnsi="Garamond"/>
              </w:rPr>
            </w:pPr>
            <w:hyperlink r:id="rId15" w:history="1">
              <w:r w:rsidR="00D45CFC" w:rsidRPr="00C215F6">
                <w:rPr>
                  <w:rStyle w:val="Hyperlink"/>
                  <w:rFonts w:ascii="Garamond" w:hAnsi="Garamond"/>
                </w:rPr>
                <w:t>shirleyc@scsk12.org</w:t>
              </w:r>
            </w:hyperlink>
            <w:r w:rsidR="00D45CFC">
              <w:rPr>
                <w:rFonts w:ascii="Garamond" w:hAnsi="Garamond"/>
              </w:rPr>
              <w:t xml:space="preserve"> </w:t>
            </w:r>
          </w:p>
          <w:p w14:paraId="22C9C7A0" w14:textId="77777777" w:rsidR="00D45CFC" w:rsidRPr="00D45CFC" w:rsidRDefault="00D45CFC" w:rsidP="00D45CFC">
            <w:pPr>
              <w:rPr>
                <w:rFonts w:ascii="Garamond" w:hAnsi="Garamond"/>
              </w:rPr>
            </w:pPr>
          </w:p>
        </w:tc>
      </w:tr>
      <w:tr w:rsidR="00D45CFC" w:rsidRPr="00D45CFC" w14:paraId="1E0A8BCA" w14:textId="77777777" w:rsidTr="00D45CFC">
        <w:tc>
          <w:tcPr>
            <w:tcW w:w="4500" w:type="dxa"/>
          </w:tcPr>
          <w:p w14:paraId="2C3A8993" w14:textId="77777777" w:rsidR="00E302BB" w:rsidRPr="00D45CFC" w:rsidRDefault="00CA4AD2" w:rsidP="00D45CFC">
            <w:pPr>
              <w:rPr>
                <w:rFonts w:ascii="Garamond" w:hAnsi="Garamond"/>
              </w:rPr>
            </w:pPr>
            <w:r w:rsidRPr="00D45CFC">
              <w:rPr>
                <w:rFonts w:ascii="Garamond" w:hAnsi="Garamond"/>
              </w:rPr>
              <w:t>Becky Griesse, PI/Program Manager</w:t>
            </w:r>
          </w:p>
          <w:p w14:paraId="5CBC8CD7" w14:textId="77777777" w:rsidR="00E302BB" w:rsidRPr="00D45CFC" w:rsidRDefault="00CA4AD2" w:rsidP="00D45CFC">
            <w:pPr>
              <w:rPr>
                <w:rFonts w:ascii="Garamond" w:hAnsi="Garamond"/>
              </w:rPr>
            </w:pPr>
            <w:r w:rsidRPr="00D45CFC">
              <w:rPr>
                <w:rFonts w:ascii="Garamond" w:hAnsi="Garamond"/>
              </w:rPr>
              <w:t>National Coalition of STD Directors (NCSD)</w:t>
            </w:r>
          </w:p>
          <w:p w14:paraId="4873F609" w14:textId="77777777" w:rsidR="00E302BB" w:rsidRPr="00D45CFC" w:rsidRDefault="00CA4AD2" w:rsidP="00D45CFC">
            <w:pPr>
              <w:rPr>
                <w:rFonts w:ascii="Garamond" w:hAnsi="Garamond"/>
              </w:rPr>
            </w:pPr>
            <w:r w:rsidRPr="00D45CFC">
              <w:rPr>
                <w:rFonts w:ascii="Garamond" w:hAnsi="Garamond"/>
              </w:rPr>
              <w:t>Phone: (202) 715-3863</w:t>
            </w:r>
          </w:p>
          <w:p w14:paraId="23B2A09F" w14:textId="77777777" w:rsidR="00E302BB" w:rsidRPr="00D45CFC" w:rsidRDefault="000F7404" w:rsidP="00D45CFC">
            <w:pPr>
              <w:rPr>
                <w:rFonts w:ascii="Garamond" w:hAnsi="Garamond"/>
              </w:rPr>
            </w:pPr>
            <w:hyperlink r:id="rId16" w:history="1">
              <w:r w:rsidR="00CA4AD2" w:rsidRPr="00D45CFC">
                <w:rPr>
                  <w:rStyle w:val="Hyperlink"/>
                  <w:rFonts w:ascii="Garamond" w:hAnsi="Garamond"/>
                </w:rPr>
                <w:t>bgriesse@ncsddc.org</w:t>
              </w:r>
            </w:hyperlink>
          </w:p>
          <w:p w14:paraId="16C8B613" w14:textId="77777777" w:rsidR="00D45CFC" w:rsidRPr="00D45CFC" w:rsidRDefault="00D45CFC" w:rsidP="00D45CFC">
            <w:pPr>
              <w:rPr>
                <w:rFonts w:ascii="Garamond" w:hAnsi="Garamond"/>
              </w:rPr>
            </w:pPr>
          </w:p>
        </w:tc>
        <w:tc>
          <w:tcPr>
            <w:tcW w:w="4675" w:type="dxa"/>
          </w:tcPr>
          <w:p w14:paraId="2CFDC73A" w14:textId="77777777" w:rsidR="00E302BB" w:rsidRPr="00D45CFC" w:rsidRDefault="00CA4AD2" w:rsidP="00D45CFC">
            <w:pPr>
              <w:rPr>
                <w:rFonts w:ascii="Garamond" w:hAnsi="Garamond"/>
              </w:rPr>
            </w:pPr>
            <w:r w:rsidRPr="00D45CFC">
              <w:rPr>
                <w:rFonts w:ascii="Garamond" w:hAnsi="Garamond"/>
              </w:rPr>
              <w:t>Carol Goodenow, Supervisor and Evaluator</w:t>
            </w:r>
          </w:p>
          <w:p w14:paraId="1ED0CB1F" w14:textId="77777777" w:rsidR="00E302BB" w:rsidRPr="00D45CFC" w:rsidRDefault="00CA4AD2" w:rsidP="00D45CFC">
            <w:pPr>
              <w:rPr>
                <w:rFonts w:ascii="Garamond" w:hAnsi="Garamond"/>
              </w:rPr>
            </w:pPr>
            <w:r w:rsidRPr="00D45CFC">
              <w:rPr>
                <w:rFonts w:ascii="Garamond" w:hAnsi="Garamond"/>
              </w:rPr>
              <w:t>Massachusetts Department of Education</w:t>
            </w:r>
          </w:p>
          <w:p w14:paraId="4B0D2FF0" w14:textId="77777777" w:rsidR="00E302BB" w:rsidRPr="00D45CFC" w:rsidRDefault="00CA4AD2" w:rsidP="00D45CFC">
            <w:pPr>
              <w:rPr>
                <w:rFonts w:ascii="Garamond" w:hAnsi="Garamond"/>
              </w:rPr>
            </w:pPr>
            <w:r w:rsidRPr="00D45CFC">
              <w:rPr>
                <w:rFonts w:ascii="Garamond" w:hAnsi="Garamond"/>
              </w:rPr>
              <w:t>Phone: (781) 338-3603</w:t>
            </w:r>
          </w:p>
          <w:p w14:paraId="53F4F58F" w14:textId="77777777" w:rsidR="00E302BB" w:rsidRPr="00D45CFC" w:rsidRDefault="000F7404" w:rsidP="00D45CFC">
            <w:pPr>
              <w:rPr>
                <w:rFonts w:ascii="Garamond" w:hAnsi="Garamond"/>
              </w:rPr>
            </w:pPr>
            <w:hyperlink r:id="rId17" w:history="1">
              <w:r w:rsidR="00CA4AD2" w:rsidRPr="00D45CFC">
                <w:rPr>
                  <w:rStyle w:val="Hyperlink"/>
                  <w:rFonts w:ascii="Garamond" w:hAnsi="Garamond"/>
                </w:rPr>
                <w:t>cgoodenow@doe.mass.edu</w:t>
              </w:r>
            </w:hyperlink>
          </w:p>
          <w:p w14:paraId="777D53F3" w14:textId="77777777" w:rsidR="00D45CFC" w:rsidRPr="00D45CFC" w:rsidRDefault="00D45CFC" w:rsidP="00D45CFC">
            <w:pPr>
              <w:rPr>
                <w:rFonts w:ascii="Garamond" w:hAnsi="Garamond"/>
              </w:rPr>
            </w:pPr>
          </w:p>
        </w:tc>
      </w:tr>
    </w:tbl>
    <w:p w14:paraId="4CB80AC8" w14:textId="77777777" w:rsidR="00D2136B" w:rsidRDefault="00D2136B" w:rsidP="001278CF">
      <w:pPr>
        <w:ind w:firstLine="720"/>
        <w:rPr>
          <w:rFonts w:ascii="Garamond" w:hAnsi="Garamond"/>
        </w:rPr>
      </w:pPr>
    </w:p>
    <w:p w14:paraId="6A1D36E1" w14:textId="77777777" w:rsidR="00B6728A" w:rsidRPr="00330E3E" w:rsidRDefault="00A510BA" w:rsidP="001E7CA7">
      <w:pPr>
        <w:pStyle w:val="Heading1"/>
        <w:numPr>
          <w:ilvl w:val="0"/>
          <w:numId w:val="15"/>
        </w:numPr>
        <w:rPr>
          <w:rFonts w:ascii="Garamond" w:hAnsi="Garamond"/>
          <w:szCs w:val="24"/>
        </w:rPr>
      </w:pPr>
      <w:bookmarkStart w:id="19" w:name="_Toc383603855"/>
      <w:r w:rsidRPr="00330E3E">
        <w:rPr>
          <w:rFonts w:ascii="Garamond" w:hAnsi="Garamond"/>
          <w:szCs w:val="24"/>
        </w:rPr>
        <w:t>Explanation of Any Payment or Gift to Respondents</w:t>
      </w:r>
      <w:bookmarkEnd w:id="19"/>
    </w:p>
    <w:p w14:paraId="7DCF48AD" w14:textId="77777777" w:rsidR="00604B70" w:rsidRPr="000F4788" w:rsidRDefault="00604B70" w:rsidP="000F4788">
      <w:pPr>
        <w:tabs>
          <w:tab w:val="num" w:pos="720"/>
        </w:tabs>
        <w:rPr>
          <w:rFonts w:ascii="Garamond" w:hAnsi="Garamond"/>
        </w:rPr>
      </w:pPr>
      <w:r w:rsidRPr="005E28F1">
        <w:rPr>
          <w:rFonts w:ascii="Garamond" w:hAnsi="Garamond"/>
        </w:rPr>
        <w:t>No</w:t>
      </w:r>
      <w:r w:rsidRPr="005E28F1">
        <w:rPr>
          <w:rFonts w:ascii="Garamond" w:hAnsi="Garamond"/>
          <w:b/>
        </w:rPr>
        <w:t xml:space="preserve"> </w:t>
      </w:r>
      <w:r w:rsidRPr="005E28F1">
        <w:rPr>
          <w:rFonts w:ascii="Garamond" w:hAnsi="Garamond"/>
        </w:rPr>
        <w:t>material or financial incentives will be provided to respondents for completing the questionnaires.</w:t>
      </w:r>
    </w:p>
    <w:p w14:paraId="7CFDA5E8" w14:textId="0FFE9410" w:rsidR="007A3A25" w:rsidRPr="005E28F1" w:rsidRDefault="007A3A25" w:rsidP="005E28F1">
      <w:pPr>
        <w:tabs>
          <w:tab w:val="num" w:pos="720"/>
        </w:tabs>
        <w:rPr>
          <w:rFonts w:ascii="Garamond" w:hAnsi="Garamond"/>
          <w:b/>
        </w:rPr>
      </w:pPr>
      <w:bookmarkStart w:id="20" w:name="_Toc383603856"/>
    </w:p>
    <w:p w14:paraId="20409D4A" w14:textId="4D46927D" w:rsidR="00036B1E" w:rsidRPr="00062334" w:rsidRDefault="003E0DB3" w:rsidP="001E7CA7">
      <w:pPr>
        <w:pStyle w:val="ListParagraph"/>
        <w:numPr>
          <w:ilvl w:val="0"/>
          <w:numId w:val="15"/>
        </w:numPr>
        <w:spacing w:after="120"/>
        <w:rPr>
          <w:rFonts w:ascii="Garamond" w:hAnsi="Garamond"/>
        </w:rPr>
      </w:pPr>
      <w:bookmarkStart w:id="21" w:name="_Toc227033751"/>
      <w:bookmarkStart w:id="22" w:name="_Toc322357319"/>
      <w:r w:rsidRPr="007A3A25">
        <w:rPr>
          <w:rFonts w:ascii="Garamond" w:hAnsi="Garamond" w:cs="Arial"/>
          <w:b/>
          <w:bCs/>
          <w:kern w:val="32"/>
        </w:rPr>
        <w:t>Protection</w:t>
      </w:r>
      <w:r w:rsidRPr="000F4788">
        <w:rPr>
          <w:rFonts w:ascii="Garamond" w:hAnsi="Garamond"/>
          <w:b/>
          <w:kern w:val="32"/>
        </w:rPr>
        <w:t xml:space="preserve"> of </w:t>
      </w:r>
      <w:r w:rsidRPr="007A3A25">
        <w:rPr>
          <w:rFonts w:ascii="Garamond" w:hAnsi="Garamond" w:cs="Arial"/>
          <w:b/>
          <w:bCs/>
          <w:kern w:val="32"/>
        </w:rPr>
        <w:t xml:space="preserve">the Privacy and </w:t>
      </w:r>
      <w:r w:rsidRPr="000F4788">
        <w:rPr>
          <w:rFonts w:ascii="Garamond" w:hAnsi="Garamond"/>
          <w:b/>
          <w:kern w:val="32"/>
        </w:rPr>
        <w:t>Confidentiality</w:t>
      </w:r>
      <w:r w:rsidRPr="007A3A25">
        <w:rPr>
          <w:rFonts w:ascii="Garamond" w:hAnsi="Garamond" w:cs="Arial"/>
          <w:b/>
          <w:bCs/>
          <w:kern w:val="32"/>
        </w:rPr>
        <w:t xml:space="preserve"> of Information</w:t>
      </w:r>
      <w:r w:rsidRPr="000F4788">
        <w:rPr>
          <w:rFonts w:ascii="Garamond" w:hAnsi="Garamond"/>
          <w:b/>
          <w:kern w:val="32"/>
        </w:rPr>
        <w:t xml:space="preserve"> Provided </w:t>
      </w:r>
      <w:r w:rsidRPr="007A3A25">
        <w:rPr>
          <w:rFonts w:ascii="Garamond" w:hAnsi="Garamond" w:cs="Arial"/>
          <w:b/>
          <w:bCs/>
          <w:kern w:val="32"/>
        </w:rPr>
        <w:t>by</w:t>
      </w:r>
      <w:r w:rsidRPr="000F4788">
        <w:rPr>
          <w:rFonts w:ascii="Garamond" w:hAnsi="Garamond"/>
          <w:b/>
          <w:kern w:val="32"/>
        </w:rPr>
        <w:t xml:space="preserve"> Respondents</w:t>
      </w:r>
      <w:bookmarkEnd w:id="20"/>
      <w:r w:rsidR="007A3A25">
        <w:rPr>
          <w:rFonts w:ascii="Garamond" w:hAnsi="Garamond" w:cs="Arial"/>
          <w:b/>
          <w:bCs/>
          <w:kern w:val="32"/>
        </w:rPr>
        <w:t xml:space="preserve">   </w:t>
      </w:r>
    </w:p>
    <w:p w14:paraId="69DEF107" w14:textId="50B7C327" w:rsidR="00036B1E" w:rsidRPr="00FE7F1F" w:rsidRDefault="006C609F" w:rsidP="000F4788">
      <w:pPr>
        <w:tabs>
          <w:tab w:val="num" w:pos="720"/>
        </w:tabs>
        <w:rPr>
          <w:rFonts w:ascii="Garamond" w:hAnsi="Garamond"/>
        </w:rPr>
      </w:pPr>
      <w:r w:rsidRPr="006C609F">
        <w:rPr>
          <w:rFonts w:ascii="Garamond" w:hAnsi="Garamond"/>
        </w:rPr>
        <w:t>The  CDC NCHHSTP Privacy and Confidentiality Review Officer and the NCHHSTP IT Security Information System Security Officer (ISSO),  have assessed this package for applicability of 5 U.S.C. § 552a</w:t>
      </w:r>
      <w:r w:rsidR="00EA214B" w:rsidRPr="00FE7F1F">
        <w:rPr>
          <w:rFonts w:ascii="Garamond" w:hAnsi="Garamond"/>
        </w:rPr>
        <w:t xml:space="preserve">, and has determined that the Privacy Act does not apply to the information collection. </w:t>
      </w:r>
      <w:r w:rsidR="00036B1E" w:rsidRPr="00FE7F1F">
        <w:rPr>
          <w:rFonts w:ascii="Garamond" w:hAnsi="Garamond"/>
        </w:rPr>
        <w:t xml:space="preserve">Respondents are organizations, not individuals.  </w:t>
      </w:r>
      <w:r w:rsidR="002D6354" w:rsidRPr="00FE7F1F">
        <w:rPr>
          <w:rFonts w:ascii="Garamond" w:hAnsi="Garamond"/>
        </w:rPr>
        <w:t xml:space="preserve">Respondents will be speaking from their official roles and will not be asked for, nor will they provide, individually identifiable information.  </w:t>
      </w:r>
      <w:r w:rsidR="00036B1E" w:rsidRPr="00FE7F1F">
        <w:rPr>
          <w:rFonts w:ascii="Garamond" w:hAnsi="Garamond"/>
        </w:rPr>
        <w:t xml:space="preserve">Data collection involves collecting programmatic reporting data; it does not involve the collection of sensitive, personal, and/or personally identifiable information.  The progress monitoring information is collected and </w:t>
      </w:r>
      <w:r w:rsidR="003A1AE5" w:rsidRPr="00FE7F1F">
        <w:rPr>
          <w:rFonts w:ascii="Garamond" w:hAnsi="Garamond"/>
        </w:rPr>
        <w:t>reported at the state</w:t>
      </w:r>
      <w:r w:rsidR="00036B1E" w:rsidRPr="00FE7F1F">
        <w:rPr>
          <w:rFonts w:ascii="Garamond" w:hAnsi="Garamond"/>
        </w:rPr>
        <w:t xml:space="preserve"> and local level</w:t>
      </w:r>
      <w:r w:rsidR="003A1AE5" w:rsidRPr="00FE7F1F">
        <w:rPr>
          <w:rFonts w:ascii="Garamond" w:hAnsi="Garamond"/>
        </w:rPr>
        <w:t xml:space="preserve"> or </w:t>
      </w:r>
      <w:r w:rsidR="00FC3F1A" w:rsidRPr="00FE7F1F">
        <w:rPr>
          <w:rFonts w:ascii="Garamond" w:hAnsi="Garamond"/>
        </w:rPr>
        <w:t xml:space="preserve">by </w:t>
      </w:r>
      <w:r w:rsidR="003A1AE5" w:rsidRPr="00FE7F1F">
        <w:rPr>
          <w:rFonts w:ascii="Garamond" w:hAnsi="Garamond"/>
        </w:rPr>
        <w:t>NGOs</w:t>
      </w:r>
      <w:r w:rsidR="00036B1E" w:rsidRPr="00FE7F1F">
        <w:rPr>
          <w:rFonts w:ascii="Garamond" w:hAnsi="Garamond"/>
        </w:rPr>
        <w:t xml:space="preserve">.  Although the name of the contact person submitting the </w:t>
      </w:r>
      <w:r w:rsidR="00121ADB" w:rsidRPr="00FE7F1F">
        <w:rPr>
          <w:rFonts w:ascii="Garamond" w:hAnsi="Garamond"/>
        </w:rPr>
        <w:t xml:space="preserve">data </w:t>
      </w:r>
      <w:r w:rsidR="00036B1E" w:rsidRPr="00FE7F1F">
        <w:rPr>
          <w:rFonts w:ascii="Garamond" w:hAnsi="Garamond"/>
        </w:rPr>
        <w:t>is maintained for each responding organization, the contact person provides information about the program, not personal information.  The contact person’s name will be maintained until the end of the data collection.  Response data will be</w:t>
      </w:r>
      <w:r w:rsidR="003A1AE5" w:rsidRPr="00FE7F1F">
        <w:rPr>
          <w:rFonts w:ascii="Garamond" w:hAnsi="Garamond"/>
        </w:rPr>
        <w:t xml:space="preserve"> filed by the name of the local or</w:t>
      </w:r>
      <w:r w:rsidR="00036B1E" w:rsidRPr="00FE7F1F">
        <w:rPr>
          <w:rFonts w:ascii="Garamond" w:hAnsi="Garamond"/>
        </w:rPr>
        <w:t xml:space="preserve"> state</w:t>
      </w:r>
      <w:r w:rsidR="003A1AE5" w:rsidRPr="00FE7F1F">
        <w:rPr>
          <w:rFonts w:ascii="Garamond" w:hAnsi="Garamond"/>
        </w:rPr>
        <w:t xml:space="preserve"> </w:t>
      </w:r>
      <w:r w:rsidR="00121ADB" w:rsidRPr="00FE7F1F">
        <w:rPr>
          <w:rFonts w:ascii="Garamond" w:hAnsi="Garamond"/>
        </w:rPr>
        <w:t xml:space="preserve">education </w:t>
      </w:r>
      <w:r w:rsidR="00036B1E" w:rsidRPr="00FE7F1F">
        <w:rPr>
          <w:rFonts w:ascii="Garamond" w:hAnsi="Garamond"/>
        </w:rPr>
        <w:t>agency</w:t>
      </w:r>
      <w:r w:rsidR="003A1AE5" w:rsidRPr="00FE7F1F">
        <w:rPr>
          <w:rFonts w:ascii="Garamond" w:hAnsi="Garamond"/>
        </w:rPr>
        <w:t xml:space="preserve"> or NGOs</w:t>
      </w:r>
      <w:r w:rsidR="00036B1E" w:rsidRPr="00FE7F1F">
        <w:rPr>
          <w:rFonts w:ascii="Garamond" w:hAnsi="Garamond"/>
        </w:rPr>
        <w:t xml:space="preserve"> and all data pertains to programmatic activities.  </w:t>
      </w:r>
    </w:p>
    <w:p w14:paraId="28D18EE2" w14:textId="77777777" w:rsidR="00036B1E" w:rsidRPr="00330E3E" w:rsidRDefault="00036B1E" w:rsidP="000F4788">
      <w:pPr>
        <w:tabs>
          <w:tab w:val="num" w:pos="720"/>
        </w:tabs>
        <w:rPr>
          <w:rFonts w:ascii="Garamond" w:hAnsi="Garamond"/>
        </w:rPr>
      </w:pPr>
    </w:p>
    <w:p w14:paraId="0A6338D0" w14:textId="77777777" w:rsidR="00036B1E" w:rsidRPr="00FE7F1F" w:rsidRDefault="00036B1E" w:rsidP="000F4788">
      <w:pPr>
        <w:tabs>
          <w:tab w:val="num" w:pos="720"/>
        </w:tabs>
        <w:rPr>
          <w:rFonts w:ascii="Garamond" w:hAnsi="Garamond"/>
        </w:rPr>
      </w:pPr>
      <w:r w:rsidRPr="006C609F">
        <w:rPr>
          <w:rFonts w:ascii="Garamond" w:hAnsi="Garamond"/>
        </w:rPr>
        <w:t>Safeguards</w:t>
      </w:r>
      <w:r w:rsidRPr="00FE7F1F">
        <w:rPr>
          <w:rFonts w:ascii="Garamond" w:hAnsi="Garamond"/>
        </w:rPr>
        <w:t>.  The information collection involves use of web-based data collection methods.  The website does use cookies, and access to the web-based questionnaire is password-protected and given only to the staff of the DASH-funded local</w:t>
      </w:r>
      <w:r w:rsidR="003A1AE5" w:rsidRPr="00FE7F1F">
        <w:rPr>
          <w:rFonts w:ascii="Garamond" w:hAnsi="Garamond"/>
        </w:rPr>
        <w:t xml:space="preserve"> and state</w:t>
      </w:r>
      <w:r w:rsidRPr="00FE7F1F">
        <w:rPr>
          <w:rFonts w:ascii="Garamond" w:hAnsi="Garamond"/>
        </w:rPr>
        <w:t xml:space="preserve"> education agencies</w:t>
      </w:r>
      <w:r w:rsidR="003A1AE5" w:rsidRPr="00FE7F1F">
        <w:rPr>
          <w:rFonts w:ascii="Garamond" w:hAnsi="Garamond"/>
        </w:rPr>
        <w:t xml:space="preserve"> and NGOs</w:t>
      </w:r>
      <w:r w:rsidRPr="00FE7F1F">
        <w:rPr>
          <w:rFonts w:ascii="Garamond" w:hAnsi="Garamond"/>
        </w:rPr>
        <w:t xml:space="preserve"> who will complete the questionnaires.  CDC will maintain information in secure electronic files that will only be accessible to authorized members of the team.  Electronic files will be stored on secure network servers, and access will be restricted to approved team members identified by user ID and password.  </w:t>
      </w:r>
    </w:p>
    <w:p w14:paraId="1B874CB2" w14:textId="77777777" w:rsidR="00036B1E" w:rsidRPr="00330E3E" w:rsidRDefault="00036B1E" w:rsidP="000F4788">
      <w:pPr>
        <w:tabs>
          <w:tab w:val="num" w:pos="720"/>
        </w:tabs>
        <w:rPr>
          <w:rFonts w:ascii="Garamond" w:hAnsi="Garamond"/>
        </w:rPr>
      </w:pPr>
    </w:p>
    <w:p w14:paraId="309606EE" w14:textId="77777777" w:rsidR="00036B1E" w:rsidRPr="00D0034A" w:rsidRDefault="00036B1E" w:rsidP="000F4788">
      <w:pPr>
        <w:tabs>
          <w:tab w:val="num" w:pos="720"/>
        </w:tabs>
        <w:rPr>
          <w:rFonts w:ascii="Garamond" w:hAnsi="Garamond"/>
        </w:rPr>
      </w:pPr>
      <w:r w:rsidRPr="00B91035">
        <w:rPr>
          <w:rFonts w:ascii="Garamond" w:hAnsi="Garamond"/>
        </w:rPr>
        <w:t>Consent</w:t>
      </w:r>
      <w:r w:rsidRPr="00CD403C">
        <w:rPr>
          <w:rFonts w:ascii="Garamond" w:hAnsi="Garamond"/>
        </w:rPr>
        <w:t>.</w:t>
      </w:r>
      <w:r w:rsidRPr="00D0034A">
        <w:rPr>
          <w:rFonts w:ascii="Garamond" w:hAnsi="Garamond"/>
        </w:rPr>
        <w:t xml:space="preserve">  This information collection does not involve research with human subjects, and IRB approval is not required.  Because the information collected pertains to organizational policies and activities, an individual-level consent process is not applicable.  </w:t>
      </w:r>
    </w:p>
    <w:p w14:paraId="0694B022" w14:textId="77777777" w:rsidR="00036B1E" w:rsidRPr="00330E3E" w:rsidRDefault="00036B1E" w:rsidP="000F4788">
      <w:pPr>
        <w:tabs>
          <w:tab w:val="num" w:pos="720"/>
        </w:tabs>
        <w:rPr>
          <w:rFonts w:ascii="Garamond" w:hAnsi="Garamond"/>
        </w:rPr>
      </w:pPr>
    </w:p>
    <w:p w14:paraId="1135A966" w14:textId="77777777" w:rsidR="00036B1E" w:rsidRDefault="00036B1E" w:rsidP="000F4788">
      <w:pPr>
        <w:tabs>
          <w:tab w:val="num" w:pos="720"/>
        </w:tabs>
        <w:rPr>
          <w:rFonts w:ascii="Garamond" w:hAnsi="Garamond"/>
        </w:rPr>
      </w:pPr>
      <w:r w:rsidRPr="00B91035">
        <w:rPr>
          <w:rFonts w:ascii="Garamond" w:hAnsi="Garamond"/>
        </w:rPr>
        <w:t>Nature of Response</w:t>
      </w:r>
      <w:r w:rsidRPr="00D0034A">
        <w:rPr>
          <w:rFonts w:ascii="Garamond" w:hAnsi="Garamond"/>
        </w:rPr>
        <w:t>.  Participation is required by the terms of cooperative agreement funding.</w:t>
      </w:r>
    </w:p>
    <w:p w14:paraId="15E72991" w14:textId="77777777" w:rsidR="00446A29" w:rsidRPr="00D0034A" w:rsidRDefault="00446A29" w:rsidP="00446A29">
      <w:pPr>
        <w:tabs>
          <w:tab w:val="num" w:pos="720"/>
        </w:tabs>
        <w:rPr>
          <w:rFonts w:ascii="Garamond" w:hAnsi="Garamond"/>
        </w:rPr>
      </w:pPr>
    </w:p>
    <w:bookmarkEnd w:id="21"/>
    <w:bookmarkEnd w:id="22"/>
    <w:p w14:paraId="023A26A3" w14:textId="77777777" w:rsidR="00446A29" w:rsidRPr="00062334" w:rsidRDefault="00446A29" w:rsidP="001E7CA7">
      <w:pPr>
        <w:pStyle w:val="ListParagraph"/>
        <w:numPr>
          <w:ilvl w:val="0"/>
          <w:numId w:val="15"/>
        </w:numPr>
        <w:rPr>
          <w:rFonts w:ascii="Garamond" w:hAnsi="Garamond"/>
        </w:rPr>
      </w:pPr>
      <w:r w:rsidRPr="00446A29">
        <w:rPr>
          <w:rFonts w:ascii="Garamond" w:hAnsi="Garamond" w:cs="Arial"/>
          <w:b/>
          <w:bCs/>
          <w:kern w:val="32"/>
        </w:rPr>
        <w:t xml:space="preserve">Institutional Review Board (IRB) and </w:t>
      </w:r>
      <w:bookmarkStart w:id="23" w:name="_Toc383603857"/>
      <w:r w:rsidRPr="000F4788">
        <w:rPr>
          <w:rFonts w:ascii="Garamond" w:hAnsi="Garamond"/>
          <w:b/>
          <w:kern w:val="32"/>
        </w:rPr>
        <w:t>Justification for Sensitive Questions</w:t>
      </w:r>
      <w:bookmarkEnd w:id="23"/>
      <w:r w:rsidRPr="000F4788">
        <w:rPr>
          <w:rFonts w:ascii="Garamond" w:hAnsi="Garamond"/>
          <w:b/>
          <w:kern w:val="32"/>
        </w:rPr>
        <w:t xml:space="preserve"> </w:t>
      </w:r>
    </w:p>
    <w:p w14:paraId="0306EB24" w14:textId="77777777" w:rsidR="00446A29" w:rsidRDefault="00446A29" w:rsidP="00446A29">
      <w:pPr>
        <w:rPr>
          <w:rFonts w:ascii="Garamond" w:hAnsi="Garamond"/>
        </w:rPr>
      </w:pPr>
    </w:p>
    <w:p w14:paraId="3B776E90" w14:textId="01D5B57E" w:rsidR="00446A29" w:rsidRDefault="00446A29" w:rsidP="00446A29">
      <w:pPr>
        <w:rPr>
          <w:rFonts w:ascii="Garamond" w:hAnsi="Garamond"/>
          <w:u w:val="single"/>
        </w:rPr>
      </w:pPr>
      <w:r>
        <w:rPr>
          <w:rFonts w:ascii="Garamond" w:hAnsi="Garamond"/>
          <w:u w:val="single"/>
        </w:rPr>
        <w:t xml:space="preserve">IRB </w:t>
      </w:r>
    </w:p>
    <w:p w14:paraId="6FD963C7" w14:textId="543DE2D0" w:rsidR="00446A29" w:rsidRDefault="00446A29" w:rsidP="00446A29">
      <w:pPr>
        <w:rPr>
          <w:rFonts w:ascii="Garamond" w:hAnsi="Garamond"/>
        </w:rPr>
      </w:pPr>
      <w:r w:rsidRPr="00F076C5">
        <w:rPr>
          <w:rFonts w:ascii="Garamond" w:hAnsi="Garamond"/>
        </w:rPr>
        <w:t>This project has received a determination of non-research (as a routine disease surveillance activity) by the NCHHSTP Associate Director of Science, waiving the necessity for review by CDCs Institutional Review Board (IRB</w:t>
      </w:r>
      <w:r w:rsidR="00A9251A">
        <w:rPr>
          <w:rFonts w:ascii="Garamond" w:hAnsi="Garamond"/>
        </w:rPr>
        <w:t>).</w:t>
      </w:r>
    </w:p>
    <w:p w14:paraId="244DB5A3" w14:textId="77777777" w:rsidR="00A9251A" w:rsidRDefault="00A9251A" w:rsidP="00446A29">
      <w:pPr>
        <w:rPr>
          <w:rFonts w:ascii="Garamond" w:hAnsi="Garamond"/>
          <w:u w:val="single"/>
        </w:rPr>
      </w:pPr>
    </w:p>
    <w:p w14:paraId="7BDAD404" w14:textId="28851E46" w:rsidR="00446A29" w:rsidRDefault="00446A29" w:rsidP="00446A29">
      <w:pPr>
        <w:rPr>
          <w:rFonts w:ascii="Garamond" w:hAnsi="Garamond"/>
          <w:u w:val="single"/>
        </w:rPr>
      </w:pPr>
      <w:r w:rsidRPr="00446A29">
        <w:rPr>
          <w:rFonts w:ascii="Garamond" w:hAnsi="Garamond"/>
          <w:u w:val="single"/>
        </w:rPr>
        <w:t>Sensitive Questions</w:t>
      </w:r>
    </w:p>
    <w:p w14:paraId="5432C939" w14:textId="0BE8DD03" w:rsidR="00036B1E" w:rsidRDefault="00036B1E" w:rsidP="000F4788">
      <w:pPr>
        <w:rPr>
          <w:rFonts w:ascii="Garamond" w:hAnsi="Garamond"/>
        </w:rPr>
      </w:pPr>
      <w:r w:rsidRPr="00446A29">
        <w:rPr>
          <w:rFonts w:ascii="Garamond" w:hAnsi="Garamond"/>
        </w:rPr>
        <w:t>There are no questions of a sensitive nature that are included on the questionnaires.  All questions concern programmatic activities.</w:t>
      </w:r>
    </w:p>
    <w:p w14:paraId="55C030D8" w14:textId="77777777" w:rsidR="00446A29" w:rsidRPr="00446A29" w:rsidRDefault="00446A29" w:rsidP="00446A29">
      <w:pPr>
        <w:rPr>
          <w:rFonts w:ascii="Garamond" w:hAnsi="Garamond"/>
        </w:rPr>
      </w:pPr>
    </w:p>
    <w:p w14:paraId="3B5E74DC" w14:textId="77777777" w:rsidR="00B6728A" w:rsidRPr="00330E3E" w:rsidRDefault="00875AA9" w:rsidP="001E7CA7">
      <w:pPr>
        <w:pStyle w:val="Heading1"/>
        <w:numPr>
          <w:ilvl w:val="0"/>
          <w:numId w:val="15"/>
        </w:numPr>
        <w:rPr>
          <w:rFonts w:ascii="Garamond" w:hAnsi="Garamond"/>
          <w:szCs w:val="24"/>
        </w:rPr>
      </w:pPr>
      <w:bookmarkStart w:id="24" w:name="_Toc383603858"/>
      <w:r w:rsidRPr="00330E3E">
        <w:rPr>
          <w:rFonts w:ascii="Garamond" w:hAnsi="Garamond"/>
          <w:szCs w:val="24"/>
        </w:rPr>
        <w:t>Estimates of Annualized Burden Hours and Costs</w:t>
      </w:r>
      <w:bookmarkEnd w:id="24"/>
    </w:p>
    <w:p w14:paraId="5A54049E" w14:textId="77777777" w:rsidR="00AF06CF" w:rsidRDefault="00AF06CF" w:rsidP="00AF06CF">
      <w:pPr>
        <w:rPr>
          <w:rFonts w:ascii="Garamond" w:hAnsi="Garamond"/>
        </w:rPr>
      </w:pPr>
      <w:r>
        <w:rPr>
          <w:rFonts w:ascii="Garamond" w:hAnsi="Garamond"/>
        </w:rPr>
        <w:t xml:space="preserve">The estimated burden per response ranges from 30 minutes to 6 hours.  This variation in burden is due to the variability in the questions on the forms based on the approach and type of funded agency.  For instance, non-governmental organizations have fewer questions to respond to because they only have questions for process monitoring.  Local education agencies have the highest burden because it takes more time to gather information as they gather data at the school- and student-level as compared with state education agencies that report only state- and district-level data. These burden estimates also include the time needed to upload policy documents, which accompany the measures that are captured in the questionnaire. The questionnaires are provided in </w:t>
      </w:r>
      <w:r>
        <w:rPr>
          <w:rFonts w:ascii="Garamond" w:hAnsi="Garamond"/>
          <w:b/>
        </w:rPr>
        <w:t>Attachments 3a, b &amp;c – 5a, b, &amp;c</w:t>
      </w:r>
      <w:r>
        <w:rPr>
          <w:rFonts w:ascii="Garamond" w:hAnsi="Garamond"/>
        </w:rPr>
        <w:t xml:space="preserve">.  Annualizing this collection over one year results in an estimated annualized burden of 804 hours for all funded agencies. </w:t>
      </w:r>
    </w:p>
    <w:p w14:paraId="6441F637" w14:textId="77777777" w:rsidR="00AF06CF" w:rsidRDefault="00AF06CF" w:rsidP="00AF06CF">
      <w:pPr>
        <w:rPr>
          <w:rFonts w:ascii="Garamond" w:hAnsi="Garamond"/>
        </w:rPr>
      </w:pPr>
    </w:p>
    <w:p w14:paraId="518F8D7F" w14:textId="77777777" w:rsidR="00AF06CF" w:rsidRDefault="00AF06CF" w:rsidP="00AF06CF">
      <w:pPr>
        <w:rPr>
          <w:rFonts w:ascii="Garamond" w:hAnsi="Garamond"/>
        </w:rPr>
      </w:pPr>
      <w:r>
        <w:rPr>
          <w:rFonts w:ascii="Garamond" w:hAnsi="Garamond"/>
        </w:rPr>
        <w:t>Administration of the questionnaires is conducted via the Web in PERS.  Please note, all approaches and partners are explained in section 2 of this document. There are a total of nine questionnaires that are included in the burden table below (Table A.12-1). Each SEA will be completing activities for all 3 approaches.  Therefore, each SEA will complete a questionnaire for each approach (SSE, SHS, and ESHE -</w:t>
      </w:r>
      <w:r>
        <w:t xml:space="preserve"> </w:t>
      </w:r>
      <w:r>
        <w:rPr>
          <w:rFonts w:ascii="Garamond" w:hAnsi="Garamond"/>
          <w:b/>
        </w:rPr>
        <w:t>Attachments 4c, 4b &amp; 4a</w:t>
      </w:r>
      <w:r>
        <w:rPr>
          <w:rFonts w:ascii="Garamond" w:hAnsi="Garamond"/>
        </w:rPr>
        <w:t>).   There will be 18 SEA respondents, providing 2 responses each, utilizing the ESHE measures, and taking 4 hours for each response for a total of 144 burden hours (</w:t>
      </w:r>
      <w:r>
        <w:rPr>
          <w:rFonts w:ascii="Garamond" w:hAnsi="Garamond"/>
          <w:b/>
        </w:rPr>
        <w:t>Attachments 4c)</w:t>
      </w:r>
      <w:r>
        <w:rPr>
          <w:rFonts w:ascii="Garamond" w:hAnsi="Garamond"/>
        </w:rPr>
        <w:t>. There will be 18 SEA respondents, providing 2 responses utilizing the SHS measures, taking 3 hours for each response for a total of 108 burden hours (</w:t>
      </w:r>
      <w:r>
        <w:rPr>
          <w:rFonts w:ascii="Garamond" w:hAnsi="Garamond"/>
          <w:b/>
        </w:rPr>
        <w:t>Attachments 4b)</w:t>
      </w:r>
      <w:r>
        <w:rPr>
          <w:rFonts w:ascii="Garamond" w:hAnsi="Garamond"/>
        </w:rPr>
        <w:t>.  There will be 18 SEA respondents, providing 2 responses each, utilizing the SSE measures, and taking 1 hours for each response for a total of 36 burden hours (</w:t>
      </w:r>
      <w:r>
        <w:rPr>
          <w:rFonts w:ascii="Garamond" w:hAnsi="Garamond"/>
          <w:b/>
        </w:rPr>
        <w:t>Attachments 4a)</w:t>
      </w:r>
      <w:r>
        <w:rPr>
          <w:rFonts w:ascii="Garamond" w:hAnsi="Garamond"/>
        </w:rPr>
        <w:t xml:space="preserve">.   </w:t>
      </w:r>
    </w:p>
    <w:p w14:paraId="0B342219" w14:textId="77777777" w:rsidR="00AF06CF" w:rsidRDefault="00AF06CF" w:rsidP="00AF06CF">
      <w:pPr>
        <w:rPr>
          <w:rFonts w:ascii="Garamond" w:hAnsi="Garamond"/>
        </w:rPr>
      </w:pPr>
    </w:p>
    <w:p w14:paraId="6A0CCE34" w14:textId="77777777" w:rsidR="00AF06CF" w:rsidRDefault="00AF06CF" w:rsidP="00AF06CF">
      <w:pPr>
        <w:rPr>
          <w:rFonts w:ascii="Garamond" w:hAnsi="Garamond"/>
        </w:rPr>
      </w:pPr>
      <w:r>
        <w:rPr>
          <w:rFonts w:ascii="Garamond" w:hAnsi="Garamond"/>
        </w:rPr>
        <w:t xml:space="preserve">Each LEA will also complete a questionnaire for each approach (SSE, SHS, and ESHE - </w:t>
      </w:r>
      <w:r>
        <w:rPr>
          <w:rFonts w:ascii="Garamond" w:hAnsi="Garamond"/>
          <w:b/>
        </w:rPr>
        <w:t>Attachments 5c, 5b &amp; 5a</w:t>
      </w:r>
      <w:r>
        <w:rPr>
          <w:rFonts w:ascii="Garamond" w:hAnsi="Garamond"/>
        </w:rPr>
        <w:t xml:space="preserve">). </w:t>
      </w:r>
    </w:p>
    <w:p w14:paraId="084F98C8" w14:textId="77777777" w:rsidR="00AF06CF" w:rsidRDefault="00AF06CF" w:rsidP="00AF06CF">
      <w:pPr>
        <w:rPr>
          <w:rFonts w:ascii="Garamond" w:hAnsi="Garamond"/>
        </w:rPr>
      </w:pPr>
      <w:r>
        <w:rPr>
          <w:rFonts w:ascii="Garamond" w:hAnsi="Garamond"/>
        </w:rPr>
        <w:t>There will be 17 LEA respondents, providing 2 responses each, utilizing the ESHE measures, and taking 6 hours for each response for a total of 204 burden hours (</w:t>
      </w:r>
      <w:r>
        <w:rPr>
          <w:rFonts w:ascii="Garamond" w:hAnsi="Garamond"/>
          <w:b/>
        </w:rPr>
        <w:t>Attachments 5c)</w:t>
      </w:r>
      <w:r>
        <w:rPr>
          <w:rFonts w:ascii="Garamond" w:hAnsi="Garamond"/>
        </w:rPr>
        <w:t>. There will be 17 LEA respondents, providing 2 responses utilizing the SHS measures, taking 3 hours for each response for a total of 102 burden hours (</w:t>
      </w:r>
      <w:r>
        <w:rPr>
          <w:rFonts w:ascii="Garamond" w:hAnsi="Garamond"/>
          <w:b/>
        </w:rPr>
        <w:t>Attachments 5b)</w:t>
      </w:r>
      <w:r>
        <w:rPr>
          <w:rFonts w:ascii="Garamond" w:hAnsi="Garamond"/>
        </w:rPr>
        <w:t>.  There will be 17 LEA respondents, providing 2 responses each, utilizing the SSE measures, and taking 6 hours for each response for a total of 204 burden hours (</w:t>
      </w:r>
      <w:r>
        <w:rPr>
          <w:rFonts w:ascii="Garamond" w:hAnsi="Garamond"/>
          <w:b/>
        </w:rPr>
        <w:t>Attachments 5a)</w:t>
      </w:r>
      <w:r>
        <w:rPr>
          <w:rFonts w:ascii="Garamond" w:hAnsi="Garamond"/>
        </w:rPr>
        <w:t xml:space="preserve">.   </w:t>
      </w:r>
    </w:p>
    <w:p w14:paraId="70A4D5BE" w14:textId="77777777" w:rsidR="00AF06CF" w:rsidRDefault="00AF06CF" w:rsidP="00AF06CF">
      <w:pPr>
        <w:rPr>
          <w:rFonts w:ascii="Garamond" w:hAnsi="Garamond"/>
        </w:rPr>
      </w:pPr>
    </w:p>
    <w:p w14:paraId="7EA8D6DA" w14:textId="77777777" w:rsidR="00AF06CF" w:rsidRDefault="00AF06CF" w:rsidP="00AF06CF">
      <w:pPr>
        <w:rPr>
          <w:rFonts w:ascii="Garamond" w:hAnsi="Garamond"/>
          <w:b/>
        </w:rPr>
      </w:pPr>
      <w:r>
        <w:rPr>
          <w:rFonts w:ascii="Garamond" w:hAnsi="Garamond"/>
        </w:rPr>
        <w:t>Each NGO will respond to the questionnaire for the approach they are implementing in support of SEAs or LEAs.  Two NGOs will respond to the ESHE questionnaire, two NGOs for the SHS questionnaire, and two NGOs for the SSE questionnaire (</w:t>
      </w:r>
      <w:r>
        <w:rPr>
          <w:rFonts w:ascii="Garamond" w:hAnsi="Garamond"/>
          <w:b/>
        </w:rPr>
        <w:t>Attachments 3a, b &amp;c)</w:t>
      </w:r>
      <w:r>
        <w:rPr>
          <w:rFonts w:ascii="Garamond" w:hAnsi="Garamond"/>
        </w:rPr>
        <w:t xml:space="preserve">. The estimated response time is 30 minutes per response for a total burden of 2 hours annually.    </w:t>
      </w:r>
    </w:p>
    <w:p w14:paraId="153ED6B7" w14:textId="77777777" w:rsidR="009B14BF" w:rsidRPr="00330E3E" w:rsidRDefault="009B14BF" w:rsidP="00036B1E">
      <w:pPr>
        <w:rPr>
          <w:rFonts w:ascii="Garamond" w:hAnsi="Garamond"/>
        </w:rPr>
      </w:pPr>
    </w:p>
    <w:p w14:paraId="26BFF27D" w14:textId="77777777" w:rsidR="00712D5E" w:rsidRPr="00330E3E" w:rsidRDefault="00712D5E" w:rsidP="00036B1E">
      <w:pPr>
        <w:rPr>
          <w:rFonts w:ascii="Garamond" w:hAnsi="Garamond"/>
          <w:b/>
        </w:rPr>
      </w:pPr>
      <w:r w:rsidRPr="00330E3E">
        <w:rPr>
          <w:rFonts w:ascii="Garamond" w:hAnsi="Garamond"/>
          <w:b/>
        </w:rPr>
        <w:t xml:space="preserve">Table </w:t>
      </w:r>
      <w:r w:rsidR="00527A0B" w:rsidRPr="00330E3E">
        <w:rPr>
          <w:rFonts w:ascii="Garamond" w:hAnsi="Garamond"/>
          <w:b/>
        </w:rPr>
        <w:t>A.12-1</w:t>
      </w:r>
      <w:r w:rsidRPr="00330E3E">
        <w:rPr>
          <w:rFonts w:ascii="Garamond" w:hAnsi="Garamond"/>
          <w:b/>
        </w:rPr>
        <w:t xml:space="preserve"> Estimated Annualize Burden </w:t>
      </w:r>
      <w:r w:rsidR="00E35112" w:rsidRPr="00330E3E">
        <w:rPr>
          <w:rFonts w:ascii="Garamond" w:hAnsi="Garamond"/>
          <w:b/>
        </w:rPr>
        <w:t>to</w:t>
      </w:r>
      <w:r w:rsidRPr="00330E3E">
        <w:rPr>
          <w:rFonts w:ascii="Garamond" w:hAnsi="Garamond"/>
          <w:b/>
        </w:rPr>
        <w:t xml:space="preserve"> Respondents</w:t>
      </w:r>
    </w:p>
    <w:tbl>
      <w:tblPr>
        <w:tblStyle w:val="TableGrid"/>
        <w:tblW w:w="9077" w:type="dxa"/>
        <w:tblLook w:val="04A0" w:firstRow="1" w:lastRow="0" w:firstColumn="1" w:lastColumn="0" w:noHBand="0" w:noVBand="1"/>
      </w:tblPr>
      <w:tblGrid>
        <w:gridCol w:w="2017"/>
        <w:gridCol w:w="1782"/>
        <w:gridCol w:w="1532"/>
        <w:gridCol w:w="1536"/>
        <w:gridCol w:w="1273"/>
        <w:gridCol w:w="937"/>
      </w:tblGrid>
      <w:tr w:rsidR="007A2C18" w:rsidRPr="00330E3E" w14:paraId="39B97C53" w14:textId="77777777" w:rsidTr="007A2C18">
        <w:trPr>
          <w:cantSplit/>
          <w:trHeight w:val="1378"/>
        </w:trPr>
        <w:tc>
          <w:tcPr>
            <w:tcW w:w="2017" w:type="dxa"/>
          </w:tcPr>
          <w:p w14:paraId="20A220AB" w14:textId="3E713B0C" w:rsidR="007A2C18" w:rsidRPr="00330E3E" w:rsidRDefault="007A2C18" w:rsidP="007A2C18">
            <w:pPr>
              <w:pStyle w:val="Body"/>
              <w:jc w:val="center"/>
              <w:rPr>
                <w:rFonts w:ascii="Garamond" w:hAnsi="Garamond"/>
              </w:rPr>
            </w:pPr>
            <w:r>
              <w:rPr>
                <w:rFonts w:ascii="Courier New" w:hAnsi="Courier New" w:cs="Courier New"/>
                <w:color w:val="000000"/>
              </w:rPr>
              <w:t>Type of Respondent</w:t>
            </w:r>
          </w:p>
        </w:tc>
        <w:tc>
          <w:tcPr>
            <w:tcW w:w="1782" w:type="dxa"/>
            <w:vAlign w:val="center"/>
          </w:tcPr>
          <w:p w14:paraId="53800947" w14:textId="46F75E31" w:rsidR="007A2C18" w:rsidRPr="00330E3E" w:rsidRDefault="007A2C18" w:rsidP="007A2C18">
            <w:pPr>
              <w:pStyle w:val="Body"/>
              <w:jc w:val="center"/>
              <w:rPr>
                <w:rFonts w:ascii="Garamond" w:hAnsi="Garamond"/>
              </w:rPr>
            </w:pPr>
            <w:r w:rsidRPr="00330E3E">
              <w:rPr>
                <w:rFonts w:ascii="Garamond" w:hAnsi="Garamond"/>
              </w:rPr>
              <w:t>Form Name</w:t>
            </w:r>
          </w:p>
        </w:tc>
        <w:tc>
          <w:tcPr>
            <w:tcW w:w="1532" w:type="dxa"/>
            <w:vAlign w:val="center"/>
          </w:tcPr>
          <w:p w14:paraId="71F0D0F1" w14:textId="77777777" w:rsidR="007A2C18" w:rsidRPr="00330E3E" w:rsidRDefault="007A2C18" w:rsidP="007A2C18">
            <w:pPr>
              <w:pStyle w:val="Body"/>
              <w:jc w:val="center"/>
              <w:rPr>
                <w:rFonts w:ascii="Garamond" w:hAnsi="Garamond"/>
              </w:rPr>
            </w:pPr>
            <w:r w:rsidRPr="00330E3E">
              <w:rPr>
                <w:rFonts w:ascii="Garamond" w:hAnsi="Garamond"/>
              </w:rPr>
              <w:t>Number of Respondents</w:t>
            </w:r>
          </w:p>
        </w:tc>
        <w:tc>
          <w:tcPr>
            <w:tcW w:w="1536" w:type="dxa"/>
            <w:vAlign w:val="center"/>
          </w:tcPr>
          <w:p w14:paraId="3E8C99D3" w14:textId="77777777" w:rsidR="007A2C18" w:rsidRPr="00330E3E" w:rsidRDefault="007A2C18" w:rsidP="007A2C18">
            <w:pPr>
              <w:pStyle w:val="Body"/>
              <w:jc w:val="center"/>
              <w:rPr>
                <w:rFonts w:ascii="Garamond" w:hAnsi="Garamond"/>
              </w:rPr>
            </w:pPr>
            <w:r w:rsidRPr="00330E3E">
              <w:rPr>
                <w:rFonts w:ascii="Garamond" w:hAnsi="Garamond"/>
              </w:rPr>
              <w:t>Number of Responses per Respondent</w:t>
            </w:r>
          </w:p>
        </w:tc>
        <w:tc>
          <w:tcPr>
            <w:tcW w:w="1273" w:type="dxa"/>
            <w:vAlign w:val="center"/>
          </w:tcPr>
          <w:p w14:paraId="32F5F943" w14:textId="77777777" w:rsidR="007A2C18" w:rsidRPr="00330E3E" w:rsidRDefault="007A2C18" w:rsidP="007A2C18">
            <w:pPr>
              <w:pStyle w:val="Body"/>
              <w:jc w:val="center"/>
              <w:rPr>
                <w:rFonts w:ascii="Garamond" w:hAnsi="Garamond"/>
              </w:rPr>
            </w:pPr>
            <w:r w:rsidRPr="00330E3E">
              <w:rPr>
                <w:rFonts w:ascii="Garamond" w:hAnsi="Garamond"/>
              </w:rPr>
              <w:t>Average Burden per Response (in hours)</w:t>
            </w:r>
          </w:p>
        </w:tc>
        <w:tc>
          <w:tcPr>
            <w:tcW w:w="937" w:type="dxa"/>
            <w:vAlign w:val="center"/>
          </w:tcPr>
          <w:p w14:paraId="21684F5E" w14:textId="77777777" w:rsidR="007A2C18" w:rsidRPr="00330E3E" w:rsidRDefault="007A2C18" w:rsidP="007A2C18">
            <w:pPr>
              <w:pStyle w:val="Body"/>
              <w:jc w:val="center"/>
              <w:rPr>
                <w:rFonts w:ascii="Garamond" w:hAnsi="Garamond"/>
              </w:rPr>
            </w:pPr>
            <w:r w:rsidRPr="00330E3E">
              <w:rPr>
                <w:rFonts w:ascii="Garamond" w:hAnsi="Garamond"/>
              </w:rPr>
              <w:t>Total Burden (in hours)</w:t>
            </w:r>
          </w:p>
        </w:tc>
      </w:tr>
      <w:tr w:rsidR="007A2C18" w:rsidRPr="00330E3E" w14:paraId="175E12D7" w14:textId="77777777" w:rsidTr="007A2C18">
        <w:trPr>
          <w:cantSplit/>
          <w:trHeight w:val="443"/>
        </w:trPr>
        <w:tc>
          <w:tcPr>
            <w:tcW w:w="2017" w:type="dxa"/>
          </w:tcPr>
          <w:p w14:paraId="5DD37222" w14:textId="18F30458" w:rsidR="007A2C18" w:rsidRPr="00330E3E" w:rsidRDefault="007A2C18" w:rsidP="007A2C18">
            <w:pPr>
              <w:pStyle w:val="Body"/>
              <w:rPr>
                <w:rFonts w:ascii="Garamond" w:hAnsi="Garamond"/>
              </w:rPr>
            </w:pPr>
            <w:r>
              <w:rPr>
                <w:rFonts w:ascii="Courier New" w:hAnsi="Courier New" w:cs="Courier New"/>
              </w:rPr>
              <w:t>State Education Agency</w:t>
            </w:r>
          </w:p>
        </w:tc>
        <w:tc>
          <w:tcPr>
            <w:tcW w:w="1782" w:type="dxa"/>
            <w:vAlign w:val="center"/>
          </w:tcPr>
          <w:p w14:paraId="7BBFDEEF" w14:textId="6BA4FD25" w:rsidR="007A2C18" w:rsidRPr="00330E3E" w:rsidRDefault="007A2C18" w:rsidP="007A2C18">
            <w:pPr>
              <w:pStyle w:val="Body"/>
              <w:rPr>
                <w:rFonts w:ascii="Garamond" w:hAnsi="Garamond"/>
              </w:rPr>
            </w:pPr>
            <w:r w:rsidRPr="00330E3E">
              <w:rPr>
                <w:rFonts w:ascii="Garamond" w:hAnsi="Garamond"/>
              </w:rPr>
              <w:t>ESHE Measures</w:t>
            </w:r>
            <w:r>
              <w:rPr>
                <w:rFonts w:ascii="Garamond" w:hAnsi="Garamond"/>
              </w:rPr>
              <w:t xml:space="preserve"> 4c</w:t>
            </w:r>
          </w:p>
        </w:tc>
        <w:tc>
          <w:tcPr>
            <w:tcW w:w="1532" w:type="dxa"/>
            <w:vAlign w:val="center"/>
          </w:tcPr>
          <w:p w14:paraId="0AD869EB" w14:textId="32258909" w:rsidR="007A2C18" w:rsidRPr="00330E3E" w:rsidRDefault="007A2C18" w:rsidP="007A2C18">
            <w:pPr>
              <w:pStyle w:val="Body"/>
              <w:rPr>
                <w:rFonts w:ascii="Garamond" w:hAnsi="Garamond"/>
              </w:rPr>
            </w:pPr>
            <w:r w:rsidRPr="00330E3E">
              <w:rPr>
                <w:rFonts w:ascii="Garamond" w:hAnsi="Garamond"/>
              </w:rPr>
              <w:t>1</w:t>
            </w:r>
            <w:r>
              <w:rPr>
                <w:rFonts w:ascii="Garamond" w:hAnsi="Garamond"/>
              </w:rPr>
              <w:t>8</w:t>
            </w:r>
          </w:p>
        </w:tc>
        <w:tc>
          <w:tcPr>
            <w:tcW w:w="1536" w:type="dxa"/>
            <w:vAlign w:val="center"/>
          </w:tcPr>
          <w:p w14:paraId="2B640FD9"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38C0C981" w14:textId="77777777" w:rsidR="007A2C18" w:rsidRPr="00330E3E" w:rsidRDefault="007A2C18" w:rsidP="007A2C18">
            <w:pPr>
              <w:pStyle w:val="Body"/>
              <w:rPr>
                <w:rFonts w:ascii="Garamond" w:hAnsi="Garamond"/>
              </w:rPr>
            </w:pPr>
            <w:r w:rsidRPr="00330E3E">
              <w:rPr>
                <w:rFonts w:ascii="Garamond" w:hAnsi="Garamond"/>
              </w:rPr>
              <w:t>4</w:t>
            </w:r>
          </w:p>
        </w:tc>
        <w:tc>
          <w:tcPr>
            <w:tcW w:w="937" w:type="dxa"/>
            <w:vAlign w:val="center"/>
          </w:tcPr>
          <w:p w14:paraId="56FF3340" w14:textId="3ACDC74B" w:rsidR="007A2C18" w:rsidRPr="00330E3E" w:rsidRDefault="007A2C18" w:rsidP="007A2C18">
            <w:pPr>
              <w:pStyle w:val="Body"/>
              <w:rPr>
                <w:rFonts w:ascii="Garamond" w:hAnsi="Garamond"/>
              </w:rPr>
            </w:pPr>
            <w:r>
              <w:rPr>
                <w:rFonts w:ascii="Garamond" w:hAnsi="Garamond"/>
              </w:rPr>
              <w:t>144</w:t>
            </w:r>
          </w:p>
        </w:tc>
      </w:tr>
      <w:tr w:rsidR="007A2C18" w:rsidRPr="00330E3E" w14:paraId="2B93A5CA" w14:textId="77777777" w:rsidTr="007A2C18">
        <w:trPr>
          <w:cantSplit/>
          <w:trHeight w:val="443"/>
        </w:trPr>
        <w:tc>
          <w:tcPr>
            <w:tcW w:w="2017" w:type="dxa"/>
          </w:tcPr>
          <w:p w14:paraId="72B5C74D" w14:textId="3DFA544C" w:rsidR="007A2C18" w:rsidRPr="00330E3E" w:rsidRDefault="007A2C18" w:rsidP="007A2C18">
            <w:pPr>
              <w:pStyle w:val="Body"/>
              <w:rPr>
                <w:rFonts w:ascii="Garamond" w:hAnsi="Garamond"/>
              </w:rPr>
            </w:pPr>
            <w:r w:rsidRPr="006F55B2">
              <w:rPr>
                <w:rFonts w:ascii="Courier New" w:hAnsi="Courier New" w:cs="Courier New"/>
              </w:rPr>
              <w:t>State Education Agency</w:t>
            </w:r>
          </w:p>
        </w:tc>
        <w:tc>
          <w:tcPr>
            <w:tcW w:w="1782" w:type="dxa"/>
            <w:vAlign w:val="center"/>
          </w:tcPr>
          <w:p w14:paraId="631FFCE6" w14:textId="447396BF" w:rsidR="007A2C18" w:rsidRPr="00330E3E" w:rsidRDefault="007A2C18" w:rsidP="007A2C18">
            <w:pPr>
              <w:pStyle w:val="Body"/>
              <w:rPr>
                <w:rFonts w:ascii="Garamond" w:hAnsi="Garamond"/>
              </w:rPr>
            </w:pPr>
            <w:r w:rsidRPr="00330E3E">
              <w:rPr>
                <w:rFonts w:ascii="Garamond" w:hAnsi="Garamond"/>
              </w:rPr>
              <w:t>SHS Measures</w:t>
            </w:r>
            <w:r>
              <w:rPr>
                <w:rFonts w:ascii="Garamond" w:hAnsi="Garamond"/>
              </w:rPr>
              <w:t xml:space="preserve"> 4b</w:t>
            </w:r>
          </w:p>
        </w:tc>
        <w:tc>
          <w:tcPr>
            <w:tcW w:w="1532" w:type="dxa"/>
            <w:vAlign w:val="center"/>
          </w:tcPr>
          <w:p w14:paraId="5D35E46F" w14:textId="12CCEB71" w:rsidR="007A2C18" w:rsidRPr="00330E3E" w:rsidRDefault="007A2C18" w:rsidP="007A2C18">
            <w:pPr>
              <w:pStyle w:val="Body"/>
              <w:rPr>
                <w:rFonts w:ascii="Garamond" w:hAnsi="Garamond"/>
              </w:rPr>
            </w:pPr>
            <w:r>
              <w:rPr>
                <w:rFonts w:ascii="Garamond" w:hAnsi="Garamond"/>
              </w:rPr>
              <w:t>18</w:t>
            </w:r>
          </w:p>
        </w:tc>
        <w:tc>
          <w:tcPr>
            <w:tcW w:w="1536" w:type="dxa"/>
            <w:vAlign w:val="center"/>
          </w:tcPr>
          <w:p w14:paraId="77897134"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6EC8D3E5" w14:textId="77777777" w:rsidR="007A2C18" w:rsidRPr="00330E3E" w:rsidRDefault="007A2C18" w:rsidP="007A2C18">
            <w:pPr>
              <w:pStyle w:val="Body"/>
              <w:rPr>
                <w:rFonts w:ascii="Garamond" w:hAnsi="Garamond"/>
              </w:rPr>
            </w:pPr>
            <w:r w:rsidRPr="00330E3E">
              <w:rPr>
                <w:rFonts w:ascii="Garamond" w:hAnsi="Garamond"/>
              </w:rPr>
              <w:t>3</w:t>
            </w:r>
          </w:p>
        </w:tc>
        <w:tc>
          <w:tcPr>
            <w:tcW w:w="937" w:type="dxa"/>
            <w:vAlign w:val="center"/>
          </w:tcPr>
          <w:p w14:paraId="2975E9B6" w14:textId="129B84E1" w:rsidR="007A2C18" w:rsidRPr="00330E3E" w:rsidRDefault="007A2C18" w:rsidP="007A2C18">
            <w:pPr>
              <w:pStyle w:val="Body"/>
              <w:rPr>
                <w:rFonts w:ascii="Garamond" w:hAnsi="Garamond"/>
              </w:rPr>
            </w:pPr>
            <w:r>
              <w:rPr>
                <w:rFonts w:ascii="Garamond" w:hAnsi="Garamond"/>
              </w:rPr>
              <w:t>108</w:t>
            </w:r>
          </w:p>
        </w:tc>
      </w:tr>
      <w:tr w:rsidR="007A2C18" w:rsidRPr="00330E3E" w14:paraId="44E3B03C" w14:textId="77777777" w:rsidTr="007A2C18">
        <w:trPr>
          <w:cantSplit/>
          <w:trHeight w:val="443"/>
        </w:trPr>
        <w:tc>
          <w:tcPr>
            <w:tcW w:w="2017" w:type="dxa"/>
          </w:tcPr>
          <w:p w14:paraId="530A2918" w14:textId="4780C784" w:rsidR="007A2C18" w:rsidRPr="00330E3E" w:rsidRDefault="007A2C18" w:rsidP="007A2C18">
            <w:pPr>
              <w:pStyle w:val="Body"/>
              <w:rPr>
                <w:rFonts w:ascii="Garamond" w:hAnsi="Garamond"/>
              </w:rPr>
            </w:pPr>
            <w:r w:rsidRPr="006F55B2">
              <w:rPr>
                <w:rFonts w:ascii="Courier New" w:hAnsi="Courier New" w:cs="Courier New"/>
                <w:color w:val="000000"/>
              </w:rPr>
              <w:t>State Education Agency</w:t>
            </w:r>
          </w:p>
        </w:tc>
        <w:tc>
          <w:tcPr>
            <w:tcW w:w="1782" w:type="dxa"/>
            <w:vAlign w:val="center"/>
          </w:tcPr>
          <w:p w14:paraId="2EA1FFB9" w14:textId="1D5F377B" w:rsidR="007A2C18" w:rsidRPr="00330E3E" w:rsidRDefault="007A2C18" w:rsidP="007A2C18">
            <w:pPr>
              <w:pStyle w:val="Body"/>
              <w:rPr>
                <w:rFonts w:ascii="Garamond" w:hAnsi="Garamond"/>
              </w:rPr>
            </w:pPr>
            <w:r w:rsidRPr="00330E3E">
              <w:rPr>
                <w:rFonts w:ascii="Garamond" w:hAnsi="Garamond"/>
              </w:rPr>
              <w:t>SSE Measures</w:t>
            </w:r>
            <w:r>
              <w:rPr>
                <w:rFonts w:ascii="Garamond" w:hAnsi="Garamond"/>
              </w:rPr>
              <w:t xml:space="preserve"> 4a</w:t>
            </w:r>
          </w:p>
        </w:tc>
        <w:tc>
          <w:tcPr>
            <w:tcW w:w="1532" w:type="dxa"/>
            <w:vAlign w:val="center"/>
          </w:tcPr>
          <w:p w14:paraId="17DC280A" w14:textId="5C6F6EC8" w:rsidR="007A2C18" w:rsidRPr="00330E3E" w:rsidRDefault="007A2C18" w:rsidP="007A2C18">
            <w:pPr>
              <w:pStyle w:val="Body"/>
              <w:rPr>
                <w:rFonts w:ascii="Garamond" w:hAnsi="Garamond"/>
              </w:rPr>
            </w:pPr>
            <w:r>
              <w:rPr>
                <w:rFonts w:ascii="Garamond" w:hAnsi="Garamond"/>
              </w:rPr>
              <w:t>18</w:t>
            </w:r>
          </w:p>
        </w:tc>
        <w:tc>
          <w:tcPr>
            <w:tcW w:w="1536" w:type="dxa"/>
            <w:vAlign w:val="center"/>
          </w:tcPr>
          <w:p w14:paraId="73F8B436"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27267EBE" w14:textId="77777777" w:rsidR="007A2C18" w:rsidRPr="00330E3E" w:rsidRDefault="007A2C18" w:rsidP="007A2C18">
            <w:pPr>
              <w:pStyle w:val="Body"/>
              <w:rPr>
                <w:rFonts w:ascii="Garamond" w:hAnsi="Garamond"/>
              </w:rPr>
            </w:pPr>
            <w:r w:rsidRPr="00330E3E">
              <w:rPr>
                <w:rFonts w:ascii="Garamond" w:hAnsi="Garamond"/>
              </w:rPr>
              <w:t>1</w:t>
            </w:r>
          </w:p>
        </w:tc>
        <w:tc>
          <w:tcPr>
            <w:tcW w:w="937" w:type="dxa"/>
            <w:vAlign w:val="center"/>
          </w:tcPr>
          <w:p w14:paraId="0AD91412" w14:textId="488D8534" w:rsidR="007A2C18" w:rsidRPr="00330E3E" w:rsidRDefault="007A2C18" w:rsidP="007A2C18">
            <w:pPr>
              <w:pStyle w:val="Body"/>
              <w:rPr>
                <w:rFonts w:ascii="Garamond" w:hAnsi="Garamond"/>
              </w:rPr>
            </w:pPr>
            <w:r w:rsidRPr="00330E3E">
              <w:rPr>
                <w:rFonts w:ascii="Garamond" w:hAnsi="Garamond"/>
              </w:rPr>
              <w:t>3</w:t>
            </w:r>
            <w:r>
              <w:rPr>
                <w:rFonts w:ascii="Garamond" w:hAnsi="Garamond"/>
              </w:rPr>
              <w:t>6</w:t>
            </w:r>
          </w:p>
        </w:tc>
      </w:tr>
      <w:tr w:rsidR="007A2C18" w:rsidRPr="00330E3E" w14:paraId="1AB64023" w14:textId="77777777" w:rsidTr="007A2C18">
        <w:trPr>
          <w:cantSplit/>
          <w:trHeight w:val="443"/>
        </w:trPr>
        <w:tc>
          <w:tcPr>
            <w:tcW w:w="2017" w:type="dxa"/>
          </w:tcPr>
          <w:p w14:paraId="2C916BC0" w14:textId="3272FFFA" w:rsidR="007A2C18" w:rsidRPr="00330E3E" w:rsidRDefault="007A2C18" w:rsidP="007A2C18">
            <w:pPr>
              <w:pStyle w:val="Body"/>
              <w:rPr>
                <w:rFonts w:ascii="Garamond" w:hAnsi="Garamond"/>
              </w:rPr>
            </w:pPr>
            <w:r>
              <w:rPr>
                <w:rFonts w:ascii="Courier New" w:hAnsi="Courier New" w:cs="Courier New"/>
              </w:rPr>
              <w:t>Local Education Agency</w:t>
            </w:r>
          </w:p>
        </w:tc>
        <w:tc>
          <w:tcPr>
            <w:tcW w:w="1782" w:type="dxa"/>
            <w:vAlign w:val="center"/>
          </w:tcPr>
          <w:p w14:paraId="2EEA52F1" w14:textId="7AE50761" w:rsidR="007A2C18" w:rsidRPr="00330E3E" w:rsidRDefault="007A2C18" w:rsidP="007A2C18">
            <w:pPr>
              <w:pStyle w:val="Body"/>
              <w:rPr>
                <w:rFonts w:ascii="Garamond" w:hAnsi="Garamond"/>
              </w:rPr>
            </w:pPr>
            <w:r w:rsidRPr="00330E3E">
              <w:rPr>
                <w:rFonts w:ascii="Garamond" w:hAnsi="Garamond"/>
              </w:rPr>
              <w:t>ESHE Measures</w:t>
            </w:r>
            <w:r>
              <w:rPr>
                <w:rFonts w:ascii="Garamond" w:hAnsi="Garamond"/>
              </w:rPr>
              <w:t xml:space="preserve"> 5c</w:t>
            </w:r>
          </w:p>
        </w:tc>
        <w:tc>
          <w:tcPr>
            <w:tcW w:w="1532" w:type="dxa"/>
            <w:vAlign w:val="center"/>
          </w:tcPr>
          <w:p w14:paraId="6E7CAE81" w14:textId="77777777" w:rsidR="007A2C18" w:rsidRPr="00330E3E" w:rsidRDefault="007A2C18" w:rsidP="007A2C18">
            <w:pPr>
              <w:pStyle w:val="Body"/>
              <w:rPr>
                <w:rFonts w:ascii="Garamond" w:hAnsi="Garamond"/>
              </w:rPr>
            </w:pPr>
            <w:r w:rsidRPr="00330E3E">
              <w:rPr>
                <w:rFonts w:ascii="Garamond" w:hAnsi="Garamond"/>
              </w:rPr>
              <w:t>17</w:t>
            </w:r>
          </w:p>
        </w:tc>
        <w:tc>
          <w:tcPr>
            <w:tcW w:w="1536" w:type="dxa"/>
            <w:vAlign w:val="center"/>
          </w:tcPr>
          <w:p w14:paraId="403F8B97"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60DAFC17" w14:textId="77777777" w:rsidR="007A2C18" w:rsidRPr="00330E3E" w:rsidRDefault="007A2C18" w:rsidP="007A2C18">
            <w:pPr>
              <w:pStyle w:val="Body"/>
              <w:rPr>
                <w:rFonts w:ascii="Garamond" w:hAnsi="Garamond"/>
              </w:rPr>
            </w:pPr>
            <w:r w:rsidRPr="00330E3E">
              <w:rPr>
                <w:rFonts w:ascii="Garamond" w:hAnsi="Garamond"/>
              </w:rPr>
              <w:t>6</w:t>
            </w:r>
          </w:p>
        </w:tc>
        <w:tc>
          <w:tcPr>
            <w:tcW w:w="937" w:type="dxa"/>
            <w:vAlign w:val="center"/>
          </w:tcPr>
          <w:p w14:paraId="4C05EF32" w14:textId="77777777" w:rsidR="007A2C18" w:rsidRPr="00330E3E" w:rsidRDefault="007A2C18" w:rsidP="007A2C18">
            <w:pPr>
              <w:pStyle w:val="Body"/>
              <w:rPr>
                <w:rFonts w:ascii="Garamond" w:hAnsi="Garamond"/>
              </w:rPr>
            </w:pPr>
            <w:r w:rsidRPr="00330E3E">
              <w:rPr>
                <w:rFonts w:ascii="Garamond" w:hAnsi="Garamond"/>
              </w:rPr>
              <w:t>204</w:t>
            </w:r>
          </w:p>
        </w:tc>
      </w:tr>
      <w:tr w:rsidR="007A2C18" w:rsidRPr="00330E3E" w14:paraId="1AEB8E31" w14:textId="77777777" w:rsidTr="007A2C18">
        <w:trPr>
          <w:cantSplit/>
          <w:trHeight w:val="443"/>
        </w:trPr>
        <w:tc>
          <w:tcPr>
            <w:tcW w:w="2017" w:type="dxa"/>
          </w:tcPr>
          <w:p w14:paraId="53EEB0B6" w14:textId="00D2D851" w:rsidR="007A2C18" w:rsidRPr="00330E3E" w:rsidRDefault="007A2C18" w:rsidP="007A2C18">
            <w:pPr>
              <w:pStyle w:val="Body"/>
              <w:rPr>
                <w:rFonts w:ascii="Garamond" w:hAnsi="Garamond"/>
              </w:rPr>
            </w:pPr>
            <w:r w:rsidRPr="006F55B2">
              <w:rPr>
                <w:rFonts w:ascii="Courier New" w:hAnsi="Courier New" w:cs="Courier New"/>
              </w:rPr>
              <w:t>Local Education Agency</w:t>
            </w:r>
          </w:p>
        </w:tc>
        <w:tc>
          <w:tcPr>
            <w:tcW w:w="1782" w:type="dxa"/>
            <w:vAlign w:val="center"/>
          </w:tcPr>
          <w:p w14:paraId="60EBB2D3" w14:textId="56DF6B51" w:rsidR="007A2C18" w:rsidRPr="00330E3E" w:rsidRDefault="007A2C18" w:rsidP="007A2C18">
            <w:pPr>
              <w:pStyle w:val="Body"/>
              <w:rPr>
                <w:rFonts w:ascii="Garamond" w:hAnsi="Garamond"/>
              </w:rPr>
            </w:pPr>
            <w:r w:rsidRPr="00330E3E">
              <w:rPr>
                <w:rFonts w:ascii="Garamond" w:hAnsi="Garamond"/>
              </w:rPr>
              <w:t>SHS Measures</w:t>
            </w:r>
            <w:r>
              <w:rPr>
                <w:rFonts w:ascii="Garamond" w:hAnsi="Garamond"/>
              </w:rPr>
              <w:t xml:space="preserve"> 5b</w:t>
            </w:r>
          </w:p>
        </w:tc>
        <w:tc>
          <w:tcPr>
            <w:tcW w:w="1532" w:type="dxa"/>
            <w:vAlign w:val="center"/>
          </w:tcPr>
          <w:p w14:paraId="4D3833CD" w14:textId="77777777" w:rsidR="007A2C18" w:rsidRPr="00330E3E" w:rsidRDefault="007A2C18" w:rsidP="007A2C18">
            <w:pPr>
              <w:pStyle w:val="Body"/>
              <w:rPr>
                <w:rFonts w:ascii="Garamond" w:hAnsi="Garamond"/>
              </w:rPr>
            </w:pPr>
            <w:r w:rsidRPr="00330E3E">
              <w:rPr>
                <w:rFonts w:ascii="Garamond" w:hAnsi="Garamond"/>
              </w:rPr>
              <w:t>17</w:t>
            </w:r>
          </w:p>
        </w:tc>
        <w:tc>
          <w:tcPr>
            <w:tcW w:w="1536" w:type="dxa"/>
            <w:vAlign w:val="center"/>
          </w:tcPr>
          <w:p w14:paraId="00280F93"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1BEA348D" w14:textId="77777777" w:rsidR="007A2C18" w:rsidRPr="00330E3E" w:rsidRDefault="007A2C18" w:rsidP="007A2C18">
            <w:pPr>
              <w:pStyle w:val="Body"/>
              <w:rPr>
                <w:rFonts w:ascii="Garamond" w:hAnsi="Garamond"/>
              </w:rPr>
            </w:pPr>
            <w:r w:rsidRPr="00330E3E">
              <w:rPr>
                <w:rFonts w:ascii="Garamond" w:hAnsi="Garamond"/>
              </w:rPr>
              <w:t>3</w:t>
            </w:r>
          </w:p>
        </w:tc>
        <w:tc>
          <w:tcPr>
            <w:tcW w:w="937" w:type="dxa"/>
            <w:vAlign w:val="center"/>
          </w:tcPr>
          <w:p w14:paraId="02EEB6E8" w14:textId="77777777" w:rsidR="007A2C18" w:rsidRPr="00330E3E" w:rsidRDefault="007A2C18" w:rsidP="007A2C18">
            <w:pPr>
              <w:pStyle w:val="Body"/>
              <w:rPr>
                <w:rFonts w:ascii="Garamond" w:hAnsi="Garamond"/>
              </w:rPr>
            </w:pPr>
            <w:r w:rsidRPr="00330E3E">
              <w:rPr>
                <w:rFonts w:ascii="Garamond" w:hAnsi="Garamond"/>
              </w:rPr>
              <w:t>102</w:t>
            </w:r>
          </w:p>
        </w:tc>
      </w:tr>
      <w:tr w:rsidR="007A2C18" w:rsidRPr="00330E3E" w14:paraId="6AED575D" w14:textId="77777777" w:rsidTr="007A2C18">
        <w:trPr>
          <w:cantSplit/>
          <w:trHeight w:val="443"/>
        </w:trPr>
        <w:tc>
          <w:tcPr>
            <w:tcW w:w="2017" w:type="dxa"/>
          </w:tcPr>
          <w:p w14:paraId="5C2716A1" w14:textId="33C13B45" w:rsidR="007A2C18" w:rsidRPr="00330E3E" w:rsidRDefault="007A2C18" w:rsidP="007A2C18">
            <w:pPr>
              <w:pStyle w:val="Body"/>
              <w:rPr>
                <w:rFonts w:ascii="Garamond" w:hAnsi="Garamond"/>
              </w:rPr>
            </w:pPr>
            <w:r w:rsidRPr="006F55B2">
              <w:rPr>
                <w:rFonts w:ascii="Courier New" w:hAnsi="Courier New" w:cs="Courier New"/>
                <w:color w:val="000000"/>
              </w:rPr>
              <w:t>Local Education Agency</w:t>
            </w:r>
          </w:p>
        </w:tc>
        <w:tc>
          <w:tcPr>
            <w:tcW w:w="1782" w:type="dxa"/>
            <w:vAlign w:val="center"/>
          </w:tcPr>
          <w:p w14:paraId="6A53AC3D" w14:textId="27D1EF78" w:rsidR="007A2C18" w:rsidRPr="00330E3E" w:rsidRDefault="007A2C18" w:rsidP="007A2C18">
            <w:pPr>
              <w:pStyle w:val="Body"/>
              <w:rPr>
                <w:rFonts w:ascii="Garamond" w:hAnsi="Garamond"/>
              </w:rPr>
            </w:pPr>
            <w:r w:rsidRPr="00330E3E">
              <w:rPr>
                <w:rFonts w:ascii="Garamond" w:hAnsi="Garamond"/>
              </w:rPr>
              <w:t>SSE Measures</w:t>
            </w:r>
            <w:r>
              <w:rPr>
                <w:rFonts w:ascii="Garamond" w:hAnsi="Garamond"/>
              </w:rPr>
              <w:t xml:space="preserve"> 5a</w:t>
            </w:r>
          </w:p>
        </w:tc>
        <w:tc>
          <w:tcPr>
            <w:tcW w:w="1532" w:type="dxa"/>
            <w:vAlign w:val="center"/>
          </w:tcPr>
          <w:p w14:paraId="27038C35" w14:textId="77777777" w:rsidR="007A2C18" w:rsidRPr="00330E3E" w:rsidRDefault="007A2C18" w:rsidP="007A2C18">
            <w:pPr>
              <w:pStyle w:val="Body"/>
              <w:rPr>
                <w:rFonts w:ascii="Garamond" w:hAnsi="Garamond"/>
              </w:rPr>
            </w:pPr>
            <w:r w:rsidRPr="00330E3E">
              <w:rPr>
                <w:rFonts w:ascii="Garamond" w:hAnsi="Garamond"/>
              </w:rPr>
              <w:t>17</w:t>
            </w:r>
          </w:p>
        </w:tc>
        <w:tc>
          <w:tcPr>
            <w:tcW w:w="1536" w:type="dxa"/>
            <w:vAlign w:val="center"/>
          </w:tcPr>
          <w:p w14:paraId="4E26A43F"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3B77DA4E" w14:textId="77777777" w:rsidR="007A2C18" w:rsidRPr="00330E3E" w:rsidRDefault="007A2C18" w:rsidP="007A2C18">
            <w:pPr>
              <w:pStyle w:val="Body"/>
              <w:rPr>
                <w:rFonts w:ascii="Garamond" w:hAnsi="Garamond"/>
              </w:rPr>
            </w:pPr>
            <w:r w:rsidRPr="00330E3E">
              <w:rPr>
                <w:rFonts w:ascii="Garamond" w:hAnsi="Garamond"/>
              </w:rPr>
              <w:t>6</w:t>
            </w:r>
          </w:p>
        </w:tc>
        <w:tc>
          <w:tcPr>
            <w:tcW w:w="937" w:type="dxa"/>
            <w:vAlign w:val="center"/>
          </w:tcPr>
          <w:p w14:paraId="7FFEBEDE" w14:textId="77777777" w:rsidR="007A2C18" w:rsidRPr="00330E3E" w:rsidRDefault="007A2C18" w:rsidP="007A2C18">
            <w:pPr>
              <w:pStyle w:val="Body"/>
              <w:rPr>
                <w:rFonts w:ascii="Garamond" w:hAnsi="Garamond"/>
              </w:rPr>
            </w:pPr>
            <w:r w:rsidRPr="00330E3E">
              <w:rPr>
                <w:rFonts w:ascii="Garamond" w:hAnsi="Garamond"/>
              </w:rPr>
              <w:t>204</w:t>
            </w:r>
          </w:p>
        </w:tc>
      </w:tr>
      <w:tr w:rsidR="007A2C18" w:rsidRPr="00330E3E" w14:paraId="664A28A9" w14:textId="77777777" w:rsidTr="007A2C18">
        <w:trPr>
          <w:cantSplit/>
          <w:trHeight w:val="470"/>
        </w:trPr>
        <w:tc>
          <w:tcPr>
            <w:tcW w:w="2017" w:type="dxa"/>
          </w:tcPr>
          <w:p w14:paraId="192A2B4C" w14:textId="170BA77A" w:rsidR="007A2C18" w:rsidRPr="00330E3E" w:rsidRDefault="007A2C18" w:rsidP="007A2C18">
            <w:pPr>
              <w:pStyle w:val="Body"/>
              <w:rPr>
                <w:rFonts w:ascii="Garamond" w:hAnsi="Garamond"/>
              </w:rPr>
            </w:pPr>
            <w:r>
              <w:rPr>
                <w:rFonts w:ascii="Courier New" w:hAnsi="Courier New" w:cs="Courier New"/>
              </w:rPr>
              <w:t>Non-Governmental Organization</w:t>
            </w:r>
          </w:p>
        </w:tc>
        <w:tc>
          <w:tcPr>
            <w:tcW w:w="1782" w:type="dxa"/>
            <w:vAlign w:val="center"/>
          </w:tcPr>
          <w:p w14:paraId="05021799" w14:textId="17458964" w:rsidR="007A2C18" w:rsidRPr="00330E3E" w:rsidRDefault="007A2C18" w:rsidP="007A2C18">
            <w:pPr>
              <w:pStyle w:val="Body"/>
              <w:rPr>
                <w:rFonts w:ascii="Garamond" w:hAnsi="Garamond"/>
              </w:rPr>
            </w:pPr>
            <w:r w:rsidRPr="00330E3E">
              <w:rPr>
                <w:rFonts w:ascii="Garamond" w:hAnsi="Garamond"/>
              </w:rPr>
              <w:t>ESHE Measures</w:t>
            </w:r>
            <w:r>
              <w:rPr>
                <w:rFonts w:ascii="Garamond" w:hAnsi="Garamond"/>
              </w:rPr>
              <w:t xml:space="preserve"> 3c</w:t>
            </w:r>
          </w:p>
        </w:tc>
        <w:tc>
          <w:tcPr>
            <w:tcW w:w="1532" w:type="dxa"/>
            <w:vAlign w:val="center"/>
          </w:tcPr>
          <w:p w14:paraId="3C50075F" w14:textId="77777777" w:rsidR="007A2C18" w:rsidRPr="00330E3E" w:rsidRDefault="007A2C18" w:rsidP="007A2C18">
            <w:pPr>
              <w:pStyle w:val="Body"/>
              <w:rPr>
                <w:rFonts w:ascii="Garamond" w:hAnsi="Garamond"/>
              </w:rPr>
            </w:pPr>
            <w:r w:rsidRPr="00330E3E">
              <w:rPr>
                <w:rFonts w:ascii="Garamond" w:hAnsi="Garamond"/>
              </w:rPr>
              <w:t>2</w:t>
            </w:r>
          </w:p>
        </w:tc>
        <w:tc>
          <w:tcPr>
            <w:tcW w:w="1536" w:type="dxa"/>
            <w:vAlign w:val="center"/>
          </w:tcPr>
          <w:p w14:paraId="6537A997"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2371FD25" w14:textId="77777777" w:rsidR="007A2C18" w:rsidRPr="00330E3E" w:rsidRDefault="007A2C18" w:rsidP="007A2C18">
            <w:pPr>
              <w:pStyle w:val="Body"/>
              <w:rPr>
                <w:rFonts w:ascii="Garamond" w:hAnsi="Garamond"/>
              </w:rPr>
            </w:pPr>
            <w:r>
              <w:rPr>
                <w:rFonts w:ascii="Garamond" w:hAnsi="Garamond"/>
              </w:rPr>
              <w:t>30/60</w:t>
            </w:r>
          </w:p>
        </w:tc>
        <w:tc>
          <w:tcPr>
            <w:tcW w:w="937" w:type="dxa"/>
            <w:vAlign w:val="center"/>
          </w:tcPr>
          <w:p w14:paraId="67092E82" w14:textId="77777777" w:rsidR="007A2C18" w:rsidRPr="00330E3E" w:rsidRDefault="007A2C18" w:rsidP="007A2C18">
            <w:pPr>
              <w:pStyle w:val="Body"/>
              <w:rPr>
                <w:rFonts w:ascii="Garamond" w:hAnsi="Garamond"/>
              </w:rPr>
            </w:pPr>
            <w:r w:rsidRPr="00330E3E">
              <w:rPr>
                <w:rFonts w:ascii="Garamond" w:hAnsi="Garamond"/>
              </w:rPr>
              <w:t>2</w:t>
            </w:r>
          </w:p>
        </w:tc>
      </w:tr>
      <w:tr w:rsidR="007A2C18" w:rsidRPr="00330E3E" w14:paraId="2A1D256E" w14:textId="77777777" w:rsidTr="007A2C18">
        <w:trPr>
          <w:cantSplit/>
          <w:trHeight w:val="470"/>
        </w:trPr>
        <w:tc>
          <w:tcPr>
            <w:tcW w:w="2017" w:type="dxa"/>
          </w:tcPr>
          <w:p w14:paraId="7F62D82B" w14:textId="3524B765" w:rsidR="007A2C18" w:rsidRPr="00330E3E" w:rsidRDefault="007A2C18" w:rsidP="007A2C18">
            <w:pPr>
              <w:pStyle w:val="Body"/>
              <w:rPr>
                <w:rFonts w:ascii="Garamond" w:hAnsi="Garamond"/>
              </w:rPr>
            </w:pPr>
            <w:r w:rsidRPr="006F55B2">
              <w:rPr>
                <w:rFonts w:ascii="Courier New" w:hAnsi="Courier New" w:cs="Courier New"/>
              </w:rPr>
              <w:t>Non-Governmental Organization</w:t>
            </w:r>
          </w:p>
        </w:tc>
        <w:tc>
          <w:tcPr>
            <w:tcW w:w="1782" w:type="dxa"/>
            <w:vAlign w:val="center"/>
          </w:tcPr>
          <w:p w14:paraId="0D772D09" w14:textId="66EE4698" w:rsidR="007A2C18" w:rsidRPr="00330E3E" w:rsidRDefault="007A2C18" w:rsidP="007A2C18">
            <w:pPr>
              <w:pStyle w:val="Body"/>
              <w:rPr>
                <w:rFonts w:ascii="Garamond" w:hAnsi="Garamond"/>
              </w:rPr>
            </w:pPr>
            <w:r w:rsidRPr="00330E3E">
              <w:rPr>
                <w:rFonts w:ascii="Garamond" w:hAnsi="Garamond"/>
              </w:rPr>
              <w:t>SHS Measures</w:t>
            </w:r>
            <w:r>
              <w:rPr>
                <w:rFonts w:ascii="Garamond" w:hAnsi="Garamond"/>
              </w:rPr>
              <w:t xml:space="preserve"> 3a</w:t>
            </w:r>
          </w:p>
        </w:tc>
        <w:tc>
          <w:tcPr>
            <w:tcW w:w="1532" w:type="dxa"/>
            <w:vAlign w:val="center"/>
          </w:tcPr>
          <w:p w14:paraId="30077B07" w14:textId="77777777" w:rsidR="007A2C18" w:rsidRPr="00330E3E" w:rsidRDefault="007A2C18" w:rsidP="007A2C18">
            <w:pPr>
              <w:pStyle w:val="Body"/>
              <w:rPr>
                <w:rFonts w:ascii="Garamond" w:hAnsi="Garamond"/>
              </w:rPr>
            </w:pPr>
            <w:r w:rsidRPr="00330E3E">
              <w:rPr>
                <w:rFonts w:ascii="Garamond" w:hAnsi="Garamond"/>
              </w:rPr>
              <w:t>2</w:t>
            </w:r>
          </w:p>
        </w:tc>
        <w:tc>
          <w:tcPr>
            <w:tcW w:w="1536" w:type="dxa"/>
            <w:vAlign w:val="center"/>
          </w:tcPr>
          <w:p w14:paraId="2A077D55"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7C5FEBC9" w14:textId="77777777" w:rsidR="007A2C18" w:rsidRPr="00330E3E" w:rsidRDefault="007A2C18" w:rsidP="007A2C18">
            <w:pPr>
              <w:pStyle w:val="Body"/>
              <w:rPr>
                <w:rFonts w:ascii="Garamond" w:hAnsi="Garamond"/>
              </w:rPr>
            </w:pPr>
            <w:r w:rsidRPr="00A42BB4">
              <w:rPr>
                <w:rFonts w:ascii="Garamond" w:hAnsi="Garamond"/>
              </w:rPr>
              <w:t>30/60</w:t>
            </w:r>
          </w:p>
        </w:tc>
        <w:tc>
          <w:tcPr>
            <w:tcW w:w="937" w:type="dxa"/>
            <w:vAlign w:val="center"/>
          </w:tcPr>
          <w:p w14:paraId="06E569EC" w14:textId="77777777" w:rsidR="007A2C18" w:rsidRPr="00330E3E" w:rsidRDefault="007A2C18" w:rsidP="007A2C18">
            <w:pPr>
              <w:pStyle w:val="Body"/>
              <w:rPr>
                <w:rFonts w:ascii="Garamond" w:hAnsi="Garamond"/>
              </w:rPr>
            </w:pPr>
            <w:r w:rsidRPr="00330E3E">
              <w:rPr>
                <w:rFonts w:ascii="Garamond" w:hAnsi="Garamond"/>
              </w:rPr>
              <w:t>2</w:t>
            </w:r>
          </w:p>
        </w:tc>
      </w:tr>
      <w:tr w:rsidR="007A2C18" w:rsidRPr="00330E3E" w14:paraId="6558FB0F" w14:textId="77777777" w:rsidTr="007A2C18">
        <w:trPr>
          <w:cantSplit/>
          <w:trHeight w:val="470"/>
        </w:trPr>
        <w:tc>
          <w:tcPr>
            <w:tcW w:w="2017" w:type="dxa"/>
          </w:tcPr>
          <w:p w14:paraId="7A978694" w14:textId="5C9C6522" w:rsidR="007A2C18" w:rsidRPr="00330E3E" w:rsidRDefault="007A2C18" w:rsidP="007A2C18">
            <w:pPr>
              <w:pStyle w:val="Body"/>
              <w:rPr>
                <w:rFonts w:ascii="Garamond" w:hAnsi="Garamond"/>
              </w:rPr>
            </w:pPr>
            <w:r w:rsidRPr="006F55B2">
              <w:rPr>
                <w:rFonts w:ascii="Courier New" w:hAnsi="Courier New" w:cs="Courier New"/>
                <w:color w:val="000000"/>
              </w:rPr>
              <w:t>Non-Governmental Organization</w:t>
            </w:r>
          </w:p>
        </w:tc>
        <w:tc>
          <w:tcPr>
            <w:tcW w:w="1782" w:type="dxa"/>
            <w:vAlign w:val="center"/>
          </w:tcPr>
          <w:p w14:paraId="7A7753C3" w14:textId="3A91AB9B" w:rsidR="007A2C18" w:rsidRPr="00330E3E" w:rsidRDefault="007A2C18" w:rsidP="007A2C18">
            <w:pPr>
              <w:pStyle w:val="Body"/>
              <w:rPr>
                <w:rFonts w:ascii="Garamond" w:hAnsi="Garamond"/>
              </w:rPr>
            </w:pPr>
            <w:r w:rsidRPr="00330E3E">
              <w:rPr>
                <w:rFonts w:ascii="Garamond" w:hAnsi="Garamond"/>
              </w:rPr>
              <w:t>SSE Measures</w:t>
            </w:r>
            <w:r>
              <w:rPr>
                <w:rFonts w:ascii="Garamond" w:hAnsi="Garamond"/>
              </w:rPr>
              <w:t xml:space="preserve"> 3b</w:t>
            </w:r>
          </w:p>
        </w:tc>
        <w:tc>
          <w:tcPr>
            <w:tcW w:w="1532" w:type="dxa"/>
            <w:vAlign w:val="center"/>
          </w:tcPr>
          <w:p w14:paraId="4ED54D3C" w14:textId="77777777" w:rsidR="007A2C18" w:rsidRPr="00330E3E" w:rsidRDefault="007A2C18" w:rsidP="007A2C18">
            <w:pPr>
              <w:pStyle w:val="Body"/>
              <w:rPr>
                <w:rFonts w:ascii="Garamond" w:hAnsi="Garamond"/>
              </w:rPr>
            </w:pPr>
            <w:r w:rsidRPr="00330E3E">
              <w:rPr>
                <w:rFonts w:ascii="Garamond" w:hAnsi="Garamond"/>
              </w:rPr>
              <w:t>2</w:t>
            </w:r>
          </w:p>
        </w:tc>
        <w:tc>
          <w:tcPr>
            <w:tcW w:w="1536" w:type="dxa"/>
            <w:vAlign w:val="center"/>
          </w:tcPr>
          <w:p w14:paraId="6800D820" w14:textId="77777777" w:rsidR="007A2C18" w:rsidRPr="00330E3E" w:rsidRDefault="007A2C18" w:rsidP="007A2C18">
            <w:pPr>
              <w:pStyle w:val="Body"/>
              <w:rPr>
                <w:rFonts w:ascii="Garamond" w:hAnsi="Garamond"/>
              </w:rPr>
            </w:pPr>
            <w:r w:rsidRPr="00330E3E">
              <w:rPr>
                <w:rFonts w:ascii="Garamond" w:hAnsi="Garamond"/>
              </w:rPr>
              <w:t>2</w:t>
            </w:r>
          </w:p>
        </w:tc>
        <w:tc>
          <w:tcPr>
            <w:tcW w:w="1273" w:type="dxa"/>
            <w:vAlign w:val="center"/>
          </w:tcPr>
          <w:p w14:paraId="037041F5" w14:textId="77777777" w:rsidR="007A2C18" w:rsidRPr="00330E3E" w:rsidRDefault="007A2C18" w:rsidP="007A2C18">
            <w:pPr>
              <w:pStyle w:val="Body"/>
              <w:rPr>
                <w:rFonts w:ascii="Garamond" w:hAnsi="Garamond"/>
              </w:rPr>
            </w:pPr>
            <w:r w:rsidRPr="00A42BB4">
              <w:rPr>
                <w:rFonts w:ascii="Garamond" w:hAnsi="Garamond"/>
              </w:rPr>
              <w:t>30/60</w:t>
            </w:r>
          </w:p>
        </w:tc>
        <w:tc>
          <w:tcPr>
            <w:tcW w:w="937" w:type="dxa"/>
            <w:vAlign w:val="center"/>
          </w:tcPr>
          <w:p w14:paraId="049F10ED" w14:textId="77777777" w:rsidR="007A2C18" w:rsidRPr="00330E3E" w:rsidRDefault="007A2C18" w:rsidP="007A2C18">
            <w:pPr>
              <w:pStyle w:val="Body"/>
              <w:rPr>
                <w:rFonts w:ascii="Garamond" w:hAnsi="Garamond"/>
              </w:rPr>
            </w:pPr>
            <w:r w:rsidRPr="00330E3E">
              <w:rPr>
                <w:rFonts w:ascii="Garamond" w:hAnsi="Garamond"/>
              </w:rPr>
              <w:t>2</w:t>
            </w:r>
          </w:p>
        </w:tc>
      </w:tr>
      <w:tr w:rsidR="007A2C18" w:rsidRPr="00330E3E" w14:paraId="5A35E79C" w14:textId="77777777" w:rsidTr="007A2C18">
        <w:trPr>
          <w:cantSplit/>
          <w:trHeight w:val="470"/>
        </w:trPr>
        <w:tc>
          <w:tcPr>
            <w:tcW w:w="8140" w:type="dxa"/>
            <w:gridSpan w:val="5"/>
            <w:vAlign w:val="center"/>
          </w:tcPr>
          <w:p w14:paraId="21A459AC" w14:textId="2212DFCB" w:rsidR="007A2C18" w:rsidRPr="00330E3E" w:rsidRDefault="007A2C18" w:rsidP="007A2C18">
            <w:pPr>
              <w:pStyle w:val="Body"/>
              <w:jc w:val="right"/>
              <w:rPr>
                <w:rFonts w:ascii="Garamond" w:hAnsi="Garamond"/>
              </w:rPr>
            </w:pPr>
            <w:r w:rsidRPr="00330E3E">
              <w:rPr>
                <w:rFonts w:ascii="Garamond" w:hAnsi="Garamond"/>
              </w:rPr>
              <w:t>Total</w:t>
            </w:r>
          </w:p>
        </w:tc>
        <w:tc>
          <w:tcPr>
            <w:tcW w:w="937" w:type="dxa"/>
            <w:vAlign w:val="center"/>
          </w:tcPr>
          <w:p w14:paraId="3910F28D" w14:textId="66A6DBA9" w:rsidR="007A2C18" w:rsidRPr="00330E3E" w:rsidRDefault="007A2C18" w:rsidP="007A2C18">
            <w:pPr>
              <w:pStyle w:val="Body"/>
              <w:rPr>
                <w:rFonts w:ascii="Garamond" w:hAnsi="Garamond"/>
              </w:rPr>
            </w:pPr>
            <w:r>
              <w:rPr>
                <w:rFonts w:ascii="Garamond" w:hAnsi="Garamond"/>
              </w:rPr>
              <w:t>804</w:t>
            </w:r>
          </w:p>
        </w:tc>
      </w:tr>
    </w:tbl>
    <w:p w14:paraId="61032416" w14:textId="50FF93B5" w:rsidR="00712D5E" w:rsidRPr="00330E3E" w:rsidRDefault="00712D5E" w:rsidP="00036B1E">
      <w:pPr>
        <w:rPr>
          <w:rFonts w:ascii="Garamond" w:hAnsi="Garamond"/>
        </w:rPr>
      </w:pPr>
    </w:p>
    <w:p w14:paraId="508C46B8" w14:textId="77777777" w:rsidR="00E80909" w:rsidRDefault="00E80909" w:rsidP="00E80909">
      <w:pPr>
        <w:rPr>
          <w:rFonts w:ascii="Garamond" w:hAnsi="Garamond"/>
          <w:b/>
        </w:rPr>
      </w:pPr>
      <w:r w:rsidRPr="00E80909">
        <w:rPr>
          <w:rFonts w:ascii="Garamond" w:hAnsi="Garamond"/>
          <w:b/>
        </w:rPr>
        <w:t>Annualized Costs to Respondent</w:t>
      </w:r>
    </w:p>
    <w:p w14:paraId="3081DBCF" w14:textId="77777777" w:rsidR="00E80909" w:rsidRPr="00E80909" w:rsidRDefault="00E80909" w:rsidP="00E80909">
      <w:pPr>
        <w:rPr>
          <w:rFonts w:ascii="Garamond" w:hAnsi="Garamond"/>
          <w:b/>
        </w:rPr>
      </w:pPr>
    </w:p>
    <w:p w14:paraId="00DA5B4F" w14:textId="03B0059C" w:rsidR="00036B1E" w:rsidRPr="00330E3E" w:rsidRDefault="00EF0D80" w:rsidP="00E80909">
      <w:pPr>
        <w:pStyle w:val="ListParagraph"/>
        <w:ind w:left="0"/>
        <w:rPr>
          <w:rFonts w:ascii="Garamond" w:hAnsi="Garamond"/>
        </w:rPr>
      </w:pPr>
      <w:r w:rsidRPr="00330E3E">
        <w:rPr>
          <w:rFonts w:ascii="Garamond" w:hAnsi="Garamond"/>
          <w:i/>
        </w:rPr>
        <w:t xml:space="preserve"> </w:t>
      </w:r>
      <w:r w:rsidRPr="00330E3E">
        <w:rPr>
          <w:rFonts w:ascii="Garamond" w:hAnsi="Garamond"/>
          <w:b/>
        </w:rPr>
        <w:t>Table A.12-2</w:t>
      </w:r>
      <w:r w:rsidRPr="00330E3E">
        <w:rPr>
          <w:rFonts w:ascii="Garamond" w:hAnsi="Garamond"/>
        </w:rPr>
        <w:t xml:space="preserve"> provides estimates of the annualized cost to respondents for the collection of data.  Cost estimates are based on average hourly rates for social and community service managers reported on the Department of Labor Statistics website</w:t>
      </w:r>
      <w:r w:rsidR="00561E88">
        <w:rPr>
          <w:rFonts w:ascii="Garamond" w:hAnsi="Garamond"/>
        </w:rPr>
        <w:t xml:space="preserve"> (</w:t>
      </w:r>
      <w:hyperlink r:id="rId18" w:history="1">
        <w:r w:rsidR="00561E88" w:rsidRPr="00C42FCE">
          <w:rPr>
            <w:rStyle w:val="Hyperlink"/>
            <w:rFonts w:ascii="Garamond" w:hAnsi="Garamond"/>
          </w:rPr>
          <w:t>http://www.bls.gov/oes/current/oes119151.htm</w:t>
        </w:r>
      </w:hyperlink>
      <w:r w:rsidR="00561E88">
        <w:rPr>
          <w:rStyle w:val="Hyperlink"/>
          <w:sz w:val="20"/>
        </w:rPr>
        <w:t>)</w:t>
      </w:r>
      <w:r w:rsidR="008435B7" w:rsidRPr="00330E3E">
        <w:rPr>
          <w:rFonts w:ascii="Garamond" w:hAnsi="Garamond"/>
        </w:rPr>
        <w:t xml:space="preserve"> for May 201</w:t>
      </w:r>
      <w:r w:rsidR="00446A29">
        <w:rPr>
          <w:rFonts w:ascii="Garamond" w:hAnsi="Garamond"/>
        </w:rPr>
        <w:t>6</w:t>
      </w:r>
      <w:r w:rsidRPr="00330E3E">
        <w:rPr>
          <w:rFonts w:ascii="Garamond" w:hAnsi="Garamond"/>
        </w:rPr>
        <w:t>.</w:t>
      </w:r>
      <w:r w:rsidR="008435B7" w:rsidRPr="00330E3E">
        <w:rPr>
          <w:rFonts w:ascii="Garamond" w:hAnsi="Garamond"/>
        </w:rPr>
        <w:t xml:space="preserve">  Social and community service managers </w:t>
      </w:r>
      <w:r w:rsidR="00B5290B" w:rsidRPr="00330E3E">
        <w:rPr>
          <w:rFonts w:ascii="Garamond" w:hAnsi="Garamond"/>
        </w:rPr>
        <w:t>plan, direct, or coordinate the activities of a social service program or community outreach organization. </w:t>
      </w:r>
      <w:r w:rsidR="008435B7" w:rsidRPr="00330E3E">
        <w:rPr>
          <w:rFonts w:ascii="Garamond" w:hAnsi="Garamond"/>
        </w:rPr>
        <w:t xml:space="preserve">The role of the community service manager was used for </w:t>
      </w:r>
      <w:r w:rsidR="00B5290B" w:rsidRPr="00330E3E">
        <w:rPr>
          <w:rFonts w:ascii="Garamond" w:hAnsi="Garamond"/>
        </w:rPr>
        <w:t xml:space="preserve">wage </w:t>
      </w:r>
      <w:r w:rsidR="008435B7" w:rsidRPr="00330E3E">
        <w:rPr>
          <w:rFonts w:ascii="Garamond" w:hAnsi="Garamond"/>
        </w:rPr>
        <w:t>estimates for SEAs, LEAs, and NGOs.</w:t>
      </w:r>
      <w:r w:rsidRPr="00330E3E">
        <w:rPr>
          <w:rFonts w:ascii="Garamond" w:hAnsi="Garamond"/>
        </w:rPr>
        <w:t xml:space="preserve">  </w:t>
      </w:r>
      <w:r w:rsidR="008435B7" w:rsidRPr="00330E3E">
        <w:rPr>
          <w:rFonts w:ascii="Garamond" w:hAnsi="Garamond"/>
        </w:rPr>
        <w:t>Thus, e</w:t>
      </w:r>
      <w:r w:rsidRPr="00330E3E">
        <w:rPr>
          <w:rFonts w:ascii="Garamond" w:hAnsi="Garamond"/>
        </w:rPr>
        <w:t>stimates are $</w:t>
      </w:r>
      <w:r w:rsidR="008435B7" w:rsidRPr="00330E3E">
        <w:rPr>
          <w:rFonts w:ascii="Garamond" w:hAnsi="Garamond"/>
        </w:rPr>
        <w:t>30.99</w:t>
      </w:r>
      <w:r w:rsidRPr="00330E3E">
        <w:rPr>
          <w:rFonts w:ascii="Garamond" w:hAnsi="Garamond"/>
        </w:rPr>
        <w:t xml:space="preserve"> an hour for the SEA</w:t>
      </w:r>
      <w:r w:rsidR="008435B7" w:rsidRPr="00330E3E">
        <w:rPr>
          <w:rFonts w:ascii="Garamond" w:hAnsi="Garamond"/>
        </w:rPr>
        <w:t>, LEA, and NGO officials</w:t>
      </w:r>
      <w:r w:rsidRPr="00330E3E">
        <w:rPr>
          <w:rFonts w:ascii="Garamond" w:hAnsi="Garamond"/>
        </w:rPr>
        <w:t xml:space="preserve">.  Total estimated cost to respondents is </w:t>
      </w:r>
      <w:r w:rsidR="00954B24" w:rsidRPr="00330E3E">
        <w:rPr>
          <w:rFonts w:ascii="Garamond" w:hAnsi="Garamond"/>
        </w:rPr>
        <w:t>$25,411.80</w:t>
      </w:r>
      <w:r w:rsidRPr="00330E3E">
        <w:rPr>
          <w:rFonts w:ascii="Garamond" w:hAnsi="Garamond"/>
        </w:rPr>
        <w:t xml:space="preserve">.  </w:t>
      </w:r>
    </w:p>
    <w:p w14:paraId="53EDA7A3" w14:textId="77777777" w:rsidR="00647990" w:rsidRPr="00330E3E" w:rsidRDefault="00647990" w:rsidP="00036B1E">
      <w:pPr>
        <w:rPr>
          <w:rFonts w:ascii="Garamond" w:hAnsi="Garamond"/>
          <w:b/>
        </w:rPr>
      </w:pPr>
    </w:p>
    <w:p w14:paraId="5F44EC0F" w14:textId="77777777" w:rsidR="00036B1E" w:rsidRPr="00330E3E" w:rsidRDefault="00527A0B" w:rsidP="00036B1E">
      <w:pPr>
        <w:rPr>
          <w:rFonts w:ascii="Garamond" w:hAnsi="Garamond"/>
          <w:b/>
        </w:rPr>
      </w:pPr>
      <w:r w:rsidRPr="00330E3E">
        <w:rPr>
          <w:rFonts w:ascii="Garamond" w:hAnsi="Garamond"/>
          <w:b/>
        </w:rPr>
        <w:t>Table A.12-2</w:t>
      </w:r>
      <w:r w:rsidR="005D4294" w:rsidRPr="00330E3E">
        <w:rPr>
          <w:rFonts w:ascii="Garamond" w:hAnsi="Garamond"/>
          <w:b/>
        </w:rPr>
        <w:t xml:space="preserve"> Annualized Costs</w:t>
      </w:r>
      <w:r w:rsidR="009B14BF" w:rsidRPr="00330E3E">
        <w:rPr>
          <w:rFonts w:ascii="Garamond" w:hAnsi="Garamond"/>
          <w:b/>
        </w:rPr>
        <w:t xml:space="preserve">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502"/>
        <w:gridCol w:w="1447"/>
        <w:gridCol w:w="1422"/>
        <w:gridCol w:w="1224"/>
        <w:gridCol w:w="1253"/>
        <w:gridCol w:w="1296"/>
      </w:tblGrid>
      <w:tr w:rsidR="00036B1E" w:rsidRPr="00330E3E" w14:paraId="394673A7" w14:textId="77777777" w:rsidTr="003C5942">
        <w:trPr>
          <w:cantSplit/>
          <w:tblHeader/>
        </w:trPr>
        <w:tc>
          <w:tcPr>
            <w:tcW w:w="1432" w:type="dxa"/>
            <w:vAlign w:val="center"/>
          </w:tcPr>
          <w:p w14:paraId="7220EA91" w14:textId="77777777"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Type of Respondent</w:t>
            </w:r>
          </w:p>
        </w:tc>
        <w:tc>
          <w:tcPr>
            <w:tcW w:w="1502" w:type="dxa"/>
            <w:vAlign w:val="center"/>
          </w:tcPr>
          <w:p w14:paraId="73D3A4D3" w14:textId="77777777"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Form Name</w:t>
            </w:r>
          </w:p>
        </w:tc>
        <w:tc>
          <w:tcPr>
            <w:tcW w:w="1447" w:type="dxa"/>
            <w:vAlign w:val="center"/>
          </w:tcPr>
          <w:p w14:paraId="19671F14" w14:textId="77777777" w:rsidR="00036B1E" w:rsidRPr="00330E3E" w:rsidRDefault="00036B1E" w:rsidP="002B2B6A">
            <w:pPr>
              <w:jc w:val="center"/>
              <w:rPr>
                <w:rFonts w:ascii="Garamond" w:hAnsi="Garamond"/>
              </w:rPr>
            </w:pPr>
            <w:r w:rsidRPr="00330E3E">
              <w:rPr>
                <w:rFonts w:ascii="Garamond" w:hAnsi="Garamond"/>
              </w:rPr>
              <w:t>Number of Respondents</w:t>
            </w:r>
          </w:p>
        </w:tc>
        <w:tc>
          <w:tcPr>
            <w:tcW w:w="1422" w:type="dxa"/>
            <w:vAlign w:val="center"/>
          </w:tcPr>
          <w:p w14:paraId="241FEF73" w14:textId="77777777"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Number of  Responses per Respondent</w:t>
            </w:r>
          </w:p>
        </w:tc>
        <w:tc>
          <w:tcPr>
            <w:tcW w:w="1224" w:type="dxa"/>
            <w:vAlign w:val="center"/>
          </w:tcPr>
          <w:p w14:paraId="7831D68E" w14:textId="77777777"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Average Burden per Response</w:t>
            </w:r>
          </w:p>
          <w:p w14:paraId="2B01063D" w14:textId="77777777"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(in hours)</w:t>
            </w:r>
          </w:p>
        </w:tc>
        <w:tc>
          <w:tcPr>
            <w:tcW w:w="1253" w:type="dxa"/>
            <w:vAlign w:val="center"/>
          </w:tcPr>
          <w:p w14:paraId="6159275A" w14:textId="77777777"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Average Hourly Wage Rate</w:t>
            </w:r>
          </w:p>
        </w:tc>
        <w:tc>
          <w:tcPr>
            <w:tcW w:w="1296" w:type="dxa"/>
            <w:vAlign w:val="center"/>
          </w:tcPr>
          <w:p w14:paraId="344795B1" w14:textId="77777777"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Total Cost</w:t>
            </w:r>
          </w:p>
        </w:tc>
      </w:tr>
      <w:tr w:rsidR="00EF0D80" w:rsidRPr="00330E3E" w14:paraId="108AC875" w14:textId="77777777" w:rsidTr="003C5942">
        <w:trPr>
          <w:cantSplit/>
        </w:trPr>
        <w:tc>
          <w:tcPr>
            <w:tcW w:w="1432" w:type="dxa"/>
            <w:vMerge w:val="restart"/>
          </w:tcPr>
          <w:p w14:paraId="5ECFAB07" w14:textId="77777777" w:rsidR="00EF0D80" w:rsidRPr="00330E3E" w:rsidRDefault="00EF0D80" w:rsidP="001E070B">
            <w:pPr>
              <w:pStyle w:val="Body"/>
              <w:rPr>
                <w:rFonts w:ascii="Garamond" w:hAnsi="Garamond"/>
              </w:rPr>
            </w:pPr>
            <w:r w:rsidRPr="00330E3E">
              <w:rPr>
                <w:rFonts w:ascii="Garamond" w:hAnsi="Garamond"/>
              </w:rPr>
              <w:t>SEA</w:t>
            </w:r>
          </w:p>
        </w:tc>
        <w:tc>
          <w:tcPr>
            <w:tcW w:w="1502" w:type="dxa"/>
          </w:tcPr>
          <w:p w14:paraId="5FE111D2" w14:textId="77777777" w:rsidR="00EF0D80" w:rsidRPr="00330E3E" w:rsidRDefault="00EF0D80" w:rsidP="00F54376">
            <w:pPr>
              <w:pStyle w:val="Body"/>
              <w:rPr>
                <w:rFonts w:ascii="Garamond" w:hAnsi="Garamond"/>
              </w:rPr>
            </w:pPr>
            <w:r w:rsidRPr="00330E3E">
              <w:rPr>
                <w:rFonts w:ascii="Garamond" w:hAnsi="Garamond"/>
              </w:rPr>
              <w:t>ESHE Measures</w:t>
            </w:r>
          </w:p>
        </w:tc>
        <w:tc>
          <w:tcPr>
            <w:tcW w:w="1447" w:type="dxa"/>
          </w:tcPr>
          <w:p w14:paraId="58757CCE" w14:textId="6C97CE26" w:rsidR="00EF0D80" w:rsidRPr="00330E3E" w:rsidRDefault="00F93EA9" w:rsidP="001E070B">
            <w:pPr>
              <w:pStyle w:val="Body"/>
              <w:rPr>
                <w:rFonts w:ascii="Garamond" w:hAnsi="Garamond"/>
              </w:rPr>
            </w:pPr>
            <w:r>
              <w:rPr>
                <w:rFonts w:ascii="Garamond" w:hAnsi="Garamond"/>
              </w:rPr>
              <w:t>18</w:t>
            </w:r>
          </w:p>
        </w:tc>
        <w:tc>
          <w:tcPr>
            <w:tcW w:w="1422" w:type="dxa"/>
          </w:tcPr>
          <w:p w14:paraId="2E41CAAC" w14:textId="77777777" w:rsidR="00EF0D80" w:rsidRPr="00330E3E" w:rsidRDefault="006C237A" w:rsidP="001E070B">
            <w:pPr>
              <w:pStyle w:val="Body"/>
              <w:rPr>
                <w:rFonts w:ascii="Garamond" w:hAnsi="Garamond"/>
              </w:rPr>
            </w:pPr>
            <w:r w:rsidRPr="00330E3E">
              <w:rPr>
                <w:rFonts w:ascii="Garamond" w:hAnsi="Garamond"/>
              </w:rPr>
              <w:t>2</w:t>
            </w:r>
          </w:p>
        </w:tc>
        <w:tc>
          <w:tcPr>
            <w:tcW w:w="1224" w:type="dxa"/>
          </w:tcPr>
          <w:p w14:paraId="2D08E82D" w14:textId="77777777" w:rsidR="00EF0D80" w:rsidRPr="00330E3E" w:rsidRDefault="00A20C41" w:rsidP="001E070B">
            <w:pPr>
              <w:pStyle w:val="Body"/>
              <w:rPr>
                <w:rFonts w:ascii="Garamond" w:hAnsi="Garamond"/>
              </w:rPr>
            </w:pPr>
            <w:r w:rsidRPr="00330E3E">
              <w:rPr>
                <w:rFonts w:ascii="Garamond" w:hAnsi="Garamond"/>
              </w:rPr>
              <w:t>4</w:t>
            </w:r>
          </w:p>
        </w:tc>
        <w:tc>
          <w:tcPr>
            <w:tcW w:w="1253" w:type="dxa"/>
          </w:tcPr>
          <w:p w14:paraId="49BFC8F5" w14:textId="77777777" w:rsidR="00EF0D80" w:rsidRPr="00330E3E" w:rsidRDefault="00954B24" w:rsidP="001E070B">
            <w:pPr>
              <w:pStyle w:val="Body"/>
              <w:rPr>
                <w:rFonts w:ascii="Garamond" w:hAnsi="Garamond"/>
              </w:rPr>
            </w:pPr>
            <w:r w:rsidRPr="00330E3E">
              <w:rPr>
                <w:rFonts w:ascii="Garamond" w:hAnsi="Garamond"/>
              </w:rPr>
              <w:t>$30.99</w:t>
            </w:r>
          </w:p>
        </w:tc>
        <w:tc>
          <w:tcPr>
            <w:tcW w:w="1296" w:type="dxa"/>
          </w:tcPr>
          <w:p w14:paraId="5D8D4B33" w14:textId="3C85CD91" w:rsidR="00EF0D80" w:rsidRPr="00330E3E" w:rsidRDefault="00954B24" w:rsidP="00F93EA9">
            <w:pPr>
              <w:pStyle w:val="Body"/>
              <w:rPr>
                <w:rFonts w:ascii="Garamond" w:hAnsi="Garamond"/>
              </w:rPr>
            </w:pPr>
            <w:r w:rsidRPr="00330E3E">
              <w:rPr>
                <w:rFonts w:ascii="Garamond" w:hAnsi="Garamond"/>
              </w:rPr>
              <w:t>$</w:t>
            </w:r>
            <w:r w:rsidR="00F93EA9">
              <w:rPr>
                <w:rFonts w:ascii="Garamond" w:hAnsi="Garamond"/>
              </w:rPr>
              <w:t>4462.56</w:t>
            </w:r>
          </w:p>
        </w:tc>
      </w:tr>
      <w:tr w:rsidR="00EF0D80" w:rsidRPr="00330E3E" w14:paraId="240BA0A9" w14:textId="77777777" w:rsidTr="003C5942">
        <w:trPr>
          <w:cantSplit/>
        </w:trPr>
        <w:tc>
          <w:tcPr>
            <w:tcW w:w="1432" w:type="dxa"/>
            <w:vMerge/>
          </w:tcPr>
          <w:p w14:paraId="3738FDAE" w14:textId="77777777" w:rsidR="00EF0D80" w:rsidRPr="00330E3E" w:rsidRDefault="00EF0D80" w:rsidP="001E070B">
            <w:pPr>
              <w:pStyle w:val="Body"/>
              <w:rPr>
                <w:rFonts w:ascii="Garamond" w:hAnsi="Garamond"/>
              </w:rPr>
            </w:pPr>
          </w:p>
        </w:tc>
        <w:tc>
          <w:tcPr>
            <w:tcW w:w="1502" w:type="dxa"/>
          </w:tcPr>
          <w:p w14:paraId="2068D980" w14:textId="77777777" w:rsidR="00EF0D80" w:rsidRPr="00330E3E" w:rsidRDefault="00E4005C" w:rsidP="00F54376">
            <w:pPr>
              <w:pStyle w:val="Body"/>
              <w:rPr>
                <w:rFonts w:ascii="Garamond" w:hAnsi="Garamond"/>
              </w:rPr>
            </w:pPr>
            <w:r w:rsidRPr="00330E3E">
              <w:rPr>
                <w:rFonts w:ascii="Garamond" w:hAnsi="Garamond"/>
              </w:rPr>
              <w:t>SHS Measures</w:t>
            </w:r>
          </w:p>
        </w:tc>
        <w:tc>
          <w:tcPr>
            <w:tcW w:w="1447" w:type="dxa"/>
          </w:tcPr>
          <w:p w14:paraId="716CBC71" w14:textId="50477F77" w:rsidR="00EF0D80" w:rsidRPr="00330E3E" w:rsidRDefault="00F93EA9" w:rsidP="001E070B">
            <w:pPr>
              <w:pStyle w:val="Body"/>
              <w:rPr>
                <w:rFonts w:ascii="Garamond" w:hAnsi="Garamond"/>
              </w:rPr>
            </w:pPr>
            <w:r>
              <w:rPr>
                <w:rFonts w:ascii="Garamond" w:hAnsi="Garamond"/>
              </w:rPr>
              <w:t>18</w:t>
            </w:r>
          </w:p>
        </w:tc>
        <w:tc>
          <w:tcPr>
            <w:tcW w:w="1422" w:type="dxa"/>
          </w:tcPr>
          <w:p w14:paraId="73863D0C" w14:textId="77777777" w:rsidR="00EF0D80" w:rsidRPr="00330E3E" w:rsidRDefault="00E4005C" w:rsidP="001E070B">
            <w:pPr>
              <w:pStyle w:val="Body"/>
              <w:rPr>
                <w:rFonts w:ascii="Garamond" w:hAnsi="Garamond"/>
              </w:rPr>
            </w:pPr>
            <w:r w:rsidRPr="00330E3E">
              <w:rPr>
                <w:rFonts w:ascii="Garamond" w:hAnsi="Garamond"/>
              </w:rPr>
              <w:t>2</w:t>
            </w:r>
          </w:p>
        </w:tc>
        <w:tc>
          <w:tcPr>
            <w:tcW w:w="1224" w:type="dxa"/>
          </w:tcPr>
          <w:p w14:paraId="7FE0FB41" w14:textId="77777777" w:rsidR="00EF0D80" w:rsidRPr="00330E3E" w:rsidRDefault="00E4005C" w:rsidP="001E070B">
            <w:pPr>
              <w:pStyle w:val="Body"/>
              <w:rPr>
                <w:rFonts w:ascii="Garamond" w:hAnsi="Garamond"/>
              </w:rPr>
            </w:pPr>
            <w:r w:rsidRPr="00330E3E">
              <w:rPr>
                <w:rFonts w:ascii="Garamond" w:hAnsi="Garamond"/>
              </w:rPr>
              <w:t>3</w:t>
            </w:r>
          </w:p>
        </w:tc>
        <w:tc>
          <w:tcPr>
            <w:tcW w:w="1253" w:type="dxa"/>
          </w:tcPr>
          <w:p w14:paraId="7513DD3A" w14:textId="77777777" w:rsidR="00EF0D80" w:rsidRPr="00330E3E" w:rsidRDefault="00E4005C" w:rsidP="001E070B">
            <w:pPr>
              <w:pStyle w:val="Body"/>
              <w:rPr>
                <w:rFonts w:ascii="Garamond" w:hAnsi="Garamond"/>
              </w:rPr>
            </w:pPr>
            <w:r w:rsidRPr="00330E3E">
              <w:rPr>
                <w:rFonts w:ascii="Garamond" w:hAnsi="Garamond"/>
              </w:rPr>
              <w:t>$30.99</w:t>
            </w:r>
          </w:p>
        </w:tc>
        <w:tc>
          <w:tcPr>
            <w:tcW w:w="1296" w:type="dxa"/>
          </w:tcPr>
          <w:p w14:paraId="161AFA93" w14:textId="10374F95" w:rsidR="00EF0D80" w:rsidRPr="00330E3E" w:rsidRDefault="00E4005C" w:rsidP="00F93EA9">
            <w:pPr>
              <w:pStyle w:val="Body"/>
              <w:rPr>
                <w:rFonts w:ascii="Garamond" w:hAnsi="Garamond"/>
              </w:rPr>
            </w:pPr>
            <w:r w:rsidRPr="00330E3E">
              <w:rPr>
                <w:rFonts w:ascii="Garamond" w:hAnsi="Garamond"/>
              </w:rPr>
              <w:t>$</w:t>
            </w:r>
            <w:r w:rsidR="00F93EA9">
              <w:rPr>
                <w:rFonts w:ascii="Garamond" w:hAnsi="Garamond"/>
              </w:rPr>
              <w:t>3346.92</w:t>
            </w:r>
          </w:p>
        </w:tc>
      </w:tr>
      <w:tr w:rsidR="00EF0D80" w:rsidRPr="00330E3E" w14:paraId="79987376" w14:textId="77777777" w:rsidTr="003C5942">
        <w:trPr>
          <w:cantSplit/>
        </w:trPr>
        <w:tc>
          <w:tcPr>
            <w:tcW w:w="1432" w:type="dxa"/>
            <w:vMerge/>
          </w:tcPr>
          <w:p w14:paraId="6D1F4344" w14:textId="77777777" w:rsidR="00EF0D80" w:rsidRPr="00330E3E" w:rsidRDefault="00EF0D80" w:rsidP="001E070B">
            <w:pPr>
              <w:pStyle w:val="Body"/>
              <w:rPr>
                <w:rFonts w:ascii="Garamond" w:hAnsi="Garamond"/>
              </w:rPr>
            </w:pPr>
          </w:p>
        </w:tc>
        <w:tc>
          <w:tcPr>
            <w:tcW w:w="1502" w:type="dxa"/>
          </w:tcPr>
          <w:p w14:paraId="636479AB" w14:textId="77777777" w:rsidR="00EF0D80" w:rsidRPr="00330E3E" w:rsidRDefault="00E4005C" w:rsidP="00F54376">
            <w:pPr>
              <w:pStyle w:val="Body"/>
              <w:rPr>
                <w:rFonts w:ascii="Garamond" w:hAnsi="Garamond"/>
              </w:rPr>
            </w:pPr>
            <w:r w:rsidRPr="00330E3E">
              <w:rPr>
                <w:rFonts w:ascii="Garamond" w:hAnsi="Garamond"/>
              </w:rPr>
              <w:t>SSE Measures</w:t>
            </w:r>
          </w:p>
        </w:tc>
        <w:tc>
          <w:tcPr>
            <w:tcW w:w="1447" w:type="dxa"/>
          </w:tcPr>
          <w:p w14:paraId="209C799A" w14:textId="187EA6E6" w:rsidR="00EF0D80" w:rsidRPr="00330E3E" w:rsidRDefault="00E4005C" w:rsidP="00F93EA9">
            <w:pPr>
              <w:pStyle w:val="Body"/>
              <w:rPr>
                <w:rFonts w:ascii="Garamond" w:hAnsi="Garamond"/>
              </w:rPr>
            </w:pPr>
            <w:r w:rsidRPr="00330E3E">
              <w:rPr>
                <w:rFonts w:ascii="Garamond" w:hAnsi="Garamond"/>
              </w:rPr>
              <w:t>1</w:t>
            </w:r>
            <w:r w:rsidR="00F93EA9">
              <w:rPr>
                <w:rFonts w:ascii="Garamond" w:hAnsi="Garamond"/>
              </w:rPr>
              <w:t>8</w:t>
            </w:r>
          </w:p>
        </w:tc>
        <w:tc>
          <w:tcPr>
            <w:tcW w:w="1422" w:type="dxa"/>
          </w:tcPr>
          <w:p w14:paraId="2DF1D2AD" w14:textId="77777777" w:rsidR="00EF0D80" w:rsidRPr="00330E3E" w:rsidRDefault="00E4005C" w:rsidP="001E070B">
            <w:pPr>
              <w:pStyle w:val="Body"/>
              <w:rPr>
                <w:rFonts w:ascii="Garamond" w:hAnsi="Garamond"/>
              </w:rPr>
            </w:pPr>
            <w:r w:rsidRPr="00330E3E">
              <w:rPr>
                <w:rFonts w:ascii="Garamond" w:hAnsi="Garamond"/>
              </w:rPr>
              <w:t>2</w:t>
            </w:r>
          </w:p>
        </w:tc>
        <w:tc>
          <w:tcPr>
            <w:tcW w:w="1224" w:type="dxa"/>
          </w:tcPr>
          <w:p w14:paraId="312C067F" w14:textId="77777777" w:rsidR="00EF0D80" w:rsidRPr="00330E3E" w:rsidRDefault="00E4005C" w:rsidP="001E070B">
            <w:pPr>
              <w:pStyle w:val="Body"/>
              <w:rPr>
                <w:rFonts w:ascii="Garamond" w:hAnsi="Garamond"/>
              </w:rPr>
            </w:pPr>
            <w:r w:rsidRPr="00330E3E">
              <w:rPr>
                <w:rFonts w:ascii="Garamond" w:hAnsi="Garamond"/>
              </w:rPr>
              <w:t>1</w:t>
            </w:r>
          </w:p>
        </w:tc>
        <w:tc>
          <w:tcPr>
            <w:tcW w:w="1253" w:type="dxa"/>
          </w:tcPr>
          <w:p w14:paraId="01021334" w14:textId="77777777" w:rsidR="00EF0D80" w:rsidRPr="00330E3E" w:rsidRDefault="00E4005C" w:rsidP="001E070B">
            <w:pPr>
              <w:pStyle w:val="Body"/>
              <w:rPr>
                <w:rFonts w:ascii="Garamond" w:hAnsi="Garamond"/>
              </w:rPr>
            </w:pPr>
            <w:r w:rsidRPr="00330E3E">
              <w:rPr>
                <w:rFonts w:ascii="Garamond" w:hAnsi="Garamond"/>
              </w:rPr>
              <w:t>$30.99</w:t>
            </w:r>
          </w:p>
        </w:tc>
        <w:tc>
          <w:tcPr>
            <w:tcW w:w="1296" w:type="dxa"/>
          </w:tcPr>
          <w:p w14:paraId="47A755EE" w14:textId="3D87A999" w:rsidR="00EF0D80" w:rsidRPr="00330E3E" w:rsidRDefault="00E4005C" w:rsidP="00F93EA9">
            <w:pPr>
              <w:pStyle w:val="Body"/>
              <w:rPr>
                <w:rFonts w:ascii="Garamond" w:hAnsi="Garamond"/>
              </w:rPr>
            </w:pPr>
            <w:r w:rsidRPr="00330E3E">
              <w:rPr>
                <w:rFonts w:ascii="Garamond" w:hAnsi="Garamond"/>
              </w:rPr>
              <w:t>$</w:t>
            </w:r>
            <w:r w:rsidR="00F93EA9">
              <w:rPr>
                <w:rFonts w:ascii="Garamond" w:hAnsi="Garamond"/>
              </w:rPr>
              <w:t>1115.64</w:t>
            </w:r>
          </w:p>
        </w:tc>
      </w:tr>
      <w:tr w:rsidR="00EF0D80" w:rsidRPr="00330E3E" w14:paraId="60147306" w14:textId="77777777" w:rsidTr="003C5942">
        <w:trPr>
          <w:cantSplit/>
        </w:trPr>
        <w:tc>
          <w:tcPr>
            <w:tcW w:w="1432" w:type="dxa"/>
            <w:vMerge w:val="restart"/>
          </w:tcPr>
          <w:p w14:paraId="68925FAA" w14:textId="77777777" w:rsidR="00EF0D80" w:rsidRPr="00330E3E" w:rsidRDefault="00EF0D80" w:rsidP="001E070B">
            <w:pPr>
              <w:pStyle w:val="Body"/>
              <w:rPr>
                <w:rFonts w:ascii="Garamond" w:hAnsi="Garamond"/>
              </w:rPr>
            </w:pPr>
            <w:r w:rsidRPr="00330E3E">
              <w:rPr>
                <w:rFonts w:ascii="Garamond" w:hAnsi="Garamond"/>
              </w:rPr>
              <w:t>LEA</w:t>
            </w:r>
          </w:p>
        </w:tc>
        <w:tc>
          <w:tcPr>
            <w:tcW w:w="1502" w:type="dxa"/>
          </w:tcPr>
          <w:p w14:paraId="526CE8E1" w14:textId="77777777" w:rsidR="00EF0D80" w:rsidRPr="00330E3E" w:rsidRDefault="00EF0D80" w:rsidP="00F54376">
            <w:pPr>
              <w:pStyle w:val="Body"/>
              <w:rPr>
                <w:rFonts w:ascii="Garamond" w:hAnsi="Garamond"/>
              </w:rPr>
            </w:pPr>
            <w:r w:rsidRPr="00330E3E">
              <w:rPr>
                <w:rFonts w:ascii="Garamond" w:hAnsi="Garamond"/>
              </w:rPr>
              <w:t>ESHE Measures</w:t>
            </w:r>
          </w:p>
        </w:tc>
        <w:tc>
          <w:tcPr>
            <w:tcW w:w="1447" w:type="dxa"/>
          </w:tcPr>
          <w:p w14:paraId="372EDDB3" w14:textId="77777777" w:rsidR="00EF0D80" w:rsidRPr="00330E3E" w:rsidRDefault="00A20C41" w:rsidP="001E070B">
            <w:pPr>
              <w:pStyle w:val="Body"/>
              <w:rPr>
                <w:rFonts w:ascii="Garamond" w:hAnsi="Garamond"/>
              </w:rPr>
            </w:pPr>
            <w:r w:rsidRPr="00330E3E">
              <w:rPr>
                <w:rFonts w:ascii="Garamond" w:hAnsi="Garamond"/>
              </w:rPr>
              <w:t>17</w:t>
            </w:r>
          </w:p>
        </w:tc>
        <w:tc>
          <w:tcPr>
            <w:tcW w:w="1422" w:type="dxa"/>
          </w:tcPr>
          <w:p w14:paraId="1BFBED54" w14:textId="77777777" w:rsidR="00EF0D80" w:rsidRPr="00330E3E" w:rsidRDefault="006C237A" w:rsidP="001E070B">
            <w:pPr>
              <w:pStyle w:val="Body"/>
              <w:rPr>
                <w:rFonts w:ascii="Garamond" w:hAnsi="Garamond"/>
              </w:rPr>
            </w:pPr>
            <w:r w:rsidRPr="00330E3E">
              <w:rPr>
                <w:rFonts w:ascii="Garamond" w:hAnsi="Garamond"/>
              </w:rPr>
              <w:t>2</w:t>
            </w:r>
          </w:p>
        </w:tc>
        <w:tc>
          <w:tcPr>
            <w:tcW w:w="1224" w:type="dxa"/>
          </w:tcPr>
          <w:p w14:paraId="2ACC6611" w14:textId="77777777" w:rsidR="00EF0D80" w:rsidRPr="00330E3E" w:rsidRDefault="00A20C41" w:rsidP="001E070B">
            <w:pPr>
              <w:pStyle w:val="Body"/>
              <w:rPr>
                <w:rFonts w:ascii="Garamond" w:hAnsi="Garamond"/>
              </w:rPr>
            </w:pPr>
            <w:r w:rsidRPr="00330E3E">
              <w:rPr>
                <w:rFonts w:ascii="Garamond" w:hAnsi="Garamond"/>
              </w:rPr>
              <w:t>6</w:t>
            </w:r>
          </w:p>
        </w:tc>
        <w:tc>
          <w:tcPr>
            <w:tcW w:w="1253" w:type="dxa"/>
          </w:tcPr>
          <w:p w14:paraId="7E7456A4" w14:textId="77777777" w:rsidR="00EF0D80" w:rsidRPr="00330E3E" w:rsidRDefault="00954B24" w:rsidP="001E070B">
            <w:pPr>
              <w:pStyle w:val="Body"/>
              <w:rPr>
                <w:rFonts w:ascii="Garamond" w:hAnsi="Garamond"/>
              </w:rPr>
            </w:pPr>
            <w:r w:rsidRPr="00330E3E">
              <w:rPr>
                <w:rFonts w:ascii="Garamond" w:hAnsi="Garamond"/>
              </w:rPr>
              <w:t>$30.99</w:t>
            </w:r>
          </w:p>
        </w:tc>
        <w:tc>
          <w:tcPr>
            <w:tcW w:w="1296" w:type="dxa"/>
          </w:tcPr>
          <w:p w14:paraId="502CC1D2" w14:textId="77777777" w:rsidR="00EF0D80" w:rsidRPr="00330E3E" w:rsidRDefault="00954B24" w:rsidP="001E070B">
            <w:pPr>
              <w:pStyle w:val="Body"/>
              <w:rPr>
                <w:rFonts w:ascii="Garamond" w:hAnsi="Garamond"/>
              </w:rPr>
            </w:pPr>
            <w:r w:rsidRPr="00330E3E">
              <w:rPr>
                <w:rFonts w:ascii="Garamond" w:hAnsi="Garamond"/>
              </w:rPr>
              <w:t>$6321.96</w:t>
            </w:r>
          </w:p>
        </w:tc>
      </w:tr>
      <w:tr w:rsidR="00EF0D80" w:rsidRPr="00330E3E" w14:paraId="30523D9C" w14:textId="77777777" w:rsidTr="003C5942">
        <w:trPr>
          <w:cantSplit/>
        </w:trPr>
        <w:tc>
          <w:tcPr>
            <w:tcW w:w="1432" w:type="dxa"/>
            <w:vMerge/>
          </w:tcPr>
          <w:p w14:paraId="0B8D8FF0" w14:textId="77777777" w:rsidR="00EF0D80" w:rsidRPr="00330E3E" w:rsidRDefault="00EF0D80" w:rsidP="001E070B">
            <w:pPr>
              <w:pStyle w:val="Body"/>
              <w:rPr>
                <w:rFonts w:ascii="Garamond" w:hAnsi="Garamond"/>
              </w:rPr>
            </w:pPr>
          </w:p>
        </w:tc>
        <w:tc>
          <w:tcPr>
            <w:tcW w:w="1502" w:type="dxa"/>
          </w:tcPr>
          <w:p w14:paraId="50D7AD19" w14:textId="77777777" w:rsidR="00EF0D80" w:rsidRPr="00330E3E" w:rsidRDefault="00E4005C" w:rsidP="00F54376">
            <w:pPr>
              <w:pStyle w:val="Body"/>
              <w:rPr>
                <w:rFonts w:ascii="Garamond" w:hAnsi="Garamond"/>
              </w:rPr>
            </w:pPr>
            <w:r w:rsidRPr="00330E3E">
              <w:rPr>
                <w:rFonts w:ascii="Garamond" w:hAnsi="Garamond"/>
              </w:rPr>
              <w:t>SHS Measures</w:t>
            </w:r>
          </w:p>
        </w:tc>
        <w:tc>
          <w:tcPr>
            <w:tcW w:w="1447" w:type="dxa"/>
          </w:tcPr>
          <w:p w14:paraId="7D1879C9" w14:textId="77777777" w:rsidR="00EF0D80" w:rsidRPr="00330E3E" w:rsidRDefault="00E4005C" w:rsidP="001E070B">
            <w:pPr>
              <w:pStyle w:val="Body"/>
              <w:rPr>
                <w:rFonts w:ascii="Garamond" w:hAnsi="Garamond"/>
              </w:rPr>
            </w:pPr>
            <w:r w:rsidRPr="00330E3E">
              <w:rPr>
                <w:rFonts w:ascii="Garamond" w:hAnsi="Garamond"/>
              </w:rPr>
              <w:t>17</w:t>
            </w:r>
          </w:p>
        </w:tc>
        <w:tc>
          <w:tcPr>
            <w:tcW w:w="1422" w:type="dxa"/>
          </w:tcPr>
          <w:p w14:paraId="2F050ED4" w14:textId="77777777" w:rsidR="00EF0D80" w:rsidRPr="00330E3E" w:rsidRDefault="00E4005C" w:rsidP="001E070B">
            <w:pPr>
              <w:pStyle w:val="Body"/>
              <w:rPr>
                <w:rFonts w:ascii="Garamond" w:hAnsi="Garamond"/>
              </w:rPr>
            </w:pPr>
            <w:r w:rsidRPr="00330E3E">
              <w:rPr>
                <w:rFonts w:ascii="Garamond" w:hAnsi="Garamond"/>
              </w:rPr>
              <w:t>2</w:t>
            </w:r>
          </w:p>
        </w:tc>
        <w:tc>
          <w:tcPr>
            <w:tcW w:w="1224" w:type="dxa"/>
          </w:tcPr>
          <w:p w14:paraId="7016A9C3" w14:textId="77777777" w:rsidR="00EF0D80" w:rsidRPr="00330E3E" w:rsidRDefault="00E4005C" w:rsidP="001E070B">
            <w:pPr>
              <w:pStyle w:val="Body"/>
              <w:rPr>
                <w:rFonts w:ascii="Garamond" w:hAnsi="Garamond"/>
              </w:rPr>
            </w:pPr>
            <w:r w:rsidRPr="00330E3E">
              <w:rPr>
                <w:rFonts w:ascii="Garamond" w:hAnsi="Garamond"/>
              </w:rPr>
              <w:t>3</w:t>
            </w:r>
          </w:p>
        </w:tc>
        <w:tc>
          <w:tcPr>
            <w:tcW w:w="1253" w:type="dxa"/>
          </w:tcPr>
          <w:p w14:paraId="307B9A5F" w14:textId="77777777" w:rsidR="00EF0D80" w:rsidRPr="00330E3E" w:rsidRDefault="00E4005C" w:rsidP="001E070B">
            <w:pPr>
              <w:pStyle w:val="Body"/>
              <w:rPr>
                <w:rFonts w:ascii="Garamond" w:hAnsi="Garamond"/>
              </w:rPr>
            </w:pPr>
            <w:r w:rsidRPr="00330E3E">
              <w:rPr>
                <w:rFonts w:ascii="Garamond" w:hAnsi="Garamond"/>
              </w:rPr>
              <w:t>$30.99</w:t>
            </w:r>
          </w:p>
        </w:tc>
        <w:tc>
          <w:tcPr>
            <w:tcW w:w="1296" w:type="dxa"/>
          </w:tcPr>
          <w:p w14:paraId="10DE0428" w14:textId="77777777" w:rsidR="00EF0D80" w:rsidRPr="00330E3E" w:rsidRDefault="00E4005C" w:rsidP="001E070B">
            <w:pPr>
              <w:pStyle w:val="Body"/>
              <w:rPr>
                <w:rFonts w:ascii="Garamond" w:hAnsi="Garamond"/>
              </w:rPr>
            </w:pPr>
            <w:r w:rsidRPr="00330E3E">
              <w:rPr>
                <w:rFonts w:ascii="Garamond" w:hAnsi="Garamond"/>
              </w:rPr>
              <w:t>$3160.98</w:t>
            </w:r>
          </w:p>
        </w:tc>
      </w:tr>
      <w:tr w:rsidR="00EF0D80" w:rsidRPr="00330E3E" w14:paraId="08979C87" w14:textId="77777777" w:rsidTr="003C5942">
        <w:trPr>
          <w:cantSplit/>
        </w:trPr>
        <w:tc>
          <w:tcPr>
            <w:tcW w:w="1432" w:type="dxa"/>
            <w:vMerge/>
          </w:tcPr>
          <w:p w14:paraId="5E1263A9" w14:textId="77777777" w:rsidR="00EF0D80" w:rsidRPr="00330E3E" w:rsidRDefault="00EF0D80" w:rsidP="001E070B">
            <w:pPr>
              <w:pStyle w:val="Body"/>
              <w:rPr>
                <w:rFonts w:ascii="Garamond" w:hAnsi="Garamond"/>
              </w:rPr>
            </w:pPr>
          </w:p>
        </w:tc>
        <w:tc>
          <w:tcPr>
            <w:tcW w:w="1502" w:type="dxa"/>
          </w:tcPr>
          <w:p w14:paraId="02862A02" w14:textId="77777777" w:rsidR="00EF0D80" w:rsidRPr="00330E3E" w:rsidRDefault="00E4005C" w:rsidP="00F54376">
            <w:pPr>
              <w:pStyle w:val="Body"/>
              <w:rPr>
                <w:rFonts w:ascii="Garamond" w:hAnsi="Garamond"/>
              </w:rPr>
            </w:pPr>
            <w:r w:rsidRPr="00330E3E">
              <w:rPr>
                <w:rFonts w:ascii="Garamond" w:hAnsi="Garamond"/>
              </w:rPr>
              <w:t>SSE Measures</w:t>
            </w:r>
          </w:p>
        </w:tc>
        <w:tc>
          <w:tcPr>
            <w:tcW w:w="1447" w:type="dxa"/>
          </w:tcPr>
          <w:p w14:paraId="70063982" w14:textId="77777777" w:rsidR="00EF0D80" w:rsidRPr="00330E3E" w:rsidRDefault="00E4005C" w:rsidP="001E070B">
            <w:pPr>
              <w:pStyle w:val="Body"/>
              <w:rPr>
                <w:rFonts w:ascii="Garamond" w:hAnsi="Garamond"/>
              </w:rPr>
            </w:pPr>
            <w:r w:rsidRPr="00330E3E">
              <w:rPr>
                <w:rFonts w:ascii="Garamond" w:hAnsi="Garamond"/>
              </w:rPr>
              <w:t>17</w:t>
            </w:r>
          </w:p>
        </w:tc>
        <w:tc>
          <w:tcPr>
            <w:tcW w:w="1422" w:type="dxa"/>
          </w:tcPr>
          <w:p w14:paraId="39D92591" w14:textId="77777777" w:rsidR="00EF0D80" w:rsidRPr="00330E3E" w:rsidRDefault="00E4005C" w:rsidP="001E070B">
            <w:pPr>
              <w:pStyle w:val="Body"/>
              <w:rPr>
                <w:rFonts w:ascii="Garamond" w:hAnsi="Garamond"/>
              </w:rPr>
            </w:pPr>
            <w:r w:rsidRPr="00330E3E">
              <w:rPr>
                <w:rFonts w:ascii="Garamond" w:hAnsi="Garamond"/>
              </w:rPr>
              <w:t>2</w:t>
            </w:r>
          </w:p>
        </w:tc>
        <w:tc>
          <w:tcPr>
            <w:tcW w:w="1224" w:type="dxa"/>
          </w:tcPr>
          <w:p w14:paraId="5A830776" w14:textId="77777777" w:rsidR="00EF0D80" w:rsidRPr="00330E3E" w:rsidRDefault="00E4005C" w:rsidP="001E070B">
            <w:pPr>
              <w:pStyle w:val="Body"/>
              <w:rPr>
                <w:rFonts w:ascii="Garamond" w:hAnsi="Garamond"/>
              </w:rPr>
            </w:pPr>
            <w:r w:rsidRPr="00330E3E">
              <w:rPr>
                <w:rFonts w:ascii="Garamond" w:hAnsi="Garamond"/>
              </w:rPr>
              <w:t>6</w:t>
            </w:r>
          </w:p>
        </w:tc>
        <w:tc>
          <w:tcPr>
            <w:tcW w:w="1253" w:type="dxa"/>
          </w:tcPr>
          <w:p w14:paraId="6FC22743" w14:textId="77777777" w:rsidR="00EF0D80" w:rsidRPr="00330E3E" w:rsidRDefault="00E4005C" w:rsidP="001E070B">
            <w:pPr>
              <w:pStyle w:val="Body"/>
              <w:rPr>
                <w:rFonts w:ascii="Garamond" w:hAnsi="Garamond"/>
              </w:rPr>
            </w:pPr>
            <w:r w:rsidRPr="00330E3E">
              <w:rPr>
                <w:rFonts w:ascii="Garamond" w:hAnsi="Garamond"/>
              </w:rPr>
              <w:t>$30.99</w:t>
            </w:r>
          </w:p>
        </w:tc>
        <w:tc>
          <w:tcPr>
            <w:tcW w:w="1296" w:type="dxa"/>
          </w:tcPr>
          <w:p w14:paraId="066916AD" w14:textId="77777777" w:rsidR="00EF0D80" w:rsidRPr="00330E3E" w:rsidRDefault="00E4005C" w:rsidP="001E070B">
            <w:pPr>
              <w:pStyle w:val="Body"/>
              <w:rPr>
                <w:rFonts w:ascii="Garamond" w:hAnsi="Garamond"/>
              </w:rPr>
            </w:pPr>
            <w:r w:rsidRPr="00330E3E">
              <w:rPr>
                <w:rFonts w:ascii="Garamond" w:hAnsi="Garamond"/>
              </w:rPr>
              <w:t>$6321.96</w:t>
            </w:r>
          </w:p>
        </w:tc>
      </w:tr>
      <w:tr w:rsidR="003C5942" w:rsidRPr="00330E3E" w14:paraId="1220D37B" w14:textId="77777777" w:rsidTr="003C5942">
        <w:trPr>
          <w:cantSplit/>
        </w:trPr>
        <w:tc>
          <w:tcPr>
            <w:tcW w:w="1432" w:type="dxa"/>
            <w:vMerge w:val="restart"/>
          </w:tcPr>
          <w:p w14:paraId="3B5CAAEE" w14:textId="77777777" w:rsidR="003C5942" w:rsidRPr="00330E3E" w:rsidRDefault="003C5942" w:rsidP="001E070B">
            <w:pPr>
              <w:pStyle w:val="Body"/>
              <w:rPr>
                <w:rFonts w:ascii="Garamond" w:hAnsi="Garamond"/>
              </w:rPr>
            </w:pPr>
            <w:r w:rsidRPr="00330E3E">
              <w:rPr>
                <w:rFonts w:ascii="Garamond" w:hAnsi="Garamond"/>
              </w:rPr>
              <w:t>NGO</w:t>
            </w:r>
          </w:p>
        </w:tc>
        <w:tc>
          <w:tcPr>
            <w:tcW w:w="1502" w:type="dxa"/>
          </w:tcPr>
          <w:p w14:paraId="6D1635AA" w14:textId="77777777" w:rsidR="003C5942" w:rsidRPr="00330E3E" w:rsidRDefault="003C5942" w:rsidP="00090CC5">
            <w:pPr>
              <w:pStyle w:val="Body"/>
              <w:rPr>
                <w:rFonts w:ascii="Garamond" w:hAnsi="Garamond"/>
              </w:rPr>
            </w:pPr>
            <w:r w:rsidRPr="00330E3E">
              <w:rPr>
                <w:rFonts w:ascii="Garamond" w:hAnsi="Garamond"/>
              </w:rPr>
              <w:t>ESHE Measures</w:t>
            </w:r>
          </w:p>
        </w:tc>
        <w:tc>
          <w:tcPr>
            <w:tcW w:w="1447" w:type="dxa"/>
          </w:tcPr>
          <w:p w14:paraId="0815A65C" w14:textId="77777777" w:rsidR="003C5942" w:rsidRPr="00330E3E" w:rsidRDefault="003C5942" w:rsidP="001E070B">
            <w:pPr>
              <w:pStyle w:val="Body"/>
              <w:rPr>
                <w:rFonts w:ascii="Garamond" w:hAnsi="Garamond"/>
              </w:rPr>
            </w:pPr>
            <w:r w:rsidRPr="00330E3E">
              <w:rPr>
                <w:rFonts w:ascii="Garamond" w:hAnsi="Garamond"/>
              </w:rPr>
              <w:t>2</w:t>
            </w:r>
          </w:p>
        </w:tc>
        <w:tc>
          <w:tcPr>
            <w:tcW w:w="1422" w:type="dxa"/>
          </w:tcPr>
          <w:p w14:paraId="419BC49B" w14:textId="77777777" w:rsidR="003C5942" w:rsidRPr="00330E3E" w:rsidRDefault="003C5942" w:rsidP="001E070B">
            <w:pPr>
              <w:pStyle w:val="Body"/>
              <w:rPr>
                <w:rFonts w:ascii="Garamond" w:hAnsi="Garamond"/>
              </w:rPr>
            </w:pPr>
            <w:r w:rsidRPr="00330E3E">
              <w:rPr>
                <w:rFonts w:ascii="Garamond" w:hAnsi="Garamond"/>
              </w:rPr>
              <w:t>2</w:t>
            </w:r>
          </w:p>
        </w:tc>
        <w:tc>
          <w:tcPr>
            <w:tcW w:w="1224" w:type="dxa"/>
          </w:tcPr>
          <w:p w14:paraId="0FD23618" w14:textId="77777777" w:rsidR="003C5942" w:rsidRPr="00330E3E" w:rsidRDefault="003C5942" w:rsidP="001E070B">
            <w:pPr>
              <w:pStyle w:val="Body"/>
              <w:rPr>
                <w:rFonts w:ascii="Garamond" w:hAnsi="Garamond"/>
              </w:rPr>
            </w:pPr>
            <w:r w:rsidRPr="00330E3E">
              <w:rPr>
                <w:rFonts w:ascii="Garamond" w:hAnsi="Garamond"/>
              </w:rPr>
              <w:t>0.5</w:t>
            </w:r>
          </w:p>
        </w:tc>
        <w:tc>
          <w:tcPr>
            <w:tcW w:w="1253" w:type="dxa"/>
          </w:tcPr>
          <w:p w14:paraId="0E71EAA6" w14:textId="77777777" w:rsidR="003C5942" w:rsidRPr="00330E3E" w:rsidRDefault="003C5942" w:rsidP="001E070B">
            <w:pPr>
              <w:pStyle w:val="Body"/>
              <w:rPr>
                <w:rFonts w:ascii="Garamond" w:hAnsi="Garamond"/>
              </w:rPr>
            </w:pPr>
            <w:r w:rsidRPr="00330E3E">
              <w:rPr>
                <w:rFonts w:ascii="Garamond" w:hAnsi="Garamond"/>
              </w:rPr>
              <w:t>$30.99</w:t>
            </w:r>
          </w:p>
        </w:tc>
        <w:tc>
          <w:tcPr>
            <w:tcW w:w="1296" w:type="dxa"/>
          </w:tcPr>
          <w:p w14:paraId="4343910F" w14:textId="77777777" w:rsidR="003C5942" w:rsidRPr="00330E3E" w:rsidRDefault="00F6623A" w:rsidP="001E070B">
            <w:pPr>
              <w:pStyle w:val="Body"/>
              <w:rPr>
                <w:rFonts w:ascii="Garamond" w:hAnsi="Garamond"/>
              </w:rPr>
            </w:pPr>
            <w:r w:rsidRPr="00330E3E">
              <w:rPr>
                <w:rFonts w:ascii="Garamond" w:hAnsi="Garamond"/>
              </w:rPr>
              <w:t>$61.98</w:t>
            </w:r>
          </w:p>
        </w:tc>
      </w:tr>
      <w:tr w:rsidR="003C5942" w:rsidRPr="00330E3E" w14:paraId="24DA3596" w14:textId="77777777" w:rsidTr="003C5942">
        <w:trPr>
          <w:cantSplit/>
        </w:trPr>
        <w:tc>
          <w:tcPr>
            <w:tcW w:w="1432" w:type="dxa"/>
            <w:vMerge/>
          </w:tcPr>
          <w:p w14:paraId="105DBFCC" w14:textId="77777777" w:rsidR="003C5942" w:rsidRPr="00330E3E" w:rsidRDefault="003C5942" w:rsidP="001E070B">
            <w:pPr>
              <w:pStyle w:val="Body"/>
              <w:rPr>
                <w:rFonts w:ascii="Garamond" w:hAnsi="Garamond"/>
              </w:rPr>
            </w:pPr>
          </w:p>
        </w:tc>
        <w:tc>
          <w:tcPr>
            <w:tcW w:w="1502" w:type="dxa"/>
          </w:tcPr>
          <w:p w14:paraId="7793ABBB" w14:textId="77777777" w:rsidR="003C5942" w:rsidRPr="00330E3E" w:rsidRDefault="00E4005C" w:rsidP="00090CC5">
            <w:pPr>
              <w:pStyle w:val="Body"/>
              <w:rPr>
                <w:rFonts w:ascii="Garamond" w:hAnsi="Garamond"/>
              </w:rPr>
            </w:pPr>
            <w:r w:rsidRPr="00330E3E">
              <w:rPr>
                <w:rFonts w:ascii="Garamond" w:hAnsi="Garamond"/>
              </w:rPr>
              <w:t>SHS Measures</w:t>
            </w:r>
          </w:p>
        </w:tc>
        <w:tc>
          <w:tcPr>
            <w:tcW w:w="1447" w:type="dxa"/>
          </w:tcPr>
          <w:p w14:paraId="77300EBB" w14:textId="77777777" w:rsidR="003C5942" w:rsidRPr="00330E3E" w:rsidRDefault="00E4005C" w:rsidP="001E070B">
            <w:pPr>
              <w:pStyle w:val="Body"/>
              <w:rPr>
                <w:rFonts w:ascii="Garamond" w:hAnsi="Garamond"/>
              </w:rPr>
            </w:pPr>
            <w:r w:rsidRPr="00330E3E">
              <w:rPr>
                <w:rFonts w:ascii="Garamond" w:hAnsi="Garamond"/>
              </w:rPr>
              <w:t>2</w:t>
            </w:r>
          </w:p>
        </w:tc>
        <w:tc>
          <w:tcPr>
            <w:tcW w:w="1422" w:type="dxa"/>
          </w:tcPr>
          <w:p w14:paraId="09B2080F" w14:textId="77777777" w:rsidR="003C5942" w:rsidRPr="00330E3E" w:rsidRDefault="00E4005C" w:rsidP="001E070B">
            <w:pPr>
              <w:pStyle w:val="Body"/>
              <w:rPr>
                <w:rFonts w:ascii="Garamond" w:hAnsi="Garamond"/>
              </w:rPr>
            </w:pPr>
            <w:r w:rsidRPr="00330E3E">
              <w:rPr>
                <w:rFonts w:ascii="Garamond" w:hAnsi="Garamond"/>
              </w:rPr>
              <w:t>2</w:t>
            </w:r>
          </w:p>
        </w:tc>
        <w:tc>
          <w:tcPr>
            <w:tcW w:w="1224" w:type="dxa"/>
          </w:tcPr>
          <w:p w14:paraId="0DEBDF20" w14:textId="77777777" w:rsidR="003C5942" w:rsidRPr="00330E3E" w:rsidRDefault="00E4005C" w:rsidP="001E070B">
            <w:pPr>
              <w:pStyle w:val="Body"/>
              <w:rPr>
                <w:rFonts w:ascii="Garamond" w:hAnsi="Garamond"/>
              </w:rPr>
            </w:pPr>
            <w:r w:rsidRPr="00330E3E">
              <w:rPr>
                <w:rFonts w:ascii="Garamond" w:hAnsi="Garamond"/>
              </w:rPr>
              <w:t>0.5</w:t>
            </w:r>
          </w:p>
        </w:tc>
        <w:tc>
          <w:tcPr>
            <w:tcW w:w="1253" w:type="dxa"/>
          </w:tcPr>
          <w:p w14:paraId="2CDB8087" w14:textId="77777777" w:rsidR="003C5942" w:rsidRPr="00330E3E" w:rsidRDefault="00E4005C" w:rsidP="001E070B">
            <w:pPr>
              <w:pStyle w:val="Body"/>
              <w:rPr>
                <w:rFonts w:ascii="Garamond" w:hAnsi="Garamond"/>
              </w:rPr>
            </w:pPr>
            <w:r w:rsidRPr="00330E3E">
              <w:rPr>
                <w:rFonts w:ascii="Garamond" w:hAnsi="Garamond"/>
              </w:rPr>
              <w:t>$30.99</w:t>
            </w:r>
          </w:p>
        </w:tc>
        <w:tc>
          <w:tcPr>
            <w:tcW w:w="1296" w:type="dxa"/>
          </w:tcPr>
          <w:p w14:paraId="7BDE93D4" w14:textId="77777777" w:rsidR="003C5942" w:rsidRPr="00330E3E" w:rsidRDefault="00E4005C" w:rsidP="001E070B">
            <w:pPr>
              <w:pStyle w:val="Body"/>
              <w:rPr>
                <w:rFonts w:ascii="Garamond" w:hAnsi="Garamond"/>
              </w:rPr>
            </w:pPr>
            <w:r w:rsidRPr="00330E3E">
              <w:rPr>
                <w:rFonts w:ascii="Garamond" w:hAnsi="Garamond"/>
              </w:rPr>
              <w:t>$61.98</w:t>
            </w:r>
          </w:p>
        </w:tc>
      </w:tr>
      <w:tr w:rsidR="003C5942" w:rsidRPr="00330E3E" w14:paraId="3D64085F" w14:textId="77777777" w:rsidTr="003C5942">
        <w:trPr>
          <w:cantSplit/>
        </w:trPr>
        <w:tc>
          <w:tcPr>
            <w:tcW w:w="1432" w:type="dxa"/>
            <w:vMerge/>
          </w:tcPr>
          <w:p w14:paraId="624681D9" w14:textId="77777777" w:rsidR="003C5942" w:rsidRPr="00330E3E" w:rsidRDefault="003C5942" w:rsidP="001E070B">
            <w:pPr>
              <w:pStyle w:val="Body"/>
              <w:rPr>
                <w:rFonts w:ascii="Garamond" w:hAnsi="Garamond"/>
              </w:rPr>
            </w:pPr>
          </w:p>
        </w:tc>
        <w:tc>
          <w:tcPr>
            <w:tcW w:w="1502" w:type="dxa"/>
          </w:tcPr>
          <w:p w14:paraId="45F0512D" w14:textId="77777777" w:rsidR="003C5942" w:rsidRPr="00330E3E" w:rsidRDefault="00E4005C" w:rsidP="00090CC5">
            <w:pPr>
              <w:pStyle w:val="Body"/>
              <w:rPr>
                <w:rFonts w:ascii="Garamond" w:hAnsi="Garamond"/>
              </w:rPr>
            </w:pPr>
            <w:r w:rsidRPr="00330E3E">
              <w:rPr>
                <w:rFonts w:ascii="Garamond" w:hAnsi="Garamond"/>
              </w:rPr>
              <w:t>SSE Measures</w:t>
            </w:r>
          </w:p>
        </w:tc>
        <w:tc>
          <w:tcPr>
            <w:tcW w:w="1447" w:type="dxa"/>
          </w:tcPr>
          <w:p w14:paraId="2F67020B" w14:textId="77777777" w:rsidR="003C5942" w:rsidRPr="00330E3E" w:rsidRDefault="00E4005C" w:rsidP="001E070B">
            <w:pPr>
              <w:pStyle w:val="Body"/>
              <w:rPr>
                <w:rFonts w:ascii="Garamond" w:hAnsi="Garamond"/>
              </w:rPr>
            </w:pPr>
            <w:r w:rsidRPr="00330E3E">
              <w:rPr>
                <w:rFonts w:ascii="Garamond" w:hAnsi="Garamond"/>
              </w:rPr>
              <w:t>2</w:t>
            </w:r>
          </w:p>
        </w:tc>
        <w:tc>
          <w:tcPr>
            <w:tcW w:w="1422" w:type="dxa"/>
          </w:tcPr>
          <w:p w14:paraId="1DC6198B" w14:textId="77777777" w:rsidR="003C5942" w:rsidRPr="00330E3E" w:rsidRDefault="00E4005C" w:rsidP="001E070B">
            <w:pPr>
              <w:pStyle w:val="Body"/>
              <w:rPr>
                <w:rFonts w:ascii="Garamond" w:hAnsi="Garamond"/>
              </w:rPr>
            </w:pPr>
            <w:r w:rsidRPr="00330E3E">
              <w:rPr>
                <w:rFonts w:ascii="Garamond" w:hAnsi="Garamond"/>
              </w:rPr>
              <w:t>2</w:t>
            </w:r>
          </w:p>
        </w:tc>
        <w:tc>
          <w:tcPr>
            <w:tcW w:w="1224" w:type="dxa"/>
          </w:tcPr>
          <w:p w14:paraId="53CEB027" w14:textId="77777777" w:rsidR="003C5942" w:rsidRPr="00330E3E" w:rsidRDefault="00E4005C" w:rsidP="001E070B">
            <w:pPr>
              <w:pStyle w:val="Body"/>
              <w:rPr>
                <w:rFonts w:ascii="Garamond" w:hAnsi="Garamond"/>
              </w:rPr>
            </w:pPr>
            <w:r w:rsidRPr="00330E3E">
              <w:rPr>
                <w:rFonts w:ascii="Garamond" w:hAnsi="Garamond"/>
              </w:rPr>
              <w:t>0.5</w:t>
            </w:r>
          </w:p>
        </w:tc>
        <w:tc>
          <w:tcPr>
            <w:tcW w:w="1253" w:type="dxa"/>
          </w:tcPr>
          <w:p w14:paraId="3B48AD06" w14:textId="77777777" w:rsidR="003C5942" w:rsidRPr="00330E3E" w:rsidRDefault="00E4005C" w:rsidP="001E070B">
            <w:pPr>
              <w:pStyle w:val="Body"/>
              <w:rPr>
                <w:rFonts w:ascii="Garamond" w:hAnsi="Garamond"/>
              </w:rPr>
            </w:pPr>
            <w:r w:rsidRPr="00330E3E">
              <w:rPr>
                <w:rFonts w:ascii="Garamond" w:hAnsi="Garamond"/>
              </w:rPr>
              <w:t>$30.99</w:t>
            </w:r>
          </w:p>
        </w:tc>
        <w:tc>
          <w:tcPr>
            <w:tcW w:w="1296" w:type="dxa"/>
          </w:tcPr>
          <w:p w14:paraId="6E228563" w14:textId="77777777" w:rsidR="003C5942" w:rsidRPr="00330E3E" w:rsidRDefault="00E4005C" w:rsidP="001E070B">
            <w:pPr>
              <w:pStyle w:val="Body"/>
              <w:rPr>
                <w:rFonts w:ascii="Garamond" w:hAnsi="Garamond"/>
              </w:rPr>
            </w:pPr>
            <w:r w:rsidRPr="00330E3E">
              <w:rPr>
                <w:rFonts w:ascii="Garamond" w:hAnsi="Garamond"/>
              </w:rPr>
              <w:t>$61.98</w:t>
            </w:r>
          </w:p>
        </w:tc>
      </w:tr>
      <w:tr w:rsidR="003C5942" w:rsidRPr="00330E3E" w14:paraId="48A7D41A" w14:textId="77777777" w:rsidTr="003C5942">
        <w:trPr>
          <w:cantSplit/>
        </w:trPr>
        <w:tc>
          <w:tcPr>
            <w:tcW w:w="8280" w:type="dxa"/>
            <w:gridSpan w:val="6"/>
            <w:vAlign w:val="center"/>
          </w:tcPr>
          <w:p w14:paraId="41A20372" w14:textId="77777777" w:rsidR="003C5942" w:rsidRPr="00330E3E" w:rsidRDefault="003C5942" w:rsidP="00B5290B">
            <w:pPr>
              <w:pStyle w:val="Body"/>
              <w:jc w:val="right"/>
              <w:rPr>
                <w:rFonts w:ascii="Garamond" w:hAnsi="Garamond"/>
              </w:rPr>
            </w:pPr>
            <w:r w:rsidRPr="00330E3E">
              <w:rPr>
                <w:rFonts w:ascii="Garamond" w:hAnsi="Garamond"/>
              </w:rPr>
              <w:t>Total</w:t>
            </w:r>
          </w:p>
        </w:tc>
        <w:tc>
          <w:tcPr>
            <w:tcW w:w="1296" w:type="dxa"/>
          </w:tcPr>
          <w:p w14:paraId="7F6B0B92" w14:textId="520800F7" w:rsidR="003C5942" w:rsidRPr="00330E3E" w:rsidRDefault="003C5942" w:rsidP="00F93EA9">
            <w:pPr>
              <w:pStyle w:val="Body"/>
              <w:rPr>
                <w:rFonts w:ascii="Garamond" w:hAnsi="Garamond"/>
              </w:rPr>
            </w:pPr>
            <w:r w:rsidRPr="00330E3E">
              <w:rPr>
                <w:rFonts w:ascii="Garamond" w:hAnsi="Garamond"/>
              </w:rPr>
              <w:t>$</w:t>
            </w:r>
            <w:r w:rsidR="00F93EA9">
              <w:rPr>
                <w:rFonts w:ascii="Garamond" w:hAnsi="Garamond"/>
              </w:rPr>
              <w:t>24,915</w:t>
            </w:r>
            <w:r w:rsidRPr="00330E3E">
              <w:rPr>
                <w:rFonts w:ascii="Garamond" w:hAnsi="Garamond"/>
              </w:rPr>
              <w:t>.80</w:t>
            </w:r>
          </w:p>
        </w:tc>
      </w:tr>
    </w:tbl>
    <w:p w14:paraId="6980D138" w14:textId="77777777" w:rsidR="00B6728A" w:rsidRPr="00330E3E" w:rsidRDefault="00875AA9" w:rsidP="001E7CA7">
      <w:pPr>
        <w:pStyle w:val="Heading1"/>
        <w:numPr>
          <w:ilvl w:val="0"/>
          <w:numId w:val="15"/>
        </w:numPr>
        <w:rPr>
          <w:rFonts w:ascii="Garamond" w:hAnsi="Garamond"/>
          <w:szCs w:val="24"/>
        </w:rPr>
      </w:pPr>
      <w:bookmarkStart w:id="25" w:name="_Toc383603859"/>
      <w:r w:rsidRPr="00330E3E">
        <w:rPr>
          <w:rFonts w:ascii="Garamond" w:hAnsi="Garamond"/>
          <w:szCs w:val="24"/>
        </w:rPr>
        <w:t>Estimates of Other Annual Cost Burden to Respondents or Record Keepers</w:t>
      </w:r>
      <w:bookmarkEnd w:id="25"/>
    </w:p>
    <w:p w14:paraId="0DE74124" w14:textId="5AE6F6F0" w:rsidR="000A0892" w:rsidRPr="00330E3E" w:rsidRDefault="000A0892" w:rsidP="000F4788">
      <w:pPr>
        <w:rPr>
          <w:rFonts w:ascii="Garamond" w:hAnsi="Garamond"/>
        </w:rPr>
      </w:pPr>
      <w:r w:rsidRPr="00330E3E">
        <w:rPr>
          <w:rFonts w:ascii="Garamond" w:hAnsi="Garamond"/>
        </w:rPr>
        <w:t>No capital, start-up, or maintenance costs are involved.</w:t>
      </w:r>
    </w:p>
    <w:p w14:paraId="7BBAB5DA" w14:textId="77777777" w:rsidR="00B6728A" w:rsidRPr="00330E3E" w:rsidRDefault="00875AA9" w:rsidP="001E7CA7">
      <w:pPr>
        <w:pStyle w:val="Heading1"/>
        <w:numPr>
          <w:ilvl w:val="0"/>
          <w:numId w:val="15"/>
        </w:numPr>
        <w:rPr>
          <w:rFonts w:ascii="Garamond" w:hAnsi="Garamond"/>
          <w:szCs w:val="24"/>
        </w:rPr>
      </w:pPr>
      <w:bookmarkStart w:id="26" w:name="_Toc227033754"/>
      <w:bookmarkStart w:id="27" w:name="_Toc322357324"/>
      <w:bookmarkStart w:id="28" w:name="_Toc383603860"/>
      <w:r w:rsidRPr="00330E3E">
        <w:rPr>
          <w:rFonts w:ascii="Garamond" w:hAnsi="Garamond"/>
          <w:szCs w:val="24"/>
        </w:rPr>
        <w:t xml:space="preserve">Annualized </w:t>
      </w:r>
      <w:r w:rsidR="00B6728A" w:rsidRPr="00330E3E">
        <w:rPr>
          <w:rFonts w:ascii="Garamond" w:hAnsi="Garamond"/>
          <w:szCs w:val="24"/>
        </w:rPr>
        <w:t>Cost to Federal Government</w:t>
      </w:r>
      <w:bookmarkEnd w:id="26"/>
      <w:bookmarkEnd w:id="27"/>
      <w:bookmarkEnd w:id="28"/>
      <w:r w:rsidR="00B6728A" w:rsidRPr="00330E3E">
        <w:rPr>
          <w:rFonts w:ascii="Garamond" w:hAnsi="Garamond"/>
          <w:szCs w:val="24"/>
        </w:rPr>
        <w:t xml:space="preserve">  </w:t>
      </w:r>
    </w:p>
    <w:p w14:paraId="44DF59BE" w14:textId="055F1F37" w:rsidR="00BB254C" w:rsidRPr="00330E3E" w:rsidRDefault="00BB254C" w:rsidP="00BB254C">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 xml:space="preserve">Cost will be incurred by the government in personnel time for overseeing the </w:t>
      </w:r>
      <w:r w:rsidR="00BC380C" w:rsidRPr="00330E3E">
        <w:rPr>
          <w:rFonts w:ascii="Garamond" w:hAnsi="Garamond"/>
        </w:rPr>
        <w:t>project</w:t>
      </w:r>
      <w:r w:rsidRPr="00330E3E">
        <w:rPr>
          <w:rFonts w:ascii="Garamond" w:hAnsi="Garamond"/>
        </w:rPr>
        <w:t xml:space="preserve">.  </w:t>
      </w:r>
      <w:r w:rsidR="003C5EE6" w:rsidRPr="00330E3E">
        <w:rPr>
          <w:rFonts w:ascii="Garamond" w:hAnsi="Garamond"/>
        </w:rPr>
        <w:t>CDC</w:t>
      </w:r>
      <w:r w:rsidRPr="00330E3E">
        <w:rPr>
          <w:rFonts w:ascii="Garamond" w:hAnsi="Garamond"/>
        </w:rPr>
        <w:t xml:space="preserve"> time and effort for overseeing the </w:t>
      </w:r>
      <w:r w:rsidR="00121ADB" w:rsidRPr="00330E3E">
        <w:rPr>
          <w:rFonts w:ascii="Garamond" w:hAnsi="Garamond"/>
        </w:rPr>
        <w:t>funded agencies</w:t>
      </w:r>
      <w:r w:rsidR="007830DA" w:rsidRPr="00330E3E">
        <w:rPr>
          <w:rFonts w:ascii="Garamond" w:hAnsi="Garamond"/>
        </w:rPr>
        <w:t>’ data collection</w:t>
      </w:r>
      <w:r w:rsidR="00121ADB" w:rsidRPr="00330E3E">
        <w:rPr>
          <w:rFonts w:ascii="Garamond" w:hAnsi="Garamond"/>
        </w:rPr>
        <w:t xml:space="preserve"> </w:t>
      </w:r>
      <w:r w:rsidRPr="00330E3E">
        <w:rPr>
          <w:rFonts w:ascii="Garamond" w:hAnsi="Garamond"/>
        </w:rPr>
        <w:t>and answering questions posed by the contractor and fu</w:t>
      </w:r>
      <w:r w:rsidR="003C5EE6" w:rsidRPr="00330E3E">
        <w:rPr>
          <w:rFonts w:ascii="Garamond" w:hAnsi="Garamond"/>
        </w:rPr>
        <w:t xml:space="preserve">nded </w:t>
      </w:r>
      <w:r w:rsidR="00BC380C" w:rsidRPr="00330E3E">
        <w:rPr>
          <w:rFonts w:ascii="Garamond" w:hAnsi="Garamond"/>
        </w:rPr>
        <w:t>agencies</w:t>
      </w:r>
      <w:r w:rsidR="003C5EE6" w:rsidRPr="00330E3E">
        <w:rPr>
          <w:rFonts w:ascii="Garamond" w:hAnsi="Garamond"/>
        </w:rPr>
        <w:t xml:space="preserve"> are estimated at 5</w:t>
      </w:r>
      <w:r w:rsidRPr="00330E3E">
        <w:rPr>
          <w:rFonts w:ascii="Garamond" w:hAnsi="Garamond"/>
        </w:rPr>
        <w:t xml:space="preserve">0% for </w:t>
      </w:r>
      <w:r w:rsidR="003C5EE6" w:rsidRPr="00330E3E">
        <w:rPr>
          <w:rFonts w:ascii="Garamond" w:hAnsi="Garamond"/>
        </w:rPr>
        <w:t>two</w:t>
      </w:r>
      <w:r w:rsidRPr="00330E3E">
        <w:rPr>
          <w:rFonts w:ascii="Garamond" w:hAnsi="Garamond"/>
        </w:rPr>
        <w:t xml:space="preserve"> CDC employee</w:t>
      </w:r>
      <w:r w:rsidR="003C5EE6" w:rsidRPr="00330E3E">
        <w:rPr>
          <w:rFonts w:ascii="Garamond" w:hAnsi="Garamond"/>
        </w:rPr>
        <w:t>s</w:t>
      </w:r>
      <w:r w:rsidRPr="00330E3E">
        <w:rPr>
          <w:rFonts w:ascii="Garamond" w:hAnsi="Garamond"/>
        </w:rPr>
        <w:t xml:space="preserve">, </w:t>
      </w:r>
      <w:r w:rsidR="003C5EE6" w:rsidRPr="00330E3E">
        <w:rPr>
          <w:rFonts w:ascii="Garamond" w:hAnsi="Garamond"/>
        </w:rPr>
        <w:t>4</w:t>
      </w:r>
      <w:r w:rsidRPr="00330E3E">
        <w:rPr>
          <w:rFonts w:ascii="Garamond" w:hAnsi="Garamond"/>
        </w:rPr>
        <w:t xml:space="preserve">0% for another CDC employee, and 5% for a senior CDC employee a year for the three years of the project.  </w:t>
      </w:r>
      <w:r w:rsidR="00DB0603" w:rsidRPr="00330E3E">
        <w:rPr>
          <w:rFonts w:ascii="Garamond" w:hAnsi="Garamond"/>
        </w:rPr>
        <w:t>The cost</w:t>
      </w:r>
      <w:r w:rsidR="00BC380C" w:rsidRPr="00330E3E">
        <w:rPr>
          <w:rFonts w:ascii="Garamond" w:hAnsi="Garamond"/>
        </w:rPr>
        <w:t xml:space="preserve"> to the federal government for oversight and project mana</w:t>
      </w:r>
      <w:r w:rsidR="00DB0603" w:rsidRPr="00330E3E">
        <w:rPr>
          <w:rFonts w:ascii="Garamond" w:hAnsi="Garamond"/>
        </w:rPr>
        <w:t>gement is $132,351</w:t>
      </w:r>
      <w:r w:rsidR="00BC380C" w:rsidRPr="00330E3E">
        <w:rPr>
          <w:rFonts w:ascii="Garamond" w:hAnsi="Garamond"/>
        </w:rPr>
        <w:t xml:space="preserve"> (</w:t>
      </w:r>
      <w:r w:rsidR="00BC380C" w:rsidRPr="00330E3E">
        <w:rPr>
          <w:rFonts w:ascii="Garamond" w:hAnsi="Garamond"/>
          <w:b/>
        </w:rPr>
        <w:t>Table A.14-1)</w:t>
      </w:r>
      <w:r w:rsidR="00BC380C" w:rsidRPr="00330E3E">
        <w:rPr>
          <w:rFonts w:ascii="Garamond" w:hAnsi="Garamond"/>
        </w:rPr>
        <w:t>.</w:t>
      </w:r>
    </w:p>
    <w:p w14:paraId="116376AB" w14:textId="77777777" w:rsidR="0026143E" w:rsidRDefault="0026143E" w:rsidP="0026143E">
      <w:pPr>
        <w:rPr>
          <w:rFonts w:ascii="Garamond" w:hAnsi="Garamond"/>
        </w:rPr>
      </w:pPr>
    </w:p>
    <w:p w14:paraId="029EDAE4" w14:textId="7A6E25E2" w:rsidR="001713FB" w:rsidRPr="00330E3E" w:rsidRDefault="00BC380C" w:rsidP="000F4788">
      <w:pPr>
        <w:rPr>
          <w:rFonts w:ascii="Garamond" w:hAnsi="Garamond"/>
        </w:rPr>
      </w:pPr>
      <w:r w:rsidRPr="00330E3E">
        <w:rPr>
          <w:rFonts w:ascii="Garamond" w:hAnsi="Garamond"/>
        </w:rPr>
        <w:t>The contractor’s costs are based on estimates provided by the contractor who will carry out the data collection activities. With the expected period of performance, the annual cost to the federal govern</w:t>
      </w:r>
      <w:r w:rsidR="001713FB" w:rsidRPr="00330E3E">
        <w:rPr>
          <w:rFonts w:ascii="Garamond" w:hAnsi="Garamond"/>
        </w:rPr>
        <w:t>ment</w:t>
      </w:r>
      <w:r w:rsidR="00B06016" w:rsidRPr="00330E3E">
        <w:rPr>
          <w:rFonts w:ascii="Garamond" w:hAnsi="Garamond"/>
        </w:rPr>
        <w:t xml:space="preserve"> from contractor and other expenses</w:t>
      </w:r>
      <w:r w:rsidR="001713FB" w:rsidRPr="00330E3E">
        <w:rPr>
          <w:rFonts w:ascii="Garamond" w:hAnsi="Garamond"/>
        </w:rPr>
        <w:t xml:space="preserve"> is estimated to be $</w:t>
      </w:r>
      <w:r w:rsidR="00DB0603" w:rsidRPr="00330E3E">
        <w:rPr>
          <w:rFonts w:ascii="Garamond" w:hAnsi="Garamond"/>
        </w:rPr>
        <w:t>366,500</w:t>
      </w:r>
      <w:r w:rsidRPr="00330E3E">
        <w:rPr>
          <w:rFonts w:ascii="Garamond" w:hAnsi="Garamond"/>
        </w:rPr>
        <w:t xml:space="preserve"> (</w:t>
      </w:r>
      <w:r w:rsidRPr="00330E3E">
        <w:rPr>
          <w:rFonts w:ascii="Garamond" w:hAnsi="Garamond"/>
          <w:b/>
          <w:bCs/>
          <w:iCs/>
        </w:rPr>
        <w:t>Table A.14-1</w:t>
      </w:r>
      <w:r w:rsidRPr="00330E3E">
        <w:rPr>
          <w:rFonts w:ascii="Garamond" w:hAnsi="Garamond"/>
        </w:rPr>
        <w:t xml:space="preserve">). This is the cost estimated by the contractor, </w:t>
      </w:r>
      <w:r w:rsidR="001713FB" w:rsidRPr="00330E3E">
        <w:rPr>
          <w:rFonts w:ascii="Garamond" w:hAnsi="Garamond"/>
        </w:rPr>
        <w:t>Karna, LLC</w:t>
      </w:r>
      <w:r w:rsidRPr="00330E3E">
        <w:rPr>
          <w:rFonts w:ascii="Garamond" w:hAnsi="Garamond"/>
        </w:rPr>
        <w:t xml:space="preserve">, and includes the estimated cost of coordination with </w:t>
      </w:r>
      <w:r w:rsidR="001713FB" w:rsidRPr="00330E3E">
        <w:rPr>
          <w:rFonts w:ascii="Garamond" w:hAnsi="Garamond"/>
        </w:rPr>
        <w:t>DASH</w:t>
      </w:r>
      <w:r w:rsidRPr="00330E3E">
        <w:rPr>
          <w:rFonts w:ascii="Garamond" w:hAnsi="Garamond"/>
        </w:rPr>
        <w:t xml:space="preserve">, </w:t>
      </w:r>
      <w:r w:rsidR="00DB0603" w:rsidRPr="00330E3E">
        <w:rPr>
          <w:rFonts w:ascii="Garamond" w:hAnsi="Garamond"/>
        </w:rPr>
        <w:t>maintenance</w:t>
      </w:r>
      <w:r w:rsidR="001713FB" w:rsidRPr="00330E3E">
        <w:rPr>
          <w:rFonts w:ascii="Garamond" w:hAnsi="Garamond"/>
        </w:rPr>
        <w:t xml:space="preserve"> of PERS, </w:t>
      </w:r>
      <w:r w:rsidRPr="00330E3E">
        <w:rPr>
          <w:rFonts w:ascii="Garamond" w:hAnsi="Garamond"/>
        </w:rPr>
        <w:t>data collection</w:t>
      </w:r>
      <w:r w:rsidR="00DB0603" w:rsidRPr="00330E3E">
        <w:rPr>
          <w:rFonts w:ascii="Garamond" w:hAnsi="Garamond"/>
        </w:rPr>
        <w:t xml:space="preserve"> and technical assistance</w:t>
      </w:r>
      <w:r w:rsidRPr="00330E3E">
        <w:rPr>
          <w:rFonts w:ascii="Garamond" w:hAnsi="Garamond"/>
        </w:rPr>
        <w:t>, analysis, and reporting.</w:t>
      </w:r>
      <w:r w:rsidR="00EA572E" w:rsidRPr="00330E3E">
        <w:rPr>
          <w:rFonts w:ascii="Garamond" w:hAnsi="Garamond"/>
        </w:rPr>
        <w:t xml:space="preserve">  </w:t>
      </w:r>
      <w:r w:rsidR="00B06016" w:rsidRPr="00330E3E">
        <w:rPr>
          <w:rFonts w:ascii="Garamond" w:hAnsi="Garamond"/>
        </w:rPr>
        <w:t>The total annualized cost to the government, including direct costs to the federal government and contractor expenses is $498,851.</w:t>
      </w:r>
    </w:p>
    <w:p w14:paraId="233FFD93" w14:textId="77777777" w:rsidR="00E865AC" w:rsidRPr="00330E3E" w:rsidRDefault="00E865AC" w:rsidP="00EA572E">
      <w:pPr>
        <w:rPr>
          <w:rFonts w:ascii="Garamond" w:hAnsi="Garamond"/>
          <w:b/>
        </w:rPr>
      </w:pPr>
    </w:p>
    <w:p w14:paraId="68EFB257" w14:textId="77777777" w:rsidR="00EA572E" w:rsidRPr="00330E3E" w:rsidRDefault="00EA572E" w:rsidP="00EA572E">
      <w:pPr>
        <w:rPr>
          <w:rFonts w:ascii="Garamond" w:hAnsi="Garamond"/>
          <w:b/>
        </w:rPr>
      </w:pPr>
      <w:r w:rsidRPr="00330E3E">
        <w:rPr>
          <w:rFonts w:ascii="Garamond" w:hAnsi="Garamond"/>
          <w:b/>
        </w:rPr>
        <w:t>Table A.14-</w:t>
      </w:r>
      <w:r w:rsidR="00041C21" w:rsidRPr="00330E3E">
        <w:rPr>
          <w:rFonts w:ascii="Garamond" w:hAnsi="Garamond"/>
          <w:b/>
        </w:rPr>
        <w:fldChar w:fldCharType="begin"/>
      </w:r>
      <w:r w:rsidRPr="00330E3E">
        <w:rPr>
          <w:rFonts w:ascii="Garamond" w:hAnsi="Garamond"/>
          <w:b/>
        </w:rPr>
        <w:instrText xml:space="preserve"> SEQ Table \* ARABIC </w:instrText>
      </w:r>
      <w:r w:rsidR="00041C21" w:rsidRPr="00330E3E">
        <w:rPr>
          <w:rFonts w:ascii="Garamond" w:hAnsi="Garamond"/>
          <w:b/>
        </w:rPr>
        <w:fldChar w:fldCharType="separate"/>
      </w:r>
      <w:r w:rsidR="00161128">
        <w:rPr>
          <w:rFonts w:ascii="Garamond" w:hAnsi="Garamond"/>
          <w:b/>
          <w:noProof/>
        </w:rPr>
        <w:t>1</w:t>
      </w:r>
      <w:r w:rsidR="00041C21" w:rsidRPr="00330E3E">
        <w:rPr>
          <w:rFonts w:ascii="Garamond" w:hAnsi="Garamond"/>
          <w:b/>
        </w:rPr>
        <w:fldChar w:fldCharType="end"/>
      </w:r>
      <w:r w:rsidRPr="00330E3E">
        <w:rPr>
          <w:rFonts w:ascii="Garamond" w:hAnsi="Garamond"/>
          <w:b/>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EA572E" w:rsidRPr="00330E3E" w14:paraId="2F4F2CDB"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E999E74" w14:textId="77777777" w:rsidR="00EA572E" w:rsidRPr="00330E3E" w:rsidRDefault="00EA572E" w:rsidP="00974254">
            <w:pPr>
              <w:rPr>
                <w:rFonts w:ascii="Garamond" w:hAnsi="Garamond"/>
                <w:b/>
                <w:bCs/>
              </w:rPr>
            </w:pPr>
            <w:r w:rsidRPr="00330E3E">
              <w:rPr>
                <w:rFonts w:ascii="Garamond" w:hAnsi="Garamond"/>
                <w:b/>
                <w:bCs/>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660A2BA" w14:textId="77777777" w:rsidR="00EA572E" w:rsidRPr="00330E3E" w:rsidRDefault="00EA572E" w:rsidP="00974254">
            <w:pPr>
              <w:rPr>
                <w:rFonts w:ascii="Garamond" w:hAnsi="Garamond"/>
                <w:b/>
                <w:bCs/>
              </w:rPr>
            </w:pPr>
            <w:r w:rsidRPr="00330E3E">
              <w:rPr>
                <w:rFonts w:ascii="Garamond" w:hAnsi="Garamond"/>
                <w:b/>
                <w:bCs/>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44FAA8F" w14:textId="77777777" w:rsidR="00EA572E" w:rsidRPr="00330E3E" w:rsidRDefault="00EA572E" w:rsidP="00974254">
            <w:pPr>
              <w:rPr>
                <w:rFonts w:ascii="Garamond" w:hAnsi="Garamond"/>
                <w:b/>
                <w:bCs/>
              </w:rPr>
            </w:pPr>
            <w:r w:rsidRPr="00330E3E">
              <w:rPr>
                <w:rFonts w:ascii="Garamond" w:hAnsi="Garamond"/>
                <w:b/>
                <w:bCs/>
              </w:rPr>
              <w:t>Annual Costs (dollars)</w:t>
            </w:r>
          </w:p>
        </w:tc>
      </w:tr>
      <w:tr w:rsidR="00EA572E" w:rsidRPr="00330E3E" w14:paraId="2D8FD32E"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0B789F9C" w14:textId="77777777" w:rsidR="00EA572E" w:rsidRPr="00330E3E" w:rsidRDefault="00EA572E" w:rsidP="00974254">
            <w:pPr>
              <w:rPr>
                <w:rFonts w:ascii="Garamond" w:hAnsi="Garamond"/>
                <w:i/>
                <w:iCs/>
              </w:rPr>
            </w:pPr>
            <w:r w:rsidRPr="00330E3E">
              <w:rPr>
                <w:rFonts w:ascii="Garamond" w:hAnsi="Garamond"/>
                <w:b/>
                <w:bCs/>
                <w:i/>
                <w:iCs/>
              </w:rPr>
              <w:t>Direct Cost to the Federal Government</w:t>
            </w:r>
          </w:p>
        </w:tc>
      </w:tr>
      <w:tr w:rsidR="00EA572E" w:rsidRPr="00330E3E" w14:paraId="5AC6B3A1"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1A54556" w14:textId="77777777" w:rsidR="00EA572E" w:rsidRPr="00330E3E" w:rsidRDefault="00EA572E" w:rsidP="00974254">
            <w:pPr>
              <w:rPr>
                <w:rFonts w:ascii="Garamond" w:hAnsi="Garamond"/>
                <w:b/>
                <w:bCs/>
              </w:rPr>
            </w:pPr>
            <w:r w:rsidRPr="00330E3E">
              <w:rPr>
                <w:rFonts w:ascii="Garamond" w:hAnsi="Garamond"/>
              </w:rPr>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C619B81" w14:textId="77777777" w:rsidR="00EA572E" w:rsidRPr="00330E3E" w:rsidRDefault="00EA572E" w:rsidP="00974254">
            <w:pPr>
              <w:rPr>
                <w:rFonts w:ascii="Garamond" w:hAnsi="Garamond"/>
              </w:rPr>
            </w:pPr>
            <w:r w:rsidRPr="00330E3E">
              <w:rPr>
                <w:rFonts w:ascii="Garamond" w:hAnsi="Garamond"/>
              </w:rPr>
              <w:t>CDC Supervisor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797849A" w14:textId="77777777" w:rsidR="00EA572E" w:rsidRPr="00330E3E" w:rsidRDefault="00EA572E" w:rsidP="00974254">
            <w:pPr>
              <w:rPr>
                <w:rFonts w:ascii="Garamond" w:hAnsi="Garamond"/>
              </w:rPr>
            </w:pPr>
            <w:r w:rsidRPr="00330E3E">
              <w:rPr>
                <w:rFonts w:ascii="Garamond" w:hAnsi="Garamond"/>
              </w:rPr>
              <w:t>$6,230</w:t>
            </w:r>
          </w:p>
        </w:tc>
      </w:tr>
      <w:tr w:rsidR="00EA572E" w:rsidRPr="00330E3E" w14:paraId="4424477F"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3E5FD5C" w14:textId="77777777" w:rsidR="00EA572E" w:rsidRPr="00330E3E" w:rsidRDefault="00EA572E" w:rsidP="00974254">
            <w:pPr>
              <w:rPr>
                <w:rFonts w:ascii="Garamond" w:hAnsi="Garamond"/>
              </w:rPr>
            </w:pPr>
            <w:r w:rsidRPr="00330E3E">
              <w:rPr>
                <w:rFonts w:ascii="Garamond" w:hAnsi="Garamond"/>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9356C0A" w14:textId="77777777" w:rsidR="00EA572E" w:rsidRPr="00330E3E" w:rsidRDefault="00EA572E" w:rsidP="00974254">
            <w:pPr>
              <w:rPr>
                <w:rFonts w:ascii="Garamond" w:hAnsi="Garamond"/>
              </w:rPr>
            </w:pPr>
            <w:r w:rsidRPr="00330E3E">
              <w:rPr>
                <w:rFonts w:ascii="Garamond" w:hAnsi="Garamond"/>
              </w:rPr>
              <w:t>CDC Project Officers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17EAFA0" w14:textId="77777777" w:rsidR="00EA572E" w:rsidRPr="00330E3E" w:rsidRDefault="00EA572E" w:rsidP="00974254">
            <w:pPr>
              <w:rPr>
                <w:rFonts w:ascii="Garamond" w:hAnsi="Garamond"/>
              </w:rPr>
            </w:pPr>
            <w:r w:rsidRPr="00330E3E">
              <w:rPr>
                <w:rFonts w:ascii="Garamond" w:hAnsi="Garamond"/>
              </w:rPr>
              <w:t>$126,121</w:t>
            </w:r>
          </w:p>
        </w:tc>
      </w:tr>
      <w:tr w:rsidR="00EA572E" w:rsidRPr="00330E3E" w14:paraId="23B5A144"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ED799B8" w14:textId="77777777" w:rsidR="00EA572E" w:rsidRPr="00330E3E" w:rsidRDefault="00EA572E" w:rsidP="00974254">
            <w:pPr>
              <w:rPr>
                <w:rFonts w:ascii="Garamond" w:hAnsi="Garamond"/>
                <w:b/>
                <w:iCs/>
              </w:rPr>
            </w:pPr>
            <w:r w:rsidRPr="00330E3E">
              <w:rPr>
                <w:rFonts w:ascii="Garamond" w:hAnsi="Garamond"/>
                <w:b/>
                <w:iCs/>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03105BA" w14:textId="77777777" w:rsidR="00EA572E" w:rsidRPr="00330E3E" w:rsidRDefault="00EA572E" w:rsidP="00974254">
            <w:pPr>
              <w:rPr>
                <w:rFonts w:ascii="Garamond" w:hAnsi="Garamond"/>
                <w:b/>
                <w:iCs/>
              </w:rPr>
            </w:pPr>
            <w:r w:rsidRPr="00330E3E">
              <w:rPr>
                <w:rFonts w:ascii="Garamond" w:hAnsi="Garamond"/>
                <w:b/>
                <w:iCs/>
              </w:rPr>
              <w:t>$132,351</w:t>
            </w:r>
          </w:p>
        </w:tc>
      </w:tr>
      <w:tr w:rsidR="00EA572E" w:rsidRPr="00330E3E" w14:paraId="19C8E6F8"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09F86860" w14:textId="77777777" w:rsidR="00EA572E" w:rsidRPr="00330E3E" w:rsidRDefault="00EA572E" w:rsidP="00974254">
            <w:pPr>
              <w:rPr>
                <w:rFonts w:ascii="Garamond" w:hAnsi="Garamond"/>
                <w:b/>
                <w:bCs/>
                <w:i/>
                <w:iCs/>
              </w:rPr>
            </w:pPr>
            <w:r w:rsidRPr="00330E3E">
              <w:rPr>
                <w:rFonts w:ascii="Garamond" w:hAnsi="Garamond"/>
                <w:b/>
                <w:bCs/>
                <w:i/>
                <w:iCs/>
              </w:rPr>
              <w:t>Contractor and Other Expenses</w:t>
            </w:r>
          </w:p>
        </w:tc>
      </w:tr>
      <w:tr w:rsidR="00EA572E" w:rsidRPr="00330E3E" w14:paraId="6148CB9B"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B51857F" w14:textId="77777777" w:rsidR="00EA572E" w:rsidRPr="00330E3E" w:rsidRDefault="00EA572E" w:rsidP="00974254">
            <w:pPr>
              <w:rPr>
                <w:rFonts w:ascii="Garamond" w:hAnsi="Garamond"/>
              </w:rPr>
            </w:pPr>
            <w:r w:rsidRPr="00330E3E">
              <w:rPr>
                <w:rFonts w:ascii="Garamond" w:hAnsi="Garamond"/>
              </w:rPr>
              <w:t>Maintenance of PERS data collection system</w:t>
            </w:r>
          </w:p>
        </w:tc>
        <w:tc>
          <w:tcPr>
            <w:tcW w:w="3420" w:type="dxa"/>
            <w:tcBorders>
              <w:top w:val="nil"/>
              <w:left w:val="single" w:sz="8" w:space="0" w:color="auto"/>
              <w:bottom w:val="single" w:sz="8" w:space="0" w:color="auto"/>
              <w:right w:val="single" w:sz="8" w:space="0" w:color="auto"/>
            </w:tcBorders>
            <w:vAlign w:val="center"/>
          </w:tcPr>
          <w:p w14:paraId="117B24F8" w14:textId="77777777" w:rsidR="00EA572E" w:rsidRPr="00330E3E" w:rsidRDefault="00EA572E" w:rsidP="00974254">
            <w:pPr>
              <w:ind w:left="76"/>
              <w:rPr>
                <w:rFonts w:ascii="Garamond" w:hAnsi="Garamond"/>
              </w:rPr>
            </w:pPr>
            <w:r w:rsidRPr="00330E3E">
              <w:rPr>
                <w:rFonts w:ascii="Garamond" w:hAnsi="Garamond"/>
              </w:rPr>
              <w:t>Labor and other direct costs for ongoing maintenance and support of PERS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C45EAAD" w14:textId="77777777" w:rsidR="00EA572E" w:rsidRPr="00330E3E" w:rsidRDefault="00EA572E" w:rsidP="00974254">
            <w:pPr>
              <w:rPr>
                <w:rFonts w:ascii="Garamond" w:hAnsi="Garamond"/>
              </w:rPr>
            </w:pPr>
            <w:r w:rsidRPr="00330E3E">
              <w:rPr>
                <w:rFonts w:ascii="Garamond" w:hAnsi="Garamond"/>
              </w:rPr>
              <w:t>$113,719</w:t>
            </w:r>
          </w:p>
        </w:tc>
      </w:tr>
      <w:tr w:rsidR="00EA572E" w:rsidRPr="00330E3E" w14:paraId="45FFC5DA"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0B7F491" w14:textId="77777777" w:rsidR="00EA572E" w:rsidRPr="00330E3E" w:rsidRDefault="00EA572E" w:rsidP="00974254">
            <w:pPr>
              <w:rPr>
                <w:rFonts w:ascii="Garamond" w:hAnsi="Garamond"/>
                <w:iCs/>
              </w:rPr>
            </w:pPr>
            <w:r w:rsidRPr="00330E3E">
              <w:rPr>
                <w:rFonts w:ascii="Garamond" w:hAnsi="Garamond"/>
                <w:iCs/>
              </w:rPr>
              <w:t xml:space="preserve">Provision of technical assistance and training to funded agencies for data collection </w:t>
            </w:r>
          </w:p>
        </w:tc>
        <w:tc>
          <w:tcPr>
            <w:tcW w:w="3420" w:type="dxa"/>
            <w:tcBorders>
              <w:top w:val="nil"/>
              <w:left w:val="single" w:sz="8" w:space="0" w:color="auto"/>
              <w:bottom w:val="single" w:sz="8" w:space="0" w:color="auto"/>
              <w:right w:val="single" w:sz="8" w:space="0" w:color="auto"/>
            </w:tcBorders>
            <w:vAlign w:val="center"/>
          </w:tcPr>
          <w:p w14:paraId="6C2E30CB" w14:textId="77777777" w:rsidR="00EA572E" w:rsidRPr="00330E3E" w:rsidRDefault="00EA572E" w:rsidP="00974254">
            <w:pPr>
              <w:ind w:left="76"/>
              <w:rPr>
                <w:rFonts w:ascii="Garamond" w:hAnsi="Garamond"/>
                <w:iCs/>
              </w:rPr>
            </w:pPr>
            <w:r w:rsidRPr="00330E3E">
              <w:rPr>
                <w:rFonts w:ascii="Garamond" w:hAnsi="Garamond"/>
                <w:color w:val="000000"/>
              </w:rPr>
              <w:t xml:space="preserve">Annual labor hours and Other Direct Costs for TA and </w:t>
            </w:r>
            <w:r w:rsidRPr="00330E3E">
              <w:rPr>
                <w:rFonts w:ascii="Garamond" w:eastAsiaTheme="minorHAnsi" w:hAnsi="Garamond"/>
              </w:rPr>
              <w:t>training</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312DEF2" w14:textId="77777777" w:rsidR="00EA572E" w:rsidRPr="00330E3E" w:rsidRDefault="00EA572E" w:rsidP="00974254">
            <w:pPr>
              <w:rPr>
                <w:rFonts w:ascii="Garamond" w:hAnsi="Garamond"/>
                <w:i/>
                <w:iCs/>
              </w:rPr>
            </w:pPr>
            <w:r w:rsidRPr="00330E3E">
              <w:rPr>
                <w:rFonts w:ascii="Garamond" w:hAnsi="Garamond"/>
                <w:color w:val="000000"/>
              </w:rPr>
              <w:t>$252,781</w:t>
            </w:r>
          </w:p>
        </w:tc>
      </w:tr>
      <w:tr w:rsidR="00EA572E" w:rsidRPr="00330E3E" w14:paraId="45869C0C"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056112B" w14:textId="77777777" w:rsidR="00EA572E" w:rsidRPr="00330E3E" w:rsidRDefault="00EA572E" w:rsidP="00974254">
            <w:pPr>
              <w:ind w:left="76"/>
              <w:rPr>
                <w:rFonts w:ascii="Garamond" w:hAnsi="Garamond"/>
                <w:b/>
              </w:rPr>
            </w:pPr>
            <w:r w:rsidRPr="00330E3E">
              <w:rPr>
                <w:rFonts w:ascii="Garamond" w:hAnsi="Garamond"/>
                <w:b/>
                <w:iCs/>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0DD515A" w14:textId="77777777" w:rsidR="00EA572E" w:rsidRPr="00330E3E" w:rsidRDefault="00EA572E" w:rsidP="00974254">
            <w:pPr>
              <w:rPr>
                <w:rFonts w:ascii="Garamond" w:hAnsi="Garamond"/>
                <w:i/>
                <w:iCs/>
              </w:rPr>
            </w:pPr>
            <w:r w:rsidRPr="00330E3E">
              <w:rPr>
                <w:rFonts w:ascii="Garamond" w:hAnsi="Garamond"/>
                <w:b/>
                <w:bCs/>
                <w:color w:val="000000"/>
              </w:rPr>
              <w:t>$366,500</w:t>
            </w:r>
          </w:p>
        </w:tc>
      </w:tr>
      <w:tr w:rsidR="00EA572E" w:rsidRPr="00330E3E" w14:paraId="683F3FBA"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581D62F8" w14:textId="77777777" w:rsidR="00EA572E" w:rsidRPr="00330E3E" w:rsidRDefault="00B06016" w:rsidP="00B06016">
            <w:pPr>
              <w:ind w:left="76"/>
              <w:rPr>
                <w:rFonts w:ascii="Garamond" w:hAnsi="Garamond"/>
                <w:b/>
                <w:i/>
                <w:iCs/>
              </w:rPr>
            </w:pPr>
            <w:r w:rsidRPr="00330E3E">
              <w:rPr>
                <w:rFonts w:ascii="Garamond" w:hAnsi="Garamond"/>
                <w:b/>
                <w:i/>
                <w:iCs/>
              </w:rPr>
              <w:t>Total</w:t>
            </w:r>
            <w:r w:rsidR="00EA572E" w:rsidRPr="00330E3E">
              <w:rPr>
                <w:rFonts w:ascii="Garamond" w:hAnsi="Garamond"/>
                <w:b/>
                <w:i/>
                <w:iCs/>
              </w:rPr>
              <w:t xml:space="preserve"> of all annualized expenses</w:t>
            </w:r>
            <w:r w:rsidRPr="00330E3E">
              <w:rPr>
                <w:rFonts w:ascii="Garamond" w:hAnsi="Garamond"/>
                <w:b/>
                <w:i/>
                <w:iCs/>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7A6AA4BF" w14:textId="77777777" w:rsidR="00EA572E" w:rsidRPr="00330E3E" w:rsidRDefault="00EA572E" w:rsidP="00B06016">
            <w:pPr>
              <w:rPr>
                <w:rFonts w:ascii="Garamond" w:hAnsi="Garamond"/>
                <w:b/>
                <w:i/>
                <w:iCs/>
              </w:rPr>
            </w:pPr>
            <w:r w:rsidRPr="00330E3E">
              <w:rPr>
                <w:rFonts w:ascii="Garamond" w:hAnsi="Garamond"/>
                <w:b/>
                <w:bCs/>
                <w:i/>
                <w:iCs/>
                <w:color w:val="000000"/>
              </w:rPr>
              <w:t>$</w:t>
            </w:r>
            <w:r w:rsidR="00B06016" w:rsidRPr="00330E3E">
              <w:rPr>
                <w:rFonts w:ascii="Garamond" w:hAnsi="Garamond"/>
                <w:b/>
                <w:bCs/>
                <w:i/>
                <w:iCs/>
                <w:color w:val="000000"/>
              </w:rPr>
              <w:t>498,851</w:t>
            </w:r>
          </w:p>
        </w:tc>
      </w:tr>
    </w:tbl>
    <w:p w14:paraId="5D7CA4A6" w14:textId="77777777" w:rsidR="00B6728A" w:rsidRPr="00330E3E" w:rsidRDefault="00875AA9" w:rsidP="001E7CA7">
      <w:pPr>
        <w:pStyle w:val="Heading1"/>
        <w:numPr>
          <w:ilvl w:val="0"/>
          <w:numId w:val="15"/>
        </w:numPr>
        <w:rPr>
          <w:rFonts w:ascii="Garamond" w:hAnsi="Garamond"/>
          <w:szCs w:val="24"/>
        </w:rPr>
      </w:pPr>
      <w:bookmarkStart w:id="29" w:name="_Toc383603861"/>
      <w:r w:rsidRPr="00330E3E">
        <w:rPr>
          <w:rFonts w:ascii="Garamond" w:hAnsi="Garamond"/>
          <w:szCs w:val="24"/>
        </w:rPr>
        <w:t>Expl</w:t>
      </w:r>
      <w:r w:rsidR="007811F1" w:rsidRPr="00330E3E">
        <w:rPr>
          <w:rFonts w:ascii="Garamond" w:hAnsi="Garamond"/>
          <w:szCs w:val="24"/>
        </w:rPr>
        <w:t>anation for Program Changes or A</w:t>
      </w:r>
      <w:r w:rsidRPr="00330E3E">
        <w:rPr>
          <w:rFonts w:ascii="Garamond" w:hAnsi="Garamond"/>
          <w:szCs w:val="24"/>
        </w:rPr>
        <w:t>djustments</w:t>
      </w:r>
      <w:bookmarkEnd w:id="29"/>
    </w:p>
    <w:p w14:paraId="11C56B98" w14:textId="3C934FD1" w:rsidR="00351F65" w:rsidRPr="00330E3E" w:rsidRDefault="00F93EA9" w:rsidP="000F4788">
      <w:pPr>
        <w:rPr>
          <w:rFonts w:ascii="Garamond" w:hAnsi="Garamond"/>
        </w:rPr>
      </w:pPr>
      <w:bookmarkStart w:id="30" w:name="_Toc227033756"/>
      <w:bookmarkStart w:id="31" w:name="_Toc322357326"/>
      <w:r>
        <w:rPr>
          <w:rFonts w:ascii="Garamond" w:hAnsi="Garamond"/>
        </w:rPr>
        <w:t xml:space="preserve">The burden hours have been reduced </w:t>
      </w:r>
      <w:r w:rsidR="00255FEA">
        <w:rPr>
          <w:rFonts w:ascii="Garamond" w:hAnsi="Garamond"/>
        </w:rPr>
        <w:t>from 820 annually to 804 annually</w:t>
      </w:r>
      <w:r w:rsidR="007D390F">
        <w:rPr>
          <w:rFonts w:ascii="Garamond" w:hAnsi="Garamond"/>
        </w:rPr>
        <w:t xml:space="preserve"> </w:t>
      </w:r>
      <w:r>
        <w:rPr>
          <w:rFonts w:ascii="Garamond" w:hAnsi="Garamond"/>
        </w:rPr>
        <w:t xml:space="preserve">to reflect the withdrawal of one site from the cooperative agreement. </w:t>
      </w:r>
    </w:p>
    <w:p w14:paraId="5DBD6049" w14:textId="77777777" w:rsidR="00B6728A" w:rsidRPr="00330E3E" w:rsidRDefault="00875AA9" w:rsidP="001E7CA7">
      <w:pPr>
        <w:pStyle w:val="Heading1"/>
        <w:numPr>
          <w:ilvl w:val="0"/>
          <w:numId w:val="15"/>
        </w:numPr>
        <w:rPr>
          <w:rFonts w:ascii="Garamond" w:hAnsi="Garamond"/>
          <w:szCs w:val="24"/>
        </w:rPr>
      </w:pPr>
      <w:bookmarkStart w:id="32" w:name="_Toc383603862"/>
      <w:bookmarkEnd w:id="30"/>
      <w:bookmarkEnd w:id="31"/>
      <w:r w:rsidRPr="00330E3E">
        <w:rPr>
          <w:rFonts w:ascii="Garamond" w:hAnsi="Garamond"/>
          <w:szCs w:val="24"/>
        </w:rPr>
        <w:t xml:space="preserve">Plans for </w:t>
      </w:r>
      <w:r w:rsidR="00201205" w:rsidRPr="00330E3E">
        <w:rPr>
          <w:rFonts w:ascii="Garamond" w:hAnsi="Garamond"/>
          <w:szCs w:val="24"/>
        </w:rPr>
        <w:t>Tabulation</w:t>
      </w:r>
      <w:r w:rsidRPr="00330E3E">
        <w:rPr>
          <w:rFonts w:ascii="Garamond" w:hAnsi="Garamond"/>
          <w:szCs w:val="24"/>
        </w:rPr>
        <w:t xml:space="preserve"> and Publication and Project Time Schedule</w:t>
      </w:r>
      <w:bookmarkEnd w:id="32"/>
      <w:r w:rsidR="00B6728A" w:rsidRPr="00330E3E">
        <w:rPr>
          <w:rFonts w:ascii="Garamond" w:hAnsi="Garamond"/>
          <w:szCs w:val="24"/>
        </w:rPr>
        <w:t xml:space="preserve">  </w:t>
      </w:r>
    </w:p>
    <w:p w14:paraId="4523C7F5" w14:textId="09AAE148" w:rsidR="00351F65" w:rsidRPr="00330E3E" w:rsidRDefault="00364D04" w:rsidP="00351F6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 xml:space="preserve">There are no plans to publish information from this project. </w:t>
      </w:r>
      <w:r w:rsidR="00351F65" w:rsidRPr="00330E3E">
        <w:rPr>
          <w:rFonts w:ascii="Garamond" w:hAnsi="Garamond"/>
        </w:rPr>
        <w:t>No complex analytical techniques will be used for the tabulation of data.  Descriptive statistics will be used to describe answers.</w:t>
      </w:r>
    </w:p>
    <w:p w14:paraId="08BACA04" w14:textId="77777777" w:rsidR="00351F65" w:rsidRPr="00330E3E" w:rsidRDefault="00351F65" w:rsidP="00351F6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14:paraId="00E49DED" w14:textId="756F5BA1" w:rsidR="00351F65" w:rsidRPr="00330E3E" w:rsidRDefault="00351F65" w:rsidP="00351F65">
      <w:pPr>
        <w:rPr>
          <w:rFonts w:ascii="Garamond" w:hAnsi="Garamond"/>
        </w:rPr>
      </w:pPr>
      <w:r w:rsidRPr="00330E3E">
        <w:rPr>
          <w:rFonts w:ascii="Garamond" w:hAnsi="Garamond"/>
        </w:rPr>
        <w:t xml:space="preserve">The questionnaires will be conducted </w:t>
      </w:r>
      <w:r w:rsidR="00704C3D" w:rsidRPr="00330E3E">
        <w:rPr>
          <w:rFonts w:ascii="Garamond" w:hAnsi="Garamond"/>
        </w:rPr>
        <w:t>semi-annual</w:t>
      </w:r>
      <w:r w:rsidR="00950167" w:rsidRPr="00330E3E">
        <w:rPr>
          <w:rFonts w:ascii="Garamond" w:hAnsi="Garamond"/>
        </w:rPr>
        <w:t>ly</w:t>
      </w:r>
      <w:r w:rsidRPr="00330E3E">
        <w:rPr>
          <w:rFonts w:ascii="Garamond" w:hAnsi="Garamond"/>
        </w:rPr>
        <w:t xml:space="preserve">.  A three year clearance is being requested.  </w:t>
      </w:r>
      <w:r w:rsidR="005445E7" w:rsidRPr="00330E3E">
        <w:rPr>
          <w:rFonts w:ascii="Garamond" w:hAnsi="Garamond"/>
        </w:rPr>
        <w:t xml:space="preserve">See the timeline in </w:t>
      </w:r>
      <w:r w:rsidR="005445E7" w:rsidRPr="00330E3E">
        <w:rPr>
          <w:rFonts w:ascii="Garamond" w:hAnsi="Garamond"/>
          <w:b/>
        </w:rPr>
        <w:t>Figure A.16-1</w:t>
      </w:r>
      <w:r w:rsidR="005445E7" w:rsidRPr="00330E3E">
        <w:rPr>
          <w:rFonts w:ascii="Garamond" w:hAnsi="Garamond"/>
        </w:rPr>
        <w:t xml:space="preserve"> for a detailed breakdown of the activities and time schedule.</w:t>
      </w:r>
    </w:p>
    <w:p w14:paraId="5D8B2F7D" w14:textId="77777777" w:rsidR="005445E7" w:rsidRPr="00330E3E" w:rsidRDefault="005445E7" w:rsidP="00351F65">
      <w:pPr>
        <w:rPr>
          <w:rFonts w:ascii="Garamond" w:hAnsi="Garamond"/>
        </w:rPr>
      </w:pPr>
    </w:p>
    <w:p w14:paraId="3FA9B690" w14:textId="77777777" w:rsidR="005445E7" w:rsidRPr="00561E88" w:rsidRDefault="005445E7" w:rsidP="00351F65">
      <w:pPr>
        <w:rPr>
          <w:rFonts w:ascii="Garamond" w:hAnsi="Garamond"/>
          <w:b/>
        </w:rPr>
      </w:pPr>
      <w:r w:rsidRPr="00561E88">
        <w:rPr>
          <w:rFonts w:ascii="Garamond" w:hAnsi="Garamond"/>
          <w:b/>
        </w:rPr>
        <w:t>Figure A.16-1: DASH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8"/>
        <w:gridCol w:w="3712"/>
      </w:tblGrid>
      <w:tr w:rsidR="00926148" w:rsidRPr="00561E88" w14:paraId="2AB4A4ED" w14:textId="77777777" w:rsidTr="00855D80">
        <w:tc>
          <w:tcPr>
            <w:tcW w:w="9350" w:type="dxa"/>
            <w:gridSpan w:val="2"/>
            <w:shd w:val="clear" w:color="auto" w:fill="000000" w:themeFill="text1"/>
          </w:tcPr>
          <w:p w14:paraId="6CCD83AF" w14:textId="77777777" w:rsidR="00926148" w:rsidRPr="00561E8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b/>
                <w:color w:val="FFFFFF" w:themeColor="background1"/>
              </w:rPr>
            </w:pPr>
            <w:r w:rsidRPr="00561E88">
              <w:rPr>
                <w:rFonts w:ascii="Garamond" w:hAnsi="Garamond"/>
                <w:b/>
                <w:color w:val="FFFFFF" w:themeColor="background1"/>
              </w:rPr>
              <w:t xml:space="preserve">Year </w:t>
            </w:r>
            <w:r w:rsidR="00703CBF" w:rsidRPr="00561E88">
              <w:rPr>
                <w:rFonts w:ascii="Garamond" w:hAnsi="Garamond"/>
                <w:b/>
                <w:color w:val="FFFFFF" w:themeColor="background1"/>
              </w:rPr>
              <w:t>5</w:t>
            </w:r>
            <w:r w:rsidRPr="00561E88">
              <w:rPr>
                <w:rFonts w:ascii="Garamond" w:hAnsi="Garamond"/>
                <w:b/>
                <w:color w:val="FFFFFF" w:themeColor="background1"/>
              </w:rPr>
              <w:t xml:space="preserve"> of FOA PS13-1308 (FY201</w:t>
            </w:r>
            <w:r w:rsidR="00DF794D" w:rsidRPr="00561E88">
              <w:rPr>
                <w:rFonts w:ascii="Garamond" w:hAnsi="Garamond"/>
                <w:b/>
                <w:color w:val="FFFFFF" w:themeColor="background1"/>
              </w:rPr>
              <w:t>6</w:t>
            </w:r>
            <w:r w:rsidRPr="00561E88">
              <w:rPr>
                <w:rFonts w:ascii="Garamond" w:hAnsi="Garamond"/>
                <w:b/>
                <w:color w:val="FFFFFF" w:themeColor="background1"/>
              </w:rPr>
              <w:t>) Data Collection</w:t>
            </w:r>
          </w:p>
          <w:p w14:paraId="2341B475"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561E88">
              <w:rPr>
                <w:rFonts w:ascii="Garamond" w:hAnsi="Garamond"/>
                <w:b/>
                <w:color w:val="FFFFFF" w:themeColor="background1"/>
              </w:rPr>
              <w:t>August 1, 201</w:t>
            </w:r>
            <w:r w:rsidR="00703CBF" w:rsidRPr="00561E88">
              <w:rPr>
                <w:rFonts w:ascii="Garamond" w:hAnsi="Garamond"/>
                <w:b/>
                <w:color w:val="FFFFFF" w:themeColor="background1"/>
              </w:rPr>
              <w:t>7</w:t>
            </w:r>
            <w:r w:rsidRPr="00561E88">
              <w:rPr>
                <w:rFonts w:ascii="Garamond" w:hAnsi="Garamond"/>
                <w:b/>
                <w:color w:val="FFFFFF" w:themeColor="background1"/>
              </w:rPr>
              <w:t xml:space="preserve"> – July 31, 201</w:t>
            </w:r>
            <w:r w:rsidR="00703CBF" w:rsidRPr="00561E88">
              <w:rPr>
                <w:rFonts w:ascii="Garamond" w:hAnsi="Garamond"/>
                <w:b/>
                <w:color w:val="FFFFFF" w:themeColor="background1"/>
              </w:rPr>
              <w:t>8</w:t>
            </w:r>
          </w:p>
        </w:tc>
      </w:tr>
      <w:tr w:rsidR="00926148" w:rsidRPr="00561E88" w14:paraId="692EC4BB" w14:textId="77777777" w:rsidTr="00855D80">
        <w:tc>
          <w:tcPr>
            <w:tcW w:w="9350" w:type="dxa"/>
            <w:gridSpan w:val="2"/>
            <w:shd w:val="clear" w:color="auto" w:fill="D9D9D9" w:themeFill="background1" w:themeFillShade="D9"/>
          </w:tcPr>
          <w:p w14:paraId="6F27E951" w14:textId="77777777" w:rsidR="00926148" w:rsidRPr="00561E8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First Period of Data Collection</w:t>
            </w:r>
          </w:p>
        </w:tc>
      </w:tr>
      <w:tr w:rsidR="00926148" w:rsidRPr="00561E88" w14:paraId="1C4E0E18" w14:textId="77777777" w:rsidTr="00855D80">
        <w:tc>
          <w:tcPr>
            <w:tcW w:w="5638" w:type="dxa"/>
          </w:tcPr>
          <w:p w14:paraId="423E20F6"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 xml:space="preserve">Open data collection system for </w:t>
            </w:r>
            <w:r w:rsidR="00703CBF" w:rsidRPr="00561E88">
              <w:rPr>
                <w:rFonts w:ascii="Garamond" w:hAnsi="Garamond"/>
              </w:rPr>
              <w:t>fifth</w:t>
            </w:r>
            <w:r w:rsidRPr="00561E88">
              <w:rPr>
                <w:rFonts w:ascii="Garamond" w:hAnsi="Garamond"/>
              </w:rPr>
              <w:t xml:space="preserve"> period of data collection in Year </w:t>
            </w:r>
            <w:r w:rsidR="00703CBF" w:rsidRPr="00561E88">
              <w:rPr>
                <w:rFonts w:ascii="Garamond" w:hAnsi="Garamond"/>
              </w:rPr>
              <w:t>5</w:t>
            </w:r>
            <w:r w:rsidRPr="00561E88">
              <w:rPr>
                <w:rFonts w:ascii="Garamond" w:hAnsi="Garamond"/>
              </w:rPr>
              <w:t xml:space="preserve">  (August 1, 201</w:t>
            </w:r>
            <w:r w:rsidR="00703CBF" w:rsidRPr="00561E88">
              <w:rPr>
                <w:rFonts w:ascii="Garamond" w:hAnsi="Garamond"/>
              </w:rPr>
              <w:t>7</w:t>
            </w:r>
            <w:r w:rsidRPr="00561E88">
              <w:rPr>
                <w:rFonts w:ascii="Garamond" w:hAnsi="Garamond"/>
              </w:rPr>
              <w:t xml:space="preserve"> – January 31, 201</w:t>
            </w:r>
            <w:r w:rsidR="00703CBF" w:rsidRPr="00561E88">
              <w:rPr>
                <w:rFonts w:ascii="Garamond" w:hAnsi="Garamond"/>
              </w:rPr>
              <w:t>8</w:t>
            </w:r>
            <w:r w:rsidRPr="00561E88">
              <w:rPr>
                <w:rFonts w:ascii="Garamond" w:hAnsi="Garamond"/>
              </w:rPr>
              <w:t>)</w:t>
            </w:r>
          </w:p>
        </w:tc>
        <w:tc>
          <w:tcPr>
            <w:tcW w:w="3712" w:type="dxa"/>
          </w:tcPr>
          <w:p w14:paraId="64834DD7" w14:textId="77777777" w:rsidR="00926148" w:rsidRPr="00561E88" w:rsidRDefault="00703CBF"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October 1, 2017</w:t>
            </w:r>
          </w:p>
        </w:tc>
      </w:tr>
      <w:tr w:rsidR="00926148" w:rsidRPr="00561E88" w14:paraId="4018D1A3" w14:textId="77777777" w:rsidTr="00855D80">
        <w:tc>
          <w:tcPr>
            <w:tcW w:w="5638" w:type="dxa"/>
          </w:tcPr>
          <w:p w14:paraId="797F7227"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 xml:space="preserve">Collect data via web-based system for </w:t>
            </w:r>
            <w:r w:rsidR="00703CBF" w:rsidRPr="00561E88">
              <w:rPr>
                <w:rFonts w:ascii="Garamond" w:hAnsi="Garamond"/>
              </w:rPr>
              <w:t>fifth</w:t>
            </w:r>
            <w:r w:rsidRPr="00561E88">
              <w:rPr>
                <w:rFonts w:ascii="Garamond" w:hAnsi="Garamond"/>
              </w:rPr>
              <w:t xml:space="preserve"> period</w:t>
            </w:r>
            <w:r w:rsidR="00764674" w:rsidRPr="00561E88">
              <w:rPr>
                <w:rFonts w:ascii="Garamond" w:hAnsi="Garamond"/>
              </w:rPr>
              <w:t xml:space="preserve"> (</w:t>
            </w:r>
            <w:r w:rsidR="00703CBF" w:rsidRPr="00561E88">
              <w:rPr>
                <w:rFonts w:ascii="Garamond" w:hAnsi="Garamond"/>
              </w:rPr>
              <w:t>October</w:t>
            </w:r>
            <w:r w:rsidR="00764674" w:rsidRPr="00561E88">
              <w:rPr>
                <w:rFonts w:ascii="Garamond" w:hAnsi="Garamond"/>
              </w:rPr>
              <w:t xml:space="preserve"> </w:t>
            </w:r>
            <w:r w:rsidR="00703CBF" w:rsidRPr="00561E88">
              <w:rPr>
                <w:rFonts w:ascii="Garamond" w:hAnsi="Garamond"/>
              </w:rPr>
              <w:t>1</w:t>
            </w:r>
            <w:r w:rsidR="00764674" w:rsidRPr="00561E88">
              <w:rPr>
                <w:rFonts w:ascii="Garamond" w:hAnsi="Garamond"/>
              </w:rPr>
              <w:t>, 201</w:t>
            </w:r>
            <w:r w:rsidR="00703CBF" w:rsidRPr="00561E88">
              <w:rPr>
                <w:rFonts w:ascii="Garamond" w:hAnsi="Garamond"/>
              </w:rPr>
              <w:t>7</w:t>
            </w:r>
            <w:r w:rsidR="00764674" w:rsidRPr="00561E88">
              <w:rPr>
                <w:rFonts w:ascii="Garamond" w:hAnsi="Garamond"/>
              </w:rPr>
              <w:t xml:space="preserve"> –  January 31, 201</w:t>
            </w:r>
            <w:r w:rsidR="00703CBF" w:rsidRPr="00561E88">
              <w:rPr>
                <w:rFonts w:ascii="Garamond" w:hAnsi="Garamond"/>
              </w:rPr>
              <w:t>8</w:t>
            </w:r>
            <w:r w:rsidR="00764674" w:rsidRPr="00561E88">
              <w:rPr>
                <w:rFonts w:ascii="Garamond" w:hAnsi="Garamond"/>
              </w:rPr>
              <w:t>)</w:t>
            </w:r>
          </w:p>
        </w:tc>
        <w:tc>
          <w:tcPr>
            <w:tcW w:w="3712" w:type="dxa"/>
          </w:tcPr>
          <w:p w14:paraId="294B2E4B" w14:textId="77777777" w:rsidR="00926148" w:rsidRPr="00561E8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14:paraId="443BAAEB" w14:textId="77777777" w:rsidR="00764674" w:rsidRPr="00561E88" w:rsidRDefault="00764674"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February 1-28, 201</w:t>
            </w:r>
            <w:r w:rsidR="00703CBF" w:rsidRPr="00561E88">
              <w:rPr>
                <w:rFonts w:ascii="Garamond" w:hAnsi="Garamond"/>
              </w:rPr>
              <w:t>8</w:t>
            </w:r>
          </w:p>
        </w:tc>
      </w:tr>
      <w:tr w:rsidR="00926148" w:rsidRPr="00561E88" w14:paraId="53EAF765" w14:textId="77777777" w:rsidTr="00855D80">
        <w:trPr>
          <w:trHeight w:val="338"/>
        </w:trPr>
        <w:tc>
          <w:tcPr>
            <w:tcW w:w="5638" w:type="dxa"/>
          </w:tcPr>
          <w:p w14:paraId="132F3302" w14:textId="77777777" w:rsidR="00926148" w:rsidRPr="00561E8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Questionnaire submission deadline (staff can enter data for the first period up to 30 days after the data collection period closes)</w:t>
            </w:r>
          </w:p>
        </w:tc>
        <w:tc>
          <w:tcPr>
            <w:tcW w:w="3712" w:type="dxa"/>
          </w:tcPr>
          <w:p w14:paraId="14C49092"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March 1, 201</w:t>
            </w:r>
            <w:r w:rsidR="00703CBF" w:rsidRPr="00561E88">
              <w:rPr>
                <w:rFonts w:ascii="Garamond" w:hAnsi="Garamond"/>
              </w:rPr>
              <w:t>8</w:t>
            </w:r>
          </w:p>
        </w:tc>
      </w:tr>
      <w:tr w:rsidR="00926148" w:rsidRPr="00561E88" w14:paraId="4435C55A" w14:textId="77777777" w:rsidTr="00855D80">
        <w:trPr>
          <w:trHeight w:val="338"/>
        </w:trPr>
        <w:tc>
          <w:tcPr>
            <w:tcW w:w="5638" w:type="dxa"/>
          </w:tcPr>
          <w:p w14:paraId="7821CD08" w14:textId="77777777" w:rsidR="00926148" w:rsidRPr="00561E8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 xml:space="preserve">Analyze data and compile reports for first period.  </w:t>
            </w:r>
          </w:p>
        </w:tc>
        <w:tc>
          <w:tcPr>
            <w:tcW w:w="3712" w:type="dxa"/>
          </w:tcPr>
          <w:p w14:paraId="43C3A8F6"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April 1, 201</w:t>
            </w:r>
            <w:r w:rsidR="00703CBF" w:rsidRPr="00561E88">
              <w:rPr>
                <w:rFonts w:ascii="Garamond" w:hAnsi="Garamond"/>
              </w:rPr>
              <w:t>8</w:t>
            </w:r>
          </w:p>
        </w:tc>
      </w:tr>
      <w:tr w:rsidR="00926148" w:rsidRPr="00561E88" w14:paraId="164AB986" w14:textId="77777777" w:rsidTr="00855D80">
        <w:trPr>
          <w:trHeight w:val="338"/>
        </w:trPr>
        <w:tc>
          <w:tcPr>
            <w:tcW w:w="9350" w:type="dxa"/>
            <w:gridSpan w:val="2"/>
            <w:shd w:val="clear" w:color="auto" w:fill="D9D9D9" w:themeFill="background1" w:themeFillShade="D9"/>
          </w:tcPr>
          <w:p w14:paraId="5DE0DB52" w14:textId="77777777" w:rsidR="00926148" w:rsidRPr="00561E8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Second Period of Data Collection</w:t>
            </w:r>
          </w:p>
        </w:tc>
      </w:tr>
      <w:tr w:rsidR="00926148" w:rsidRPr="00561E88" w14:paraId="17505367" w14:textId="77777777" w:rsidTr="00855D80">
        <w:trPr>
          <w:trHeight w:val="338"/>
        </w:trPr>
        <w:tc>
          <w:tcPr>
            <w:tcW w:w="5638" w:type="dxa"/>
          </w:tcPr>
          <w:p w14:paraId="4BBC1043"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 xml:space="preserve">Open data collection system for second period of data collection in Year </w:t>
            </w:r>
            <w:r w:rsidR="00703CBF" w:rsidRPr="00561E88">
              <w:rPr>
                <w:rFonts w:ascii="Garamond" w:hAnsi="Garamond"/>
              </w:rPr>
              <w:t>5</w:t>
            </w:r>
            <w:r w:rsidRPr="00561E88">
              <w:rPr>
                <w:rFonts w:ascii="Garamond" w:hAnsi="Garamond"/>
              </w:rPr>
              <w:t xml:space="preserve">  (February 1, 201</w:t>
            </w:r>
            <w:r w:rsidR="00703CBF" w:rsidRPr="00561E88">
              <w:rPr>
                <w:rFonts w:ascii="Garamond" w:hAnsi="Garamond"/>
              </w:rPr>
              <w:t>8</w:t>
            </w:r>
            <w:r w:rsidRPr="00561E88">
              <w:rPr>
                <w:rFonts w:ascii="Garamond" w:hAnsi="Garamond"/>
              </w:rPr>
              <w:t xml:space="preserve"> – July 31, 201</w:t>
            </w:r>
            <w:r w:rsidR="00703CBF" w:rsidRPr="00561E88">
              <w:rPr>
                <w:rFonts w:ascii="Garamond" w:hAnsi="Garamond"/>
              </w:rPr>
              <w:t>8</w:t>
            </w:r>
            <w:r w:rsidRPr="00561E88">
              <w:rPr>
                <w:rFonts w:ascii="Garamond" w:hAnsi="Garamond"/>
              </w:rPr>
              <w:t>)</w:t>
            </w:r>
          </w:p>
        </w:tc>
        <w:tc>
          <w:tcPr>
            <w:tcW w:w="3712" w:type="dxa"/>
          </w:tcPr>
          <w:p w14:paraId="08C8B83B"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March 2, 201</w:t>
            </w:r>
            <w:r w:rsidR="00703CBF" w:rsidRPr="00561E88">
              <w:rPr>
                <w:rFonts w:ascii="Garamond" w:hAnsi="Garamond"/>
              </w:rPr>
              <w:t>8</w:t>
            </w:r>
          </w:p>
        </w:tc>
      </w:tr>
      <w:tr w:rsidR="00926148" w:rsidRPr="00561E88" w14:paraId="5F5B5854" w14:textId="77777777" w:rsidTr="00855D80">
        <w:trPr>
          <w:trHeight w:val="338"/>
        </w:trPr>
        <w:tc>
          <w:tcPr>
            <w:tcW w:w="5638" w:type="dxa"/>
          </w:tcPr>
          <w:p w14:paraId="7F9C5115"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Collect data via web-based syste</w:t>
            </w:r>
            <w:r w:rsidR="00703CBF" w:rsidRPr="00561E88">
              <w:rPr>
                <w:rFonts w:ascii="Garamond" w:hAnsi="Garamond"/>
              </w:rPr>
              <w:t>m</w:t>
            </w:r>
            <w:r w:rsidR="00764674" w:rsidRPr="00561E88">
              <w:rPr>
                <w:rFonts w:ascii="Garamond" w:hAnsi="Garamond"/>
              </w:rPr>
              <w:t xml:space="preserve"> for period (March 2, 201</w:t>
            </w:r>
            <w:r w:rsidR="00703CBF" w:rsidRPr="00561E88">
              <w:rPr>
                <w:rFonts w:ascii="Garamond" w:hAnsi="Garamond"/>
              </w:rPr>
              <w:t>8</w:t>
            </w:r>
            <w:r w:rsidR="00764674" w:rsidRPr="00561E88">
              <w:rPr>
                <w:rFonts w:ascii="Garamond" w:hAnsi="Garamond"/>
              </w:rPr>
              <w:t xml:space="preserve"> – July 31, 201</w:t>
            </w:r>
            <w:r w:rsidR="00703CBF" w:rsidRPr="00561E88">
              <w:rPr>
                <w:rFonts w:ascii="Garamond" w:hAnsi="Garamond"/>
              </w:rPr>
              <w:t>8</w:t>
            </w:r>
            <w:r w:rsidR="00764674" w:rsidRPr="00561E88">
              <w:rPr>
                <w:rFonts w:ascii="Garamond" w:hAnsi="Garamond"/>
              </w:rPr>
              <w:t>)</w:t>
            </w:r>
          </w:p>
        </w:tc>
        <w:tc>
          <w:tcPr>
            <w:tcW w:w="3712" w:type="dxa"/>
          </w:tcPr>
          <w:p w14:paraId="2ADF9B73" w14:textId="77777777" w:rsidR="00926148" w:rsidRPr="00561E88" w:rsidRDefault="00764674"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 xml:space="preserve"> August 1-31, 201</w:t>
            </w:r>
            <w:r w:rsidR="00703CBF" w:rsidRPr="00561E88">
              <w:rPr>
                <w:rFonts w:ascii="Garamond" w:hAnsi="Garamond"/>
              </w:rPr>
              <w:t>8</w:t>
            </w:r>
          </w:p>
        </w:tc>
      </w:tr>
      <w:tr w:rsidR="00926148" w:rsidRPr="00561E88" w14:paraId="52E8416E" w14:textId="77777777" w:rsidTr="00855D80">
        <w:trPr>
          <w:trHeight w:val="338"/>
        </w:trPr>
        <w:tc>
          <w:tcPr>
            <w:tcW w:w="5638" w:type="dxa"/>
          </w:tcPr>
          <w:p w14:paraId="4E586847" w14:textId="77777777" w:rsidR="00926148" w:rsidRPr="00561E8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Questionnaire submission deadline.</w:t>
            </w:r>
          </w:p>
        </w:tc>
        <w:tc>
          <w:tcPr>
            <w:tcW w:w="3712" w:type="dxa"/>
          </w:tcPr>
          <w:p w14:paraId="30A55CDC" w14:textId="77777777" w:rsidR="00926148" w:rsidRPr="00561E88" w:rsidRDefault="00926148"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September 1, 201</w:t>
            </w:r>
            <w:r w:rsidR="00703CBF" w:rsidRPr="00561E88">
              <w:rPr>
                <w:rFonts w:ascii="Garamond" w:hAnsi="Garamond"/>
              </w:rPr>
              <w:t>8</w:t>
            </w:r>
          </w:p>
        </w:tc>
      </w:tr>
      <w:tr w:rsidR="00926148" w:rsidRPr="00330E3E" w14:paraId="124B2259" w14:textId="77777777" w:rsidTr="00855D80">
        <w:tc>
          <w:tcPr>
            <w:tcW w:w="5638" w:type="dxa"/>
          </w:tcPr>
          <w:p w14:paraId="33230D2D" w14:textId="77777777" w:rsidR="00926148" w:rsidRPr="00561E8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Analyze data and compile reports for second period.</w:t>
            </w:r>
          </w:p>
        </w:tc>
        <w:tc>
          <w:tcPr>
            <w:tcW w:w="3712" w:type="dxa"/>
          </w:tcPr>
          <w:p w14:paraId="62BD469F" w14:textId="77777777" w:rsidR="00926148" w:rsidRPr="00330E3E" w:rsidRDefault="00703CBF" w:rsidP="00703C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561E88">
              <w:rPr>
                <w:rFonts w:ascii="Garamond" w:hAnsi="Garamond"/>
              </w:rPr>
              <w:t>November</w:t>
            </w:r>
            <w:r w:rsidR="00926148" w:rsidRPr="00561E88">
              <w:rPr>
                <w:rFonts w:ascii="Garamond" w:hAnsi="Garamond"/>
              </w:rPr>
              <w:t xml:space="preserve"> 31, 201</w:t>
            </w:r>
            <w:r w:rsidRPr="00561E88">
              <w:rPr>
                <w:rFonts w:ascii="Garamond" w:hAnsi="Garamond"/>
              </w:rPr>
              <w:t>8</w:t>
            </w:r>
          </w:p>
        </w:tc>
      </w:tr>
    </w:tbl>
    <w:p w14:paraId="677168FA" w14:textId="77777777" w:rsidR="005445E7" w:rsidRPr="00330E3E" w:rsidRDefault="005445E7" w:rsidP="00351F65">
      <w:pPr>
        <w:rPr>
          <w:rFonts w:ascii="Garamond" w:hAnsi="Garamond"/>
          <w:b/>
        </w:rPr>
      </w:pPr>
    </w:p>
    <w:p w14:paraId="04D524F4" w14:textId="77777777" w:rsidR="00271B75" w:rsidRPr="00330E3E" w:rsidRDefault="00E4005C" w:rsidP="000F4788">
      <w:pPr>
        <w:rPr>
          <w:rFonts w:ascii="Garamond" w:eastAsia="Calibri" w:hAnsi="Garamond"/>
        </w:rPr>
      </w:pPr>
      <w:r w:rsidRPr="00330E3E">
        <w:rPr>
          <w:rFonts w:ascii="Garamond" w:eastAsia="Calibri" w:hAnsi="Garamond"/>
        </w:rPr>
        <w:t xml:space="preserve">Karna, LLC, in partnership with DASH and funded agencies, will develop annual site-specific performance measurement reports to be used for program monitoring and quality improvement, and annual, aggregate performance measurement reports to be disseminated to funded agencies and other key stakeholders. DASH will use overall </w:t>
      </w:r>
      <w:r w:rsidR="00111BD7">
        <w:rPr>
          <w:rFonts w:ascii="Garamond" w:eastAsia="Calibri" w:hAnsi="Garamond"/>
        </w:rPr>
        <w:t>program improvement</w:t>
      </w:r>
      <w:r w:rsidR="00111BD7" w:rsidRPr="00330E3E">
        <w:rPr>
          <w:rFonts w:ascii="Garamond" w:eastAsia="Calibri" w:hAnsi="Garamond"/>
        </w:rPr>
        <w:t xml:space="preserve"> </w:t>
      </w:r>
      <w:r w:rsidRPr="00330E3E">
        <w:rPr>
          <w:rFonts w:ascii="Garamond" w:eastAsia="Calibri" w:hAnsi="Garamond"/>
        </w:rPr>
        <w:t xml:space="preserve">findings during the project period to establish key recommendations for partners on program impact, sustainability, and continued program improvement. </w:t>
      </w:r>
    </w:p>
    <w:p w14:paraId="7FF747DA" w14:textId="77777777" w:rsidR="00B6728A" w:rsidRPr="00330E3E" w:rsidRDefault="00E4005C" w:rsidP="001E7CA7">
      <w:pPr>
        <w:pStyle w:val="Heading1"/>
        <w:numPr>
          <w:ilvl w:val="0"/>
          <w:numId w:val="15"/>
        </w:numPr>
        <w:rPr>
          <w:rFonts w:ascii="Garamond" w:hAnsi="Garamond"/>
          <w:szCs w:val="24"/>
        </w:rPr>
      </w:pPr>
      <w:bookmarkStart w:id="33" w:name="_Toc383603863"/>
      <w:r w:rsidRPr="00330E3E">
        <w:rPr>
          <w:rFonts w:ascii="Garamond" w:hAnsi="Garamond"/>
          <w:szCs w:val="24"/>
        </w:rPr>
        <w:t>Reason(s) Display of OMB Expiration Date is Inappropriate</w:t>
      </w:r>
      <w:bookmarkEnd w:id="33"/>
      <w:r w:rsidRPr="00330E3E">
        <w:rPr>
          <w:rFonts w:ascii="Garamond" w:hAnsi="Garamond"/>
          <w:szCs w:val="24"/>
        </w:rPr>
        <w:t xml:space="preserve">  </w:t>
      </w:r>
    </w:p>
    <w:p w14:paraId="4C8C84A2" w14:textId="77777777" w:rsidR="003C046F" w:rsidRPr="00330E3E" w:rsidRDefault="00E4005C" w:rsidP="000F4788">
      <w:pPr>
        <w:rPr>
          <w:rFonts w:ascii="Garamond" w:hAnsi="Garamond"/>
        </w:rPr>
      </w:pPr>
      <w:r w:rsidRPr="00330E3E">
        <w:rPr>
          <w:rFonts w:ascii="Garamond" w:hAnsi="Garamond"/>
        </w:rPr>
        <w:t xml:space="preserve">Not applicable. All data collection instruments will display the expiration date for OMB approval of the information collection. </w:t>
      </w:r>
    </w:p>
    <w:p w14:paraId="45C9203B" w14:textId="77777777" w:rsidR="00B6728A" w:rsidRPr="00330E3E" w:rsidRDefault="00E4005C" w:rsidP="001E7CA7">
      <w:pPr>
        <w:pStyle w:val="Heading1"/>
        <w:numPr>
          <w:ilvl w:val="0"/>
          <w:numId w:val="15"/>
        </w:numPr>
        <w:rPr>
          <w:rFonts w:ascii="Garamond" w:hAnsi="Garamond"/>
          <w:szCs w:val="24"/>
        </w:rPr>
      </w:pPr>
      <w:bookmarkStart w:id="34" w:name="_Toc383603864"/>
      <w:r w:rsidRPr="00330E3E">
        <w:rPr>
          <w:rFonts w:ascii="Garamond" w:hAnsi="Garamond"/>
          <w:szCs w:val="24"/>
        </w:rPr>
        <w:t>Exceptions to Certification for Paperwork Reduction Act Submissions</w:t>
      </w:r>
      <w:bookmarkEnd w:id="34"/>
      <w:r w:rsidRPr="00330E3E">
        <w:rPr>
          <w:rFonts w:ascii="Garamond" w:hAnsi="Garamond"/>
          <w:szCs w:val="24"/>
        </w:rPr>
        <w:t xml:space="preserve">  </w:t>
      </w:r>
    </w:p>
    <w:p w14:paraId="4FE6480E" w14:textId="77777777" w:rsidR="005B3430" w:rsidRPr="00330E3E" w:rsidRDefault="00E4005C" w:rsidP="000F4788">
      <w:pPr>
        <w:rPr>
          <w:rFonts w:ascii="Garamond" w:hAnsi="Garamond"/>
        </w:rPr>
      </w:pPr>
      <w:r w:rsidRPr="00330E3E">
        <w:rPr>
          <w:rFonts w:ascii="Garamond" w:hAnsi="Garamond"/>
        </w:rPr>
        <w:t>Not applicable. No exceptions to the certification statement are being sought.</w:t>
      </w:r>
    </w:p>
    <w:sectPr w:rsidR="005B3430" w:rsidRPr="00330E3E" w:rsidSect="006C753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3CDBA" w14:textId="77777777" w:rsidR="000F4788" w:rsidRDefault="000F4788" w:rsidP="00036B1E">
      <w:r>
        <w:separator/>
      </w:r>
    </w:p>
    <w:p w14:paraId="7938321B" w14:textId="77777777" w:rsidR="000F4788" w:rsidRDefault="000F4788" w:rsidP="00036B1E"/>
    <w:p w14:paraId="7BE73855" w14:textId="77777777" w:rsidR="000F4788" w:rsidRDefault="000F4788" w:rsidP="00036B1E"/>
    <w:p w14:paraId="7068FEE6" w14:textId="77777777" w:rsidR="000F4788" w:rsidRDefault="000F4788" w:rsidP="00036B1E"/>
    <w:p w14:paraId="0707BEA9" w14:textId="77777777" w:rsidR="000F4788" w:rsidRDefault="000F4788" w:rsidP="00036B1E"/>
  </w:endnote>
  <w:endnote w:type="continuationSeparator" w:id="0">
    <w:p w14:paraId="1B0E9AC1" w14:textId="77777777" w:rsidR="000F4788" w:rsidRDefault="000F4788" w:rsidP="00036B1E">
      <w:r>
        <w:continuationSeparator/>
      </w:r>
    </w:p>
    <w:p w14:paraId="1A53ACB7" w14:textId="77777777" w:rsidR="000F4788" w:rsidRDefault="000F4788" w:rsidP="00036B1E"/>
    <w:p w14:paraId="1715B0B7" w14:textId="77777777" w:rsidR="000F4788" w:rsidRDefault="000F4788" w:rsidP="00036B1E"/>
    <w:p w14:paraId="362913DA" w14:textId="77777777" w:rsidR="000F4788" w:rsidRDefault="000F4788" w:rsidP="00036B1E"/>
    <w:p w14:paraId="60EB74F3" w14:textId="77777777" w:rsidR="000F4788" w:rsidRDefault="000F4788" w:rsidP="00036B1E"/>
  </w:endnote>
  <w:endnote w:type="continuationNotice" w:id="1">
    <w:p w14:paraId="605DE904" w14:textId="77777777" w:rsidR="000F4788" w:rsidRDefault="000F47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8FCCD" w14:textId="2EDE423A" w:rsidR="000F4788" w:rsidRDefault="000F4788" w:rsidP="00D0034A">
    <w:pPr>
      <w:pStyle w:val="Footer"/>
    </w:pPr>
    <w:r>
      <w:fldChar w:fldCharType="begin"/>
    </w:r>
    <w:r>
      <w:instrText xml:space="preserve"> PAGE   \* MERGEFORMAT </w:instrText>
    </w:r>
    <w:r>
      <w:fldChar w:fldCharType="separate"/>
    </w:r>
    <w:r w:rsidR="000F740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BCF47" w14:textId="77777777" w:rsidR="000F4788" w:rsidRDefault="000F4788" w:rsidP="00036B1E">
      <w:r>
        <w:separator/>
      </w:r>
    </w:p>
  </w:footnote>
  <w:footnote w:type="continuationSeparator" w:id="0">
    <w:p w14:paraId="389297B7" w14:textId="77777777" w:rsidR="000F4788" w:rsidRDefault="000F4788" w:rsidP="00036B1E">
      <w:r>
        <w:continuationSeparator/>
      </w:r>
    </w:p>
    <w:p w14:paraId="6AD3109C" w14:textId="77777777" w:rsidR="000F4788" w:rsidRDefault="000F4788" w:rsidP="00036B1E"/>
    <w:p w14:paraId="3E31154D" w14:textId="77777777" w:rsidR="000F4788" w:rsidRDefault="000F4788" w:rsidP="00036B1E"/>
    <w:p w14:paraId="7C0B02B6" w14:textId="77777777" w:rsidR="000F4788" w:rsidRDefault="000F4788" w:rsidP="00036B1E"/>
    <w:p w14:paraId="4D73F4DB" w14:textId="77777777" w:rsidR="000F4788" w:rsidRDefault="000F4788" w:rsidP="00036B1E"/>
  </w:footnote>
  <w:footnote w:type="continuationNotice" w:id="1">
    <w:p w14:paraId="62ED308E" w14:textId="77777777" w:rsidR="000F4788" w:rsidRDefault="000F4788">
      <w:pPr>
        <w:spacing w:line="240" w:lineRule="auto"/>
      </w:pPr>
    </w:p>
  </w:footnote>
  <w:footnote w:id="2">
    <w:p w14:paraId="094C36E2" w14:textId="77777777" w:rsidR="000F4788" w:rsidRPr="00813A66" w:rsidRDefault="000F4788" w:rsidP="006910AF">
      <w:pPr>
        <w:pStyle w:val="Default"/>
        <w:rPr>
          <w:rFonts w:ascii="Times New Roman" w:eastAsia="Calibri" w:hAnsi="Times New Roman" w:cs="Times New Roman"/>
          <w:sz w:val="20"/>
          <w:szCs w:val="20"/>
        </w:rPr>
      </w:pPr>
      <w:r w:rsidRPr="00813A66">
        <w:rPr>
          <w:rStyle w:val="FootnoteReference"/>
          <w:rFonts w:ascii="Times New Roman" w:hAnsi="Times New Roman" w:cs="Times New Roman"/>
          <w:sz w:val="20"/>
          <w:szCs w:val="20"/>
          <w:vertAlign w:val="superscript"/>
        </w:rPr>
        <w:footnoteRef/>
      </w:r>
      <w:r w:rsidRPr="00813A66">
        <w:rPr>
          <w:rFonts w:ascii="Times New Roman" w:hAnsi="Times New Roman" w:cs="Times New Roman"/>
          <w:sz w:val="20"/>
          <w:szCs w:val="20"/>
          <w:vertAlign w:val="superscript"/>
        </w:rPr>
        <w:t xml:space="preserve"> </w:t>
      </w:r>
      <w:r w:rsidRPr="00813A66">
        <w:rPr>
          <w:rFonts w:ascii="Times New Roman" w:eastAsia="Calibri" w:hAnsi="Times New Roman" w:cs="Times New Roman"/>
          <w:sz w:val="20"/>
          <w:szCs w:val="20"/>
        </w:rPr>
        <w:t xml:space="preserve">National Prevention Council, </w:t>
      </w:r>
      <w:r w:rsidRPr="00813A66">
        <w:rPr>
          <w:rFonts w:ascii="Times New Roman" w:eastAsia="Calibri" w:hAnsi="Times New Roman" w:cs="Times New Roman"/>
          <w:i/>
          <w:iCs/>
          <w:sz w:val="20"/>
          <w:szCs w:val="20"/>
        </w:rPr>
        <w:t>National Prevention Strategy</w:t>
      </w:r>
      <w:r w:rsidRPr="00813A66">
        <w:rPr>
          <w:rFonts w:ascii="Times New Roman" w:eastAsia="Calibri" w:hAnsi="Times New Roman" w:cs="Times New Roman"/>
          <w:sz w:val="20"/>
          <w:szCs w:val="20"/>
        </w:rPr>
        <w:t xml:space="preserve">, Washington, DC: U.S. Department of Health and Human Services, Office of the Surgeon General, 2011(http://www.healthcare.gov/prevention/nphpphc/strategy/report.pdf). </w:t>
      </w:r>
    </w:p>
  </w:footnote>
  <w:footnote w:id="3">
    <w:p w14:paraId="4BE22E87" w14:textId="77777777" w:rsidR="000F4788" w:rsidRPr="002812A6" w:rsidRDefault="000F4788" w:rsidP="006910AF">
      <w:pPr>
        <w:pStyle w:val="Default"/>
        <w:rPr>
          <w:rFonts w:ascii="Times New Roman" w:eastAsia="Calibri" w:hAnsi="Times New Roman" w:cs="Times New Roman"/>
          <w:sz w:val="20"/>
          <w:szCs w:val="20"/>
        </w:rPr>
      </w:pPr>
      <w:r w:rsidRPr="00813A66">
        <w:rPr>
          <w:rStyle w:val="FootnoteReference"/>
          <w:rFonts w:ascii="Times New Roman" w:hAnsi="Times New Roman" w:cs="Times New Roman"/>
          <w:sz w:val="20"/>
          <w:szCs w:val="20"/>
          <w:vertAlign w:val="superscript"/>
        </w:rPr>
        <w:footnoteRef/>
      </w:r>
      <w:r w:rsidRPr="00813A66">
        <w:rPr>
          <w:rFonts w:ascii="Times New Roman" w:hAnsi="Times New Roman" w:cs="Times New Roman"/>
          <w:sz w:val="20"/>
          <w:szCs w:val="20"/>
          <w:vertAlign w:val="superscript"/>
        </w:rPr>
        <w:t xml:space="preserve"> </w:t>
      </w:r>
      <w:r w:rsidRPr="00813A66">
        <w:rPr>
          <w:rFonts w:ascii="Times New Roman" w:eastAsia="Calibri" w:hAnsi="Times New Roman" w:cs="Times New Roman"/>
          <w:sz w:val="20"/>
          <w:szCs w:val="20"/>
        </w:rPr>
        <w:t>Office of Adolescent Health. Teen Pregnancy Prevention Initiative. Available at http://www.hhs.gov/ash/oah/oah-initiatives/tpp/index.html. Accessed October 22, 2012.</w:t>
      </w:r>
      <w:r>
        <w:rPr>
          <w:rFonts w:ascii="Times New Roman" w:eastAsia="Calibri" w:hAnsi="Times New Roman" w:cs="Times New Roman"/>
          <w:sz w:val="20"/>
          <w:szCs w:val="20"/>
        </w:rPr>
        <w:t xml:space="preserve"> </w:t>
      </w:r>
    </w:p>
  </w:footnote>
  <w:footnote w:id="4">
    <w:p w14:paraId="3F1FD440" w14:textId="77777777" w:rsidR="000F4788" w:rsidRPr="00231F71" w:rsidRDefault="000F4788" w:rsidP="006910AF">
      <w:pPr>
        <w:pStyle w:val="Default"/>
        <w:rPr>
          <w:rFonts w:ascii="Times New Roman" w:eastAsia="Calibri" w:hAnsi="Times New Roman" w:cs="Times New Roman"/>
          <w:sz w:val="20"/>
          <w:szCs w:val="20"/>
        </w:rPr>
      </w:pPr>
      <w:r w:rsidRPr="00231F71">
        <w:rPr>
          <w:rStyle w:val="FootnoteReference"/>
          <w:rFonts w:ascii="Times New Roman" w:hAnsi="Times New Roman" w:cs="Times New Roman"/>
          <w:sz w:val="20"/>
          <w:szCs w:val="20"/>
          <w:vertAlign w:val="superscript"/>
        </w:rPr>
        <w:footnoteRef/>
      </w:r>
      <w:r w:rsidRPr="00231F71">
        <w:rPr>
          <w:rFonts w:ascii="Times New Roman" w:hAnsi="Times New Roman" w:cs="Times New Roman"/>
          <w:sz w:val="20"/>
          <w:szCs w:val="20"/>
        </w:rPr>
        <w:t xml:space="preserve"> </w:t>
      </w:r>
      <w:r w:rsidRPr="00231F71">
        <w:rPr>
          <w:rFonts w:ascii="Times New Roman" w:eastAsia="Calibri" w:hAnsi="Times New Roman" w:cs="Times New Roman"/>
          <w:sz w:val="20"/>
          <w:szCs w:val="20"/>
        </w:rPr>
        <w:t xml:space="preserve">Centers for Disease Control and Prevention. Establishing a Holistic Framework to Reduce Inequities in HIV, Viral Hepatitis, STDs, and Tuberculosis in the United States. Atlanta (GA): U.S. Department of Health and Human Services, Centers for Disease Control and Prevention; October 2010 (www.healthypeople.gov/hp2020/advisory/phaseI/glossary.htm and www.cdc.gov/socialdeterminants/docs/SDH-White-Paper-2010.pdf). </w:t>
      </w:r>
    </w:p>
  </w:footnote>
  <w:footnote w:id="5">
    <w:p w14:paraId="431E619C" w14:textId="77777777" w:rsidR="000F4788" w:rsidRPr="00231F71" w:rsidRDefault="000F4788" w:rsidP="00231F71">
      <w:pPr>
        <w:pStyle w:val="Default"/>
        <w:rPr>
          <w:rFonts w:ascii="Times New Roman" w:eastAsia="Calibri" w:hAnsi="Times New Roman" w:cs="Times New Roman"/>
          <w:sz w:val="20"/>
          <w:szCs w:val="20"/>
        </w:rPr>
      </w:pPr>
      <w:r w:rsidRPr="00231F71">
        <w:rPr>
          <w:rStyle w:val="FootnoteReference"/>
          <w:rFonts w:ascii="Times New Roman" w:hAnsi="Times New Roman" w:cs="Times New Roman"/>
          <w:sz w:val="20"/>
          <w:szCs w:val="20"/>
          <w:vertAlign w:val="superscript"/>
        </w:rPr>
        <w:footnoteRef/>
      </w:r>
      <w:r w:rsidRPr="00231F71">
        <w:rPr>
          <w:rFonts w:ascii="Times New Roman" w:hAnsi="Times New Roman" w:cs="Times New Roman"/>
          <w:sz w:val="20"/>
          <w:szCs w:val="20"/>
          <w:vertAlign w:val="superscript"/>
        </w:rPr>
        <w:t xml:space="preserve"> </w:t>
      </w:r>
      <w:r w:rsidRPr="00231F71">
        <w:rPr>
          <w:rFonts w:ascii="Times New Roman" w:eastAsia="Calibri" w:hAnsi="Times New Roman" w:cs="Times New Roman"/>
          <w:sz w:val="20"/>
          <w:szCs w:val="20"/>
        </w:rPr>
        <w:t xml:space="preserve">Centers for Disease Control and Prevention. Winnable Battles. Available at http://www.cdc.gov/winnablebattles. Accessed October 22, 2012. </w:t>
      </w:r>
    </w:p>
    <w:p w14:paraId="7F9366A6" w14:textId="77777777" w:rsidR="000F4788" w:rsidRPr="00231F71" w:rsidRDefault="000F4788" w:rsidP="00505EED">
      <w:pPr>
        <w:pStyle w:val="FootnoteText"/>
        <w:rPr>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B74782"/>
    <w:multiLevelType w:val="hybridMultilevel"/>
    <w:tmpl w:val="8DB01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C8712E"/>
    <w:multiLevelType w:val="hybridMultilevel"/>
    <w:tmpl w:val="DE482A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nsid w:val="41D00BF2"/>
    <w:multiLevelType w:val="hybridMultilevel"/>
    <w:tmpl w:val="4A18CBE6"/>
    <w:lvl w:ilvl="0" w:tplc="AB4C246A">
      <w:start w:val="1"/>
      <w:numFmt w:val="decimal"/>
      <w:pStyle w:val="Heading1"/>
      <w:lvlText w:val="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9"/>
  </w:num>
  <w:num w:numId="5">
    <w:abstractNumId w:val="2"/>
  </w:num>
  <w:num w:numId="6">
    <w:abstractNumId w:val="8"/>
  </w:num>
  <w:num w:numId="7">
    <w:abstractNumId w:val="0"/>
  </w:num>
  <w:num w:numId="8">
    <w:abstractNumId w:val="1"/>
  </w:num>
  <w:num w:numId="9">
    <w:abstractNumId w:val="7"/>
  </w:num>
  <w:num w:numId="10">
    <w:abstractNumId w:val="14"/>
  </w:num>
  <w:num w:numId="11">
    <w:abstractNumId w:val="5"/>
  </w:num>
  <w:num w:numId="12">
    <w:abstractNumId w:val="13"/>
  </w:num>
  <w:num w:numId="13">
    <w:abstractNumId w:val="6"/>
  </w:num>
  <w:num w:numId="14">
    <w:abstractNumId w:val="3"/>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3D80"/>
    <w:rsid w:val="00005253"/>
    <w:rsid w:val="000064EE"/>
    <w:rsid w:val="0000684D"/>
    <w:rsid w:val="00007F45"/>
    <w:rsid w:val="00010CCF"/>
    <w:rsid w:val="00013E25"/>
    <w:rsid w:val="00015735"/>
    <w:rsid w:val="00016FAA"/>
    <w:rsid w:val="00017113"/>
    <w:rsid w:val="0001715C"/>
    <w:rsid w:val="00024201"/>
    <w:rsid w:val="0002568B"/>
    <w:rsid w:val="00025AD9"/>
    <w:rsid w:val="00027127"/>
    <w:rsid w:val="000302A1"/>
    <w:rsid w:val="0003284A"/>
    <w:rsid w:val="000352C7"/>
    <w:rsid w:val="000362AA"/>
    <w:rsid w:val="00036B1E"/>
    <w:rsid w:val="00041206"/>
    <w:rsid w:val="000417D0"/>
    <w:rsid w:val="00041C21"/>
    <w:rsid w:val="00042D88"/>
    <w:rsid w:val="00044387"/>
    <w:rsid w:val="000465D0"/>
    <w:rsid w:val="00051A54"/>
    <w:rsid w:val="000549F6"/>
    <w:rsid w:val="00054C56"/>
    <w:rsid w:val="00062334"/>
    <w:rsid w:val="000635F4"/>
    <w:rsid w:val="000639DE"/>
    <w:rsid w:val="00065F76"/>
    <w:rsid w:val="0007277D"/>
    <w:rsid w:val="00074812"/>
    <w:rsid w:val="00074864"/>
    <w:rsid w:val="0007705A"/>
    <w:rsid w:val="0008013B"/>
    <w:rsid w:val="00082C63"/>
    <w:rsid w:val="00082D49"/>
    <w:rsid w:val="00083F51"/>
    <w:rsid w:val="00084BB8"/>
    <w:rsid w:val="00085818"/>
    <w:rsid w:val="00085D4F"/>
    <w:rsid w:val="00086092"/>
    <w:rsid w:val="00086DBC"/>
    <w:rsid w:val="00086EB5"/>
    <w:rsid w:val="000904D2"/>
    <w:rsid w:val="00090CC5"/>
    <w:rsid w:val="00091B5B"/>
    <w:rsid w:val="000978FA"/>
    <w:rsid w:val="000A0892"/>
    <w:rsid w:val="000A0BD8"/>
    <w:rsid w:val="000A0E08"/>
    <w:rsid w:val="000A1762"/>
    <w:rsid w:val="000A1A6C"/>
    <w:rsid w:val="000A2864"/>
    <w:rsid w:val="000A3ED7"/>
    <w:rsid w:val="000A4B86"/>
    <w:rsid w:val="000A54CA"/>
    <w:rsid w:val="000A588F"/>
    <w:rsid w:val="000A68B7"/>
    <w:rsid w:val="000A6F8C"/>
    <w:rsid w:val="000A7273"/>
    <w:rsid w:val="000B1286"/>
    <w:rsid w:val="000B17BE"/>
    <w:rsid w:val="000B2EB2"/>
    <w:rsid w:val="000B4695"/>
    <w:rsid w:val="000B699B"/>
    <w:rsid w:val="000C01F0"/>
    <w:rsid w:val="000C248A"/>
    <w:rsid w:val="000C2831"/>
    <w:rsid w:val="000C2C78"/>
    <w:rsid w:val="000C474E"/>
    <w:rsid w:val="000C4950"/>
    <w:rsid w:val="000D37F0"/>
    <w:rsid w:val="000D5175"/>
    <w:rsid w:val="000D54E0"/>
    <w:rsid w:val="000D5CD9"/>
    <w:rsid w:val="000D6132"/>
    <w:rsid w:val="000D7B54"/>
    <w:rsid w:val="000E00AE"/>
    <w:rsid w:val="000E3043"/>
    <w:rsid w:val="000E4EE5"/>
    <w:rsid w:val="000E5B81"/>
    <w:rsid w:val="000E5C45"/>
    <w:rsid w:val="000E65D4"/>
    <w:rsid w:val="000F3A2D"/>
    <w:rsid w:val="000F4788"/>
    <w:rsid w:val="000F5A59"/>
    <w:rsid w:val="000F6DD7"/>
    <w:rsid w:val="000F7404"/>
    <w:rsid w:val="000F7453"/>
    <w:rsid w:val="000F7A4C"/>
    <w:rsid w:val="000F7E7F"/>
    <w:rsid w:val="00101744"/>
    <w:rsid w:val="00104E97"/>
    <w:rsid w:val="001052FE"/>
    <w:rsid w:val="0010636A"/>
    <w:rsid w:val="0010651B"/>
    <w:rsid w:val="00106D25"/>
    <w:rsid w:val="00111290"/>
    <w:rsid w:val="0011144B"/>
    <w:rsid w:val="00111BD7"/>
    <w:rsid w:val="001158C2"/>
    <w:rsid w:val="0012023B"/>
    <w:rsid w:val="00121ADB"/>
    <w:rsid w:val="00121E8C"/>
    <w:rsid w:val="00125019"/>
    <w:rsid w:val="00125848"/>
    <w:rsid w:val="00126B4F"/>
    <w:rsid w:val="00127211"/>
    <w:rsid w:val="001278CF"/>
    <w:rsid w:val="00132839"/>
    <w:rsid w:val="0014310C"/>
    <w:rsid w:val="001442DC"/>
    <w:rsid w:val="001448DF"/>
    <w:rsid w:val="00144F71"/>
    <w:rsid w:val="00146F6C"/>
    <w:rsid w:val="001520DC"/>
    <w:rsid w:val="00152486"/>
    <w:rsid w:val="00154EAD"/>
    <w:rsid w:val="00157AB2"/>
    <w:rsid w:val="00157B98"/>
    <w:rsid w:val="00161128"/>
    <w:rsid w:val="00166642"/>
    <w:rsid w:val="0016698A"/>
    <w:rsid w:val="001669F0"/>
    <w:rsid w:val="00170034"/>
    <w:rsid w:val="001713FB"/>
    <w:rsid w:val="00174699"/>
    <w:rsid w:val="0017767F"/>
    <w:rsid w:val="001802B2"/>
    <w:rsid w:val="00181FAC"/>
    <w:rsid w:val="00183085"/>
    <w:rsid w:val="00184D40"/>
    <w:rsid w:val="00185C77"/>
    <w:rsid w:val="00187692"/>
    <w:rsid w:val="001902D0"/>
    <w:rsid w:val="001903CD"/>
    <w:rsid w:val="001939B4"/>
    <w:rsid w:val="00195FB0"/>
    <w:rsid w:val="00196350"/>
    <w:rsid w:val="0019727A"/>
    <w:rsid w:val="001A1101"/>
    <w:rsid w:val="001A18B3"/>
    <w:rsid w:val="001A3033"/>
    <w:rsid w:val="001A341B"/>
    <w:rsid w:val="001A4996"/>
    <w:rsid w:val="001A5D32"/>
    <w:rsid w:val="001A5F48"/>
    <w:rsid w:val="001A6501"/>
    <w:rsid w:val="001A6558"/>
    <w:rsid w:val="001A7A5C"/>
    <w:rsid w:val="001B058F"/>
    <w:rsid w:val="001B19A9"/>
    <w:rsid w:val="001B3D09"/>
    <w:rsid w:val="001B6D8C"/>
    <w:rsid w:val="001C0E7E"/>
    <w:rsid w:val="001C1F6A"/>
    <w:rsid w:val="001C3E04"/>
    <w:rsid w:val="001C5122"/>
    <w:rsid w:val="001C78B5"/>
    <w:rsid w:val="001D0212"/>
    <w:rsid w:val="001D09DC"/>
    <w:rsid w:val="001D3469"/>
    <w:rsid w:val="001D4596"/>
    <w:rsid w:val="001D71B9"/>
    <w:rsid w:val="001D7725"/>
    <w:rsid w:val="001E070B"/>
    <w:rsid w:val="001E11F3"/>
    <w:rsid w:val="001E1FEE"/>
    <w:rsid w:val="001E2F26"/>
    <w:rsid w:val="001E3675"/>
    <w:rsid w:val="001E7CA7"/>
    <w:rsid w:val="001F1E5B"/>
    <w:rsid w:val="001F1E87"/>
    <w:rsid w:val="001F40B3"/>
    <w:rsid w:val="001F4ED9"/>
    <w:rsid w:val="001F6554"/>
    <w:rsid w:val="00201205"/>
    <w:rsid w:val="00201904"/>
    <w:rsid w:val="00201BE1"/>
    <w:rsid w:val="00203BD6"/>
    <w:rsid w:val="00205A50"/>
    <w:rsid w:val="002104F7"/>
    <w:rsid w:val="00210CE7"/>
    <w:rsid w:val="002142AC"/>
    <w:rsid w:val="0021449D"/>
    <w:rsid w:val="002170C2"/>
    <w:rsid w:val="00217684"/>
    <w:rsid w:val="00224A28"/>
    <w:rsid w:val="00225734"/>
    <w:rsid w:val="0022772E"/>
    <w:rsid w:val="002301D7"/>
    <w:rsid w:val="002303DE"/>
    <w:rsid w:val="0023047A"/>
    <w:rsid w:val="00231F71"/>
    <w:rsid w:val="00232940"/>
    <w:rsid w:val="002330AA"/>
    <w:rsid w:val="00233843"/>
    <w:rsid w:val="0023478C"/>
    <w:rsid w:val="002355F2"/>
    <w:rsid w:val="00235D0C"/>
    <w:rsid w:val="002366AE"/>
    <w:rsid w:val="0024133A"/>
    <w:rsid w:val="002425F7"/>
    <w:rsid w:val="00242602"/>
    <w:rsid w:val="002440DE"/>
    <w:rsid w:val="00247137"/>
    <w:rsid w:val="00247E1F"/>
    <w:rsid w:val="0025154E"/>
    <w:rsid w:val="00253434"/>
    <w:rsid w:val="00255336"/>
    <w:rsid w:val="002557D3"/>
    <w:rsid w:val="00255FEA"/>
    <w:rsid w:val="00256B90"/>
    <w:rsid w:val="00257F6F"/>
    <w:rsid w:val="00260D84"/>
    <w:rsid w:val="0026143E"/>
    <w:rsid w:val="00264A6F"/>
    <w:rsid w:val="0026581C"/>
    <w:rsid w:val="00267C81"/>
    <w:rsid w:val="00270051"/>
    <w:rsid w:val="002714A5"/>
    <w:rsid w:val="00271B75"/>
    <w:rsid w:val="00272F27"/>
    <w:rsid w:val="00273B2F"/>
    <w:rsid w:val="00274288"/>
    <w:rsid w:val="002744BD"/>
    <w:rsid w:val="002748BE"/>
    <w:rsid w:val="00274DAA"/>
    <w:rsid w:val="00275EF2"/>
    <w:rsid w:val="002760EC"/>
    <w:rsid w:val="0027683C"/>
    <w:rsid w:val="00276959"/>
    <w:rsid w:val="00276CE5"/>
    <w:rsid w:val="00277C21"/>
    <w:rsid w:val="00280355"/>
    <w:rsid w:val="002812A6"/>
    <w:rsid w:val="00282337"/>
    <w:rsid w:val="00283D05"/>
    <w:rsid w:val="002866EE"/>
    <w:rsid w:val="00286BDB"/>
    <w:rsid w:val="0028727A"/>
    <w:rsid w:val="0029051D"/>
    <w:rsid w:val="0029142C"/>
    <w:rsid w:val="002921E2"/>
    <w:rsid w:val="002948AC"/>
    <w:rsid w:val="00296919"/>
    <w:rsid w:val="00296ADC"/>
    <w:rsid w:val="002A0619"/>
    <w:rsid w:val="002A21EE"/>
    <w:rsid w:val="002A245D"/>
    <w:rsid w:val="002A2692"/>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C113E"/>
    <w:rsid w:val="002C44B9"/>
    <w:rsid w:val="002C4654"/>
    <w:rsid w:val="002C4848"/>
    <w:rsid w:val="002C4F78"/>
    <w:rsid w:val="002C5513"/>
    <w:rsid w:val="002C5B7E"/>
    <w:rsid w:val="002C6CC5"/>
    <w:rsid w:val="002D224A"/>
    <w:rsid w:val="002D5F9C"/>
    <w:rsid w:val="002D6150"/>
    <w:rsid w:val="002D6354"/>
    <w:rsid w:val="002E43CF"/>
    <w:rsid w:val="002F0D86"/>
    <w:rsid w:val="002F0DB1"/>
    <w:rsid w:val="002F1DF4"/>
    <w:rsid w:val="002F2AD5"/>
    <w:rsid w:val="002F3E1A"/>
    <w:rsid w:val="002F4AC3"/>
    <w:rsid w:val="002F71E7"/>
    <w:rsid w:val="002F722E"/>
    <w:rsid w:val="00300DE1"/>
    <w:rsid w:val="0030122D"/>
    <w:rsid w:val="003014D7"/>
    <w:rsid w:val="00301628"/>
    <w:rsid w:val="00301A5F"/>
    <w:rsid w:val="0030209F"/>
    <w:rsid w:val="00302EB2"/>
    <w:rsid w:val="00305C6C"/>
    <w:rsid w:val="00311F37"/>
    <w:rsid w:val="00312E64"/>
    <w:rsid w:val="0031419C"/>
    <w:rsid w:val="00314498"/>
    <w:rsid w:val="00316420"/>
    <w:rsid w:val="00317FD4"/>
    <w:rsid w:val="0032016F"/>
    <w:rsid w:val="00320CAD"/>
    <w:rsid w:val="00321C29"/>
    <w:rsid w:val="00322D38"/>
    <w:rsid w:val="0032750A"/>
    <w:rsid w:val="00327936"/>
    <w:rsid w:val="00327FE2"/>
    <w:rsid w:val="00330E3E"/>
    <w:rsid w:val="00335A38"/>
    <w:rsid w:val="003361E3"/>
    <w:rsid w:val="003402FA"/>
    <w:rsid w:val="00340811"/>
    <w:rsid w:val="00340DE3"/>
    <w:rsid w:val="00343BEF"/>
    <w:rsid w:val="0034577B"/>
    <w:rsid w:val="003479C0"/>
    <w:rsid w:val="00351444"/>
    <w:rsid w:val="003519AD"/>
    <w:rsid w:val="00351F65"/>
    <w:rsid w:val="00353C78"/>
    <w:rsid w:val="003541F4"/>
    <w:rsid w:val="003554B0"/>
    <w:rsid w:val="00355834"/>
    <w:rsid w:val="00355E82"/>
    <w:rsid w:val="00357438"/>
    <w:rsid w:val="00360496"/>
    <w:rsid w:val="00362134"/>
    <w:rsid w:val="00364800"/>
    <w:rsid w:val="00364D04"/>
    <w:rsid w:val="00370497"/>
    <w:rsid w:val="00382F45"/>
    <w:rsid w:val="00384235"/>
    <w:rsid w:val="00384DB1"/>
    <w:rsid w:val="003863D7"/>
    <w:rsid w:val="00387D79"/>
    <w:rsid w:val="00387F7E"/>
    <w:rsid w:val="003920C9"/>
    <w:rsid w:val="0039254E"/>
    <w:rsid w:val="00392759"/>
    <w:rsid w:val="00392EEE"/>
    <w:rsid w:val="003931DA"/>
    <w:rsid w:val="00394692"/>
    <w:rsid w:val="00395D22"/>
    <w:rsid w:val="00396D2B"/>
    <w:rsid w:val="003972C2"/>
    <w:rsid w:val="003979EA"/>
    <w:rsid w:val="003A12F1"/>
    <w:rsid w:val="003A1AE5"/>
    <w:rsid w:val="003A5C59"/>
    <w:rsid w:val="003A5DFD"/>
    <w:rsid w:val="003A668E"/>
    <w:rsid w:val="003B04FB"/>
    <w:rsid w:val="003B2328"/>
    <w:rsid w:val="003B26E1"/>
    <w:rsid w:val="003B2CC0"/>
    <w:rsid w:val="003B59AF"/>
    <w:rsid w:val="003B5B28"/>
    <w:rsid w:val="003B6EF1"/>
    <w:rsid w:val="003C046F"/>
    <w:rsid w:val="003C1081"/>
    <w:rsid w:val="003C181B"/>
    <w:rsid w:val="003C467D"/>
    <w:rsid w:val="003C4707"/>
    <w:rsid w:val="003C4AC4"/>
    <w:rsid w:val="003C5942"/>
    <w:rsid w:val="003C5A5C"/>
    <w:rsid w:val="003C5EE6"/>
    <w:rsid w:val="003C67EE"/>
    <w:rsid w:val="003C73CE"/>
    <w:rsid w:val="003D0783"/>
    <w:rsid w:val="003D0BAF"/>
    <w:rsid w:val="003D0F64"/>
    <w:rsid w:val="003D143E"/>
    <w:rsid w:val="003D15A7"/>
    <w:rsid w:val="003D35EE"/>
    <w:rsid w:val="003D54B3"/>
    <w:rsid w:val="003D564F"/>
    <w:rsid w:val="003D5827"/>
    <w:rsid w:val="003D5EAD"/>
    <w:rsid w:val="003D6C5A"/>
    <w:rsid w:val="003E0DB3"/>
    <w:rsid w:val="003E104E"/>
    <w:rsid w:val="003E3066"/>
    <w:rsid w:val="003E3733"/>
    <w:rsid w:val="003E436C"/>
    <w:rsid w:val="003E4BE6"/>
    <w:rsid w:val="003E57BB"/>
    <w:rsid w:val="003E73B0"/>
    <w:rsid w:val="003F2D38"/>
    <w:rsid w:val="003F4216"/>
    <w:rsid w:val="003F6CD5"/>
    <w:rsid w:val="004005EA"/>
    <w:rsid w:val="004009CC"/>
    <w:rsid w:val="00401AB4"/>
    <w:rsid w:val="00403C53"/>
    <w:rsid w:val="00407079"/>
    <w:rsid w:val="00411528"/>
    <w:rsid w:val="004118C6"/>
    <w:rsid w:val="00412388"/>
    <w:rsid w:val="00412E54"/>
    <w:rsid w:val="00414ED3"/>
    <w:rsid w:val="0041646D"/>
    <w:rsid w:val="00417BA8"/>
    <w:rsid w:val="00420DFE"/>
    <w:rsid w:val="00420FA6"/>
    <w:rsid w:val="0042258D"/>
    <w:rsid w:val="00423F82"/>
    <w:rsid w:val="00425340"/>
    <w:rsid w:val="0042628C"/>
    <w:rsid w:val="00427E41"/>
    <w:rsid w:val="004311D7"/>
    <w:rsid w:val="00431481"/>
    <w:rsid w:val="0043150F"/>
    <w:rsid w:val="00432515"/>
    <w:rsid w:val="004362D0"/>
    <w:rsid w:val="0043633A"/>
    <w:rsid w:val="00436770"/>
    <w:rsid w:val="00437A38"/>
    <w:rsid w:val="00437D15"/>
    <w:rsid w:val="00440680"/>
    <w:rsid w:val="00441104"/>
    <w:rsid w:val="00443459"/>
    <w:rsid w:val="0044413A"/>
    <w:rsid w:val="00444234"/>
    <w:rsid w:val="004457BA"/>
    <w:rsid w:val="00446489"/>
    <w:rsid w:val="00446A29"/>
    <w:rsid w:val="00451DF2"/>
    <w:rsid w:val="004523AA"/>
    <w:rsid w:val="0045688D"/>
    <w:rsid w:val="0045790F"/>
    <w:rsid w:val="00462C22"/>
    <w:rsid w:val="00463008"/>
    <w:rsid w:val="00464FAB"/>
    <w:rsid w:val="00465266"/>
    <w:rsid w:val="00465818"/>
    <w:rsid w:val="0046732A"/>
    <w:rsid w:val="00470C36"/>
    <w:rsid w:val="00470FEF"/>
    <w:rsid w:val="004720D6"/>
    <w:rsid w:val="00472460"/>
    <w:rsid w:val="004731E8"/>
    <w:rsid w:val="0047348E"/>
    <w:rsid w:val="00473A7A"/>
    <w:rsid w:val="00476C4D"/>
    <w:rsid w:val="0048217C"/>
    <w:rsid w:val="00483DA6"/>
    <w:rsid w:val="004845E9"/>
    <w:rsid w:val="00484A26"/>
    <w:rsid w:val="004868C0"/>
    <w:rsid w:val="004876D6"/>
    <w:rsid w:val="004912F1"/>
    <w:rsid w:val="004923C8"/>
    <w:rsid w:val="0049630A"/>
    <w:rsid w:val="004965D7"/>
    <w:rsid w:val="00497F00"/>
    <w:rsid w:val="004A3B91"/>
    <w:rsid w:val="004A47B0"/>
    <w:rsid w:val="004B1450"/>
    <w:rsid w:val="004B2C21"/>
    <w:rsid w:val="004B415B"/>
    <w:rsid w:val="004B5D34"/>
    <w:rsid w:val="004C1BC8"/>
    <w:rsid w:val="004C3C1E"/>
    <w:rsid w:val="004C3E01"/>
    <w:rsid w:val="004C411E"/>
    <w:rsid w:val="004C56EB"/>
    <w:rsid w:val="004C679B"/>
    <w:rsid w:val="004D0171"/>
    <w:rsid w:val="004D1CCB"/>
    <w:rsid w:val="004D6C32"/>
    <w:rsid w:val="004E073D"/>
    <w:rsid w:val="004E157B"/>
    <w:rsid w:val="004E1BDC"/>
    <w:rsid w:val="004E2868"/>
    <w:rsid w:val="004F23CB"/>
    <w:rsid w:val="004F2B14"/>
    <w:rsid w:val="004F2FE3"/>
    <w:rsid w:val="004F3761"/>
    <w:rsid w:val="004F3E47"/>
    <w:rsid w:val="004F745C"/>
    <w:rsid w:val="005005FD"/>
    <w:rsid w:val="00503EB1"/>
    <w:rsid w:val="00505EED"/>
    <w:rsid w:val="005068EC"/>
    <w:rsid w:val="00507B49"/>
    <w:rsid w:val="00521443"/>
    <w:rsid w:val="00521690"/>
    <w:rsid w:val="00522A27"/>
    <w:rsid w:val="00527A0B"/>
    <w:rsid w:val="00527BCA"/>
    <w:rsid w:val="00527C26"/>
    <w:rsid w:val="00527C7C"/>
    <w:rsid w:val="00530E9A"/>
    <w:rsid w:val="00531EA8"/>
    <w:rsid w:val="00533FA9"/>
    <w:rsid w:val="005359F8"/>
    <w:rsid w:val="0053676B"/>
    <w:rsid w:val="00536DBE"/>
    <w:rsid w:val="00537368"/>
    <w:rsid w:val="005445E7"/>
    <w:rsid w:val="005446D6"/>
    <w:rsid w:val="00544C65"/>
    <w:rsid w:val="00547B32"/>
    <w:rsid w:val="0055109D"/>
    <w:rsid w:val="00552E42"/>
    <w:rsid w:val="005530CB"/>
    <w:rsid w:val="00553CC6"/>
    <w:rsid w:val="00553F8B"/>
    <w:rsid w:val="00554729"/>
    <w:rsid w:val="00554D74"/>
    <w:rsid w:val="00555460"/>
    <w:rsid w:val="005565EE"/>
    <w:rsid w:val="00560B3D"/>
    <w:rsid w:val="00561E88"/>
    <w:rsid w:val="0056457D"/>
    <w:rsid w:val="00564645"/>
    <w:rsid w:val="00564B1E"/>
    <w:rsid w:val="005665D4"/>
    <w:rsid w:val="005707C7"/>
    <w:rsid w:val="005738EE"/>
    <w:rsid w:val="0057428A"/>
    <w:rsid w:val="00575F42"/>
    <w:rsid w:val="00576095"/>
    <w:rsid w:val="005771E7"/>
    <w:rsid w:val="00580E41"/>
    <w:rsid w:val="00583EB8"/>
    <w:rsid w:val="0058423A"/>
    <w:rsid w:val="00587087"/>
    <w:rsid w:val="0059386F"/>
    <w:rsid w:val="005A0BAA"/>
    <w:rsid w:val="005A117F"/>
    <w:rsid w:val="005A5C90"/>
    <w:rsid w:val="005B30C3"/>
    <w:rsid w:val="005B3430"/>
    <w:rsid w:val="005B4CBF"/>
    <w:rsid w:val="005B6F7E"/>
    <w:rsid w:val="005C2FAC"/>
    <w:rsid w:val="005C7A03"/>
    <w:rsid w:val="005D068F"/>
    <w:rsid w:val="005D0C3B"/>
    <w:rsid w:val="005D28F1"/>
    <w:rsid w:val="005D2DAF"/>
    <w:rsid w:val="005D4294"/>
    <w:rsid w:val="005D75A1"/>
    <w:rsid w:val="005E0BF6"/>
    <w:rsid w:val="005E28F1"/>
    <w:rsid w:val="005E3142"/>
    <w:rsid w:val="005E3472"/>
    <w:rsid w:val="005E5A1A"/>
    <w:rsid w:val="005E6252"/>
    <w:rsid w:val="005E66FB"/>
    <w:rsid w:val="005E6DD1"/>
    <w:rsid w:val="005E7F42"/>
    <w:rsid w:val="005E7FA5"/>
    <w:rsid w:val="005F1DC3"/>
    <w:rsid w:val="005F2FA8"/>
    <w:rsid w:val="005F3A68"/>
    <w:rsid w:val="005F483C"/>
    <w:rsid w:val="005F6A97"/>
    <w:rsid w:val="00601786"/>
    <w:rsid w:val="00602096"/>
    <w:rsid w:val="00604B70"/>
    <w:rsid w:val="006055D0"/>
    <w:rsid w:val="00606787"/>
    <w:rsid w:val="00607539"/>
    <w:rsid w:val="00611395"/>
    <w:rsid w:val="0061223D"/>
    <w:rsid w:val="006134DC"/>
    <w:rsid w:val="00614B05"/>
    <w:rsid w:val="00614FB8"/>
    <w:rsid w:val="00621242"/>
    <w:rsid w:val="006217A8"/>
    <w:rsid w:val="0062483E"/>
    <w:rsid w:val="00626CD6"/>
    <w:rsid w:val="00631DA6"/>
    <w:rsid w:val="006355ED"/>
    <w:rsid w:val="00637B1F"/>
    <w:rsid w:val="00643F08"/>
    <w:rsid w:val="0064423E"/>
    <w:rsid w:val="00645011"/>
    <w:rsid w:val="00645B4D"/>
    <w:rsid w:val="00645CA5"/>
    <w:rsid w:val="00647990"/>
    <w:rsid w:val="00647EC4"/>
    <w:rsid w:val="00652785"/>
    <w:rsid w:val="006530F2"/>
    <w:rsid w:val="00654ABE"/>
    <w:rsid w:val="00655CF4"/>
    <w:rsid w:val="0066128C"/>
    <w:rsid w:val="00661E87"/>
    <w:rsid w:val="00662162"/>
    <w:rsid w:val="00662478"/>
    <w:rsid w:val="00662897"/>
    <w:rsid w:val="006650AC"/>
    <w:rsid w:val="006652A8"/>
    <w:rsid w:val="0066533B"/>
    <w:rsid w:val="00665BE6"/>
    <w:rsid w:val="00665E7E"/>
    <w:rsid w:val="0066640B"/>
    <w:rsid w:val="00666D0D"/>
    <w:rsid w:val="00667F2E"/>
    <w:rsid w:val="00673D69"/>
    <w:rsid w:val="00673E4B"/>
    <w:rsid w:val="00674F27"/>
    <w:rsid w:val="00676BCD"/>
    <w:rsid w:val="006778A4"/>
    <w:rsid w:val="00681EEF"/>
    <w:rsid w:val="00683151"/>
    <w:rsid w:val="006849A5"/>
    <w:rsid w:val="00685B08"/>
    <w:rsid w:val="00687A84"/>
    <w:rsid w:val="00687D01"/>
    <w:rsid w:val="006901A4"/>
    <w:rsid w:val="006910AF"/>
    <w:rsid w:val="00692290"/>
    <w:rsid w:val="00693967"/>
    <w:rsid w:val="00693B1F"/>
    <w:rsid w:val="00694862"/>
    <w:rsid w:val="006959E1"/>
    <w:rsid w:val="00695DE4"/>
    <w:rsid w:val="00695E41"/>
    <w:rsid w:val="00697BFD"/>
    <w:rsid w:val="006A32DB"/>
    <w:rsid w:val="006A3ACF"/>
    <w:rsid w:val="006A4740"/>
    <w:rsid w:val="006A4E7A"/>
    <w:rsid w:val="006A6E14"/>
    <w:rsid w:val="006A79AB"/>
    <w:rsid w:val="006B2A81"/>
    <w:rsid w:val="006B3831"/>
    <w:rsid w:val="006B4F50"/>
    <w:rsid w:val="006B637C"/>
    <w:rsid w:val="006B7C2C"/>
    <w:rsid w:val="006C08C9"/>
    <w:rsid w:val="006C1265"/>
    <w:rsid w:val="006C1599"/>
    <w:rsid w:val="006C237A"/>
    <w:rsid w:val="006C609F"/>
    <w:rsid w:val="006C7530"/>
    <w:rsid w:val="006C780B"/>
    <w:rsid w:val="006C7AAB"/>
    <w:rsid w:val="006D0127"/>
    <w:rsid w:val="006D1C30"/>
    <w:rsid w:val="006D3A76"/>
    <w:rsid w:val="006D4D35"/>
    <w:rsid w:val="006D61ED"/>
    <w:rsid w:val="006D754B"/>
    <w:rsid w:val="006D7BF6"/>
    <w:rsid w:val="006E0DA9"/>
    <w:rsid w:val="006E4F6D"/>
    <w:rsid w:val="006E5312"/>
    <w:rsid w:val="006E54C3"/>
    <w:rsid w:val="006E6B84"/>
    <w:rsid w:val="006E7890"/>
    <w:rsid w:val="006F150A"/>
    <w:rsid w:val="006F350A"/>
    <w:rsid w:val="006F3B03"/>
    <w:rsid w:val="006F52E5"/>
    <w:rsid w:val="006F5CDB"/>
    <w:rsid w:val="00700138"/>
    <w:rsid w:val="007003FA"/>
    <w:rsid w:val="007018BD"/>
    <w:rsid w:val="00702D38"/>
    <w:rsid w:val="00703510"/>
    <w:rsid w:val="00703CBF"/>
    <w:rsid w:val="007046A6"/>
    <w:rsid w:val="00704720"/>
    <w:rsid w:val="00704C3D"/>
    <w:rsid w:val="00704CA8"/>
    <w:rsid w:val="00705B95"/>
    <w:rsid w:val="00706DFB"/>
    <w:rsid w:val="00707566"/>
    <w:rsid w:val="007100A4"/>
    <w:rsid w:val="00712317"/>
    <w:rsid w:val="00712D5E"/>
    <w:rsid w:val="00713AF6"/>
    <w:rsid w:val="00720639"/>
    <w:rsid w:val="0072332F"/>
    <w:rsid w:val="0072483F"/>
    <w:rsid w:val="00727368"/>
    <w:rsid w:val="00730B36"/>
    <w:rsid w:val="00730E56"/>
    <w:rsid w:val="00731459"/>
    <w:rsid w:val="00733C85"/>
    <w:rsid w:val="00735814"/>
    <w:rsid w:val="007503F4"/>
    <w:rsid w:val="00751884"/>
    <w:rsid w:val="0075568C"/>
    <w:rsid w:val="00755B8D"/>
    <w:rsid w:val="00756996"/>
    <w:rsid w:val="00760E9C"/>
    <w:rsid w:val="007630C5"/>
    <w:rsid w:val="00764674"/>
    <w:rsid w:val="0076610B"/>
    <w:rsid w:val="0077164D"/>
    <w:rsid w:val="007721D2"/>
    <w:rsid w:val="00772DB9"/>
    <w:rsid w:val="007747FB"/>
    <w:rsid w:val="00775EBB"/>
    <w:rsid w:val="007811F1"/>
    <w:rsid w:val="00781CF8"/>
    <w:rsid w:val="007830DA"/>
    <w:rsid w:val="00785870"/>
    <w:rsid w:val="00786106"/>
    <w:rsid w:val="00787AF2"/>
    <w:rsid w:val="00790D31"/>
    <w:rsid w:val="00792A29"/>
    <w:rsid w:val="00795154"/>
    <w:rsid w:val="0079620D"/>
    <w:rsid w:val="007A1938"/>
    <w:rsid w:val="007A1CCA"/>
    <w:rsid w:val="007A21C1"/>
    <w:rsid w:val="007A2C18"/>
    <w:rsid w:val="007A3A25"/>
    <w:rsid w:val="007A5ABA"/>
    <w:rsid w:val="007A5C83"/>
    <w:rsid w:val="007B0493"/>
    <w:rsid w:val="007B04AC"/>
    <w:rsid w:val="007B0FC0"/>
    <w:rsid w:val="007B47DB"/>
    <w:rsid w:val="007B72CA"/>
    <w:rsid w:val="007C2F91"/>
    <w:rsid w:val="007C462A"/>
    <w:rsid w:val="007C53FF"/>
    <w:rsid w:val="007C5DC4"/>
    <w:rsid w:val="007C74D0"/>
    <w:rsid w:val="007D390F"/>
    <w:rsid w:val="007D51F9"/>
    <w:rsid w:val="007D67FF"/>
    <w:rsid w:val="007E145E"/>
    <w:rsid w:val="007E1FFE"/>
    <w:rsid w:val="007E3B66"/>
    <w:rsid w:val="007E4C99"/>
    <w:rsid w:val="007E4D54"/>
    <w:rsid w:val="007E5554"/>
    <w:rsid w:val="007E59D5"/>
    <w:rsid w:val="007E62C1"/>
    <w:rsid w:val="007F0C50"/>
    <w:rsid w:val="007F1CD6"/>
    <w:rsid w:val="00800148"/>
    <w:rsid w:val="00800500"/>
    <w:rsid w:val="008005AD"/>
    <w:rsid w:val="0080069A"/>
    <w:rsid w:val="008031F3"/>
    <w:rsid w:val="0080532B"/>
    <w:rsid w:val="008053E1"/>
    <w:rsid w:val="0080560A"/>
    <w:rsid w:val="008072A1"/>
    <w:rsid w:val="00812254"/>
    <w:rsid w:val="00813A66"/>
    <w:rsid w:val="008148A7"/>
    <w:rsid w:val="00823980"/>
    <w:rsid w:val="008239F9"/>
    <w:rsid w:val="0082409E"/>
    <w:rsid w:val="00825F81"/>
    <w:rsid w:val="008307E0"/>
    <w:rsid w:val="008313AA"/>
    <w:rsid w:val="00831443"/>
    <w:rsid w:val="0083316A"/>
    <w:rsid w:val="00833409"/>
    <w:rsid w:val="00841A2B"/>
    <w:rsid w:val="008435B7"/>
    <w:rsid w:val="00843B59"/>
    <w:rsid w:val="00845258"/>
    <w:rsid w:val="008452A0"/>
    <w:rsid w:val="008454D9"/>
    <w:rsid w:val="00845C97"/>
    <w:rsid w:val="0084765B"/>
    <w:rsid w:val="00847F59"/>
    <w:rsid w:val="008534C7"/>
    <w:rsid w:val="00855D80"/>
    <w:rsid w:val="008564BF"/>
    <w:rsid w:val="00856538"/>
    <w:rsid w:val="00856E2F"/>
    <w:rsid w:val="00856F48"/>
    <w:rsid w:val="0085723B"/>
    <w:rsid w:val="00857EC0"/>
    <w:rsid w:val="008637F1"/>
    <w:rsid w:val="00863B06"/>
    <w:rsid w:val="00864323"/>
    <w:rsid w:val="00864D92"/>
    <w:rsid w:val="0086605C"/>
    <w:rsid w:val="00866672"/>
    <w:rsid w:val="00873BC0"/>
    <w:rsid w:val="00874BD0"/>
    <w:rsid w:val="00875AA9"/>
    <w:rsid w:val="00877216"/>
    <w:rsid w:val="008806B8"/>
    <w:rsid w:val="00880E26"/>
    <w:rsid w:val="0088117D"/>
    <w:rsid w:val="00883AE5"/>
    <w:rsid w:val="00885CD4"/>
    <w:rsid w:val="008903A6"/>
    <w:rsid w:val="00890BF0"/>
    <w:rsid w:val="0089109D"/>
    <w:rsid w:val="00891137"/>
    <w:rsid w:val="00891BB6"/>
    <w:rsid w:val="00892F11"/>
    <w:rsid w:val="00892FE1"/>
    <w:rsid w:val="0089345A"/>
    <w:rsid w:val="00894A46"/>
    <w:rsid w:val="00897217"/>
    <w:rsid w:val="008A13A5"/>
    <w:rsid w:val="008A1D50"/>
    <w:rsid w:val="008A1EC9"/>
    <w:rsid w:val="008A4F38"/>
    <w:rsid w:val="008A54FE"/>
    <w:rsid w:val="008A5A74"/>
    <w:rsid w:val="008B0BCB"/>
    <w:rsid w:val="008B375D"/>
    <w:rsid w:val="008B4ED3"/>
    <w:rsid w:val="008B5806"/>
    <w:rsid w:val="008C068F"/>
    <w:rsid w:val="008C1012"/>
    <w:rsid w:val="008C1F4E"/>
    <w:rsid w:val="008C2357"/>
    <w:rsid w:val="008C4C94"/>
    <w:rsid w:val="008C5653"/>
    <w:rsid w:val="008D1B40"/>
    <w:rsid w:val="008D3CD4"/>
    <w:rsid w:val="008D4791"/>
    <w:rsid w:val="008D50EE"/>
    <w:rsid w:val="008D563A"/>
    <w:rsid w:val="008D5DE3"/>
    <w:rsid w:val="008D5E10"/>
    <w:rsid w:val="008D5F41"/>
    <w:rsid w:val="008D6D96"/>
    <w:rsid w:val="008E240A"/>
    <w:rsid w:val="008E3A4B"/>
    <w:rsid w:val="008E4202"/>
    <w:rsid w:val="008E5D94"/>
    <w:rsid w:val="008F13A4"/>
    <w:rsid w:val="008F1662"/>
    <w:rsid w:val="008F1F88"/>
    <w:rsid w:val="008F2A65"/>
    <w:rsid w:val="008F2E31"/>
    <w:rsid w:val="008F33C4"/>
    <w:rsid w:val="008F37F4"/>
    <w:rsid w:val="008F5148"/>
    <w:rsid w:val="008F5347"/>
    <w:rsid w:val="009019B2"/>
    <w:rsid w:val="009021C6"/>
    <w:rsid w:val="00903E1D"/>
    <w:rsid w:val="00904B01"/>
    <w:rsid w:val="0090667B"/>
    <w:rsid w:val="009072F9"/>
    <w:rsid w:val="00912FF3"/>
    <w:rsid w:val="0091355F"/>
    <w:rsid w:val="00914E13"/>
    <w:rsid w:val="00916CD6"/>
    <w:rsid w:val="009172D0"/>
    <w:rsid w:val="00921D99"/>
    <w:rsid w:val="00921DBB"/>
    <w:rsid w:val="0092459D"/>
    <w:rsid w:val="00926148"/>
    <w:rsid w:val="00926190"/>
    <w:rsid w:val="00926791"/>
    <w:rsid w:val="009277EF"/>
    <w:rsid w:val="00930046"/>
    <w:rsid w:val="009313B1"/>
    <w:rsid w:val="00931A19"/>
    <w:rsid w:val="009347AB"/>
    <w:rsid w:val="00934EFC"/>
    <w:rsid w:val="00935CD1"/>
    <w:rsid w:val="00937BB3"/>
    <w:rsid w:val="00937FDD"/>
    <w:rsid w:val="0094041B"/>
    <w:rsid w:val="009404ED"/>
    <w:rsid w:val="00940A82"/>
    <w:rsid w:val="00941285"/>
    <w:rsid w:val="00941BD6"/>
    <w:rsid w:val="00942561"/>
    <w:rsid w:val="00944E15"/>
    <w:rsid w:val="00945D21"/>
    <w:rsid w:val="00945F56"/>
    <w:rsid w:val="0094613C"/>
    <w:rsid w:val="00950167"/>
    <w:rsid w:val="00952AB6"/>
    <w:rsid w:val="00954B24"/>
    <w:rsid w:val="00956A89"/>
    <w:rsid w:val="009614EB"/>
    <w:rsid w:val="00964C88"/>
    <w:rsid w:val="009655BC"/>
    <w:rsid w:val="00972829"/>
    <w:rsid w:val="0097283E"/>
    <w:rsid w:val="00974254"/>
    <w:rsid w:val="00975708"/>
    <w:rsid w:val="00975A69"/>
    <w:rsid w:val="0097707D"/>
    <w:rsid w:val="0097743C"/>
    <w:rsid w:val="009814A1"/>
    <w:rsid w:val="00981567"/>
    <w:rsid w:val="00981D0B"/>
    <w:rsid w:val="0098314C"/>
    <w:rsid w:val="0098354B"/>
    <w:rsid w:val="009838A3"/>
    <w:rsid w:val="00986803"/>
    <w:rsid w:val="009870C4"/>
    <w:rsid w:val="00990976"/>
    <w:rsid w:val="00992B44"/>
    <w:rsid w:val="00995815"/>
    <w:rsid w:val="00996068"/>
    <w:rsid w:val="00996F86"/>
    <w:rsid w:val="009A3736"/>
    <w:rsid w:val="009B14BF"/>
    <w:rsid w:val="009B25E2"/>
    <w:rsid w:val="009B6E14"/>
    <w:rsid w:val="009C30E6"/>
    <w:rsid w:val="009C3D68"/>
    <w:rsid w:val="009C4E10"/>
    <w:rsid w:val="009C55BD"/>
    <w:rsid w:val="009C72C3"/>
    <w:rsid w:val="009C75C9"/>
    <w:rsid w:val="009C7DE3"/>
    <w:rsid w:val="009D03F3"/>
    <w:rsid w:val="009D2BA7"/>
    <w:rsid w:val="009D3BB3"/>
    <w:rsid w:val="009D42C5"/>
    <w:rsid w:val="009D4501"/>
    <w:rsid w:val="009D5BD5"/>
    <w:rsid w:val="009D73BC"/>
    <w:rsid w:val="009D7A19"/>
    <w:rsid w:val="009E1647"/>
    <w:rsid w:val="009E5C6E"/>
    <w:rsid w:val="009F001E"/>
    <w:rsid w:val="009F009F"/>
    <w:rsid w:val="009F15E4"/>
    <w:rsid w:val="009F5236"/>
    <w:rsid w:val="009F767D"/>
    <w:rsid w:val="009F7B45"/>
    <w:rsid w:val="00A02428"/>
    <w:rsid w:val="00A02EEA"/>
    <w:rsid w:val="00A04E5F"/>
    <w:rsid w:val="00A0577B"/>
    <w:rsid w:val="00A06B88"/>
    <w:rsid w:val="00A071D4"/>
    <w:rsid w:val="00A07D2B"/>
    <w:rsid w:val="00A11FAB"/>
    <w:rsid w:val="00A142A1"/>
    <w:rsid w:val="00A15371"/>
    <w:rsid w:val="00A160AD"/>
    <w:rsid w:val="00A17FDF"/>
    <w:rsid w:val="00A20C41"/>
    <w:rsid w:val="00A23E5D"/>
    <w:rsid w:val="00A27694"/>
    <w:rsid w:val="00A32D00"/>
    <w:rsid w:val="00A33404"/>
    <w:rsid w:val="00A33859"/>
    <w:rsid w:val="00A344C7"/>
    <w:rsid w:val="00A3524F"/>
    <w:rsid w:val="00A354C1"/>
    <w:rsid w:val="00A379DD"/>
    <w:rsid w:val="00A37F0A"/>
    <w:rsid w:val="00A42BB4"/>
    <w:rsid w:val="00A44113"/>
    <w:rsid w:val="00A451CB"/>
    <w:rsid w:val="00A510BA"/>
    <w:rsid w:val="00A547EA"/>
    <w:rsid w:val="00A54D7A"/>
    <w:rsid w:val="00A551D2"/>
    <w:rsid w:val="00A573E8"/>
    <w:rsid w:val="00A5773E"/>
    <w:rsid w:val="00A610B3"/>
    <w:rsid w:val="00A61486"/>
    <w:rsid w:val="00A621D9"/>
    <w:rsid w:val="00A63C0F"/>
    <w:rsid w:val="00A65E0D"/>
    <w:rsid w:val="00A66512"/>
    <w:rsid w:val="00A6695F"/>
    <w:rsid w:val="00A66C89"/>
    <w:rsid w:val="00A719A1"/>
    <w:rsid w:val="00A72EEF"/>
    <w:rsid w:val="00A80129"/>
    <w:rsid w:val="00A81E7C"/>
    <w:rsid w:val="00A829C3"/>
    <w:rsid w:val="00A865A2"/>
    <w:rsid w:val="00A869C5"/>
    <w:rsid w:val="00A87BC0"/>
    <w:rsid w:val="00A9251A"/>
    <w:rsid w:val="00A936DB"/>
    <w:rsid w:val="00A972D8"/>
    <w:rsid w:val="00A974CE"/>
    <w:rsid w:val="00AA1BDA"/>
    <w:rsid w:val="00AA4DAE"/>
    <w:rsid w:val="00AA6392"/>
    <w:rsid w:val="00AB71BC"/>
    <w:rsid w:val="00AC1EA9"/>
    <w:rsid w:val="00AC252E"/>
    <w:rsid w:val="00AC2F05"/>
    <w:rsid w:val="00AC3619"/>
    <w:rsid w:val="00AC4DC8"/>
    <w:rsid w:val="00AC7950"/>
    <w:rsid w:val="00AD3135"/>
    <w:rsid w:val="00AD34E9"/>
    <w:rsid w:val="00AD4B18"/>
    <w:rsid w:val="00AD512F"/>
    <w:rsid w:val="00AE0071"/>
    <w:rsid w:val="00AE11FD"/>
    <w:rsid w:val="00AE206C"/>
    <w:rsid w:val="00AE78A7"/>
    <w:rsid w:val="00AF06CF"/>
    <w:rsid w:val="00AF0AC3"/>
    <w:rsid w:val="00AF17AC"/>
    <w:rsid w:val="00AF2DEB"/>
    <w:rsid w:val="00AF2E9D"/>
    <w:rsid w:val="00AF30A6"/>
    <w:rsid w:val="00AF30C2"/>
    <w:rsid w:val="00AF34E0"/>
    <w:rsid w:val="00AF3A59"/>
    <w:rsid w:val="00AF5463"/>
    <w:rsid w:val="00AF6992"/>
    <w:rsid w:val="00AF6CC6"/>
    <w:rsid w:val="00B00D37"/>
    <w:rsid w:val="00B03300"/>
    <w:rsid w:val="00B04DAA"/>
    <w:rsid w:val="00B05018"/>
    <w:rsid w:val="00B0572E"/>
    <w:rsid w:val="00B0598F"/>
    <w:rsid w:val="00B06016"/>
    <w:rsid w:val="00B070B2"/>
    <w:rsid w:val="00B15D49"/>
    <w:rsid w:val="00B16C61"/>
    <w:rsid w:val="00B1778C"/>
    <w:rsid w:val="00B20954"/>
    <w:rsid w:val="00B20F37"/>
    <w:rsid w:val="00B21C19"/>
    <w:rsid w:val="00B21D16"/>
    <w:rsid w:val="00B23D46"/>
    <w:rsid w:val="00B24C44"/>
    <w:rsid w:val="00B2792E"/>
    <w:rsid w:val="00B30903"/>
    <w:rsid w:val="00B321C4"/>
    <w:rsid w:val="00B34245"/>
    <w:rsid w:val="00B34516"/>
    <w:rsid w:val="00B35669"/>
    <w:rsid w:val="00B357DA"/>
    <w:rsid w:val="00B375CB"/>
    <w:rsid w:val="00B37E21"/>
    <w:rsid w:val="00B44F8B"/>
    <w:rsid w:val="00B451A8"/>
    <w:rsid w:val="00B452A7"/>
    <w:rsid w:val="00B4781C"/>
    <w:rsid w:val="00B51DB4"/>
    <w:rsid w:val="00B5290B"/>
    <w:rsid w:val="00B53A4D"/>
    <w:rsid w:val="00B553EC"/>
    <w:rsid w:val="00B56646"/>
    <w:rsid w:val="00B57EE8"/>
    <w:rsid w:val="00B635BF"/>
    <w:rsid w:val="00B63955"/>
    <w:rsid w:val="00B63A44"/>
    <w:rsid w:val="00B64464"/>
    <w:rsid w:val="00B6728A"/>
    <w:rsid w:val="00B715F3"/>
    <w:rsid w:val="00B71D81"/>
    <w:rsid w:val="00B74387"/>
    <w:rsid w:val="00B7540D"/>
    <w:rsid w:val="00B75A5F"/>
    <w:rsid w:val="00B75C9E"/>
    <w:rsid w:val="00B7705C"/>
    <w:rsid w:val="00B77E3A"/>
    <w:rsid w:val="00B80ADB"/>
    <w:rsid w:val="00B80EE8"/>
    <w:rsid w:val="00B812BD"/>
    <w:rsid w:val="00B82CFB"/>
    <w:rsid w:val="00B85225"/>
    <w:rsid w:val="00B91035"/>
    <w:rsid w:val="00B92A41"/>
    <w:rsid w:val="00B95461"/>
    <w:rsid w:val="00B95A6D"/>
    <w:rsid w:val="00B97639"/>
    <w:rsid w:val="00B978EF"/>
    <w:rsid w:val="00B97A61"/>
    <w:rsid w:val="00BA1114"/>
    <w:rsid w:val="00BA1EB0"/>
    <w:rsid w:val="00BA1F65"/>
    <w:rsid w:val="00BA28AF"/>
    <w:rsid w:val="00BA51A6"/>
    <w:rsid w:val="00BA548C"/>
    <w:rsid w:val="00BA5741"/>
    <w:rsid w:val="00BA7653"/>
    <w:rsid w:val="00BB15CC"/>
    <w:rsid w:val="00BB254C"/>
    <w:rsid w:val="00BB3B89"/>
    <w:rsid w:val="00BB572D"/>
    <w:rsid w:val="00BB6446"/>
    <w:rsid w:val="00BC0903"/>
    <w:rsid w:val="00BC0956"/>
    <w:rsid w:val="00BC0A60"/>
    <w:rsid w:val="00BC216F"/>
    <w:rsid w:val="00BC347F"/>
    <w:rsid w:val="00BC380C"/>
    <w:rsid w:val="00BC3B86"/>
    <w:rsid w:val="00BC3F46"/>
    <w:rsid w:val="00BC4D09"/>
    <w:rsid w:val="00BD1214"/>
    <w:rsid w:val="00BD21BB"/>
    <w:rsid w:val="00BD5A82"/>
    <w:rsid w:val="00BE0AF6"/>
    <w:rsid w:val="00BE390D"/>
    <w:rsid w:val="00BE3E2A"/>
    <w:rsid w:val="00BE46BC"/>
    <w:rsid w:val="00BE4D8F"/>
    <w:rsid w:val="00BE57FC"/>
    <w:rsid w:val="00BE6668"/>
    <w:rsid w:val="00BF0049"/>
    <w:rsid w:val="00BF1059"/>
    <w:rsid w:val="00BF46D3"/>
    <w:rsid w:val="00BF4B41"/>
    <w:rsid w:val="00BF5B67"/>
    <w:rsid w:val="00BF5DD2"/>
    <w:rsid w:val="00BF68E1"/>
    <w:rsid w:val="00C025BD"/>
    <w:rsid w:val="00C02DFE"/>
    <w:rsid w:val="00C03CEB"/>
    <w:rsid w:val="00C05BEF"/>
    <w:rsid w:val="00C05F1A"/>
    <w:rsid w:val="00C06439"/>
    <w:rsid w:val="00C06B79"/>
    <w:rsid w:val="00C10310"/>
    <w:rsid w:val="00C138A9"/>
    <w:rsid w:val="00C217C3"/>
    <w:rsid w:val="00C219B4"/>
    <w:rsid w:val="00C22357"/>
    <w:rsid w:val="00C23F8B"/>
    <w:rsid w:val="00C2564B"/>
    <w:rsid w:val="00C27EAE"/>
    <w:rsid w:val="00C32069"/>
    <w:rsid w:val="00C32436"/>
    <w:rsid w:val="00C332DD"/>
    <w:rsid w:val="00C3340B"/>
    <w:rsid w:val="00C41B78"/>
    <w:rsid w:val="00C42896"/>
    <w:rsid w:val="00C42FCE"/>
    <w:rsid w:val="00C43670"/>
    <w:rsid w:val="00C4460B"/>
    <w:rsid w:val="00C465B1"/>
    <w:rsid w:val="00C465C4"/>
    <w:rsid w:val="00C50F3F"/>
    <w:rsid w:val="00C53CA8"/>
    <w:rsid w:val="00C547FB"/>
    <w:rsid w:val="00C5608A"/>
    <w:rsid w:val="00C60844"/>
    <w:rsid w:val="00C63635"/>
    <w:rsid w:val="00C63925"/>
    <w:rsid w:val="00C64765"/>
    <w:rsid w:val="00C66E1A"/>
    <w:rsid w:val="00C71E07"/>
    <w:rsid w:val="00C746E6"/>
    <w:rsid w:val="00C75DC8"/>
    <w:rsid w:val="00C84DC6"/>
    <w:rsid w:val="00C87BA3"/>
    <w:rsid w:val="00C90537"/>
    <w:rsid w:val="00C90AF5"/>
    <w:rsid w:val="00C91B33"/>
    <w:rsid w:val="00C92326"/>
    <w:rsid w:val="00C94DE3"/>
    <w:rsid w:val="00C967CC"/>
    <w:rsid w:val="00CA0003"/>
    <w:rsid w:val="00CA0C93"/>
    <w:rsid w:val="00CA0CF8"/>
    <w:rsid w:val="00CA10AF"/>
    <w:rsid w:val="00CA25DF"/>
    <w:rsid w:val="00CA42F5"/>
    <w:rsid w:val="00CA4AD2"/>
    <w:rsid w:val="00CA6281"/>
    <w:rsid w:val="00CA6A49"/>
    <w:rsid w:val="00CB068D"/>
    <w:rsid w:val="00CB2691"/>
    <w:rsid w:val="00CB6D69"/>
    <w:rsid w:val="00CB75AB"/>
    <w:rsid w:val="00CB79DE"/>
    <w:rsid w:val="00CB7FE5"/>
    <w:rsid w:val="00CC005A"/>
    <w:rsid w:val="00CC0362"/>
    <w:rsid w:val="00CC27A4"/>
    <w:rsid w:val="00CC28FC"/>
    <w:rsid w:val="00CC359B"/>
    <w:rsid w:val="00CC43F0"/>
    <w:rsid w:val="00CC4988"/>
    <w:rsid w:val="00CC728E"/>
    <w:rsid w:val="00CC73B5"/>
    <w:rsid w:val="00CC7592"/>
    <w:rsid w:val="00CD1EF3"/>
    <w:rsid w:val="00CD21DA"/>
    <w:rsid w:val="00CD2EF3"/>
    <w:rsid w:val="00CD3F81"/>
    <w:rsid w:val="00CD403C"/>
    <w:rsid w:val="00CD4354"/>
    <w:rsid w:val="00CD47E4"/>
    <w:rsid w:val="00CD57B4"/>
    <w:rsid w:val="00CD5BD6"/>
    <w:rsid w:val="00CD5E67"/>
    <w:rsid w:val="00CD5F82"/>
    <w:rsid w:val="00CD6C40"/>
    <w:rsid w:val="00CD6E5D"/>
    <w:rsid w:val="00CD7162"/>
    <w:rsid w:val="00CD743D"/>
    <w:rsid w:val="00CE00E1"/>
    <w:rsid w:val="00CE0DB0"/>
    <w:rsid w:val="00CE66EB"/>
    <w:rsid w:val="00CF20B9"/>
    <w:rsid w:val="00CF3A61"/>
    <w:rsid w:val="00CF4CF4"/>
    <w:rsid w:val="00D0034A"/>
    <w:rsid w:val="00D00B0E"/>
    <w:rsid w:val="00D022F6"/>
    <w:rsid w:val="00D04398"/>
    <w:rsid w:val="00D04F78"/>
    <w:rsid w:val="00D066C4"/>
    <w:rsid w:val="00D2136B"/>
    <w:rsid w:val="00D215FA"/>
    <w:rsid w:val="00D224B2"/>
    <w:rsid w:val="00D224EC"/>
    <w:rsid w:val="00D31B77"/>
    <w:rsid w:val="00D31E9C"/>
    <w:rsid w:val="00D32082"/>
    <w:rsid w:val="00D3799E"/>
    <w:rsid w:val="00D379B9"/>
    <w:rsid w:val="00D40FB4"/>
    <w:rsid w:val="00D4118A"/>
    <w:rsid w:val="00D41277"/>
    <w:rsid w:val="00D412C0"/>
    <w:rsid w:val="00D4397D"/>
    <w:rsid w:val="00D44EFE"/>
    <w:rsid w:val="00D45CFC"/>
    <w:rsid w:val="00D47CC0"/>
    <w:rsid w:val="00D511D8"/>
    <w:rsid w:val="00D51618"/>
    <w:rsid w:val="00D51B01"/>
    <w:rsid w:val="00D52CA1"/>
    <w:rsid w:val="00D546CB"/>
    <w:rsid w:val="00D55054"/>
    <w:rsid w:val="00D57741"/>
    <w:rsid w:val="00D6223E"/>
    <w:rsid w:val="00D62948"/>
    <w:rsid w:val="00D65770"/>
    <w:rsid w:val="00D747FB"/>
    <w:rsid w:val="00D76FC0"/>
    <w:rsid w:val="00D77513"/>
    <w:rsid w:val="00D77FA0"/>
    <w:rsid w:val="00D84E20"/>
    <w:rsid w:val="00D862D2"/>
    <w:rsid w:val="00D868F5"/>
    <w:rsid w:val="00D90F0C"/>
    <w:rsid w:val="00D915C2"/>
    <w:rsid w:val="00D9258B"/>
    <w:rsid w:val="00D9414D"/>
    <w:rsid w:val="00D9724B"/>
    <w:rsid w:val="00D97318"/>
    <w:rsid w:val="00DA2B48"/>
    <w:rsid w:val="00DA6D1C"/>
    <w:rsid w:val="00DB0603"/>
    <w:rsid w:val="00DB0C0C"/>
    <w:rsid w:val="00DB1A4F"/>
    <w:rsid w:val="00DC0514"/>
    <w:rsid w:val="00DC0B6F"/>
    <w:rsid w:val="00DC2709"/>
    <w:rsid w:val="00DC2BCF"/>
    <w:rsid w:val="00DC4591"/>
    <w:rsid w:val="00DC635D"/>
    <w:rsid w:val="00DD1B31"/>
    <w:rsid w:val="00DD3B65"/>
    <w:rsid w:val="00DD53BA"/>
    <w:rsid w:val="00DD71A3"/>
    <w:rsid w:val="00DE21E2"/>
    <w:rsid w:val="00DE2706"/>
    <w:rsid w:val="00DE63B7"/>
    <w:rsid w:val="00DF1BA2"/>
    <w:rsid w:val="00DF1BDF"/>
    <w:rsid w:val="00DF286D"/>
    <w:rsid w:val="00DF794D"/>
    <w:rsid w:val="00DF7E90"/>
    <w:rsid w:val="00E02360"/>
    <w:rsid w:val="00E067A3"/>
    <w:rsid w:val="00E07F42"/>
    <w:rsid w:val="00E10AE0"/>
    <w:rsid w:val="00E10CE2"/>
    <w:rsid w:val="00E14449"/>
    <w:rsid w:val="00E1624A"/>
    <w:rsid w:val="00E168FE"/>
    <w:rsid w:val="00E1795F"/>
    <w:rsid w:val="00E17C88"/>
    <w:rsid w:val="00E22E90"/>
    <w:rsid w:val="00E24424"/>
    <w:rsid w:val="00E24653"/>
    <w:rsid w:val="00E24A3B"/>
    <w:rsid w:val="00E302BB"/>
    <w:rsid w:val="00E305B7"/>
    <w:rsid w:val="00E35112"/>
    <w:rsid w:val="00E36F9F"/>
    <w:rsid w:val="00E3739B"/>
    <w:rsid w:val="00E3783B"/>
    <w:rsid w:val="00E37D9F"/>
    <w:rsid w:val="00E4005C"/>
    <w:rsid w:val="00E40CFC"/>
    <w:rsid w:val="00E42B88"/>
    <w:rsid w:val="00E50484"/>
    <w:rsid w:val="00E53EE8"/>
    <w:rsid w:val="00E54FC6"/>
    <w:rsid w:val="00E557A2"/>
    <w:rsid w:val="00E60443"/>
    <w:rsid w:val="00E60CBF"/>
    <w:rsid w:val="00E623C4"/>
    <w:rsid w:val="00E64846"/>
    <w:rsid w:val="00E657F6"/>
    <w:rsid w:val="00E658CB"/>
    <w:rsid w:val="00E66BDA"/>
    <w:rsid w:val="00E70338"/>
    <w:rsid w:val="00E727B7"/>
    <w:rsid w:val="00E72CAD"/>
    <w:rsid w:val="00E73569"/>
    <w:rsid w:val="00E75C43"/>
    <w:rsid w:val="00E7630A"/>
    <w:rsid w:val="00E77D44"/>
    <w:rsid w:val="00E8035F"/>
    <w:rsid w:val="00E80909"/>
    <w:rsid w:val="00E811E6"/>
    <w:rsid w:val="00E8269F"/>
    <w:rsid w:val="00E84623"/>
    <w:rsid w:val="00E84FD4"/>
    <w:rsid w:val="00E84FE1"/>
    <w:rsid w:val="00E865AC"/>
    <w:rsid w:val="00E872E6"/>
    <w:rsid w:val="00E879A4"/>
    <w:rsid w:val="00E9103A"/>
    <w:rsid w:val="00E913E1"/>
    <w:rsid w:val="00E96228"/>
    <w:rsid w:val="00EA05A7"/>
    <w:rsid w:val="00EA214B"/>
    <w:rsid w:val="00EA3675"/>
    <w:rsid w:val="00EA572E"/>
    <w:rsid w:val="00EA60E3"/>
    <w:rsid w:val="00EA670F"/>
    <w:rsid w:val="00EA6C00"/>
    <w:rsid w:val="00EA70C8"/>
    <w:rsid w:val="00EB0336"/>
    <w:rsid w:val="00EB034B"/>
    <w:rsid w:val="00EB208A"/>
    <w:rsid w:val="00EB2519"/>
    <w:rsid w:val="00EB46C4"/>
    <w:rsid w:val="00EB5A1D"/>
    <w:rsid w:val="00EC0EDD"/>
    <w:rsid w:val="00EC3131"/>
    <w:rsid w:val="00EC4201"/>
    <w:rsid w:val="00EC422F"/>
    <w:rsid w:val="00EC4AC9"/>
    <w:rsid w:val="00EC6299"/>
    <w:rsid w:val="00EC7266"/>
    <w:rsid w:val="00EC78CE"/>
    <w:rsid w:val="00ED0484"/>
    <w:rsid w:val="00ED06C3"/>
    <w:rsid w:val="00ED215A"/>
    <w:rsid w:val="00EE0536"/>
    <w:rsid w:val="00EE0D0A"/>
    <w:rsid w:val="00EE563E"/>
    <w:rsid w:val="00EE6869"/>
    <w:rsid w:val="00EE7012"/>
    <w:rsid w:val="00EF0D80"/>
    <w:rsid w:val="00EF6805"/>
    <w:rsid w:val="00EF71A3"/>
    <w:rsid w:val="00EF76AB"/>
    <w:rsid w:val="00EF7D70"/>
    <w:rsid w:val="00F0007C"/>
    <w:rsid w:val="00F011BB"/>
    <w:rsid w:val="00F03F2B"/>
    <w:rsid w:val="00F042A6"/>
    <w:rsid w:val="00F05D6A"/>
    <w:rsid w:val="00F0707A"/>
    <w:rsid w:val="00F07681"/>
    <w:rsid w:val="00F076C5"/>
    <w:rsid w:val="00F1112F"/>
    <w:rsid w:val="00F12EDA"/>
    <w:rsid w:val="00F13122"/>
    <w:rsid w:val="00F155E5"/>
    <w:rsid w:val="00F17675"/>
    <w:rsid w:val="00F20B92"/>
    <w:rsid w:val="00F20CDC"/>
    <w:rsid w:val="00F226B4"/>
    <w:rsid w:val="00F2378E"/>
    <w:rsid w:val="00F2576F"/>
    <w:rsid w:val="00F2722A"/>
    <w:rsid w:val="00F27E5E"/>
    <w:rsid w:val="00F30178"/>
    <w:rsid w:val="00F327B3"/>
    <w:rsid w:val="00F32A54"/>
    <w:rsid w:val="00F34EB0"/>
    <w:rsid w:val="00F373C6"/>
    <w:rsid w:val="00F41DD3"/>
    <w:rsid w:val="00F42907"/>
    <w:rsid w:val="00F474F2"/>
    <w:rsid w:val="00F4784E"/>
    <w:rsid w:val="00F47D81"/>
    <w:rsid w:val="00F508A9"/>
    <w:rsid w:val="00F52C33"/>
    <w:rsid w:val="00F54376"/>
    <w:rsid w:val="00F55468"/>
    <w:rsid w:val="00F555C3"/>
    <w:rsid w:val="00F56E55"/>
    <w:rsid w:val="00F60BEC"/>
    <w:rsid w:val="00F61616"/>
    <w:rsid w:val="00F61C49"/>
    <w:rsid w:val="00F64E3A"/>
    <w:rsid w:val="00F6623A"/>
    <w:rsid w:val="00F66707"/>
    <w:rsid w:val="00F6797F"/>
    <w:rsid w:val="00F70653"/>
    <w:rsid w:val="00F70B8B"/>
    <w:rsid w:val="00F72409"/>
    <w:rsid w:val="00F737DC"/>
    <w:rsid w:val="00F75A7F"/>
    <w:rsid w:val="00F8056F"/>
    <w:rsid w:val="00F80BEA"/>
    <w:rsid w:val="00F844C0"/>
    <w:rsid w:val="00F86935"/>
    <w:rsid w:val="00F86E45"/>
    <w:rsid w:val="00F86FB8"/>
    <w:rsid w:val="00F87896"/>
    <w:rsid w:val="00F91F00"/>
    <w:rsid w:val="00F93EA9"/>
    <w:rsid w:val="00F95A5E"/>
    <w:rsid w:val="00F97479"/>
    <w:rsid w:val="00FA15AF"/>
    <w:rsid w:val="00FA2E12"/>
    <w:rsid w:val="00FA43DD"/>
    <w:rsid w:val="00FA44FF"/>
    <w:rsid w:val="00FA68C8"/>
    <w:rsid w:val="00FB107C"/>
    <w:rsid w:val="00FB1730"/>
    <w:rsid w:val="00FB2476"/>
    <w:rsid w:val="00FB5EE2"/>
    <w:rsid w:val="00FB5EE6"/>
    <w:rsid w:val="00FB6635"/>
    <w:rsid w:val="00FB76A1"/>
    <w:rsid w:val="00FC0EB3"/>
    <w:rsid w:val="00FC28F1"/>
    <w:rsid w:val="00FC3F1A"/>
    <w:rsid w:val="00FC487B"/>
    <w:rsid w:val="00FC543C"/>
    <w:rsid w:val="00FC7F28"/>
    <w:rsid w:val="00FD28E4"/>
    <w:rsid w:val="00FD3595"/>
    <w:rsid w:val="00FD3AB3"/>
    <w:rsid w:val="00FD3F78"/>
    <w:rsid w:val="00FD465E"/>
    <w:rsid w:val="00FD5338"/>
    <w:rsid w:val="00FD5CDE"/>
    <w:rsid w:val="00FD6741"/>
    <w:rsid w:val="00FE2F2B"/>
    <w:rsid w:val="00FE5435"/>
    <w:rsid w:val="00FE5947"/>
    <w:rsid w:val="00FE5FCB"/>
    <w:rsid w:val="00FE78CA"/>
    <w:rsid w:val="00FE7F1F"/>
    <w:rsid w:val="00FF0257"/>
    <w:rsid w:val="00FF1F94"/>
    <w:rsid w:val="00FF35F3"/>
    <w:rsid w:val="00FF41EA"/>
    <w:rsid w:val="00FF4299"/>
    <w:rsid w:val="00FF5D02"/>
    <w:rsid w:val="00FF7526"/>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59B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TOC5">
    <w:name w:val="toc 5"/>
    <w:basedOn w:val="Normal"/>
    <w:next w:val="Normal"/>
    <w:autoRedefine/>
    <w:uiPriority w:val="39"/>
    <w:semiHidden/>
    <w:unhideWhenUsed/>
    <w:rsid w:val="008053E1"/>
    <w:pPr>
      <w:spacing w:after="100"/>
      <w:ind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TOC5">
    <w:name w:val="toc 5"/>
    <w:basedOn w:val="Normal"/>
    <w:next w:val="Normal"/>
    <w:autoRedefine/>
    <w:uiPriority w:val="39"/>
    <w:semiHidden/>
    <w:unhideWhenUsed/>
    <w:rsid w:val="008053E1"/>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827">
      <w:bodyDiv w:val="1"/>
      <w:marLeft w:val="0"/>
      <w:marRight w:val="0"/>
      <w:marTop w:val="0"/>
      <w:marBottom w:val="0"/>
      <w:divBdr>
        <w:top w:val="none" w:sz="0" w:space="0" w:color="auto"/>
        <w:left w:val="none" w:sz="0" w:space="0" w:color="auto"/>
        <w:bottom w:val="none" w:sz="0" w:space="0" w:color="auto"/>
        <w:right w:val="none" w:sz="0" w:space="0" w:color="auto"/>
      </w:divBdr>
    </w:div>
    <w:div w:id="17661796">
      <w:bodyDiv w:val="1"/>
      <w:marLeft w:val="0"/>
      <w:marRight w:val="0"/>
      <w:marTop w:val="0"/>
      <w:marBottom w:val="0"/>
      <w:divBdr>
        <w:top w:val="none" w:sz="0" w:space="0" w:color="auto"/>
        <w:left w:val="none" w:sz="0" w:space="0" w:color="auto"/>
        <w:bottom w:val="none" w:sz="0" w:space="0" w:color="auto"/>
        <w:right w:val="none" w:sz="0" w:space="0" w:color="auto"/>
      </w:divBdr>
    </w:div>
    <w:div w:id="30962289">
      <w:bodyDiv w:val="1"/>
      <w:marLeft w:val="0"/>
      <w:marRight w:val="0"/>
      <w:marTop w:val="0"/>
      <w:marBottom w:val="0"/>
      <w:divBdr>
        <w:top w:val="none" w:sz="0" w:space="0" w:color="auto"/>
        <w:left w:val="none" w:sz="0" w:space="0" w:color="auto"/>
        <w:bottom w:val="none" w:sz="0" w:space="0" w:color="auto"/>
        <w:right w:val="none" w:sz="0" w:space="0" w:color="auto"/>
      </w:divBdr>
    </w:div>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73943840">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17075841">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67089272">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393309910">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73265531">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bls.gov/oes/current/oes119151.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crharper1@cdc.gov" TargetMode="External"/><Relationship Id="rId17" Type="http://schemas.openxmlformats.org/officeDocument/2006/relationships/hyperlink" Target="mailto:cgoodenow@doe.mass.edu" TargetMode="External"/><Relationship Id="rId2" Type="http://schemas.openxmlformats.org/officeDocument/2006/relationships/customXml" Target="../customXml/item2.xml"/><Relationship Id="rId16" Type="http://schemas.openxmlformats.org/officeDocument/2006/relationships/hyperlink" Target="mailto:bgriesse@ncsdd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hirleyc@scsk12.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chhoferL@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8C4E-EB31-4420-9075-2662B4AD6F27}">
  <ds:schemaRefs>
    <ds:schemaRef ds:uri="http://schemas.openxmlformats.org/officeDocument/2006/bibliography"/>
  </ds:schemaRefs>
</ds:datastoreItem>
</file>

<file path=customXml/itemProps2.xml><?xml version="1.0" encoding="utf-8"?>
<ds:datastoreItem xmlns:ds="http://schemas.openxmlformats.org/officeDocument/2006/customXml" ds:itemID="{A2C433AF-9E76-4EEE-A921-E39310E64873}">
  <ds:schemaRefs>
    <ds:schemaRef ds:uri="http://schemas.openxmlformats.org/officeDocument/2006/bibliography"/>
  </ds:schemaRefs>
</ds:datastoreItem>
</file>

<file path=customXml/itemProps3.xml><?xml version="1.0" encoding="utf-8"?>
<ds:datastoreItem xmlns:ds="http://schemas.openxmlformats.org/officeDocument/2006/customXml" ds:itemID="{ADE2CFEF-4CE4-45EF-A6D1-87547393723C}">
  <ds:schemaRefs>
    <ds:schemaRef ds:uri="http://schemas.openxmlformats.org/officeDocument/2006/bibliography"/>
  </ds:schemaRefs>
</ds:datastoreItem>
</file>

<file path=customXml/itemProps4.xml><?xml version="1.0" encoding="utf-8"?>
<ds:datastoreItem xmlns:ds="http://schemas.openxmlformats.org/officeDocument/2006/customXml" ds:itemID="{59A6FED3-238C-446A-AEC9-972D1176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6051</Words>
  <Characters>34495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40466</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SYSTEM</cp:lastModifiedBy>
  <cp:revision>2</cp:revision>
  <cp:lastPrinted>2015-01-06T14:43:00Z</cp:lastPrinted>
  <dcterms:created xsi:type="dcterms:W3CDTF">2017-10-17T18:48:00Z</dcterms:created>
  <dcterms:modified xsi:type="dcterms:W3CDTF">2017-10-17T18:48:00Z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