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36864"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jc w:val="center"/>
        <w:rPr>
          <w:b/>
          <w:bCs/>
        </w:rPr>
      </w:pPr>
      <w:bookmarkStart w:id="0" w:name="_GoBack"/>
      <w:bookmarkEnd w:id="0"/>
    </w:p>
    <w:p w14:paraId="6D18B5C4"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ZIRP Puerto Rico Study</w:t>
      </w:r>
    </w:p>
    <w:p w14:paraId="680220B4"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34AD8703" w14:textId="77777777" w:rsidR="006C5ABB" w:rsidRDefault="002571FE">
      <w:pPr>
        <w:jc w:val="center"/>
        <w:rPr>
          <w:b/>
          <w:bCs/>
        </w:rPr>
      </w:pPr>
      <w:r>
        <w:rPr>
          <w:b/>
          <w:bCs/>
        </w:rPr>
        <w:t>Zika Virus RNA Persistence in Pregnant Women and Congenitally Infected Infants in Puerto Rico (ZIRP)</w:t>
      </w:r>
    </w:p>
    <w:p w14:paraId="00214DF8"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18B8C856"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rPr>
      </w:pPr>
    </w:p>
    <w:p w14:paraId="03EA494A"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4E0A46A6"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7B452520"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Supporting Statement: Part B</w:t>
      </w:r>
    </w:p>
    <w:p w14:paraId="26AE3257"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03CDF4DF"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0F37CA82"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rPr>
      </w:pPr>
    </w:p>
    <w:p w14:paraId="79D17DC7" w14:textId="0E8974F4" w:rsidR="0048334D" w:rsidRDefault="0048334D" w:rsidP="0048334D">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1B16E4">
        <w:rPr>
          <w:b/>
          <w:bCs/>
        </w:rPr>
        <w:t>OMB # 0920-</w:t>
      </w:r>
      <w:r w:rsidR="00A63A25">
        <w:rPr>
          <w:b/>
          <w:bCs/>
        </w:rPr>
        <w:t>XXXX</w:t>
      </w:r>
    </w:p>
    <w:p w14:paraId="6A60993E"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rPr>
      </w:pPr>
    </w:p>
    <w:p w14:paraId="16E3CC52"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rPr>
      </w:pPr>
    </w:p>
    <w:p w14:paraId="3C2235BD"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rPr>
      </w:pPr>
    </w:p>
    <w:p w14:paraId="0774663C"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rPr>
      </w:pPr>
    </w:p>
    <w:p w14:paraId="1782C5B8"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rPr>
      </w:pPr>
    </w:p>
    <w:p w14:paraId="7F7D1433" w14:textId="67A6B964" w:rsidR="00A63A25" w:rsidRDefault="00A63A25" w:rsidP="00A63A25">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September 21, 2017</w:t>
      </w:r>
    </w:p>
    <w:p w14:paraId="7194FB6E"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7B7E9967"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42CFFABB"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3FD2AA94"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0FE6D705"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25D399D5"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41C15101"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304D57ED"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2232DA4B"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13ED35C2"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0E340409"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7C8B755A"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0D2204B8"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6D1BC69B"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5D9F1840"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Sascha Ellington, MSPH</w:t>
      </w:r>
    </w:p>
    <w:p w14:paraId="3B72377A"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Telephone: 770-488-6037</w:t>
      </w:r>
    </w:p>
    <w:p w14:paraId="27C71033"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Fax: 770-488-6391</w:t>
      </w:r>
    </w:p>
    <w:p w14:paraId="1AC535F1"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E-mail: frk5@cdc.gov</w:t>
      </w:r>
    </w:p>
    <w:p w14:paraId="1AB327FC"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Pregnancy and Birth Defects Task Force</w:t>
      </w:r>
    </w:p>
    <w:p w14:paraId="6611A252"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CDC Zika Virus Response Team</w:t>
      </w:r>
    </w:p>
    <w:p w14:paraId="4D8D1155"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Centers for Disease Control and Prevention</w:t>
      </w:r>
    </w:p>
    <w:p w14:paraId="37DED926"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Atlanta, Georgia 30341</w:t>
      </w:r>
    </w:p>
    <w:p w14:paraId="7B3D5686"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p>
    <w:p w14:paraId="7B2D5D12"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6586843"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Table of Contents</w:t>
      </w:r>
    </w:p>
    <w:p w14:paraId="58A49B65"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bl>
      <w:tblPr>
        <w:tblStyle w:val="TableGrid"/>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13"/>
      </w:tblGrid>
      <w:tr w:rsidR="006C5ABB" w14:paraId="670C5B14" w14:textId="77777777">
        <w:trPr>
          <w:trHeight w:val="555"/>
        </w:trPr>
        <w:tc>
          <w:tcPr>
            <w:tcW w:w="9913" w:type="dxa"/>
          </w:tcPr>
          <w:p w14:paraId="3DEA4F5A"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rPr>
                <w:b/>
              </w:rPr>
            </w:pPr>
            <w:r>
              <w:rPr>
                <w:b/>
              </w:rPr>
              <w:t>B. Collections of Information Employing Statistical Methods</w:t>
            </w:r>
          </w:p>
          <w:p w14:paraId="60F30B7B"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
              </w:rPr>
            </w:pPr>
          </w:p>
        </w:tc>
      </w:tr>
      <w:tr w:rsidR="006C5ABB" w14:paraId="380A988C" w14:textId="77777777">
        <w:trPr>
          <w:trHeight w:val="270"/>
        </w:trPr>
        <w:tc>
          <w:tcPr>
            <w:tcW w:w="9913" w:type="dxa"/>
          </w:tcPr>
          <w:p w14:paraId="600EEF99" w14:textId="77777777" w:rsidR="006C5ABB" w:rsidRDefault="002571FE">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Respondent Universe and Sampling Methods</w:t>
            </w:r>
          </w:p>
        </w:tc>
      </w:tr>
      <w:tr w:rsidR="006C5ABB" w14:paraId="37DD3068" w14:textId="77777777">
        <w:trPr>
          <w:trHeight w:val="285"/>
        </w:trPr>
        <w:tc>
          <w:tcPr>
            <w:tcW w:w="9913" w:type="dxa"/>
          </w:tcPr>
          <w:p w14:paraId="098B1625" w14:textId="77777777" w:rsidR="006C5ABB" w:rsidRDefault="002571FE">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Procedures for the Collection of Information</w:t>
            </w:r>
          </w:p>
        </w:tc>
      </w:tr>
      <w:tr w:rsidR="006C5ABB" w14:paraId="22E8CCA6" w14:textId="77777777">
        <w:trPr>
          <w:trHeight w:val="270"/>
        </w:trPr>
        <w:tc>
          <w:tcPr>
            <w:tcW w:w="9913" w:type="dxa"/>
          </w:tcPr>
          <w:p w14:paraId="3B96CAA4" w14:textId="77777777" w:rsidR="006C5ABB" w:rsidRDefault="002571FE">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Methods to Maximize Response Rates and Deal with Non-response</w:t>
            </w:r>
          </w:p>
        </w:tc>
      </w:tr>
      <w:tr w:rsidR="006C5ABB" w14:paraId="076918EF" w14:textId="77777777">
        <w:trPr>
          <w:trHeight w:val="285"/>
        </w:trPr>
        <w:tc>
          <w:tcPr>
            <w:tcW w:w="9913" w:type="dxa"/>
          </w:tcPr>
          <w:p w14:paraId="57FFB254" w14:textId="77777777" w:rsidR="006C5ABB" w:rsidRDefault="002571FE">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Tests of Procedures or Methods to be Undertaken</w:t>
            </w:r>
          </w:p>
        </w:tc>
      </w:tr>
      <w:tr w:rsidR="006C5ABB" w14:paraId="017A9168" w14:textId="77777777">
        <w:trPr>
          <w:trHeight w:val="270"/>
        </w:trPr>
        <w:tc>
          <w:tcPr>
            <w:tcW w:w="9913" w:type="dxa"/>
          </w:tcPr>
          <w:p w14:paraId="65EE4930" w14:textId="77777777" w:rsidR="006C5ABB" w:rsidRDefault="002571FE">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left="360"/>
            </w:pPr>
            <w:r>
              <w:t>Individuals Consulted on Statistical Aspects and Individuals Collecting and/or Analyzing Data</w:t>
            </w:r>
          </w:p>
        </w:tc>
      </w:tr>
    </w:tbl>
    <w:p w14:paraId="5628E386"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79AD73FA"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E47437F"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EF51469" w14:textId="77777777" w:rsidR="006C5ABB" w:rsidRDefault="002571FE">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r>
        <w:rPr>
          <w:b/>
          <w:bCs/>
        </w:rPr>
        <w:t>Attachments</w:t>
      </w:r>
    </w:p>
    <w:p w14:paraId="7B1CDF9A" w14:textId="77777777" w:rsidR="006C5ABB" w:rsidRDefault="006C5ABB">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p>
    <w:p w14:paraId="265C14A8" w14:textId="77777777" w:rsidR="006559D4" w:rsidRPr="002571FE" w:rsidRDefault="006559D4" w:rsidP="006559D4">
      <w:pPr>
        <w:widowControl/>
        <w:numPr>
          <w:ilvl w:val="0"/>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t>Section 301 of the Public Health Service Act (42 U.S.C. 241)</w:t>
      </w:r>
    </w:p>
    <w:p w14:paraId="35913E5C" w14:textId="56CBB96A" w:rsidR="006559D4" w:rsidRPr="002571FE" w:rsidRDefault="0048334D" w:rsidP="006559D4">
      <w:pPr>
        <w:widowControl/>
        <w:numPr>
          <w:ilvl w:val="0"/>
          <w:numId w:val="6"/>
        </w:numPr>
        <w:tabs>
          <w:tab w:val="left" w:pos="360"/>
          <w:tab w:val="center" w:pos="4680"/>
          <w:tab w:val="left" w:pos="5040"/>
          <w:tab w:val="left" w:pos="5760"/>
          <w:tab w:val="left" w:pos="6480"/>
          <w:tab w:val="left" w:pos="7200"/>
          <w:tab w:val="left" w:pos="7920"/>
          <w:tab w:val="left" w:pos="8640"/>
          <w:tab w:val="left" w:pos="9360"/>
        </w:tabs>
        <w:rPr>
          <w:bCs/>
        </w:rPr>
      </w:pPr>
      <w:r>
        <w:rPr>
          <w:bCs/>
        </w:rPr>
        <w:t>30</w:t>
      </w:r>
      <w:r w:rsidR="006559D4" w:rsidRPr="002571FE">
        <w:rPr>
          <w:bCs/>
        </w:rPr>
        <w:t>-Day Federal Register Notice</w:t>
      </w:r>
    </w:p>
    <w:p w14:paraId="20121449" w14:textId="77777777" w:rsidR="006559D4" w:rsidRPr="002571FE" w:rsidRDefault="006559D4" w:rsidP="006559D4">
      <w:pPr>
        <w:widowControl/>
        <w:numPr>
          <w:ilvl w:val="0"/>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Screening and Data Collection Instruments</w:t>
      </w:r>
    </w:p>
    <w:p w14:paraId="70A0E538" w14:textId="77777777" w:rsidR="006559D4" w:rsidRPr="002571FE" w:rsidRDefault="006559D4" w:rsidP="006559D4">
      <w:pPr>
        <w:widowControl/>
        <w:numPr>
          <w:ilvl w:val="1"/>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Pregnant Women Screening Form</w:t>
      </w:r>
    </w:p>
    <w:p w14:paraId="67869817" w14:textId="77777777" w:rsidR="006559D4" w:rsidRPr="002571FE" w:rsidRDefault="006559D4" w:rsidP="006559D4">
      <w:pPr>
        <w:widowControl/>
        <w:numPr>
          <w:ilvl w:val="1"/>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Pregnant Women Enrollment Questionnaire</w:t>
      </w:r>
    </w:p>
    <w:p w14:paraId="3185A936" w14:textId="77777777" w:rsidR="006559D4" w:rsidRPr="002571FE" w:rsidRDefault="006559D4" w:rsidP="006559D4">
      <w:pPr>
        <w:widowControl/>
        <w:numPr>
          <w:ilvl w:val="1"/>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Pregnant Women Symptoms Questionnaire</w:t>
      </w:r>
    </w:p>
    <w:p w14:paraId="6FB943F2" w14:textId="77777777" w:rsidR="006559D4" w:rsidRPr="002571FE" w:rsidRDefault="006559D4" w:rsidP="006559D4">
      <w:pPr>
        <w:widowControl/>
        <w:numPr>
          <w:ilvl w:val="1"/>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Pregnant Women Follow-up Questionnaire</w:t>
      </w:r>
    </w:p>
    <w:p w14:paraId="3170981F" w14:textId="5AE422D1" w:rsidR="006559D4" w:rsidRPr="002571FE" w:rsidRDefault="006559D4" w:rsidP="006559D4">
      <w:pPr>
        <w:widowControl/>
        <w:numPr>
          <w:ilvl w:val="1"/>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Infant Enrollment</w:t>
      </w:r>
      <w:r w:rsidR="00C6361D">
        <w:rPr>
          <w:bCs/>
        </w:rPr>
        <w:t xml:space="preserve"> and Delivery </w:t>
      </w:r>
      <w:r w:rsidRPr="002571FE">
        <w:rPr>
          <w:bCs/>
        </w:rPr>
        <w:t>Questionnaire</w:t>
      </w:r>
    </w:p>
    <w:p w14:paraId="6027D1AC" w14:textId="77777777" w:rsidR="006559D4" w:rsidRPr="002571FE" w:rsidRDefault="006559D4" w:rsidP="006559D4">
      <w:pPr>
        <w:widowControl/>
        <w:numPr>
          <w:ilvl w:val="1"/>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Infant Follow-up Questionnaire</w:t>
      </w:r>
    </w:p>
    <w:p w14:paraId="72A394F7" w14:textId="77777777" w:rsidR="006559D4" w:rsidRPr="002571FE" w:rsidRDefault="006559D4" w:rsidP="006559D4">
      <w:pPr>
        <w:widowControl/>
        <w:numPr>
          <w:ilvl w:val="0"/>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Confidentiality and Non-disclosure Agreements</w:t>
      </w:r>
    </w:p>
    <w:p w14:paraId="0896ADA3" w14:textId="77777777" w:rsidR="006559D4" w:rsidRPr="002571FE" w:rsidRDefault="006559D4" w:rsidP="006559D4">
      <w:pPr>
        <w:widowControl/>
        <w:numPr>
          <w:ilvl w:val="1"/>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Assurance of Confidentiality Agreement</w:t>
      </w:r>
    </w:p>
    <w:p w14:paraId="178FFAE4" w14:textId="77777777" w:rsidR="006559D4" w:rsidRPr="002571FE" w:rsidRDefault="006559D4" w:rsidP="006559D4">
      <w:pPr>
        <w:pStyle w:val="ListParagraph"/>
        <w:numPr>
          <w:ilvl w:val="1"/>
          <w:numId w:val="6"/>
        </w:numPr>
        <w:contextualSpacing w:val="0"/>
        <w:rPr>
          <w:rFonts w:ascii="Times New Roman" w:hAnsi="Times New Roman" w:cs="Times New Roman"/>
          <w:sz w:val="24"/>
          <w:szCs w:val="24"/>
        </w:rPr>
      </w:pPr>
      <w:r w:rsidRPr="002571FE">
        <w:rPr>
          <w:rFonts w:ascii="Times New Roman" w:hAnsi="Times New Roman" w:cs="Times New Roman"/>
          <w:sz w:val="24"/>
          <w:szCs w:val="24"/>
        </w:rPr>
        <w:t>FTE nondisclosure agreement</w:t>
      </w:r>
    </w:p>
    <w:p w14:paraId="0998CAE8" w14:textId="77777777" w:rsidR="006559D4" w:rsidRPr="002571FE" w:rsidRDefault="006559D4" w:rsidP="006559D4">
      <w:pPr>
        <w:widowControl/>
        <w:numPr>
          <w:ilvl w:val="1"/>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Agreement to Abide By Restrictions on Release of Zika Pregnancy and Infant Outcomes Surveillance and Surveillance-Related Data Collected and Maintained by the Centers for Disease Control and Prevention (CDC)</w:t>
      </w:r>
    </w:p>
    <w:p w14:paraId="45ACE419" w14:textId="77777777" w:rsidR="006559D4" w:rsidRPr="002571FE" w:rsidRDefault="006559D4" w:rsidP="006559D4">
      <w:pPr>
        <w:widowControl/>
        <w:numPr>
          <w:ilvl w:val="0"/>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IRB Approval</w:t>
      </w:r>
    </w:p>
    <w:p w14:paraId="14B7674E" w14:textId="6382073E" w:rsidR="006559D4" w:rsidRDefault="006559D4" w:rsidP="006559D4">
      <w:pPr>
        <w:widowControl/>
        <w:numPr>
          <w:ilvl w:val="1"/>
          <w:numId w:val="6"/>
        </w:numPr>
        <w:tabs>
          <w:tab w:val="left" w:pos="360"/>
          <w:tab w:val="center" w:pos="4680"/>
          <w:tab w:val="left" w:pos="5040"/>
          <w:tab w:val="left" w:pos="5760"/>
          <w:tab w:val="left" w:pos="6480"/>
          <w:tab w:val="left" w:pos="7200"/>
          <w:tab w:val="left" w:pos="7920"/>
          <w:tab w:val="left" w:pos="8640"/>
          <w:tab w:val="left" w:pos="9360"/>
        </w:tabs>
        <w:rPr>
          <w:bCs/>
        </w:rPr>
      </w:pPr>
      <w:r w:rsidRPr="002571FE">
        <w:rPr>
          <w:bCs/>
        </w:rPr>
        <w:t>IRB Approval Letter (CDC)</w:t>
      </w:r>
    </w:p>
    <w:p w14:paraId="3CEB1295" w14:textId="77777777" w:rsidR="00D7383C" w:rsidRDefault="00D7383C" w:rsidP="00D7383C">
      <w:pPr>
        <w:widowControl/>
        <w:numPr>
          <w:ilvl w:val="1"/>
          <w:numId w:val="6"/>
        </w:numPr>
        <w:tabs>
          <w:tab w:val="left" w:pos="360"/>
          <w:tab w:val="center" w:pos="4680"/>
          <w:tab w:val="left" w:pos="5040"/>
          <w:tab w:val="left" w:pos="5760"/>
          <w:tab w:val="left" w:pos="6480"/>
          <w:tab w:val="left" w:pos="7200"/>
          <w:tab w:val="left" w:pos="7920"/>
          <w:tab w:val="left" w:pos="8640"/>
          <w:tab w:val="left" w:pos="9360"/>
        </w:tabs>
        <w:rPr>
          <w:bCs/>
        </w:rPr>
      </w:pPr>
      <w:r>
        <w:rPr>
          <w:bCs/>
        </w:rPr>
        <w:t>IRB Approval Letter (UPR)</w:t>
      </w:r>
    </w:p>
    <w:p w14:paraId="2134B4AC" w14:textId="77777777" w:rsidR="00D7383C" w:rsidRDefault="00D7383C" w:rsidP="00D7383C">
      <w:pPr>
        <w:widowControl/>
        <w:numPr>
          <w:ilvl w:val="1"/>
          <w:numId w:val="6"/>
        </w:numPr>
        <w:tabs>
          <w:tab w:val="left" w:pos="360"/>
          <w:tab w:val="center" w:pos="4680"/>
          <w:tab w:val="left" w:pos="5040"/>
          <w:tab w:val="left" w:pos="5760"/>
          <w:tab w:val="left" w:pos="6480"/>
          <w:tab w:val="left" w:pos="7200"/>
          <w:tab w:val="left" w:pos="7920"/>
          <w:tab w:val="left" w:pos="8640"/>
          <w:tab w:val="left" w:pos="9360"/>
        </w:tabs>
        <w:rPr>
          <w:bCs/>
        </w:rPr>
      </w:pPr>
      <w:r>
        <w:rPr>
          <w:bCs/>
        </w:rPr>
        <w:t>IRB Approval Letter Amendment 1 (CDC)</w:t>
      </w:r>
    </w:p>
    <w:p w14:paraId="0E5CC8FE" w14:textId="77777777" w:rsidR="00D7383C" w:rsidRPr="002571FE" w:rsidRDefault="00D7383C" w:rsidP="00D7383C">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14:paraId="5B02D51B" w14:textId="77777777" w:rsidR="006559D4" w:rsidRDefault="006559D4" w:rsidP="006559D4">
      <w:pPr>
        <w:widowControl/>
        <w:autoSpaceDE/>
        <w:autoSpaceDN/>
        <w:adjustRightInd/>
        <w:rPr>
          <w:bCs/>
        </w:rPr>
      </w:pPr>
      <w:r>
        <w:rPr>
          <w:bCs/>
        </w:rPr>
        <w:br w:type="page"/>
      </w:r>
    </w:p>
    <w:p w14:paraId="16B64860" w14:textId="77777777" w:rsidR="006559D4" w:rsidRPr="00B746D7" w:rsidRDefault="006559D4" w:rsidP="006559D4">
      <w:pPr>
        <w:widowControl/>
        <w:autoSpaceDE/>
        <w:autoSpaceDN/>
        <w:adjustRightInd/>
        <w:rPr>
          <w:b/>
          <w:bCs/>
        </w:rPr>
      </w:pPr>
      <w:r w:rsidRPr="00B746D7">
        <w:rPr>
          <w:b/>
          <w:bCs/>
        </w:rPr>
        <w:lastRenderedPageBreak/>
        <w:t>ABBREVIATIONS</w:t>
      </w:r>
    </w:p>
    <w:p w14:paraId="6A033D00" w14:textId="77777777" w:rsidR="006559D4" w:rsidRPr="00B746D7" w:rsidRDefault="006559D4" w:rsidP="006559D4">
      <w:pPr>
        <w:widowControl/>
        <w:autoSpaceDE/>
        <w:autoSpaceDN/>
        <w:adjustRightInd/>
        <w:rPr>
          <w:bCs/>
        </w:rPr>
      </w:pPr>
    </w:p>
    <w:p w14:paraId="194816B3" w14:textId="77777777" w:rsidR="006559D4" w:rsidRPr="00B746D7" w:rsidRDefault="006559D4" w:rsidP="006559D4">
      <w:pPr>
        <w:widowControl/>
        <w:autoSpaceDE/>
        <w:autoSpaceDN/>
        <w:adjustRightInd/>
        <w:rPr>
          <w:bCs/>
        </w:rPr>
      </w:pPr>
      <w:r w:rsidRPr="00B746D7">
        <w:rPr>
          <w:bCs/>
        </w:rPr>
        <w:t>CDC</w:t>
      </w:r>
      <w:r w:rsidRPr="00B746D7">
        <w:rPr>
          <w:bCs/>
        </w:rPr>
        <w:tab/>
      </w:r>
      <w:r w:rsidRPr="00B746D7">
        <w:rPr>
          <w:bCs/>
        </w:rPr>
        <w:tab/>
        <w:t>Centers for Disease Control and Prevention</w:t>
      </w:r>
    </w:p>
    <w:p w14:paraId="7D9B8181" w14:textId="77777777" w:rsidR="006559D4" w:rsidRPr="00B746D7" w:rsidRDefault="006559D4" w:rsidP="006559D4">
      <w:pPr>
        <w:widowControl/>
        <w:autoSpaceDE/>
        <w:autoSpaceDN/>
        <w:adjustRightInd/>
        <w:rPr>
          <w:bCs/>
        </w:rPr>
      </w:pPr>
      <w:r w:rsidRPr="00B746D7">
        <w:rPr>
          <w:bCs/>
        </w:rPr>
        <w:t>EOC                Emergency Operations Center</w:t>
      </w:r>
    </w:p>
    <w:p w14:paraId="51C41FB5" w14:textId="77777777" w:rsidR="006559D4" w:rsidRPr="00B746D7" w:rsidRDefault="006559D4" w:rsidP="006559D4">
      <w:pPr>
        <w:widowControl/>
        <w:autoSpaceDE/>
        <w:autoSpaceDN/>
        <w:adjustRightInd/>
        <w:rPr>
          <w:bCs/>
        </w:rPr>
      </w:pPr>
      <w:r w:rsidRPr="00B746D7">
        <w:rPr>
          <w:bCs/>
        </w:rPr>
        <w:t>IgM                 Immunoglobulin M</w:t>
      </w:r>
    </w:p>
    <w:p w14:paraId="6C0147AE" w14:textId="77777777" w:rsidR="006559D4" w:rsidRPr="00B746D7" w:rsidRDefault="006559D4" w:rsidP="006559D4">
      <w:pPr>
        <w:widowControl/>
        <w:autoSpaceDE/>
        <w:autoSpaceDN/>
        <w:adjustRightInd/>
        <w:rPr>
          <w:bCs/>
        </w:rPr>
      </w:pPr>
      <w:r w:rsidRPr="00B746D7">
        <w:rPr>
          <w:bCs/>
        </w:rPr>
        <w:t>IRB</w:t>
      </w:r>
      <w:r w:rsidRPr="00B746D7">
        <w:rPr>
          <w:bCs/>
        </w:rPr>
        <w:tab/>
      </w:r>
      <w:r w:rsidRPr="00B746D7">
        <w:rPr>
          <w:bCs/>
        </w:rPr>
        <w:tab/>
        <w:t>Institutional Review Board</w:t>
      </w:r>
    </w:p>
    <w:p w14:paraId="0827D1C1" w14:textId="77777777" w:rsidR="006559D4" w:rsidRPr="00B746D7" w:rsidRDefault="006559D4" w:rsidP="006559D4">
      <w:pPr>
        <w:widowControl/>
        <w:autoSpaceDE/>
        <w:autoSpaceDN/>
        <w:adjustRightInd/>
        <w:rPr>
          <w:bCs/>
        </w:rPr>
      </w:pPr>
      <w:r w:rsidRPr="00B746D7">
        <w:rPr>
          <w:bCs/>
        </w:rPr>
        <w:t xml:space="preserve">mL                   Milliliter </w:t>
      </w:r>
    </w:p>
    <w:p w14:paraId="7AA6902F" w14:textId="77777777" w:rsidR="006559D4" w:rsidRPr="00B746D7" w:rsidRDefault="006559D4" w:rsidP="006559D4">
      <w:pPr>
        <w:widowControl/>
        <w:autoSpaceDE/>
        <w:autoSpaceDN/>
        <w:adjustRightInd/>
        <w:rPr>
          <w:bCs/>
        </w:rPr>
      </w:pPr>
      <w:r w:rsidRPr="00B746D7">
        <w:rPr>
          <w:bCs/>
        </w:rPr>
        <w:t>MRI                 Magnetic Resonance Imagining</w:t>
      </w:r>
    </w:p>
    <w:p w14:paraId="62F64851" w14:textId="77777777" w:rsidR="006559D4" w:rsidRPr="00B746D7" w:rsidRDefault="006559D4" w:rsidP="006559D4">
      <w:pPr>
        <w:widowControl/>
        <w:autoSpaceDE/>
        <w:autoSpaceDN/>
        <w:adjustRightInd/>
        <w:rPr>
          <w:bCs/>
        </w:rPr>
      </w:pPr>
      <w:r w:rsidRPr="00B746D7">
        <w:rPr>
          <w:bCs/>
        </w:rPr>
        <w:t xml:space="preserve">OB                   Obstetric </w:t>
      </w:r>
    </w:p>
    <w:p w14:paraId="1D414556" w14:textId="77777777" w:rsidR="006559D4" w:rsidRPr="00B746D7" w:rsidRDefault="006559D4" w:rsidP="006559D4">
      <w:pPr>
        <w:widowControl/>
        <w:autoSpaceDE/>
        <w:autoSpaceDN/>
        <w:adjustRightInd/>
        <w:rPr>
          <w:bCs/>
        </w:rPr>
      </w:pPr>
      <w:r w:rsidRPr="00B746D7">
        <w:rPr>
          <w:bCs/>
        </w:rPr>
        <w:t>PRDH              Puerto Rico Department of Health</w:t>
      </w:r>
    </w:p>
    <w:p w14:paraId="6C0DBC05" w14:textId="77777777" w:rsidR="006559D4" w:rsidRPr="00B746D7" w:rsidRDefault="006559D4" w:rsidP="006559D4">
      <w:pPr>
        <w:widowControl/>
        <w:autoSpaceDE/>
        <w:autoSpaceDN/>
        <w:adjustRightInd/>
        <w:rPr>
          <w:bCs/>
        </w:rPr>
      </w:pPr>
      <w:r w:rsidRPr="00B746D7">
        <w:rPr>
          <w:bCs/>
        </w:rPr>
        <w:t>PI                     Principal Investigator</w:t>
      </w:r>
    </w:p>
    <w:p w14:paraId="65F30C77" w14:textId="77777777" w:rsidR="006559D4" w:rsidRPr="00B746D7" w:rsidRDefault="006559D4" w:rsidP="006559D4">
      <w:pPr>
        <w:widowControl/>
        <w:autoSpaceDE/>
        <w:autoSpaceDN/>
        <w:adjustRightInd/>
        <w:rPr>
          <w:bCs/>
        </w:rPr>
      </w:pPr>
      <w:r w:rsidRPr="00B746D7">
        <w:rPr>
          <w:bCs/>
        </w:rPr>
        <w:t>POC                 Point of Contact</w:t>
      </w:r>
    </w:p>
    <w:p w14:paraId="38322CCA" w14:textId="77777777" w:rsidR="006559D4" w:rsidRPr="00B746D7" w:rsidRDefault="006559D4" w:rsidP="006559D4">
      <w:pPr>
        <w:widowControl/>
        <w:autoSpaceDE/>
        <w:autoSpaceDN/>
        <w:adjustRightInd/>
        <w:rPr>
          <w:bCs/>
        </w:rPr>
      </w:pPr>
      <w:r w:rsidRPr="00B746D7">
        <w:rPr>
          <w:bCs/>
        </w:rPr>
        <w:t>PRDH              Puerto Rico Department of Health</w:t>
      </w:r>
    </w:p>
    <w:p w14:paraId="77ED0903" w14:textId="77777777" w:rsidR="006559D4" w:rsidRPr="00B746D7" w:rsidRDefault="006559D4" w:rsidP="006559D4">
      <w:pPr>
        <w:widowControl/>
        <w:autoSpaceDE/>
        <w:autoSpaceDN/>
        <w:adjustRightInd/>
        <w:rPr>
          <w:bCs/>
        </w:rPr>
      </w:pPr>
      <w:r w:rsidRPr="00B746D7">
        <w:rPr>
          <w:bCs/>
        </w:rPr>
        <w:t>RNA                Ribonucleic acid</w:t>
      </w:r>
    </w:p>
    <w:p w14:paraId="5B7FAACE" w14:textId="77777777" w:rsidR="006559D4" w:rsidRPr="00B746D7" w:rsidRDefault="006559D4" w:rsidP="006559D4">
      <w:pPr>
        <w:widowControl/>
        <w:autoSpaceDE/>
        <w:autoSpaceDN/>
        <w:adjustRightInd/>
        <w:rPr>
          <w:bCs/>
        </w:rPr>
      </w:pPr>
      <w:r w:rsidRPr="00B746D7">
        <w:rPr>
          <w:bCs/>
        </w:rPr>
        <w:t>rRT-PCR         Real-time reverse transcription–polymerase chain reaction</w:t>
      </w:r>
    </w:p>
    <w:p w14:paraId="4BC87E45" w14:textId="77777777" w:rsidR="006559D4" w:rsidRPr="00B746D7" w:rsidRDefault="006559D4" w:rsidP="006559D4">
      <w:pPr>
        <w:widowControl/>
        <w:autoSpaceDE/>
        <w:autoSpaceDN/>
        <w:adjustRightInd/>
        <w:rPr>
          <w:bCs/>
        </w:rPr>
      </w:pPr>
      <w:r w:rsidRPr="00B746D7">
        <w:rPr>
          <w:bCs/>
        </w:rPr>
        <w:t>USZPR            US Zika Pregnancy Registry</w:t>
      </w:r>
    </w:p>
    <w:p w14:paraId="65A10A4F" w14:textId="77777777" w:rsidR="006559D4" w:rsidRPr="00B746D7" w:rsidRDefault="006559D4" w:rsidP="006559D4">
      <w:pPr>
        <w:widowControl/>
        <w:autoSpaceDE/>
        <w:autoSpaceDN/>
        <w:adjustRightInd/>
        <w:rPr>
          <w:bCs/>
        </w:rPr>
      </w:pPr>
      <w:r w:rsidRPr="00B746D7">
        <w:rPr>
          <w:bCs/>
        </w:rPr>
        <w:t>ZAPSS             Zika Active Pregnancy Surveillance System</w:t>
      </w:r>
    </w:p>
    <w:p w14:paraId="24FE11DE" w14:textId="6E157275" w:rsidR="006C5ABB" w:rsidRDefault="006559D4" w:rsidP="00655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746D7">
        <w:rPr>
          <w:bCs/>
        </w:rPr>
        <w:t>ZIKV               Zika Virus</w:t>
      </w:r>
      <w:r w:rsidR="002571FE">
        <w:rPr>
          <w:b/>
          <w:bCs/>
        </w:rPr>
        <w:br w:type="page"/>
        <w:t>B.  Collections of Information Employing Statistical Methods</w:t>
      </w:r>
    </w:p>
    <w:p w14:paraId="4200396E"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77A304FE" w14:textId="7B556D2B" w:rsidR="006559D4" w:rsidRPr="006559D4"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B.1. Respondent Universe and Sampling Methods</w:t>
      </w:r>
    </w:p>
    <w:p w14:paraId="44038C32" w14:textId="77777777" w:rsidR="006559D4" w:rsidRDefault="00655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C50DD5D" w14:textId="51A2A324" w:rsidR="006C5ABB" w:rsidRDefault="0048334D" w:rsidP="003E1748">
      <w:pPr>
        <w:pStyle w:val="BodyText"/>
      </w:pPr>
      <w:r>
        <w:t>T</w:t>
      </w:r>
      <w:r w:rsidR="006D1083">
        <w:t xml:space="preserve">he objective of our study is to determine </w:t>
      </w:r>
      <w:r w:rsidR="006D1083" w:rsidRPr="00594D5A">
        <w:t>the</w:t>
      </w:r>
      <w:r w:rsidR="006D1083">
        <w:t xml:space="preserve"> prevalence and</w:t>
      </w:r>
      <w:r w:rsidR="006D1083" w:rsidRPr="00594D5A">
        <w:t xml:space="preserve"> </w:t>
      </w:r>
      <w:r w:rsidR="006D1083">
        <w:t>duration</w:t>
      </w:r>
      <w:r w:rsidR="006D1083" w:rsidRPr="00594D5A">
        <w:t xml:space="preserve"> of </w:t>
      </w:r>
      <w:r w:rsidR="006D1083">
        <w:t xml:space="preserve">persistent </w:t>
      </w:r>
      <w:r w:rsidR="006D1083" w:rsidRPr="00594D5A">
        <w:t xml:space="preserve">ZIKV RNA </w:t>
      </w:r>
      <w:r w:rsidR="006D1083">
        <w:t>in</w:t>
      </w:r>
      <w:r w:rsidR="006D1083" w:rsidRPr="00594D5A">
        <w:t xml:space="preserve"> pr</w:t>
      </w:r>
      <w:r w:rsidR="006D1083">
        <w:t>egnant women infected with ZIKV and their congenitally exposed infants</w:t>
      </w:r>
      <w:r w:rsidR="006559D4">
        <w:t>.</w:t>
      </w:r>
      <w:r w:rsidR="003E1748">
        <w:t xml:space="preserve"> In order to achieve this, </w:t>
      </w:r>
      <w:r w:rsidR="006559D4" w:rsidRPr="009E1D59">
        <w:t>using a hypothetical estimate of the prevalence of ZIKV RNA persistence of 5% a</w:t>
      </w:r>
      <w:r w:rsidR="006559D4">
        <w:t>fter 12 months</w:t>
      </w:r>
      <w:r w:rsidR="003E1748">
        <w:t xml:space="preserve">, and </w:t>
      </w:r>
      <w:r w:rsidR="006559D4">
        <w:t>a two-sided 99</w:t>
      </w:r>
      <w:r w:rsidR="006559D4" w:rsidRPr="00ED3C1C">
        <w:t xml:space="preserve">% confidence interval width of 10% (or margin of error (ME) of ±5%), a sample size of </w:t>
      </w:r>
      <w:r w:rsidR="006559D4">
        <w:t>125 ZIKV positive pregnant women</w:t>
      </w:r>
      <w:r w:rsidR="006559D4" w:rsidRPr="00ED3C1C">
        <w:t xml:space="preserve"> and </w:t>
      </w:r>
      <w:r w:rsidR="006559D4">
        <w:t xml:space="preserve">congenitally-infected infants will be </w:t>
      </w:r>
      <w:r w:rsidR="00D941DC">
        <w:t>needed. Table</w:t>
      </w:r>
      <w:r w:rsidR="002571FE">
        <w:t xml:space="preserve"> B</w:t>
      </w:r>
      <w:r w:rsidR="003E1748">
        <w:t>.</w:t>
      </w:r>
      <w:r w:rsidR="002571FE">
        <w:t>1</w:t>
      </w:r>
      <w:r w:rsidR="003E1748">
        <w:t xml:space="preserve">.1 </w:t>
      </w:r>
      <w:r w:rsidR="002571FE">
        <w:t xml:space="preserve">shows different scenarios of potential sample sizes that were considered for the study. </w:t>
      </w:r>
    </w:p>
    <w:p w14:paraId="3CEDED67" w14:textId="106FB628" w:rsidR="006C5ABB" w:rsidRDefault="002571FE">
      <w:r>
        <w:rPr>
          <w:b/>
        </w:rPr>
        <w:t>Figure B</w:t>
      </w:r>
      <w:r w:rsidR="00353957">
        <w:rPr>
          <w:b/>
        </w:rPr>
        <w:t>.1.</w:t>
      </w:r>
      <w:r>
        <w:rPr>
          <w:b/>
        </w:rPr>
        <w:t>1. Sample Size calculations for different proportions of pregnant women with prolonged detection of ZIKV RNA within a finite population in Puerto Rico, 2017</w:t>
      </w:r>
    </w:p>
    <w:p w14:paraId="0EB96E8C" w14:textId="77777777" w:rsidR="006C5ABB" w:rsidRDefault="006C5ABB"/>
    <w:tbl>
      <w:tblPr>
        <w:tblStyle w:val="TableGrid"/>
        <w:tblW w:w="0" w:type="auto"/>
        <w:jc w:val="center"/>
        <w:tblLayout w:type="fixed"/>
        <w:tblLook w:val="04A0" w:firstRow="1" w:lastRow="0" w:firstColumn="1" w:lastColumn="0" w:noHBand="0" w:noVBand="1"/>
      </w:tblPr>
      <w:tblGrid>
        <w:gridCol w:w="2403"/>
        <w:gridCol w:w="850"/>
        <w:gridCol w:w="851"/>
        <w:gridCol w:w="992"/>
        <w:gridCol w:w="851"/>
        <w:gridCol w:w="992"/>
      </w:tblGrid>
      <w:tr w:rsidR="006C5ABB" w14:paraId="25D91838" w14:textId="77777777">
        <w:trPr>
          <w:trHeight w:val="461"/>
          <w:jc w:val="center"/>
        </w:trPr>
        <w:tc>
          <w:tcPr>
            <w:tcW w:w="2403" w:type="dxa"/>
            <w:tcBorders>
              <w:top w:val="nil"/>
              <w:left w:val="nil"/>
              <w:bottom w:val="single" w:sz="4" w:space="0" w:color="auto"/>
            </w:tcBorders>
            <w:noWrap/>
            <w:hideMark/>
          </w:tcPr>
          <w:p w14:paraId="7AD2BA70" w14:textId="77777777" w:rsidR="006C5ABB" w:rsidRDefault="006C5ABB">
            <w:pPr>
              <w:pStyle w:val="BodyText"/>
            </w:pPr>
          </w:p>
        </w:tc>
        <w:tc>
          <w:tcPr>
            <w:tcW w:w="4536" w:type="dxa"/>
            <w:gridSpan w:val="5"/>
            <w:tcBorders>
              <w:top w:val="nil"/>
              <w:bottom w:val="single" w:sz="4" w:space="0" w:color="auto"/>
              <w:right w:val="nil"/>
            </w:tcBorders>
            <w:shd w:val="clear" w:color="auto" w:fill="FF9900"/>
            <w:hideMark/>
          </w:tcPr>
          <w:p w14:paraId="014742C4" w14:textId="77777777" w:rsidR="006C5ABB" w:rsidRDefault="002571FE">
            <w:pPr>
              <w:pStyle w:val="BodyText"/>
              <w:jc w:val="center"/>
              <w:rPr>
                <w:b/>
                <w:bCs/>
                <w:sz w:val="20"/>
                <w:szCs w:val="20"/>
              </w:rPr>
            </w:pPr>
            <w:r>
              <w:rPr>
                <w:b/>
                <w:bCs/>
                <w:sz w:val="20"/>
                <w:szCs w:val="20"/>
              </w:rPr>
              <w:t>Estimated Proportion of Pregnant Women with Persistent Detection of Zika Virus (ZIKV)RNA</w:t>
            </w:r>
          </w:p>
        </w:tc>
      </w:tr>
      <w:tr w:rsidR="006C5ABB" w14:paraId="770D3613" w14:textId="77777777">
        <w:trPr>
          <w:trHeight w:val="363"/>
          <w:jc w:val="center"/>
        </w:trPr>
        <w:tc>
          <w:tcPr>
            <w:tcW w:w="2403" w:type="dxa"/>
            <w:tcBorders>
              <w:top w:val="single" w:sz="4" w:space="0" w:color="auto"/>
              <w:left w:val="nil"/>
              <w:bottom w:val="single" w:sz="4" w:space="0" w:color="auto"/>
            </w:tcBorders>
            <w:shd w:val="clear" w:color="auto" w:fill="C0C0C0"/>
            <w:noWrap/>
            <w:hideMark/>
          </w:tcPr>
          <w:p w14:paraId="1482ECF9" w14:textId="77777777" w:rsidR="006C5ABB" w:rsidRDefault="002571FE">
            <w:pPr>
              <w:pStyle w:val="BodyText"/>
              <w:jc w:val="center"/>
              <w:rPr>
                <w:b/>
                <w:bCs/>
                <w:sz w:val="22"/>
                <w:szCs w:val="22"/>
              </w:rPr>
            </w:pPr>
            <w:r>
              <w:rPr>
                <w:b/>
                <w:bCs/>
                <w:sz w:val="22"/>
                <w:szCs w:val="22"/>
              </w:rPr>
              <w:t>Confidence Level (%)</w:t>
            </w:r>
          </w:p>
        </w:tc>
        <w:tc>
          <w:tcPr>
            <w:tcW w:w="850" w:type="dxa"/>
            <w:tcBorders>
              <w:top w:val="single" w:sz="4" w:space="0" w:color="auto"/>
              <w:bottom w:val="single" w:sz="4" w:space="0" w:color="auto"/>
              <w:right w:val="nil"/>
            </w:tcBorders>
            <w:noWrap/>
            <w:hideMark/>
          </w:tcPr>
          <w:p w14:paraId="7DC9B627" w14:textId="77777777" w:rsidR="006C5ABB" w:rsidRDefault="002571FE">
            <w:pPr>
              <w:pStyle w:val="BodyText"/>
              <w:rPr>
                <w:b/>
                <w:bCs/>
                <w:sz w:val="22"/>
                <w:szCs w:val="22"/>
              </w:rPr>
            </w:pPr>
            <w:r>
              <w:rPr>
                <w:b/>
                <w:bCs/>
                <w:sz w:val="22"/>
                <w:szCs w:val="22"/>
              </w:rPr>
              <w:t>3%</w:t>
            </w:r>
          </w:p>
        </w:tc>
        <w:tc>
          <w:tcPr>
            <w:tcW w:w="851" w:type="dxa"/>
            <w:tcBorders>
              <w:top w:val="single" w:sz="4" w:space="0" w:color="auto"/>
              <w:left w:val="nil"/>
              <w:bottom w:val="single" w:sz="4" w:space="0" w:color="auto"/>
              <w:right w:val="nil"/>
            </w:tcBorders>
            <w:noWrap/>
            <w:hideMark/>
          </w:tcPr>
          <w:p w14:paraId="3E5DE660" w14:textId="77777777" w:rsidR="006C5ABB" w:rsidRDefault="002571FE">
            <w:pPr>
              <w:pStyle w:val="BodyText"/>
              <w:rPr>
                <w:b/>
                <w:bCs/>
                <w:sz w:val="22"/>
                <w:szCs w:val="22"/>
              </w:rPr>
            </w:pPr>
            <w:r>
              <w:rPr>
                <w:b/>
                <w:bCs/>
                <w:sz w:val="22"/>
                <w:szCs w:val="22"/>
              </w:rPr>
              <w:t>5%</w:t>
            </w:r>
          </w:p>
        </w:tc>
        <w:tc>
          <w:tcPr>
            <w:tcW w:w="992" w:type="dxa"/>
            <w:tcBorders>
              <w:top w:val="single" w:sz="4" w:space="0" w:color="auto"/>
              <w:left w:val="nil"/>
              <w:bottom w:val="single" w:sz="4" w:space="0" w:color="auto"/>
              <w:right w:val="nil"/>
            </w:tcBorders>
            <w:noWrap/>
            <w:hideMark/>
          </w:tcPr>
          <w:p w14:paraId="335BB7D5" w14:textId="77777777" w:rsidR="006C5ABB" w:rsidRDefault="002571FE">
            <w:pPr>
              <w:pStyle w:val="BodyText"/>
              <w:rPr>
                <w:b/>
                <w:bCs/>
                <w:sz w:val="22"/>
                <w:szCs w:val="22"/>
              </w:rPr>
            </w:pPr>
            <w:r>
              <w:rPr>
                <w:b/>
                <w:bCs/>
                <w:sz w:val="22"/>
                <w:szCs w:val="22"/>
              </w:rPr>
              <w:t>15%</w:t>
            </w:r>
          </w:p>
        </w:tc>
        <w:tc>
          <w:tcPr>
            <w:tcW w:w="851" w:type="dxa"/>
            <w:tcBorders>
              <w:top w:val="single" w:sz="4" w:space="0" w:color="auto"/>
              <w:left w:val="nil"/>
              <w:bottom w:val="single" w:sz="4" w:space="0" w:color="auto"/>
              <w:right w:val="nil"/>
            </w:tcBorders>
            <w:noWrap/>
            <w:hideMark/>
          </w:tcPr>
          <w:p w14:paraId="60A840BE" w14:textId="77777777" w:rsidR="006C5ABB" w:rsidRDefault="002571FE">
            <w:pPr>
              <w:pStyle w:val="BodyText"/>
              <w:rPr>
                <w:b/>
                <w:bCs/>
                <w:sz w:val="22"/>
                <w:szCs w:val="22"/>
              </w:rPr>
            </w:pPr>
            <w:r>
              <w:rPr>
                <w:b/>
                <w:bCs/>
                <w:sz w:val="22"/>
                <w:szCs w:val="22"/>
              </w:rPr>
              <w:t>30%</w:t>
            </w:r>
          </w:p>
        </w:tc>
        <w:tc>
          <w:tcPr>
            <w:tcW w:w="992" w:type="dxa"/>
            <w:tcBorders>
              <w:top w:val="single" w:sz="4" w:space="0" w:color="auto"/>
              <w:left w:val="nil"/>
              <w:bottom w:val="single" w:sz="4" w:space="0" w:color="auto"/>
              <w:right w:val="nil"/>
            </w:tcBorders>
            <w:noWrap/>
            <w:hideMark/>
          </w:tcPr>
          <w:p w14:paraId="31C8951D" w14:textId="77777777" w:rsidR="006C5ABB" w:rsidRDefault="002571FE">
            <w:pPr>
              <w:pStyle w:val="BodyText"/>
              <w:rPr>
                <w:b/>
                <w:bCs/>
                <w:sz w:val="22"/>
                <w:szCs w:val="22"/>
              </w:rPr>
            </w:pPr>
            <w:r>
              <w:rPr>
                <w:b/>
                <w:bCs/>
                <w:sz w:val="22"/>
                <w:szCs w:val="22"/>
              </w:rPr>
              <w:t>45%</w:t>
            </w:r>
          </w:p>
        </w:tc>
      </w:tr>
      <w:tr w:rsidR="006C5ABB" w14:paraId="6E37CA40" w14:textId="77777777">
        <w:trPr>
          <w:trHeight w:val="280"/>
          <w:jc w:val="center"/>
        </w:trPr>
        <w:tc>
          <w:tcPr>
            <w:tcW w:w="2403" w:type="dxa"/>
            <w:tcBorders>
              <w:left w:val="nil"/>
              <w:bottom w:val="nil"/>
              <w:right w:val="single" w:sz="4" w:space="0" w:color="auto"/>
            </w:tcBorders>
            <w:hideMark/>
          </w:tcPr>
          <w:p w14:paraId="50E06E1D" w14:textId="77777777" w:rsidR="006C5ABB" w:rsidRDefault="002571FE">
            <w:pPr>
              <w:pStyle w:val="BodyText"/>
              <w:jc w:val="center"/>
              <w:rPr>
                <w:b/>
                <w:bCs/>
                <w:sz w:val="22"/>
                <w:szCs w:val="22"/>
              </w:rPr>
            </w:pPr>
            <w:r>
              <w:rPr>
                <w:b/>
                <w:bCs/>
                <w:sz w:val="22"/>
                <w:szCs w:val="22"/>
              </w:rPr>
              <w:t>95%</w:t>
            </w:r>
          </w:p>
        </w:tc>
        <w:tc>
          <w:tcPr>
            <w:tcW w:w="850" w:type="dxa"/>
            <w:tcBorders>
              <w:left w:val="single" w:sz="4" w:space="0" w:color="auto"/>
              <w:bottom w:val="nil"/>
              <w:right w:val="nil"/>
            </w:tcBorders>
            <w:hideMark/>
          </w:tcPr>
          <w:p w14:paraId="4CED2813" w14:textId="77777777" w:rsidR="006C5ABB" w:rsidRDefault="002571FE">
            <w:pPr>
              <w:pStyle w:val="BodyText"/>
              <w:rPr>
                <w:sz w:val="22"/>
                <w:szCs w:val="22"/>
              </w:rPr>
            </w:pPr>
            <w:r>
              <w:rPr>
                <w:sz w:val="22"/>
                <w:szCs w:val="22"/>
              </w:rPr>
              <w:t>45</w:t>
            </w:r>
          </w:p>
        </w:tc>
        <w:tc>
          <w:tcPr>
            <w:tcW w:w="851" w:type="dxa"/>
            <w:tcBorders>
              <w:left w:val="nil"/>
              <w:bottom w:val="nil"/>
              <w:right w:val="nil"/>
            </w:tcBorders>
            <w:hideMark/>
          </w:tcPr>
          <w:p w14:paraId="41273D10" w14:textId="77777777" w:rsidR="006C5ABB" w:rsidRDefault="002571FE">
            <w:pPr>
              <w:pStyle w:val="BodyText"/>
              <w:rPr>
                <w:sz w:val="22"/>
                <w:szCs w:val="22"/>
              </w:rPr>
            </w:pPr>
            <w:r>
              <w:rPr>
                <w:sz w:val="22"/>
                <w:szCs w:val="22"/>
              </w:rPr>
              <w:t>73</w:t>
            </w:r>
          </w:p>
        </w:tc>
        <w:tc>
          <w:tcPr>
            <w:tcW w:w="992" w:type="dxa"/>
            <w:tcBorders>
              <w:left w:val="nil"/>
              <w:bottom w:val="nil"/>
              <w:right w:val="nil"/>
            </w:tcBorders>
            <w:hideMark/>
          </w:tcPr>
          <w:p w14:paraId="195E78B0" w14:textId="77777777" w:rsidR="006C5ABB" w:rsidRDefault="002571FE">
            <w:pPr>
              <w:pStyle w:val="BodyText"/>
              <w:rPr>
                <w:sz w:val="22"/>
                <w:szCs w:val="22"/>
              </w:rPr>
            </w:pPr>
            <w:r>
              <w:rPr>
                <w:sz w:val="22"/>
                <w:szCs w:val="22"/>
              </w:rPr>
              <w:t>193</w:t>
            </w:r>
          </w:p>
        </w:tc>
        <w:tc>
          <w:tcPr>
            <w:tcW w:w="851" w:type="dxa"/>
            <w:tcBorders>
              <w:left w:val="nil"/>
              <w:bottom w:val="nil"/>
              <w:right w:val="nil"/>
            </w:tcBorders>
            <w:hideMark/>
          </w:tcPr>
          <w:p w14:paraId="5848C4AA" w14:textId="77777777" w:rsidR="006C5ABB" w:rsidRDefault="002571FE">
            <w:pPr>
              <w:pStyle w:val="BodyText"/>
              <w:rPr>
                <w:sz w:val="22"/>
                <w:szCs w:val="22"/>
              </w:rPr>
            </w:pPr>
            <w:r>
              <w:rPr>
                <w:sz w:val="22"/>
                <w:szCs w:val="22"/>
              </w:rPr>
              <w:t>313</w:t>
            </w:r>
          </w:p>
        </w:tc>
        <w:tc>
          <w:tcPr>
            <w:tcW w:w="992" w:type="dxa"/>
            <w:tcBorders>
              <w:left w:val="nil"/>
              <w:bottom w:val="nil"/>
              <w:right w:val="nil"/>
            </w:tcBorders>
            <w:hideMark/>
          </w:tcPr>
          <w:p w14:paraId="7AAD8798" w14:textId="77777777" w:rsidR="006C5ABB" w:rsidRDefault="002571FE">
            <w:pPr>
              <w:pStyle w:val="BodyText"/>
              <w:rPr>
                <w:sz w:val="22"/>
                <w:szCs w:val="22"/>
              </w:rPr>
            </w:pPr>
            <w:r>
              <w:rPr>
                <w:sz w:val="22"/>
                <w:szCs w:val="22"/>
              </w:rPr>
              <w:t>367</w:t>
            </w:r>
          </w:p>
        </w:tc>
      </w:tr>
      <w:tr w:rsidR="006C5ABB" w14:paraId="6FF7BE3B" w14:textId="77777777">
        <w:trPr>
          <w:trHeight w:val="580"/>
          <w:jc w:val="center"/>
        </w:trPr>
        <w:tc>
          <w:tcPr>
            <w:tcW w:w="2403" w:type="dxa"/>
            <w:tcBorders>
              <w:top w:val="nil"/>
              <w:left w:val="nil"/>
              <w:bottom w:val="nil"/>
              <w:right w:val="single" w:sz="4" w:space="0" w:color="auto"/>
            </w:tcBorders>
            <w:hideMark/>
          </w:tcPr>
          <w:p w14:paraId="6D56F926" w14:textId="77777777" w:rsidR="006C5ABB" w:rsidRDefault="002571FE">
            <w:pPr>
              <w:pStyle w:val="BodyText"/>
              <w:jc w:val="center"/>
              <w:rPr>
                <w:b/>
                <w:bCs/>
                <w:sz w:val="22"/>
                <w:szCs w:val="22"/>
              </w:rPr>
            </w:pPr>
            <w:r>
              <w:rPr>
                <w:b/>
                <w:bCs/>
                <w:sz w:val="22"/>
                <w:szCs w:val="22"/>
              </w:rPr>
              <w:t>80%</w:t>
            </w:r>
          </w:p>
        </w:tc>
        <w:tc>
          <w:tcPr>
            <w:tcW w:w="850" w:type="dxa"/>
            <w:tcBorders>
              <w:top w:val="nil"/>
              <w:left w:val="single" w:sz="4" w:space="0" w:color="auto"/>
              <w:bottom w:val="nil"/>
              <w:right w:val="nil"/>
            </w:tcBorders>
            <w:hideMark/>
          </w:tcPr>
          <w:p w14:paraId="3CA12968" w14:textId="77777777" w:rsidR="006C5ABB" w:rsidRDefault="002571FE">
            <w:pPr>
              <w:pStyle w:val="BodyText"/>
              <w:rPr>
                <w:sz w:val="22"/>
                <w:szCs w:val="22"/>
              </w:rPr>
            </w:pPr>
            <w:r>
              <w:rPr>
                <w:sz w:val="22"/>
                <w:szCs w:val="22"/>
              </w:rPr>
              <w:t>20</w:t>
            </w:r>
          </w:p>
        </w:tc>
        <w:tc>
          <w:tcPr>
            <w:tcW w:w="851" w:type="dxa"/>
            <w:tcBorders>
              <w:top w:val="nil"/>
              <w:left w:val="nil"/>
              <w:bottom w:val="nil"/>
              <w:right w:val="nil"/>
            </w:tcBorders>
            <w:hideMark/>
          </w:tcPr>
          <w:p w14:paraId="0DBE4557" w14:textId="77777777" w:rsidR="006C5ABB" w:rsidRDefault="002571FE">
            <w:pPr>
              <w:pStyle w:val="BodyText"/>
              <w:rPr>
                <w:sz w:val="22"/>
                <w:szCs w:val="22"/>
              </w:rPr>
            </w:pPr>
            <w:r>
              <w:rPr>
                <w:sz w:val="22"/>
                <w:szCs w:val="22"/>
              </w:rPr>
              <w:t>32</w:t>
            </w:r>
          </w:p>
        </w:tc>
        <w:tc>
          <w:tcPr>
            <w:tcW w:w="992" w:type="dxa"/>
            <w:tcBorders>
              <w:top w:val="nil"/>
              <w:left w:val="nil"/>
              <w:bottom w:val="nil"/>
              <w:right w:val="nil"/>
            </w:tcBorders>
            <w:hideMark/>
          </w:tcPr>
          <w:p w14:paraId="5776C3D1" w14:textId="77777777" w:rsidR="006C5ABB" w:rsidRDefault="002571FE">
            <w:pPr>
              <w:pStyle w:val="BodyText"/>
              <w:rPr>
                <w:sz w:val="22"/>
                <w:szCs w:val="22"/>
              </w:rPr>
            </w:pPr>
            <w:r>
              <w:rPr>
                <w:sz w:val="22"/>
                <w:szCs w:val="22"/>
              </w:rPr>
              <w:t>84</w:t>
            </w:r>
          </w:p>
        </w:tc>
        <w:tc>
          <w:tcPr>
            <w:tcW w:w="851" w:type="dxa"/>
            <w:tcBorders>
              <w:top w:val="nil"/>
              <w:left w:val="nil"/>
              <w:bottom w:val="nil"/>
              <w:right w:val="nil"/>
            </w:tcBorders>
            <w:hideMark/>
          </w:tcPr>
          <w:p w14:paraId="0242FF06" w14:textId="77777777" w:rsidR="006C5ABB" w:rsidRDefault="002571FE">
            <w:pPr>
              <w:pStyle w:val="BodyText"/>
              <w:rPr>
                <w:sz w:val="22"/>
                <w:szCs w:val="22"/>
              </w:rPr>
            </w:pPr>
            <w:r>
              <w:rPr>
                <w:sz w:val="22"/>
                <w:szCs w:val="22"/>
              </w:rPr>
              <w:t>137</w:t>
            </w:r>
          </w:p>
        </w:tc>
        <w:tc>
          <w:tcPr>
            <w:tcW w:w="992" w:type="dxa"/>
            <w:tcBorders>
              <w:top w:val="nil"/>
              <w:left w:val="nil"/>
              <w:bottom w:val="nil"/>
              <w:right w:val="nil"/>
            </w:tcBorders>
            <w:hideMark/>
          </w:tcPr>
          <w:p w14:paraId="5F3E3157" w14:textId="77777777" w:rsidR="006C5ABB" w:rsidRDefault="002571FE">
            <w:pPr>
              <w:pStyle w:val="BodyText"/>
              <w:rPr>
                <w:sz w:val="22"/>
                <w:szCs w:val="22"/>
              </w:rPr>
            </w:pPr>
            <w:r>
              <w:rPr>
                <w:sz w:val="22"/>
                <w:szCs w:val="22"/>
              </w:rPr>
              <w:t>161</w:t>
            </w:r>
          </w:p>
        </w:tc>
      </w:tr>
      <w:tr w:rsidR="006C5ABB" w14:paraId="37883AD3" w14:textId="77777777">
        <w:trPr>
          <w:trHeight w:val="580"/>
          <w:jc w:val="center"/>
        </w:trPr>
        <w:tc>
          <w:tcPr>
            <w:tcW w:w="2403" w:type="dxa"/>
            <w:tcBorders>
              <w:top w:val="nil"/>
              <w:left w:val="nil"/>
              <w:bottom w:val="nil"/>
              <w:right w:val="single" w:sz="4" w:space="0" w:color="auto"/>
            </w:tcBorders>
            <w:hideMark/>
          </w:tcPr>
          <w:p w14:paraId="0E49D64C" w14:textId="77777777" w:rsidR="006C5ABB" w:rsidRDefault="002571FE">
            <w:pPr>
              <w:pStyle w:val="BodyText"/>
              <w:jc w:val="center"/>
              <w:rPr>
                <w:b/>
                <w:bCs/>
                <w:sz w:val="22"/>
                <w:szCs w:val="22"/>
              </w:rPr>
            </w:pPr>
            <w:r>
              <w:rPr>
                <w:b/>
                <w:bCs/>
                <w:sz w:val="22"/>
                <w:szCs w:val="22"/>
              </w:rPr>
              <w:t>90%</w:t>
            </w:r>
          </w:p>
        </w:tc>
        <w:tc>
          <w:tcPr>
            <w:tcW w:w="850" w:type="dxa"/>
            <w:tcBorders>
              <w:top w:val="nil"/>
              <w:left w:val="single" w:sz="4" w:space="0" w:color="auto"/>
              <w:bottom w:val="nil"/>
              <w:right w:val="nil"/>
            </w:tcBorders>
            <w:hideMark/>
          </w:tcPr>
          <w:p w14:paraId="41AED4A3" w14:textId="77777777" w:rsidR="006C5ABB" w:rsidRDefault="002571FE">
            <w:pPr>
              <w:pStyle w:val="BodyText"/>
              <w:rPr>
                <w:sz w:val="22"/>
                <w:szCs w:val="22"/>
              </w:rPr>
            </w:pPr>
            <w:r>
              <w:rPr>
                <w:sz w:val="22"/>
                <w:szCs w:val="22"/>
              </w:rPr>
              <w:t>32</w:t>
            </w:r>
          </w:p>
        </w:tc>
        <w:tc>
          <w:tcPr>
            <w:tcW w:w="851" w:type="dxa"/>
            <w:tcBorders>
              <w:top w:val="nil"/>
              <w:left w:val="nil"/>
              <w:bottom w:val="nil"/>
              <w:right w:val="nil"/>
            </w:tcBorders>
            <w:hideMark/>
          </w:tcPr>
          <w:p w14:paraId="6B203F70" w14:textId="77777777" w:rsidR="006C5ABB" w:rsidRDefault="002571FE">
            <w:pPr>
              <w:pStyle w:val="BodyText"/>
              <w:rPr>
                <w:sz w:val="22"/>
                <w:szCs w:val="22"/>
              </w:rPr>
            </w:pPr>
            <w:r>
              <w:rPr>
                <w:sz w:val="22"/>
                <w:szCs w:val="22"/>
              </w:rPr>
              <w:t>52</w:t>
            </w:r>
          </w:p>
        </w:tc>
        <w:tc>
          <w:tcPr>
            <w:tcW w:w="992" w:type="dxa"/>
            <w:tcBorders>
              <w:top w:val="nil"/>
              <w:left w:val="nil"/>
              <w:bottom w:val="nil"/>
              <w:right w:val="nil"/>
            </w:tcBorders>
            <w:hideMark/>
          </w:tcPr>
          <w:p w14:paraId="4F2E9DCD" w14:textId="77777777" w:rsidR="006C5ABB" w:rsidRDefault="002571FE">
            <w:pPr>
              <w:pStyle w:val="BodyText"/>
              <w:rPr>
                <w:sz w:val="22"/>
                <w:szCs w:val="22"/>
              </w:rPr>
            </w:pPr>
            <w:r>
              <w:rPr>
                <w:sz w:val="22"/>
                <w:szCs w:val="22"/>
              </w:rPr>
              <w:t>137</w:t>
            </w:r>
          </w:p>
        </w:tc>
        <w:tc>
          <w:tcPr>
            <w:tcW w:w="851" w:type="dxa"/>
            <w:tcBorders>
              <w:top w:val="nil"/>
              <w:left w:val="nil"/>
              <w:bottom w:val="nil"/>
              <w:right w:val="nil"/>
            </w:tcBorders>
            <w:hideMark/>
          </w:tcPr>
          <w:p w14:paraId="4A68B3E3" w14:textId="77777777" w:rsidR="006C5ABB" w:rsidRDefault="002571FE">
            <w:pPr>
              <w:pStyle w:val="BodyText"/>
              <w:rPr>
                <w:sz w:val="22"/>
                <w:szCs w:val="22"/>
              </w:rPr>
            </w:pPr>
            <w:r>
              <w:rPr>
                <w:sz w:val="22"/>
                <w:szCs w:val="22"/>
              </w:rPr>
              <w:t>223</w:t>
            </w:r>
          </w:p>
        </w:tc>
        <w:tc>
          <w:tcPr>
            <w:tcW w:w="992" w:type="dxa"/>
            <w:tcBorders>
              <w:top w:val="nil"/>
              <w:left w:val="nil"/>
              <w:bottom w:val="nil"/>
              <w:right w:val="nil"/>
            </w:tcBorders>
            <w:hideMark/>
          </w:tcPr>
          <w:p w14:paraId="2DC9F351" w14:textId="77777777" w:rsidR="006C5ABB" w:rsidRDefault="002571FE">
            <w:pPr>
              <w:pStyle w:val="BodyText"/>
              <w:rPr>
                <w:sz w:val="22"/>
                <w:szCs w:val="22"/>
              </w:rPr>
            </w:pPr>
            <w:r>
              <w:rPr>
                <w:sz w:val="22"/>
                <w:szCs w:val="22"/>
              </w:rPr>
              <w:t>261</w:t>
            </w:r>
          </w:p>
        </w:tc>
      </w:tr>
      <w:tr w:rsidR="006C5ABB" w14:paraId="7A544CE4" w14:textId="77777777">
        <w:trPr>
          <w:trHeight w:val="290"/>
          <w:jc w:val="center"/>
        </w:trPr>
        <w:tc>
          <w:tcPr>
            <w:tcW w:w="2403" w:type="dxa"/>
            <w:tcBorders>
              <w:top w:val="nil"/>
              <w:left w:val="nil"/>
              <w:bottom w:val="nil"/>
              <w:right w:val="single" w:sz="4" w:space="0" w:color="auto"/>
            </w:tcBorders>
            <w:hideMark/>
          </w:tcPr>
          <w:p w14:paraId="004586AD" w14:textId="77777777" w:rsidR="006C5ABB" w:rsidRDefault="002571FE">
            <w:pPr>
              <w:pStyle w:val="BodyText"/>
              <w:jc w:val="center"/>
              <w:rPr>
                <w:b/>
                <w:bCs/>
                <w:sz w:val="22"/>
                <w:szCs w:val="22"/>
              </w:rPr>
            </w:pPr>
            <w:r>
              <w:rPr>
                <w:b/>
                <w:bCs/>
                <w:sz w:val="22"/>
                <w:szCs w:val="22"/>
              </w:rPr>
              <w:t>97%</w:t>
            </w:r>
          </w:p>
        </w:tc>
        <w:tc>
          <w:tcPr>
            <w:tcW w:w="850" w:type="dxa"/>
            <w:tcBorders>
              <w:top w:val="nil"/>
              <w:left w:val="single" w:sz="4" w:space="0" w:color="auto"/>
              <w:bottom w:val="nil"/>
              <w:right w:val="nil"/>
            </w:tcBorders>
            <w:hideMark/>
          </w:tcPr>
          <w:p w14:paraId="064C3C0B" w14:textId="77777777" w:rsidR="006C5ABB" w:rsidRDefault="002571FE">
            <w:pPr>
              <w:pStyle w:val="BodyText"/>
              <w:rPr>
                <w:sz w:val="22"/>
                <w:szCs w:val="22"/>
              </w:rPr>
            </w:pPr>
            <w:r>
              <w:rPr>
                <w:sz w:val="22"/>
                <w:szCs w:val="22"/>
              </w:rPr>
              <w:t>55</w:t>
            </w:r>
          </w:p>
        </w:tc>
        <w:tc>
          <w:tcPr>
            <w:tcW w:w="851" w:type="dxa"/>
            <w:tcBorders>
              <w:top w:val="nil"/>
              <w:left w:val="nil"/>
              <w:bottom w:val="nil"/>
              <w:right w:val="nil"/>
            </w:tcBorders>
            <w:hideMark/>
          </w:tcPr>
          <w:p w14:paraId="35A83762" w14:textId="77777777" w:rsidR="006C5ABB" w:rsidRDefault="002571FE">
            <w:pPr>
              <w:pStyle w:val="BodyText"/>
              <w:rPr>
                <w:sz w:val="22"/>
                <w:szCs w:val="22"/>
              </w:rPr>
            </w:pPr>
            <w:r>
              <w:rPr>
                <w:sz w:val="22"/>
                <w:szCs w:val="22"/>
              </w:rPr>
              <w:t>89</w:t>
            </w:r>
          </w:p>
        </w:tc>
        <w:tc>
          <w:tcPr>
            <w:tcW w:w="992" w:type="dxa"/>
            <w:tcBorders>
              <w:top w:val="nil"/>
              <w:left w:val="nil"/>
              <w:bottom w:val="nil"/>
              <w:right w:val="nil"/>
            </w:tcBorders>
            <w:hideMark/>
          </w:tcPr>
          <w:p w14:paraId="11617418" w14:textId="77777777" w:rsidR="006C5ABB" w:rsidRDefault="002571FE">
            <w:pPr>
              <w:pStyle w:val="BodyText"/>
              <w:rPr>
                <w:sz w:val="22"/>
                <w:szCs w:val="22"/>
              </w:rPr>
            </w:pPr>
            <w:r>
              <w:rPr>
                <w:sz w:val="22"/>
                <w:szCs w:val="22"/>
              </w:rPr>
              <w:t>235</w:t>
            </w:r>
          </w:p>
        </w:tc>
        <w:tc>
          <w:tcPr>
            <w:tcW w:w="851" w:type="dxa"/>
            <w:tcBorders>
              <w:top w:val="nil"/>
              <w:left w:val="nil"/>
              <w:bottom w:val="nil"/>
              <w:right w:val="nil"/>
            </w:tcBorders>
            <w:hideMark/>
          </w:tcPr>
          <w:p w14:paraId="62AF86F9" w14:textId="77777777" w:rsidR="006C5ABB" w:rsidRDefault="002571FE">
            <w:pPr>
              <w:pStyle w:val="BodyText"/>
              <w:rPr>
                <w:sz w:val="22"/>
                <w:szCs w:val="22"/>
              </w:rPr>
            </w:pPr>
            <w:r>
              <w:rPr>
                <w:sz w:val="22"/>
                <w:szCs w:val="22"/>
              </w:rPr>
              <w:t>381</w:t>
            </w:r>
          </w:p>
        </w:tc>
        <w:tc>
          <w:tcPr>
            <w:tcW w:w="992" w:type="dxa"/>
            <w:tcBorders>
              <w:top w:val="nil"/>
              <w:left w:val="nil"/>
              <w:bottom w:val="nil"/>
              <w:right w:val="nil"/>
            </w:tcBorders>
            <w:hideMark/>
          </w:tcPr>
          <w:p w14:paraId="02D9D886" w14:textId="77777777" w:rsidR="006C5ABB" w:rsidRDefault="002571FE">
            <w:pPr>
              <w:pStyle w:val="BodyText"/>
              <w:rPr>
                <w:sz w:val="22"/>
                <w:szCs w:val="22"/>
              </w:rPr>
            </w:pPr>
            <w:r>
              <w:rPr>
                <w:sz w:val="22"/>
                <w:szCs w:val="22"/>
              </w:rPr>
              <w:t>446</w:t>
            </w:r>
          </w:p>
        </w:tc>
      </w:tr>
      <w:tr w:rsidR="006C5ABB" w14:paraId="5A67896A" w14:textId="77777777">
        <w:trPr>
          <w:trHeight w:val="290"/>
          <w:jc w:val="center"/>
        </w:trPr>
        <w:tc>
          <w:tcPr>
            <w:tcW w:w="2403" w:type="dxa"/>
            <w:tcBorders>
              <w:top w:val="nil"/>
              <w:left w:val="nil"/>
              <w:bottom w:val="nil"/>
              <w:right w:val="single" w:sz="4" w:space="0" w:color="auto"/>
            </w:tcBorders>
            <w:hideMark/>
          </w:tcPr>
          <w:p w14:paraId="0F16BA39" w14:textId="77777777" w:rsidR="006C5ABB" w:rsidRDefault="002571FE">
            <w:pPr>
              <w:pStyle w:val="BodyText"/>
              <w:jc w:val="center"/>
              <w:rPr>
                <w:b/>
                <w:bCs/>
                <w:sz w:val="22"/>
                <w:szCs w:val="22"/>
              </w:rPr>
            </w:pPr>
            <w:r>
              <w:rPr>
                <w:b/>
                <w:bCs/>
                <w:sz w:val="22"/>
                <w:szCs w:val="22"/>
              </w:rPr>
              <w:t>99%</w:t>
            </w:r>
          </w:p>
        </w:tc>
        <w:tc>
          <w:tcPr>
            <w:tcW w:w="850" w:type="dxa"/>
            <w:tcBorders>
              <w:top w:val="nil"/>
              <w:left w:val="single" w:sz="4" w:space="0" w:color="auto"/>
              <w:bottom w:val="nil"/>
              <w:right w:val="nil"/>
            </w:tcBorders>
            <w:hideMark/>
          </w:tcPr>
          <w:p w14:paraId="75F2DCC5" w14:textId="77777777" w:rsidR="006C5ABB" w:rsidRDefault="002571FE">
            <w:pPr>
              <w:pStyle w:val="BodyText"/>
              <w:rPr>
                <w:sz w:val="22"/>
                <w:szCs w:val="22"/>
              </w:rPr>
            </w:pPr>
            <w:r>
              <w:rPr>
                <w:sz w:val="22"/>
                <w:szCs w:val="22"/>
              </w:rPr>
              <w:t>77</w:t>
            </w:r>
          </w:p>
        </w:tc>
        <w:tc>
          <w:tcPr>
            <w:tcW w:w="851" w:type="dxa"/>
            <w:tcBorders>
              <w:top w:val="nil"/>
              <w:left w:val="nil"/>
              <w:bottom w:val="nil"/>
              <w:right w:val="nil"/>
            </w:tcBorders>
            <w:hideMark/>
          </w:tcPr>
          <w:p w14:paraId="010C5706" w14:textId="77777777" w:rsidR="006C5ABB" w:rsidRDefault="002571FE">
            <w:pPr>
              <w:pStyle w:val="BodyText"/>
              <w:rPr>
                <w:sz w:val="22"/>
                <w:szCs w:val="22"/>
              </w:rPr>
            </w:pPr>
            <w:r>
              <w:rPr>
                <w:sz w:val="22"/>
                <w:szCs w:val="22"/>
              </w:rPr>
              <w:t>125</w:t>
            </w:r>
          </w:p>
        </w:tc>
        <w:tc>
          <w:tcPr>
            <w:tcW w:w="992" w:type="dxa"/>
            <w:tcBorders>
              <w:top w:val="nil"/>
              <w:left w:val="nil"/>
              <w:bottom w:val="nil"/>
              <w:right w:val="nil"/>
            </w:tcBorders>
            <w:hideMark/>
          </w:tcPr>
          <w:p w14:paraId="5173328F" w14:textId="77777777" w:rsidR="006C5ABB" w:rsidRDefault="002571FE">
            <w:pPr>
              <w:pStyle w:val="BodyText"/>
              <w:rPr>
                <w:sz w:val="22"/>
                <w:szCs w:val="22"/>
              </w:rPr>
            </w:pPr>
            <w:r>
              <w:rPr>
                <w:sz w:val="22"/>
                <w:szCs w:val="22"/>
              </w:rPr>
              <w:t>328</w:t>
            </w:r>
          </w:p>
        </w:tc>
        <w:tc>
          <w:tcPr>
            <w:tcW w:w="851" w:type="dxa"/>
            <w:tcBorders>
              <w:top w:val="nil"/>
              <w:left w:val="nil"/>
              <w:bottom w:val="nil"/>
              <w:right w:val="nil"/>
            </w:tcBorders>
            <w:hideMark/>
          </w:tcPr>
          <w:p w14:paraId="4B676653" w14:textId="77777777" w:rsidR="006C5ABB" w:rsidRDefault="002571FE">
            <w:pPr>
              <w:pStyle w:val="BodyText"/>
              <w:rPr>
                <w:sz w:val="22"/>
                <w:szCs w:val="22"/>
              </w:rPr>
            </w:pPr>
            <w:r>
              <w:rPr>
                <w:sz w:val="22"/>
                <w:szCs w:val="22"/>
              </w:rPr>
              <w:t>528</w:t>
            </w:r>
          </w:p>
        </w:tc>
        <w:tc>
          <w:tcPr>
            <w:tcW w:w="992" w:type="dxa"/>
            <w:tcBorders>
              <w:top w:val="nil"/>
              <w:left w:val="nil"/>
              <w:bottom w:val="nil"/>
              <w:right w:val="nil"/>
            </w:tcBorders>
            <w:hideMark/>
          </w:tcPr>
          <w:p w14:paraId="58CD634E" w14:textId="77777777" w:rsidR="006C5ABB" w:rsidRDefault="002571FE">
            <w:pPr>
              <w:pStyle w:val="BodyText"/>
              <w:rPr>
                <w:sz w:val="22"/>
                <w:szCs w:val="22"/>
              </w:rPr>
            </w:pPr>
            <w:r>
              <w:rPr>
                <w:sz w:val="22"/>
                <w:szCs w:val="22"/>
              </w:rPr>
              <w:t>617</w:t>
            </w:r>
          </w:p>
        </w:tc>
      </w:tr>
      <w:tr w:rsidR="006C5ABB" w14:paraId="2FCD6088" w14:textId="77777777">
        <w:trPr>
          <w:trHeight w:val="290"/>
          <w:jc w:val="center"/>
        </w:trPr>
        <w:tc>
          <w:tcPr>
            <w:tcW w:w="2403" w:type="dxa"/>
            <w:tcBorders>
              <w:top w:val="nil"/>
              <w:left w:val="nil"/>
              <w:bottom w:val="nil"/>
              <w:right w:val="single" w:sz="4" w:space="0" w:color="auto"/>
            </w:tcBorders>
            <w:hideMark/>
          </w:tcPr>
          <w:p w14:paraId="510F9ECB" w14:textId="77777777" w:rsidR="006C5ABB" w:rsidRDefault="002571FE">
            <w:pPr>
              <w:pStyle w:val="BodyText"/>
              <w:jc w:val="center"/>
              <w:rPr>
                <w:b/>
                <w:bCs/>
                <w:sz w:val="22"/>
                <w:szCs w:val="22"/>
              </w:rPr>
            </w:pPr>
            <w:r>
              <w:rPr>
                <w:b/>
                <w:bCs/>
                <w:sz w:val="22"/>
                <w:szCs w:val="22"/>
              </w:rPr>
              <w:t>99,90%</w:t>
            </w:r>
          </w:p>
        </w:tc>
        <w:tc>
          <w:tcPr>
            <w:tcW w:w="850" w:type="dxa"/>
            <w:tcBorders>
              <w:top w:val="nil"/>
              <w:left w:val="single" w:sz="4" w:space="0" w:color="auto"/>
              <w:bottom w:val="nil"/>
              <w:right w:val="nil"/>
            </w:tcBorders>
            <w:hideMark/>
          </w:tcPr>
          <w:p w14:paraId="5F4BB22D" w14:textId="77777777" w:rsidR="006C5ABB" w:rsidRDefault="002571FE">
            <w:pPr>
              <w:pStyle w:val="BodyText"/>
              <w:rPr>
                <w:sz w:val="22"/>
                <w:szCs w:val="22"/>
              </w:rPr>
            </w:pPr>
            <w:r>
              <w:rPr>
                <w:sz w:val="22"/>
                <w:szCs w:val="22"/>
              </w:rPr>
              <w:t>125</w:t>
            </w:r>
          </w:p>
        </w:tc>
        <w:tc>
          <w:tcPr>
            <w:tcW w:w="851" w:type="dxa"/>
            <w:tcBorders>
              <w:top w:val="nil"/>
              <w:left w:val="nil"/>
              <w:bottom w:val="nil"/>
              <w:right w:val="nil"/>
            </w:tcBorders>
            <w:hideMark/>
          </w:tcPr>
          <w:p w14:paraId="75FF5FC8" w14:textId="77777777" w:rsidR="006C5ABB" w:rsidRDefault="002571FE">
            <w:pPr>
              <w:pStyle w:val="BodyText"/>
              <w:rPr>
                <w:sz w:val="22"/>
                <w:szCs w:val="22"/>
              </w:rPr>
            </w:pPr>
            <w:r>
              <w:rPr>
                <w:sz w:val="22"/>
                <w:szCs w:val="22"/>
              </w:rPr>
              <w:t>202</w:t>
            </w:r>
          </w:p>
        </w:tc>
        <w:tc>
          <w:tcPr>
            <w:tcW w:w="992" w:type="dxa"/>
            <w:tcBorders>
              <w:top w:val="nil"/>
              <w:left w:val="nil"/>
              <w:bottom w:val="nil"/>
              <w:right w:val="nil"/>
            </w:tcBorders>
            <w:hideMark/>
          </w:tcPr>
          <w:p w14:paraId="610A6A06" w14:textId="77777777" w:rsidR="006C5ABB" w:rsidRDefault="002571FE">
            <w:pPr>
              <w:pStyle w:val="BodyText"/>
              <w:rPr>
                <w:sz w:val="22"/>
                <w:szCs w:val="22"/>
              </w:rPr>
            </w:pPr>
            <w:r>
              <w:rPr>
                <w:sz w:val="22"/>
                <w:szCs w:val="22"/>
              </w:rPr>
              <w:t>524</w:t>
            </w:r>
          </w:p>
        </w:tc>
        <w:tc>
          <w:tcPr>
            <w:tcW w:w="851" w:type="dxa"/>
            <w:tcBorders>
              <w:top w:val="nil"/>
              <w:left w:val="nil"/>
              <w:bottom w:val="nil"/>
              <w:right w:val="nil"/>
            </w:tcBorders>
            <w:hideMark/>
          </w:tcPr>
          <w:p w14:paraId="67925772" w14:textId="77777777" w:rsidR="006C5ABB" w:rsidRDefault="002571FE">
            <w:pPr>
              <w:pStyle w:val="BodyText"/>
              <w:rPr>
                <w:sz w:val="22"/>
                <w:szCs w:val="22"/>
              </w:rPr>
            </w:pPr>
            <w:r>
              <w:rPr>
                <w:sz w:val="22"/>
                <w:szCs w:val="22"/>
              </w:rPr>
              <w:t>834</w:t>
            </w:r>
          </w:p>
        </w:tc>
        <w:tc>
          <w:tcPr>
            <w:tcW w:w="992" w:type="dxa"/>
            <w:tcBorders>
              <w:top w:val="nil"/>
              <w:left w:val="nil"/>
              <w:bottom w:val="nil"/>
              <w:right w:val="nil"/>
            </w:tcBorders>
            <w:hideMark/>
          </w:tcPr>
          <w:p w14:paraId="7431A680" w14:textId="77777777" w:rsidR="006C5ABB" w:rsidRDefault="002571FE">
            <w:pPr>
              <w:pStyle w:val="BodyText"/>
              <w:rPr>
                <w:sz w:val="22"/>
                <w:szCs w:val="22"/>
              </w:rPr>
            </w:pPr>
            <w:r>
              <w:rPr>
                <w:sz w:val="22"/>
                <w:szCs w:val="22"/>
              </w:rPr>
              <w:t>969</w:t>
            </w:r>
          </w:p>
        </w:tc>
      </w:tr>
      <w:tr w:rsidR="006C5ABB" w14:paraId="269A47D9" w14:textId="77777777">
        <w:trPr>
          <w:trHeight w:val="280"/>
          <w:jc w:val="center"/>
        </w:trPr>
        <w:tc>
          <w:tcPr>
            <w:tcW w:w="2403" w:type="dxa"/>
            <w:tcBorders>
              <w:top w:val="nil"/>
              <w:left w:val="nil"/>
              <w:bottom w:val="nil"/>
              <w:right w:val="single" w:sz="4" w:space="0" w:color="auto"/>
            </w:tcBorders>
            <w:hideMark/>
          </w:tcPr>
          <w:p w14:paraId="74FD07C3" w14:textId="77777777" w:rsidR="006C5ABB" w:rsidRDefault="002571FE">
            <w:pPr>
              <w:pStyle w:val="BodyText"/>
              <w:jc w:val="center"/>
              <w:rPr>
                <w:b/>
                <w:bCs/>
                <w:sz w:val="22"/>
                <w:szCs w:val="22"/>
              </w:rPr>
            </w:pPr>
            <w:r>
              <w:rPr>
                <w:b/>
                <w:bCs/>
                <w:sz w:val="22"/>
                <w:szCs w:val="22"/>
              </w:rPr>
              <w:t>99,99%</w:t>
            </w:r>
          </w:p>
        </w:tc>
        <w:tc>
          <w:tcPr>
            <w:tcW w:w="850" w:type="dxa"/>
            <w:tcBorders>
              <w:top w:val="nil"/>
              <w:left w:val="single" w:sz="4" w:space="0" w:color="auto"/>
              <w:bottom w:val="nil"/>
              <w:right w:val="nil"/>
            </w:tcBorders>
            <w:hideMark/>
          </w:tcPr>
          <w:p w14:paraId="2A1FB32F" w14:textId="77777777" w:rsidR="006C5ABB" w:rsidRDefault="002571FE">
            <w:pPr>
              <w:pStyle w:val="BodyText"/>
              <w:rPr>
                <w:sz w:val="22"/>
                <w:szCs w:val="22"/>
              </w:rPr>
            </w:pPr>
            <w:r>
              <w:rPr>
                <w:sz w:val="22"/>
                <w:szCs w:val="22"/>
              </w:rPr>
              <w:t>174</w:t>
            </w:r>
          </w:p>
        </w:tc>
        <w:tc>
          <w:tcPr>
            <w:tcW w:w="851" w:type="dxa"/>
            <w:tcBorders>
              <w:top w:val="nil"/>
              <w:left w:val="nil"/>
              <w:bottom w:val="nil"/>
              <w:right w:val="nil"/>
            </w:tcBorders>
            <w:hideMark/>
          </w:tcPr>
          <w:p w14:paraId="1D29E8EB" w14:textId="77777777" w:rsidR="006C5ABB" w:rsidRDefault="002571FE">
            <w:pPr>
              <w:pStyle w:val="BodyText"/>
              <w:rPr>
                <w:sz w:val="22"/>
                <w:szCs w:val="22"/>
              </w:rPr>
            </w:pPr>
            <w:r>
              <w:rPr>
                <w:sz w:val="22"/>
                <w:szCs w:val="22"/>
              </w:rPr>
              <w:t>280</w:t>
            </w:r>
          </w:p>
        </w:tc>
        <w:tc>
          <w:tcPr>
            <w:tcW w:w="992" w:type="dxa"/>
            <w:tcBorders>
              <w:top w:val="nil"/>
              <w:left w:val="nil"/>
              <w:bottom w:val="nil"/>
              <w:right w:val="nil"/>
            </w:tcBorders>
            <w:hideMark/>
          </w:tcPr>
          <w:p w14:paraId="6BD946DA" w14:textId="77777777" w:rsidR="006C5ABB" w:rsidRDefault="002571FE">
            <w:pPr>
              <w:pStyle w:val="BodyText"/>
              <w:rPr>
                <w:sz w:val="22"/>
                <w:szCs w:val="22"/>
              </w:rPr>
            </w:pPr>
            <w:r>
              <w:rPr>
                <w:sz w:val="22"/>
                <w:szCs w:val="22"/>
              </w:rPr>
              <w:t>717</w:t>
            </w:r>
          </w:p>
        </w:tc>
        <w:tc>
          <w:tcPr>
            <w:tcW w:w="851" w:type="dxa"/>
            <w:tcBorders>
              <w:top w:val="nil"/>
              <w:left w:val="nil"/>
              <w:bottom w:val="nil"/>
              <w:right w:val="nil"/>
            </w:tcBorders>
            <w:hideMark/>
          </w:tcPr>
          <w:p w14:paraId="097FFDFA" w14:textId="77777777" w:rsidR="006C5ABB" w:rsidRDefault="002571FE">
            <w:pPr>
              <w:pStyle w:val="BodyText"/>
              <w:rPr>
                <w:sz w:val="22"/>
                <w:szCs w:val="22"/>
              </w:rPr>
            </w:pPr>
            <w:r>
              <w:rPr>
                <w:sz w:val="22"/>
                <w:szCs w:val="22"/>
              </w:rPr>
              <w:t>1129</w:t>
            </w:r>
          </w:p>
        </w:tc>
        <w:tc>
          <w:tcPr>
            <w:tcW w:w="992" w:type="dxa"/>
            <w:tcBorders>
              <w:top w:val="nil"/>
              <w:left w:val="nil"/>
              <w:bottom w:val="nil"/>
              <w:right w:val="nil"/>
            </w:tcBorders>
            <w:hideMark/>
          </w:tcPr>
          <w:p w14:paraId="0E3F1F23" w14:textId="77777777" w:rsidR="006C5ABB" w:rsidRDefault="002571FE">
            <w:pPr>
              <w:pStyle w:val="BodyText"/>
              <w:rPr>
                <w:sz w:val="22"/>
                <w:szCs w:val="22"/>
              </w:rPr>
            </w:pPr>
            <w:r>
              <w:rPr>
                <w:sz w:val="22"/>
                <w:szCs w:val="22"/>
              </w:rPr>
              <w:t>1304</w:t>
            </w:r>
          </w:p>
        </w:tc>
      </w:tr>
    </w:tbl>
    <w:p w14:paraId="07C32A46"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7BA04284" w14:textId="3B187869" w:rsidR="003E1748" w:rsidRPr="007506F2" w:rsidRDefault="003E1748" w:rsidP="003E1748">
      <w:r w:rsidRPr="007506F2">
        <w:t>The sample size is tentatively estimated, given that there is little information on</w:t>
      </w:r>
      <w:r>
        <w:t xml:space="preserve"> prevalence of </w:t>
      </w:r>
      <w:r w:rsidRPr="007506F2">
        <w:t xml:space="preserve"> ZIKV</w:t>
      </w:r>
      <w:r>
        <w:t xml:space="preserve"> RNA persistence rates </w:t>
      </w:r>
      <w:r w:rsidRPr="007506F2">
        <w:t xml:space="preserve">available in literature. The final sample size of </w:t>
      </w:r>
      <w:r>
        <w:t>150 ZIKV positive pregnant women and their congenitally</w:t>
      </w:r>
      <w:r w:rsidR="006D1083">
        <w:t xml:space="preserve"> exposed</w:t>
      </w:r>
      <w:r>
        <w:t xml:space="preserve"> infants</w:t>
      </w:r>
      <w:r w:rsidRPr="007506F2">
        <w:t xml:space="preserve"> is estimated</w:t>
      </w:r>
      <w:r>
        <w:t xml:space="preserve"> for evaluation of the primary objective</w:t>
      </w:r>
      <w:r w:rsidR="0048334D">
        <w:t>s</w:t>
      </w:r>
      <w:r>
        <w:t xml:space="preserve"> of the study</w:t>
      </w:r>
      <w:r w:rsidRPr="007506F2">
        <w:t xml:space="preserve"> </w:t>
      </w:r>
    </w:p>
    <w:p w14:paraId="17ED09DE" w14:textId="77777777" w:rsidR="003E1748" w:rsidRDefault="003E1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65397C1F"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B.2. Procedures for the Collection of Information</w:t>
      </w:r>
    </w:p>
    <w:p w14:paraId="1F6B4832" w14:textId="77777777" w:rsidR="00D941DC" w:rsidRDefault="00D941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67614F3D" w14:textId="77777777" w:rsidR="006B2BEF" w:rsidRDefault="006B2BEF" w:rsidP="006B2BE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14:paraId="1B29B4E6" w14:textId="77777777" w:rsidR="006B2BEF" w:rsidRDefault="006B2BEF" w:rsidP="006B2BEF">
      <w:pPr>
        <w:ind w:hanging="4"/>
      </w:pPr>
      <w:r>
        <w:t xml:space="preserve">Pregnant women of any gestational age at the time of ZIKV diagnosis and their infants will be invited to participate. The Pregnant Women Screening Form (Att </w:t>
      </w:r>
      <w:r>
        <w:rPr>
          <w:b/>
        </w:rPr>
        <w:t>C</w:t>
      </w:r>
      <w:r>
        <w:t>.1) will be administered to potential participants by trained ZIRP research staff, and will be used to confirm participant eligibility prior to consent.</w:t>
      </w:r>
    </w:p>
    <w:p w14:paraId="2A0D97F3" w14:textId="77777777" w:rsidR="006B2BEF" w:rsidRDefault="006B2BEF" w:rsidP="006B2BEF"/>
    <w:p w14:paraId="668B0830" w14:textId="77777777" w:rsidR="006B2BEF" w:rsidRDefault="006B2BEF" w:rsidP="006B2BEF">
      <w:pPr>
        <w:ind w:hanging="4"/>
      </w:pPr>
      <w:r>
        <w:t xml:space="preserve">The pregnant woman will consent for her participation. Following consent, information will be collected at baseline regarding demographics and risk factors for ZIKV through the Pregnant Woman Enrollment Questionnaire (Att </w:t>
      </w:r>
      <w:r>
        <w:rPr>
          <w:b/>
        </w:rPr>
        <w:t>C</w:t>
      </w:r>
      <w:r>
        <w:t xml:space="preserve">.2) and a Pregnant Woman Symptom Questionnaire (Att </w:t>
      </w:r>
      <w:r>
        <w:rPr>
          <w:b/>
        </w:rPr>
        <w:t>C</w:t>
      </w:r>
      <w:r>
        <w:t xml:space="preserve">.3). </w:t>
      </w:r>
      <w:r w:rsidRPr="005242F2">
        <w:t>Pregnant women will then be serially tested for ZIKV RNA in blood (7.5mL) and/or urine samples by rRT-PCR and ZIKV Immunoglobulin M (IgM)  every two weeks . The blood samples will consist of one venous blood collection (via venipuncture) every two weeks and a one-time collection of capillary blood (via finger prick) at enrollment.  If these visits do not coincide with a typical prenatal care visit, they will be asked to come in for a laboratory-only visit to o</w:t>
      </w:r>
      <w:r>
        <w:t>btain samples and to complete the Pregnant Woman F</w:t>
      </w:r>
      <w:r w:rsidRPr="005242F2">
        <w:t>ollow-up questionnaire</w:t>
      </w:r>
      <w:r>
        <w:t xml:space="preserve"> (Att </w:t>
      </w:r>
      <w:r>
        <w:rPr>
          <w:b/>
        </w:rPr>
        <w:t>C</w:t>
      </w:r>
      <w:r>
        <w:t>.4)</w:t>
      </w:r>
      <w:r w:rsidRPr="005242F2">
        <w:t>.</w:t>
      </w:r>
      <w:r w:rsidRPr="00B02253">
        <w:t xml:space="preserve"> </w:t>
      </w:r>
    </w:p>
    <w:p w14:paraId="7EC5FB24" w14:textId="77777777" w:rsidR="006B2BEF" w:rsidRDefault="006B2BEF" w:rsidP="006B2BEF">
      <w:pPr>
        <w:ind w:hanging="4"/>
      </w:pPr>
    </w:p>
    <w:p w14:paraId="15704E60" w14:textId="77777777" w:rsidR="0048334D" w:rsidRPr="0089117A" w:rsidRDefault="0048334D" w:rsidP="0048334D">
      <w:pPr>
        <w:ind w:hanging="4"/>
      </w:pPr>
      <w:r>
        <w:t xml:space="preserve">Samples will be collected every two weeks until blood </w:t>
      </w:r>
      <w:r w:rsidRPr="00F754DF">
        <w:t>and</w:t>
      </w:r>
      <w:r>
        <w:t xml:space="preserve"> urine samples are all rRT-PCR-negative on two subsequent collection dates to confirm negative results. Once a woman tests rRT-PCR negative on two subsequent collection dates, she will be tested monthly for ZIKV through 1 month post-delivery. All women will continue to have study visits through 3 months post-delivery.</w:t>
      </w:r>
    </w:p>
    <w:p w14:paraId="27EF3926" w14:textId="26C0A0FC" w:rsidR="006B2BEF" w:rsidRDefault="006B2BEF" w:rsidP="001E121F">
      <w:pPr>
        <w:pStyle w:val="BodyText"/>
      </w:pPr>
      <w:r>
        <w:t xml:space="preserve">Infants born to women enrolled in the pregnancy cohort will be enrolled when the pregnant woman and the infant’s father sign the infant informed consent form. At birth, the study staff will collect infant information on the Infant enrollment and delivery questionnaire (Att </w:t>
      </w:r>
      <w:r>
        <w:rPr>
          <w:b/>
        </w:rPr>
        <w:t>C</w:t>
      </w:r>
      <w:r>
        <w:t xml:space="preserve">.5), this information will be related to demographics, vital signs, delivery and abnormalities, laboratory sample collection and imaging. </w:t>
      </w:r>
      <w:r w:rsidR="0048334D">
        <w:t>Infants</w:t>
      </w:r>
      <w:r w:rsidR="0048334D" w:rsidRPr="00594D5A">
        <w:t xml:space="preserve"> will be tested every month after birth until blood and</w:t>
      </w:r>
      <w:r w:rsidR="0048334D">
        <w:t>/or</w:t>
      </w:r>
      <w:r w:rsidR="0048334D" w:rsidRPr="00594D5A">
        <w:t xml:space="preserve"> urine samples are all rRT-PCR-negative on two subsequent collection dates to confirm negative results</w:t>
      </w:r>
      <w:r w:rsidR="0048334D">
        <w:t>. Infants who test rRT-PCR- negative on two subsequent collection dates will continue to have monthly study visits in which only study forms will be completed</w:t>
      </w:r>
      <w:r w:rsidR="0048334D" w:rsidRPr="00594D5A">
        <w:t xml:space="preserve"> until </w:t>
      </w:r>
      <w:r w:rsidR="0048334D">
        <w:t xml:space="preserve">six months of age. </w:t>
      </w:r>
      <w:r w:rsidRPr="001A7A8A">
        <w:t>In</w:t>
      </w:r>
      <w:r>
        <w:t xml:space="preserve">fants who are born PCR-negative will have a confirmatory test at month 1 to ensure they continue to be negative and will complete the Infant follow-up questionnaire (Att </w:t>
      </w:r>
      <w:r>
        <w:rPr>
          <w:b/>
        </w:rPr>
        <w:t>C</w:t>
      </w:r>
      <w:r>
        <w:t xml:space="preserve">.6),. </w:t>
      </w:r>
    </w:p>
    <w:p w14:paraId="2C0A87C5" w14:textId="77777777" w:rsidR="00D941DC" w:rsidRDefault="00D941DC" w:rsidP="00D941DC"/>
    <w:p w14:paraId="462B3890"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325CB53"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B.3. Methods to Maximize Response Rates and Deal with Non-response</w:t>
      </w:r>
    </w:p>
    <w:p w14:paraId="5BF5EEEA"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4DB76F5" w14:textId="3A6AA315" w:rsidR="006C5ABB" w:rsidRDefault="002571FE">
      <w:r>
        <w:t>Efforts will be made to maximize the response rate. P</w:t>
      </w:r>
      <w:r w:rsidR="00AD53CF">
        <w:t>regnant women</w:t>
      </w:r>
      <w:r>
        <w:t xml:space="preserve"> will be encouraged to complete the study throughout the pregnancy</w:t>
      </w:r>
      <w:r w:rsidR="00AD53CF">
        <w:t xml:space="preserve"> up until</w:t>
      </w:r>
      <w:r>
        <w:t xml:space="preserve"> 3 months post-delivery</w:t>
      </w:r>
      <w:r w:rsidR="00AD53CF">
        <w:t xml:space="preserve"> and their infants up to 6 months of </w:t>
      </w:r>
      <w:r>
        <w:t>age. To encourage study participation, after being provided with information about the study, potential p</w:t>
      </w:r>
      <w:r>
        <w:rPr>
          <w:rFonts w:cs="Arial"/>
        </w:rPr>
        <w:t>articipants will be given a</w:t>
      </w:r>
      <w:r w:rsidR="00F31903">
        <w:rPr>
          <w:rFonts w:cs="Arial"/>
        </w:rPr>
        <w:t xml:space="preserve"> phone number to call if they have</w:t>
      </w:r>
      <w:r>
        <w:rPr>
          <w:rFonts w:cs="Arial"/>
        </w:rPr>
        <w:t xml:space="preserve"> questions about the study. In addition, once a participant is enrolled, study staff will follow-up with participants if a study visit is missed.  </w:t>
      </w:r>
    </w:p>
    <w:p w14:paraId="726F475A" w14:textId="77777777" w:rsidR="006C5ABB" w:rsidRDefault="006C5ABB"/>
    <w:p w14:paraId="32114A4C" w14:textId="77777777" w:rsidR="006C5ABB" w:rsidRDefault="002571FE">
      <w:pPr>
        <w:rPr>
          <w:color w:val="000000"/>
        </w:rPr>
      </w:pPr>
      <w:r>
        <w:t xml:space="preserve">There are also a number of ancillary benefits to study participation that are expected to increase participation rates. As a part of this study, participants </w:t>
      </w:r>
      <w:r>
        <w:rPr>
          <w:iCs/>
          <w:color w:val="000000"/>
        </w:rPr>
        <w:t xml:space="preserve">will have some tests and procedures performed that are not usually available in the standard prenatal care, including serial Zika testing, blood, and urine diagnostic testing. </w:t>
      </w:r>
      <w:r>
        <w:t xml:space="preserve">All of these tests and procedures will be paid for by the study as they are not part of the routine clinical care.  Participants will also be given any </w:t>
      </w:r>
      <w:r>
        <w:rPr>
          <w:color w:val="000000"/>
        </w:rPr>
        <w:t xml:space="preserve">new information gained during the course of the study that might increase their willingness to continue with the study.   </w:t>
      </w:r>
    </w:p>
    <w:p w14:paraId="5C5C1029" w14:textId="77777777" w:rsidR="006C5ABB" w:rsidRDefault="006C5ABB">
      <w:pPr>
        <w:pStyle w:val="NoSpacing"/>
        <w:rPr>
          <w:rFonts w:ascii="Times New Roman" w:eastAsia="Times New Roman" w:hAnsi="Times New Roman" w:cs="Times New Roman"/>
          <w:color w:val="000000"/>
          <w:sz w:val="24"/>
          <w:szCs w:val="24"/>
        </w:rPr>
      </w:pPr>
    </w:p>
    <w:p w14:paraId="52E4EAD5" w14:textId="00E2E1E6" w:rsidR="006C5ABB" w:rsidRDefault="00023C8D" w:rsidP="00023C8D">
      <w:r>
        <w:t>Pregnant women and parent(s) may incur extra financial and other costs to participate, as the study will require time for extra clinic and laboratory visits, transportation costs, and the extra time needed to make these visits. To help cover these costs, w</w:t>
      </w:r>
      <w:r w:rsidR="00F31903">
        <w:t>e plan to offer a $25</w:t>
      </w:r>
      <w:r>
        <w:t xml:space="preserve"> gift card</w:t>
      </w:r>
      <w:r w:rsidR="00F31903">
        <w:t xml:space="preserve"> for each clinic visit and a $25</w:t>
      </w:r>
      <w:r>
        <w:t xml:space="preserve"> gift card for each laboratory visit. </w:t>
      </w:r>
      <w:r w:rsidR="00F31903">
        <w:t>Infants will receive a $25</w:t>
      </w:r>
      <w:r>
        <w:t xml:space="preserve"> gift card for each clinic </w:t>
      </w:r>
      <w:r w:rsidR="002571FE">
        <w:t>visit. These may be given to the participants in the form of cash or transportation tickets to appreciate for their participation.</w:t>
      </w:r>
    </w:p>
    <w:p w14:paraId="3311C379" w14:textId="77777777" w:rsidR="006C5ABB" w:rsidRDefault="006C5ABB">
      <w:pPr>
        <w:pStyle w:val="NoSpacing"/>
        <w:rPr>
          <w:rFonts w:ascii="Times New Roman" w:hAnsi="Times New Roman" w:cs="Times New Roman"/>
          <w:sz w:val="24"/>
          <w:szCs w:val="24"/>
        </w:rPr>
      </w:pPr>
    </w:p>
    <w:p w14:paraId="4B84C77B" w14:textId="39D2C556" w:rsidR="006C5ABB" w:rsidRDefault="002571FE">
      <w:pPr>
        <w:pStyle w:val="NoSpacing"/>
        <w:rPr>
          <w:rFonts w:ascii="Times New Roman" w:hAnsi="Times New Roman" w:cs="Times New Roman"/>
          <w:sz w:val="24"/>
          <w:szCs w:val="24"/>
        </w:rPr>
      </w:pPr>
      <w:r>
        <w:rPr>
          <w:rFonts w:ascii="Times New Roman" w:hAnsi="Times New Roman" w:cs="Times New Roman"/>
          <w:sz w:val="24"/>
          <w:szCs w:val="24"/>
        </w:rPr>
        <w:t>We anticipate being able to assess non-response bias by examini</w:t>
      </w:r>
      <w:r w:rsidR="00F31903">
        <w:rPr>
          <w:rFonts w:ascii="Times New Roman" w:hAnsi="Times New Roman" w:cs="Times New Roman"/>
          <w:sz w:val="24"/>
          <w:szCs w:val="24"/>
        </w:rPr>
        <w:t>ng participation rates</w:t>
      </w:r>
      <w:r>
        <w:rPr>
          <w:rFonts w:ascii="Times New Roman" w:hAnsi="Times New Roman" w:cs="Times New Roman"/>
          <w:sz w:val="24"/>
          <w:szCs w:val="24"/>
        </w:rPr>
        <w:t xml:space="preserve">. In addition, some information on non-responders may be available from clinics so that we will be able to assess factors associated with non-response.  </w:t>
      </w:r>
    </w:p>
    <w:p w14:paraId="3FE5A14F"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76A358E"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B.4. Tests of Procedures or Methods to be Undertaken</w:t>
      </w:r>
    </w:p>
    <w:p w14:paraId="70956AF7"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2F357287" w14:textId="54BF1DEA" w:rsidR="006C5ABB" w:rsidRDefault="002571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All data collection instruments were reviewed by medical personnel, laboratorians, epidemiologists and subject matter experts for question working and appropriate and adequate response options. </w:t>
      </w:r>
    </w:p>
    <w:p w14:paraId="307774FE"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71D006D7"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B.5. Individuals Consulted on Statistical Aspects and Individuals Collecting and/or Analyzing Data</w:t>
      </w:r>
    </w:p>
    <w:p w14:paraId="54A36CC0"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1C8FEB54" w14:textId="4E2FDBFC" w:rsidR="006C5ABB" w:rsidRDefault="002571FE">
      <w:pPr>
        <w:pStyle w:val="NoSpacing"/>
        <w:rPr>
          <w:rFonts w:ascii="Arial" w:hAnsi="Arial" w:cs="Arial"/>
        </w:rPr>
      </w:pPr>
      <w:r>
        <w:rPr>
          <w:rFonts w:ascii="Times New Roman" w:eastAsia="Times New Roman" w:hAnsi="Times New Roman" w:cs="Times New Roman"/>
          <w:sz w:val="24"/>
          <w:szCs w:val="24"/>
        </w:rPr>
        <w:t>Data collection instruments were reviewed by medical personnel, laboratorians, epidemiologists and subject matter experts. These included individuals from the CDC Zika Virus Response Team, Pregnancy and Birth Defects Task Force (Margaret Honein, PhD; Sascha Ellington, MSPH; Cristina Valencia, MPH, MSc, EPIET; Abbey Jones, MPH; Carrie Shapiro, PhD, MPH; Dana Meaney-Delman, MD,MPH ), CDC Dengue Branch, Puerto Rico (Jennifer Reed, MD; Jorge Munoz, MD; Janice Perez-Padilla, RN, MPH; Steve Waterman, PhD)</w:t>
      </w:r>
      <w:r w:rsidR="00CB05E0">
        <w:rPr>
          <w:rFonts w:ascii="Times New Roman" w:eastAsia="Times New Roman" w:hAnsi="Times New Roman" w:cs="Times New Roman"/>
          <w:sz w:val="24"/>
          <w:szCs w:val="24"/>
        </w:rPr>
        <w:t>, University of Puerto Rico (Carmen Zorilla, MD; Alberto de la Vega, MD; Ines Garcia, MD; Juana Rivera, MD) and Puerto Rico Department of Health (Carmen Deseda, MD)</w:t>
      </w:r>
    </w:p>
    <w:p w14:paraId="5843A65E" w14:textId="77777777" w:rsidR="006C5ABB" w:rsidRDefault="006C5ABB">
      <w:pPr>
        <w:pStyle w:val="NoSpacing"/>
        <w:rPr>
          <w:rFonts w:ascii="Arial" w:hAnsi="Arial" w:cs="Arial"/>
        </w:rPr>
      </w:pPr>
    </w:p>
    <w:p w14:paraId="36524E79"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E994822"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ZIRP Puerto Rico Study designed by:</w:t>
      </w:r>
    </w:p>
    <w:p w14:paraId="29710177"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520626"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Pregnancy and Birth Defects Task Force</w:t>
      </w:r>
    </w:p>
    <w:p w14:paraId="38C2CA6E"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CDC Zika Virus Response Team</w:t>
      </w:r>
    </w:p>
    <w:p w14:paraId="23DCA3B9"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U.S. Centers for Disease Control and Prevention</w:t>
      </w:r>
    </w:p>
    <w:p w14:paraId="6281A7CD"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Centers for Disease Control and Prevention</w:t>
      </w:r>
    </w:p>
    <w:p w14:paraId="230F5B23"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1600 Clifton Rd., NE</w:t>
      </w:r>
    </w:p>
    <w:p w14:paraId="1F280444"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Atlanta, GA 30303</w:t>
      </w:r>
    </w:p>
    <w:p w14:paraId="5D38612B"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Tel: 770-488-7100</w:t>
      </w:r>
    </w:p>
    <w:p w14:paraId="56F49EDD" w14:textId="77777777" w:rsidR="006C5ABB" w:rsidRDefault="002571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Project Officer: Margaret Honein</w:t>
      </w:r>
    </w:p>
    <w:p w14:paraId="017F61E0"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rPr>
          <w:bCs/>
        </w:rPr>
      </w:pPr>
      <w:r>
        <w:rPr>
          <w:bCs/>
        </w:rPr>
        <w:t>E-mail: mrh7@cdc.gov</w:t>
      </w:r>
    </w:p>
    <w:p w14:paraId="0EDA7CD5" w14:textId="77777777" w:rsidR="006C5ABB" w:rsidRDefault="006C5A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F3C288" w14:textId="77777777" w:rsidR="006C5ABB" w:rsidRDefault="002571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Puerto Rico Department of Health (PRDH)</w:t>
      </w:r>
    </w:p>
    <w:p w14:paraId="187AC7DE" w14:textId="77777777" w:rsidR="006C5ABB" w:rsidRPr="00C6361D" w:rsidRDefault="002571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sidRPr="00C6361D">
        <w:rPr>
          <w:lang w:val="es-ES"/>
        </w:rPr>
        <w:t>Calle Teniente Cesar Luis Gonzalez, 1111</w:t>
      </w:r>
    </w:p>
    <w:p w14:paraId="39525376" w14:textId="77777777" w:rsidR="006C5ABB" w:rsidRPr="00C6361D" w:rsidRDefault="002571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sidRPr="00C6361D">
        <w:rPr>
          <w:lang w:val="es-ES"/>
        </w:rPr>
        <w:t>San Juan, Puerto Rico 00927</w:t>
      </w:r>
    </w:p>
    <w:p w14:paraId="2658981B" w14:textId="77C79A4F" w:rsidR="006C5ABB" w:rsidRDefault="004316D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Pr>
          <w:lang w:val="es-ES"/>
        </w:rPr>
        <w:t>Tel</w:t>
      </w:r>
      <w:r w:rsidR="002571FE" w:rsidRPr="00C6361D">
        <w:rPr>
          <w:lang w:val="es-ES"/>
        </w:rPr>
        <w:t>: (1) 787-765-2929</w:t>
      </w:r>
    </w:p>
    <w:p w14:paraId="737485A8" w14:textId="77777777" w:rsidR="004316D4" w:rsidRDefault="004316D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p>
    <w:p w14:paraId="5838632F" w14:textId="28E06332" w:rsidR="004316D4" w:rsidRDefault="004316D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Pr>
          <w:lang w:val="es-ES"/>
        </w:rPr>
        <w:t>University of Puerto Rico (UPR)</w:t>
      </w:r>
    </w:p>
    <w:p w14:paraId="14B96FE6" w14:textId="77D05994" w:rsidR="004316D4" w:rsidRPr="004316D4" w:rsidRDefault="004316D4" w:rsidP="004316D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Pr>
          <w:lang w:val="es-ES"/>
        </w:rPr>
        <w:t>1187 Calle Flamboyán</w:t>
      </w:r>
    </w:p>
    <w:p w14:paraId="0641E44F" w14:textId="29067557" w:rsidR="004316D4" w:rsidRPr="00C6361D" w:rsidRDefault="004316D4" w:rsidP="004316D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sidRPr="004316D4">
        <w:rPr>
          <w:lang w:val="es-ES"/>
        </w:rPr>
        <w:t>San Juan PR 00926-1117</w:t>
      </w:r>
    </w:p>
    <w:p w14:paraId="2FD00D2A" w14:textId="3C92A98E" w:rsidR="006C5ABB" w:rsidRPr="0048334D" w:rsidRDefault="004316D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334D">
        <w:t>Tel: (1) 787-250-0000</w:t>
      </w:r>
    </w:p>
    <w:p w14:paraId="5B95D76D" w14:textId="77777777" w:rsidR="006C5ABB" w:rsidRPr="0048334D"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E766244" w14:textId="77777777" w:rsidR="006C5ABB" w:rsidRPr="0048334D"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EA4933C"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Data collected from 2017-2018 by: </w:t>
      </w:r>
    </w:p>
    <w:p w14:paraId="4AB1380B"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BBFD045"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8A5AB7A"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B03AF0"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Pregnancy and Birth Defects Task Force</w:t>
      </w:r>
    </w:p>
    <w:p w14:paraId="11D1FE4E"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CDC Zika Virus Response Team</w:t>
      </w:r>
    </w:p>
    <w:p w14:paraId="4015A624"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U.S. Centers for Disease Control and Prevention</w:t>
      </w:r>
    </w:p>
    <w:p w14:paraId="19938893"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Centers for Disease Control and Prevention</w:t>
      </w:r>
    </w:p>
    <w:p w14:paraId="4BEB2C8B"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1600 Clifton Rd., NE</w:t>
      </w:r>
    </w:p>
    <w:p w14:paraId="1818B2BB"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Atlanta, GA 30303</w:t>
      </w:r>
    </w:p>
    <w:p w14:paraId="068D686F"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Tel: 770-488-7100</w:t>
      </w:r>
    </w:p>
    <w:p w14:paraId="79EC1C26" w14:textId="77777777" w:rsidR="006C5ABB" w:rsidRDefault="002571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Project Officer: Margaret Honein</w:t>
      </w:r>
    </w:p>
    <w:p w14:paraId="7200D5FD"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rPr>
          <w:bCs/>
        </w:rPr>
      </w:pPr>
      <w:r>
        <w:rPr>
          <w:bCs/>
        </w:rPr>
        <w:t>E-mail: mrh7@cdc.gov</w:t>
      </w:r>
    </w:p>
    <w:p w14:paraId="251E323D" w14:textId="77777777" w:rsidR="006C5ABB" w:rsidRDefault="006C5A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9E01EA" w14:textId="77777777" w:rsidR="00AD2033"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Puerto Rico Department of Health (PRDH)</w:t>
      </w:r>
    </w:p>
    <w:p w14:paraId="19BC283B" w14:textId="77777777" w:rsidR="00AD2033" w:rsidRPr="00C6361D"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sidRPr="00C6361D">
        <w:rPr>
          <w:lang w:val="es-ES"/>
        </w:rPr>
        <w:t>Calle Teniente Cesar Luis Gonzalez, 1111</w:t>
      </w:r>
    </w:p>
    <w:p w14:paraId="62601814" w14:textId="77777777" w:rsidR="00AD2033" w:rsidRPr="00C6361D"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sidRPr="00C6361D">
        <w:rPr>
          <w:lang w:val="es-ES"/>
        </w:rPr>
        <w:t>San Juan, Puerto Rico 00927</w:t>
      </w:r>
    </w:p>
    <w:p w14:paraId="1B889D65" w14:textId="77777777" w:rsidR="00AD2033"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Pr>
          <w:lang w:val="es-ES"/>
        </w:rPr>
        <w:t>Tel</w:t>
      </w:r>
      <w:r w:rsidRPr="00C6361D">
        <w:rPr>
          <w:lang w:val="es-ES"/>
        </w:rPr>
        <w:t>: (1) 787-765-2929</w:t>
      </w:r>
    </w:p>
    <w:p w14:paraId="630AF545" w14:textId="77777777" w:rsidR="00AD2033"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p>
    <w:p w14:paraId="36704025" w14:textId="77777777" w:rsidR="00AD2033"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Pr>
          <w:lang w:val="es-ES"/>
        </w:rPr>
        <w:t>University of Puerto Rico (UPR)</w:t>
      </w:r>
    </w:p>
    <w:p w14:paraId="0B598A62" w14:textId="77777777" w:rsidR="00AD2033" w:rsidRPr="004316D4"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Pr>
          <w:lang w:val="es-ES"/>
        </w:rPr>
        <w:t>1187 Calle Flamboyán</w:t>
      </w:r>
    </w:p>
    <w:p w14:paraId="051E9B43" w14:textId="77777777" w:rsidR="00AD2033" w:rsidRPr="00C6361D"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sidRPr="004316D4">
        <w:rPr>
          <w:lang w:val="es-ES"/>
        </w:rPr>
        <w:t>San Juan PR 00926-1117</w:t>
      </w:r>
    </w:p>
    <w:p w14:paraId="0236FBA9" w14:textId="77777777" w:rsidR="00AD2033" w:rsidRPr="0048334D"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334D">
        <w:t>Tel: (1) 787-250-0000</w:t>
      </w:r>
    </w:p>
    <w:p w14:paraId="064BBD28" w14:textId="77777777" w:rsidR="006C5ABB" w:rsidRPr="0048334D"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613D37" w14:textId="77777777" w:rsidR="00AD2033" w:rsidRPr="0048334D" w:rsidRDefault="00AD2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A46799" w14:textId="77777777" w:rsidR="006C5ABB" w:rsidRPr="0048334D"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182717AD"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Data analyzed by:</w:t>
      </w:r>
    </w:p>
    <w:p w14:paraId="2EC3F914" w14:textId="77777777" w:rsidR="006C5ABB" w:rsidRDefault="006C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2F3734B5"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Pregnancy and Birth Defects Task Force</w:t>
      </w:r>
    </w:p>
    <w:p w14:paraId="73EDBF52"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CDC Zika Virus Response Team</w:t>
      </w:r>
    </w:p>
    <w:p w14:paraId="02D19624"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U.S. Centers for Disease Control and Prevention</w:t>
      </w:r>
    </w:p>
    <w:p w14:paraId="3D79A58A"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Centers for Disease Control and Prevention</w:t>
      </w:r>
    </w:p>
    <w:p w14:paraId="7ED07D64"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1600 Clifton Rd., NE</w:t>
      </w:r>
    </w:p>
    <w:p w14:paraId="1F676981"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Atlanta, GA 30303</w:t>
      </w:r>
    </w:p>
    <w:p w14:paraId="5D473D39" w14:textId="77777777" w:rsidR="006C5ABB" w:rsidRDefault="0025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Tel: 770-488-7100</w:t>
      </w:r>
    </w:p>
    <w:p w14:paraId="110498DD" w14:textId="77777777" w:rsidR="006C5ABB" w:rsidRDefault="002571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Project Officer: Margaret Honein</w:t>
      </w:r>
    </w:p>
    <w:p w14:paraId="78691200" w14:textId="77777777" w:rsidR="006C5ABB" w:rsidRDefault="002571FE">
      <w:pPr>
        <w:widowControl/>
        <w:tabs>
          <w:tab w:val="left" w:pos="0"/>
          <w:tab w:val="center" w:pos="4680"/>
          <w:tab w:val="left" w:pos="5040"/>
          <w:tab w:val="left" w:pos="5760"/>
          <w:tab w:val="left" w:pos="6480"/>
          <w:tab w:val="left" w:pos="7200"/>
          <w:tab w:val="left" w:pos="7920"/>
          <w:tab w:val="left" w:pos="8640"/>
          <w:tab w:val="left" w:pos="9360"/>
        </w:tabs>
        <w:rPr>
          <w:bCs/>
        </w:rPr>
      </w:pPr>
      <w:r>
        <w:rPr>
          <w:bCs/>
        </w:rPr>
        <w:t xml:space="preserve">E-mail: </w:t>
      </w:r>
      <w:hyperlink r:id="rId9" w:history="1">
        <w:r>
          <w:rPr>
            <w:rStyle w:val="Hyperlink"/>
            <w:bCs/>
          </w:rPr>
          <w:t>mrh7@cdc.gov</w:t>
        </w:r>
      </w:hyperlink>
    </w:p>
    <w:p w14:paraId="71E48148" w14:textId="77777777" w:rsidR="006C5ABB" w:rsidRDefault="006C5ABB">
      <w:pPr>
        <w:widowControl/>
        <w:tabs>
          <w:tab w:val="left" w:pos="0"/>
          <w:tab w:val="center" w:pos="4680"/>
          <w:tab w:val="left" w:pos="5040"/>
          <w:tab w:val="left" w:pos="5760"/>
          <w:tab w:val="left" w:pos="6480"/>
          <w:tab w:val="left" w:pos="7200"/>
          <w:tab w:val="left" w:pos="7920"/>
          <w:tab w:val="left" w:pos="8640"/>
          <w:tab w:val="left" w:pos="9360"/>
        </w:tabs>
        <w:rPr>
          <w:bCs/>
        </w:rPr>
      </w:pPr>
    </w:p>
    <w:p w14:paraId="37763103" w14:textId="77777777" w:rsidR="00AD2033"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Puerto Rico Department of Health (PRDH)</w:t>
      </w:r>
    </w:p>
    <w:p w14:paraId="4C431C40" w14:textId="77777777" w:rsidR="00AD2033" w:rsidRPr="00C6361D"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sidRPr="00C6361D">
        <w:rPr>
          <w:lang w:val="es-ES"/>
        </w:rPr>
        <w:t>Calle Teniente Cesar Luis Gonzalez, 1111</w:t>
      </w:r>
    </w:p>
    <w:p w14:paraId="459FAD20" w14:textId="77777777" w:rsidR="00AD2033" w:rsidRPr="00C6361D"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sidRPr="00C6361D">
        <w:rPr>
          <w:lang w:val="es-ES"/>
        </w:rPr>
        <w:t>San Juan, Puerto Rico 00927</w:t>
      </w:r>
    </w:p>
    <w:p w14:paraId="19C1715B" w14:textId="77777777" w:rsidR="00AD2033"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Pr>
          <w:lang w:val="es-ES"/>
        </w:rPr>
        <w:t>Tel</w:t>
      </w:r>
      <w:r w:rsidRPr="00C6361D">
        <w:rPr>
          <w:lang w:val="es-ES"/>
        </w:rPr>
        <w:t>: (1) 787-765-2929</w:t>
      </w:r>
    </w:p>
    <w:p w14:paraId="2D266389" w14:textId="77777777" w:rsidR="00AD2033"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p>
    <w:p w14:paraId="34C55071" w14:textId="77777777" w:rsidR="00AD2033"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Pr>
          <w:lang w:val="es-ES"/>
        </w:rPr>
        <w:t>University of Puerto Rico (UPR)</w:t>
      </w:r>
    </w:p>
    <w:p w14:paraId="10ABD872" w14:textId="77777777" w:rsidR="00AD2033" w:rsidRPr="004316D4"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Pr>
          <w:lang w:val="es-ES"/>
        </w:rPr>
        <w:t>1187 Calle Flamboyán</w:t>
      </w:r>
    </w:p>
    <w:p w14:paraId="2B9B3547" w14:textId="77777777" w:rsidR="00AD2033" w:rsidRPr="00C6361D"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r w:rsidRPr="004316D4">
        <w:rPr>
          <w:lang w:val="es-ES"/>
        </w:rPr>
        <w:t>San Juan PR 00926-1117</w:t>
      </w:r>
    </w:p>
    <w:p w14:paraId="7C57B08B" w14:textId="77777777" w:rsidR="00AD2033" w:rsidRDefault="00AD2033" w:rsidP="00AD20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Pr>
          <w:lang w:val="es-ES"/>
        </w:rPr>
        <w:t>Tel: (1) 787-250-0000</w:t>
      </w:r>
    </w:p>
    <w:p w14:paraId="08712C30" w14:textId="77777777" w:rsidR="006C5ABB" w:rsidRPr="00C6361D" w:rsidRDefault="006C5A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ES"/>
        </w:rPr>
      </w:pPr>
    </w:p>
    <w:sectPr w:rsidR="006C5ABB" w:rsidRPr="00C6361D">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1440" w:footer="188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78C03" w14:textId="77777777" w:rsidR="006C5ABB" w:rsidRDefault="002571FE">
      <w:r>
        <w:separator/>
      </w:r>
    </w:p>
  </w:endnote>
  <w:endnote w:type="continuationSeparator" w:id="0">
    <w:p w14:paraId="6BBC1AE4" w14:textId="77777777" w:rsidR="006C5ABB" w:rsidRDefault="002571FE">
      <w:r>
        <w:continuationSeparator/>
      </w:r>
    </w:p>
  </w:endnote>
  <w:endnote w:type="continuationNotice" w:id="1">
    <w:p w14:paraId="56D9D4A3" w14:textId="77777777" w:rsidR="006C5ABB" w:rsidRDefault="006C5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51D93" w14:textId="77777777" w:rsidR="006C5ABB" w:rsidRDefault="002571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2C51AA" w14:textId="77777777" w:rsidR="006C5ABB" w:rsidRDefault="006C5A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E116B" w14:textId="102DE120" w:rsidR="006C5ABB" w:rsidRDefault="002571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4351">
      <w:rPr>
        <w:rStyle w:val="PageNumber"/>
        <w:noProof/>
      </w:rPr>
      <w:t>2</w:t>
    </w:r>
    <w:r>
      <w:rPr>
        <w:rStyle w:val="PageNumber"/>
      </w:rPr>
      <w:fldChar w:fldCharType="end"/>
    </w:r>
  </w:p>
  <w:p w14:paraId="7C5EFC4D" w14:textId="77777777" w:rsidR="006C5ABB" w:rsidRDefault="006C5AB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EE19C" w14:textId="77777777" w:rsidR="006C5ABB" w:rsidRDefault="006C5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7A9FC" w14:textId="77777777" w:rsidR="006C5ABB" w:rsidRDefault="002571FE">
      <w:r>
        <w:separator/>
      </w:r>
    </w:p>
  </w:footnote>
  <w:footnote w:type="continuationSeparator" w:id="0">
    <w:p w14:paraId="2DE60DC7" w14:textId="77777777" w:rsidR="006C5ABB" w:rsidRDefault="002571FE">
      <w:r>
        <w:continuationSeparator/>
      </w:r>
    </w:p>
  </w:footnote>
  <w:footnote w:type="continuationNotice" w:id="1">
    <w:p w14:paraId="62D240D7" w14:textId="77777777" w:rsidR="006C5ABB" w:rsidRDefault="006C5A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40BB3" w14:textId="77777777" w:rsidR="006C5ABB" w:rsidRDefault="006C5A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0CFB5" w14:textId="77777777" w:rsidR="006C5ABB" w:rsidRDefault="006C5ABB">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E1F2A" w14:textId="77777777" w:rsidR="006C5ABB" w:rsidRDefault="006C5A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C2F46"/>
    <w:multiLevelType w:val="hybridMultilevel"/>
    <w:tmpl w:val="C0F62BBC"/>
    <w:lvl w:ilvl="0" w:tplc="3992EB20">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12588F"/>
    <w:multiLevelType w:val="hybridMultilevel"/>
    <w:tmpl w:val="48E0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C477BD"/>
    <w:multiLevelType w:val="hybridMultilevel"/>
    <w:tmpl w:val="AAF4D554"/>
    <w:lvl w:ilvl="0" w:tplc="550ACEE8">
      <w:start w:val="1"/>
      <w:numFmt w:val="upperLetter"/>
      <w:lvlText w:val="%1."/>
      <w:lvlJc w:val="left"/>
      <w:pPr>
        <w:tabs>
          <w:tab w:val="num" w:pos="720"/>
        </w:tabs>
        <w:ind w:left="720" w:hanging="360"/>
      </w:pPr>
      <w:rPr>
        <w:rFonts w:hint="default"/>
      </w:rPr>
    </w:lvl>
    <w:lvl w:ilvl="1" w:tplc="4DD69738">
      <w:start w:val="1"/>
      <w:numFmt w:val="decimal"/>
      <w:lvlText w:val="%2."/>
      <w:lvlJc w:val="left"/>
      <w:pPr>
        <w:tabs>
          <w:tab w:val="num" w:pos="1440"/>
        </w:tabs>
        <w:ind w:left="1080" w:firstLine="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461682"/>
    <w:multiLevelType w:val="hybridMultilevel"/>
    <w:tmpl w:val="634E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493CC2"/>
    <w:multiLevelType w:val="hybridMultilevel"/>
    <w:tmpl w:val="22BE19E6"/>
    <w:lvl w:ilvl="0" w:tplc="04090001">
      <w:start w:val="1"/>
      <w:numFmt w:val="bullet"/>
      <w:lvlText w:val=""/>
      <w:lvlJc w:val="left"/>
      <w:pPr>
        <w:ind w:left="781" w:hanging="360"/>
      </w:pPr>
      <w:rPr>
        <w:rFonts w:ascii="Symbol" w:hAnsi="Symbol"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5">
    <w:nsid w:val="69B16933"/>
    <w:multiLevelType w:val="hybridMultilevel"/>
    <w:tmpl w:val="266A19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sf5ft26vs2x0etzr1v0x2gawp02raspwsd&quot;&gt;Power Calculations&lt;record-ids&gt;&lt;item&gt;2&lt;/item&gt;&lt;/record-ids&gt;&lt;/item&gt;&lt;/Libraries&gt;"/>
  </w:docVars>
  <w:rsids>
    <w:rsidRoot w:val="006C5ABB"/>
    <w:rsid w:val="00023C8D"/>
    <w:rsid w:val="0016739B"/>
    <w:rsid w:val="001E121F"/>
    <w:rsid w:val="002571FE"/>
    <w:rsid w:val="00353957"/>
    <w:rsid w:val="003E1748"/>
    <w:rsid w:val="004316D4"/>
    <w:rsid w:val="00453BAE"/>
    <w:rsid w:val="0048334D"/>
    <w:rsid w:val="006559D4"/>
    <w:rsid w:val="006B2BEF"/>
    <w:rsid w:val="006C5ABB"/>
    <w:rsid w:val="006D1083"/>
    <w:rsid w:val="007D4351"/>
    <w:rsid w:val="00A031E9"/>
    <w:rsid w:val="00A63A25"/>
    <w:rsid w:val="00A958D4"/>
    <w:rsid w:val="00AD2033"/>
    <w:rsid w:val="00AD53CF"/>
    <w:rsid w:val="00B02C1E"/>
    <w:rsid w:val="00B1573B"/>
    <w:rsid w:val="00B16E8C"/>
    <w:rsid w:val="00C6361D"/>
    <w:rsid w:val="00CB05E0"/>
    <w:rsid w:val="00D7383C"/>
    <w:rsid w:val="00D941DC"/>
    <w:rsid w:val="00E124E0"/>
    <w:rsid w:val="00F31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076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Spacing"/>
    <w:next w:val="Normal"/>
    <w:link w:val="Heading2Char"/>
    <w:uiPriority w:val="9"/>
    <w:unhideWhenUsed/>
    <w:qFormat/>
    <w:pPr>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Pr>
      <w:b/>
      <w:bCs/>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NoSpacing">
    <w:name w:val="No Spacing"/>
    <w:link w:val="NoSpacingChar"/>
    <w:uiPriority w:val="1"/>
    <w:qFormat/>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Pr>
      <w:rFonts w:ascii="Arial" w:eastAsiaTheme="minorHAnsi" w:hAnsi="Arial" w:cs="Arial"/>
      <w:b/>
      <w:sz w:val="22"/>
      <w:szCs w:val="22"/>
    </w:rPr>
  </w:style>
  <w:style w:type="character" w:customStyle="1" w:styleId="CommentTextChar">
    <w:name w:val="Comment Text Char"/>
    <w:basedOn w:val="DefaultParagraphFont"/>
    <w:link w:val="CommentText"/>
    <w:uiPriority w:val="99"/>
  </w:style>
  <w:style w:type="paragraph" w:styleId="ListParagraph">
    <w:name w:val="List Paragraph"/>
    <w:basedOn w:val="Normal"/>
    <w:uiPriority w:val="34"/>
    <w:qFormat/>
    <w:pPr>
      <w:widowControl/>
      <w:autoSpaceDE/>
      <w:autoSpaceDN/>
      <w:adjustRightInd/>
      <w:ind w:left="720"/>
      <w:contextualSpacing/>
    </w:pPr>
    <w:rPr>
      <w:rFonts w:ascii="Arial" w:eastAsiaTheme="minorHAnsi" w:hAnsi="Arial" w:cstheme="minorBidi"/>
      <w:sz w:val="22"/>
      <w:szCs w:val="22"/>
    </w:rPr>
  </w:style>
  <w:style w:type="paragraph" w:customStyle="1" w:styleId="EndNoteBibliographyTitle">
    <w:name w:val="EndNote Bibliography Title"/>
    <w:basedOn w:val="Normal"/>
    <w:link w:val="EndNoteBibliographyTitleChar"/>
    <w:pPr>
      <w:jc w:val="center"/>
    </w:pPr>
    <w:rPr>
      <w:noProof/>
    </w:rPr>
  </w:style>
  <w:style w:type="character" w:customStyle="1" w:styleId="NoSpacingChar">
    <w:name w:val="No Spacing Char"/>
    <w:basedOn w:val="DefaultParagraphFont"/>
    <w:link w:val="NoSpacing"/>
    <w:uiPriority w:val="1"/>
    <w:rPr>
      <w:rFonts w:asciiTheme="minorHAnsi" w:eastAsiaTheme="minorHAnsi" w:hAnsiTheme="minorHAnsi" w:cstheme="minorBidi"/>
      <w:sz w:val="22"/>
      <w:szCs w:val="22"/>
    </w:rPr>
  </w:style>
  <w:style w:type="character" w:customStyle="1" w:styleId="EndNoteBibliographyTitleChar">
    <w:name w:val="EndNote Bibliography Title Char"/>
    <w:basedOn w:val="NoSpacingChar"/>
    <w:link w:val="EndNoteBibliographyTitle"/>
    <w:rPr>
      <w:rFonts w:asciiTheme="minorHAnsi" w:eastAsiaTheme="minorHAnsi" w:hAnsiTheme="minorHAnsi" w:cstheme="minorBidi"/>
      <w:noProof/>
      <w:sz w:val="24"/>
      <w:szCs w:val="24"/>
    </w:rPr>
  </w:style>
  <w:style w:type="paragraph" w:customStyle="1" w:styleId="EndNoteBibliography">
    <w:name w:val="EndNote Bibliography"/>
    <w:basedOn w:val="Normal"/>
    <w:link w:val="EndNoteBibliographyChar"/>
    <w:rPr>
      <w:noProof/>
    </w:rPr>
  </w:style>
  <w:style w:type="character" w:customStyle="1" w:styleId="EndNoteBibliographyChar">
    <w:name w:val="EndNote Bibliography Char"/>
    <w:basedOn w:val="NoSpacingChar"/>
    <w:link w:val="EndNoteBibliography"/>
    <w:rPr>
      <w:rFonts w:asciiTheme="minorHAnsi" w:eastAsiaTheme="minorHAnsi" w:hAnsiTheme="minorHAnsi" w:cstheme="minorBidi"/>
      <w:noProof/>
      <w:sz w:val="24"/>
      <w:szCs w:val="24"/>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 w:type="paragraph" w:styleId="BodyText">
    <w:name w:val="Body Text"/>
    <w:aliases w:val="本文(E),??(E),text,GS,kv,Corpo del testo,text + Black,Body Text4,Body Text Char4,本文(E)4,??(E)4,text4,GS Char Char Char4,GS Char Char4,Body Text Char Char5,本文(E) Char5,??(E) Char5,text Char5,GS Char Ch4,GS Char Char Char Char4"/>
    <w:link w:val="BodyTextChar1"/>
    <w:pPr>
      <w:suppressAutoHyphens/>
      <w:spacing w:after="240"/>
    </w:pPr>
    <w:rPr>
      <w:sz w:val="24"/>
      <w:szCs w:val="24"/>
    </w:rPr>
  </w:style>
  <w:style w:type="character" w:customStyle="1" w:styleId="BodyTextChar">
    <w:name w:val="Body Text Char"/>
    <w:basedOn w:val="DefaultParagraphFont"/>
    <w:semiHidden/>
    <w:rPr>
      <w:sz w:val="24"/>
      <w:szCs w:val="24"/>
    </w:rPr>
  </w:style>
  <w:style w:type="character" w:customStyle="1" w:styleId="BodyTextChar1">
    <w:name w:val="Body Text Char1"/>
    <w:aliases w:val="本文(E) Char,??(E) Char,text Char,GS Char,kv Char,Corpo del testo Char,text + Black Char,Body Text4 Char,Body Text Char4 Char,本文(E)4 Char,??(E)4 Char,text4 Char,GS Char Char Char4 Char,GS Char Char4 Char,Body Text Char Char5 Char"/>
    <w:link w:val="BodyText"/>
    <w:rPr>
      <w:sz w:val="24"/>
      <w:szCs w:val="24"/>
    </w:rPr>
  </w:style>
  <w:style w:type="paragraph" w:customStyle="1" w:styleId="Default">
    <w:name w:val="Default"/>
    <w:rsid w:val="006559D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Spacing"/>
    <w:next w:val="Normal"/>
    <w:link w:val="Heading2Char"/>
    <w:uiPriority w:val="9"/>
    <w:unhideWhenUsed/>
    <w:qFormat/>
    <w:pPr>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Pr>
      <w:b/>
      <w:bCs/>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NoSpacing">
    <w:name w:val="No Spacing"/>
    <w:link w:val="NoSpacingChar"/>
    <w:uiPriority w:val="1"/>
    <w:qFormat/>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Pr>
      <w:rFonts w:ascii="Arial" w:eastAsiaTheme="minorHAnsi" w:hAnsi="Arial" w:cs="Arial"/>
      <w:b/>
      <w:sz w:val="22"/>
      <w:szCs w:val="22"/>
    </w:rPr>
  </w:style>
  <w:style w:type="character" w:customStyle="1" w:styleId="CommentTextChar">
    <w:name w:val="Comment Text Char"/>
    <w:basedOn w:val="DefaultParagraphFont"/>
    <w:link w:val="CommentText"/>
    <w:uiPriority w:val="99"/>
  </w:style>
  <w:style w:type="paragraph" w:styleId="ListParagraph">
    <w:name w:val="List Paragraph"/>
    <w:basedOn w:val="Normal"/>
    <w:uiPriority w:val="34"/>
    <w:qFormat/>
    <w:pPr>
      <w:widowControl/>
      <w:autoSpaceDE/>
      <w:autoSpaceDN/>
      <w:adjustRightInd/>
      <w:ind w:left="720"/>
      <w:contextualSpacing/>
    </w:pPr>
    <w:rPr>
      <w:rFonts w:ascii="Arial" w:eastAsiaTheme="minorHAnsi" w:hAnsi="Arial" w:cstheme="minorBidi"/>
      <w:sz w:val="22"/>
      <w:szCs w:val="22"/>
    </w:rPr>
  </w:style>
  <w:style w:type="paragraph" w:customStyle="1" w:styleId="EndNoteBibliographyTitle">
    <w:name w:val="EndNote Bibliography Title"/>
    <w:basedOn w:val="Normal"/>
    <w:link w:val="EndNoteBibliographyTitleChar"/>
    <w:pPr>
      <w:jc w:val="center"/>
    </w:pPr>
    <w:rPr>
      <w:noProof/>
    </w:rPr>
  </w:style>
  <w:style w:type="character" w:customStyle="1" w:styleId="NoSpacingChar">
    <w:name w:val="No Spacing Char"/>
    <w:basedOn w:val="DefaultParagraphFont"/>
    <w:link w:val="NoSpacing"/>
    <w:uiPriority w:val="1"/>
    <w:rPr>
      <w:rFonts w:asciiTheme="minorHAnsi" w:eastAsiaTheme="minorHAnsi" w:hAnsiTheme="minorHAnsi" w:cstheme="minorBidi"/>
      <w:sz w:val="22"/>
      <w:szCs w:val="22"/>
    </w:rPr>
  </w:style>
  <w:style w:type="character" w:customStyle="1" w:styleId="EndNoteBibliographyTitleChar">
    <w:name w:val="EndNote Bibliography Title Char"/>
    <w:basedOn w:val="NoSpacingChar"/>
    <w:link w:val="EndNoteBibliographyTitle"/>
    <w:rPr>
      <w:rFonts w:asciiTheme="minorHAnsi" w:eastAsiaTheme="minorHAnsi" w:hAnsiTheme="minorHAnsi" w:cstheme="minorBidi"/>
      <w:noProof/>
      <w:sz w:val="24"/>
      <w:szCs w:val="24"/>
    </w:rPr>
  </w:style>
  <w:style w:type="paragraph" w:customStyle="1" w:styleId="EndNoteBibliography">
    <w:name w:val="EndNote Bibliography"/>
    <w:basedOn w:val="Normal"/>
    <w:link w:val="EndNoteBibliographyChar"/>
    <w:rPr>
      <w:noProof/>
    </w:rPr>
  </w:style>
  <w:style w:type="character" w:customStyle="1" w:styleId="EndNoteBibliographyChar">
    <w:name w:val="EndNote Bibliography Char"/>
    <w:basedOn w:val="NoSpacingChar"/>
    <w:link w:val="EndNoteBibliography"/>
    <w:rPr>
      <w:rFonts w:asciiTheme="minorHAnsi" w:eastAsiaTheme="minorHAnsi" w:hAnsiTheme="minorHAnsi" w:cstheme="minorBidi"/>
      <w:noProof/>
      <w:sz w:val="24"/>
      <w:szCs w:val="24"/>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 w:type="paragraph" w:styleId="BodyText">
    <w:name w:val="Body Text"/>
    <w:aliases w:val="本文(E),??(E),text,GS,kv,Corpo del testo,text + Black,Body Text4,Body Text Char4,本文(E)4,??(E)4,text4,GS Char Char Char4,GS Char Char4,Body Text Char Char5,本文(E) Char5,??(E) Char5,text Char5,GS Char Ch4,GS Char Char Char Char4"/>
    <w:link w:val="BodyTextChar1"/>
    <w:pPr>
      <w:suppressAutoHyphens/>
      <w:spacing w:after="240"/>
    </w:pPr>
    <w:rPr>
      <w:sz w:val="24"/>
      <w:szCs w:val="24"/>
    </w:rPr>
  </w:style>
  <w:style w:type="character" w:customStyle="1" w:styleId="BodyTextChar">
    <w:name w:val="Body Text Char"/>
    <w:basedOn w:val="DefaultParagraphFont"/>
    <w:semiHidden/>
    <w:rPr>
      <w:sz w:val="24"/>
      <w:szCs w:val="24"/>
    </w:rPr>
  </w:style>
  <w:style w:type="character" w:customStyle="1" w:styleId="BodyTextChar1">
    <w:name w:val="Body Text Char1"/>
    <w:aliases w:val="本文(E) Char,??(E) Char,text Char,GS Char,kv Char,Corpo del testo Char,text + Black Char,Body Text4 Char,Body Text Char4 Char,本文(E)4 Char,??(E)4 Char,text4 Char,GS Char Char Char4 Char,GS Char Char4 Char,Body Text Char Char5 Char"/>
    <w:link w:val="BodyText"/>
    <w:rPr>
      <w:sz w:val="24"/>
      <w:szCs w:val="24"/>
    </w:rPr>
  </w:style>
  <w:style w:type="paragraph" w:customStyle="1" w:styleId="Default">
    <w:name w:val="Default"/>
    <w:rsid w:val="006559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34389">
      <w:bodyDiv w:val="1"/>
      <w:marLeft w:val="0"/>
      <w:marRight w:val="0"/>
      <w:marTop w:val="0"/>
      <w:marBottom w:val="0"/>
      <w:divBdr>
        <w:top w:val="none" w:sz="0" w:space="0" w:color="auto"/>
        <w:left w:val="none" w:sz="0" w:space="0" w:color="auto"/>
        <w:bottom w:val="none" w:sz="0" w:space="0" w:color="auto"/>
        <w:right w:val="none" w:sz="0" w:space="0" w:color="auto"/>
      </w:divBdr>
    </w:div>
    <w:div w:id="588928471">
      <w:bodyDiv w:val="1"/>
      <w:marLeft w:val="0"/>
      <w:marRight w:val="0"/>
      <w:marTop w:val="0"/>
      <w:marBottom w:val="0"/>
      <w:divBdr>
        <w:top w:val="none" w:sz="0" w:space="0" w:color="auto"/>
        <w:left w:val="none" w:sz="0" w:space="0" w:color="auto"/>
        <w:bottom w:val="none" w:sz="0" w:space="0" w:color="auto"/>
        <w:right w:val="none" w:sz="0" w:space="0" w:color="auto"/>
      </w:divBdr>
    </w:div>
    <w:div w:id="775174798">
      <w:bodyDiv w:val="1"/>
      <w:marLeft w:val="0"/>
      <w:marRight w:val="0"/>
      <w:marTop w:val="0"/>
      <w:marBottom w:val="0"/>
      <w:divBdr>
        <w:top w:val="none" w:sz="0" w:space="0" w:color="auto"/>
        <w:left w:val="none" w:sz="0" w:space="0" w:color="auto"/>
        <w:bottom w:val="none" w:sz="0" w:space="0" w:color="auto"/>
        <w:right w:val="none" w:sz="0" w:space="0" w:color="auto"/>
      </w:divBdr>
    </w:div>
    <w:div w:id="1190685097">
      <w:bodyDiv w:val="1"/>
      <w:marLeft w:val="0"/>
      <w:marRight w:val="0"/>
      <w:marTop w:val="0"/>
      <w:marBottom w:val="0"/>
      <w:divBdr>
        <w:top w:val="none" w:sz="0" w:space="0" w:color="auto"/>
        <w:left w:val="none" w:sz="0" w:space="0" w:color="auto"/>
        <w:bottom w:val="none" w:sz="0" w:space="0" w:color="auto"/>
        <w:right w:val="none" w:sz="0" w:space="0" w:color="auto"/>
      </w:divBdr>
    </w:div>
    <w:div w:id="1326284172">
      <w:bodyDiv w:val="1"/>
      <w:marLeft w:val="0"/>
      <w:marRight w:val="0"/>
      <w:marTop w:val="0"/>
      <w:marBottom w:val="0"/>
      <w:divBdr>
        <w:top w:val="none" w:sz="0" w:space="0" w:color="auto"/>
        <w:left w:val="none" w:sz="0" w:space="0" w:color="auto"/>
        <w:bottom w:val="none" w:sz="0" w:space="0" w:color="auto"/>
        <w:right w:val="none" w:sz="0" w:space="0" w:color="auto"/>
      </w:divBdr>
    </w:div>
    <w:div w:id="186351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rh7@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4A766-DED2-4A48-ADDE-D287E8058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10950</CharactersWithSpaces>
  <SharedDoc>false</SharedDoc>
  <HLinks>
    <vt:vector size="18" baseType="variant">
      <vt:variant>
        <vt:i4>7340068</vt:i4>
      </vt:variant>
      <vt:variant>
        <vt:i4>6</vt:i4>
      </vt:variant>
      <vt:variant>
        <vt:i4>0</vt:i4>
      </vt:variant>
      <vt:variant>
        <vt:i4>5</vt:i4>
      </vt:variant>
      <vt:variant>
        <vt:lpwstr>mailto:JChang@cdc.gov/GSentelle1@cdc.gov</vt:lpwstr>
      </vt:variant>
      <vt:variant>
        <vt:lpwstr/>
      </vt:variant>
      <vt:variant>
        <vt:i4>1704049</vt:i4>
      </vt:variant>
      <vt:variant>
        <vt:i4>3</vt:i4>
      </vt:variant>
      <vt:variant>
        <vt:i4>0</vt:i4>
      </vt:variant>
      <vt:variant>
        <vt:i4>5</vt:i4>
      </vt:variant>
      <vt:variant>
        <vt:lpwstr>mailto:ametid1@westat.com</vt:lpwstr>
      </vt:variant>
      <vt:variant>
        <vt:lpwstr/>
      </vt:variant>
      <vt:variant>
        <vt:i4>1704049</vt:i4>
      </vt:variant>
      <vt:variant>
        <vt:i4>0</vt:i4>
      </vt:variant>
      <vt:variant>
        <vt:i4>0</vt:i4>
      </vt:variant>
      <vt:variant>
        <vt:i4>5</vt:i4>
      </vt:variant>
      <vt:variant>
        <vt:lpwstr>mailto:ametid1@westat.com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Valencia, Cristina (CDC/ONDIEH/NCBDDD) (CTR)</dc:creator>
  <cp:lastModifiedBy>SYSTEM</cp:lastModifiedBy>
  <cp:revision>2</cp:revision>
  <dcterms:created xsi:type="dcterms:W3CDTF">2017-11-08T20:58:00Z</dcterms:created>
  <dcterms:modified xsi:type="dcterms:W3CDTF">2017-11-08T20:58:00Z</dcterms:modified>
</cp:coreProperties>
</file>