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FEA99" w14:textId="77777777" w:rsidR="00BA2DBE" w:rsidRPr="00E707C0" w:rsidRDefault="00BA2DBE">
      <w:pPr>
        <w:rPr>
          <w:rFonts w:ascii="Arial" w:hAnsi="Arial" w:cs="Arial"/>
        </w:rPr>
      </w:pPr>
      <w:bookmarkStart w:id="0" w:name="_Toc337198071"/>
      <w:bookmarkStart w:id="1" w:name="_Toc423335421"/>
      <w:bookmarkStart w:id="2" w:name="_GoBack"/>
      <w:bookmarkEnd w:id="2"/>
    </w:p>
    <w:p w14:paraId="1EC7CD9F" w14:textId="77777777" w:rsidR="00BA2DBE" w:rsidRPr="00E707C0" w:rsidRDefault="00BA2DBE">
      <w:pPr>
        <w:rPr>
          <w:rFonts w:ascii="Arial" w:hAnsi="Arial" w:cs="Arial"/>
        </w:rPr>
      </w:pPr>
    </w:p>
    <w:p w14:paraId="7227FEA9" w14:textId="77777777" w:rsidR="00BA2DBE" w:rsidRPr="00E707C0" w:rsidRDefault="00BA2DBE">
      <w:pPr>
        <w:rPr>
          <w:rFonts w:ascii="Arial" w:hAnsi="Arial" w:cs="Arial"/>
        </w:rPr>
      </w:pPr>
    </w:p>
    <w:p w14:paraId="0361988D" w14:textId="77777777" w:rsidR="00BA2DBE" w:rsidRPr="00E707C0" w:rsidRDefault="00BA2DBE">
      <w:pPr>
        <w:rPr>
          <w:rFonts w:ascii="Arial" w:hAnsi="Arial" w:cs="Arial"/>
        </w:rPr>
      </w:pPr>
    </w:p>
    <w:p w14:paraId="52261623" w14:textId="77777777" w:rsidR="00BA2DBE" w:rsidRPr="00E707C0" w:rsidRDefault="00BA2DBE">
      <w:pPr>
        <w:rPr>
          <w:rFonts w:ascii="Arial" w:hAnsi="Arial" w:cs="Arial"/>
        </w:rPr>
      </w:pPr>
    </w:p>
    <w:p w14:paraId="7F42C8D5" w14:textId="77777777" w:rsidR="00352AA0" w:rsidRDefault="00352AA0" w:rsidP="00DD1867">
      <w:pPr>
        <w:pStyle w:val="Subtitle"/>
        <w:rPr>
          <w:rFonts w:ascii="Cambria" w:hAnsi="Cambria"/>
          <w:spacing w:val="-7"/>
          <w:sz w:val="48"/>
          <w:szCs w:val="48"/>
        </w:rPr>
      </w:pPr>
      <w:r w:rsidRPr="00352AA0">
        <w:rPr>
          <w:rFonts w:ascii="Cambria" w:hAnsi="Cambria"/>
          <w:spacing w:val="-7"/>
          <w:sz w:val="48"/>
          <w:szCs w:val="48"/>
        </w:rPr>
        <w:t>Understanding the Needs, Challenges, Opportunities, Vision and Emerging Roles in Environmental Health (UNCOVER EH)</w:t>
      </w:r>
    </w:p>
    <w:p w14:paraId="20410EF5" w14:textId="401F863F" w:rsidR="00DD1867" w:rsidRPr="006615FB" w:rsidRDefault="00DD1867" w:rsidP="00DD1867">
      <w:pPr>
        <w:pStyle w:val="Subtitle"/>
        <w:rPr>
          <w:rFonts w:ascii="Cambria" w:hAnsi="Cambria"/>
          <w:color w:val="auto"/>
        </w:rPr>
      </w:pPr>
      <w:r w:rsidRPr="006615FB">
        <w:rPr>
          <w:rFonts w:ascii="Cambria" w:hAnsi="Cambria"/>
          <w:color w:val="auto"/>
        </w:rPr>
        <w:t>OMB Control No</w:t>
      </w:r>
      <w:r w:rsidRPr="00223614">
        <w:rPr>
          <w:rFonts w:ascii="Cambria" w:hAnsi="Cambria"/>
          <w:color w:val="auto"/>
        </w:rPr>
        <w:t>. 0920-</w:t>
      </w:r>
      <w:r>
        <w:rPr>
          <w:rFonts w:ascii="Cambria" w:hAnsi="Cambria"/>
          <w:color w:val="auto"/>
        </w:rPr>
        <w:t>NEW</w:t>
      </w:r>
      <w:r w:rsidRPr="006615FB">
        <w:rPr>
          <w:rFonts w:ascii="Cambria" w:hAnsi="Cambria"/>
          <w:color w:val="auto"/>
        </w:rPr>
        <w:t xml:space="preserve"> </w:t>
      </w:r>
    </w:p>
    <w:p w14:paraId="7AE79FA6" w14:textId="77777777" w:rsidR="00DD1867" w:rsidRPr="006615FB" w:rsidRDefault="00DD1867" w:rsidP="00DD1867">
      <w:pPr>
        <w:spacing w:after="200" w:line="276" w:lineRule="auto"/>
        <w:rPr>
          <w:rFonts w:ascii="Cambria" w:hAnsi="Cambria" w:cs="Arial"/>
          <w:sz w:val="36"/>
          <w:szCs w:val="36"/>
        </w:rPr>
      </w:pPr>
      <w:r>
        <w:rPr>
          <w:rFonts w:ascii="Cambria" w:hAnsi="Cambria" w:cs="Arial"/>
          <w:sz w:val="36"/>
          <w:szCs w:val="36"/>
        </w:rPr>
        <w:t>New</w:t>
      </w:r>
    </w:p>
    <w:p w14:paraId="211AE9D4" w14:textId="77777777" w:rsidR="006F2ABA" w:rsidRPr="00E707C0" w:rsidRDefault="006F2ABA" w:rsidP="00DD1867">
      <w:pPr>
        <w:spacing w:after="200" w:line="276" w:lineRule="auto"/>
        <w:rPr>
          <w:rFonts w:ascii="Cambria" w:hAnsi="Cambria"/>
        </w:rPr>
      </w:pPr>
    </w:p>
    <w:p w14:paraId="7B8AB253" w14:textId="77777777" w:rsidR="00D33AE3" w:rsidRPr="00E707C0" w:rsidRDefault="00D33AE3" w:rsidP="00D33AE3">
      <w:pPr>
        <w:pStyle w:val="Subtitle"/>
        <w:rPr>
          <w:rFonts w:ascii="Cambria" w:hAnsi="Cambria"/>
          <w:color w:val="auto"/>
        </w:rPr>
      </w:pPr>
      <w:r w:rsidRPr="00E707C0">
        <w:rPr>
          <w:rFonts w:ascii="Cambria" w:hAnsi="Cambria"/>
          <w:color w:val="auto"/>
        </w:rPr>
        <w:t xml:space="preserve">Supporting Statement Part B – </w:t>
      </w:r>
    </w:p>
    <w:p w14:paraId="12E818EF" w14:textId="77777777" w:rsidR="00D33AE3" w:rsidRPr="00E707C0" w:rsidRDefault="00D33AE3" w:rsidP="00D33AE3">
      <w:pPr>
        <w:pStyle w:val="Subtitle"/>
        <w:rPr>
          <w:rFonts w:ascii="Cambria" w:hAnsi="Cambria"/>
          <w:color w:val="auto"/>
        </w:rPr>
      </w:pPr>
      <w:r w:rsidRPr="00E707C0">
        <w:rPr>
          <w:rFonts w:ascii="Cambria" w:hAnsi="Cambria"/>
          <w:color w:val="auto"/>
        </w:rPr>
        <w:t>Collections of Information Employing Statistical Methods</w:t>
      </w:r>
    </w:p>
    <w:p w14:paraId="6D11492F" w14:textId="77777777" w:rsidR="00D33AE3" w:rsidRPr="00E707C0" w:rsidRDefault="00D33AE3" w:rsidP="00D33AE3">
      <w:pPr>
        <w:rPr>
          <w:rFonts w:ascii="Cambria" w:hAnsi="Cambria"/>
        </w:rPr>
      </w:pPr>
    </w:p>
    <w:p w14:paraId="4B319166" w14:textId="77777777" w:rsidR="00D33AE3" w:rsidRPr="00E707C0" w:rsidRDefault="00D33AE3" w:rsidP="00D33AE3">
      <w:pPr>
        <w:spacing w:after="200" w:line="276" w:lineRule="auto"/>
        <w:rPr>
          <w:rFonts w:ascii="Cambria" w:hAnsi="Cambria" w:cs="Arial"/>
          <w:sz w:val="36"/>
          <w:szCs w:val="36"/>
        </w:rPr>
      </w:pPr>
    </w:p>
    <w:p w14:paraId="1FFC2E4D" w14:textId="77777777" w:rsidR="008B65A1" w:rsidRPr="00E707C0" w:rsidRDefault="008B65A1" w:rsidP="00D33AE3">
      <w:pPr>
        <w:spacing w:after="200" w:line="276" w:lineRule="auto"/>
        <w:rPr>
          <w:rFonts w:ascii="Cambria" w:hAnsi="Cambria" w:cs="Arial"/>
          <w:sz w:val="36"/>
          <w:szCs w:val="36"/>
        </w:rPr>
      </w:pPr>
    </w:p>
    <w:p w14:paraId="22E48A8F" w14:textId="77777777" w:rsidR="00DD1867" w:rsidRDefault="00DD1867" w:rsidP="00D33AE3">
      <w:pPr>
        <w:spacing w:after="200" w:line="276" w:lineRule="auto"/>
        <w:rPr>
          <w:rFonts w:ascii="Cambria" w:hAnsi="Cambria" w:cs="Arial"/>
          <w:sz w:val="36"/>
          <w:szCs w:val="36"/>
        </w:rPr>
      </w:pPr>
    </w:p>
    <w:p w14:paraId="7B1D55D7" w14:textId="77777777" w:rsidR="00DD1867" w:rsidRDefault="00DD1867" w:rsidP="00D33AE3">
      <w:pPr>
        <w:spacing w:after="200" w:line="276" w:lineRule="auto"/>
        <w:rPr>
          <w:rFonts w:ascii="Cambria" w:hAnsi="Cambria" w:cs="Arial"/>
          <w:sz w:val="36"/>
          <w:szCs w:val="36"/>
        </w:rPr>
      </w:pPr>
    </w:p>
    <w:p w14:paraId="409D920E" w14:textId="40300860" w:rsidR="00DD39AC" w:rsidRPr="00DD39AC" w:rsidRDefault="00DD39AC" w:rsidP="00DD39AC">
      <w:pPr>
        <w:numPr>
          <w:ilvl w:val="1"/>
          <w:numId w:val="0"/>
        </w:numPr>
        <w:spacing w:after="0" w:line="240" w:lineRule="auto"/>
        <w:rPr>
          <w:rFonts w:ascii="Cambria" w:eastAsia="Times New Roman" w:hAnsi="Cambria" w:cs="Times New Roman"/>
          <w:sz w:val="30"/>
          <w:szCs w:val="30"/>
        </w:rPr>
      </w:pPr>
      <w:r w:rsidRPr="00DD39AC">
        <w:rPr>
          <w:rFonts w:ascii="Cambria" w:eastAsia="Times New Roman" w:hAnsi="Cambria" w:cs="Times New Roman"/>
          <w:sz w:val="30"/>
          <w:szCs w:val="30"/>
        </w:rPr>
        <w:t>Project Officer: Justin Gerding</w:t>
      </w:r>
    </w:p>
    <w:p w14:paraId="77F8EE9C" w14:textId="77777777" w:rsidR="00DD39AC" w:rsidRPr="00DD39AC" w:rsidRDefault="00DD39AC" w:rsidP="00DD39AC">
      <w:pPr>
        <w:numPr>
          <w:ilvl w:val="1"/>
          <w:numId w:val="0"/>
        </w:numPr>
        <w:spacing w:after="0" w:line="240" w:lineRule="auto"/>
        <w:rPr>
          <w:rFonts w:ascii="Cambria" w:eastAsia="Times New Roman" w:hAnsi="Cambria" w:cs="Times New Roman"/>
          <w:sz w:val="30"/>
          <w:szCs w:val="30"/>
        </w:rPr>
      </w:pPr>
      <w:r w:rsidRPr="00DD39AC">
        <w:rPr>
          <w:rFonts w:ascii="Cambria" w:eastAsia="Times New Roman" w:hAnsi="Cambria" w:cs="Times New Roman"/>
          <w:sz w:val="30"/>
          <w:szCs w:val="30"/>
        </w:rPr>
        <w:t>Title: Environmental Health Specialist</w:t>
      </w:r>
    </w:p>
    <w:p w14:paraId="23E6DA79" w14:textId="234CE329" w:rsidR="00DD39AC" w:rsidRPr="00DD39AC" w:rsidRDefault="00DD39AC" w:rsidP="00DD39AC">
      <w:pPr>
        <w:numPr>
          <w:ilvl w:val="1"/>
          <w:numId w:val="0"/>
        </w:numPr>
        <w:spacing w:after="0" w:line="240" w:lineRule="auto"/>
        <w:rPr>
          <w:rFonts w:ascii="Cambria" w:eastAsia="Times New Roman" w:hAnsi="Cambria" w:cs="Times New Roman"/>
          <w:sz w:val="30"/>
          <w:szCs w:val="30"/>
        </w:rPr>
      </w:pPr>
      <w:r w:rsidRPr="00DD39AC">
        <w:rPr>
          <w:rFonts w:ascii="Cambria" w:eastAsia="Times New Roman" w:hAnsi="Cambria" w:cs="Times New Roman"/>
          <w:sz w:val="30"/>
          <w:szCs w:val="30"/>
        </w:rPr>
        <w:t>Phone:</w:t>
      </w:r>
      <w:r w:rsidR="00DC28FB">
        <w:rPr>
          <w:rFonts w:ascii="Cambria" w:eastAsia="Times New Roman" w:hAnsi="Cambria" w:cs="Times New Roman"/>
          <w:sz w:val="30"/>
          <w:szCs w:val="30"/>
        </w:rPr>
        <w:t xml:space="preserve"> (770) 488-3</w:t>
      </w:r>
      <w:r w:rsidRPr="00DD39AC">
        <w:rPr>
          <w:rFonts w:ascii="Cambria" w:eastAsia="Times New Roman" w:hAnsi="Cambria" w:cs="Times New Roman"/>
          <w:sz w:val="30"/>
          <w:szCs w:val="30"/>
        </w:rPr>
        <w:t>972</w:t>
      </w:r>
    </w:p>
    <w:p w14:paraId="6A581AE9" w14:textId="77777777" w:rsidR="00DD39AC" w:rsidRPr="00DD39AC" w:rsidRDefault="00DD39AC" w:rsidP="00DD39AC">
      <w:pPr>
        <w:numPr>
          <w:ilvl w:val="1"/>
          <w:numId w:val="0"/>
        </w:numPr>
        <w:spacing w:after="0" w:line="240" w:lineRule="auto"/>
        <w:rPr>
          <w:rFonts w:ascii="Cambria" w:eastAsia="Times New Roman" w:hAnsi="Cambria" w:cs="Times New Roman"/>
          <w:sz w:val="30"/>
          <w:szCs w:val="30"/>
        </w:rPr>
      </w:pPr>
      <w:r w:rsidRPr="00DD39AC">
        <w:rPr>
          <w:rFonts w:ascii="Cambria" w:eastAsia="Times New Roman" w:hAnsi="Cambria" w:cs="Times New Roman"/>
          <w:sz w:val="30"/>
          <w:szCs w:val="30"/>
        </w:rPr>
        <w:t>Email: Jgerding@cdc.gov</w:t>
      </w:r>
    </w:p>
    <w:p w14:paraId="510D5D5F" w14:textId="77777777" w:rsidR="00DD39AC" w:rsidRPr="00DD39AC" w:rsidRDefault="00DD39AC" w:rsidP="00DD39AC">
      <w:pPr>
        <w:numPr>
          <w:ilvl w:val="1"/>
          <w:numId w:val="0"/>
        </w:numPr>
        <w:spacing w:after="0" w:line="240" w:lineRule="auto"/>
        <w:rPr>
          <w:rFonts w:ascii="Cambria" w:eastAsia="Times New Roman" w:hAnsi="Cambria" w:cs="Times New Roman"/>
          <w:sz w:val="30"/>
          <w:szCs w:val="30"/>
        </w:rPr>
      </w:pPr>
      <w:r w:rsidRPr="00DD39AC">
        <w:rPr>
          <w:rFonts w:ascii="Cambria" w:eastAsia="Times New Roman" w:hAnsi="Cambria" w:cs="Times New Roman"/>
          <w:sz w:val="30"/>
          <w:szCs w:val="30"/>
        </w:rPr>
        <w:t>Fax: (770) 488-7310</w:t>
      </w:r>
    </w:p>
    <w:p w14:paraId="39E16D28" w14:textId="2A441A34" w:rsidR="00965C2A" w:rsidRDefault="00965C2A" w:rsidP="00D33AE3">
      <w:pPr>
        <w:rPr>
          <w:rFonts w:ascii="Arial" w:hAnsi="Arial" w:cs="Arial"/>
          <w:sz w:val="30"/>
          <w:szCs w:val="30"/>
        </w:rPr>
      </w:pPr>
    </w:p>
    <w:p w14:paraId="06D8F190" w14:textId="29753BA5" w:rsidR="00416CDF" w:rsidRDefault="008B65A1">
      <w:pPr>
        <w:rPr>
          <w:rFonts w:ascii="Cambria" w:hAnsi="Cambria" w:cs="Arial"/>
          <w:sz w:val="30"/>
          <w:szCs w:val="30"/>
        </w:rPr>
      </w:pPr>
      <w:r w:rsidRPr="007F4C1F">
        <w:rPr>
          <w:rFonts w:ascii="Cambria" w:hAnsi="Cambria"/>
          <w:sz w:val="30"/>
          <w:szCs w:val="30"/>
        </w:rPr>
        <w:t>Date:</w:t>
      </w:r>
      <w:r>
        <w:rPr>
          <w:rFonts w:ascii="Cambria" w:hAnsi="Cambria" w:cs="Arial"/>
          <w:sz w:val="30"/>
          <w:szCs w:val="30"/>
        </w:rPr>
        <w:t xml:space="preserve"> </w:t>
      </w:r>
      <w:r w:rsidR="004B7C55">
        <w:rPr>
          <w:rFonts w:ascii="Cambria" w:hAnsi="Cambria" w:cs="Arial"/>
          <w:sz w:val="30"/>
          <w:szCs w:val="30"/>
        </w:rPr>
        <w:t>January 4, 2017</w:t>
      </w:r>
      <w:r w:rsidR="00416CDF">
        <w:rPr>
          <w:rFonts w:ascii="Cambria" w:hAnsi="Cambria" w:cs="Arial"/>
          <w:sz w:val="30"/>
          <w:szCs w:val="30"/>
        </w:rPr>
        <w:br w:type="page"/>
      </w:r>
    </w:p>
    <w:p w14:paraId="148DE878" w14:textId="77777777" w:rsidR="008B65A1" w:rsidRPr="00E707C0" w:rsidRDefault="008B65A1" w:rsidP="00D33AE3">
      <w:pPr>
        <w:rPr>
          <w:rFonts w:ascii="Arial" w:hAnsi="Arial" w:cs="Arial"/>
          <w:sz w:val="30"/>
          <w:szCs w:val="30"/>
        </w:rPr>
      </w:pPr>
    </w:p>
    <w:sdt>
      <w:sdtPr>
        <w:rPr>
          <w:rFonts w:asciiTheme="minorHAnsi" w:eastAsiaTheme="minorEastAsia" w:hAnsiTheme="minorHAnsi" w:cstheme="minorBidi"/>
          <w:color w:val="auto"/>
          <w:sz w:val="21"/>
          <w:szCs w:val="21"/>
        </w:rPr>
        <w:id w:val="-1716586037"/>
        <w:docPartObj>
          <w:docPartGallery w:val="Table of Contents"/>
          <w:docPartUnique/>
        </w:docPartObj>
      </w:sdtPr>
      <w:sdtEndPr>
        <w:rPr>
          <w:b/>
          <w:bCs/>
          <w:noProof/>
        </w:rPr>
      </w:sdtEndPr>
      <w:sdtContent>
        <w:p w14:paraId="66B68D9C" w14:textId="0B887F63" w:rsidR="00AC4C54" w:rsidRPr="00D80142" w:rsidRDefault="00D33AE3" w:rsidP="00D80142">
          <w:pPr>
            <w:pStyle w:val="TOCHeading"/>
            <w:pBdr>
              <w:bottom w:val="single" w:sz="4" w:space="1" w:color="auto"/>
            </w:pBdr>
            <w:spacing w:after="480"/>
            <w:jc w:val="center"/>
            <w:rPr>
              <w:rFonts w:ascii="Cambria" w:hAnsi="Cambria"/>
              <w:color w:val="auto"/>
            </w:rPr>
          </w:pPr>
          <w:r w:rsidRPr="00E707C0">
            <w:rPr>
              <w:rFonts w:ascii="Cambria" w:hAnsi="Cambria"/>
              <w:color w:val="auto"/>
            </w:rPr>
            <w:t>Table of Contents</w:t>
          </w:r>
        </w:p>
        <w:p w14:paraId="318AA093" w14:textId="77777777" w:rsidR="00DD1867" w:rsidRPr="00D17559" w:rsidRDefault="00D33AE3">
          <w:pPr>
            <w:pStyle w:val="TOC1"/>
            <w:tabs>
              <w:tab w:val="left" w:pos="660"/>
              <w:tab w:val="right" w:leader="dot" w:pos="9350"/>
            </w:tabs>
            <w:rPr>
              <w:noProof/>
              <w:sz w:val="22"/>
              <w:szCs w:val="22"/>
            </w:rPr>
          </w:pPr>
          <w:r w:rsidRPr="00E707C0">
            <w:fldChar w:fldCharType="begin"/>
          </w:r>
          <w:r w:rsidRPr="00E707C0">
            <w:instrText xml:space="preserve"> TOC \o "1-3" \h \z \u </w:instrText>
          </w:r>
          <w:r w:rsidRPr="00E707C0">
            <w:fldChar w:fldCharType="separate"/>
          </w:r>
          <w:hyperlink w:anchor="_Toc460313883" w:history="1">
            <w:r w:rsidR="00DD1867" w:rsidRPr="00890A5C">
              <w:rPr>
                <w:rStyle w:val="Hyperlink"/>
                <w:noProof/>
              </w:rPr>
              <w:t>B.1.</w:t>
            </w:r>
            <w:r w:rsidR="00DD1867" w:rsidRPr="00D17559">
              <w:rPr>
                <w:noProof/>
                <w:sz w:val="22"/>
                <w:szCs w:val="22"/>
              </w:rPr>
              <w:tab/>
            </w:r>
            <w:r w:rsidR="00DD1867" w:rsidRPr="00890A5C">
              <w:rPr>
                <w:rStyle w:val="Hyperlink"/>
                <w:noProof/>
              </w:rPr>
              <w:t>Respondent Universe and Sampling Methods</w:t>
            </w:r>
            <w:r w:rsidR="00DD1867" w:rsidRPr="00D17559">
              <w:rPr>
                <w:noProof/>
                <w:webHidden/>
              </w:rPr>
              <w:tab/>
            </w:r>
            <w:r w:rsidR="00DD1867" w:rsidRPr="003E6B97">
              <w:rPr>
                <w:noProof/>
                <w:webHidden/>
              </w:rPr>
              <w:fldChar w:fldCharType="begin"/>
            </w:r>
            <w:r w:rsidR="00DD1867" w:rsidRPr="00D17559">
              <w:rPr>
                <w:noProof/>
                <w:webHidden/>
              </w:rPr>
              <w:instrText xml:space="preserve"> PAGEREF _Toc460313883 \h </w:instrText>
            </w:r>
            <w:r w:rsidR="00DD1867" w:rsidRPr="003E6B97">
              <w:rPr>
                <w:noProof/>
                <w:webHidden/>
              </w:rPr>
            </w:r>
            <w:r w:rsidR="00DD1867" w:rsidRPr="003E6B97">
              <w:rPr>
                <w:noProof/>
                <w:webHidden/>
              </w:rPr>
              <w:fldChar w:fldCharType="separate"/>
            </w:r>
            <w:r w:rsidR="00081BAB">
              <w:rPr>
                <w:noProof/>
                <w:webHidden/>
              </w:rPr>
              <w:t>3</w:t>
            </w:r>
            <w:r w:rsidR="00DD1867" w:rsidRPr="003E6B97">
              <w:rPr>
                <w:noProof/>
                <w:webHidden/>
              </w:rPr>
              <w:fldChar w:fldCharType="end"/>
            </w:r>
          </w:hyperlink>
        </w:p>
        <w:p w14:paraId="2E3F0597" w14:textId="77777777" w:rsidR="00DD1867" w:rsidRPr="00D17559" w:rsidRDefault="00D41D28">
          <w:pPr>
            <w:pStyle w:val="TOC1"/>
            <w:tabs>
              <w:tab w:val="left" w:pos="660"/>
              <w:tab w:val="right" w:leader="dot" w:pos="9350"/>
            </w:tabs>
            <w:rPr>
              <w:noProof/>
              <w:sz w:val="22"/>
              <w:szCs w:val="22"/>
            </w:rPr>
          </w:pPr>
          <w:hyperlink w:anchor="_Toc460313884" w:history="1">
            <w:r w:rsidR="00DD1867" w:rsidRPr="00890A5C">
              <w:rPr>
                <w:rStyle w:val="Hyperlink"/>
                <w:noProof/>
              </w:rPr>
              <w:t>B.2.</w:t>
            </w:r>
            <w:r w:rsidR="00DD1867" w:rsidRPr="00D17559">
              <w:rPr>
                <w:noProof/>
                <w:sz w:val="22"/>
                <w:szCs w:val="22"/>
              </w:rPr>
              <w:tab/>
            </w:r>
            <w:r w:rsidR="00DD1867" w:rsidRPr="00890A5C">
              <w:rPr>
                <w:rStyle w:val="Hyperlink"/>
                <w:noProof/>
              </w:rPr>
              <w:t>Procedures for the Collection of Information</w:t>
            </w:r>
            <w:r w:rsidR="00DD1867" w:rsidRPr="00D17559">
              <w:rPr>
                <w:noProof/>
                <w:webHidden/>
              </w:rPr>
              <w:tab/>
            </w:r>
            <w:r w:rsidR="00DD1867" w:rsidRPr="003E6B97">
              <w:rPr>
                <w:noProof/>
                <w:webHidden/>
              </w:rPr>
              <w:fldChar w:fldCharType="begin"/>
            </w:r>
            <w:r w:rsidR="00DD1867" w:rsidRPr="00D17559">
              <w:rPr>
                <w:noProof/>
                <w:webHidden/>
              </w:rPr>
              <w:instrText xml:space="preserve"> PAGEREF _Toc460313884 \h </w:instrText>
            </w:r>
            <w:r w:rsidR="00DD1867" w:rsidRPr="003E6B97">
              <w:rPr>
                <w:noProof/>
                <w:webHidden/>
              </w:rPr>
            </w:r>
            <w:r w:rsidR="00DD1867" w:rsidRPr="003E6B97">
              <w:rPr>
                <w:noProof/>
                <w:webHidden/>
              </w:rPr>
              <w:fldChar w:fldCharType="separate"/>
            </w:r>
            <w:r w:rsidR="00081BAB">
              <w:rPr>
                <w:noProof/>
                <w:webHidden/>
              </w:rPr>
              <w:t>3</w:t>
            </w:r>
            <w:r w:rsidR="00DD1867" w:rsidRPr="003E6B97">
              <w:rPr>
                <w:noProof/>
                <w:webHidden/>
              </w:rPr>
              <w:fldChar w:fldCharType="end"/>
            </w:r>
          </w:hyperlink>
        </w:p>
        <w:p w14:paraId="42C631B2" w14:textId="77777777" w:rsidR="00DD1867" w:rsidRPr="00D17559" w:rsidRDefault="00D41D28">
          <w:pPr>
            <w:pStyle w:val="TOC1"/>
            <w:tabs>
              <w:tab w:val="left" w:pos="660"/>
              <w:tab w:val="right" w:leader="dot" w:pos="9350"/>
            </w:tabs>
            <w:rPr>
              <w:noProof/>
              <w:sz w:val="22"/>
              <w:szCs w:val="22"/>
            </w:rPr>
          </w:pPr>
          <w:hyperlink w:anchor="_Toc460313885" w:history="1">
            <w:r w:rsidR="00DD1867" w:rsidRPr="00890A5C">
              <w:rPr>
                <w:rStyle w:val="Hyperlink"/>
                <w:noProof/>
              </w:rPr>
              <w:t>B.3.</w:t>
            </w:r>
            <w:r w:rsidR="00DD1867" w:rsidRPr="00D17559">
              <w:rPr>
                <w:noProof/>
                <w:sz w:val="22"/>
                <w:szCs w:val="22"/>
              </w:rPr>
              <w:tab/>
            </w:r>
            <w:r w:rsidR="00DD1867" w:rsidRPr="00890A5C">
              <w:rPr>
                <w:rStyle w:val="Hyperlink"/>
                <w:noProof/>
              </w:rPr>
              <w:t>Methods to Maximize Response Rates and Deal with No Response</w:t>
            </w:r>
            <w:r w:rsidR="00DD1867" w:rsidRPr="00D17559">
              <w:rPr>
                <w:noProof/>
                <w:webHidden/>
              </w:rPr>
              <w:tab/>
            </w:r>
            <w:r w:rsidR="00DD1867" w:rsidRPr="003E6B97">
              <w:rPr>
                <w:noProof/>
                <w:webHidden/>
              </w:rPr>
              <w:fldChar w:fldCharType="begin"/>
            </w:r>
            <w:r w:rsidR="00DD1867" w:rsidRPr="00D17559">
              <w:rPr>
                <w:noProof/>
                <w:webHidden/>
              </w:rPr>
              <w:instrText xml:space="preserve"> PAGEREF _Toc460313885 \h </w:instrText>
            </w:r>
            <w:r w:rsidR="00DD1867" w:rsidRPr="003E6B97">
              <w:rPr>
                <w:noProof/>
                <w:webHidden/>
              </w:rPr>
            </w:r>
            <w:r w:rsidR="00DD1867" w:rsidRPr="003E6B97">
              <w:rPr>
                <w:noProof/>
                <w:webHidden/>
              </w:rPr>
              <w:fldChar w:fldCharType="separate"/>
            </w:r>
            <w:r w:rsidR="00081BAB">
              <w:rPr>
                <w:noProof/>
                <w:webHidden/>
              </w:rPr>
              <w:t>4</w:t>
            </w:r>
            <w:r w:rsidR="00DD1867" w:rsidRPr="003E6B97">
              <w:rPr>
                <w:noProof/>
                <w:webHidden/>
              </w:rPr>
              <w:fldChar w:fldCharType="end"/>
            </w:r>
          </w:hyperlink>
        </w:p>
        <w:p w14:paraId="486D4A36" w14:textId="77777777" w:rsidR="00DD1867" w:rsidRPr="00D17559" w:rsidRDefault="00D41D28">
          <w:pPr>
            <w:pStyle w:val="TOC1"/>
            <w:tabs>
              <w:tab w:val="left" w:pos="660"/>
              <w:tab w:val="right" w:leader="dot" w:pos="9350"/>
            </w:tabs>
            <w:rPr>
              <w:noProof/>
              <w:sz w:val="22"/>
              <w:szCs w:val="22"/>
            </w:rPr>
          </w:pPr>
          <w:hyperlink w:anchor="_Toc460313886" w:history="1">
            <w:r w:rsidR="00DD1867" w:rsidRPr="00890A5C">
              <w:rPr>
                <w:rStyle w:val="Hyperlink"/>
                <w:noProof/>
              </w:rPr>
              <w:t>B.4.</w:t>
            </w:r>
            <w:r w:rsidR="00DD1867" w:rsidRPr="00D17559">
              <w:rPr>
                <w:noProof/>
                <w:sz w:val="22"/>
                <w:szCs w:val="22"/>
              </w:rPr>
              <w:tab/>
            </w:r>
            <w:r w:rsidR="00DD1867" w:rsidRPr="00890A5C">
              <w:rPr>
                <w:rStyle w:val="Hyperlink"/>
                <w:noProof/>
              </w:rPr>
              <w:t>Test of Procedures or Methods to be Undertaken</w:t>
            </w:r>
            <w:r w:rsidR="00DD1867" w:rsidRPr="00D17559">
              <w:rPr>
                <w:noProof/>
                <w:webHidden/>
              </w:rPr>
              <w:tab/>
            </w:r>
            <w:r w:rsidR="00DD1867" w:rsidRPr="003E6B97">
              <w:rPr>
                <w:noProof/>
                <w:webHidden/>
              </w:rPr>
              <w:fldChar w:fldCharType="begin"/>
            </w:r>
            <w:r w:rsidR="00DD1867" w:rsidRPr="00D17559">
              <w:rPr>
                <w:noProof/>
                <w:webHidden/>
              </w:rPr>
              <w:instrText xml:space="preserve"> PAGEREF _Toc460313886 \h </w:instrText>
            </w:r>
            <w:r w:rsidR="00DD1867" w:rsidRPr="003E6B97">
              <w:rPr>
                <w:noProof/>
                <w:webHidden/>
              </w:rPr>
            </w:r>
            <w:r w:rsidR="00DD1867" w:rsidRPr="003E6B97">
              <w:rPr>
                <w:noProof/>
                <w:webHidden/>
              </w:rPr>
              <w:fldChar w:fldCharType="separate"/>
            </w:r>
            <w:r w:rsidR="00081BAB">
              <w:rPr>
                <w:noProof/>
                <w:webHidden/>
              </w:rPr>
              <w:t>5</w:t>
            </w:r>
            <w:r w:rsidR="00DD1867" w:rsidRPr="003E6B97">
              <w:rPr>
                <w:noProof/>
                <w:webHidden/>
              </w:rPr>
              <w:fldChar w:fldCharType="end"/>
            </w:r>
          </w:hyperlink>
        </w:p>
        <w:p w14:paraId="23C4DD93" w14:textId="77777777" w:rsidR="00DD1867" w:rsidRPr="00D17559" w:rsidRDefault="00D41D28">
          <w:pPr>
            <w:pStyle w:val="TOC1"/>
            <w:tabs>
              <w:tab w:val="left" w:pos="660"/>
              <w:tab w:val="right" w:leader="dot" w:pos="9350"/>
            </w:tabs>
            <w:rPr>
              <w:noProof/>
              <w:sz w:val="22"/>
              <w:szCs w:val="22"/>
            </w:rPr>
          </w:pPr>
          <w:hyperlink w:anchor="_Toc460313887" w:history="1">
            <w:r w:rsidR="00DD1867" w:rsidRPr="00890A5C">
              <w:rPr>
                <w:rStyle w:val="Hyperlink"/>
                <w:noProof/>
              </w:rPr>
              <w:t>B.5.</w:t>
            </w:r>
            <w:r w:rsidR="00DD1867" w:rsidRPr="00D17559">
              <w:rPr>
                <w:noProof/>
                <w:sz w:val="22"/>
                <w:szCs w:val="22"/>
              </w:rPr>
              <w:tab/>
            </w:r>
            <w:r w:rsidR="00DD1867" w:rsidRPr="00890A5C">
              <w:rPr>
                <w:rStyle w:val="Hyperlink"/>
                <w:noProof/>
              </w:rPr>
              <w:t>Individuals Consulted on Statistical Aspects and Individuals Collecting and/or Analyzing Data</w:t>
            </w:r>
            <w:r w:rsidR="00DD1867" w:rsidRPr="00D17559">
              <w:rPr>
                <w:noProof/>
                <w:webHidden/>
              </w:rPr>
              <w:tab/>
            </w:r>
            <w:r w:rsidR="00DD1867" w:rsidRPr="003E6B97">
              <w:rPr>
                <w:noProof/>
                <w:webHidden/>
              </w:rPr>
              <w:fldChar w:fldCharType="begin"/>
            </w:r>
            <w:r w:rsidR="00DD1867" w:rsidRPr="00D17559">
              <w:rPr>
                <w:noProof/>
                <w:webHidden/>
              </w:rPr>
              <w:instrText xml:space="preserve"> PAGEREF _Toc460313887 \h </w:instrText>
            </w:r>
            <w:r w:rsidR="00DD1867" w:rsidRPr="003E6B97">
              <w:rPr>
                <w:noProof/>
                <w:webHidden/>
              </w:rPr>
            </w:r>
            <w:r w:rsidR="00DD1867" w:rsidRPr="003E6B97">
              <w:rPr>
                <w:noProof/>
                <w:webHidden/>
              </w:rPr>
              <w:fldChar w:fldCharType="separate"/>
            </w:r>
            <w:r w:rsidR="00081BAB">
              <w:rPr>
                <w:noProof/>
                <w:webHidden/>
              </w:rPr>
              <w:t>5</w:t>
            </w:r>
            <w:r w:rsidR="00DD1867" w:rsidRPr="003E6B97">
              <w:rPr>
                <w:noProof/>
                <w:webHidden/>
              </w:rPr>
              <w:fldChar w:fldCharType="end"/>
            </w:r>
          </w:hyperlink>
        </w:p>
        <w:p w14:paraId="52750FB7" w14:textId="77777777" w:rsidR="00DD1867" w:rsidRPr="00D17559" w:rsidRDefault="00D41D28">
          <w:pPr>
            <w:pStyle w:val="TOC1"/>
            <w:tabs>
              <w:tab w:val="right" w:leader="dot" w:pos="9350"/>
            </w:tabs>
            <w:rPr>
              <w:noProof/>
              <w:sz w:val="22"/>
              <w:szCs w:val="22"/>
            </w:rPr>
          </w:pPr>
          <w:hyperlink w:anchor="_Toc460313888" w:history="1">
            <w:r w:rsidR="00DD1867" w:rsidRPr="00890A5C">
              <w:rPr>
                <w:rStyle w:val="Hyperlink"/>
                <w:noProof/>
              </w:rPr>
              <w:t>References</w:t>
            </w:r>
            <w:r w:rsidR="00DD1867" w:rsidRPr="00D17559">
              <w:rPr>
                <w:noProof/>
                <w:webHidden/>
              </w:rPr>
              <w:tab/>
            </w:r>
            <w:r w:rsidR="00DD1867" w:rsidRPr="003E6B97">
              <w:rPr>
                <w:noProof/>
                <w:webHidden/>
              </w:rPr>
              <w:fldChar w:fldCharType="begin"/>
            </w:r>
            <w:r w:rsidR="00DD1867" w:rsidRPr="00D17559">
              <w:rPr>
                <w:noProof/>
                <w:webHidden/>
              </w:rPr>
              <w:instrText xml:space="preserve"> PAGEREF _Toc460313888 \h </w:instrText>
            </w:r>
            <w:r w:rsidR="00DD1867" w:rsidRPr="003E6B97">
              <w:rPr>
                <w:noProof/>
                <w:webHidden/>
              </w:rPr>
            </w:r>
            <w:r w:rsidR="00DD1867" w:rsidRPr="003E6B97">
              <w:rPr>
                <w:noProof/>
                <w:webHidden/>
              </w:rPr>
              <w:fldChar w:fldCharType="separate"/>
            </w:r>
            <w:r w:rsidR="00081BAB">
              <w:rPr>
                <w:noProof/>
                <w:webHidden/>
              </w:rPr>
              <w:t>6</w:t>
            </w:r>
            <w:r w:rsidR="00DD1867" w:rsidRPr="003E6B97">
              <w:rPr>
                <w:noProof/>
                <w:webHidden/>
              </w:rPr>
              <w:fldChar w:fldCharType="end"/>
            </w:r>
          </w:hyperlink>
        </w:p>
        <w:p w14:paraId="6FE8CBF9" w14:textId="77777777" w:rsidR="00DD1867" w:rsidRPr="00D17559" w:rsidRDefault="00D41D28">
          <w:pPr>
            <w:pStyle w:val="TOC1"/>
            <w:tabs>
              <w:tab w:val="right" w:leader="dot" w:pos="9350"/>
            </w:tabs>
            <w:rPr>
              <w:noProof/>
              <w:sz w:val="22"/>
              <w:szCs w:val="22"/>
            </w:rPr>
          </w:pPr>
          <w:hyperlink w:anchor="_Toc460313889" w:history="1">
            <w:r w:rsidR="00DD1867" w:rsidRPr="00890A5C">
              <w:rPr>
                <w:rStyle w:val="Hyperlink"/>
                <w:noProof/>
              </w:rPr>
              <w:t>List of Attachments</w:t>
            </w:r>
            <w:r w:rsidR="00DD1867" w:rsidRPr="00D17559">
              <w:rPr>
                <w:noProof/>
                <w:webHidden/>
              </w:rPr>
              <w:tab/>
            </w:r>
            <w:r w:rsidR="00DD1867" w:rsidRPr="003E6B97">
              <w:rPr>
                <w:noProof/>
                <w:webHidden/>
              </w:rPr>
              <w:fldChar w:fldCharType="begin"/>
            </w:r>
            <w:r w:rsidR="00DD1867" w:rsidRPr="00D17559">
              <w:rPr>
                <w:noProof/>
                <w:webHidden/>
              </w:rPr>
              <w:instrText xml:space="preserve"> PAGEREF _Toc460313889 \h </w:instrText>
            </w:r>
            <w:r w:rsidR="00DD1867" w:rsidRPr="003E6B97">
              <w:rPr>
                <w:noProof/>
                <w:webHidden/>
              </w:rPr>
            </w:r>
            <w:r w:rsidR="00DD1867" w:rsidRPr="003E6B97">
              <w:rPr>
                <w:noProof/>
                <w:webHidden/>
              </w:rPr>
              <w:fldChar w:fldCharType="separate"/>
            </w:r>
            <w:r w:rsidR="00081BAB">
              <w:rPr>
                <w:noProof/>
                <w:webHidden/>
              </w:rPr>
              <w:t>7</w:t>
            </w:r>
            <w:r w:rsidR="00DD1867" w:rsidRPr="003E6B97">
              <w:rPr>
                <w:noProof/>
                <w:webHidden/>
              </w:rPr>
              <w:fldChar w:fldCharType="end"/>
            </w:r>
          </w:hyperlink>
        </w:p>
        <w:p w14:paraId="25E671BB" w14:textId="77777777" w:rsidR="00D33AE3" w:rsidRPr="00E707C0" w:rsidRDefault="00D33AE3">
          <w:r w:rsidRPr="00E707C0">
            <w:rPr>
              <w:b/>
              <w:bCs/>
              <w:noProof/>
            </w:rPr>
            <w:fldChar w:fldCharType="end"/>
          </w:r>
        </w:p>
      </w:sdtContent>
    </w:sdt>
    <w:p w14:paraId="14A5EA74" w14:textId="77777777" w:rsidR="00BA2DBE" w:rsidRPr="00E707C0" w:rsidRDefault="00BA2DBE">
      <w:pPr>
        <w:spacing w:after="200" w:line="276" w:lineRule="auto"/>
        <w:rPr>
          <w:rFonts w:eastAsiaTheme="majorEastAsia" w:cs="Arial"/>
          <w:b/>
          <w:bCs/>
          <w:sz w:val="26"/>
          <w:szCs w:val="26"/>
        </w:rPr>
      </w:pPr>
    </w:p>
    <w:bookmarkEnd w:id="0"/>
    <w:bookmarkEnd w:id="1"/>
    <w:p w14:paraId="3C201D9C" w14:textId="77777777" w:rsidR="00D33AE3" w:rsidRPr="00E707C0" w:rsidRDefault="00D33AE3">
      <w:pPr>
        <w:rPr>
          <w:rFonts w:asciiTheme="majorHAnsi" w:eastAsiaTheme="majorEastAsia" w:hAnsiTheme="majorHAnsi" w:cstheme="majorBidi"/>
          <w:sz w:val="36"/>
          <w:szCs w:val="36"/>
        </w:rPr>
      </w:pPr>
      <w:r w:rsidRPr="00E707C0">
        <w:br w:type="page"/>
      </w:r>
    </w:p>
    <w:p w14:paraId="613C53AC" w14:textId="0CA00EEF" w:rsidR="00DD2606" w:rsidRPr="00E707C0" w:rsidRDefault="00DD2606" w:rsidP="007D595C">
      <w:pPr>
        <w:pBdr>
          <w:bottom w:val="single" w:sz="4" w:space="1" w:color="auto"/>
        </w:pBdr>
        <w:rPr>
          <w:rFonts w:ascii="Cambria" w:hAnsi="Cambria"/>
          <w:sz w:val="36"/>
          <w:szCs w:val="36"/>
        </w:rPr>
      </w:pPr>
      <w:r w:rsidRPr="00E707C0">
        <w:rPr>
          <w:rFonts w:ascii="Cambria" w:hAnsi="Cambria"/>
          <w:sz w:val="36"/>
          <w:szCs w:val="36"/>
        </w:rPr>
        <w:lastRenderedPageBreak/>
        <w:t>Part B. Collections of Information Employing Statistical Methods</w:t>
      </w:r>
    </w:p>
    <w:p w14:paraId="371CCFBA" w14:textId="77777777" w:rsidR="00B45002" w:rsidRPr="00E707C0" w:rsidRDefault="00D33AE3" w:rsidP="008D0F27">
      <w:pPr>
        <w:pStyle w:val="Heading1"/>
        <w:pBdr>
          <w:bottom w:val="none" w:sz="0" w:space="0" w:color="auto"/>
        </w:pBdr>
        <w:rPr>
          <w:rFonts w:ascii="Cambria" w:hAnsi="Cambria"/>
          <w:color w:val="auto"/>
        </w:rPr>
      </w:pPr>
      <w:bookmarkStart w:id="3" w:name="_Toc460313883"/>
      <w:r w:rsidRPr="00E707C0">
        <w:rPr>
          <w:rFonts w:ascii="Cambria" w:hAnsi="Cambria"/>
          <w:color w:val="auto"/>
        </w:rPr>
        <w:t>B.</w:t>
      </w:r>
      <w:r w:rsidR="00B45002" w:rsidRPr="00E707C0">
        <w:rPr>
          <w:rFonts w:ascii="Cambria" w:hAnsi="Cambria"/>
          <w:color w:val="auto"/>
        </w:rPr>
        <w:t>1.</w:t>
      </w:r>
      <w:r w:rsidR="00B45002" w:rsidRPr="00E707C0">
        <w:rPr>
          <w:rFonts w:ascii="Cambria" w:hAnsi="Cambria"/>
          <w:color w:val="auto"/>
        </w:rPr>
        <w:tab/>
        <w:t>Respondent Universe and Sampling Methods</w:t>
      </w:r>
      <w:bookmarkEnd w:id="3"/>
    </w:p>
    <w:p w14:paraId="1901860F" w14:textId="77777777" w:rsidR="00EA6E06" w:rsidRPr="00E707C0" w:rsidRDefault="00EA6E06" w:rsidP="00EA6E06">
      <w:pPr>
        <w:spacing w:line="240" w:lineRule="auto"/>
        <w:rPr>
          <w:sz w:val="24"/>
          <w:szCs w:val="24"/>
        </w:rPr>
      </w:pPr>
    </w:p>
    <w:p w14:paraId="1F2A9340" w14:textId="10F1CE0C" w:rsidR="00EA6E06" w:rsidRPr="00E707C0" w:rsidRDefault="00313DFD" w:rsidP="00EA6E06">
      <w:pPr>
        <w:autoSpaceDE w:val="0"/>
        <w:autoSpaceDN w:val="0"/>
        <w:adjustRightInd w:val="0"/>
        <w:spacing w:line="240" w:lineRule="auto"/>
        <w:rPr>
          <w:rFonts w:cs="ITCFranklinGothicStd-Book"/>
          <w:sz w:val="24"/>
          <w:szCs w:val="24"/>
        </w:rPr>
      </w:pPr>
      <w:r>
        <w:rPr>
          <w:rFonts w:cs="ITCFranklinGothicStd-Book"/>
          <w:sz w:val="24"/>
          <w:szCs w:val="24"/>
        </w:rPr>
        <w:t>T</w:t>
      </w:r>
      <w:r w:rsidR="00EA6E06" w:rsidRPr="00E707C0">
        <w:rPr>
          <w:rFonts w:cs="ITCFranklinGothicStd-Book"/>
          <w:sz w:val="24"/>
          <w:szCs w:val="24"/>
        </w:rPr>
        <w:t xml:space="preserve">he respondent universe </w:t>
      </w:r>
      <w:r w:rsidR="00AB5F18">
        <w:rPr>
          <w:rFonts w:cs="ITCFranklinGothicStd-Book"/>
          <w:sz w:val="24"/>
          <w:szCs w:val="24"/>
        </w:rPr>
        <w:t>represents</w:t>
      </w:r>
      <w:r>
        <w:rPr>
          <w:rFonts w:cs="ITCFranklinGothicStd-Book"/>
          <w:sz w:val="24"/>
          <w:szCs w:val="24"/>
        </w:rPr>
        <w:t xml:space="preserve"> a census of </w:t>
      </w:r>
      <w:r w:rsidR="0002279B">
        <w:rPr>
          <w:rFonts w:cs="ITCFranklinGothicStd-Book"/>
          <w:sz w:val="24"/>
          <w:szCs w:val="24"/>
        </w:rPr>
        <w:t xml:space="preserve">the </w:t>
      </w:r>
      <w:r w:rsidR="00AB5F18">
        <w:rPr>
          <w:rFonts w:cs="ITCFranklinGothicStd-Book"/>
          <w:sz w:val="24"/>
          <w:szCs w:val="24"/>
        </w:rPr>
        <w:t xml:space="preserve">public health department </w:t>
      </w:r>
      <w:r>
        <w:rPr>
          <w:rFonts w:cs="ITCFranklinGothicStd-Book"/>
          <w:sz w:val="24"/>
          <w:szCs w:val="24"/>
        </w:rPr>
        <w:t>environmental health</w:t>
      </w:r>
      <w:r w:rsidR="00AB5F18">
        <w:rPr>
          <w:rFonts w:cs="ITCFranklinGothicStd-Book"/>
          <w:sz w:val="24"/>
          <w:szCs w:val="24"/>
        </w:rPr>
        <w:t xml:space="preserve"> (EH)</w:t>
      </w:r>
      <w:r>
        <w:rPr>
          <w:rFonts w:cs="ITCFranklinGothicStd-Book"/>
          <w:sz w:val="24"/>
          <w:szCs w:val="24"/>
        </w:rPr>
        <w:t xml:space="preserve"> workforce. The best estimate of th</w:t>
      </w:r>
      <w:r w:rsidR="00FF6F7A">
        <w:rPr>
          <w:rFonts w:cs="ITCFranklinGothicStd-Book"/>
          <w:sz w:val="24"/>
          <w:szCs w:val="24"/>
        </w:rPr>
        <w:t>is entire workforce is 20,000</w:t>
      </w:r>
      <w:r w:rsidR="005445E9">
        <w:rPr>
          <w:rFonts w:cs="ITCFranklinGothicStd-Book"/>
          <w:sz w:val="24"/>
          <w:szCs w:val="24"/>
        </w:rPr>
        <w:t xml:space="preserve"> professionals</w:t>
      </w:r>
      <w:r w:rsidR="002B16FD">
        <w:rPr>
          <w:rFonts w:cs="ITCFranklinGothicStd-Book"/>
          <w:sz w:val="24"/>
          <w:szCs w:val="24"/>
        </w:rPr>
        <w:t xml:space="preserve">. This estimate </w:t>
      </w:r>
      <w:r w:rsidR="008209E8">
        <w:rPr>
          <w:rFonts w:cs="ITCFranklinGothicStd-Book"/>
          <w:sz w:val="24"/>
          <w:szCs w:val="24"/>
        </w:rPr>
        <w:t>is</w:t>
      </w:r>
      <w:r w:rsidR="00FF6F7A">
        <w:rPr>
          <w:rFonts w:cs="ITCFranklinGothicStd-Book"/>
          <w:sz w:val="24"/>
          <w:szCs w:val="24"/>
        </w:rPr>
        <w:t xml:space="preserve"> </w:t>
      </w:r>
      <w:r w:rsidR="0002279B" w:rsidRPr="0002279B">
        <w:rPr>
          <w:rFonts w:cs="ITCFranklinGothicStd-Book"/>
          <w:sz w:val="24"/>
          <w:szCs w:val="24"/>
        </w:rPr>
        <w:t>based on results of public health departments profile studies</w:t>
      </w:r>
      <w:r w:rsidR="0002279B">
        <w:rPr>
          <w:rFonts w:cs="ITCFranklinGothicStd-Book"/>
          <w:sz w:val="24"/>
          <w:szCs w:val="24"/>
        </w:rPr>
        <w:t xml:space="preserve"> </w:t>
      </w:r>
      <w:r w:rsidR="0002279B" w:rsidRPr="0002279B">
        <w:rPr>
          <w:rFonts w:cs="ITCFranklinGothicStd-Book"/>
          <w:sz w:val="24"/>
          <w:szCs w:val="24"/>
        </w:rPr>
        <w:t>and discussions with EH experts about workforce estimates and identifying potential EH professionals not represented in the studies.</w:t>
      </w:r>
      <w:r w:rsidR="0002279B">
        <w:rPr>
          <w:rFonts w:cs="ITCFranklinGothicStd-Book"/>
          <w:sz w:val="24"/>
          <w:szCs w:val="24"/>
          <w:vertAlign w:val="superscript"/>
        </w:rPr>
        <w:t>1</w:t>
      </w:r>
      <w:r w:rsidR="0002279B" w:rsidRPr="0002279B">
        <w:rPr>
          <w:rFonts w:cs="ITCFranklinGothicStd-Book"/>
          <w:sz w:val="24"/>
          <w:szCs w:val="24"/>
          <w:vertAlign w:val="superscript"/>
        </w:rPr>
        <w:t>,</w:t>
      </w:r>
      <w:r w:rsidR="0002279B">
        <w:rPr>
          <w:rFonts w:cs="ITCFranklinGothicStd-Book"/>
          <w:sz w:val="24"/>
          <w:szCs w:val="24"/>
          <w:vertAlign w:val="superscript"/>
        </w:rPr>
        <w:t>2</w:t>
      </w:r>
      <w:r w:rsidR="0002279B" w:rsidRPr="0002279B">
        <w:rPr>
          <w:rFonts w:cs="ITCFranklinGothicStd-Book"/>
          <w:sz w:val="24"/>
          <w:szCs w:val="24"/>
        </w:rPr>
        <w:t xml:space="preserve">  </w:t>
      </w:r>
      <w:r w:rsidR="00C5311D">
        <w:rPr>
          <w:rFonts w:cs="ITCFranklinGothicStd-Book"/>
          <w:sz w:val="24"/>
          <w:szCs w:val="24"/>
        </w:rPr>
        <w:t xml:space="preserve">The entire respondent universe will be offered the opportunity to complete the survey; however, we expect approximately 16,000 respondents based on an 80% response rate.  </w:t>
      </w:r>
    </w:p>
    <w:p w14:paraId="6A80A0EC" w14:textId="253AC455" w:rsidR="00EA6E06" w:rsidRPr="00E707C0" w:rsidRDefault="00FF6F7A" w:rsidP="00EA6E06">
      <w:pPr>
        <w:autoSpaceDE w:val="0"/>
        <w:autoSpaceDN w:val="0"/>
        <w:adjustRightInd w:val="0"/>
        <w:spacing w:line="240" w:lineRule="auto"/>
        <w:rPr>
          <w:rFonts w:cs="ITCFranklinGothicStd-Book"/>
          <w:sz w:val="24"/>
          <w:szCs w:val="24"/>
        </w:rPr>
      </w:pPr>
      <w:r>
        <w:rPr>
          <w:rFonts w:cs="ITCFranklinGothicStd-Book"/>
          <w:sz w:val="24"/>
          <w:szCs w:val="24"/>
        </w:rPr>
        <w:t xml:space="preserve">The </w:t>
      </w:r>
      <w:r w:rsidR="00B45206">
        <w:rPr>
          <w:rFonts w:cs="ITCFranklinGothicStd-Book"/>
          <w:sz w:val="24"/>
          <w:szCs w:val="24"/>
        </w:rPr>
        <w:t xml:space="preserve">respondent universe </w:t>
      </w:r>
      <w:r>
        <w:rPr>
          <w:rFonts w:cs="ITCFranklinGothicStd-Book"/>
          <w:sz w:val="24"/>
          <w:szCs w:val="24"/>
        </w:rPr>
        <w:t>include</w:t>
      </w:r>
      <w:r w:rsidR="00B45206">
        <w:rPr>
          <w:rFonts w:cs="ITCFranklinGothicStd-Book"/>
          <w:sz w:val="24"/>
          <w:szCs w:val="24"/>
        </w:rPr>
        <w:t>s</w:t>
      </w:r>
      <w:r>
        <w:rPr>
          <w:rFonts w:cs="ITCFranklinGothicStd-Book"/>
          <w:sz w:val="24"/>
          <w:szCs w:val="24"/>
        </w:rPr>
        <w:t xml:space="preserve"> the entire </w:t>
      </w:r>
      <w:r w:rsidR="00B45206">
        <w:rPr>
          <w:rFonts w:cs="ITCFranklinGothicStd-Book"/>
          <w:sz w:val="24"/>
          <w:szCs w:val="24"/>
        </w:rPr>
        <w:t>workforce</w:t>
      </w:r>
      <w:r>
        <w:rPr>
          <w:rFonts w:cs="ITCFranklinGothicStd-Book"/>
          <w:sz w:val="24"/>
          <w:szCs w:val="24"/>
        </w:rPr>
        <w:t xml:space="preserve"> because </w:t>
      </w:r>
      <w:r w:rsidR="00993CEE">
        <w:rPr>
          <w:rFonts w:cs="ITCFranklinGothicStd-Book"/>
          <w:sz w:val="24"/>
          <w:szCs w:val="24"/>
        </w:rPr>
        <w:t>a census</w:t>
      </w:r>
      <w:r>
        <w:rPr>
          <w:rFonts w:cs="ITCFranklinGothicStd-Book"/>
          <w:sz w:val="24"/>
          <w:szCs w:val="24"/>
        </w:rPr>
        <w:t xml:space="preserve"> would allow stratification</w:t>
      </w:r>
      <w:r w:rsidR="00030344">
        <w:rPr>
          <w:rFonts w:cs="ITCFranklinGothicStd-Book"/>
          <w:sz w:val="24"/>
          <w:szCs w:val="24"/>
        </w:rPr>
        <w:t xml:space="preserve"> by level of government (state, tribal, local, territorial), level of position (director, supervisor, field staff), and experience and education</w:t>
      </w:r>
      <w:r>
        <w:rPr>
          <w:rFonts w:cs="ITCFranklinGothicStd-Book"/>
          <w:sz w:val="24"/>
          <w:szCs w:val="24"/>
        </w:rPr>
        <w:t xml:space="preserve">. In addition, this effort will be an attempt at enumerating the </w:t>
      </w:r>
      <w:r w:rsidR="009E407B">
        <w:rPr>
          <w:rFonts w:cs="ITCFranklinGothicStd-Book"/>
          <w:sz w:val="24"/>
          <w:szCs w:val="24"/>
        </w:rPr>
        <w:t>public health department EH</w:t>
      </w:r>
      <w:r w:rsidR="005445E9">
        <w:rPr>
          <w:rFonts w:cs="ITCFranklinGothicStd-Book"/>
          <w:sz w:val="24"/>
          <w:szCs w:val="24"/>
        </w:rPr>
        <w:t xml:space="preserve"> workforce</w:t>
      </w:r>
      <w:r w:rsidR="00EA6E06" w:rsidRPr="00E707C0">
        <w:rPr>
          <w:rFonts w:cs="ITCFranklinGothicStd-Book"/>
          <w:sz w:val="24"/>
          <w:szCs w:val="24"/>
        </w:rPr>
        <w:t>.</w:t>
      </w:r>
      <w:r w:rsidR="005445E9">
        <w:rPr>
          <w:rFonts w:cs="ITCFranklinGothicStd-Book"/>
          <w:sz w:val="24"/>
          <w:szCs w:val="24"/>
        </w:rPr>
        <w:t xml:space="preserve"> </w:t>
      </w:r>
      <w:r w:rsidR="009E407B">
        <w:rPr>
          <w:rFonts w:cs="ITCFranklinGothicStd-Book"/>
          <w:sz w:val="24"/>
          <w:szCs w:val="24"/>
        </w:rPr>
        <w:t xml:space="preserve">Enumerating the workforce </w:t>
      </w:r>
      <w:r w:rsidR="008209E8">
        <w:rPr>
          <w:rFonts w:cs="ITCFranklinGothicStd-Book"/>
          <w:sz w:val="24"/>
          <w:szCs w:val="24"/>
        </w:rPr>
        <w:t xml:space="preserve">is </w:t>
      </w:r>
      <w:r w:rsidR="009E407B">
        <w:rPr>
          <w:rFonts w:cs="ITCFranklinGothicStd-Book"/>
          <w:sz w:val="24"/>
          <w:szCs w:val="24"/>
        </w:rPr>
        <w:t>essential for this collection of information and</w:t>
      </w:r>
      <w:r w:rsidR="000F3D30">
        <w:rPr>
          <w:rFonts w:cs="ITCFranklinGothicStd-Book"/>
          <w:sz w:val="24"/>
          <w:szCs w:val="24"/>
        </w:rPr>
        <w:t>,</w:t>
      </w:r>
      <w:r w:rsidR="009E407B">
        <w:rPr>
          <w:rFonts w:cs="ITCFranklinGothicStd-Book"/>
          <w:sz w:val="24"/>
          <w:szCs w:val="24"/>
        </w:rPr>
        <w:t xml:space="preserve"> </w:t>
      </w:r>
      <w:r w:rsidR="000F3D30">
        <w:rPr>
          <w:rFonts w:cs="ITCFranklinGothicStd-Book"/>
          <w:sz w:val="24"/>
          <w:szCs w:val="24"/>
        </w:rPr>
        <w:t xml:space="preserve">once established, </w:t>
      </w:r>
      <w:r w:rsidR="005445E9">
        <w:rPr>
          <w:rFonts w:cs="ITCFranklinGothicStd-Book"/>
          <w:sz w:val="24"/>
          <w:szCs w:val="24"/>
        </w:rPr>
        <w:t xml:space="preserve">will </w:t>
      </w:r>
      <w:r w:rsidR="009E407B">
        <w:rPr>
          <w:rFonts w:cs="ITCFranklinGothicStd-Book"/>
          <w:sz w:val="24"/>
          <w:szCs w:val="24"/>
        </w:rPr>
        <w:t xml:space="preserve">contribute to </w:t>
      </w:r>
      <w:r w:rsidR="001E6A73">
        <w:rPr>
          <w:rFonts w:cs="ITCFranklinGothicStd-Book"/>
          <w:sz w:val="24"/>
          <w:szCs w:val="24"/>
        </w:rPr>
        <w:t>future</w:t>
      </w:r>
      <w:r w:rsidR="009E407B">
        <w:rPr>
          <w:rFonts w:cs="ITCFranklinGothicStd-Book"/>
          <w:sz w:val="24"/>
          <w:szCs w:val="24"/>
        </w:rPr>
        <w:t xml:space="preserve"> public health workforce and enumeration in</w:t>
      </w:r>
      <w:r w:rsidR="005445E9">
        <w:rPr>
          <w:rFonts w:cs="ITCFranklinGothicStd-Book"/>
          <w:sz w:val="24"/>
          <w:szCs w:val="24"/>
        </w:rPr>
        <w:t>itiatives.</w:t>
      </w:r>
    </w:p>
    <w:p w14:paraId="6759D52E" w14:textId="77777777" w:rsidR="00B45002" w:rsidRPr="00E707C0" w:rsidRDefault="00D33AE3" w:rsidP="008D0F27">
      <w:pPr>
        <w:pStyle w:val="Heading1"/>
        <w:pBdr>
          <w:bottom w:val="none" w:sz="0" w:space="0" w:color="auto"/>
        </w:pBdr>
        <w:rPr>
          <w:rFonts w:ascii="Cambria" w:hAnsi="Cambria"/>
          <w:color w:val="auto"/>
        </w:rPr>
      </w:pPr>
      <w:bookmarkStart w:id="4" w:name="_Toc460313884"/>
      <w:r w:rsidRPr="00E707C0">
        <w:rPr>
          <w:rFonts w:ascii="Cambria" w:hAnsi="Cambria"/>
          <w:color w:val="auto"/>
        </w:rPr>
        <w:t>B.</w:t>
      </w:r>
      <w:r w:rsidR="00B45002" w:rsidRPr="00E707C0">
        <w:rPr>
          <w:rFonts w:ascii="Cambria" w:hAnsi="Cambria"/>
          <w:color w:val="auto"/>
        </w:rPr>
        <w:t>2.</w:t>
      </w:r>
      <w:r w:rsidR="00B45002" w:rsidRPr="00E707C0">
        <w:rPr>
          <w:rFonts w:ascii="Cambria" w:hAnsi="Cambria"/>
          <w:color w:val="auto"/>
        </w:rPr>
        <w:tab/>
        <w:t>Procedures for the Collection of Information</w:t>
      </w:r>
      <w:bookmarkEnd w:id="4"/>
    </w:p>
    <w:p w14:paraId="4444A623" w14:textId="77777777" w:rsidR="00EA6E06" w:rsidRPr="00E707C0" w:rsidRDefault="00EA6E06" w:rsidP="00EA6E06"/>
    <w:p w14:paraId="33D21A71" w14:textId="57D9F044" w:rsidR="00EA6E06" w:rsidRPr="00E707C0" w:rsidRDefault="00D4593B" w:rsidP="001C121D">
      <w:pPr>
        <w:autoSpaceDE w:val="0"/>
        <w:autoSpaceDN w:val="0"/>
        <w:adjustRightInd w:val="0"/>
        <w:spacing w:line="240" w:lineRule="auto"/>
        <w:rPr>
          <w:rFonts w:cs="ITCFranklinGothicStd-Book"/>
          <w:sz w:val="24"/>
          <w:szCs w:val="24"/>
        </w:rPr>
      </w:pPr>
      <w:r>
        <w:rPr>
          <w:rFonts w:cs="ITCFranklinGothicStd-Book"/>
          <w:sz w:val="24"/>
          <w:szCs w:val="24"/>
        </w:rPr>
        <w:t>T</w:t>
      </w:r>
      <w:r w:rsidR="00EA6E06" w:rsidRPr="00E707C0">
        <w:rPr>
          <w:rFonts w:cs="ITCFranklinGothicStd-Book"/>
          <w:sz w:val="24"/>
          <w:szCs w:val="24"/>
        </w:rPr>
        <w:t>he procedures for the collection of information includ</w:t>
      </w:r>
      <w:r>
        <w:rPr>
          <w:rFonts w:cs="ITCFranklinGothicStd-Book"/>
          <w:sz w:val="24"/>
          <w:szCs w:val="24"/>
        </w:rPr>
        <w:t>e</w:t>
      </w:r>
      <w:r w:rsidR="00EA6E06" w:rsidRPr="00E707C0">
        <w:rPr>
          <w:rFonts w:cs="ITCFranklinGothicStd-Book"/>
          <w:sz w:val="24"/>
          <w:szCs w:val="24"/>
        </w:rPr>
        <w:t>:</w:t>
      </w:r>
    </w:p>
    <w:p w14:paraId="22A05B67" w14:textId="6BB7B531" w:rsidR="001C121D" w:rsidRDefault="005E29F7" w:rsidP="001C121D">
      <w:pPr>
        <w:pStyle w:val="ListParagraph"/>
        <w:numPr>
          <w:ilvl w:val="0"/>
          <w:numId w:val="14"/>
        </w:numPr>
        <w:autoSpaceDE w:val="0"/>
        <w:autoSpaceDN w:val="0"/>
        <w:adjustRightInd w:val="0"/>
        <w:spacing w:line="240" w:lineRule="auto"/>
        <w:contextualSpacing w:val="0"/>
        <w:rPr>
          <w:rFonts w:cs="ITCFranklinGothicStd-Book"/>
          <w:sz w:val="24"/>
          <w:szCs w:val="24"/>
        </w:rPr>
      </w:pPr>
      <w:r>
        <w:rPr>
          <w:rFonts w:cs="ITCFranklinGothicStd-Book"/>
          <w:sz w:val="24"/>
          <w:szCs w:val="24"/>
        </w:rPr>
        <w:t>Enumerating and g</w:t>
      </w:r>
      <w:r w:rsidR="00D4593B">
        <w:rPr>
          <w:rFonts w:cs="ITCFranklinGothicStd-Book"/>
          <w:sz w:val="24"/>
          <w:szCs w:val="24"/>
        </w:rPr>
        <w:t xml:space="preserve">enerating a </w:t>
      </w:r>
      <w:r w:rsidR="00992101">
        <w:rPr>
          <w:rFonts w:cs="ITCFranklinGothicStd-Book"/>
          <w:sz w:val="24"/>
          <w:szCs w:val="24"/>
        </w:rPr>
        <w:t>list</w:t>
      </w:r>
      <w:r w:rsidR="00D4593B">
        <w:rPr>
          <w:rFonts w:cs="ITCFranklinGothicStd-Book"/>
          <w:sz w:val="24"/>
          <w:szCs w:val="24"/>
        </w:rPr>
        <w:t xml:space="preserve"> of </w:t>
      </w:r>
      <w:r w:rsidR="007B5C29">
        <w:rPr>
          <w:rFonts w:cs="ITCFranklinGothicStd-Book"/>
          <w:sz w:val="24"/>
          <w:szCs w:val="24"/>
        </w:rPr>
        <w:t xml:space="preserve">email addresses for </w:t>
      </w:r>
      <w:r w:rsidR="00D4593B">
        <w:rPr>
          <w:rFonts w:cs="ITCFranklinGothicStd-Book"/>
          <w:sz w:val="24"/>
          <w:szCs w:val="24"/>
        </w:rPr>
        <w:t xml:space="preserve">all </w:t>
      </w:r>
      <w:r w:rsidR="00992101">
        <w:rPr>
          <w:rFonts w:cs="ITCFranklinGothicStd-Book"/>
          <w:sz w:val="24"/>
          <w:szCs w:val="24"/>
        </w:rPr>
        <w:t xml:space="preserve">public health department </w:t>
      </w:r>
      <w:r>
        <w:rPr>
          <w:rFonts w:cs="ITCFranklinGothicStd-Book"/>
          <w:sz w:val="24"/>
          <w:szCs w:val="24"/>
        </w:rPr>
        <w:t xml:space="preserve">EH </w:t>
      </w:r>
      <w:r w:rsidR="00D4593B">
        <w:rPr>
          <w:rFonts w:cs="ITCFranklinGothicStd-Book"/>
          <w:sz w:val="24"/>
          <w:szCs w:val="24"/>
        </w:rPr>
        <w:t>environmental health professionals</w:t>
      </w:r>
      <w:r w:rsidR="004E2DFB">
        <w:rPr>
          <w:rFonts w:cs="ITCFranklinGothicStd-Book"/>
          <w:sz w:val="24"/>
          <w:szCs w:val="24"/>
        </w:rPr>
        <w:t>.</w:t>
      </w:r>
      <w:r w:rsidR="004B7C55">
        <w:rPr>
          <w:rFonts w:cs="ITCFranklinGothicStd-Book"/>
          <w:sz w:val="24"/>
          <w:szCs w:val="24"/>
        </w:rPr>
        <w:t xml:space="preserve">  </w:t>
      </w:r>
    </w:p>
    <w:p w14:paraId="30B7A87D" w14:textId="63292E84" w:rsidR="00DD1867" w:rsidRDefault="00DD1867" w:rsidP="001C121D">
      <w:pPr>
        <w:pStyle w:val="ListParagraph"/>
        <w:numPr>
          <w:ilvl w:val="0"/>
          <w:numId w:val="14"/>
        </w:numPr>
        <w:autoSpaceDE w:val="0"/>
        <w:autoSpaceDN w:val="0"/>
        <w:adjustRightInd w:val="0"/>
        <w:spacing w:line="240" w:lineRule="auto"/>
        <w:contextualSpacing w:val="0"/>
        <w:rPr>
          <w:rFonts w:cs="ITCFranklinGothicStd-Book"/>
          <w:sz w:val="24"/>
          <w:szCs w:val="24"/>
        </w:rPr>
      </w:pPr>
      <w:r>
        <w:rPr>
          <w:rFonts w:cs="ITCFranklinGothicStd-Book"/>
          <w:sz w:val="24"/>
          <w:szCs w:val="24"/>
        </w:rPr>
        <w:t xml:space="preserve">Pre-survey email (Attachment </w:t>
      </w:r>
      <w:r w:rsidR="00725A6C">
        <w:rPr>
          <w:rFonts w:cs="ITCFranklinGothicStd-Book"/>
          <w:sz w:val="24"/>
          <w:szCs w:val="24"/>
        </w:rPr>
        <w:t>4</w:t>
      </w:r>
      <w:r>
        <w:rPr>
          <w:rFonts w:cs="ITCFranklinGothicStd-Book"/>
          <w:sz w:val="24"/>
          <w:szCs w:val="24"/>
        </w:rPr>
        <w:t xml:space="preserve">a) </w:t>
      </w:r>
      <w:r w:rsidR="004E2DFB">
        <w:rPr>
          <w:rFonts w:cs="ITCFranklinGothicStd-Book"/>
          <w:sz w:val="24"/>
          <w:szCs w:val="24"/>
        </w:rPr>
        <w:t>sent</w:t>
      </w:r>
      <w:r>
        <w:rPr>
          <w:rFonts w:cs="ITCFranklinGothicStd-Book"/>
          <w:sz w:val="24"/>
          <w:szCs w:val="24"/>
        </w:rPr>
        <w:t xml:space="preserve"> to all public health department </w:t>
      </w:r>
      <w:r w:rsidR="008E7EF6">
        <w:rPr>
          <w:rFonts w:cs="ITCFranklinGothicStd-Book"/>
          <w:sz w:val="24"/>
          <w:szCs w:val="24"/>
        </w:rPr>
        <w:t>EH</w:t>
      </w:r>
      <w:r w:rsidR="00275845">
        <w:rPr>
          <w:rFonts w:cs="ITCFranklinGothicStd-Book"/>
          <w:sz w:val="24"/>
          <w:szCs w:val="24"/>
        </w:rPr>
        <w:t xml:space="preserve"> professionals, several days prior to sending the survey link, to inform</w:t>
      </w:r>
      <w:r>
        <w:rPr>
          <w:rFonts w:cs="ITCFranklinGothicStd-Book"/>
          <w:sz w:val="24"/>
          <w:szCs w:val="24"/>
        </w:rPr>
        <w:t xml:space="preserve"> them of the</w:t>
      </w:r>
      <w:r w:rsidR="00275845">
        <w:rPr>
          <w:rFonts w:cs="ITCFranklinGothicStd-Book"/>
          <w:sz w:val="24"/>
          <w:szCs w:val="24"/>
        </w:rPr>
        <w:t xml:space="preserve"> upcoming survey and encourage</w:t>
      </w:r>
      <w:r>
        <w:rPr>
          <w:rFonts w:cs="ITCFranklinGothicStd-Book"/>
          <w:sz w:val="24"/>
          <w:szCs w:val="24"/>
        </w:rPr>
        <w:t xml:space="preserve"> their participation.</w:t>
      </w:r>
    </w:p>
    <w:p w14:paraId="3980A447" w14:textId="670DC0AD" w:rsidR="00DF1EB2" w:rsidRDefault="00DF1EB2" w:rsidP="001C121D">
      <w:pPr>
        <w:pStyle w:val="ListParagraph"/>
        <w:numPr>
          <w:ilvl w:val="0"/>
          <w:numId w:val="14"/>
        </w:numPr>
        <w:autoSpaceDE w:val="0"/>
        <w:autoSpaceDN w:val="0"/>
        <w:adjustRightInd w:val="0"/>
        <w:spacing w:line="240" w:lineRule="auto"/>
        <w:contextualSpacing w:val="0"/>
        <w:rPr>
          <w:rFonts w:cs="ITCFranklinGothicStd-Book"/>
          <w:sz w:val="24"/>
          <w:szCs w:val="24"/>
        </w:rPr>
      </w:pPr>
      <w:r>
        <w:rPr>
          <w:rFonts w:cs="ITCFranklinGothicStd-Book"/>
          <w:sz w:val="24"/>
          <w:szCs w:val="24"/>
        </w:rPr>
        <w:t xml:space="preserve">Invitation letter </w:t>
      </w:r>
      <w:r w:rsidR="00DD1867">
        <w:rPr>
          <w:rFonts w:cs="ITCFranklinGothicStd-Book"/>
          <w:sz w:val="24"/>
          <w:szCs w:val="24"/>
        </w:rPr>
        <w:t xml:space="preserve">(Attachment </w:t>
      </w:r>
      <w:r w:rsidR="00725A6C">
        <w:rPr>
          <w:rFonts w:cs="ITCFranklinGothicStd-Book"/>
          <w:sz w:val="24"/>
          <w:szCs w:val="24"/>
        </w:rPr>
        <w:t>4</w:t>
      </w:r>
      <w:r w:rsidR="00DD1867">
        <w:rPr>
          <w:rFonts w:cs="ITCFranklinGothicStd-Book"/>
          <w:sz w:val="24"/>
          <w:szCs w:val="24"/>
        </w:rPr>
        <w:t>b</w:t>
      </w:r>
      <w:r w:rsidR="00837201">
        <w:rPr>
          <w:rFonts w:cs="ITCFranklinGothicStd-Book"/>
          <w:sz w:val="24"/>
          <w:szCs w:val="24"/>
        </w:rPr>
        <w:t xml:space="preserve">) emailed to all </w:t>
      </w:r>
      <w:r>
        <w:rPr>
          <w:rFonts w:cs="ITCFranklinGothicStd-Book"/>
          <w:sz w:val="24"/>
          <w:szCs w:val="24"/>
        </w:rPr>
        <w:t xml:space="preserve">public health department </w:t>
      </w:r>
      <w:r w:rsidR="008E7EF6">
        <w:rPr>
          <w:rFonts w:cs="ITCFranklinGothicStd-Book"/>
          <w:sz w:val="24"/>
          <w:szCs w:val="24"/>
        </w:rPr>
        <w:t>EH</w:t>
      </w:r>
      <w:r>
        <w:rPr>
          <w:rFonts w:cs="ITCFranklinGothicStd-Book"/>
          <w:sz w:val="24"/>
          <w:szCs w:val="24"/>
        </w:rPr>
        <w:t xml:space="preserve"> professionals inviting them to participate and directing them to the website where the survey is located.</w:t>
      </w:r>
    </w:p>
    <w:p w14:paraId="2FB66D01" w14:textId="3FF55F18" w:rsidR="00EA6E06" w:rsidRDefault="00DF1EB2" w:rsidP="001C121D">
      <w:pPr>
        <w:pStyle w:val="ListParagraph"/>
        <w:numPr>
          <w:ilvl w:val="0"/>
          <w:numId w:val="14"/>
        </w:numPr>
        <w:autoSpaceDE w:val="0"/>
        <w:autoSpaceDN w:val="0"/>
        <w:adjustRightInd w:val="0"/>
        <w:spacing w:line="240" w:lineRule="auto"/>
        <w:contextualSpacing w:val="0"/>
        <w:rPr>
          <w:rFonts w:cs="ITCFranklinGothicStd-Book"/>
          <w:sz w:val="24"/>
          <w:szCs w:val="24"/>
        </w:rPr>
      </w:pPr>
      <w:r>
        <w:rPr>
          <w:rFonts w:cs="ITCFranklinGothicStd-Book"/>
          <w:sz w:val="24"/>
          <w:szCs w:val="24"/>
        </w:rPr>
        <w:t>Data collection by web</w:t>
      </w:r>
      <w:r w:rsidR="00275845">
        <w:rPr>
          <w:rFonts w:cs="ITCFranklinGothicStd-Book"/>
          <w:sz w:val="24"/>
          <w:szCs w:val="24"/>
        </w:rPr>
        <w:t>-based</w:t>
      </w:r>
      <w:r>
        <w:rPr>
          <w:rFonts w:cs="ITCFranklinGothicStd-Book"/>
          <w:sz w:val="24"/>
          <w:szCs w:val="24"/>
        </w:rPr>
        <w:t xml:space="preserve"> questionnaire</w:t>
      </w:r>
      <w:r w:rsidR="00DD1867">
        <w:rPr>
          <w:rFonts w:cs="ITCFranklinGothicStd-Book"/>
          <w:sz w:val="24"/>
          <w:szCs w:val="24"/>
        </w:rPr>
        <w:t xml:space="preserve"> using </w:t>
      </w:r>
      <w:r w:rsidR="00B278A0">
        <w:rPr>
          <w:rFonts w:cs="ITCFranklinGothicStd-Book"/>
          <w:sz w:val="24"/>
          <w:szCs w:val="24"/>
        </w:rPr>
        <w:t>Sawtooth</w:t>
      </w:r>
      <w:r w:rsidR="00275845">
        <w:rPr>
          <w:rFonts w:cs="ITCFranklinGothicStd-Book"/>
          <w:sz w:val="24"/>
          <w:szCs w:val="24"/>
        </w:rPr>
        <w:t xml:space="preserve"> software</w:t>
      </w:r>
      <w:r w:rsidR="003D537C">
        <w:rPr>
          <w:rFonts w:cs="ITCFranklinGothicStd-Book"/>
          <w:sz w:val="24"/>
          <w:szCs w:val="24"/>
        </w:rPr>
        <w:t>.</w:t>
      </w:r>
    </w:p>
    <w:p w14:paraId="41FB586B" w14:textId="0E2391F6" w:rsidR="00DF1EB2" w:rsidRDefault="00837201" w:rsidP="001C121D">
      <w:pPr>
        <w:pStyle w:val="ListParagraph"/>
        <w:numPr>
          <w:ilvl w:val="0"/>
          <w:numId w:val="14"/>
        </w:numPr>
        <w:autoSpaceDE w:val="0"/>
        <w:autoSpaceDN w:val="0"/>
        <w:adjustRightInd w:val="0"/>
        <w:spacing w:line="240" w:lineRule="auto"/>
        <w:contextualSpacing w:val="0"/>
        <w:rPr>
          <w:rFonts w:cs="ITCFranklinGothicStd-Book"/>
          <w:sz w:val="24"/>
          <w:szCs w:val="24"/>
        </w:rPr>
      </w:pPr>
      <w:r>
        <w:rPr>
          <w:rFonts w:cs="ITCFranklinGothicStd-Book"/>
          <w:sz w:val="24"/>
          <w:szCs w:val="24"/>
        </w:rPr>
        <w:t xml:space="preserve">Follow-up email sent to all </w:t>
      </w:r>
      <w:r w:rsidR="00DF1EB2">
        <w:rPr>
          <w:rFonts w:cs="ITCFranklinGothicStd-Book"/>
          <w:sz w:val="24"/>
          <w:szCs w:val="24"/>
        </w:rPr>
        <w:t xml:space="preserve">public health department </w:t>
      </w:r>
      <w:r w:rsidR="00E645EF">
        <w:rPr>
          <w:rFonts w:cs="ITCFranklinGothicStd-Book"/>
          <w:sz w:val="24"/>
          <w:szCs w:val="24"/>
        </w:rPr>
        <w:t>EH</w:t>
      </w:r>
      <w:r w:rsidR="00DF1EB2">
        <w:rPr>
          <w:rFonts w:cs="ITCFranklinGothicStd-Book"/>
          <w:sz w:val="24"/>
          <w:szCs w:val="24"/>
        </w:rPr>
        <w:t xml:space="preserve"> professionals one week after invitation email (Attachment </w:t>
      </w:r>
      <w:r w:rsidR="00725A6C">
        <w:rPr>
          <w:rFonts w:cs="ITCFranklinGothicStd-Book"/>
          <w:sz w:val="24"/>
          <w:szCs w:val="24"/>
        </w:rPr>
        <w:t>4</w:t>
      </w:r>
      <w:r w:rsidR="00DF1EB2">
        <w:rPr>
          <w:rFonts w:cs="ITCFranklinGothicStd-Book"/>
          <w:sz w:val="24"/>
          <w:szCs w:val="24"/>
        </w:rPr>
        <w:t>c).</w:t>
      </w:r>
    </w:p>
    <w:p w14:paraId="16B79A44" w14:textId="62ECF49D" w:rsidR="00DF1EB2" w:rsidRDefault="003D537C" w:rsidP="001C121D">
      <w:pPr>
        <w:pStyle w:val="ListParagraph"/>
        <w:numPr>
          <w:ilvl w:val="0"/>
          <w:numId w:val="14"/>
        </w:numPr>
        <w:autoSpaceDE w:val="0"/>
        <w:autoSpaceDN w:val="0"/>
        <w:adjustRightInd w:val="0"/>
        <w:spacing w:line="240" w:lineRule="auto"/>
        <w:contextualSpacing w:val="0"/>
        <w:rPr>
          <w:rFonts w:cs="ITCFranklinGothicStd-Book"/>
          <w:sz w:val="24"/>
          <w:szCs w:val="24"/>
        </w:rPr>
      </w:pPr>
      <w:r>
        <w:rPr>
          <w:rFonts w:cs="ITCFranklinGothicStd-Book"/>
          <w:sz w:val="24"/>
          <w:szCs w:val="24"/>
        </w:rPr>
        <w:t>Follow-up ema</w:t>
      </w:r>
      <w:r w:rsidR="001F096D">
        <w:rPr>
          <w:rFonts w:cs="ITCFranklinGothicStd-Book"/>
          <w:sz w:val="24"/>
          <w:szCs w:val="24"/>
        </w:rPr>
        <w:t>il sent to all non-respondents several</w:t>
      </w:r>
      <w:r>
        <w:rPr>
          <w:rFonts w:cs="ITCFranklinGothicStd-Book"/>
          <w:sz w:val="24"/>
          <w:szCs w:val="24"/>
        </w:rPr>
        <w:t xml:space="preserve"> weeks after invitation email </w:t>
      </w:r>
      <w:r w:rsidR="00945D75">
        <w:rPr>
          <w:rFonts w:cs="ITCFranklinGothicStd-Book"/>
          <w:sz w:val="24"/>
          <w:szCs w:val="24"/>
        </w:rPr>
        <w:t xml:space="preserve">(Attachment </w:t>
      </w:r>
      <w:r w:rsidR="00725A6C">
        <w:rPr>
          <w:rFonts w:cs="ITCFranklinGothicStd-Book"/>
          <w:sz w:val="24"/>
          <w:szCs w:val="24"/>
        </w:rPr>
        <w:t>4</w:t>
      </w:r>
      <w:r>
        <w:rPr>
          <w:rFonts w:cs="ITCFranklinGothicStd-Book"/>
          <w:sz w:val="24"/>
          <w:szCs w:val="24"/>
        </w:rPr>
        <w:t>d).</w:t>
      </w:r>
    </w:p>
    <w:p w14:paraId="5FEE6E8F" w14:textId="072527EB" w:rsidR="003D537C" w:rsidRPr="001C121D" w:rsidRDefault="003D537C" w:rsidP="001C121D">
      <w:pPr>
        <w:pStyle w:val="ListParagraph"/>
        <w:numPr>
          <w:ilvl w:val="0"/>
          <w:numId w:val="14"/>
        </w:numPr>
        <w:autoSpaceDE w:val="0"/>
        <w:autoSpaceDN w:val="0"/>
        <w:adjustRightInd w:val="0"/>
        <w:spacing w:line="240" w:lineRule="auto"/>
        <w:contextualSpacing w:val="0"/>
        <w:rPr>
          <w:rFonts w:cs="ITCFranklinGothicStd-Book"/>
          <w:sz w:val="24"/>
          <w:szCs w:val="24"/>
        </w:rPr>
      </w:pPr>
      <w:r>
        <w:rPr>
          <w:rFonts w:cs="ITCFranklinGothicStd-Book"/>
          <w:sz w:val="24"/>
          <w:szCs w:val="24"/>
        </w:rPr>
        <w:lastRenderedPageBreak/>
        <w:t xml:space="preserve">Follow-up email sent to all non-respondents </w:t>
      </w:r>
      <w:r w:rsidR="001F096D">
        <w:rPr>
          <w:rFonts w:cs="ITCFranklinGothicStd-Book"/>
          <w:sz w:val="24"/>
          <w:szCs w:val="24"/>
        </w:rPr>
        <w:t>one month</w:t>
      </w:r>
      <w:r>
        <w:rPr>
          <w:rFonts w:cs="ITCFranklinGothicStd-Book"/>
          <w:sz w:val="24"/>
          <w:szCs w:val="24"/>
        </w:rPr>
        <w:t xml:space="preserve"> after </w:t>
      </w:r>
      <w:r w:rsidR="001F096D">
        <w:rPr>
          <w:rFonts w:cs="ITCFranklinGothicStd-Book"/>
          <w:sz w:val="24"/>
          <w:szCs w:val="24"/>
        </w:rPr>
        <w:t xml:space="preserve">the </w:t>
      </w:r>
      <w:r>
        <w:rPr>
          <w:rFonts w:cs="ITCFranklinGothicStd-Book"/>
          <w:sz w:val="24"/>
          <w:szCs w:val="24"/>
        </w:rPr>
        <w:t>invitation email</w:t>
      </w:r>
      <w:r w:rsidR="00945D75">
        <w:rPr>
          <w:rFonts w:cs="ITCFranklinGothicStd-Book"/>
          <w:sz w:val="24"/>
          <w:szCs w:val="24"/>
        </w:rPr>
        <w:t xml:space="preserve"> (Attachment </w:t>
      </w:r>
      <w:r w:rsidR="00725A6C">
        <w:rPr>
          <w:rFonts w:cs="ITCFranklinGothicStd-Book"/>
          <w:sz w:val="24"/>
          <w:szCs w:val="24"/>
        </w:rPr>
        <w:t>4</w:t>
      </w:r>
      <w:r>
        <w:rPr>
          <w:rFonts w:cs="ITCFranklinGothicStd-Book"/>
          <w:sz w:val="24"/>
          <w:szCs w:val="24"/>
        </w:rPr>
        <w:t>e).</w:t>
      </w:r>
    </w:p>
    <w:p w14:paraId="72F23F95" w14:textId="0C8D672B" w:rsidR="00CE5924" w:rsidRDefault="00687E6D" w:rsidP="00CE5924">
      <w:pPr>
        <w:autoSpaceDE w:val="0"/>
        <w:autoSpaceDN w:val="0"/>
        <w:adjustRightInd w:val="0"/>
        <w:spacing w:line="240" w:lineRule="auto"/>
        <w:rPr>
          <w:rFonts w:cs="ITCFranklinGothicStd-Book"/>
          <w:sz w:val="24"/>
          <w:szCs w:val="24"/>
        </w:rPr>
      </w:pPr>
      <w:r w:rsidRPr="00687E6D">
        <w:rPr>
          <w:rFonts w:cs="ITCFranklinGothicStd-Book"/>
          <w:sz w:val="24"/>
          <w:szCs w:val="24"/>
        </w:rPr>
        <w:t>EH workforce members (respondents) will be identified and enumerated by identifying a point of contact in each state and requesting a roster of public health department EH professionals</w:t>
      </w:r>
      <w:r w:rsidR="00725A6C">
        <w:rPr>
          <w:rFonts w:cs="ITCFranklinGothicStd-Book"/>
          <w:sz w:val="24"/>
          <w:szCs w:val="24"/>
        </w:rPr>
        <w:t xml:space="preserve"> (Attachment 3</w:t>
      </w:r>
      <w:r w:rsidR="004B7C55">
        <w:rPr>
          <w:rFonts w:cs="ITCFranklinGothicStd-Book"/>
          <w:sz w:val="24"/>
          <w:szCs w:val="24"/>
        </w:rPr>
        <w:t>)</w:t>
      </w:r>
      <w:r w:rsidRPr="00687E6D">
        <w:rPr>
          <w:rFonts w:cs="ITCFranklinGothicStd-Book"/>
          <w:sz w:val="24"/>
          <w:szCs w:val="24"/>
        </w:rPr>
        <w:t xml:space="preserve">. A list of respondents and their business email addresses will be generated and used for recruitment and survey administration. Any contact information collected will be related to their role in the organization. </w:t>
      </w:r>
      <w:r>
        <w:rPr>
          <w:rFonts w:cs="ITCFranklinGothicStd-Book"/>
          <w:sz w:val="24"/>
          <w:szCs w:val="24"/>
        </w:rPr>
        <w:t>The Centers for Disease Control and Prevention, National Environmental Health Association (funded by a contract)</w:t>
      </w:r>
      <w:r w:rsidRPr="00687E6D">
        <w:rPr>
          <w:rFonts w:cs="ITCFranklinGothicStd-Book"/>
          <w:sz w:val="24"/>
          <w:szCs w:val="24"/>
        </w:rPr>
        <w:t>, and Baylor University</w:t>
      </w:r>
      <w:r>
        <w:rPr>
          <w:rFonts w:cs="ITCFranklinGothicStd-Book"/>
          <w:sz w:val="24"/>
          <w:szCs w:val="24"/>
        </w:rPr>
        <w:t>, the academic consultant (funded by an intergovernmental personnel agreement)</w:t>
      </w:r>
      <w:r w:rsidR="0063597C">
        <w:rPr>
          <w:rFonts w:cs="ITCFranklinGothicStd-Book"/>
          <w:sz w:val="24"/>
          <w:szCs w:val="24"/>
        </w:rPr>
        <w:t>,</w:t>
      </w:r>
      <w:r w:rsidRPr="00687E6D">
        <w:rPr>
          <w:rFonts w:cs="ITCFranklinGothicStd-Book"/>
          <w:sz w:val="24"/>
          <w:szCs w:val="24"/>
        </w:rPr>
        <w:t xml:space="preserve"> will maintain the list of respondent email addresses, along with any other contact information, that will remain </w:t>
      </w:r>
      <w:r w:rsidR="00AE393C">
        <w:rPr>
          <w:rFonts w:cs="ITCFranklinGothicStd-Book"/>
          <w:sz w:val="24"/>
          <w:szCs w:val="24"/>
        </w:rPr>
        <w:t>secure</w:t>
      </w:r>
      <w:r w:rsidR="00AE393C" w:rsidRPr="00687E6D">
        <w:rPr>
          <w:rFonts w:cs="ITCFranklinGothicStd-Book"/>
          <w:sz w:val="24"/>
          <w:szCs w:val="24"/>
        </w:rPr>
        <w:t xml:space="preserve"> </w:t>
      </w:r>
      <w:r w:rsidRPr="00687E6D">
        <w:rPr>
          <w:rFonts w:cs="ITCFranklinGothicStd-Book"/>
          <w:sz w:val="24"/>
          <w:szCs w:val="24"/>
        </w:rPr>
        <w:t xml:space="preserve">and stored on secure servers with controlled access. </w:t>
      </w:r>
    </w:p>
    <w:p w14:paraId="6FA50169" w14:textId="2B3AF5B0" w:rsidR="00CE5924" w:rsidRPr="00CE5924" w:rsidRDefault="00837201" w:rsidP="00CE5924">
      <w:pPr>
        <w:autoSpaceDE w:val="0"/>
        <w:autoSpaceDN w:val="0"/>
        <w:adjustRightInd w:val="0"/>
        <w:spacing w:line="240" w:lineRule="auto"/>
        <w:rPr>
          <w:rFonts w:cs="ITCFranklinGothicStd-Book"/>
          <w:sz w:val="24"/>
          <w:szCs w:val="24"/>
        </w:rPr>
      </w:pPr>
      <w:r>
        <w:rPr>
          <w:rFonts w:cs="ITCFranklinGothicStd-Book"/>
          <w:sz w:val="24"/>
          <w:szCs w:val="24"/>
        </w:rPr>
        <w:t xml:space="preserve">The </w:t>
      </w:r>
      <w:r w:rsidR="00CE5924" w:rsidRPr="00CE5924">
        <w:rPr>
          <w:rFonts w:cs="ITCFranklinGothicStd-Book"/>
          <w:sz w:val="24"/>
          <w:szCs w:val="24"/>
        </w:rPr>
        <w:t xml:space="preserve">Understanding the Needs, Challenges, Opportunities, Vision and Emerging </w:t>
      </w:r>
      <w:r w:rsidR="002F2EE1">
        <w:rPr>
          <w:rFonts w:cs="ITCFranklinGothicStd-Book"/>
          <w:sz w:val="24"/>
          <w:szCs w:val="24"/>
        </w:rPr>
        <w:t>Roles in Environmental Health</w:t>
      </w:r>
      <w:r>
        <w:rPr>
          <w:rFonts w:cs="ITCFranklinGothicStd-Book"/>
          <w:sz w:val="24"/>
          <w:szCs w:val="24"/>
        </w:rPr>
        <w:t xml:space="preserve"> (UNCOVER EH</w:t>
      </w:r>
      <w:r w:rsidR="002F2EE1">
        <w:rPr>
          <w:rFonts w:cs="ITCFranklinGothicStd-Book"/>
          <w:sz w:val="24"/>
          <w:szCs w:val="24"/>
        </w:rPr>
        <w:t>) s</w:t>
      </w:r>
      <w:r w:rsidR="00CE5924" w:rsidRPr="00CE5924">
        <w:rPr>
          <w:rFonts w:cs="ITCFranklinGothicStd-Book"/>
          <w:sz w:val="24"/>
          <w:szCs w:val="24"/>
        </w:rPr>
        <w:t xml:space="preserve">urvey (Attachment </w:t>
      </w:r>
      <w:r w:rsidR="00725A6C">
        <w:rPr>
          <w:rFonts w:cs="ITCFranklinGothicStd-Book"/>
          <w:sz w:val="24"/>
          <w:szCs w:val="24"/>
        </w:rPr>
        <w:t>5</w:t>
      </w:r>
      <w:r w:rsidR="00CE5924" w:rsidRPr="00CE5924">
        <w:rPr>
          <w:rFonts w:cs="ITCFranklinGothicStd-Book"/>
          <w:sz w:val="24"/>
          <w:szCs w:val="24"/>
        </w:rPr>
        <w:t xml:space="preserve">a and </w:t>
      </w:r>
      <w:r w:rsidR="00725A6C">
        <w:rPr>
          <w:rFonts w:cs="ITCFranklinGothicStd-Book"/>
          <w:sz w:val="24"/>
          <w:szCs w:val="24"/>
        </w:rPr>
        <w:t>5</w:t>
      </w:r>
      <w:r w:rsidR="00CE5924" w:rsidRPr="00CE5924">
        <w:rPr>
          <w:rFonts w:cs="ITCFranklinGothicStd-Book"/>
          <w:sz w:val="24"/>
          <w:szCs w:val="24"/>
        </w:rPr>
        <w:t xml:space="preserve">b) will collect standardized information from public health department EH professionals on their demographics, education and training, experience, areas of practice, job satisfaction, and current and future needs to address emerging environmental issues. The survey will be administered by a trained academic consultant at Baylor University using Sawtooth survey software to develop and distribute the electronic survey to the respondent universe. </w:t>
      </w:r>
    </w:p>
    <w:p w14:paraId="2833FD07" w14:textId="77777777" w:rsidR="00CE5924" w:rsidRPr="00CE5924" w:rsidRDefault="00CE5924" w:rsidP="00CE5924">
      <w:pPr>
        <w:autoSpaceDE w:val="0"/>
        <w:autoSpaceDN w:val="0"/>
        <w:adjustRightInd w:val="0"/>
        <w:spacing w:line="240" w:lineRule="auto"/>
        <w:rPr>
          <w:rFonts w:cs="ITCFranklinGothicStd-Book"/>
          <w:sz w:val="24"/>
          <w:szCs w:val="24"/>
        </w:rPr>
      </w:pPr>
      <w:r w:rsidRPr="00CE5924">
        <w:rPr>
          <w:rFonts w:cs="ITCFranklinGothicStd-Book"/>
          <w:sz w:val="24"/>
          <w:szCs w:val="24"/>
        </w:rPr>
        <w:t>The academic consultant, funded through an intergovernmental personnel agreement, will download the data and prepare it for analysis.  In the dataset, survey respondents will be coded for anonymity. Any potential personal identifiers will be removed from the dataset and the de-identified dataset will be provided to the CDC.  CDC will maintain the dataset on secure servers with controlled access at all times.</w:t>
      </w:r>
    </w:p>
    <w:p w14:paraId="7C5431E7" w14:textId="7C3E2455" w:rsidR="00B45002" w:rsidRPr="00E707C0" w:rsidRDefault="00D33AE3" w:rsidP="008D0F27">
      <w:pPr>
        <w:pStyle w:val="Heading1"/>
        <w:pBdr>
          <w:bottom w:val="none" w:sz="0" w:space="0" w:color="auto"/>
        </w:pBdr>
        <w:rPr>
          <w:rFonts w:ascii="Cambria" w:hAnsi="Cambria"/>
          <w:color w:val="auto"/>
        </w:rPr>
      </w:pPr>
      <w:bookmarkStart w:id="5" w:name="_Toc460313885"/>
      <w:r w:rsidRPr="00E707C0">
        <w:rPr>
          <w:rFonts w:ascii="Cambria" w:hAnsi="Cambria"/>
          <w:color w:val="auto"/>
        </w:rPr>
        <w:t>B.</w:t>
      </w:r>
      <w:r w:rsidR="00B45002" w:rsidRPr="00E707C0">
        <w:rPr>
          <w:rFonts w:ascii="Cambria" w:hAnsi="Cambria"/>
          <w:color w:val="auto"/>
        </w:rPr>
        <w:t>3.</w:t>
      </w:r>
      <w:r w:rsidR="00B45002" w:rsidRPr="00E707C0">
        <w:rPr>
          <w:rFonts w:ascii="Cambria" w:hAnsi="Cambria"/>
          <w:color w:val="auto"/>
        </w:rPr>
        <w:tab/>
        <w:t>Methods to Maximize Response Rates and Deal with No</w:t>
      </w:r>
      <w:r w:rsidR="00E2405B" w:rsidRPr="00E707C0">
        <w:rPr>
          <w:rFonts w:ascii="Cambria" w:hAnsi="Cambria"/>
          <w:color w:val="auto"/>
        </w:rPr>
        <w:t xml:space="preserve"> R</w:t>
      </w:r>
      <w:r w:rsidR="00B45002" w:rsidRPr="00E707C0">
        <w:rPr>
          <w:rFonts w:ascii="Cambria" w:hAnsi="Cambria"/>
          <w:color w:val="auto"/>
        </w:rPr>
        <w:t>esponse</w:t>
      </w:r>
      <w:bookmarkEnd w:id="5"/>
    </w:p>
    <w:p w14:paraId="35480865" w14:textId="77777777" w:rsidR="00D0744A" w:rsidRPr="00E707C0" w:rsidRDefault="00D0744A" w:rsidP="00E632AF">
      <w:pPr>
        <w:spacing w:line="240" w:lineRule="auto"/>
        <w:rPr>
          <w:sz w:val="24"/>
          <w:szCs w:val="24"/>
        </w:rPr>
      </w:pPr>
    </w:p>
    <w:p w14:paraId="686A536F" w14:textId="6E2403EE" w:rsidR="00383868" w:rsidRPr="00DB14E2" w:rsidRDefault="00774897" w:rsidP="001C121D">
      <w:pPr>
        <w:autoSpaceDE w:val="0"/>
        <w:autoSpaceDN w:val="0"/>
        <w:adjustRightInd w:val="0"/>
        <w:spacing w:line="240" w:lineRule="auto"/>
        <w:rPr>
          <w:rFonts w:cs="ITCFranklinGothicStd-Book"/>
          <w:sz w:val="24"/>
          <w:szCs w:val="24"/>
        </w:rPr>
      </w:pPr>
      <w:r w:rsidRPr="00DB14E2">
        <w:rPr>
          <w:rFonts w:cs="ITCFranklinGothicStd-Book"/>
          <w:sz w:val="24"/>
          <w:szCs w:val="24"/>
        </w:rPr>
        <w:t>To maximize response rates, Dillman</w:t>
      </w:r>
      <w:r w:rsidR="00DA5FA0" w:rsidRPr="00DB14E2">
        <w:rPr>
          <w:rFonts w:cs="ITCFranklinGothicStd-Book"/>
          <w:sz w:val="24"/>
          <w:szCs w:val="24"/>
        </w:rPr>
        <w:t>’s</w:t>
      </w:r>
      <w:r w:rsidRPr="00DB14E2">
        <w:rPr>
          <w:rFonts w:cs="ITCFranklinGothicStd-Book"/>
          <w:sz w:val="24"/>
          <w:szCs w:val="24"/>
        </w:rPr>
        <w:t xml:space="preserve"> recommendation for 5 points of contact</w:t>
      </w:r>
      <w:r w:rsidR="00FB5207">
        <w:rPr>
          <w:rFonts w:cs="ITCFranklinGothicStd-Book"/>
          <w:sz w:val="24"/>
          <w:szCs w:val="24"/>
        </w:rPr>
        <w:t xml:space="preserve"> will be followed</w:t>
      </w:r>
      <w:r w:rsidRPr="00DB14E2">
        <w:rPr>
          <w:rFonts w:cs="ITCFranklinGothicStd-Book"/>
          <w:sz w:val="24"/>
          <w:szCs w:val="24"/>
        </w:rPr>
        <w:t>.</w:t>
      </w:r>
      <w:r w:rsidR="0091050C">
        <w:rPr>
          <w:rFonts w:cs="ITCFranklinGothicStd-Book"/>
          <w:sz w:val="24"/>
          <w:szCs w:val="24"/>
          <w:vertAlign w:val="superscript"/>
        </w:rPr>
        <w:t>3</w:t>
      </w:r>
      <w:r w:rsidRPr="00DB14E2">
        <w:rPr>
          <w:rFonts w:cs="ITCFranklinGothicStd-Book"/>
          <w:sz w:val="24"/>
          <w:szCs w:val="24"/>
        </w:rPr>
        <w:t xml:space="preserve"> This</w:t>
      </w:r>
      <w:r w:rsidR="00DA5FA0" w:rsidRPr="00DB14E2">
        <w:rPr>
          <w:rFonts w:cs="ITCFranklinGothicStd-Book"/>
          <w:sz w:val="24"/>
          <w:szCs w:val="24"/>
        </w:rPr>
        <w:t xml:space="preserve"> </w:t>
      </w:r>
      <w:r w:rsidR="00383868" w:rsidRPr="00DB14E2">
        <w:rPr>
          <w:rFonts w:cs="ITCFranklinGothicStd-Book"/>
          <w:sz w:val="24"/>
          <w:szCs w:val="24"/>
        </w:rPr>
        <w:t>include</w:t>
      </w:r>
      <w:r w:rsidR="00005CE5">
        <w:rPr>
          <w:rFonts w:cs="ITCFranklinGothicStd-Book"/>
          <w:sz w:val="24"/>
          <w:szCs w:val="24"/>
        </w:rPr>
        <w:t>s</w:t>
      </w:r>
      <w:r w:rsidR="00383868" w:rsidRPr="00DB14E2">
        <w:rPr>
          <w:rFonts w:cs="ITCFranklinGothicStd-Book"/>
          <w:sz w:val="24"/>
          <w:szCs w:val="24"/>
        </w:rPr>
        <w:t>:</w:t>
      </w:r>
    </w:p>
    <w:p w14:paraId="46A92BC4" w14:textId="5F22C64B" w:rsidR="00383868" w:rsidRPr="00DB14E2" w:rsidRDefault="009D6A2C" w:rsidP="00383868">
      <w:pPr>
        <w:pStyle w:val="ListParagraph"/>
        <w:numPr>
          <w:ilvl w:val="0"/>
          <w:numId w:val="18"/>
        </w:numPr>
        <w:autoSpaceDE w:val="0"/>
        <w:autoSpaceDN w:val="0"/>
        <w:adjustRightInd w:val="0"/>
        <w:spacing w:line="240" w:lineRule="auto"/>
        <w:rPr>
          <w:rFonts w:cs="ITCFranklinGothicStd-Book"/>
          <w:sz w:val="24"/>
          <w:szCs w:val="24"/>
        </w:rPr>
      </w:pPr>
      <w:r>
        <w:rPr>
          <w:rFonts w:cs="ITCFranklinGothicStd-Book"/>
          <w:sz w:val="24"/>
          <w:szCs w:val="24"/>
        </w:rPr>
        <w:t xml:space="preserve">an </w:t>
      </w:r>
      <w:r w:rsidR="00383868" w:rsidRPr="00DB14E2">
        <w:rPr>
          <w:rFonts w:cs="ITCFranklinGothicStd-Book"/>
          <w:sz w:val="24"/>
          <w:szCs w:val="24"/>
        </w:rPr>
        <w:t xml:space="preserve">introductory </w:t>
      </w:r>
      <w:r w:rsidR="00DA5FA0" w:rsidRPr="00DB14E2">
        <w:rPr>
          <w:rFonts w:cs="ITCFranklinGothicStd-Book"/>
          <w:sz w:val="24"/>
          <w:szCs w:val="24"/>
        </w:rPr>
        <w:t>message</w:t>
      </w:r>
      <w:r w:rsidR="00774897" w:rsidRPr="00DB14E2">
        <w:rPr>
          <w:rFonts w:cs="ITCFranklinGothicStd-Book"/>
          <w:sz w:val="24"/>
          <w:szCs w:val="24"/>
        </w:rPr>
        <w:t xml:space="preserve"> sent several days b</w:t>
      </w:r>
      <w:r w:rsidR="00DA5FA0" w:rsidRPr="00DB14E2">
        <w:rPr>
          <w:rFonts w:cs="ITCFranklinGothicStd-Book"/>
          <w:sz w:val="24"/>
          <w:szCs w:val="24"/>
        </w:rPr>
        <w:t>e</w:t>
      </w:r>
      <w:r w:rsidR="00774897" w:rsidRPr="00DB14E2">
        <w:rPr>
          <w:rFonts w:cs="ITCFranklinGothicStd-Book"/>
          <w:sz w:val="24"/>
          <w:szCs w:val="24"/>
        </w:rPr>
        <w:t>f</w:t>
      </w:r>
      <w:r w:rsidR="00DA5FA0" w:rsidRPr="00DB14E2">
        <w:rPr>
          <w:rFonts w:cs="ITCFranklinGothicStd-Book"/>
          <w:sz w:val="24"/>
          <w:szCs w:val="24"/>
        </w:rPr>
        <w:t>o</w:t>
      </w:r>
      <w:r w:rsidR="00774897" w:rsidRPr="00DB14E2">
        <w:rPr>
          <w:rFonts w:cs="ITCFranklinGothicStd-Book"/>
          <w:sz w:val="24"/>
          <w:szCs w:val="24"/>
        </w:rPr>
        <w:t xml:space="preserve">re </w:t>
      </w:r>
      <w:r w:rsidR="00383868" w:rsidRPr="00DB14E2">
        <w:rPr>
          <w:rFonts w:cs="ITCFranklinGothicStd-Book"/>
          <w:sz w:val="24"/>
          <w:szCs w:val="24"/>
        </w:rPr>
        <w:t>respondents</w:t>
      </w:r>
      <w:r w:rsidR="00774897" w:rsidRPr="00DB14E2">
        <w:rPr>
          <w:rFonts w:cs="ITCFranklinGothicStd-Book"/>
          <w:sz w:val="24"/>
          <w:szCs w:val="24"/>
        </w:rPr>
        <w:t xml:space="preserve"> receive the survey</w:t>
      </w:r>
      <w:r w:rsidR="002F2EE1">
        <w:rPr>
          <w:rFonts w:cs="ITCFranklinGothicStd-Book"/>
          <w:sz w:val="24"/>
          <w:szCs w:val="24"/>
        </w:rPr>
        <w:t xml:space="preserve"> (Attachment </w:t>
      </w:r>
      <w:r w:rsidR="00725A6C">
        <w:rPr>
          <w:rFonts w:cs="ITCFranklinGothicStd-Book"/>
          <w:sz w:val="24"/>
          <w:szCs w:val="24"/>
        </w:rPr>
        <w:t>4</w:t>
      </w:r>
      <w:r w:rsidR="00DB6B8B">
        <w:rPr>
          <w:rFonts w:cs="ITCFranklinGothicStd-Book"/>
          <w:sz w:val="24"/>
          <w:szCs w:val="24"/>
        </w:rPr>
        <w:t>a)</w:t>
      </w:r>
      <w:r>
        <w:rPr>
          <w:rFonts w:cs="ITCFranklinGothicStd-Book"/>
          <w:sz w:val="24"/>
          <w:szCs w:val="24"/>
        </w:rPr>
        <w:t>;</w:t>
      </w:r>
      <w:r w:rsidR="00774897" w:rsidRPr="00DB14E2">
        <w:rPr>
          <w:rFonts w:cs="ITCFranklinGothicStd-Book"/>
          <w:sz w:val="24"/>
          <w:szCs w:val="24"/>
        </w:rPr>
        <w:t xml:space="preserve"> </w:t>
      </w:r>
    </w:p>
    <w:p w14:paraId="0B3A67C8" w14:textId="1F17AA45" w:rsidR="00383868" w:rsidRPr="00DB14E2" w:rsidRDefault="009D6A2C" w:rsidP="00383868">
      <w:pPr>
        <w:pStyle w:val="ListParagraph"/>
        <w:numPr>
          <w:ilvl w:val="0"/>
          <w:numId w:val="18"/>
        </w:numPr>
        <w:autoSpaceDE w:val="0"/>
        <w:autoSpaceDN w:val="0"/>
        <w:adjustRightInd w:val="0"/>
        <w:spacing w:line="240" w:lineRule="auto"/>
        <w:rPr>
          <w:rFonts w:cs="ITCFranklinGothicStd-Book"/>
          <w:sz w:val="24"/>
          <w:szCs w:val="24"/>
        </w:rPr>
      </w:pPr>
      <w:r>
        <w:rPr>
          <w:rFonts w:cs="ITCFranklinGothicStd-Book"/>
          <w:sz w:val="24"/>
          <w:szCs w:val="24"/>
        </w:rPr>
        <w:t xml:space="preserve">an invitation </w:t>
      </w:r>
      <w:r w:rsidR="00383868" w:rsidRPr="00DB14E2">
        <w:rPr>
          <w:rFonts w:cs="ITCFranklinGothicStd-Book"/>
          <w:sz w:val="24"/>
          <w:szCs w:val="24"/>
        </w:rPr>
        <w:t xml:space="preserve">message </w:t>
      </w:r>
      <w:r>
        <w:rPr>
          <w:rFonts w:cs="ITCFranklinGothicStd-Book"/>
          <w:sz w:val="24"/>
          <w:szCs w:val="24"/>
        </w:rPr>
        <w:t>containing</w:t>
      </w:r>
      <w:r w:rsidRPr="00DB14E2">
        <w:rPr>
          <w:rFonts w:cs="ITCFranklinGothicStd-Book"/>
          <w:sz w:val="24"/>
          <w:szCs w:val="24"/>
        </w:rPr>
        <w:t xml:space="preserve"> </w:t>
      </w:r>
      <w:r w:rsidR="00774897" w:rsidRPr="00DB14E2">
        <w:rPr>
          <w:rFonts w:cs="ITCFranklinGothicStd-Book"/>
          <w:sz w:val="24"/>
          <w:szCs w:val="24"/>
        </w:rPr>
        <w:t>the survey</w:t>
      </w:r>
      <w:r w:rsidR="00383868" w:rsidRPr="00DB14E2">
        <w:rPr>
          <w:rFonts w:cs="ITCFranklinGothicStd-Book"/>
          <w:sz w:val="24"/>
          <w:szCs w:val="24"/>
        </w:rPr>
        <w:t xml:space="preserve"> link</w:t>
      </w:r>
      <w:r w:rsidR="002F2EE1">
        <w:rPr>
          <w:rFonts w:cs="ITCFranklinGothicStd-Book"/>
          <w:sz w:val="24"/>
          <w:szCs w:val="24"/>
        </w:rPr>
        <w:t xml:space="preserve"> (Attachment </w:t>
      </w:r>
      <w:r w:rsidR="00725A6C">
        <w:rPr>
          <w:rFonts w:cs="ITCFranklinGothicStd-Book"/>
          <w:sz w:val="24"/>
          <w:szCs w:val="24"/>
        </w:rPr>
        <w:t>4</w:t>
      </w:r>
      <w:r w:rsidR="00DB6B8B">
        <w:rPr>
          <w:rFonts w:cs="ITCFranklinGothicStd-Book"/>
          <w:sz w:val="24"/>
          <w:szCs w:val="24"/>
        </w:rPr>
        <w:t>b)</w:t>
      </w:r>
      <w:r>
        <w:rPr>
          <w:rFonts w:cs="ITCFranklinGothicStd-Book"/>
          <w:sz w:val="24"/>
          <w:szCs w:val="24"/>
        </w:rPr>
        <w:t>;</w:t>
      </w:r>
    </w:p>
    <w:p w14:paraId="064AF6D8" w14:textId="18012BED" w:rsidR="00383868" w:rsidRPr="00DB14E2" w:rsidRDefault="009D6A2C" w:rsidP="00383868">
      <w:pPr>
        <w:pStyle w:val="ListParagraph"/>
        <w:numPr>
          <w:ilvl w:val="0"/>
          <w:numId w:val="18"/>
        </w:numPr>
        <w:autoSpaceDE w:val="0"/>
        <w:autoSpaceDN w:val="0"/>
        <w:adjustRightInd w:val="0"/>
        <w:spacing w:line="240" w:lineRule="auto"/>
        <w:rPr>
          <w:rFonts w:cs="ITCFranklinGothicStd-Book"/>
          <w:sz w:val="24"/>
          <w:szCs w:val="24"/>
        </w:rPr>
      </w:pPr>
      <w:r>
        <w:rPr>
          <w:rFonts w:cs="ITCFranklinGothicStd-Book"/>
          <w:sz w:val="24"/>
          <w:szCs w:val="24"/>
        </w:rPr>
        <w:t xml:space="preserve">a </w:t>
      </w:r>
      <w:r w:rsidR="00774897" w:rsidRPr="00DB14E2">
        <w:rPr>
          <w:rFonts w:cs="ITCFranklinGothicStd-Book"/>
          <w:sz w:val="24"/>
          <w:szCs w:val="24"/>
        </w:rPr>
        <w:t>thank you message</w:t>
      </w:r>
      <w:r w:rsidR="00383868" w:rsidRPr="00DB14E2">
        <w:rPr>
          <w:rFonts w:cs="ITCFranklinGothicStd-Book"/>
          <w:sz w:val="24"/>
          <w:szCs w:val="24"/>
        </w:rPr>
        <w:t xml:space="preserve"> and reminder </w:t>
      </w:r>
      <w:r>
        <w:rPr>
          <w:rFonts w:cs="ITCFranklinGothicStd-Book"/>
          <w:sz w:val="24"/>
          <w:szCs w:val="24"/>
        </w:rPr>
        <w:t xml:space="preserve">sent 1 week after the introductory message, </w:t>
      </w:r>
      <w:r w:rsidR="00383868" w:rsidRPr="00DB14E2">
        <w:rPr>
          <w:rFonts w:cs="ITCFranklinGothicStd-Book"/>
          <w:sz w:val="24"/>
          <w:szCs w:val="24"/>
        </w:rPr>
        <w:t>for those who have not yet completed the survey</w:t>
      </w:r>
      <w:r w:rsidR="002F2EE1">
        <w:rPr>
          <w:rFonts w:cs="ITCFranklinGothicStd-Book"/>
          <w:sz w:val="24"/>
          <w:szCs w:val="24"/>
        </w:rPr>
        <w:t xml:space="preserve"> (Attachment </w:t>
      </w:r>
      <w:r w:rsidR="00725A6C">
        <w:rPr>
          <w:rFonts w:cs="ITCFranklinGothicStd-Book"/>
          <w:sz w:val="24"/>
          <w:szCs w:val="24"/>
        </w:rPr>
        <w:t>4</w:t>
      </w:r>
      <w:r w:rsidR="00DB6B8B">
        <w:rPr>
          <w:rFonts w:cs="ITCFranklinGothicStd-Book"/>
          <w:sz w:val="24"/>
          <w:szCs w:val="24"/>
        </w:rPr>
        <w:t>c)</w:t>
      </w:r>
      <w:r>
        <w:rPr>
          <w:rFonts w:cs="ITCFranklinGothicStd-Book"/>
          <w:sz w:val="24"/>
          <w:szCs w:val="24"/>
        </w:rPr>
        <w:t>;</w:t>
      </w:r>
      <w:r w:rsidR="00774897" w:rsidRPr="00DB14E2">
        <w:rPr>
          <w:rFonts w:cs="ITCFranklinGothicStd-Book"/>
          <w:sz w:val="24"/>
          <w:szCs w:val="24"/>
        </w:rPr>
        <w:t xml:space="preserve"> </w:t>
      </w:r>
    </w:p>
    <w:p w14:paraId="63EEAE82" w14:textId="716BB530" w:rsidR="001B789E" w:rsidRPr="00DB14E2" w:rsidRDefault="009D6A2C" w:rsidP="00383868">
      <w:pPr>
        <w:pStyle w:val="ListParagraph"/>
        <w:numPr>
          <w:ilvl w:val="0"/>
          <w:numId w:val="18"/>
        </w:numPr>
        <w:autoSpaceDE w:val="0"/>
        <w:autoSpaceDN w:val="0"/>
        <w:adjustRightInd w:val="0"/>
        <w:spacing w:line="240" w:lineRule="auto"/>
        <w:rPr>
          <w:rFonts w:cs="ITCFranklinGothicStd-Book"/>
          <w:sz w:val="24"/>
          <w:szCs w:val="24"/>
        </w:rPr>
      </w:pPr>
      <w:r>
        <w:rPr>
          <w:rFonts w:cs="ITCFranklinGothicStd-Book"/>
          <w:sz w:val="24"/>
          <w:szCs w:val="24"/>
        </w:rPr>
        <w:t xml:space="preserve">a </w:t>
      </w:r>
      <w:r w:rsidR="003E41C5" w:rsidRPr="00DB14E2">
        <w:rPr>
          <w:rFonts w:cs="ITCFranklinGothicStd-Book"/>
          <w:sz w:val="24"/>
          <w:szCs w:val="24"/>
        </w:rPr>
        <w:t>re</w:t>
      </w:r>
      <w:r w:rsidR="001B789E" w:rsidRPr="00DB14E2">
        <w:rPr>
          <w:rFonts w:cs="ITCFranklinGothicStd-Book"/>
          <w:sz w:val="24"/>
          <w:szCs w:val="24"/>
        </w:rPr>
        <w:t>minder message with survey link sent 2 weeks after the in</w:t>
      </w:r>
      <w:r w:rsidR="00644B71" w:rsidRPr="00DB14E2">
        <w:rPr>
          <w:rFonts w:cs="ITCFranklinGothicStd-Book"/>
          <w:sz w:val="24"/>
          <w:szCs w:val="24"/>
        </w:rPr>
        <w:t>troductory</w:t>
      </w:r>
      <w:r w:rsidR="001B789E" w:rsidRPr="00DB14E2">
        <w:rPr>
          <w:rFonts w:cs="ITCFranklinGothicStd-Book"/>
          <w:sz w:val="24"/>
          <w:szCs w:val="24"/>
        </w:rPr>
        <w:t xml:space="preserve"> message</w:t>
      </w:r>
      <w:r w:rsidR="002F2EE1">
        <w:rPr>
          <w:rFonts w:cs="ITCFranklinGothicStd-Book"/>
          <w:sz w:val="24"/>
          <w:szCs w:val="24"/>
        </w:rPr>
        <w:t xml:space="preserve"> (Attachment </w:t>
      </w:r>
      <w:r w:rsidR="00725A6C">
        <w:rPr>
          <w:rFonts w:cs="ITCFranklinGothicStd-Book"/>
          <w:sz w:val="24"/>
          <w:szCs w:val="24"/>
        </w:rPr>
        <w:t>4</w:t>
      </w:r>
      <w:r w:rsidR="00DB6B8B">
        <w:rPr>
          <w:rFonts w:cs="ITCFranklinGothicStd-Book"/>
          <w:sz w:val="24"/>
          <w:szCs w:val="24"/>
        </w:rPr>
        <w:t>d)</w:t>
      </w:r>
      <w:r w:rsidR="001B789E" w:rsidRPr="00DB14E2">
        <w:rPr>
          <w:rFonts w:cs="ITCFranklinGothicStd-Book"/>
          <w:sz w:val="24"/>
          <w:szCs w:val="24"/>
        </w:rPr>
        <w:t xml:space="preserve"> </w:t>
      </w:r>
      <w:r>
        <w:rPr>
          <w:rFonts w:cs="ITCFranklinGothicStd-Book"/>
          <w:sz w:val="24"/>
          <w:szCs w:val="24"/>
        </w:rPr>
        <w:t>;</w:t>
      </w:r>
      <w:r w:rsidR="00644B71" w:rsidRPr="00DB14E2">
        <w:rPr>
          <w:rFonts w:cs="ITCFranklinGothicStd-Book"/>
          <w:sz w:val="24"/>
          <w:szCs w:val="24"/>
        </w:rPr>
        <w:t xml:space="preserve"> and</w:t>
      </w:r>
    </w:p>
    <w:p w14:paraId="7807CC72" w14:textId="0D0D59AD" w:rsidR="00A2199A" w:rsidRPr="00DB14E2" w:rsidRDefault="009D6A2C" w:rsidP="00DB14E2">
      <w:pPr>
        <w:pStyle w:val="ListParagraph"/>
        <w:numPr>
          <w:ilvl w:val="0"/>
          <w:numId w:val="18"/>
        </w:numPr>
        <w:autoSpaceDE w:val="0"/>
        <w:autoSpaceDN w:val="0"/>
        <w:adjustRightInd w:val="0"/>
        <w:spacing w:line="240" w:lineRule="auto"/>
        <w:rPr>
          <w:rFonts w:cs="ITCFranklinGothicStd-Book"/>
          <w:sz w:val="24"/>
          <w:szCs w:val="24"/>
        </w:rPr>
      </w:pPr>
      <w:r>
        <w:rPr>
          <w:rFonts w:cs="ITCFranklinGothicStd-Book"/>
          <w:sz w:val="24"/>
          <w:szCs w:val="24"/>
        </w:rPr>
        <w:t xml:space="preserve">a </w:t>
      </w:r>
      <w:r w:rsidR="003E41C5" w:rsidRPr="00DB14E2">
        <w:rPr>
          <w:rFonts w:cs="ITCFranklinGothicStd-Book"/>
          <w:sz w:val="24"/>
          <w:szCs w:val="24"/>
        </w:rPr>
        <w:t xml:space="preserve">final message </w:t>
      </w:r>
      <w:r>
        <w:rPr>
          <w:rFonts w:cs="ITCFranklinGothicStd-Book"/>
          <w:sz w:val="24"/>
          <w:szCs w:val="24"/>
        </w:rPr>
        <w:t xml:space="preserve">sent </w:t>
      </w:r>
      <w:r w:rsidR="003E41C5" w:rsidRPr="00DB14E2">
        <w:rPr>
          <w:rFonts w:cs="ITCFranklinGothicStd-Book"/>
          <w:sz w:val="24"/>
          <w:szCs w:val="24"/>
        </w:rPr>
        <w:t xml:space="preserve">2 weeks after </w:t>
      </w:r>
      <w:r w:rsidR="001B789E" w:rsidRPr="00DB14E2">
        <w:rPr>
          <w:rFonts w:cs="ITCFranklinGothicStd-Book"/>
          <w:sz w:val="24"/>
          <w:szCs w:val="24"/>
        </w:rPr>
        <w:t xml:space="preserve">the last reminder </w:t>
      </w:r>
      <w:r w:rsidR="003E41C5" w:rsidRPr="00DB14E2">
        <w:rPr>
          <w:rFonts w:cs="ITCFranklinGothicStd-Book"/>
          <w:sz w:val="24"/>
          <w:szCs w:val="24"/>
        </w:rPr>
        <w:t>to complete the survey</w:t>
      </w:r>
      <w:r w:rsidR="002F2EE1">
        <w:rPr>
          <w:rFonts w:cs="ITCFranklinGothicStd-Book"/>
          <w:sz w:val="24"/>
          <w:szCs w:val="24"/>
        </w:rPr>
        <w:t xml:space="preserve"> (Attachment </w:t>
      </w:r>
      <w:r w:rsidR="00725A6C">
        <w:rPr>
          <w:rFonts w:cs="ITCFranklinGothicStd-Book"/>
          <w:sz w:val="24"/>
          <w:szCs w:val="24"/>
        </w:rPr>
        <w:t>4</w:t>
      </w:r>
      <w:r w:rsidR="00DB6B8B">
        <w:rPr>
          <w:rFonts w:cs="ITCFranklinGothicStd-Book"/>
          <w:sz w:val="24"/>
          <w:szCs w:val="24"/>
        </w:rPr>
        <w:t>e)</w:t>
      </w:r>
      <w:r w:rsidR="003E41C5" w:rsidRPr="00DB14E2">
        <w:rPr>
          <w:rFonts w:cs="ITCFranklinGothicStd-Book"/>
          <w:sz w:val="24"/>
          <w:szCs w:val="24"/>
        </w:rPr>
        <w:t>.</w:t>
      </w:r>
    </w:p>
    <w:p w14:paraId="4923D190" w14:textId="35D3638D" w:rsidR="00FA27ED" w:rsidRPr="00DB14E2" w:rsidRDefault="00C5311D" w:rsidP="00A2199A">
      <w:pPr>
        <w:autoSpaceDE w:val="0"/>
        <w:autoSpaceDN w:val="0"/>
        <w:adjustRightInd w:val="0"/>
        <w:spacing w:line="240" w:lineRule="auto"/>
        <w:rPr>
          <w:rFonts w:cs="ITCFranklinGothicStd-Book"/>
          <w:sz w:val="24"/>
          <w:szCs w:val="24"/>
        </w:rPr>
      </w:pPr>
      <w:r>
        <w:rPr>
          <w:rFonts w:cs="ITCFranklinGothicStd-Book"/>
          <w:sz w:val="24"/>
          <w:szCs w:val="24"/>
        </w:rPr>
        <w:t xml:space="preserve">We expect the response rate for this survey to be approximately 80% through the use of Dillman’s recommendation for 5 points of contact.  </w:t>
      </w:r>
      <w:r w:rsidR="002643C3">
        <w:rPr>
          <w:rFonts w:cs="ITCFranklinGothicStd-Book"/>
          <w:sz w:val="24"/>
          <w:szCs w:val="24"/>
        </w:rPr>
        <w:t xml:space="preserve">Similar surveys, such as </w:t>
      </w:r>
      <w:r w:rsidR="0091050C">
        <w:rPr>
          <w:rFonts w:cs="ITCFranklinGothicStd-Book"/>
          <w:sz w:val="24"/>
          <w:szCs w:val="24"/>
        </w:rPr>
        <w:t>workforce surveys conducted by the American Academy of Pediatrics, saw response rates ranging from 52% to 81%</w:t>
      </w:r>
      <w:r w:rsidR="0091050C" w:rsidRPr="00C15C36">
        <w:rPr>
          <w:rFonts w:cs="ITCFranklinGothicStd-Book"/>
          <w:sz w:val="24"/>
          <w:szCs w:val="24"/>
          <w:vertAlign w:val="superscript"/>
        </w:rPr>
        <w:t>4</w:t>
      </w:r>
      <w:r w:rsidR="0091050C">
        <w:rPr>
          <w:rFonts w:cs="ITCFranklinGothicStd-Book"/>
          <w:sz w:val="24"/>
          <w:szCs w:val="24"/>
        </w:rPr>
        <w:t xml:space="preserve">.  </w:t>
      </w:r>
      <w:r w:rsidR="00A2199A" w:rsidRPr="00DB14E2">
        <w:rPr>
          <w:rFonts w:cs="ITCFranklinGothicStd-Book"/>
          <w:sz w:val="24"/>
          <w:szCs w:val="24"/>
        </w:rPr>
        <w:t xml:space="preserve">Limitations will be thoroughly addressed and explained in any publications and when survey data are otherwise presented. </w:t>
      </w:r>
      <w:r w:rsidR="00392D08" w:rsidRPr="00DB14E2">
        <w:rPr>
          <w:rFonts w:cs="ITCFranklinGothicStd-Book"/>
          <w:sz w:val="24"/>
          <w:szCs w:val="24"/>
        </w:rPr>
        <w:t>P</w:t>
      </w:r>
      <w:r w:rsidR="00FA27ED" w:rsidRPr="00DB14E2">
        <w:rPr>
          <w:rFonts w:cs="ITCFranklinGothicStd-Book"/>
          <w:sz w:val="24"/>
          <w:szCs w:val="24"/>
        </w:rPr>
        <w:t>otential sources of bias</w:t>
      </w:r>
      <w:r w:rsidR="00392D08" w:rsidRPr="00DB14E2">
        <w:rPr>
          <w:rFonts w:cs="ITCFranklinGothicStd-Book"/>
          <w:sz w:val="24"/>
          <w:szCs w:val="24"/>
        </w:rPr>
        <w:t xml:space="preserve"> are</w:t>
      </w:r>
      <w:r w:rsidR="00FA27ED" w:rsidRPr="00DB14E2">
        <w:rPr>
          <w:rFonts w:cs="ITCFranklinGothicStd-Book"/>
          <w:sz w:val="24"/>
          <w:szCs w:val="24"/>
        </w:rPr>
        <w:t>:</w:t>
      </w:r>
    </w:p>
    <w:p w14:paraId="1570AA5F" w14:textId="183D11AB" w:rsidR="00FA27ED" w:rsidRPr="00DB14E2" w:rsidRDefault="00392D08" w:rsidP="00FA27ED">
      <w:pPr>
        <w:pStyle w:val="ListParagraph"/>
        <w:numPr>
          <w:ilvl w:val="0"/>
          <w:numId w:val="17"/>
        </w:numPr>
        <w:autoSpaceDE w:val="0"/>
        <w:autoSpaceDN w:val="0"/>
        <w:adjustRightInd w:val="0"/>
        <w:spacing w:line="240" w:lineRule="auto"/>
        <w:rPr>
          <w:rFonts w:cs="ITCFranklinGothicStd-Book"/>
          <w:sz w:val="24"/>
          <w:szCs w:val="24"/>
        </w:rPr>
      </w:pPr>
      <w:r w:rsidRPr="00DB14E2">
        <w:rPr>
          <w:rFonts w:cs="ITCFranklinGothicStd-Book"/>
          <w:sz w:val="24"/>
          <w:szCs w:val="24"/>
        </w:rPr>
        <w:t xml:space="preserve">non-response, which will be lessened by following an </w:t>
      </w:r>
      <w:r w:rsidR="00FA27ED" w:rsidRPr="00DB14E2">
        <w:rPr>
          <w:rFonts w:cs="ITCFranklinGothicStd-Book"/>
          <w:sz w:val="24"/>
          <w:szCs w:val="24"/>
        </w:rPr>
        <w:t>aggressive methodology for increasing responses</w:t>
      </w:r>
      <w:r w:rsidR="00A2199A" w:rsidRPr="00DB14E2">
        <w:rPr>
          <w:rFonts w:cs="ITCFranklinGothicStd-Book"/>
          <w:sz w:val="24"/>
          <w:szCs w:val="24"/>
        </w:rPr>
        <w:t>,</w:t>
      </w:r>
      <w:r w:rsidRPr="00DB14E2">
        <w:rPr>
          <w:rFonts w:cs="ITCFranklinGothicStd-Book"/>
          <w:sz w:val="24"/>
          <w:szCs w:val="24"/>
        </w:rPr>
        <w:t xml:space="preserve"> </w:t>
      </w:r>
    </w:p>
    <w:p w14:paraId="50A16CFE" w14:textId="78B85305" w:rsidR="00FA27ED" w:rsidRPr="00DB14E2" w:rsidRDefault="00FA27ED" w:rsidP="00FA27ED">
      <w:pPr>
        <w:pStyle w:val="ListParagraph"/>
        <w:numPr>
          <w:ilvl w:val="0"/>
          <w:numId w:val="17"/>
        </w:numPr>
        <w:autoSpaceDE w:val="0"/>
        <w:autoSpaceDN w:val="0"/>
        <w:adjustRightInd w:val="0"/>
        <w:spacing w:line="240" w:lineRule="auto"/>
        <w:rPr>
          <w:rFonts w:cs="ITCFranklinGothicStd-Book"/>
          <w:sz w:val="24"/>
          <w:szCs w:val="24"/>
        </w:rPr>
      </w:pPr>
      <w:r w:rsidRPr="00DB14E2">
        <w:rPr>
          <w:rFonts w:cs="ITCFranklinGothicStd-Book"/>
          <w:sz w:val="24"/>
          <w:szCs w:val="24"/>
        </w:rPr>
        <w:t>not identifying all potential respondents</w:t>
      </w:r>
      <w:r w:rsidR="00A2199A" w:rsidRPr="00DB14E2">
        <w:rPr>
          <w:rFonts w:cs="ITCFranklinGothicStd-Book"/>
          <w:sz w:val="24"/>
          <w:szCs w:val="24"/>
        </w:rPr>
        <w:t>, and</w:t>
      </w:r>
    </w:p>
    <w:p w14:paraId="43F541D6" w14:textId="3EBCEB3A" w:rsidR="005C4810" w:rsidRPr="00DB14E2" w:rsidRDefault="000649AD" w:rsidP="00FA27ED">
      <w:pPr>
        <w:pStyle w:val="ListParagraph"/>
        <w:numPr>
          <w:ilvl w:val="0"/>
          <w:numId w:val="17"/>
        </w:numPr>
        <w:autoSpaceDE w:val="0"/>
        <w:autoSpaceDN w:val="0"/>
        <w:adjustRightInd w:val="0"/>
        <w:spacing w:line="240" w:lineRule="auto"/>
        <w:rPr>
          <w:rFonts w:cs="ITCFranklinGothicStd-Book"/>
          <w:sz w:val="24"/>
          <w:szCs w:val="24"/>
        </w:rPr>
      </w:pPr>
      <w:r w:rsidRPr="00DB14E2">
        <w:rPr>
          <w:rFonts w:cs="ITCFranklinGothicStd-Book"/>
          <w:sz w:val="24"/>
          <w:szCs w:val="24"/>
        </w:rPr>
        <w:t xml:space="preserve">missing data, which could impact representation. </w:t>
      </w:r>
    </w:p>
    <w:p w14:paraId="450B7636" w14:textId="77777777" w:rsidR="00B45002" w:rsidRPr="00E707C0" w:rsidRDefault="00D33AE3" w:rsidP="008D0F27">
      <w:pPr>
        <w:pStyle w:val="Heading1"/>
        <w:pBdr>
          <w:bottom w:val="none" w:sz="0" w:space="0" w:color="auto"/>
        </w:pBdr>
        <w:rPr>
          <w:rFonts w:ascii="Cambria" w:hAnsi="Cambria"/>
          <w:color w:val="auto"/>
        </w:rPr>
      </w:pPr>
      <w:bookmarkStart w:id="6" w:name="_Toc460313886"/>
      <w:r w:rsidRPr="00DB14E2">
        <w:rPr>
          <w:rFonts w:ascii="Cambria" w:hAnsi="Cambria"/>
          <w:color w:val="auto"/>
        </w:rPr>
        <w:t>B.</w:t>
      </w:r>
      <w:r w:rsidR="00B45002" w:rsidRPr="00DB14E2">
        <w:rPr>
          <w:rFonts w:ascii="Cambria" w:hAnsi="Cambria"/>
          <w:color w:val="auto"/>
        </w:rPr>
        <w:t>4.</w:t>
      </w:r>
      <w:r w:rsidR="00B45002" w:rsidRPr="00DB14E2">
        <w:rPr>
          <w:rFonts w:ascii="Cambria" w:hAnsi="Cambria"/>
          <w:color w:val="auto"/>
        </w:rPr>
        <w:tab/>
        <w:t xml:space="preserve">Test of Procedures or Methods to </w:t>
      </w:r>
      <w:r w:rsidR="00B45002" w:rsidRPr="00E707C0">
        <w:rPr>
          <w:rFonts w:ascii="Cambria" w:hAnsi="Cambria"/>
          <w:color w:val="auto"/>
        </w:rPr>
        <w:t>be Undertaken</w:t>
      </w:r>
      <w:bookmarkEnd w:id="6"/>
    </w:p>
    <w:p w14:paraId="64B9CC57" w14:textId="77777777" w:rsidR="00BD2639" w:rsidRPr="00E707C0" w:rsidRDefault="00BD2639" w:rsidP="001C121D">
      <w:pPr>
        <w:spacing w:line="240" w:lineRule="auto"/>
      </w:pPr>
    </w:p>
    <w:p w14:paraId="434FDCAC" w14:textId="5CB52252" w:rsidR="002F2EE1" w:rsidRDefault="00195258" w:rsidP="002F2EE1">
      <w:pPr>
        <w:autoSpaceDE w:val="0"/>
        <w:autoSpaceDN w:val="0"/>
        <w:adjustRightInd w:val="0"/>
        <w:rPr>
          <w:rFonts w:cs="ITCFranklinGothicStd-Book"/>
          <w:sz w:val="24"/>
          <w:szCs w:val="24"/>
        </w:rPr>
      </w:pPr>
      <w:r w:rsidRPr="00005CE5">
        <w:rPr>
          <w:rFonts w:cs="ITCFranklinGothicStd-Book"/>
          <w:sz w:val="24"/>
          <w:szCs w:val="24"/>
        </w:rPr>
        <w:t>The survey instrument was p</w:t>
      </w:r>
      <w:r w:rsidR="00E632AF" w:rsidRPr="00005CE5">
        <w:rPr>
          <w:rFonts w:cs="ITCFranklinGothicStd-Book"/>
          <w:sz w:val="24"/>
          <w:szCs w:val="24"/>
        </w:rPr>
        <w:t>ilot test</w:t>
      </w:r>
      <w:r w:rsidRPr="00005CE5">
        <w:rPr>
          <w:rFonts w:cs="ITCFranklinGothicStd-Book"/>
          <w:sz w:val="24"/>
          <w:szCs w:val="24"/>
        </w:rPr>
        <w:t>ed</w:t>
      </w:r>
      <w:r w:rsidR="00006EDD" w:rsidRPr="00005CE5">
        <w:rPr>
          <w:rFonts w:cs="ITCFranklinGothicStd-Book"/>
          <w:sz w:val="24"/>
          <w:szCs w:val="24"/>
        </w:rPr>
        <w:t xml:space="preserve"> </w:t>
      </w:r>
      <w:r w:rsidR="00B44E8F">
        <w:rPr>
          <w:rFonts w:cs="ITCFranklinGothicStd-Book"/>
          <w:sz w:val="24"/>
          <w:szCs w:val="24"/>
        </w:rPr>
        <w:t xml:space="preserve">by </w:t>
      </w:r>
      <w:r w:rsidR="004D20BB">
        <w:rPr>
          <w:rFonts w:cs="ITCFranklinGothicStd-Book"/>
          <w:sz w:val="24"/>
          <w:szCs w:val="24"/>
        </w:rPr>
        <w:t>six</w:t>
      </w:r>
      <w:r w:rsidR="00B44E8F">
        <w:rPr>
          <w:rFonts w:cs="ITCFranklinGothicStd-Book"/>
          <w:sz w:val="24"/>
          <w:szCs w:val="24"/>
        </w:rPr>
        <w:t xml:space="preserve"> EH professionals </w:t>
      </w:r>
      <w:r w:rsidRPr="00005CE5">
        <w:rPr>
          <w:rFonts w:cs="ITCFranklinGothicStd-Book"/>
          <w:sz w:val="24"/>
          <w:szCs w:val="24"/>
        </w:rPr>
        <w:t>to</w:t>
      </w:r>
      <w:r w:rsidR="00B44E8F">
        <w:rPr>
          <w:rFonts w:cs="ITCFranklinGothicStd-Book"/>
          <w:sz w:val="24"/>
          <w:szCs w:val="24"/>
        </w:rPr>
        <w:t>: 1) establish burden; 2) identify any sources of confusion or lack of clarity in wording of the questions; and 3)</w:t>
      </w:r>
      <w:r w:rsidRPr="00005CE5">
        <w:rPr>
          <w:rFonts w:cs="ITCFranklinGothicStd-Book"/>
          <w:sz w:val="24"/>
          <w:szCs w:val="24"/>
        </w:rPr>
        <w:t xml:space="preserve"> </w:t>
      </w:r>
      <w:r w:rsidR="00006EDD" w:rsidRPr="00005CE5">
        <w:rPr>
          <w:rFonts w:cs="ITCFranklinGothicStd-Book"/>
          <w:sz w:val="24"/>
          <w:szCs w:val="24"/>
        </w:rPr>
        <w:t>refi</w:t>
      </w:r>
      <w:r w:rsidRPr="00005CE5">
        <w:rPr>
          <w:rFonts w:cs="ITCFranklinGothicStd-Book"/>
          <w:sz w:val="24"/>
          <w:szCs w:val="24"/>
        </w:rPr>
        <w:t xml:space="preserve">ne questions for </w:t>
      </w:r>
      <w:r w:rsidR="00BD2639" w:rsidRPr="00005CE5">
        <w:rPr>
          <w:rFonts w:cs="ITCFranklinGothicStd-Book"/>
          <w:sz w:val="24"/>
          <w:szCs w:val="24"/>
        </w:rPr>
        <w:t>minimiz</w:t>
      </w:r>
      <w:r w:rsidRPr="00005CE5">
        <w:rPr>
          <w:rFonts w:cs="ITCFranklinGothicStd-Book"/>
          <w:sz w:val="24"/>
          <w:szCs w:val="24"/>
        </w:rPr>
        <w:t>ing</w:t>
      </w:r>
      <w:r w:rsidR="00BD2639" w:rsidRPr="00005CE5">
        <w:rPr>
          <w:rFonts w:cs="ITCFranklinGothicStd-Book"/>
          <w:sz w:val="24"/>
          <w:szCs w:val="24"/>
        </w:rPr>
        <w:t xml:space="preserve"> burden and improv</w:t>
      </w:r>
      <w:r w:rsidRPr="00005CE5">
        <w:rPr>
          <w:rFonts w:cs="ITCFranklinGothicStd-Book"/>
          <w:sz w:val="24"/>
          <w:szCs w:val="24"/>
        </w:rPr>
        <w:t>ing</w:t>
      </w:r>
      <w:r w:rsidR="00BD2639" w:rsidRPr="00005CE5">
        <w:rPr>
          <w:rFonts w:cs="ITCFranklinGothicStd-Book"/>
          <w:sz w:val="24"/>
          <w:szCs w:val="24"/>
        </w:rPr>
        <w:t xml:space="preserve"> utility.</w:t>
      </w:r>
      <w:r w:rsidRPr="00005CE5">
        <w:rPr>
          <w:rFonts w:cs="ITCFranklinGothicStd-Book"/>
          <w:sz w:val="24"/>
          <w:szCs w:val="24"/>
        </w:rPr>
        <w:t xml:space="preserve"> </w:t>
      </w:r>
      <w:r w:rsidR="004B6C5C" w:rsidRPr="00005CE5">
        <w:rPr>
          <w:rFonts w:cs="ITCFranklinGothicStd-Book"/>
          <w:sz w:val="24"/>
          <w:szCs w:val="24"/>
        </w:rPr>
        <w:t xml:space="preserve">Results from the pilot study were used to refine and strengthen the </w:t>
      </w:r>
      <w:r w:rsidR="00925CA2">
        <w:rPr>
          <w:rFonts w:cs="ITCFranklinGothicStd-Book"/>
          <w:sz w:val="24"/>
          <w:szCs w:val="24"/>
        </w:rPr>
        <w:t>UNCOVER EH</w:t>
      </w:r>
      <w:r w:rsidR="00925CA2" w:rsidRPr="00005CE5">
        <w:rPr>
          <w:rFonts w:cs="ITCFranklinGothicStd-Book"/>
          <w:sz w:val="24"/>
          <w:szCs w:val="24"/>
        </w:rPr>
        <w:t xml:space="preserve"> </w:t>
      </w:r>
      <w:r w:rsidR="004B6C5C" w:rsidRPr="00005CE5">
        <w:rPr>
          <w:rFonts w:cs="ITCFranklinGothicStd-Book"/>
          <w:sz w:val="24"/>
          <w:szCs w:val="24"/>
        </w:rPr>
        <w:t xml:space="preserve">survey. </w:t>
      </w:r>
      <w:r w:rsidR="002F2EE1" w:rsidRPr="002F2EE1">
        <w:rPr>
          <w:rFonts w:cs="ITCFranklinGothicStd-Book"/>
          <w:sz w:val="24"/>
          <w:szCs w:val="24"/>
        </w:rPr>
        <w:t>Respondents were emailed a</w:t>
      </w:r>
      <w:r w:rsidR="002F2EE1">
        <w:rPr>
          <w:rFonts w:cs="ITCFranklinGothicStd-Book"/>
          <w:sz w:val="24"/>
          <w:szCs w:val="24"/>
        </w:rPr>
        <w:t xml:space="preserve"> web link to a</w:t>
      </w:r>
      <w:r w:rsidR="002F2EE1" w:rsidRPr="002F2EE1">
        <w:rPr>
          <w:rFonts w:cs="ITCFranklinGothicStd-Book"/>
          <w:sz w:val="24"/>
          <w:szCs w:val="24"/>
        </w:rPr>
        <w:t xml:space="preserve"> draft version of the instrument, asked to fill it out, and </w:t>
      </w:r>
      <w:r w:rsidR="002F2EE1">
        <w:rPr>
          <w:rFonts w:cs="ITCFranklinGothicStd-Book"/>
          <w:sz w:val="24"/>
          <w:szCs w:val="24"/>
        </w:rPr>
        <w:t>provided us with comments and feed</w:t>
      </w:r>
      <w:r w:rsidR="002F2EE1" w:rsidRPr="002F2EE1">
        <w:rPr>
          <w:rFonts w:cs="ITCFranklinGothicStd-Book"/>
          <w:sz w:val="24"/>
          <w:szCs w:val="24"/>
        </w:rPr>
        <w:t>b</w:t>
      </w:r>
      <w:r w:rsidR="002F2EE1">
        <w:rPr>
          <w:rFonts w:cs="ITCFranklinGothicStd-Book"/>
          <w:sz w:val="24"/>
          <w:szCs w:val="24"/>
        </w:rPr>
        <w:t>ack by email</w:t>
      </w:r>
      <w:r w:rsidR="002F2EE1" w:rsidRPr="002F2EE1">
        <w:rPr>
          <w:rFonts w:cs="ITCFranklinGothicStd-Book"/>
          <w:sz w:val="24"/>
          <w:szCs w:val="24"/>
        </w:rPr>
        <w:t xml:space="preserve"> a few days later.  </w:t>
      </w:r>
      <w:r w:rsidR="002F2EE1">
        <w:rPr>
          <w:rFonts w:cs="ITCFranklinGothicStd-Book"/>
          <w:sz w:val="24"/>
          <w:szCs w:val="24"/>
        </w:rPr>
        <w:t xml:space="preserve">Based on </w:t>
      </w:r>
      <w:r w:rsidR="002F2EE1" w:rsidRPr="002F2EE1">
        <w:rPr>
          <w:rFonts w:cs="ITCFranklinGothicStd-Book"/>
          <w:sz w:val="24"/>
          <w:szCs w:val="24"/>
        </w:rPr>
        <w:t>the pilot test</w:t>
      </w:r>
      <w:r w:rsidR="002F2EE1">
        <w:rPr>
          <w:rFonts w:cs="ITCFranklinGothicStd-Book"/>
          <w:sz w:val="24"/>
          <w:szCs w:val="24"/>
        </w:rPr>
        <w:t xml:space="preserve"> results</w:t>
      </w:r>
      <w:r w:rsidR="002F2EE1" w:rsidRPr="002F2EE1">
        <w:rPr>
          <w:rFonts w:cs="ITCFranklinGothicStd-Book"/>
          <w:sz w:val="24"/>
          <w:szCs w:val="24"/>
        </w:rPr>
        <w:t xml:space="preserve">, we improved the wording of several questions and </w:t>
      </w:r>
      <w:r w:rsidR="00AC62F2">
        <w:rPr>
          <w:rFonts w:cs="ITCFranklinGothicStd-Book"/>
          <w:sz w:val="24"/>
          <w:szCs w:val="24"/>
        </w:rPr>
        <w:t>adjusted the instrument format</w:t>
      </w:r>
      <w:r w:rsidR="002F2EE1">
        <w:rPr>
          <w:rFonts w:cs="ITCFranklinGothicStd-Book"/>
          <w:sz w:val="24"/>
          <w:szCs w:val="24"/>
        </w:rPr>
        <w:t>.</w:t>
      </w:r>
    </w:p>
    <w:p w14:paraId="09A17831" w14:textId="5581EC2B" w:rsidR="00C363B7" w:rsidRPr="00C363B7" w:rsidRDefault="00C363B7" w:rsidP="00C363B7">
      <w:pPr>
        <w:autoSpaceDE w:val="0"/>
        <w:autoSpaceDN w:val="0"/>
        <w:adjustRightInd w:val="0"/>
        <w:rPr>
          <w:rFonts w:cs="ITCFranklinGothicStd-Book"/>
          <w:sz w:val="24"/>
          <w:szCs w:val="24"/>
        </w:rPr>
      </w:pPr>
      <w:r w:rsidRPr="00C363B7">
        <w:rPr>
          <w:rFonts w:cs="ITCFranklinGothicStd-Book"/>
          <w:sz w:val="24"/>
          <w:szCs w:val="24"/>
        </w:rPr>
        <w:t xml:space="preserve">Data will be analyzed using descriptive and </w:t>
      </w:r>
      <w:r w:rsidR="0098046C">
        <w:rPr>
          <w:rFonts w:cs="ITCFranklinGothicStd-Book"/>
          <w:sz w:val="24"/>
          <w:szCs w:val="24"/>
        </w:rPr>
        <w:t>inferential</w:t>
      </w:r>
      <w:r w:rsidRPr="00C363B7">
        <w:rPr>
          <w:rFonts w:cs="ITCFranklinGothicStd-Book"/>
          <w:sz w:val="24"/>
          <w:szCs w:val="24"/>
        </w:rPr>
        <w:t xml:space="preserve"> statistical analyses.</w:t>
      </w:r>
      <w:r>
        <w:rPr>
          <w:rFonts w:cs="ITCFranklinGothicStd-Book"/>
          <w:sz w:val="24"/>
          <w:szCs w:val="24"/>
        </w:rPr>
        <w:t xml:space="preserve"> Descriptive statistics will examine responses to the various survey measures</w:t>
      </w:r>
      <w:r w:rsidR="00074B51">
        <w:rPr>
          <w:rFonts w:cs="ITCFranklinGothicStd-Book"/>
          <w:sz w:val="24"/>
          <w:szCs w:val="24"/>
        </w:rPr>
        <w:t>, while f</w:t>
      </w:r>
      <w:r>
        <w:rPr>
          <w:rFonts w:cs="ITCFranklinGothicStd-Book"/>
          <w:sz w:val="24"/>
          <w:szCs w:val="24"/>
        </w:rPr>
        <w:t>requencies will explain the cate</w:t>
      </w:r>
      <w:r w:rsidR="0098046C">
        <w:rPr>
          <w:rFonts w:cs="ITCFranklinGothicStd-Book"/>
          <w:sz w:val="24"/>
          <w:szCs w:val="24"/>
        </w:rPr>
        <w:t>gorical variables</w:t>
      </w:r>
      <w:r w:rsidR="00074B51">
        <w:rPr>
          <w:rFonts w:cs="ITCFranklinGothicStd-Book"/>
          <w:sz w:val="24"/>
          <w:szCs w:val="24"/>
        </w:rPr>
        <w:t xml:space="preserve">. The results of these analyses will be summarized in a comprehensive report that will be publicly available. This information </w:t>
      </w:r>
      <w:r w:rsidR="00151595">
        <w:rPr>
          <w:rFonts w:cs="ITCFranklinGothicStd-Book"/>
          <w:sz w:val="24"/>
          <w:szCs w:val="24"/>
        </w:rPr>
        <w:t xml:space="preserve">provided in the report </w:t>
      </w:r>
      <w:r w:rsidR="00074B51">
        <w:rPr>
          <w:rFonts w:cs="ITCFranklinGothicStd-Book"/>
          <w:sz w:val="24"/>
          <w:szCs w:val="24"/>
        </w:rPr>
        <w:t>will serve as a reference for EH agencies, programs, and professionals interested in understanding national EH workforce and practice trends and future needs. The r</w:t>
      </w:r>
      <w:r w:rsidR="00151595">
        <w:rPr>
          <w:rFonts w:cs="ITCFranklinGothicStd-Book"/>
          <w:sz w:val="24"/>
          <w:szCs w:val="24"/>
        </w:rPr>
        <w:t>eport</w:t>
      </w:r>
      <w:r w:rsidR="00074B51">
        <w:rPr>
          <w:rFonts w:cs="ITCFranklinGothicStd-Book"/>
          <w:sz w:val="24"/>
          <w:szCs w:val="24"/>
        </w:rPr>
        <w:t xml:space="preserve"> may serve as a</w:t>
      </w:r>
      <w:r w:rsidR="00151595">
        <w:rPr>
          <w:rFonts w:cs="ITCFranklinGothicStd-Book"/>
          <w:sz w:val="24"/>
          <w:szCs w:val="24"/>
        </w:rPr>
        <w:t>n important</w:t>
      </w:r>
      <w:r w:rsidR="00074B51">
        <w:rPr>
          <w:rFonts w:cs="ITCFranklinGothicStd-Book"/>
          <w:sz w:val="24"/>
          <w:szCs w:val="24"/>
        </w:rPr>
        <w:t xml:space="preserve"> resource for establishing EH workforce and practice benchmarks and inform</w:t>
      </w:r>
      <w:r w:rsidR="00151595">
        <w:rPr>
          <w:rFonts w:cs="ITCFranklinGothicStd-Book"/>
          <w:sz w:val="24"/>
          <w:szCs w:val="24"/>
        </w:rPr>
        <w:t>ing</w:t>
      </w:r>
      <w:r w:rsidR="00074B51">
        <w:rPr>
          <w:rFonts w:cs="ITCFranklinGothicStd-Book"/>
          <w:sz w:val="24"/>
          <w:szCs w:val="24"/>
        </w:rPr>
        <w:t xml:space="preserve"> decision-making </w:t>
      </w:r>
      <w:r w:rsidR="00151595">
        <w:rPr>
          <w:rFonts w:cs="ITCFranklinGothicStd-Book"/>
          <w:sz w:val="24"/>
          <w:szCs w:val="24"/>
        </w:rPr>
        <w:t>to</w:t>
      </w:r>
      <w:r w:rsidR="00074B51">
        <w:rPr>
          <w:rFonts w:cs="ITCFranklinGothicStd-Book"/>
          <w:sz w:val="24"/>
          <w:szCs w:val="24"/>
        </w:rPr>
        <w:t xml:space="preserve"> support and enhanc</w:t>
      </w:r>
      <w:r w:rsidR="00151595">
        <w:rPr>
          <w:rFonts w:cs="ITCFranklinGothicStd-Book"/>
          <w:sz w:val="24"/>
          <w:szCs w:val="24"/>
        </w:rPr>
        <w:t>e</w:t>
      </w:r>
      <w:r w:rsidR="00074B51">
        <w:rPr>
          <w:rFonts w:cs="ITCFranklinGothicStd-Book"/>
          <w:sz w:val="24"/>
          <w:szCs w:val="24"/>
        </w:rPr>
        <w:t xml:space="preserve"> the EH workforce</w:t>
      </w:r>
      <w:r w:rsidR="00151595">
        <w:rPr>
          <w:rFonts w:cs="ITCFranklinGothicStd-Book"/>
          <w:sz w:val="24"/>
          <w:szCs w:val="24"/>
        </w:rPr>
        <w:t xml:space="preserve"> and practice</w:t>
      </w:r>
      <w:r w:rsidR="00074B51">
        <w:rPr>
          <w:rFonts w:cs="ITCFranklinGothicStd-Book"/>
          <w:sz w:val="24"/>
          <w:szCs w:val="24"/>
        </w:rPr>
        <w:t>.  Inferent</w:t>
      </w:r>
      <w:r w:rsidR="0098046C">
        <w:rPr>
          <w:rFonts w:cs="ITCFranklinGothicStd-Book"/>
          <w:sz w:val="24"/>
          <w:szCs w:val="24"/>
        </w:rPr>
        <w:t xml:space="preserve">ial </w:t>
      </w:r>
      <w:r w:rsidR="00074B51">
        <w:rPr>
          <w:rFonts w:cs="ITCFranklinGothicStd-Book"/>
          <w:sz w:val="24"/>
          <w:szCs w:val="24"/>
        </w:rPr>
        <w:t xml:space="preserve">statistics will be </w:t>
      </w:r>
      <w:r w:rsidR="00151595">
        <w:rPr>
          <w:rFonts w:cs="ITCFranklinGothicStd-Book"/>
          <w:sz w:val="24"/>
          <w:szCs w:val="24"/>
        </w:rPr>
        <w:t xml:space="preserve">used to </w:t>
      </w:r>
      <w:r w:rsidR="00074B51">
        <w:rPr>
          <w:rFonts w:cs="ITCFranklinGothicStd-Book"/>
          <w:sz w:val="24"/>
          <w:szCs w:val="24"/>
        </w:rPr>
        <w:t>further examin</w:t>
      </w:r>
      <w:r w:rsidR="00151595">
        <w:rPr>
          <w:rFonts w:cs="ITCFranklinGothicStd-Book"/>
          <w:sz w:val="24"/>
          <w:szCs w:val="24"/>
        </w:rPr>
        <w:t>e</w:t>
      </w:r>
      <w:r w:rsidR="00074B51">
        <w:rPr>
          <w:rFonts w:cs="ITCFranklinGothicStd-Book"/>
          <w:sz w:val="24"/>
          <w:szCs w:val="24"/>
        </w:rPr>
        <w:t xml:space="preserve"> the relationships between certain workforce and practice characteristics</w:t>
      </w:r>
      <w:r w:rsidR="00151595">
        <w:rPr>
          <w:rFonts w:cs="ITCFranklinGothicStd-Book"/>
          <w:sz w:val="24"/>
          <w:szCs w:val="24"/>
        </w:rPr>
        <w:t>, while qualitative approaches (content analysis) will be used to analyze responses to open-ended questions.</w:t>
      </w:r>
      <w:r w:rsidR="00074B51">
        <w:rPr>
          <w:rFonts w:cs="ITCFranklinGothicStd-Book"/>
          <w:sz w:val="24"/>
          <w:szCs w:val="24"/>
        </w:rPr>
        <w:t xml:space="preserve"> </w:t>
      </w:r>
      <w:r w:rsidR="00151595">
        <w:rPr>
          <w:rFonts w:cs="ITCFranklinGothicStd-Book"/>
          <w:sz w:val="24"/>
          <w:szCs w:val="24"/>
        </w:rPr>
        <w:t>F</w:t>
      </w:r>
      <w:r w:rsidR="00074B51">
        <w:rPr>
          <w:rFonts w:cs="ITCFranklinGothicStd-Book"/>
          <w:sz w:val="24"/>
          <w:szCs w:val="24"/>
        </w:rPr>
        <w:t xml:space="preserve">indings </w:t>
      </w:r>
      <w:r w:rsidR="00151595">
        <w:rPr>
          <w:rFonts w:cs="ITCFranklinGothicStd-Book"/>
          <w:sz w:val="24"/>
          <w:szCs w:val="24"/>
        </w:rPr>
        <w:t xml:space="preserve">of the analyses </w:t>
      </w:r>
      <w:r w:rsidR="00074B51">
        <w:rPr>
          <w:rFonts w:cs="ITCFranklinGothicStd-Book"/>
          <w:sz w:val="24"/>
          <w:szCs w:val="24"/>
        </w:rPr>
        <w:t xml:space="preserve">will be published in peer-reviewed journals. </w:t>
      </w:r>
    </w:p>
    <w:p w14:paraId="63C2C2DE" w14:textId="77777777" w:rsidR="00DC57CC" w:rsidRPr="00E707C0" w:rsidRDefault="00D33AE3" w:rsidP="008D0F27">
      <w:pPr>
        <w:pStyle w:val="Heading1"/>
        <w:pBdr>
          <w:bottom w:val="none" w:sz="0" w:space="0" w:color="auto"/>
        </w:pBdr>
        <w:rPr>
          <w:rFonts w:ascii="Cambria" w:hAnsi="Cambria"/>
          <w:color w:val="auto"/>
        </w:rPr>
      </w:pPr>
      <w:bookmarkStart w:id="7" w:name="_Toc460313887"/>
      <w:r w:rsidRPr="00E707C0">
        <w:rPr>
          <w:rFonts w:ascii="Cambria" w:hAnsi="Cambria"/>
          <w:color w:val="auto"/>
        </w:rPr>
        <w:t>B.</w:t>
      </w:r>
      <w:r w:rsidR="00B45002" w:rsidRPr="00E707C0">
        <w:rPr>
          <w:rFonts w:ascii="Cambria" w:hAnsi="Cambria"/>
          <w:color w:val="auto"/>
        </w:rPr>
        <w:t>5.</w:t>
      </w:r>
      <w:r w:rsidR="00B45002" w:rsidRPr="00E707C0">
        <w:rPr>
          <w:rFonts w:ascii="Cambria" w:hAnsi="Cambria"/>
          <w:color w:val="auto"/>
        </w:rPr>
        <w:tab/>
        <w:t>Individuals Consulted on Statistical Aspects and Individuals Collecting and/or Analyzing Data</w:t>
      </w:r>
      <w:bookmarkEnd w:id="7"/>
    </w:p>
    <w:p w14:paraId="10EA9D5F" w14:textId="77777777" w:rsidR="00984634" w:rsidRPr="00E707C0" w:rsidRDefault="00984634" w:rsidP="00984634"/>
    <w:p w14:paraId="4C4E240E" w14:textId="1662D3EE" w:rsidR="007F0E10" w:rsidRPr="007F0E10" w:rsidRDefault="007F0E10" w:rsidP="007F0E10">
      <w:pPr>
        <w:autoSpaceDE w:val="0"/>
        <w:autoSpaceDN w:val="0"/>
        <w:adjustRightInd w:val="0"/>
        <w:spacing w:after="0" w:line="240" w:lineRule="auto"/>
        <w:jc w:val="both"/>
        <w:rPr>
          <w:rFonts w:cstheme="minorHAnsi"/>
          <w:sz w:val="24"/>
          <w:szCs w:val="24"/>
        </w:rPr>
      </w:pPr>
      <w:r w:rsidRPr="007F0E10">
        <w:rPr>
          <w:rFonts w:cstheme="minorHAnsi"/>
          <w:b/>
          <w:sz w:val="24"/>
          <w:szCs w:val="24"/>
        </w:rPr>
        <w:t>Table 1.</w:t>
      </w:r>
      <w:r w:rsidRPr="007F0E10">
        <w:rPr>
          <w:rFonts w:cstheme="minorHAnsi"/>
          <w:sz w:val="24"/>
          <w:szCs w:val="24"/>
        </w:rPr>
        <w:t xml:space="preserve"> </w:t>
      </w:r>
      <w:r w:rsidR="0031214F">
        <w:rPr>
          <w:rFonts w:cstheme="minorHAnsi"/>
          <w:sz w:val="24"/>
          <w:szCs w:val="24"/>
        </w:rPr>
        <w:t>Personnel Consulted</w:t>
      </w:r>
      <w:r w:rsidR="00E410B4">
        <w:rPr>
          <w:rFonts w:cstheme="minorHAnsi"/>
          <w:sz w:val="24"/>
          <w:szCs w:val="24"/>
        </w:rPr>
        <w:t xml:space="preserve"> on Statistical Design</w:t>
      </w:r>
    </w:p>
    <w:p w14:paraId="6CCA098C" w14:textId="77777777" w:rsidR="007F0E10" w:rsidRPr="007F0E10" w:rsidRDefault="007F0E10" w:rsidP="007F0E10">
      <w:pPr>
        <w:pStyle w:val="ListParagraph"/>
        <w:autoSpaceDE w:val="0"/>
        <w:autoSpaceDN w:val="0"/>
        <w:adjustRightInd w:val="0"/>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990"/>
        <w:gridCol w:w="360"/>
        <w:gridCol w:w="1350"/>
        <w:gridCol w:w="180"/>
        <w:gridCol w:w="1620"/>
        <w:gridCol w:w="2520"/>
      </w:tblGrid>
      <w:tr w:rsidR="007F0E10" w:rsidRPr="00D20211" w14:paraId="40C6622A" w14:textId="77777777" w:rsidTr="00BD1812">
        <w:tc>
          <w:tcPr>
            <w:tcW w:w="2340" w:type="dxa"/>
            <w:tcBorders>
              <w:top w:val="single" w:sz="8" w:space="0" w:color="auto"/>
              <w:left w:val="nil"/>
              <w:bottom w:val="single" w:sz="8" w:space="0" w:color="auto"/>
              <w:right w:val="nil"/>
            </w:tcBorders>
            <w:shd w:val="clear" w:color="auto" w:fill="auto"/>
          </w:tcPr>
          <w:p w14:paraId="1DDD1F3F" w14:textId="77777777" w:rsidR="007F0E10" w:rsidRPr="00D20211" w:rsidRDefault="007F0E10" w:rsidP="00AB5F18">
            <w:pPr>
              <w:autoSpaceDE w:val="0"/>
              <w:autoSpaceDN w:val="0"/>
              <w:adjustRightInd w:val="0"/>
              <w:spacing w:after="0" w:line="240" w:lineRule="auto"/>
              <w:jc w:val="both"/>
              <w:rPr>
                <w:rFonts w:cstheme="minorHAnsi"/>
                <w:b/>
              </w:rPr>
            </w:pPr>
            <w:r w:rsidRPr="00D20211">
              <w:rPr>
                <w:rFonts w:cstheme="minorHAnsi"/>
                <w:b/>
              </w:rPr>
              <w:t>Name</w:t>
            </w:r>
          </w:p>
        </w:tc>
        <w:tc>
          <w:tcPr>
            <w:tcW w:w="990" w:type="dxa"/>
            <w:tcBorders>
              <w:top w:val="single" w:sz="8" w:space="0" w:color="auto"/>
              <w:left w:val="nil"/>
              <w:bottom w:val="single" w:sz="8" w:space="0" w:color="auto"/>
              <w:right w:val="nil"/>
            </w:tcBorders>
            <w:shd w:val="clear" w:color="auto" w:fill="auto"/>
          </w:tcPr>
          <w:p w14:paraId="47047034" w14:textId="77777777" w:rsidR="007F0E10" w:rsidRPr="00D20211" w:rsidRDefault="007F0E10" w:rsidP="00AB5F18">
            <w:pPr>
              <w:autoSpaceDE w:val="0"/>
              <w:autoSpaceDN w:val="0"/>
              <w:adjustRightInd w:val="0"/>
              <w:spacing w:after="0" w:line="240" w:lineRule="auto"/>
              <w:jc w:val="both"/>
              <w:rPr>
                <w:rFonts w:cstheme="minorHAnsi"/>
                <w:b/>
              </w:rPr>
            </w:pPr>
            <w:r w:rsidRPr="00D20211">
              <w:rPr>
                <w:rFonts w:cstheme="minorHAnsi"/>
                <w:b/>
              </w:rPr>
              <w:t>Title</w:t>
            </w:r>
          </w:p>
        </w:tc>
        <w:tc>
          <w:tcPr>
            <w:tcW w:w="1710" w:type="dxa"/>
            <w:gridSpan w:val="2"/>
            <w:tcBorders>
              <w:top w:val="single" w:sz="8" w:space="0" w:color="auto"/>
              <w:left w:val="nil"/>
              <w:bottom w:val="single" w:sz="8" w:space="0" w:color="auto"/>
              <w:right w:val="nil"/>
            </w:tcBorders>
            <w:shd w:val="clear" w:color="auto" w:fill="auto"/>
          </w:tcPr>
          <w:p w14:paraId="10515D33" w14:textId="77777777" w:rsidR="007F0E10" w:rsidRPr="00D20211" w:rsidRDefault="007F0E10" w:rsidP="00AB5F18">
            <w:pPr>
              <w:autoSpaceDE w:val="0"/>
              <w:autoSpaceDN w:val="0"/>
              <w:adjustRightInd w:val="0"/>
              <w:spacing w:after="0" w:line="240" w:lineRule="auto"/>
              <w:jc w:val="both"/>
              <w:rPr>
                <w:rFonts w:cstheme="minorHAnsi"/>
                <w:b/>
              </w:rPr>
            </w:pPr>
            <w:r w:rsidRPr="00D20211">
              <w:rPr>
                <w:rFonts w:cstheme="minorHAnsi"/>
                <w:b/>
              </w:rPr>
              <w:t>Affiliation</w:t>
            </w:r>
          </w:p>
        </w:tc>
        <w:tc>
          <w:tcPr>
            <w:tcW w:w="1800" w:type="dxa"/>
            <w:gridSpan w:val="2"/>
            <w:tcBorders>
              <w:top w:val="single" w:sz="8" w:space="0" w:color="auto"/>
              <w:left w:val="nil"/>
              <w:bottom w:val="single" w:sz="8" w:space="0" w:color="auto"/>
              <w:right w:val="nil"/>
            </w:tcBorders>
            <w:shd w:val="clear" w:color="auto" w:fill="auto"/>
          </w:tcPr>
          <w:p w14:paraId="1C712CFE" w14:textId="77777777" w:rsidR="007F0E10" w:rsidRPr="00D20211" w:rsidRDefault="007F0E10" w:rsidP="00AB5F18">
            <w:pPr>
              <w:autoSpaceDE w:val="0"/>
              <w:autoSpaceDN w:val="0"/>
              <w:adjustRightInd w:val="0"/>
              <w:spacing w:after="0" w:line="240" w:lineRule="auto"/>
              <w:jc w:val="both"/>
              <w:rPr>
                <w:rFonts w:cstheme="minorHAnsi"/>
                <w:b/>
              </w:rPr>
            </w:pPr>
            <w:r w:rsidRPr="00D20211">
              <w:rPr>
                <w:rFonts w:cstheme="minorHAnsi"/>
                <w:b/>
              </w:rPr>
              <w:t>Phone</w:t>
            </w:r>
          </w:p>
        </w:tc>
        <w:tc>
          <w:tcPr>
            <w:tcW w:w="2520" w:type="dxa"/>
            <w:tcBorders>
              <w:top w:val="single" w:sz="8" w:space="0" w:color="auto"/>
              <w:left w:val="nil"/>
              <w:bottom w:val="single" w:sz="8" w:space="0" w:color="auto"/>
              <w:right w:val="nil"/>
            </w:tcBorders>
            <w:shd w:val="clear" w:color="auto" w:fill="auto"/>
          </w:tcPr>
          <w:p w14:paraId="3CD7E058" w14:textId="77777777" w:rsidR="007F0E10" w:rsidRPr="00D20211" w:rsidRDefault="007F0E10" w:rsidP="00AB5F18">
            <w:pPr>
              <w:autoSpaceDE w:val="0"/>
              <w:autoSpaceDN w:val="0"/>
              <w:adjustRightInd w:val="0"/>
              <w:spacing w:after="0" w:line="240" w:lineRule="auto"/>
              <w:jc w:val="both"/>
              <w:rPr>
                <w:rFonts w:cstheme="minorHAnsi"/>
                <w:b/>
              </w:rPr>
            </w:pPr>
            <w:r w:rsidRPr="00D20211">
              <w:rPr>
                <w:rFonts w:cstheme="minorHAnsi"/>
                <w:b/>
              </w:rPr>
              <w:t>Email</w:t>
            </w:r>
          </w:p>
        </w:tc>
      </w:tr>
      <w:tr w:rsidR="00E410B4" w:rsidRPr="00D20211" w14:paraId="56D7303F" w14:textId="77777777" w:rsidTr="00AB5F18">
        <w:tc>
          <w:tcPr>
            <w:tcW w:w="9360" w:type="dxa"/>
            <w:gridSpan w:val="7"/>
            <w:tcBorders>
              <w:top w:val="single" w:sz="8" w:space="0" w:color="auto"/>
              <w:left w:val="nil"/>
              <w:bottom w:val="single" w:sz="8" w:space="0" w:color="auto"/>
              <w:right w:val="nil"/>
            </w:tcBorders>
            <w:shd w:val="clear" w:color="auto" w:fill="auto"/>
            <w:vAlign w:val="center"/>
          </w:tcPr>
          <w:p w14:paraId="429E8814" w14:textId="09A59F83" w:rsidR="00E410B4" w:rsidRDefault="00E410B4" w:rsidP="00E410B4">
            <w:pPr>
              <w:autoSpaceDE w:val="0"/>
              <w:autoSpaceDN w:val="0"/>
              <w:adjustRightInd w:val="0"/>
              <w:spacing w:after="0" w:line="240" w:lineRule="auto"/>
              <w:jc w:val="both"/>
            </w:pPr>
            <w:r w:rsidRPr="00D20211">
              <w:rPr>
                <w:rFonts w:cstheme="minorHAnsi"/>
                <w:i/>
                <w:sz w:val="20"/>
                <w:szCs w:val="20"/>
              </w:rPr>
              <w:t>OUTSIDE CONSULTANTS</w:t>
            </w:r>
          </w:p>
        </w:tc>
      </w:tr>
      <w:tr w:rsidR="0045200F" w:rsidRPr="00D20211" w14:paraId="7DD75E5F" w14:textId="77777777" w:rsidTr="00BD1812">
        <w:tc>
          <w:tcPr>
            <w:tcW w:w="2340" w:type="dxa"/>
            <w:tcBorders>
              <w:top w:val="single" w:sz="8" w:space="0" w:color="auto"/>
              <w:left w:val="nil"/>
              <w:bottom w:val="single" w:sz="8" w:space="0" w:color="auto"/>
              <w:right w:val="nil"/>
            </w:tcBorders>
            <w:shd w:val="clear" w:color="auto" w:fill="auto"/>
            <w:vAlign w:val="center"/>
          </w:tcPr>
          <w:p w14:paraId="75C16544" w14:textId="77777777" w:rsidR="0045200F" w:rsidRPr="00D20211" w:rsidRDefault="0045200F" w:rsidP="005A3BAA">
            <w:pPr>
              <w:autoSpaceDE w:val="0"/>
              <w:autoSpaceDN w:val="0"/>
              <w:adjustRightInd w:val="0"/>
              <w:spacing w:after="0" w:line="240" w:lineRule="auto"/>
              <w:jc w:val="both"/>
              <w:rPr>
                <w:rFonts w:cstheme="minorHAnsi"/>
                <w:sz w:val="20"/>
                <w:szCs w:val="20"/>
              </w:rPr>
            </w:pPr>
            <w:r>
              <w:rPr>
                <w:rFonts w:cstheme="minorHAnsi"/>
                <w:sz w:val="20"/>
                <w:szCs w:val="20"/>
              </w:rPr>
              <w:t xml:space="preserve">David Dyjack, DrPH </w:t>
            </w:r>
          </w:p>
        </w:tc>
        <w:tc>
          <w:tcPr>
            <w:tcW w:w="1350" w:type="dxa"/>
            <w:gridSpan w:val="2"/>
            <w:tcBorders>
              <w:top w:val="single" w:sz="8" w:space="0" w:color="auto"/>
              <w:left w:val="nil"/>
              <w:bottom w:val="single" w:sz="8" w:space="0" w:color="auto"/>
              <w:right w:val="nil"/>
            </w:tcBorders>
            <w:shd w:val="clear" w:color="auto" w:fill="auto"/>
            <w:vAlign w:val="center"/>
          </w:tcPr>
          <w:p w14:paraId="1756EA4D" w14:textId="77777777" w:rsidR="0045200F" w:rsidRPr="00D20211" w:rsidRDefault="0045200F" w:rsidP="005A3BAA">
            <w:pPr>
              <w:autoSpaceDE w:val="0"/>
              <w:autoSpaceDN w:val="0"/>
              <w:adjustRightInd w:val="0"/>
              <w:spacing w:after="0" w:line="240" w:lineRule="auto"/>
              <w:jc w:val="both"/>
              <w:rPr>
                <w:rFonts w:cstheme="minorHAnsi"/>
                <w:sz w:val="20"/>
                <w:szCs w:val="20"/>
              </w:rPr>
            </w:pPr>
            <w:r>
              <w:rPr>
                <w:rFonts w:cstheme="minorHAnsi"/>
                <w:sz w:val="20"/>
                <w:szCs w:val="20"/>
              </w:rPr>
              <w:t>Executive Director</w:t>
            </w:r>
          </w:p>
        </w:tc>
        <w:tc>
          <w:tcPr>
            <w:tcW w:w="1530" w:type="dxa"/>
            <w:gridSpan w:val="2"/>
            <w:tcBorders>
              <w:top w:val="single" w:sz="8" w:space="0" w:color="auto"/>
              <w:left w:val="nil"/>
              <w:bottom w:val="single" w:sz="8" w:space="0" w:color="auto"/>
              <w:right w:val="nil"/>
            </w:tcBorders>
            <w:shd w:val="clear" w:color="auto" w:fill="auto"/>
            <w:vAlign w:val="center"/>
          </w:tcPr>
          <w:p w14:paraId="7C67448A" w14:textId="77777777" w:rsidR="0045200F" w:rsidRPr="00D20211" w:rsidRDefault="0045200F" w:rsidP="005A3BAA">
            <w:pPr>
              <w:autoSpaceDE w:val="0"/>
              <w:autoSpaceDN w:val="0"/>
              <w:adjustRightInd w:val="0"/>
              <w:spacing w:after="0" w:line="240" w:lineRule="auto"/>
              <w:jc w:val="both"/>
              <w:rPr>
                <w:rFonts w:cstheme="minorHAnsi"/>
                <w:sz w:val="20"/>
                <w:szCs w:val="20"/>
              </w:rPr>
            </w:pPr>
            <w:r>
              <w:rPr>
                <w:rFonts w:cstheme="minorHAnsi"/>
                <w:sz w:val="20"/>
                <w:szCs w:val="20"/>
              </w:rPr>
              <w:t>National Environmental Health Association</w:t>
            </w:r>
          </w:p>
        </w:tc>
        <w:tc>
          <w:tcPr>
            <w:tcW w:w="1620" w:type="dxa"/>
            <w:tcBorders>
              <w:top w:val="single" w:sz="8" w:space="0" w:color="auto"/>
              <w:left w:val="nil"/>
              <w:bottom w:val="single" w:sz="8" w:space="0" w:color="auto"/>
              <w:right w:val="nil"/>
            </w:tcBorders>
            <w:shd w:val="clear" w:color="auto" w:fill="auto"/>
            <w:vAlign w:val="center"/>
          </w:tcPr>
          <w:p w14:paraId="20BD67A8" w14:textId="77777777" w:rsidR="0045200F" w:rsidRPr="00BD1812" w:rsidRDefault="0045200F" w:rsidP="005A3BAA">
            <w:pPr>
              <w:autoSpaceDE w:val="0"/>
              <w:autoSpaceDN w:val="0"/>
              <w:adjustRightInd w:val="0"/>
              <w:spacing w:after="0" w:line="240" w:lineRule="auto"/>
              <w:jc w:val="both"/>
              <w:rPr>
                <w:rFonts w:cstheme="minorHAnsi"/>
                <w:sz w:val="20"/>
                <w:szCs w:val="20"/>
              </w:rPr>
            </w:pPr>
            <w:r w:rsidRPr="00BD1812">
              <w:rPr>
                <w:rFonts w:cstheme="minorHAnsi"/>
                <w:sz w:val="20"/>
                <w:szCs w:val="20"/>
              </w:rPr>
              <w:t>(303) 756-9090</w:t>
            </w:r>
          </w:p>
        </w:tc>
        <w:tc>
          <w:tcPr>
            <w:tcW w:w="2520" w:type="dxa"/>
            <w:tcBorders>
              <w:top w:val="single" w:sz="8" w:space="0" w:color="auto"/>
              <w:left w:val="nil"/>
              <w:bottom w:val="single" w:sz="8" w:space="0" w:color="auto"/>
              <w:right w:val="nil"/>
            </w:tcBorders>
            <w:shd w:val="clear" w:color="auto" w:fill="auto"/>
            <w:vAlign w:val="center"/>
          </w:tcPr>
          <w:p w14:paraId="1D3E65E2" w14:textId="77777777" w:rsidR="0045200F" w:rsidRPr="008975D3" w:rsidRDefault="0045200F" w:rsidP="005A3BAA">
            <w:pPr>
              <w:autoSpaceDE w:val="0"/>
              <w:autoSpaceDN w:val="0"/>
              <w:adjustRightInd w:val="0"/>
              <w:spacing w:after="0" w:line="240" w:lineRule="auto"/>
              <w:jc w:val="both"/>
              <w:rPr>
                <w:rFonts w:cstheme="minorHAnsi"/>
                <w:sz w:val="20"/>
                <w:szCs w:val="20"/>
              </w:rPr>
            </w:pPr>
            <w:r w:rsidRPr="00BD1812">
              <w:rPr>
                <w:sz w:val="20"/>
              </w:rPr>
              <w:t>ddyjack@neha.org</w:t>
            </w:r>
          </w:p>
        </w:tc>
      </w:tr>
      <w:tr w:rsidR="0045200F" w14:paraId="48881985" w14:textId="77777777" w:rsidTr="00BD1812">
        <w:tc>
          <w:tcPr>
            <w:tcW w:w="2340" w:type="dxa"/>
            <w:tcBorders>
              <w:top w:val="single" w:sz="8" w:space="0" w:color="auto"/>
              <w:left w:val="nil"/>
              <w:bottom w:val="single" w:sz="8" w:space="0" w:color="auto"/>
              <w:right w:val="nil"/>
            </w:tcBorders>
            <w:shd w:val="clear" w:color="auto" w:fill="auto"/>
            <w:vAlign w:val="center"/>
          </w:tcPr>
          <w:p w14:paraId="4A4C6975" w14:textId="77777777" w:rsidR="0045200F" w:rsidRDefault="0045200F" w:rsidP="005A3BAA">
            <w:pPr>
              <w:autoSpaceDE w:val="0"/>
              <w:autoSpaceDN w:val="0"/>
              <w:adjustRightInd w:val="0"/>
              <w:spacing w:after="0" w:line="240" w:lineRule="auto"/>
              <w:jc w:val="both"/>
              <w:rPr>
                <w:rFonts w:cstheme="minorHAnsi"/>
                <w:sz w:val="20"/>
                <w:szCs w:val="20"/>
              </w:rPr>
            </w:pPr>
            <w:r>
              <w:rPr>
                <w:rFonts w:cstheme="minorHAnsi"/>
                <w:sz w:val="20"/>
                <w:szCs w:val="20"/>
              </w:rPr>
              <w:t>Sandra Whitehead, PhD</w:t>
            </w:r>
          </w:p>
        </w:tc>
        <w:tc>
          <w:tcPr>
            <w:tcW w:w="1350" w:type="dxa"/>
            <w:gridSpan w:val="2"/>
            <w:tcBorders>
              <w:top w:val="single" w:sz="8" w:space="0" w:color="auto"/>
              <w:left w:val="nil"/>
              <w:bottom w:val="single" w:sz="8" w:space="0" w:color="auto"/>
              <w:right w:val="nil"/>
            </w:tcBorders>
            <w:shd w:val="clear" w:color="auto" w:fill="auto"/>
            <w:vAlign w:val="center"/>
          </w:tcPr>
          <w:p w14:paraId="70768C96" w14:textId="2A5C9994" w:rsidR="0045200F" w:rsidRPr="00D20211" w:rsidRDefault="0045200F" w:rsidP="00BD1812">
            <w:pPr>
              <w:autoSpaceDE w:val="0"/>
              <w:autoSpaceDN w:val="0"/>
              <w:adjustRightInd w:val="0"/>
              <w:spacing w:after="0" w:line="240" w:lineRule="auto"/>
              <w:rPr>
                <w:rFonts w:cstheme="minorHAnsi"/>
                <w:sz w:val="20"/>
                <w:szCs w:val="20"/>
              </w:rPr>
            </w:pPr>
            <w:r>
              <w:rPr>
                <w:rFonts w:cstheme="minorHAnsi"/>
                <w:sz w:val="20"/>
                <w:szCs w:val="20"/>
              </w:rPr>
              <w:t>Manager, Research</w:t>
            </w:r>
            <w:r w:rsidR="00BD1812">
              <w:rPr>
                <w:rFonts w:cstheme="minorHAnsi"/>
                <w:sz w:val="20"/>
                <w:szCs w:val="20"/>
              </w:rPr>
              <w:t xml:space="preserve"> </w:t>
            </w:r>
            <w:r>
              <w:rPr>
                <w:rFonts w:cstheme="minorHAnsi"/>
                <w:sz w:val="20"/>
                <w:szCs w:val="20"/>
              </w:rPr>
              <w:t>&amp; Development</w:t>
            </w:r>
          </w:p>
        </w:tc>
        <w:tc>
          <w:tcPr>
            <w:tcW w:w="1530" w:type="dxa"/>
            <w:gridSpan w:val="2"/>
            <w:tcBorders>
              <w:top w:val="single" w:sz="8" w:space="0" w:color="auto"/>
              <w:left w:val="nil"/>
              <w:bottom w:val="single" w:sz="8" w:space="0" w:color="auto"/>
              <w:right w:val="nil"/>
            </w:tcBorders>
            <w:shd w:val="clear" w:color="auto" w:fill="auto"/>
            <w:vAlign w:val="center"/>
          </w:tcPr>
          <w:p w14:paraId="0EFC4397" w14:textId="77777777" w:rsidR="0045200F" w:rsidRPr="00D20211" w:rsidRDefault="0045200F" w:rsidP="005A3BAA">
            <w:pPr>
              <w:autoSpaceDE w:val="0"/>
              <w:autoSpaceDN w:val="0"/>
              <w:adjustRightInd w:val="0"/>
              <w:spacing w:after="0" w:line="240" w:lineRule="auto"/>
              <w:jc w:val="both"/>
              <w:rPr>
                <w:rFonts w:cstheme="minorHAnsi"/>
                <w:sz w:val="20"/>
                <w:szCs w:val="20"/>
              </w:rPr>
            </w:pPr>
            <w:r>
              <w:rPr>
                <w:rFonts w:cstheme="minorHAnsi"/>
                <w:sz w:val="20"/>
                <w:szCs w:val="20"/>
              </w:rPr>
              <w:t>National Environmental Health Association</w:t>
            </w:r>
          </w:p>
        </w:tc>
        <w:tc>
          <w:tcPr>
            <w:tcW w:w="1620" w:type="dxa"/>
            <w:tcBorders>
              <w:top w:val="single" w:sz="8" w:space="0" w:color="auto"/>
              <w:left w:val="nil"/>
              <w:bottom w:val="single" w:sz="8" w:space="0" w:color="auto"/>
              <w:right w:val="nil"/>
            </w:tcBorders>
            <w:shd w:val="clear" w:color="auto" w:fill="auto"/>
            <w:vAlign w:val="center"/>
          </w:tcPr>
          <w:p w14:paraId="7EB9BD4F" w14:textId="77777777" w:rsidR="0045200F" w:rsidRPr="00BD1812" w:rsidRDefault="0045200F" w:rsidP="005A3BAA">
            <w:pPr>
              <w:autoSpaceDE w:val="0"/>
              <w:autoSpaceDN w:val="0"/>
              <w:adjustRightInd w:val="0"/>
              <w:spacing w:after="0" w:line="240" w:lineRule="auto"/>
              <w:jc w:val="both"/>
              <w:rPr>
                <w:rFonts w:cstheme="minorHAnsi"/>
                <w:sz w:val="20"/>
                <w:szCs w:val="20"/>
              </w:rPr>
            </w:pPr>
            <w:r w:rsidRPr="00BD1812">
              <w:rPr>
                <w:rFonts w:cstheme="minorHAnsi"/>
                <w:sz w:val="20"/>
                <w:szCs w:val="20"/>
              </w:rPr>
              <w:t xml:space="preserve">(850) 727-2431 </w:t>
            </w:r>
          </w:p>
        </w:tc>
        <w:tc>
          <w:tcPr>
            <w:tcW w:w="2520" w:type="dxa"/>
            <w:tcBorders>
              <w:top w:val="single" w:sz="8" w:space="0" w:color="auto"/>
              <w:left w:val="nil"/>
              <w:bottom w:val="single" w:sz="8" w:space="0" w:color="auto"/>
              <w:right w:val="nil"/>
            </w:tcBorders>
            <w:shd w:val="clear" w:color="auto" w:fill="auto"/>
            <w:vAlign w:val="center"/>
          </w:tcPr>
          <w:p w14:paraId="36A08E83" w14:textId="77777777" w:rsidR="0045200F" w:rsidRPr="00BD1812" w:rsidRDefault="0045200F" w:rsidP="005A3BAA">
            <w:pPr>
              <w:autoSpaceDE w:val="0"/>
              <w:autoSpaceDN w:val="0"/>
              <w:adjustRightInd w:val="0"/>
              <w:spacing w:after="0" w:line="240" w:lineRule="auto"/>
              <w:jc w:val="both"/>
              <w:rPr>
                <w:sz w:val="20"/>
              </w:rPr>
            </w:pPr>
            <w:r w:rsidRPr="00BD1812">
              <w:rPr>
                <w:sz w:val="20"/>
              </w:rPr>
              <w:t>swhitehead@neha.org</w:t>
            </w:r>
          </w:p>
        </w:tc>
      </w:tr>
      <w:tr w:rsidR="00E410B4" w:rsidRPr="00D20211" w14:paraId="71E6B71C" w14:textId="77777777" w:rsidTr="00AB5F18">
        <w:tc>
          <w:tcPr>
            <w:tcW w:w="9360" w:type="dxa"/>
            <w:gridSpan w:val="7"/>
            <w:tcBorders>
              <w:top w:val="single" w:sz="8" w:space="0" w:color="auto"/>
              <w:left w:val="nil"/>
              <w:bottom w:val="single" w:sz="8" w:space="0" w:color="auto"/>
              <w:right w:val="nil"/>
            </w:tcBorders>
            <w:shd w:val="clear" w:color="auto" w:fill="auto"/>
            <w:vAlign w:val="center"/>
          </w:tcPr>
          <w:p w14:paraId="52646E42" w14:textId="77777777" w:rsidR="00E410B4" w:rsidRPr="00D20211" w:rsidRDefault="00E410B4" w:rsidP="00E410B4">
            <w:pPr>
              <w:pStyle w:val="PlainText"/>
              <w:jc w:val="both"/>
              <w:rPr>
                <w:rFonts w:asciiTheme="minorHAnsi" w:hAnsiTheme="minorHAnsi" w:cstheme="minorHAnsi"/>
                <w:i/>
                <w:sz w:val="20"/>
                <w:szCs w:val="20"/>
              </w:rPr>
            </w:pPr>
            <w:r w:rsidRPr="00D20211">
              <w:rPr>
                <w:rFonts w:asciiTheme="minorHAnsi" w:hAnsiTheme="minorHAnsi" w:cstheme="minorHAnsi"/>
                <w:i/>
                <w:sz w:val="20"/>
                <w:szCs w:val="20"/>
              </w:rPr>
              <w:t>ACADEMIC INSTITUTIONS</w:t>
            </w:r>
          </w:p>
        </w:tc>
      </w:tr>
      <w:tr w:rsidR="0045200F" w:rsidRPr="00D20211" w14:paraId="767B28F8" w14:textId="77777777" w:rsidTr="00BD1812">
        <w:tc>
          <w:tcPr>
            <w:tcW w:w="2340" w:type="dxa"/>
            <w:tcBorders>
              <w:top w:val="single" w:sz="8" w:space="0" w:color="auto"/>
              <w:left w:val="nil"/>
              <w:bottom w:val="single" w:sz="8" w:space="0" w:color="auto"/>
              <w:right w:val="nil"/>
            </w:tcBorders>
            <w:shd w:val="clear" w:color="auto" w:fill="auto"/>
            <w:vAlign w:val="center"/>
          </w:tcPr>
          <w:p w14:paraId="5E655839" w14:textId="77777777" w:rsidR="0045200F" w:rsidRPr="00D20211" w:rsidRDefault="0045200F" w:rsidP="005A3BAA">
            <w:pPr>
              <w:autoSpaceDE w:val="0"/>
              <w:autoSpaceDN w:val="0"/>
              <w:adjustRightInd w:val="0"/>
              <w:spacing w:after="0" w:line="240" w:lineRule="auto"/>
              <w:rPr>
                <w:rFonts w:cstheme="minorHAnsi"/>
                <w:sz w:val="20"/>
                <w:szCs w:val="20"/>
              </w:rPr>
            </w:pPr>
            <w:r>
              <w:rPr>
                <w:rFonts w:cstheme="minorHAnsi"/>
                <w:sz w:val="20"/>
                <w:szCs w:val="20"/>
              </w:rPr>
              <w:t>Bryan Brooks</w:t>
            </w:r>
            <w:r w:rsidRPr="00D20211">
              <w:rPr>
                <w:rFonts w:cstheme="minorHAnsi"/>
                <w:sz w:val="20"/>
                <w:szCs w:val="20"/>
              </w:rPr>
              <w:t>, PhD</w:t>
            </w:r>
          </w:p>
        </w:tc>
        <w:tc>
          <w:tcPr>
            <w:tcW w:w="1350" w:type="dxa"/>
            <w:gridSpan w:val="2"/>
            <w:tcBorders>
              <w:top w:val="single" w:sz="8" w:space="0" w:color="auto"/>
              <w:left w:val="nil"/>
              <w:bottom w:val="single" w:sz="8" w:space="0" w:color="auto"/>
              <w:right w:val="nil"/>
            </w:tcBorders>
            <w:shd w:val="clear" w:color="auto" w:fill="auto"/>
            <w:vAlign w:val="center"/>
          </w:tcPr>
          <w:p w14:paraId="70F659EC" w14:textId="77777777" w:rsidR="0045200F" w:rsidRPr="00D20211" w:rsidRDefault="0045200F" w:rsidP="005A3BAA">
            <w:pPr>
              <w:autoSpaceDE w:val="0"/>
              <w:autoSpaceDN w:val="0"/>
              <w:adjustRightInd w:val="0"/>
              <w:spacing w:after="0" w:line="240" w:lineRule="auto"/>
              <w:rPr>
                <w:rFonts w:cstheme="minorHAnsi"/>
                <w:sz w:val="20"/>
                <w:szCs w:val="20"/>
              </w:rPr>
            </w:pPr>
            <w:r>
              <w:rPr>
                <w:rFonts w:cstheme="minorHAnsi"/>
                <w:sz w:val="20"/>
                <w:szCs w:val="20"/>
              </w:rPr>
              <w:t>Professor, Environmental Health Sciences</w:t>
            </w:r>
          </w:p>
        </w:tc>
        <w:tc>
          <w:tcPr>
            <w:tcW w:w="1530" w:type="dxa"/>
            <w:gridSpan w:val="2"/>
            <w:tcBorders>
              <w:top w:val="single" w:sz="8" w:space="0" w:color="auto"/>
              <w:left w:val="nil"/>
              <w:bottom w:val="single" w:sz="8" w:space="0" w:color="auto"/>
              <w:right w:val="nil"/>
            </w:tcBorders>
            <w:shd w:val="clear" w:color="auto" w:fill="auto"/>
            <w:vAlign w:val="center"/>
          </w:tcPr>
          <w:p w14:paraId="35E49D0F" w14:textId="77777777" w:rsidR="0045200F" w:rsidRPr="00D20211" w:rsidRDefault="0045200F" w:rsidP="005A3BAA">
            <w:pPr>
              <w:autoSpaceDE w:val="0"/>
              <w:autoSpaceDN w:val="0"/>
              <w:adjustRightInd w:val="0"/>
              <w:spacing w:after="0" w:line="240" w:lineRule="auto"/>
              <w:rPr>
                <w:rFonts w:cstheme="minorHAnsi"/>
                <w:sz w:val="20"/>
                <w:szCs w:val="20"/>
              </w:rPr>
            </w:pPr>
            <w:r>
              <w:rPr>
                <w:rFonts w:cstheme="minorHAnsi"/>
                <w:sz w:val="20"/>
                <w:szCs w:val="20"/>
              </w:rPr>
              <w:t>Baylor University</w:t>
            </w:r>
          </w:p>
        </w:tc>
        <w:tc>
          <w:tcPr>
            <w:tcW w:w="1620" w:type="dxa"/>
            <w:tcBorders>
              <w:top w:val="single" w:sz="8" w:space="0" w:color="auto"/>
              <w:left w:val="nil"/>
              <w:bottom w:val="single" w:sz="8" w:space="0" w:color="auto"/>
              <w:right w:val="nil"/>
            </w:tcBorders>
            <w:shd w:val="clear" w:color="auto" w:fill="auto"/>
            <w:vAlign w:val="center"/>
          </w:tcPr>
          <w:p w14:paraId="1E6A18B3" w14:textId="77777777" w:rsidR="0045200F" w:rsidRPr="00BD1812" w:rsidRDefault="0045200F" w:rsidP="005A3BAA">
            <w:pPr>
              <w:autoSpaceDE w:val="0"/>
              <w:autoSpaceDN w:val="0"/>
              <w:adjustRightInd w:val="0"/>
              <w:spacing w:after="0" w:line="240" w:lineRule="auto"/>
              <w:jc w:val="both"/>
              <w:rPr>
                <w:rFonts w:cstheme="minorHAnsi"/>
                <w:sz w:val="20"/>
                <w:szCs w:val="20"/>
              </w:rPr>
            </w:pPr>
            <w:r w:rsidRPr="00BD1812">
              <w:rPr>
                <w:rFonts w:cstheme="minorHAnsi"/>
                <w:sz w:val="20"/>
                <w:szCs w:val="20"/>
              </w:rPr>
              <w:t>(254) 710-6553</w:t>
            </w:r>
          </w:p>
        </w:tc>
        <w:tc>
          <w:tcPr>
            <w:tcW w:w="2520" w:type="dxa"/>
            <w:tcBorders>
              <w:top w:val="single" w:sz="8" w:space="0" w:color="auto"/>
              <w:left w:val="nil"/>
              <w:bottom w:val="single" w:sz="8" w:space="0" w:color="auto"/>
              <w:right w:val="nil"/>
            </w:tcBorders>
            <w:shd w:val="clear" w:color="auto" w:fill="auto"/>
            <w:vAlign w:val="center"/>
          </w:tcPr>
          <w:p w14:paraId="6742531B" w14:textId="77777777" w:rsidR="0045200F" w:rsidRPr="00D20211" w:rsidRDefault="0045200F" w:rsidP="005A3BAA">
            <w:pPr>
              <w:autoSpaceDE w:val="0"/>
              <w:autoSpaceDN w:val="0"/>
              <w:adjustRightInd w:val="0"/>
              <w:spacing w:after="0" w:line="240" w:lineRule="auto"/>
              <w:jc w:val="both"/>
              <w:rPr>
                <w:rFonts w:cstheme="minorHAnsi"/>
                <w:sz w:val="20"/>
                <w:szCs w:val="20"/>
              </w:rPr>
            </w:pPr>
            <w:r>
              <w:rPr>
                <w:rFonts w:cstheme="minorHAnsi"/>
                <w:sz w:val="20"/>
                <w:szCs w:val="20"/>
              </w:rPr>
              <w:t>Bryan_Brooks@baylor.edu</w:t>
            </w:r>
          </w:p>
        </w:tc>
      </w:tr>
      <w:tr w:rsidR="0045200F" w:rsidRPr="00D20211" w14:paraId="524C2F0B" w14:textId="77777777" w:rsidTr="00BD1812">
        <w:tc>
          <w:tcPr>
            <w:tcW w:w="2340" w:type="dxa"/>
            <w:tcBorders>
              <w:top w:val="single" w:sz="8" w:space="0" w:color="auto"/>
              <w:left w:val="nil"/>
              <w:bottom w:val="single" w:sz="8" w:space="0" w:color="auto"/>
              <w:right w:val="nil"/>
            </w:tcBorders>
            <w:vAlign w:val="center"/>
          </w:tcPr>
          <w:p w14:paraId="6DDF9D17" w14:textId="77777777" w:rsidR="0045200F" w:rsidRPr="00D20211" w:rsidRDefault="0045200F" w:rsidP="005A3BAA">
            <w:pPr>
              <w:autoSpaceDE w:val="0"/>
              <w:autoSpaceDN w:val="0"/>
              <w:adjustRightInd w:val="0"/>
              <w:spacing w:after="0" w:line="240" w:lineRule="auto"/>
              <w:jc w:val="both"/>
              <w:rPr>
                <w:rFonts w:cstheme="minorHAnsi"/>
                <w:sz w:val="20"/>
                <w:szCs w:val="20"/>
              </w:rPr>
            </w:pPr>
            <w:r>
              <w:rPr>
                <w:rFonts w:cstheme="minorHAnsi"/>
                <w:sz w:val="20"/>
                <w:szCs w:val="20"/>
              </w:rPr>
              <w:t>Murray Rudd, PhD</w:t>
            </w:r>
          </w:p>
        </w:tc>
        <w:tc>
          <w:tcPr>
            <w:tcW w:w="1350" w:type="dxa"/>
            <w:gridSpan w:val="2"/>
            <w:tcBorders>
              <w:top w:val="single" w:sz="8" w:space="0" w:color="auto"/>
              <w:left w:val="nil"/>
              <w:bottom w:val="single" w:sz="8" w:space="0" w:color="auto"/>
              <w:right w:val="nil"/>
            </w:tcBorders>
            <w:vAlign w:val="center"/>
          </w:tcPr>
          <w:p w14:paraId="369A63E2" w14:textId="77777777" w:rsidR="0045200F" w:rsidRPr="00D20211" w:rsidRDefault="0045200F" w:rsidP="005A3BAA">
            <w:pPr>
              <w:autoSpaceDE w:val="0"/>
              <w:autoSpaceDN w:val="0"/>
              <w:adjustRightInd w:val="0"/>
              <w:spacing w:after="0" w:line="240" w:lineRule="auto"/>
              <w:jc w:val="both"/>
              <w:rPr>
                <w:rFonts w:cstheme="minorHAnsi"/>
                <w:sz w:val="20"/>
                <w:szCs w:val="20"/>
              </w:rPr>
            </w:pPr>
            <w:r>
              <w:rPr>
                <w:rFonts w:cstheme="minorHAnsi"/>
                <w:sz w:val="20"/>
                <w:szCs w:val="20"/>
              </w:rPr>
              <w:t>Associate Professor, Department of Environmental Sciences</w:t>
            </w:r>
          </w:p>
        </w:tc>
        <w:tc>
          <w:tcPr>
            <w:tcW w:w="1530" w:type="dxa"/>
            <w:gridSpan w:val="2"/>
            <w:tcBorders>
              <w:top w:val="single" w:sz="8" w:space="0" w:color="auto"/>
              <w:left w:val="nil"/>
              <w:bottom w:val="single" w:sz="8" w:space="0" w:color="auto"/>
              <w:right w:val="nil"/>
            </w:tcBorders>
            <w:vAlign w:val="center"/>
          </w:tcPr>
          <w:p w14:paraId="5BF69790" w14:textId="77777777" w:rsidR="0045200F" w:rsidRPr="00D20211" w:rsidRDefault="0045200F" w:rsidP="005A3BAA">
            <w:pPr>
              <w:autoSpaceDE w:val="0"/>
              <w:autoSpaceDN w:val="0"/>
              <w:adjustRightInd w:val="0"/>
              <w:spacing w:after="0" w:line="240" w:lineRule="auto"/>
              <w:jc w:val="both"/>
              <w:rPr>
                <w:rFonts w:cstheme="minorHAnsi"/>
                <w:sz w:val="20"/>
                <w:szCs w:val="20"/>
              </w:rPr>
            </w:pPr>
            <w:r>
              <w:rPr>
                <w:rFonts w:cstheme="minorHAnsi"/>
                <w:sz w:val="20"/>
                <w:szCs w:val="20"/>
              </w:rPr>
              <w:t>Emory University</w:t>
            </w:r>
          </w:p>
        </w:tc>
        <w:tc>
          <w:tcPr>
            <w:tcW w:w="1620" w:type="dxa"/>
            <w:tcBorders>
              <w:top w:val="single" w:sz="8" w:space="0" w:color="auto"/>
              <w:left w:val="nil"/>
              <w:bottom w:val="single" w:sz="8" w:space="0" w:color="auto"/>
              <w:right w:val="nil"/>
            </w:tcBorders>
            <w:vAlign w:val="center"/>
          </w:tcPr>
          <w:p w14:paraId="1E214D93" w14:textId="77777777" w:rsidR="0045200F" w:rsidRPr="00BD1812" w:rsidRDefault="0045200F" w:rsidP="005A3BAA">
            <w:pPr>
              <w:autoSpaceDE w:val="0"/>
              <w:autoSpaceDN w:val="0"/>
              <w:adjustRightInd w:val="0"/>
              <w:spacing w:after="0" w:line="240" w:lineRule="auto"/>
              <w:jc w:val="both"/>
              <w:rPr>
                <w:rFonts w:cstheme="minorHAnsi"/>
                <w:sz w:val="20"/>
                <w:szCs w:val="20"/>
              </w:rPr>
            </w:pPr>
            <w:r w:rsidRPr="00BD1812">
              <w:rPr>
                <w:rFonts w:cstheme="minorHAnsi"/>
                <w:sz w:val="20"/>
                <w:szCs w:val="20"/>
              </w:rPr>
              <w:t>(404) 727-3262</w:t>
            </w:r>
          </w:p>
        </w:tc>
        <w:tc>
          <w:tcPr>
            <w:tcW w:w="2520" w:type="dxa"/>
            <w:tcBorders>
              <w:top w:val="single" w:sz="8" w:space="0" w:color="auto"/>
              <w:left w:val="nil"/>
              <w:bottom w:val="single" w:sz="8" w:space="0" w:color="auto"/>
              <w:right w:val="nil"/>
            </w:tcBorders>
            <w:vAlign w:val="center"/>
          </w:tcPr>
          <w:p w14:paraId="7EA9C735" w14:textId="77777777" w:rsidR="0045200F" w:rsidRPr="00D20211" w:rsidRDefault="0045200F" w:rsidP="005A3BAA">
            <w:pPr>
              <w:autoSpaceDE w:val="0"/>
              <w:autoSpaceDN w:val="0"/>
              <w:adjustRightInd w:val="0"/>
              <w:spacing w:after="0" w:line="240" w:lineRule="auto"/>
              <w:jc w:val="both"/>
              <w:rPr>
                <w:rFonts w:cstheme="minorHAnsi"/>
                <w:sz w:val="20"/>
                <w:szCs w:val="20"/>
              </w:rPr>
            </w:pPr>
            <w:r>
              <w:rPr>
                <w:rFonts w:cstheme="minorHAnsi"/>
                <w:sz w:val="20"/>
                <w:szCs w:val="20"/>
              </w:rPr>
              <w:t>murray.a.rudd@emory.edu</w:t>
            </w:r>
            <w:r w:rsidRPr="00D20211">
              <w:rPr>
                <w:rFonts w:cstheme="minorHAnsi"/>
                <w:sz w:val="20"/>
                <w:szCs w:val="20"/>
              </w:rPr>
              <w:t xml:space="preserve">  </w:t>
            </w:r>
          </w:p>
        </w:tc>
      </w:tr>
    </w:tbl>
    <w:p w14:paraId="7838E58E" w14:textId="77777777" w:rsidR="007F0E10" w:rsidRPr="007F0E10" w:rsidRDefault="007F0E10" w:rsidP="007F0E10">
      <w:pPr>
        <w:pStyle w:val="ListParagraph"/>
        <w:autoSpaceDE w:val="0"/>
        <w:autoSpaceDN w:val="0"/>
        <w:adjustRightInd w:val="0"/>
        <w:spacing w:line="240" w:lineRule="auto"/>
        <w:rPr>
          <w:rFonts w:cs="ITCFranklinGothicStd-Book"/>
          <w:sz w:val="24"/>
          <w:szCs w:val="24"/>
        </w:rPr>
      </w:pPr>
    </w:p>
    <w:p w14:paraId="39CB6336" w14:textId="68690084" w:rsidR="007F0E10" w:rsidRPr="007F0E10" w:rsidRDefault="007F0E10" w:rsidP="007F0E10">
      <w:pPr>
        <w:autoSpaceDE w:val="0"/>
        <w:autoSpaceDN w:val="0"/>
        <w:adjustRightInd w:val="0"/>
        <w:spacing w:after="0" w:line="240" w:lineRule="auto"/>
        <w:jc w:val="both"/>
        <w:rPr>
          <w:rFonts w:cstheme="minorHAnsi"/>
          <w:sz w:val="24"/>
          <w:szCs w:val="24"/>
        </w:rPr>
      </w:pPr>
      <w:r w:rsidRPr="007F0E10">
        <w:rPr>
          <w:rFonts w:cstheme="minorHAnsi"/>
          <w:b/>
          <w:sz w:val="24"/>
          <w:szCs w:val="24"/>
        </w:rPr>
        <w:t>Table 2.</w:t>
      </w:r>
      <w:r w:rsidRPr="007F0E10">
        <w:rPr>
          <w:rFonts w:cstheme="minorHAnsi"/>
          <w:sz w:val="24"/>
          <w:szCs w:val="24"/>
        </w:rPr>
        <w:t xml:space="preserve"> </w:t>
      </w:r>
      <w:r w:rsidR="00E410B4">
        <w:rPr>
          <w:rFonts w:cstheme="minorHAnsi"/>
          <w:sz w:val="24"/>
          <w:szCs w:val="24"/>
        </w:rPr>
        <w:t>Personnel Responsible for Collection and Analysis of Information</w:t>
      </w:r>
    </w:p>
    <w:p w14:paraId="4AA9D460" w14:textId="77777777" w:rsidR="007F0E10" w:rsidRPr="007F0E10" w:rsidRDefault="007F0E10" w:rsidP="007F0E10">
      <w:pPr>
        <w:pStyle w:val="ListParagraph"/>
        <w:autoSpaceDE w:val="0"/>
        <w:autoSpaceDN w:val="0"/>
        <w:adjustRightInd w:val="0"/>
        <w:spacing w:after="0" w:line="240" w:lineRule="auto"/>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559"/>
        <w:gridCol w:w="89"/>
        <w:gridCol w:w="1518"/>
        <w:gridCol w:w="8"/>
        <w:gridCol w:w="12"/>
        <w:gridCol w:w="1635"/>
        <w:gridCol w:w="29"/>
        <w:gridCol w:w="2431"/>
      </w:tblGrid>
      <w:tr w:rsidR="005A3BAA" w:rsidRPr="00D20211" w14:paraId="2DA5F27B" w14:textId="77777777" w:rsidTr="00C16100">
        <w:tc>
          <w:tcPr>
            <w:tcW w:w="2079" w:type="dxa"/>
            <w:tcBorders>
              <w:top w:val="single" w:sz="8" w:space="0" w:color="auto"/>
              <w:left w:val="nil"/>
              <w:bottom w:val="single" w:sz="8" w:space="0" w:color="auto"/>
              <w:right w:val="nil"/>
            </w:tcBorders>
          </w:tcPr>
          <w:p w14:paraId="704544D5" w14:textId="77777777" w:rsidR="007F0E10" w:rsidRPr="00D20211" w:rsidRDefault="007F0E10" w:rsidP="00AB5F18">
            <w:pPr>
              <w:autoSpaceDE w:val="0"/>
              <w:autoSpaceDN w:val="0"/>
              <w:adjustRightInd w:val="0"/>
              <w:spacing w:after="0" w:line="240" w:lineRule="auto"/>
              <w:jc w:val="both"/>
              <w:rPr>
                <w:rFonts w:cstheme="minorHAnsi"/>
                <w:b/>
              </w:rPr>
            </w:pPr>
            <w:r w:rsidRPr="00D20211">
              <w:rPr>
                <w:rFonts w:cstheme="minorHAnsi"/>
                <w:b/>
              </w:rPr>
              <w:t>Name</w:t>
            </w:r>
          </w:p>
        </w:tc>
        <w:tc>
          <w:tcPr>
            <w:tcW w:w="1559" w:type="dxa"/>
            <w:tcBorders>
              <w:top w:val="single" w:sz="8" w:space="0" w:color="auto"/>
              <w:left w:val="nil"/>
              <w:bottom w:val="single" w:sz="8" w:space="0" w:color="auto"/>
              <w:right w:val="nil"/>
            </w:tcBorders>
          </w:tcPr>
          <w:p w14:paraId="2C6E970A" w14:textId="77777777" w:rsidR="007F0E10" w:rsidRPr="00D20211" w:rsidRDefault="007F0E10" w:rsidP="00AB5F18">
            <w:pPr>
              <w:autoSpaceDE w:val="0"/>
              <w:autoSpaceDN w:val="0"/>
              <w:adjustRightInd w:val="0"/>
              <w:spacing w:after="0" w:line="240" w:lineRule="auto"/>
              <w:jc w:val="both"/>
              <w:rPr>
                <w:rFonts w:cstheme="minorHAnsi"/>
                <w:b/>
              </w:rPr>
            </w:pPr>
            <w:r w:rsidRPr="00D20211">
              <w:rPr>
                <w:rFonts w:cstheme="minorHAnsi"/>
                <w:b/>
              </w:rPr>
              <w:t>Title</w:t>
            </w:r>
          </w:p>
        </w:tc>
        <w:tc>
          <w:tcPr>
            <w:tcW w:w="1615" w:type="dxa"/>
            <w:gridSpan w:val="3"/>
            <w:tcBorders>
              <w:top w:val="single" w:sz="8" w:space="0" w:color="auto"/>
              <w:left w:val="nil"/>
              <w:bottom w:val="single" w:sz="8" w:space="0" w:color="auto"/>
              <w:right w:val="nil"/>
            </w:tcBorders>
          </w:tcPr>
          <w:p w14:paraId="29A5379F" w14:textId="77777777" w:rsidR="007F0E10" w:rsidRPr="00D20211" w:rsidRDefault="007F0E10" w:rsidP="00AB5F18">
            <w:pPr>
              <w:autoSpaceDE w:val="0"/>
              <w:autoSpaceDN w:val="0"/>
              <w:adjustRightInd w:val="0"/>
              <w:spacing w:after="0" w:line="240" w:lineRule="auto"/>
              <w:jc w:val="both"/>
              <w:rPr>
                <w:rFonts w:cstheme="minorHAnsi"/>
                <w:b/>
              </w:rPr>
            </w:pPr>
            <w:r w:rsidRPr="00D20211">
              <w:rPr>
                <w:rFonts w:cstheme="minorHAnsi"/>
                <w:b/>
              </w:rPr>
              <w:t>Affiliation</w:t>
            </w:r>
          </w:p>
        </w:tc>
        <w:tc>
          <w:tcPr>
            <w:tcW w:w="1676" w:type="dxa"/>
            <w:gridSpan w:val="3"/>
            <w:tcBorders>
              <w:top w:val="single" w:sz="8" w:space="0" w:color="auto"/>
              <w:left w:val="nil"/>
              <w:bottom w:val="single" w:sz="8" w:space="0" w:color="auto"/>
              <w:right w:val="nil"/>
            </w:tcBorders>
          </w:tcPr>
          <w:p w14:paraId="42539233" w14:textId="77777777" w:rsidR="007F0E10" w:rsidRPr="00D20211" w:rsidRDefault="007F0E10" w:rsidP="00AB5F18">
            <w:pPr>
              <w:autoSpaceDE w:val="0"/>
              <w:autoSpaceDN w:val="0"/>
              <w:adjustRightInd w:val="0"/>
              <w:spacing w:after="0" w:line="240" w:lineRule="auto"/>
              <w:jc w:val="both"/>
              <w:rPr>
                <w:rFonts w:cstheme="minorHAnsi"/>
                <w:b/>
              </w:rPr>
            </w:pPr>
            <w:r w:rsidRPr="00D20211">
              <w:rPr>
                <w:rFonts w:cstheme="minorHAnsi"/>
                <w:b/>
              </w:rPr>
              <w:t>Phone</w:t>
            </w:r>
          </w:p>
        </w:tc>
        <w:tc>
          <w:tcPr>
            <w:tcW w:w="2431" w:type="dxa"/>
            <w:tcBorders>
              <w:top w:val="single" w:sz="8" w:space="0" w:color="auto"/>
              <w:left w:val="nil"/>
              <w:bottom w:val="single" w:sz="8" w:space="0" w:color="auto"/>
              <w:right w:val="nil"/>
            </w:tcBorders>
          </w:tcPr>
          <w:p w14:paraId="1B1C744A" w14:textId="77777777" w:rsidR="007F0E10" w:rsidRPr="00D20211" w:rsidRDefault="007F0E10" w:rsidP="00AB5F18">
            <w:pPr>
              <w:autoSpaceDE w:val="0"/>
              <w:autoSpaceDN w:val="0"/>
              <w:adjustRightInd w:val="0"/>
              <w:spacing w:after="0" w:line="240" w:lineRule="auto"/>
              <w:jc w:val="both"/>
              <w:rPr>
                <w:rFonts w:cstheme="minorHAnsi"/>
                <w:b/>
              </w:rPr>
            </w:pPr>
            <w:r w:rsidRPr="00D20211">
              <w:rPr>
                <w:rFonts w:cstheme="minorHAnsi"/>
                <w:b/>
              </w:rPr>
              <w:t>Email</w:t>
            </w:r>
          </w:p>
        </w:tc>
      </w:tr>
      <w:tr w:rsidR="005A3BAA" w:rsidRPr="00D20211" w14:paraId="0D65D007" w14:textId="77777777" w:rsidTr="00C16100">
        <w:tc>
          <w:tcPr>
            <w:tcW w:w="2079" w:type="dxa"/>
            <w:tcBorders>
              <w:top w:val="single" w:sz="8" w:space="0" w:color="auto"/>
              <w:left w:val="nil"/>
              <w:bottom w:val="single" w:sz="8" w:space="0" w:color="auto"/>
              <w:right w:val="nil"/>
            </w:tcBorders>
            <w:vAlign w:val="center"/>
          </w:tcPr>
          <w:p w14:paraId="525429FB" w14:textId="65B957FF" w:rsidR="007F0E10" w:rsidRPr="00D20211" w:rsidRDefault="005A3BAA" w:rsidP="005A3BAA">
            <w:pPr>
              <w:autoSpaceDE w:val="0"/>
              <w:autoSpaceDN w:val="0"/>
              <w:adjustRightInd w:val="0"/>
              <w:spacing w:after="0" w:line="240" w:lineRule="auto"/>
              <w:rPr>
                <w:rFonts w:cstheme="minorHAnsi"/>
                <w:sz w:val="20"/>
                <w:szCs w:val="20"/>
              </w:rPr>
            </w:pPr>
            <w:r>
              <w:rPr>
                <w:rFonts w:cstheme="minorHAnsi"/>
                <w:sz w:val="20"/>
                <w:szCs w:val="20"/>
              </w:rPr>
              <w:t>Justin Gerding</w:t>
            </w:r>
            <w:r w:rsidR="007F0E10" w:rsidRPr="00D20211">
              <w:rPr>
                <w:rFonts w:cstheme="minorHAnsi"/>
                <w:sz w:val="20"/>
                <w:szCs w:val="20"/>
              </w:rPr>
              <w:t xml:space="preserve">, </w:t>
            </w:r>
            <w:r>
              <w:rPr>
                <w:rFonts w:cstheme="minorHAnsi"/>
                <w:sz w:val="20"/>
                <w:szCs w:val="20"/>
              </w:rPr>
              <w:t>MPH</w:t>
            </w:r>
          </w:p>
        </w:tc>
        <w:tc>
          <w:tcPr>
            <w:tcW w:w="1559" w:type="dxa"/>
            <w:tcBorders>
              <w:top w:val="single" w:sz="8" w:space="0" w:color="auto"/>
              <w:left w:val="nil"/>
              <w:bottom w:val="single" w:sz="8" w:space="0" w:color="auto"/>
              <w:right w:val="nil"/>
            </w:tcBorders>
            <w:vAlign w:val="center"/>
          </w:tcPr>
          <w:p w14:paraId="01DB5F19" w14:textId="057510B7" w:rsidR="007F0E10" w:rsidRPr="00D20211" w:rsidRDefault="005A3BAA" w:rsidP="00AB5F18">
            <w:pPr>
              <w:autoSpaceDE w:val="0"/>
              <w:autoSpaceDN w:val="0"/>
              <w:adjustRightInd w:val="0"/>
              <w:spacing w:after="0" w:line="240" w:lineRule="auto"/>
              <w:rPr>
                <w:rFonts w:cstheme="minorHAnsi"/>
                <w:sz w:val="20"/>
                <w:szCs w:val="20"/>
              </w:rPr>
            </w:pPr>
            <w:r>
              <w:rPr>
                <w:rFonts w:cstheme="minorHAnsi"/>
                <w:sz w:val="20"/>
                <w:szCs w:val="20"/>
              </w:rPr>
              <w:t>Team Lead, Performance Improvement</w:t>
            </w:r>
          </w:p>
        </w:tc>
        <w:tc>
          <w:tcPr>
            <w:tcW w:w="1615" w:type="dxa"/>
            <w:gridSpan w:val="3"/>
            <w:tcBorders>
              <w:top w:val="single" w:sz="8" w:space="0" w:color="auto"/>
              <w:left w:val="nil"/>
              <w:bottom w:val="single" w:sz="8" w:space="0" w:color="auto"/>
              <w:right w:val="nil"/>
            </w:tcBorders>
            <w:vAlign w:val="center"/>
          </w:tcPr>
          <w:p w14:paraId="57DBFE8C" w14:textId="25D87198" w:rsidR="007F0E10" w:rsidRPr="00D20211" w:rsidRDefault="005A3BAA" w:rsidP="00AB5F18">
            <w:pPr>
              <w:autoSpaceDE w:val="0"/>
              <w:autoSpaceDN w:val="0"/>
              <w:adjustRightInd w:val="0"/>
              <w:spacing w:after="0" w:line="240" w:lineRule="auto"/>
              <w:rPr>
                <w:rFonts w:cstheme="minorHAnsi"/>
                <w:sz w:val="20"/>
                <w:szCs w:val="20"/>
              </w:rPr>
            </w:pPr>
            <w:r>
              <w:rPr>
                <w:rFonts w:cstheme="minorHAnsi"/>
                <w:sz w:val="20"/>
                <w:szCs w:val="20"/>
              </w:rPr>
              <w:t>CDC</w:t>
            </w:r>
          </w:p>
        </w:tc>
        <w:tc>
          <w:tcPr>
            <w:tcW w:w="1676" w:type="dxa"/>
            <w:gridSpan w:val="3"/>
            <w:tcBorders>
              <w:top w:val="single" w:sz="8" w:space="0" w:color="auto"/>
              <w:left w:val="nil"/>
              <w:bottom w:val="single" w:sz="8" w:space="0" w:color="auto"/>
              <w:right w:val="nil"/>
            </w:tcBorders>
            <w:vAlign w:val="center"/>
          </w:tcPr>
          <w:p w14:paraId="2DC1311B" w14:textId="2E6E224E" w:rsidR="007F0E10" w:rsidRPr="00BD1812" w:rsidRDefault="005A3BAA" w:rsidP="005A3BAA">
            <w:pPr>
              <w:autoSpaceDE w:val="0"/>
              <w:autoSpaceDN w:val="0"/>
              <w:adjustRightInd w:val="0"/>
              <w:spacing w:after="0" w:line="240" w:lineRule="auto"/>
              <w:jc w:val="both"/>
              <w:rPr>
                <w:rStyle w:val="Emphasis"/>
                <w:rFonts w:cstheme="minorHAnsi"/>
                <w:sz w:val="20"/>
                <w:szCs w:val="20"/>
              </w:rPr>
            </w:pPr>
            <w:r w:rsidRPr="00BD1812">
              <w:rPr>
                <w:rFonts w:cstheme="minorHAnsi"/>
                <w:sz w:val="20"/>
                <w:szCs w:val="20"/>
              </w:rPr>
              <w:t>(770</w:t>
            </w:r>
            <w:r w:rsidR="007F0E10" w:rsidRPr="00BD1812">
              <w:rPr>
                <w:rFonts w:cstheme="minorHAnsi"/>
                <w:sz w:val="20"/>
                <w:szCs w:val="20"/>
              </w:rPr>
              <w:t xml:space="preserve">) </w:t>
            </w:r>
            <w:r w:rsidRPr="00BD1812">
              <w:rPr>
                <w:rFonts w:cstheme="minorHAnsi"/>
                <w:sz w:val="20"/>
                <w:szCs w:val="20"/>
              </w:rPr>
              <w:t>488</w:t>
            </w:r>
            <w:r w:rsidR="007F0E10" w:rsidRPr="00BD1812">
              <w:rPr>
                <w:rFonts w:cstheme="minorHAnsi"/>
                <w:sz w:val="20"/>
                <w:szCs w:val="20"/>
              </w:rPr>
              <w:t>-</w:t>
            </w:r>
            <w:r w:rsidRPr="00BD1812">
              <w:rPr>
                <w:rFonts w:cstheme="minorHAnsi"/>
                <w:sz w:val="20"/>
                <w:szCs w:val="20"/>
              </w:rPr>
              <w:t>3972</w:t>
            </w:r>
          </w:p>
        </w:tc>
        <w:tc>
          <w:tcPr>
            <w:tcW w:w="2431" w:type="dxa"/>
            <w:tcBorders>
              <w:top w:val="single" w:sz="8" w:space="0" w:color="auto"/>
              <w:left w:val="nil"/>
              <w:bottom w:val="single" w:sz="8" w:space="0" w:color="auto"/>
              <w:right w:val="nil"/>
            </w:tcBorders>
            <w:vAlign w:val="center"/>
          </w:tcPr>
          <w:p w14:paraId="6785A708" w14:textId="63FC02D5" w:rsidR="007F0E10" w:rsidRPr="008975D3" w:rsidRDefault="005A3BAA" w:rsidP="00AB5F18">
            <w:pPr>
              <w:autoSpaceDE w:val="0"/>
              <w:autoSpaceDN w:val="0"/>
              <w:adjustRightInd w:val="0"/>
              <w:spacing w:after="0" w:line="240" w:lineRule="auto"/>
              <w:jc w:val="both"/>
              <w:rPr>
                <w:rStyle w:val="Emphasis"/>
                <w:rFonts w:cstheme="minorHAnsi"/>
                <w:sz w:val="20"/>
                <w:szCs w:val="20"/>
              </w:rPr>
            </w:pPr>
            <w:r w:rsidRPr="00BD1812">
              <w:rPr>
                <w:sz w:val="20"/>
                <w:szCs w:val="20"/>
              </w:rPr>
              <w:t>Jgerding@cdc.gov</w:t>
            </w:r>
          </w:p>
        </w:tc>
      </w:tr>
      <w:tr w:rsidR="005A3BAA" w:rsidRPr="00D20211" w14:paraId="28A64B90" w14:textId="77777777" w:rsidTr="00C16100">
        <w:tc>
          <w:tcPr>
            <w:tcW w:w="2079" w:type="dxa"/>
            <w:tcBorders>
              <w:top w:val="single" w:sz="8" w:space="0" w:color="auto"/>
              <w:left w:val="nil"/>
              <w:bottom w:val="single" w:sz="8" w:space="0" w:color="auto"/>
              <w:right w:val="nil"/>
            </w:tcBorders>
            <w:vAlign w:val="center"/>
          </w:tcPr>
          <w:p w14:paraId="3E19AB2A" w14:textId="4FFD31FB" w:rsidR="005A3BAA" w:rsidRDefault="005A3BAA" w:rsidP="005A3BAA">
            <w:pPr>
              <w:autoSpaceDE w:val="0"/>
              <w:autoSpaceDN w:val="0"/>
              <w:adjustRightInd w:val="0"/>
              <w:spacing w:after="0" w:line="240" w:lineRule="auto"/>
              <w:rPr>
                <w:rFonts w:cstheme="minorHAnsi"/>
                <w:sz w:val="20"/>
                <w:szCs w:val="20"/>
              </w:rPr>
            </w:pPr>
            <w:r>
              <w:rPr>
                <w:rFonts w:cstheme="minorHAnsi"/>
                <w:sz w:val="20"/>
                <w:szCs w:val="20"/>
              </w:rPr>
              <w:t>John Sarisky, MPH</w:t>
            </w:r>
          </w:p>
        </w:tc>
        <w:tc>
          <w:tcPr>
            <w:tcW w:w="1559" w:type="dxa"/>
            <w:tcBorders>
              <w:top w:val="single" w:sz="8" w:space="0" w:color="auto"/>
              <w:left w:val="nil"/>
              <w:bottom w:val="single" w:sz="8" w:space="0" w:color="auto"/>
              <w:right w:val="nil"/>
            </w:tcBorders>
            <w:vAlign w:val="center"/>
          </w:tcPr>
          <w:p w14:paraId="79C841C5" w14:textId="1C2C0D1A" w:rsidR="005A3BAA" w:rsidRDefault="005A3BAA" w:rsidP="005A3BAA">
            <w:pPr>
              <w:autoSpaceDE w:val="0"/>
              <w:autoSpaceDN w:val="0"/>
              <w:adjustRightInd w:val="0"/>
              <w:spacing w:after="0" w:line="240" w:lineRule="auto"/>
              <w:rPr>
                <w:rFonts w:cstheme="minorHAnsi"/>
                <w:sz w:val="20"/>
                <w:szCs w:val="20"/>
              </w:rPr>
            </w:pPr>
            <w:r>
              <w:rPr>
                <w:rFonts w:cstheme="minorHAnsi"/>
                <w:sz w:val="20"/>
                <w:szCs w:val="20"/>
              </w:rPr>
              <w:t>Branch Chief, Environmental Health Services</w:t>
            </w:r>
          </w:p>
        </w:tc>
        <w:tc>
          <w:tcPr>
            <w:tcW w:w="1615" w:type="dxa"/>
            <w:gridSpan w:val="3"/>
            <w:tcBorders>
              <w:top w:val="single" w:sz="8" w:space="0" w:color="auto"/>
              <w:left w:val="nil"/>
              <w:bottom w:val="single" w:sz="8" w:space="0" w:color="auto"/>
              <w:right w:val="nil"/>
            </w:tcBorders>
            <w:vAlign w:val="center"/>
          </w:tcPr>
          <w:p w14:paraId="129028C4" w14:textId="60FF4E2C" w:rsidR="005A3BAA" w:rsidRDefault="005A3BAA" w:rsidP="005A3BAA">
            <w:pPr>
              <w:autoSpaceDE w:val="0"/>
              <w:autoSpaceDN w:val="0"/>
              <w:adjustRightInd w:val="0"/>
              <w:spacing w:after="0" w:line="240" w:lineRule="auto"/>
              <w:rPr>
                <w:rFonts w:cstheme="minorHAnsi"/>
                <w:sz w:val="20"/>
                <w:szCs w:val="20"/>
              </w:rPr>
            </w:pPr>
            <w:r>
              <w:rPr>
                <w:rFonts w:cstheme="minorHAnsi"/>
                <w:sz w:val="20"/>
                <w:szCs w:val="20"/>
              </w:rPr>
              <w:t>CDC</w:t>
            </w:r>
          </w:p>
        </w:tc>
        <w:tc>
          <w:tcPr>
            <w:tcW w:w="1676" w:type="dxa"/>
            <w:gridSpan w:val="3"/>
            <w:tcBorders>
              <w:top w:val="single" w:sz="8" w:space="0" w:color="auto"/>
              <w:left w:val="nil"/>
              <w:bottom w:val="single" w:sz="8" w:space="0" w:color="auto"/>
              <w:right w:val="nil"/>
            </w:tcBorders>
            <w:vAlign w:val="center"/>
          </w:tcPr>
          <w:p w14:paraId="3F78A6F8" w14:textId="574B8A55" w:rsidR="005A3BAA" w:rsidRPr="00BD1812" w:rsidRDefault="005A3BAA" w:rsidP="005A3BAA">
            <w:pPr>
              <w:autoSpaceDE w:val="0"/>
              <w:autoSpaceDN w:val="0"/>
              <w:adjustRightInd w:val="0"/>
              <w:spacing w:after="0" w:line="240" w:lineRule="auto"/>
              <w:jc w:val="both"/>
              <w:rPr>
                <w:rFonts w:cstheme="minorHAnsi"/>
                <w:sz w:val="20"/>
                <w:szCs w:val="20"/>
              </w:rPr>
            </w:pPr>
            <w:r w:rsidRPr="00BD1812">
              <w:rPr>
                <w:rFonts w:cstheme="minorHAnsi"/>
                <w:sz w:val="20"/>
                <w:szCs w:val="20"/>
              </w:rPr>
              <w:t>(770) 488-4131</w:t>
            </w:r>
          </w:p>
        </w:tc>
        <w:tc>
          <w:tcPr>
            <w:tcW w:w="2431" w:type="dxa"/>
            <w:tcBorders>
              <w:top w:val="single" w:sz="8" w:space="0" w:color="auto"/>
              <w:left w:val="nil"/>
              <w:bottom w:val="single" w:sz="8" w:space="0" w:color="auto"/>
              <w:right w:val="nil"/>
            </w:tcBorders>
            <w:vAlign w:val="center"/>
          </w:tcPr>
          <w:p w14:paraId="12AA41AD" w14:textId="08770FF0" w:rsidR="005A3BAA" w:rsidRPr="00BD1812" w:rsidRDefault="0006045F" w:rsidP="0006045F">
            <w:pPr>
              <w:autoSpaceDE w:val="0"/>
              <w:autoSpaceDN w:val="0"/>
              <w:adjustRightInd w:val="0"/>
              <w:spacing w:after="0" w:line="240" w:lineRule="auto"/>
              <w:jc w:val="both"/>
              <w:rPr>
                <w:sz w:val="20"/>
                <w:szCs w:val="20"/>
              </w:rPr>
            </w:pPr>
            <w:r w:rsidRPr="00BD1812">
              <w:rPr>
                <w:sz w:val="20"/>
                <w:szCs w:val="20"/>
              </w:rPr>
              <w:t>Jsarisky@cdc.gov</w:t>
            </w:r>
            <w:r w:rsidR="005A3BAA" w:rsidRPr="00BD1812">
              <w:rPr>
                <w:sz w:val="20"/>
                <w:szCs w:val="20"/>
              </w:rPr>
              <w:t xml:space="preserve"> </w:t>
            </w:r>
            <w:r w:rsidR="005A3BAA" w:rsidRPr="008975D3">
              <w:rPr>
                <w:rStyle w:val="Emphasis"/>
                <w:rFonts w:cstheme="minorHAnsi"/>
                <w:sz w:val="20"/>
                <w:szCs w:val="20"/>
              </w:rPr>
              <w:t xml:space="preserve"> </w:t>
            </w:r>
          </w:p>
        </w:tc>
      </w:tr>
      <w:tr w:rsidR="0006045F" w:rsidRPr="00D20211" w14:paraId="51879120" w14:textId="77777777" w:rsidTr="00C16100">
        <w:tc>
          <w:tcPr>
            <w:tcW w:w="2079" w:type="dxa"/>
            <w:tcBorders>
              <w:top w:val="single" w:sz="8" w:space="0" w:color="auto"/>
              <w:left w:val="nil"/>
              <w:bottom w:val="single" w:sz="8" w:space="0" w:color="auto"/>
              <w:right w:val="nil"/>
            </w:tcBorders>
            <w:shd w:val="clear" w:color="auto" w:fill="auto"/>
            <w:vAlign w:val="center"/>
          </w:tcPr>
          <w:p w14:paraId="0BCCBF87" w14:textId="77777777" w:rsidR="0006045F" w:rsidRPr="00D20211" w:rsidRDefault="0006045F" w:rsidP="008209E8">
            <w:pPr>
              <w:autoSpaceDE w:val="0"/>
              <w:autoSpaceDN w:val="0"/>
              <w:adjustRightInd w:val="0"/>
              <w:spacing w:after="0" w:line="240" w:lineRule="auto"/>
              <w:rPr>
                <w:rFonts w:cstheme="minorHAnsi"/>
                <w:sz w:val="20"/>
                <w:szCs w:val="20"/>
              </w:rPr>
            </w:pPr>
            <w:r>
              <w:rPr>
                <w:rFonts w:cstheme="minorHAnsi"/>
                <w:sz w:val="20"/>
                <w:szCs w:val="20"/>
              </w:rPr>
              <w:t>Bryan Brooks</w:t>
            </w:r>
            <w:r w:rsidRPr="00D20211">
              <w:rPr>
                <w:rFonts w:cstheme="minorHAnsi"/>
                <w:sz w:val="20"/>
                <w:szCs w:val="20"/>
              </w:rPr>
              <w:t>, PhD</w:t>
            </w:r>
          </w:p>
        </w:tc>
        <w:tc>
          <w:tcPr>
            <w:tcW w:w="1559" w:type="dxa"/>
            <w:tcBorders>
              <w:top w:val="single" w:sz="8" w:space="0" w:color="auto"/>
              <w:left w:val="nil"/>
              <w:bottom w:val="single" w:sz="8" w:space="0" w:color="auto"/>
              <w:right w:val="nil"/>
            </w:tcBorders>
            <w:shd w:val="clear" w:color="auto" w:fill="auto"/>
            <w:vAlign w:val="center"/>
          </w:tcPr>
          <w:p w14:paraId="48DC6633" w14:textId="77777777" w:rsidR="0006045F" w:rsidRPr="00D20211" w:rsidRDefault="0006045F" w:rsidP="0006045F">
            <w:pPr>
              <w:autoSpaceDE w:val="0"/>
              <w:autoSpaceDN w:val="0"/>
              <w:adjustRightInd w:val="0"/>
              <w:spacing w:after="0" w:line="240" w:lineRule="auto"/>
              <w:rPr>
                <w:rFonts w:cstheme="minorHAnsi"/>
                <w:sz w:val="20"/>
                <w:szCs w:val="20"/>
              </w:rPr>
            </w:pPr>
            <w:r>
              <w:rPr>
                <w:rFonts w:cstheme="minorHAnsi"/>
                <w:sz w:val="20"/>
                <w:szCs w:val="20"/>
              </w:rPr>
              <w:t>Professor, Environmental Health Sciences</w:t>
            </w:r>
          </w:p>
        </w:tc>
        <w:tc>
          <w:tcPr>
            <w:tcW w:w="1627" w:type="dxa"/>
            <w:gridSpan w:val="4"/>
            <w:tcBorders>
              <w:top w:val="single" w:sz="8" w:space="0" w:color="auto"/>
              <w:left w:val="nil"/>
              <w:bottom w:val="single" w:sz="8" w:space="0" w:color="auto"/>
              <w:right w:val="nil"/>
            </w:tcBorders>
            <w:shd w:val="clear" w:color="auto" w:fill="auto"/>
            <w:vAlign w:val="center"/>
          </w:tcPr>
          <w:p w14:paraId="4A49894B" w14:textId="77777777" w:rsidR="0006045F" w:rsidRPr="00D20211" w:rsidRDefault="0006045F" w:rsidP="008209E8">
            <w:pPr>
              <w:autoSpaceDE w:val="0"/>
              <w:autoSpaceDN w:val="0"/>
              <w:adjustRightInd w:val="0"/>
              <w:spacing w:after="0" w:line="240" w:lineRule="auto"/>
              <w:rPr>
                <w:rFonts w:cstheme="minorHAnsi"/>
                <w:sz w:val="20"/>
                <w:szCs w:val="20"/>
              </w:rPr>
            </w:pPr>
            <w:r>
              <w:rPr>
                <w:rFonts w:cstheme="minorHAnsi"/>
                <w:sz w:val="20"/>
                <w:szCs w:val="20"/>
              </w:rPr>
              <w:t>Baylor University</w:t>
            </w:r>
          </w:p>
        </w:tc>
        <w:tc>
          <w:tcPr>
            <w:tcW w:w="1635" w:type="dxa"/>
            <w:tcBorders>
              <w:top w:val="single" w:sz="8" w:space="0" w:color="auto"/>
              <w:left w:val="nil"/>
              <w:bottom w:val="single" w:sz="8" w:space="0" w:color="auto"/>
              <w:right w:val="nil"/>
            </w:tcBorders>
            <w:shd w:val="clear" w:color="auto" w:fill="auto"/>
            <w:vAlign w:val="center"/>
          </w:tcPr>
          <w:p w14:paraId="0224E920" w14:textId="77777777" w:rsidR="0006045F" w:rsidRPr="00BD1812" w:rsidRDefault="0006045F" w:rsidP="008209E8">
            <w:pPr>
              <w:autoSpaceDE w:val="0"/>
              <w:autoSpaceDN w:val="0"/>
              <w:adjustRightInd w:val="0"/>
              <w:spacing w:after="0" w:line="240" w:lineRule="auto"/>
              <w:jc w:val="both"/>
              <w:rPr>
                <w:rFonts w:cstheme="minorHAnsi"/>
                <w:sz w:val="20"/>
                <w:szCs w:val="20"/>
              </w:rPr>
            </w:pPr>
            <w:r w:rsidRPr="00BD1812">
              <w:rPr>
                <w:rFonts w:cstheme="minorHAnsi"/>
                <w:sz w:val="20"/>
                <w:szCs w:val="20"/>
              </w:rPr>
              <w:t>(254) 710-6553</w:t>
            </w:r>
          </w:p>
        </w:tc>
        <w:tc>
          <w:tcPr>
            <w:tcW w:w="2460" w:type="dxa"/>
            <w:gridSpan w:val="2"/>
            <w:tcBorders>
              <w:top w:val="single" w:sz="8" w:space="0" w:color="auto"/>
              <w:left w:val="nil"/>
              <w:bottom w:val="single" w:sz="8" w:space="0" w:color="auto"/>
              <w:right w:val="nil"/>
            </w:tcBorders>
            <w:shd w:val="clear" w:color="auto" w:fill="auto"/>
            <w:vAlign w:val="center"/>
          </w:tcPr>
          <w:p w14:paraId="5D103329" w14:textId="77777777" w:rsidR="0006045F" w:rsidRPr="004D14BE" w:rsidRDefault="0006045F" w:rsidP="008209E8">
            <w:pPr>
              <w:autoSpaceDE w:val="0"/>
              <w:autoSpaceDN w:val="0"/>
              <w:adjustRightInd w:val="0"/>
              <w:spacing w:after="0" w:line="240" w:lineRule="auto"/>
              <w:jc w:val="both"/>
              <w:rPr>
                <w:rFonts w:cstheme="minorHAnsi"/>
                <w:sz w:val="20"/>
                <w:szCs w:val="20"/>
              </w:rPr>
            </w:pPr>
            <w:r w:rsidRPr="008975D3">
              <w:rPr>
                <w:rFonts w:cstheme="minorHAnsi"/>
                <w:sz w:val="20"/>
                <w:szCs w:val="20"/>
              </w:rPr>
              <w:t>Bryan_Brooks@baylor.edu</w:t>
            </w:r>
          </w:p>
        </w:tc>
      </w:tr>
      <w:tr w:rsidR="00C16100" w:rsidRPr="00D20211" w14:paraId="448E11BA" w14:textId="77777777" w:rsidTr="00C16100">
        <w:tc>
          <w:tcPr>
            <w:tcW w:w="2079" w:type="dxa"/>
            <w:tcBorders>
              <w:top w:val="single" w:sz="8" w:space="0" w:color="auto"/>
              <w:left w:val="nil"/>
              <w:bottom w:val="single" w:sz="8" w:space="0" w:color="auto"/>
              <w:right w:val="nil"/>
            </w:tcBorders>
            <w:vAlign w:val="center"/>
          </w:tcPr>
          <w:p w14:paraId="04D5F4BB" w14:textId="77777777" w:rsidR="00C16100" w:rsidRPr="00D20211" w:rsidRDefault="00C16100" w:rsidP="008209E8">
            <w:pPr>
              <w:autoSpaceDE w:val="0"/>
              <w:autoSpaceDN w:val="0"/>
              <w:adjustRightInd w:val="0"/>
              <w:spacing w:after="0" w:line="240" w:lineRule="auto"/>
              <w:jc w:val="both"/>
              <w:rPr>
                <w:rFonts w:cstheme="minorHAnsi"/>
                <w:sz w:val="20"/>
                <w:szCs w:val="20"/>
              </w:rPr>
            </w:pPr>
            <w:r>
              <w:rPr>
                <w:rFonts w:cstheme="minorHAnsi"/>
                <w:sz w:val="20"/>
                <w:szCs w:val="20"/>
              </w:rPr>
              <w:t>Murray Rudd, PhD</w:t>
            </w:r>
          </w:p>
        </w:tc>
        <w:tc>
          <w:tcPr>
            <w:tcW w:w="1648" w:type="dxa"/>
            <w:gridSpan w:val="2"/>
            <w:tcBorders>
              <w:top w:val="single" w:sz="8" w:space="0" w:color="auto"/>
              <w:left w:val="nil"/>
              <w:bottom w:val="single" w:sz="8" w:space="0" w:color="auto"/>
              <w:right w:val="nil"/>
            </w:tcBorders>
            <w:vAlign w:val="center"/>
          </w:tcPr>
          <w:p w14:paraId="258925C0" w14:textId="77777777" w:rsidR="00C16100" w:rsidRDefault="00C16100" w:rsidP="008209E8">
            <w:pPr>
              <w:autoSpaceDE w:val="0"/>
              <w:autoSpaceDN w:val="0"/>
              <w:adjustRightInd w:val="0"/>
              <w:spacing w:after="0" w:line="240" w:lineRule="auto"/>
              <w:jc w:val="both"/>
              <w:rPr>
                <w:rFonts w:cstheme="minorHAnsi"/>
                <w:sz w:val="20"/>
                <w:szCs w:val="20"/>
              </w:rPr>
            </w:pPr>
            <w:r>
              <w:rPr>
                <w:rFonts w:cstheme="minorHAnsi"/>
                <w:sz w:val="20"/>
                <w:szCs w:val="20"/>
              </w:rPr>
              <w:t>Associate Professor, Department</w:t>
            </w:r>
          </w:p>
          <w:p w14:paraId="1F1A62F5" w14:textId="5777AF33" w:rsidR="00C16100" w:rsidRPr="00D20211" w:rsidRDefault="00C16100" w:rsidP="008209E8">
            <w:pPr>
              <w:autoSpaceDE w:val="0"/>
              <w:autoSpaceDN w:val="0"/>
              <w:adjustRightInd w:val="0"/>
              <w:spacing w:after="0" w:line="240" w:lineRule="auto"/>
              <w:jc w:val="both"/>
              <w:rPr>
                <w:rFonts w:cstheme="minorHAnsi"/>
                <w:sz w:val="20"/>
                <w:szCs w:val="20"/>
              </w:rPr>
            </w:pPr>
            <w:r>
              <w:rPr>
                <w:rFonts w:cstheme="minorHAnsi"/>
                <w:sz w:val="20"/>
                <w:szCs w:val="20"/>
              </w:rPr>
              <w:t>of Environmental Sciences</w:t>
            </w:r>
          </w:p>
        </w:tc>
        <w:tc>
          <w:tcPr>
            <w:tcW w:w="1518" w:type="dxa"/>
            <w:tcBorders>
              <w:top w:val="single" w:sz="8" w:space="0" w:color="auto"/>
              <w:left w:val="nil"/>
              <w:bottom w:val="single" w:sz="8" w:space="0" w:color="auto"/>
              <w:right w:val="nil"/>
            </w:tcBorders>
            <w:vAlign w:val="center"/>
          </w:tcPr>
          <w:p w14:paraId="52530D3F" w14:textId="77777777" w:rsidR="00C16100" w:rsidRPr="00D20211" w:rsidRDefault="00C16100" w:rsidP="008209E8">
            <w:pPr>
              <w:autoSpaceDE w:val="0"/>
              <w:autoSpaceDN w:val="0"/>
              <w:adjustRightInd w:val="0"/>
              <w:spacing w:after="0" w:line="240" w:lineRule="auto"/>
              <w:jc w:val="both"/>
              <w:rPr>
                <w:rFonts w:cstheme="minorHAnsi"/>
                <w:sz w:val="20"/>
                <w:szCs w:val="20"/>
              </w:rPr>
            </w:pPr>
            <w:r>
              <w:rPr>
                <w:rFonts w:cstheme="minorHAnsi"/>
                <w:sz w:val="20"/>
                <w:szCs w:val="20"/>
              </w:rPr>
              <w:t>Emory University</w:t>
            </w:r>
          </w:p>
        </w:tc>
        <w:tc>
          <w:tcPr>
            <w:tcW w:w="1655" w:type="dxa"/>
            <w:gridSpan w:val="3"/>
            <w:tcBorders>
              <w:top w:val="single" w:sz="8" w:space="0" w:color="auto"/>
              <w:left w:val="nil"/>
              <w:bottom w:val="single" w:sz="8" w:space="0" w:color="auto"/>
              <w:right w:val="nil"/>
            </w:tcBorders>
            <w:vAlign w:val="center"/>
          </w:tcPr>
          <w:p w14:paraId="57300539" w14:textId="77777777" w:rsidR="00C16100" w:rsidRPr="00BD1812" w:rsidRDefault="00C16100" w:rsidP="008209E8">
            <w:pPr>
              <w:autoSpaceDE w:val="0"/>
              <w:autoSpaceDN w:val="0"/>
              <w:adjustRightInd w:val="0"/>
              <w:spacing w:after="0" w:line="240" w:lineRule="auto"/>
              <w:jc w:val="both"/>
              <w:rPr>
                <w:rFonts w:cstheme="minorHAnsi"/>
                <w:sz w:val="20"/>
                <w:szCs w:val="20"/>
              </w:rPr>
            </w:pPr>
            <w:r w:rsidRPr="00BD1812">
              <w:rPr>
                <w:rFonts w:cstheme="minorHAnsi"/>
                <w:sz w:val="20"/>
                <w:szCs w:val="20"/>
              </w:rPr>
              <w:t>(404) 727-3262</w:t>
            </w:r>
          </w:p>
        </w:tc>
        <w:tc>
          <w:tcPr>
            <w:tcW w:w="2460" w:type="dxa"/>
            <w:gridSpan w:val="2"/>
            <w:tcBorders>
              <w:top w:val="single" w:sz="8" w:space="0" w:color="auto"/>
              <w:left w:val="nil"/>
              <w:bottom w:val="single" w:sz="8" w:space="0" w:color="auto"/>
              <w:right w:val="nil"/>
            </w:tcBorders>
            <w:vAlign w:val="center"/>
          </w:tcPr>
          <w:p w14:paraId="684545A7" w14:textId="77777777" w:rsidR="00C16100" w:rsidRPr="004D14BE" w:rsidRDefault="00C16100" w:rsidP="008209E8">
            <w:pPr>
              <w:autoSpaceDE w:val="0"/>
              <w:autoSpaceDN w:val="0"/>
              <w:adjustRightInd w:val="0"/>
              <w:spacing w:after="0" w:line="240" w:lineRule="auto"/>
              <w:jc w:val="both"/>
              <w:rPr>
                <w:rFonts w:cstheme="minorHAnsi"/>
                <w:sz w:val="20"/>
                <w:szCs w:val="20"/>
              </w:rPr>
            </w:pPr>
            <w:r w:rsidRPr="008975D3">
              <w:rPr>
                <w:rFonts w:cstheme="minorHAnsi"/>
                <w:sz w:val="20"/>
                <w:szCs w:val="20"/>
              </w:rPr>
              <w:t>mur</w:t>
            </w:r>
            <w:r w:rsidRPr="004D14BE">
              <w:rPr>
                <w:rFonts w:cstheme="minorHAnsi"/>
                <w:sz w:val="20"/>
                <w:szCs w:val="20"/>
              </w:rPr>
              <w:t xml:space="preserve">ray.a.rudd@emory.edu  </w:t>
            </w:r>
          </w:p>
        </w:tc>
      </w:tr>
      <w:tr w:rsidR="0063489C" w:rsidRPr="00D20211" w14:paraId="695BE64D" w14:textId="77777777" w:rsidTr="00C16100">
        <w:tc>
          <w:tcPr>
            <w:tcW w:w="2079" w:type="dxa"/>
            <w:tcBorders>
              <w:top w:val="single" w:sz="8" w:space="0" w:color="auto"/>
              <w:left w:val="nil"/>
              <w:bottom w:val="single" w:sz="8" w:space="0" w:color="auto"/>
              <w:right w:val="nil"/>
            </w:tcBorders>
            <w:shd w:val="clear" w:color="auto" w:fill="auto"/>
            <w:vAlign w:val="center"/>
          </w:tcPr>
          <w:p w14:paraId="4576905E" w14:textId="1979F1A5" w:rsidR="0063489C" w:rsidRPr="00D20211" w:rsidRDefault="0063489C" w:rsidP="008209E8">
            <w:pPr>
              <w:autoSpaceDE w:val="0"/>
              <w:autoSpaceDN w:val="0"/>
              <w:adjustRightInd w:val="0"/>
              <w:spacing w:after="0" w:line="240" w:lineRule="auto"/>
              <w:jc w:val="both"/>
              <w:rPr>
                <w:rFonts w:cstheme="minorHAnsi"/>
                <w:sz w:val="20"/>
                <w:szCs w:val="20"/>
              </w:rPr>
            </w:pPr>
            <w:r>
              <w:rPr>
                <w:rFonts w:cstheme="minorHAnsi"/>
                <w:sz w:val="20"/>
                <w:szCs w:val="20"/>
              </w:rPr>
              <w:t xml:space="preserve">David Dyjack, DrPH </w:t>
            </w:r>
          </w:p>
        </w:tc>
        <w:tc>
          <w:tcPr>
            <w:tcW w:w="1559" w:type="dxa"/>
            <w:tcBorders>
              <w:top w:val="single" w:sz="8" w:space="0" w:color="auto"/>
              <w:left w:val="nil"/>
              <w:bottom w:val="single" w:sz="8" w:space="0" w:color="auto"/>
              <w:right w:val="nil"/>
            </w:tcBorders>
            <w:shd w:val="clear" w:color="auto" w:fill="auto"/>
            <w:vAlign w:val="center"/>
          </w:tcPr>
          <w:p w14:paraId="708D441B" w14:textId="77777777" w:rsidR="0063489C" w:rsidRPr="00D20211" w:rsidRDefault="0063489C" w:rsidP="008209E8">
            <w:pPr>
              <w:autoSpaceDE w:val="0"/>
              <w:autoSpaceDN w:val="0"/>
              <w:adjustRightInd w:val="0"/>
              <w:spacing w:after="0" w:line="240" w:lineRule="auto"/>
              <w:jc w:val="both"/>
              <w:rPr>
                <w:rFonts w:cstheme="minorHAnsi"/>
                <w:sz w:val="20"/>
                <w:szCs w:val="20"/>
              </w:rPr>
            </w:pPr>
            <w:r>
              <w:rPr>
                <w:rFonts w:cstheme="minorHAnsi"/>
                <w:sz w:val="20"/>
                <w:szCs w:val="20"/>
              </w:rPr>
              <w:t>Executive Director</w:t>
            </w:r>
          </w:p>
        </w:tc>
        <w:tc>
          <w:tcPr>
            <w:tcW w:w="1607" w:type="dxa"/>
            <w:gridSpan w:val="2"/>
            <w:tcBorders>
              <w:top w:val="single" w:sz="8" w:space="0" w:color="auto"/>
              <w:left w:val="nil"/>
              <w:bottom w:val="single" w:sz="8" w:space="0" w:color="auto"/>
              <w:right w:val="nil"/>
            </w:tcBorders>
            <w:shd w:val="clear" w:color="auto" w:fill="auto"/>
            <w:vAlign w:val="center"/>
          </w:tcPr>
          <w:p w14:paraId="767AB777" w14:textId="77777777" w:rsidR="0063489C" w:rsidRPr="00D20211" w:rsidRDefault="0063489C" w:rsidP="008209E8">
            <w:pPr>
              <w:autoSpaceDE w:val="0"/>
              <w:autoSpaceDN w:val="0"/>
              <w:adjustRightInd w:val="0"/>
              <w:spacing w:after="0" w:line="240" w:lineRule="auto"/>
              <w:jc w:val="both"/>
              <w:rPr>
                <w:rFonts w:cstheme="minorHAnsi"/>
                <w:sz w:val="20"/>
                <w:szCs w:val="20"/>
              </w:rPr>
            </w:pPr>
            <w:r>
              <w:rPr>
                <w:rFonts w:cstheme="minorHAnsi"/>
                <w:sz w:val="20"/>
                <w:szCs w:val="20"/>
              </w:rPr>
              <w:t>National Environmental Health Association</w:t>
            </w:r>
          </w:p>
        </w:tc>
        <w:tc>
          <w:tcPr>
            <w:tcW w:w="1655" w:type="dxa"/>
            <w:gridSpan w:val="3"/>
            <w:tcBorders>
              <w:top w:val="single" w:sz="8" w:space="0" w:color="auto"/>
              <w:left w:val="nil"/>
              <w:bottom w:val="single" w:sz="8" w:space="0" w:color="auto"/>
              <w:right w:val="nil"/>
            </w:tcBorders>
            <w:shd w:val="clear" w:color="auto" w:fill="auto"/>
            <w:vAlign w:val="center"/>
          </w:tcPr>
          <w:p w14:paraId="5CDD5394" w14:textId="77777777" w:rsidR="0063489C" w:rsidRPr="00BD1812" w:rsidRDefault="0063489C" w:rsidP="008209E8">
            <w:pPr>
              <w:autoSpaceDE w:val="0"/>
              <w:autoSpaceDN w:val="0"/>
              <w:adjustRightInd w:val="0"/>
              <w:spacing w:after="0" w:line="240" w:lineRule="auto"/>
              <w:jc w:val="both"/>
              <w:rPr>
                <w:rFonts w:cstheme="minorHAnsi"/>
                <w:sz w:val="20"/>
                <w:szCs w:val="20"/>
              </w:rPr>
            </w:pPr>
            <w:r w:rsidRPr="00BD1812">
              <w:rPr>
                <w:rFonts w:cstheme="minorHAnsi"/>
                <w:sz w:val="20"/>
                <w:szCs w:val="20"/>
              </w:rPr>
              <w:t>(303) 756-9090</w:t>
            </w:r>
          </w:p>
        </w:tc>
        <w:tc>
          <w:tcPr>
            <w:tcW w:w="2460" w:type="dxa"/>
            <w:gridSpan w:val="2"/>
            <w:tcBorders>
              <w:top w:val="single" w:sz="8" w:space="0" w:color="auto"/>
              <w:left w:val="nil"/>
              <w:bottom w:val="single" w:sz="8" w:space="0" w:color="auto"/>
              <w:right w:val="nil"/>
            </w:tcBorders>
            <w:shd w:val="clear" w:color="auto" w:fill="auto"/>
            <w:vAlign w:val="center"/>
          </w:tcPr>
          <w:p w14:paraId="31DC3EA4" w14:textId="77777777" w:rsidR="0063489C" w:rsidRPr="008975D3" w:rsidRDefault="0063489C" w:rsidP="008209E8">
            <w:pPr>
              <w:autoSpaceDE w:val="0"/>
              <w:autoSpaceDN w:val="0"/>
              <w:adjustRightInd w:val="0"/>
              <w:spacing w:after="0" w:line="240" w:lineRule="auto"/>
              <w:jc w:val="both"/>
              <w:rPr>
                <w:rFonts w:cstheme="minorHAnsi"/>
                <w:sz w:val="20"/>
                <w:szCs w:val="20"/>
              </w:rPr>
            </w:pPr>
            <w:r w:rsidRPr="00BD1812">
              <w:rPr>
                <w:sz w:val="20"/>
                <w:szCs w:val="20"/>
              </w:rPr>
              <w:t>ddyjack@neha.org</w:t>
            </w:r>
          </w:p>
        </w:tc>
      </w:tr>
      <w:tr w:rsidR="0063489C" w14:paraId="6A0BD8DA" w14:textId="77777777" w:rsidTr="00C16100">
        <w:tc>
          <w:tcPr>
            <w:tcW w:w="2079" w:type="dxa"/>
            <w:tcBorders>
              <w:top w:val="single" w:sz="8" w:space="0" w:color="auto"/>
              <w:left w:val="nil"/>
              <w:bottom w:val="single" w:sz="8" w:space="0" w:color="auto"/>
              <w:right w:val="nil"/>
            </w:tcBorders>
            <w:shd w:val="clear" w:color="auto" w:fill="auto"/>
            <w:vAlign w:val="center"/>
          </w:tcPr>
          <w:p w14:paraId="20DD22CF" w14:textId="77777777" w:rsidR="00C16100" w:rsidRDefault="00C16100" w:rsidP="008209E8">
            <w:pPr>
              <w:autoSpaceDE w:val="0"/>
              <w:autoSpaceDN w:val="0"/>
              <w:adjustRightInd w:val="0"/>
              <w:spacing w:after="0" w:line="240" w:lineRule="auto"/>
              <w:jc w:val="both"/>
              <w:rPr>
                <w:rFonts w:cstheme="minorHAnsi"/>
                <w:sz w:val="20"/>
                <w:szCs w:val="20"/>
              </w:rPr>
            </w:pPr>
            <w:r>
              <w:rPr>
                <w:rFonts w:cstheme="minorHAnsi"/>
                <w:sz w:val="20"/>
                <w:szCs w:val="20"/>
              </w:rPr>
              <w:t>Sandra</w:t>
            </w:r>
          </w:p>
          <w:p w14:paraId="6761F4A3" w14:textId="5E8D2794" w:rsidR="0063489C" w:rsidRDefault="0063489C" w:rsidP="008209E8">
            <w:pPr>
              <w:autoSpaceDE w:val="0"/>
              <w:autoSpaceDN w:val="0"/>
              <w:adjustRightInd w:val="0"/>
              <w:spacing w:after="0" w:line="240" w:lineRule="auto"/>
              <w:jc w:val="both"/>
              <w:rPr>
                <w:rFonts w:cstheme="minorHAnsi"/>
                <w:sz w:val="20"/>
                <w:szCs w:val="20"/>
              </w:rPr>
            </w:pPr>
            <w:r>
              <w:rPr>
                <w:rFonts w:cstheme="minorHAnsi"/>
                <w:sz w:val="20"/>
                <w:szCs w:val="20"/>
              </w:rPr>
              <w:t>Whitehead, PhD</w:t>
            </w:r>
          </w:p>
        </w:tc>
        <w:tc>
          <w:tcPr>
            <w:tcW w:w="1559" w:type="dxa"/>
            <w:tcBorders>
              <w:top w:val="single" w:sz="8" w:space="0" w:color="auto"/>
              <w:left w:val="nil"/>
              <w:bottom w:val="single" w:sz="8" w:space="0" w:color="auto"/>
              <w:right w:val="nil"/>
            </w:tcBorders>
            <w:shd w:val="clear" w:color="auto" w:fill="auto"/>
            <w:vAlign w:val="center"/>
          </w:tcPr>
          <w:p w14:paraId="33F30C19" w14:textId="77777777" w:rsidR="0063489C" w:rsidRPr="00D20211" w:rsidRDefault="0063489C" w:rsidP="008209E8">
            <w:pPr>
              <w:autoSpaceDE w:val="0"/>
              <w:autoSpaceDN w:val="0"/>
              <w:adjustRightInd w:val="0"/>
              <w:spacing w:after="0" w:line="240" w:lineRule="auto"/>
              <w:jc w:val="both"/>
              <w:rPr>
                <w:rFonts w:cstheme="minorHAnsi"/>
                <w:sz w:val="20"/>
                <w:szCs w:val="20"/>
              </w:rPr>
            </w:pPr>
            <w:r>
              <w:rPr>
                <w:rFonts w:cstheme="minorHAnsi"/>
                <w:sz w:val="20"/>
                <w:szCs w:val="20"/>
              </w:rPr>
              <w:t>Manager, Research&amp; Development</w:t>
            </w:r>
          </w:p>
        </w:tc>
        <w:tc>
          <w:tcPr>
            <w:tcW w:w="1607" w:type="dxa"/>
            <w:gridSpan w:val="2"/>
            <w:tcBorders>
              <w:top w:val="single" w:sz="8" w:space="0" w:color="auto"/>
              <w:left w:val="nil"/>
              <w:bottom w:val="single" w:sz="8" w:space="0" w:color="auto"/>
              <w:right w:val="nil"/>
            </w:tcBorders>
            <w:shd w:val="clear" w:color="auto" w:fill="auto"/>
            <w:vAlign w:val="center"/>
          </w:tcPr>
          <w:p w14:paraId="0E23F0BA" w14:textId="77777777" w:rsidR="0063489C" w:rsidRPr="00D20211" w:rsidRDefault="0063489C" w:rsidP="008209E8">
            <w:pPr>
              <w:autoSpaceDE w:val="0"/>
              <w:autoSpaceDN w:val="0"/>
              <w:adjustRightInd w:val="0"/>
              <w:spacing w:after="0" w:line="240" w:lineRule="auto"/>
              <w:jc w:val="both"/>
              <w:rPr>
                <w:rFonts w:cstheme="minorHAnsi"/>
                <w:sz w:val="20"/>
                <w:szCs w:val="20"/>
              </w:rPr>
            </w:pPr>
            <w:r>
              <w:rPr>
                <w:rFonts w:cstheme="minorHAnsi"/>
                <w:sz w:val="20"/>
                <w:szCs w:val="20"/>
              </w:rPr>
              <w:t>National Environmental Health Association</w:t>
            </w:r>
          </w:p>
        </w:tc>
        <w:tc>
          <w:tcPr>
            <w:tcW w:w="1655" w:type="dxa"/>
            <w:gridSpan w:val="3"/>
            <w:tcBorders>
              <w:top w:val="single" w:sz="8" w:space="0" w:color="auto"/>
              <w:left w:val="nil"/>
              <w:bottom w:val="single" w:sz="8" w:space="0" w:color="auto"/>
              <w:right w:val="nil"/>
            </w:tcBorders>
            <w:shd w:val="clear" w:color="auto" w:fill="auto"/>
            <w:vAlign w:val="center"/>
          </w:tcPr>
          <w:p w14:paraId="13D6DAA7" w14:textId="77777777" w:rsidR="0063489C" w:rsidRPr="00BD1812" w:rsidRDefault="0063489C" w:rsidP="008209E8">
            <w:pPr>
              <w:autoSpaceDE w:val="0"/>
              <w:autoSpaceDN w:val="0"/>
              <w:adjustRightInd w:val="0"/>
              <w:spacing w:after="0" w:line="240" w:lineRule="auto"/>
              <w:jc w:val="both"/>
              <w:rPr>
                <w:rFonts w:cstheme="minorHAnsi"/>
                <w:sz w:val="20"/>
                <w:szCs w:val="20"/>
              </w:rPr>
            </w:pPr>
            <w:r w:rsidRPr="00BD1812">
              <w:rPr>
                <w:rFonts w:cstheme="minorHAnsi"/>
                <w:sz w:val="20"/>
                <w:szCs w:val="20"/>
              </w:rPr>
              <w:t xml:space="preserve">(850) 727-2431 </w:t>
            </w:r>
          </w:p>
        </w:tc>
        <w:tc>
          <w:tcPr>
            <w:tcW w:w="2460" w:type="dxa"/>
            <w:gridSpan w:val="2"/>
            <w:tcBorders>
              <w:top w:val="single" w:sz="8" w:space="0" w:color="auto"/>
              <w:left w:val="nil"/>
              <w:bottom w:val="single" w:sz="8" w:space="0" w:color="auto"/>
              <w:right w:val="nil"/>
            </w:tcBorders>
            <w:shd w:val="clear" w:color="auto" w:fill="auto"/>
            <w:vAlign w:val="center"/>
          </w:tcPr>
          <w:p w14:paraId="348EEC4B" w14:textId="77777777" w:rsidR="0063489C" w:rsidRPr="00BD1812" w:rsidRDefault="0063489C" w:rsidP="008209E8">
            <w:pPr>
              <w:autoSpaceDE w:val="0"/>
              <w:autoSpaceDN w:val="0"/>
              <w:adjustRightInd w:val="0"/>
              <w:spacing w:after="0" w:line="240" w:lineRule="auto"/>
              <w:jc w:val="both"/>
              <w:rPr>
                <w:sz w:val="20"/>
                <w:szCs w:val="20"/>
              </w:rPr>
            </w:pPr>
            <w:r w:rsidRPr="00BD1812">
              <w:rPr>
                <w:sz w:val="20"/>
                <w:szCs w:val="20"/>
              </w:rPr>
              <w:t>swhitehead@neha.org</w:t>
            </w:r>
          </w:p>
        </w:tc>
      </w:tr>
    </w:tbl>
    <w:p w14:paraId="7BB07EF2" w14:textId="77777777" w:rsidR="00A76C6D" w:rsidRPr="00E707C0" w:rsidRDefault="00A76C6D" w:rsidP="00A76C6D">
      <w:pPr>
        <w:pStyle w:val="Heading1"/>
        <w:pBdr>
          <w:bottom w:val="none" w:sz="0" w:space="0" w:color="auto"/>
        </w:pBdr>
        <w:rPr>
          <w:rFonts w:ascii="Cambria" w:hAnsi="Cambria"/>
          <w:color w:val="auto"/>
        </w:rPr>
      </w:pPr>
      <w:bookmarkStart w:id="8" w:name="_Toc431814724"/>
      <w:bookmarkStart w:id="9" w:name="_Toc460313888"/>
      <w:r w:rsidRPr="00E707C0">
        <w:rPr>
          <w:rFonts w:ascii="Cambria" w:hAnsi="Cambria"/>
          <w:color w:val="auto"/>
        </w:rPr>
        <w:t>References</w:t>
      </w:r>
      <w:bookmarkEnd w:id="8"/>
      <w:bookmarkEnd w:id="9"/>
    </w:p>
    <w:p w14:paraId="6834446F" w14:textId="77777777" w:rsidR="00C16100" w:rsidRDefault="00C16100" w:rsidP="00A76C6D">
      <w:pPr>
        <w:rPr>
          <w:sz w:val="24"/>
          <w:szCs w:val="24"/>
        </w:rPr>
      </w:pPr>
    </w:p>
    <w:p w14:paraId="32664B77" w14:textId="34261C42" w:rsidR="00030344" w:rsidRPr="00030344" w:rsidRDefault="00030344" w:rsidP="00030344">
      <w:pPr>
        <w:pStyle w:val="ListParagraph"/>
        <w:numPr>
          <w:ilvl w:val="0"/>
          <w:numId w:val="19"/>
        </w:numPr>
        <w:autoSpaceDE w:val="0"/>
        <w:autoSpaceDN w:val="0"/>
        <w:adjustRightInd w:val="0"/>
        <w:spacing w:line="240" w:lineRule="auto"/>
        <w:rPr>
          <w:rFonts w:cs="ITCFranklinGothicStd-Book"/>
          <w:sz w:val="24"/>
          <w:szCs w:val="24"/>
        </w:rPr>
      </w:pPr>
      <w:r>
        <w:rPr>
          <w:rFonts w:cs="ITCFranklinGothicStd-Book"/>
          <w:sz w:val="24"/>
          <w:szCs w:val="24"/>
        </w:rPr>
        <w:t xml:space="preserve">National Association of County &amp; City Health Officials. 2013 National Profile of Local Health Departments. Available at </w:t>
      </w:r>
      <w:hyperlink r:id="rId8" w:history="1">
        <w:r w:rsidRPr="00147EB8">
          <w:rPr>
            <w:rStyle w:val="Hyperlink"/>
            <w:rFonts w:cs="ITCFranklinGothicStd-Book"/>
            <w:sz w:val="24"/>
            <w:szCs w:val="24"/>
          </w:rPr>
          <w:t>http://archived.naccho.org/topics/infrastructure/profile/upload/2013-national-profile-of-local-health-departments-report.pdf</w:t>
        </w:r>
      </w:hyperlink>
      <w:r>
        <w:rPr>
          <w:rFonts w:cs="ITCFranklinGothicStd-Book"/>
          <w:sz w:val="24"/>
          <w:szCs w:val="24"/>
        </w:rPr>
        <w:t>. Accessed May 24, 2016.</w:t>
      </w:r>
    </w:p>
    <w:p w14:paraId="2E66A21F" w14:textId="77777777" w:rsidR="00030344" w:rsidRDefault="00030344" w:rsidP="00030344">
      <w:pPr>
        <w:pStyle w:val="ListParagraph"/>
        <w:numPr>
          <w:ilvl w:val="0"/>
          <w:numId w:val="19"/>
        </w:numPr>
        <w:autoSpaceDE w:val="0"/>
        <w:autoSpaceDN w:val="0"/>
        <w:adjustRightInd w:val="0"/>
        <w:spacing w:line="240" w:lineRule="auto"/>
        <w:rPr>
          <w:rFonts w:cs="ITCFranklinGothicStd-Book"/>
          <w:sz w:val="24"/>
          <w:szCs w:val="24"/>
        </w:rPr>
      </w:pPr>
      <w:r>
        <w:rPr>
          <w:rFonts w:cs="ITCFranklinGothicStd-Book"/>
          <w:sz w:val="24"/>
          <w:szCs w:val="24"/>
        </w:rPr>
        <w:t xml:space="preserve">Association of State and Territorial Health Officials. </w:t>
      </w:r>
      <w:r w:rsidRPr="0078375D">
        <w:rPr>
          <w:rFonts w:cs="ITCFranklinGothicStd-Book"/>
          <w:sz w:val="24"/>
          <w:szCs w:val="24"/>
        </w:rPr>
        <w:t>Profile of State Public Health, Volume Three</w:t>
      </w:r>
      <w:r>
        <w:rPr>
          <w:rFonts w:cs="ITCFranklinGothicStd-Book"/>
          <w:sz w:val="24"/>
          <w:szCs w:val="24"/>
        </w:rPr>
        <w:t xml:space="preserve">. Available at </w:t>
      </w:r>
      <w:hyperlink r:id="rId9" w:history="1">
        <w:r w:rsidRPr="00147EB8">
          <w:rPr>
            <w:rStyle w:val="Hyperlink"/>
            <w:rFonts w:cs="ITCFranklinGothicStd-Book"/>
            <w:sz w:val="24"/>
            <w:szCs w:val="24"/>
          </w:rPr>
          <w:t>http://www.astho.org/Profile/Volume-Three/</w:t>
        </w:r>
      </w:hyperlink>
      <w:r>
        <w:rPr>
          <w:rFonts w:cs="ITCFranklinGothicStd-Book"/>
          <w:sz w:val="24"/>
          <w:szCs w:val="24"/>
        </w:rPr>
        <w:t>. Accessed May 24, 2016.</w:t>
      </w:r>
    </w:p>
    <w:p w14:paraId="789A5D33" w14:textId="355FE362" w:rsidR="00556145" w:rsidRDefault="00556145" w:rsidP="00C16100">
      <w:pPr>
        <w:pStyle w:val="ListParagraph"/>
        <w:numPr>
          <w:ilvl w:val="0"/>
          <w:numId w:val="19"/>
        </w:numPr>
        <w:rPr>
          <w:sz w:val="24"/>
          <w:szCs w:val="24"/>
        </w:rPr>
      </w:pPr>
      <w:r w:rsidRPr="00C16100">
        <w:rPr>
          <w:sz w:val="24"/>
          <w:szCs w:val="24"/>
        </w:rPr>
        <w:t xml:space="preserve">Dillman DA. </w:t>
      </w:r>
      <w:r w:rsidRPr="005F640A">
        <w:rPr>
          <w:i/>
          <w:sz w:val="24"/>
          <w:szCs w:val="24"/>
        </w:rPr>
        <w:t>Mail and internet surveys: the tailored design method</w:t>
      </w:r>
      <w:r w:rsidR="005F640A">
        <w:rPr>
          <w:sz w:val="24"/>
          <w:szCs w:val="24"/>
        </w:rPr>
        <w:t>.</w:t>
      </w:r>
      <w:r w:rsidRPr="00C16100">
        <w:rPr>
          <w:sz w:val="24"/>
          <w:szCs w:val="24"/>
        </w:rPr>
        <w:t xml:space="preserve"> 2</w:t>
      </w:r>
      <w:r w:rsidRPr="00C16100">
        <w:rPr>
          <w:sz w:val="24"/>
          <w:szCs w:val="24"/>
          <w:vertAlign w:val="superscript"/>
        </w:rPr>
        <w:t>nd</w:t>
      </w:r>
      <w:r w:rsidRPr="00C16100">
        <w:rPr>
          <w:sz w:val="24"/>
          <w:szCs w:val="24"/>
        </w:rPr>
        <w:t xml:space="preserve"> ed. </w:t>
      </w:r>
      <w:r w:rsidR="005F640A" w:rsidRPr="00C16100">
        <w:rPr>
          <w:sz w:val="24"/>
          <w:szCs w:val="24"/>
        </w:rPr>
        <w:t>Hoboken, NJ</w:t>
      </w:r>
      <w:r w:rsidR="005F640A">
        <w:rPr>
          <w:sz w:val="24"/>
          <w:szCs w:val="24"/>
        </w:rPr>
        <w:t xml:space="preserve">:  </w:t>
      </w:r>
      <w:r w:rsidRPr="00C16100">
        <w:rPr>
          <w:sz w:val="24"/>
          <w:szCs w:val="24"/>
        </w:rPr>
        <w:t>John Wiley &amp; Sons, Inc.</w:t>
      </w:r>
      <w:r w:rsidR="005F640A">
        <w:rPr>
          <w:sz w:val="24"/>
          <w:szCs w:val="24"/>
        </w:rPr>
        <w:t>; 2007.</w:t>
      </w:r>
    </w:p>
    <w:p w14:paraId="099EE63A" w14:textId="5ED83E6B" w:rsidR="0091050C" w:rsidRPr="00C16100" w:rsidRDefault="0091050C" w:rsidP="0091050C">
      <w:pPr>
        <w:pStyle w:val="ListParagraph"/>
        <w:numPr>
          <w:ilvl w:val="0"/>
          <w:numId w:val="19"/>
        </w:numPr>
        <w:rPr>
          <w:sz w:val="24"/>
          <w:szCs w:val="24"/>
        </w:rPr>
      </w:pPr>
      <w:r>
        <w:rPr>
          <w:sz w:val="24"/>
          <w:szCs w:val="24"/>
        </w:rPr>
        <w:t xml:space="preserve">Cull, WL, O’Connor, KG, Sharp, S, &amp; Tang, SS.  Response rates and response bias for 50 surveys of pediatricians.  Health Services Research, Volume 40(1); 2005.  Available at </w:t>
      </w:r>
      <w:hyperlink r:id="rId10" w:history="1">
        <w:r w:rsidRPr="003758E9">
          <w:rPr>
            <w:rStyle w:val="Hyperlink"/>
            <w:sz w:val="24"/>
            <w:szCs w:val="24"/>
          </w:rPr>
          <w:t>https://www.ncbi.nlm.nih.gov/pmc/articles/PMC1361134/</w:t>
        </w:r>
      </w:hyperlink>
      <w:r>
        <w:rPr>
          <w:sz w:val="24"/>
          <w:szCs w:val="24"/>
        </w:rPr>
        <w:t>.  Accessed January 9, 2017</w:t>
      </w:r>
    </w:p>
    <w:p w14:paraId="24C1C237" w14:textId="77777777" w:rsidR="000329FE" w:rsidRPr="00D20211" w:rsidRDefault="000329FE" w:rsidP="000329FE">
      <w:pPr>
        <w:pStyle w:val="Heading1"/>
        <w:pBdr>
          <w:bottom w:val="none" w:sz="0" w:space="0" w:color="auto"/>
        </w:pBdr>
        <w:rPr>
          <w:rFonts w:ascii="Cambria" w:hAnsi="Cambria"/>
          <w:color w:val="auto"/>
        </w:rPr>
      </w:pPr>
      <w:bookmarkStart w:id="10" w:name="_Toc432356299"/>
      <w:bookmarkStart w:id="11" w:name="_Toc460313889"/>
      <w:r w:rsidRPr="00D20211">
        <w:rPr>
          <w:rFonts w:ascii="Cambria" w:hAnsi="Cambria"/>
          <w:color w:val="auto"/>
        </w:rPr>
        <w:t>List of Attachments</w:t>
      </w:r>
      <w:bookmarkEnd w:id="10"/>
      <w:bookmarkEnd w:id="11"/>
    </w:p>
    <w:p w14:paraId="38446FE1" w14:textId="77777777" w:rsidR="000329FE" w:rsidRPr="00D20211" w:rsidRDefault="000329FE" w:rsidP="000329FE"/>
    <w:p w14:paraId="3469441B" w14:textId="77777777" w:rsidR="00725A6C" w:rsidRPr="00565A94" w:rsidRDefault="00725A6C" w:rsidP="00725A6C">
      <w:pPr>
        <w:spacing w:line="240" w:lineRule="auto"/>
        <w:rPr>
          <w:rFonts w:ascii="Calibri" w:hAnsi="Calibri"/>
          <w:sz w:val="24"/>
          <w:szCs w:val="24"/>
        </w:rPr>
      </w:pPr>
      <w:r w:rsidRPr="00565A94">
        <w:rPr>
          <w:rFonts w:ascii="Calibri" w:hAnsi="Calibri"/>
          <w:sz w:val="24"/>
          <w:szCs w:val="24"/>
        </w:rPr>
        <w:t>Attachment 1. Authorizing Legislation</w:t>
      </w:r>
    </w:p>
    <w:p w14:paraId="45668DA9" w14:textId="77777777" w:rsidR="00725A6C" w:rsidRPr="00565A94" w:rsidRDefault="00725A6C" w:rsidP="00725A6C">
      <w:pPr>
        <w:spacing w:line="240" w:lineRule="auto"/>
        <w:rPr>
          <w:rFonts w:ascii="Calibri" w:hAnsi="Calibri"/>
          <w:sz w:val="24"/>
          <w:szCs w:val="24"/>
        </w:rPr>
      </w:pPr>
      <w:r w:rsidRPr="00565A94">
        <w:rPr>
          <w:rFonts w:ascii="Calibri" w:hAnsi="Calibri"/>
          <w:sz w:val="24"/>
          <w:szCs w:val="24"/>
        </w:rPr>
        <w:t>Attachment 2. 60-day Federal Register Notice</w:t>
      </w:r>
    </w:p>
    <w:p w14:paraId="0A555BAC" w14:textId="77777777" w:rsidR="00725A6C" w:rsidRDefault="00725A6C" w:rsidP="00725A6C">
      <w:pPr>
        <w:spacing w:line="240" w:lineRule="auto"/>
        <w:ind w:firstLine="720"/>
        <w:rPr>
          <w:rFonts w:ascii="Calibri" w:hAnsi="Calibri"/>
          <w:sz w:val="24"/>
          <w:szCs w:val="24"/>
        </w:rPr>
      </w:pPr>
      <w:r w:rsidRPr="00565A94">
        <w:rPr>
          <w:rFonts w:ascii="Calibri" w:hAnsi="Calibri"/>
          <w:sz w:val="24"/>
          <w:szCs w:val="24"/>
        </w:rPr>
        <w:t>Attachment 2a</w:t>
      </w:r>
      <w:r>
        <w:rPr>
          <w:rFonts w:ascii="Calibri" w:hAnsi="Calibri"/>
          <w:sz w:val="24"/>
          <w:szCs w:val="24"/>
        </w:rPr>
        <w:t>. Public Comment</w:t>
      </w:r>
      <w:r w:rsidRPr="00565A94">
        <w:rPr>
          <w:rFonts w:ascii="Calibri" w:hAnsi="Calibri"/>
          <w:sz w:val="24"/>
          <w:szCs w:val="24"/>
        </w:rPr>
        <w:t xml:space="preserve"> </w:t>
      </w:r>
    </w:p>
    <w:p w14:paraId="07AA8FB5" w14:textId="77777777" w:rsidR="00725A6C" w:rsidRPr="00565A94" w:rsidRDefault="00725A6C" w:rsidP="00725A6C">
      <w:pPr>
        <w:spacing w:line="240" w:lineRule="auto"/>
        <w:ind w:firstLine="720"/>
        <w:rPr>
          <w:rFonts w:ascii="Calibri" w:hAnsi="Calibri"/>
          <w:sz w:val="24"/>
          <w:szCs w:val="24"/>
        </w:rPr>
      </w:pPr>
      <w:r>
        <w:rPr>
          <w:rFonts w:ascii="Calibri" w:hAnsi="Calibri"/>
          <w:sz w:val="24"/>
          <w:szCs w:val="24"/>
        </w:rPr>
        <w:t>Attachment 2b. Program Response</w:t>
      </w:r>
    </w:p>
    <w:p w14:paraId="3557CB67" w14:textId="77777777" w:rsidR="00725A6C" w:rsidRDefault="00725A6C" w:rsidP="00725A6C">
      <w:pPr>
        <w:spacing w:line="240" w:lineRule="auto"/>
        <w:rPr>
          <w:rFonts w:ascii="Calibri" w:hAnsi="Calibri"/>
          <w:sz w:val="24"/>
          <w:szCs w:val="24"/>
        </w:rPr>
      </w:pPr>
      <w:r>
        <w:rPr>
          <w:rFonts w:ascii="Calibri" w:hAnsi="Calibri"/>
          <w:sz w:val="24"/>
          <w:szCs w:val="24"/>
        </w:rPr>
        <w:t>Attachment 3. Health Department Roster</w:t>
      </w:r>
    </w:p>
    <w:p w14:paraId="0422EE30" w14:textId="77777777" w:rsidR="00725A6C" w:rsidRPr="00565A94" w:rsidRDefault="00725A6C" w:rsidP="00725A6C">
      <w:pPr>
        <w:spacing w:line="240" w:lineRule="auto"/>
        <w:rPr>
          <w:rFonts w:ascii="Calibri" w:hAnsi="Calibri"/>
          <w:sz w:val="24"/>
          <w:szCs w:val="24"/>
        </w:rPr>
      </w:pPr>
      <w:r w:rsidRPr="00565A94">
        <w:rPr>
          <w:rFonts w:ascii="Calibri" w:hAnsi="Calibri"/>
          <w:sz w:val="24"/>
          <w:szCs w:val="24"/>
        </w:rPr>
        <w:t xml:space="preserve">Attachment </w:t>
      </w:r>
      <w:r>
        <w:rPr>
          <w:rFonts w:ascii="Calibri" w:hAnsi="Calibri"/>
          <w:sz w:val="24"/>
          <w:szCs w:val="24"/>
        </w:rPr>
        <w:t>4</w:t>
      </w:r>
      <w:r w:rsidRPr="00565A94">
        <w:rPr>
          <w:rFonts w:ascii="Calibri" w:hAnsi="Calibri"/>
          <w:sz w:val="24"/>
          <w:szCs w:val="24"/>
        </w:rPr>
        <w:t>a. Pre-Survey Email</w:t>
      </w:r>
    </w:p>
    <w:p w14:paraId="4B184AA7" w14:textId="77777777" w:rsidR="00725A6C" w:rsidRPr="00565A94" w:rsidRDefault="00725A6C" w:rsidP="00725A6C">
      <w:pPr>
        <w:spacing w:line="240" w:lineRule="auto"/>
        <w:rPr>
          <w:rFonts w:ascii="Calibri" w:hAnsi="Calibri"/>
          <w:sz w:val="24"/>
          <w:szCs w:val="24"/>
        </w:rPr>
      </w:pPr>
      <w:r w:rsidRPr="00565A94">
        <w:rPr>
          <w:rFonts w:ascii="Calibri" w:hAnsi="Calibri"/>
          <w:sz w:val="24"/>
          <w:szCs w:val="24"/>
        </w:rPr>
        <w:t xml:space="preserve">Attachment </w:t>
      </w:r>
      <w:r>
        <w:rPr>
          <w:rFonts w:ascii="Calibri" w:hAnsi="Calibri"/>
          <w:sz w:val="24"/>
          <w:szCs w:val="24"/>
        </w:rPr>
        <w:t>4</w:t>
      </w:r>
      <w:r w:rsidRPr="00565A94">
        <w:rPr>
          <w:rFonts w:ascii="Calibri" w:hAnsi="Calibri"/>
          <w:sz w:val="24"/>
          <w:szCs w:val="24"/>
        </w:rPr>
        <w:t>b. Invitation Email</w:t>
      </w:r>
    </w:p>
    <w:p w14:paraId="7DF4D0BD" w14:textId="77777777" w:rsidR="00725A6C" w:rsidRPr="00565A94" w:rsidRDefault="00725A6C" w:rsidP="00725A6C">
      <w:pPr>
        <w:spacing w:line="240" w:lineRule="auto"/>
        <w:rPr>
          <w:rFonts w:ascii="Calibri" w:hAnsi="Calibri"/>
          <w:sz w:val="24"/>
          <w:szCs w:val="24"/>
        </w:rPr>
      </w:pPr>
      <w:r w:rsidRPr="00565A94">
        <w:rPr>
          <w:rFonts w:ascii="Calibri" w:hAnsi="Calibri"/>
          <w:sz w:val="24"/>
          <w:szCs w:val="24"/>
        </w:rPr>
        <w:t xml:space="preserve">Attachment </w:t>
      </w:r>
      <w:r>
        <w:rPr>
          <w:rFonts w:ascii="Calibri" w:hAnsi="Calibri"/>
          <w:sz w:val="24"/>
          <w:szCs w:val="24"/>
        </w:rPr>
        <w:t>4</w:t>
      </w:r>
      <w:r w:rsidRPr="00565A94">
        <w:rPr>
          <w:rFonts w:ascii="Calibri" w:hAnsi="Calibri"/>
          <w:sz w:val="24"/>
          <w:szCs w:val="24"/>
        </w:rPr>
        <w:t>c. Thanks-Reminder Email</w:t>
      </w:r>
    </w:p>
    <w:p w14:paraId="33F8EE54" w14:textId="77777777" w:rsidR="00725A6C" w:rsidRPr="00565A94" w:rsidRDefault="00725A6C" w:rsidP="00725A6C">
      <w:pPr>
        <w:spacing w:line="240" w:lineRule="auto"/>
        <w:rPr>
          <w:rFonts w:ascii="Calibri" w:hAnsi="Calibri"/>
          <w:sz w:val="24"/>
          <w:szCs w:val="24"/>
        </w:rPr>
      </w:pPr>
      <w:r w:rsidRPr="00565A94">
        <w:rPr>
          <w:rFonts w:ascii="Calibri" w:hAnsi="Calibri"/>
          <w:sz w:val="24"/>
          <w:szCs w:val="24"/>
        </w:rPr>
        <w:t xml:space="preserve">Attachment </w:t>
      </w:r>
      <w:r>
        <w:rPr>
          <w:rFonts w:ascii="Calibri" w:hAnsi="Calibri"/>
          <w:sz w:val="24"/>
          <w:szCs w:val="24"/>
        </w:rPr>
        <w:t>4</w:t>
      </w:r>
      <w:r w:rsidRPr="00565A94">
        <w:rPr>
          <w:rFonts w:ascii="Calibri" w:hAnsi="Calibri"/>
          <w:sz w:val="24"/>
          <w:szCs w:val="24"/>
        </w:rPr>
        <w:t>d. Reminder Email</w:t>
      </w:r>
    </w:p>
    <w:p w14:paraId="6FDBD62B" w14:textId="77777777" w:rsidR="00725A6C" w:rsidRDefault="00725A6C" w:rsidP="00725A6C">
      <w:pPr>
        <w:spacing w:line="240" w:lineRule="auto"/>
        <w:rPr>
          <w:rFonts w:ascii="Calibri" w:hAnsi="Calibri"/>
          <w:sz w:val="24"/>
          <w:szCs w:val="24"/>
        </w:rPr>
      </w:pPr>
      <w:r w:rsidRPr="00565A94">
        <w:rPr>
          <w:rFonts w:ascii="Calibri" w:hAnsi="Calibri"/>
          <w:sz w:val="24"/>
          <w:szCs w:val="24"/>
        </w:rPr>
        <w:t xml:space="preserve">Attachment </w:t>
      </w:r>
      <w:r>
        <w:rPr>
          <w:rFonts w:ascii="Calibri" w:hAnsi="Calibri"/>
          <w:sz w:val="24"/>
          <w:szCs w:val="24"/>
        </w:rPr>
        <w:t>4</w:t>
      </w:r>
      <w:r w:rsidRPr="00565A94">
        <w:rPr>
          <w:rFonts w:ascii="Calibri" w:hAnsi="Calibri"/>
          <w:sz w:val="24"/>
          <w:szCs w:val="24"/>
        </w:rPr>
        <w:t>e. Final Notice Email</w:t>
      </w:r>
    </w:p>
    <w:p w14:paraId="5FB41EAA" w14:textId="77777777" w:rsidR="00725A6C" w:rsidRPr="00565A94" w:rsidRDefault="00725A6C" w:rsidP="00725A6C">
      <w:pPr>
        <w:spacing w:line="240" w:lineRule="auto"/>
        <w:rPr>
          <w:rFonts w:ascii="Calibri" w:hAnsi="Calibri"/>
          <w:sz w:val="24"/>
          <w:szCs w:val="24"/>
        </w:rPr>
      </w:pPr>
      <w:r w:rsidRPr="00565A94">
        <w:rPr>
          <w:rFonts w:ascii="Calibri" w:hAnsi="Calibri"/>
          <w:sz w:val="24"/>
          <w:szCs w:val="24"/>
        </w:rPr>
        <w:t xml:space="preserve">Attachment </w:t>
      </w:r>
      <w:r>
        <w:rPr>
          <w:rFonts w:ascii="Calibri" w:hAnsi="Calibri"/>
          <w:sz w:val="24"/>
          <w:szCs w:val="24"/>
        </w:rPr>
        <w:t>5</w:t>
      </w:r>
      <w:r w:rsidRPr="00565A94">
        <w:rPr>
          <w:rFonts w:ascii="Calibri" w:hAnsi="Calibri"/>
          <w:sz w:val="24"/>
          <w:szCs w:val="24"/>
        </w:rPr>
        <w:t xml:space="preserve">a. </w:t>
      </w:r>
      <w:r>
        <w:rPr>
          <w:rFonts w:ascii="Calibri" w:hAnsi="Calibri"/>
          <w:sz w:val="24"/>
          <w:szCs w:val="24"/>
        </w:rPr>
        <w:t xml:space="preserve">UNCOVER EH </w:t>
      </w:r>
      <w:r w:rsidRPr="00565A94">
        <w:rPr>
          <w:rFonts w:ascii="Calibri" w:hAnsi="Calibri"/>
          <w:sz w:val="24"/>
          <w:szCs w:val="24"/>
        </w:rPr>
        <w:t>Survey (text)</w:t>
      </w:r>
    </w:p>
    <w:p w14:paraId="1C094118" w14:textId="77777777" w:rsidR="00725A6C" w:rsidRPr="00565A94" w:rsidRDefault="00725A6C" w:rsidP="00725A6C">
      <w:pPr>
        <w:spacing w:line="240" w:lineRule="auto"/>
        <w:rPr>
          <w:rFonts w:ascii="Calibri" w:hAnsi="Calibri"/>
          <w:sz w:val="24"/>
          <w:szCs w:val="24"/>
        </w:rPr>
      </w:pPr>
      <w:r w:rsidRPr="00565A94">
        <w:rPr>
          <w:rFonts w:ascii="Calibri" w:hAnsi="Calibri"/>
          <w:sz w:val="24"/>
          <w:szCs w:val="24"/>
        </w:rPr>
        <w:t xml:space="preserve">Attachment </w:t>
      </w:r>
      <w:r>
        <w:rPr>
          <w:rFonts w:ascii="Calibri" w:hAnsi="Calibri"/>
          <w:sz w:val="24"/>
          <w:szCs w:val="24"/>
        </w:rPr>
        <w:t>5</w:t>
      </w:r>
      <w:r w:rsidRPr="00565A94">
        <w:rPr>
          <w:rFonts w:ascii="Calibri" w:hAnsi="Calibri"/>
          <w:sz w:val="24"/>
          <w:szCs w:val="24"/>
        </w:rPr>
        <w:t xml:space="preserve">b. </w:t>
      </w:r>
      <w:r>
        <w:rPr>
          <w:rFonts w:ascii="Calibri" w:hAnsi="Calibri"/>
          <w:sz w:val="24"/>
          <w:szCs w:val="24"/>
        </w:rPr>
        <w:t>UNCOVER EH</w:t>
      </w:r>
      <w:r w:rsidRPr="00E630C8">
        <w:rPr>
          <w:rFonts w:ascii="Calibri" w:hAnsi="Calibri"/>
          <w:sz w:val="24"/>
          <w:szCs w:val="24"/>
        </w:rPr>
        <w:t xml:space="preserve"> </w:t>
      </w:r>
      <w:r w:rsidRPr="00565A94">
        <w:rPr>
          <w:rFonts w:ascii="Calibri" w:hAnsi="Calibri"/>
          <w:sz w:val="24"/>
          <w:szCs w:val="24"/>
        </w:rPr>
        <w:t>Survey (online)</w:t>
      </w:r>
    </w:p>
    <w:p w14:paraId="2A12E753" w14:textId="77777777" w:rsidR="00725A6C" w:rsidRPr="00565A94" w:rsidRDefault="00725A6C" w:rsidP="00725A6C">
      <w:pPr>
        <w:spacing w:line="240" w:lineRule="auto"/>
        <w:rPr>
          <w:rFonts w:ascii="Calibri" w:hAnsi="Calibri"/>
          <w:sz w:val="24"/>
          <w:szCs w:val="24"/>
        </w:rPr>
      </w:pPr>
      <w:r w:rsidRPr="00565A94">
        <w:rPr>
          <w:rFonts w:ascii="Calibri" w:hAnsi="Calibri"/>
          <w:sz w:val="24"/>
          <w:szCs w:val="24"/>
        </w:rPr>
        <w:t xml:space="preserve">Attachment </w:t>
      </w:r>
      <w:r>
        <w:rPr>
          <w:rFonts w:ascii="Calibri" w:hAnsi="Calibri"/>
          <w:sz w:val="24"/>
          <w:szCs w:val="24"/>
        </w:rPr>
        <w:t>6</w:t>
      </w:r>
      <w:r w:rsidRPr="00565A94">
        <w:rPr>
          <w:rFonts w:ascii="Calibri" w:hAnsi="Calibri"/>
          <w:sz w:val="24"/>
          <w:szCs w:val="24"/>
        </w:rPr>
        <w:t xml:space="preserve">. </w:t>
      </w:r>
      <w:r>
        <w:rPr>
          <w:rFonts w:ascii="Calibri" w:hAnsi="Calibri"/>
          <w:sz w:val="24"/>
          <w:szCs w:val="24"/>
        </w:rPr>
        <w:t>Study</w:t>
      </w:r>
      <w:r w:rsidRPr="00565A94">
        <w:rPr>
          <w:rFonts w:ascii="Calibri" w:hAnsi="Calibri"/>
          <w:sz w:val="24"/>
          <w:szCs w:val="24"/>
        </w:rPr>
        <w:t xml:space="preserve"> Protocol</w:t>
      </w:r>
    </w:p>
    <w:p w14:paraId="14463714" w14:textId="064537DE" w:rsidR="00984634" w:rsidRPr="00E707C0" w:rsidRDefault="00725A6C" w:rsidP="00725A6C">
      <w:pPr>
        <w:spacing w:line="240" w:lineRule="auto"/>
      </w:pPr>
      <w:r w:rsidRPr="00565A94">
        <w:rPr>
          <w:rFonts w:ascii="Calibri" w:hAnsi="Calibri"/>
          <w:sz w:val="24"/>
          <w:szCs w:val="24"/>
        </w:rPr>
        <w:t xml:space="preserve">Attachment </w:t>
      </w:r>
      <w:r>
        <w:rPr>
          <w:rFonts w:ascii="Calibri" w:hAnsi="Calibri"/>
          <w:sz w:val="24"/>
          <w:szCs w:val="24"/>
        </w:rPr>
        <w:t>7</w:t>
      </w:r>
      <w:r w:rsidRPr="00565A94">
        <w:rPr>
          <w:rFonts w:ascii="Calibri" w:hAnsi="Calibri"/>
          <w:sz w:val="24"/>
          <w:szCs w:val="24"/>
        </w:rPr>
        <w:t xml:space="preserve">. IRB </w:t>
      </w:r>
      <w:r>
        <w:rPr>
          <w:rFonts w:ascii="Calibri" w:hAnsi="Calibri"/>
          <w:sz w:val="24"/>
          <w:szCs w:val="24"/>
        </w:rPr>
        <w:t>Exemption</w:t>
      </w:r>
      <w:r w:rsidRPr="00565A94">
        <w:rPr>
          <w:rFonts w:ascii="Calibri" w:hAnsi="Calibri"/>
          <w:sz w:val="24"/>
          <w:szCs w:val="24"/>
        </w:rPr>
        <w:t xml:space="preserve"> </w:t>
      </w:r>
      <w:r>
        <w:rPr>
          <w:rFonts w:ascii="Calibri" w:hAnsi="Calibri"/>
          <w:sz w:val="24"/>
          <w:szCs w:val="24"/>
        </w:rPr>
        <w:t xml:space="preserve">Determination </w:t>
      </w:r>
      <w:r w:rsidRPr="00565A94">
        <w:rPr>
          <w:rFonts w:ascii="Calibri" w:hAnsi="Calibri"/>
          <w:sz w:val="24"/>
          <w:szCs w:val="24"/>
        </w:rPr>
        <w:t>Letter</w:t>
      </w:r>
    </w:p>
    <w:sectPr w:rsidR="00984634" w:rsidRPr="00E707C0" w:rsidSect="001961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D9A22" w14:textId="77777777" w:rsidR="00C363B7" w:rsidRDefault="00C363B7" w:rsidP="008B5D54">
      <w:r>
        <w:separator/>
      </w:r>
    </w:p>
  </w:endnote>
  <w:endnote w:type="continuationSeparator" w:id="0">
    <w:p w14:paraId="1DBC72D1" w14:textId="77777777" w:rsidR="00C363B7" w:rsidRDefault="00C363B7"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TCFranklinGothicStd-Book">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7E713" w14:textId="77777777" w:rsidR="00C363B7" w:rsidRDefault="00C363B7" w:rsidP="008B5D54">
      <w:r>
        <w:separator/>
      </w:r>
    </w:p>
  </w:footnote>
  <w:footnote w:type="continuationSeparator" w:id="0">
    <w:p w14:paraId="6B02AAA8" w14:textId="77777777" w:rsidR="00C363B7" w:rsidRDefault="00C363B7"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A239F"/>
    <w:multiLevelType w:val="hybridMultilevel"/>
    <w:tmpl w:val="00528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B7091"/>
    <w:multiLevelType w:val="hybridMultilevel"/>
    <w:tmpl w:val="6FD49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16E05B6"/>
    <w:multiLevelType w:val="hybridMultilevel"/>
    <w:tmpl w:val="E3002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F7213F"/>
    <w:multiLevelType w:val="hybridMultilevel"/>
    <w:tmpl w:val="ADCE4E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9"/>
  </w:num>
  <w:num w:numId="12">
    <w:abstractNumId w:val="5"/>
  </w:num>
  <w:num w:numId="13">
    <w:abstractNumId w:val="10"/>
  </w:num>
  <w:num w:numId="14">
    <w:abstractNumId w:val="8"/>
  </w:num>
  <w:num w:numId="15">
    <w:abstractNumId w:val="7"/>
  </w:num>
  <w:num w:numId="16">
    <w:abstractNumId w:val="4"/>
  </w:num>
  <w:num w:numId="17">
    <w:abstractNumId w:val="0"/>
  </w:num>
  <w:num w:numId="18">
    <w:abstractNumId w:val="1"/>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942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02"/>
    <w:rsid w:val="00005CE5"/>
    <w:rsid w:val="00006EDD"/>
    <w:rsid w:val="00012C63"/>
    <w:rsid w:val="0002279B"/>
    <w:rsid w:val="00030344"/>
    <w:rsid w:val="000329FE"/>
    <w:rsid w:val="000337CA"/>
    <w:rsid w:val="00040703"/>
    <w:rsid w:val="0006045F"/>
    <w:rsid w:val="000649AD"/>
    <w:rsid w:val="00074B51"/>
    <w:rsid w:val="00081BAB"/>
    <w:rsid w:val="000A0D7D"/>
    <w:rsid w:val="000D0BB4"/>
    <w:rsid w:val="000D41A0"/>
    <w:rsid w:val="000D530A"/>
    <w:rsid w:val="000E015C"/>
    <w:rsid w:val="000F3D30"/>
    <w:rsid w:val="00143D86"/>
    <w:rsid w:val="00151595"/>
    <w:rsid w:val="00155974"/>
    <w:rsid w:val="00156EEB"/>
    <w:rsid w:val="00195258"/>
    <w:rsid w:val="00196116"/>
    <w:rsid w:val="001A036E"/>
    <w:rsid w:val="001B789E"/>
    <w:rsid w:val="001C121D"/>
    <w:rsid w:val="001C2319"/>
    <w:rsid w:val="001E6A73"/>
    <w:rsid w:val="001F096D"/>
    <w:rsid w:val="00215336"/>
    <w:rsid w:val="002558A8"/>
    <w:rsid w:val="002643C3"/>
    <w:rsid w:val="002751FF"/>
    <w:rsid w:val="00275845"/>
    <w:rsid w:val="002869DD"/>
    <w:rsid w:val="002B16FD"/>
    <w:rsid w:val="002B551E"/>
    <w:rsid w:val="002D0271"/>
    <w:rsid w:val="002D3A49"/>
    <w:rsid w:val="002F2EE1"/>
    <w:rsid w:val="002F5DE4"/>
    <w:rsid w:val="0031004F"/>
    <w:rsid w:val="0031214F"/>
    <w:rsid w:val="00313DFD"/>
    <w:rsid w:val="00314D55"/>
    <w:rsid w:val="00322B90"/>
    <w:rsid w:val="00330F29"/>
    <w:rsid w:val="00352AA0"/>
    <w:rsid w:val="003567AB"/>
    <w:rsid w:val="00383868"/>
    <w:rsid w:val="00392D08"/>
    <w:rsid w:val="003B0D2F"/>
    <w:rsid w:val="003C729A"/>
    <w:rsid w:val="003D537C"/>
    <w:rsid w:val="003E41C5"/>
    <w:rsid w:val="003E6B97"/>
    <w:rsid w:val="00416CDF"/>
    <w:rsid w:val="00417FE7"/>
    <w:rsid w:val="00425A8D"/>
    <w:rsid w:val="00433285"/>
    <w:rsid w:val="0045200F"/>
    <w:rsid w:val="004A7B18"/>
    <w:rsid w:val="004B4EB9"/>
    <w:rsid w:val="004B6C5C"/>
    <w:rsid w:val="004B7C55"/>
    <w:rsid w:val="004D14BE"/>
    <w:rsid w:val="004D20BB"/>
    <w:rsid w:val="004E2DFB"/>
    <w:rsid w:val="004E4C41"/>
    <w:rsid w:val="004F0BE4"/>
    <w:rsid w:val="00500B15"/>
    <w:rsid w:val="0050459A"/>
    <w:rsid w:val="00522073"/>
    <w:rsid w:val="005435AC"/>
    <w:rsid w:val="005445E9"/>
    <w:rsid w:val="00556145"/>
    <w:rsid w:val="005624FE"/>
    <w:rsid w:val="00564C08"/>
    <w:rsid w:val="005A3BAA"/>
    <w:rsid w:val="005C4810"/>
    <w:rsid w:val="005C51C0"/>
    <w:rsid w:val="005C7D8C"/>
    <w:rsid w:val="005E29F7"/>
    <w:rsid w:val="005F0ACB"/>
    <w:rsid w:val="005F640A"/>
    <w:rsid w:val="00602A36"/>
    <w:rsid w:val="00605765"/>
    <w:rsid w:val="0063489C"/>
    <w:rsid w:val="0063597C"/>
    <w:rsid w:val="00644B71"/>
    <w:rsid w:val="006560B1"/>
    <w:rsid w:val="00687E6D"/>
    <w:rsid w:val="006A32F0"/>
    <w:rsid w:val="006C6578"/>
    <w:rsid w:val="006E5469"/>
    <w:rsid w:val="006F2ABA"/>
    <w:rsid w:val="0070554F"/>
    <w:rsid w:val="00717257"/>
    <w:rsid w:val="00725A6C"/>
    <w:rsid w:val="00754B3D"/>
    <w:rsid w:val="00774897"/>
    <w:rsid w:val="00792A59"/>
    <w:rsid w:val="00796D76"/>
    <w:rsid w:val="007A05CD"/>
    <w:rsid w:val="007A0A68"/>
    <w:rsid w:val="007B5C29"/>
    <w:rsid w:val="007B7F20"/>
    <w:rsid w:val="007D595C"/>
    <w:rsid w:val="007F0E10"/>
    <w:rsid w:val="008209E8"/>
    <w:rsid w:val="00837201"/>
    <w:rsid w:val="00872180"/>
    <w:rsid w:val="00882DF1"/>
    <w:rsid w:val="008861AB"/>
    <w:rsid w:val="00890A5C"/>
    <w:rsid w:val="00890B62"/>
    <w:rsid w:val="0089427E"/>
    <w:rsid w:val="008975D3"/>
    <w:rsid w:val="008B5789"/>
    <w:rsid w:val="008B5D54"/>
    <w:rsid w:val="008B65A1"/>
    <w:rsid w:val="008D0F27"/>
    <w:rsid w:val="008D3A06"/>
    <w:rsid w:val="008D3BE8"/>
    <w:rsid w:val="008E7EF6"/>
    <w:rsid w:val="00903091"/>
    <w:rsid w:val="0091050C"/>
    <w:rsid w:val="00925CA2"/>
    <w:rsid w:val="00935FD5"/>
    <w:rsid w:val="00945D75"/>
    <w:rsid w:val="00965C2A"/>
    <w:rsid w:val="00976C14"/>
    <w:rsid w:val="0098046C"/>
    <w:rsid w:val="00984634"/>
    <w:rsid w:val="00992101"/>
    <w:rsid w:val="00993CEE"/>
    <w:rsid w:val="009A1486"/>
    <w:rsid w:val="009C2F5A"/>
    <w:rsid w:val="009D6A2C"/>
    <w:rsid w:val="009E407B"/>
    <w:rsid w:val="00A2199A"/>
    <w:rsid w:val="00A51205"/>
    <w:rsid w:val="00A76C6D"/>
    <w:rsid w:val="00AA63A1"/>
    <w:rsid w:val="00AB5F18"/>
    <w:rsid w:val="00AC3B7E"/>
    <w:rsid w:val="00AC4C54"/>
    <w:rsid w:val="00AC62F2"/>
    <w:rsid w:val="00AE2F5E"/>
    <w:rsid w:val="00AE393C"/>
    <w:rsid w:val="00B21D28"/>
    <w:rsid w:val="00B278A0"/>
    <w:rsid w:val="00B31F1B"/>
    <w:rsid w:val="00B44E8F"/>
    <w:rsid w:val="00B45002"/>
    <w:rsid w:val="00B45206"/>
    <w:rsid w:val="00B5171E"/>
    <w:rsid w:val="00B55735"/>
    <w:rsid w:val="00B608AC"/>
    <w:rsid w:val="00B73D70"/>
    <w:rsid w:val="00BA2DBE"/>
    <w:rsid w:val="00BA30FE"/>
    <w:rsid w:val="00BD1812"/>
    <w:rsid w:val="00BD2639"/>
    <w:rsid w:val="00C15C36"/>
    <w:rsid w:val="00C15EB1"/>
    <w:rsid w:val="00C16100"/>
    <w:rsid w:val="00C363B7"/>
    <w:rsid w:val="00C43482"/>
    <w:rsid w:val="00C5311D"/>
    <w:rsid w:val="00C929D2"/>
    <w:rsid w:val="00CB111B"/>
    <w:rsid w:val="00CD0E02"/>
    <w:rsid w:val="00CE5924"/>
    <w:rsid w:val="00D0744A"/>
    <w:rsid w:val="00D12BC8"/>
    <w:rsid w:val="00D14114"/>
    <w:rsid w:val="00D17559"/>
    <w:rsid w:val="00D33AE3"/>
    <w:rsid w:val="00D41D28"/>
    <w:rsid w:val="00D4593B"/>
    <w:rsid w:val="00D479BA"/>
    <w:rsid w:val="00D80142"/>
    <w:rsid w:val="00D81628"/>
    <w:rsid w:val="00D95B22"/>
    <w:rsid w:val="00DA5FA0"/>
    <w:rsid w:val="00DA796B"/>
    <w:rsid w:val="00DB14E2"/>
    <w:rsid w:val="00DB6B8B"/>
    <w:rsid w:val="00DC28FB"/>
    <w:rsid w:val="00DC57CC"/>
    <w:rsid w:val="00DD1867"/>
    <w:rsid w:val="00DD2606"/>
    <w:rsid w:val="00DD39AC"/>
    <w:rsid w:val="00DD6BCC"/>
    <w:rsid w:val="00DE3D6A"/>
    <w:rsid w:val="00DE6E68"/>
    <w:rsid w:val="00DF1EB2"/>
    <w:rsid w:val="00E2405B"/>
    <w:rsid w:val="00E410B4"/>
    <w:rsid w:val="00E5157D"/>
    <w:rsid w:val="00E632AF"/>
    <w:rsid w:val="00E645EF"/>
    <w:rsid w:val="00E707C0"/>
    <w:rsid w:val="00E76DFA"/>
    <w:rsid w:val="00E86DD1"/>
    <w:rsid w:val="00EA6E06"/>
    <w:rsid w:val="00EF2494"/>
    <w:rsid w:val="00EF5132"/>
    <w:rsid w:val="00F81B8D"/>
    <w:rsid w:val="00F845F2"/>
    <w:rsid w:val="00FA27ED"/>
    <w:rsid w:val="00FB5207"/>
    <w:rsid w:val="00FC1CAC"/>
    <w:rsid w:val="00FF4033"/>
    <w:rsid w:val="00FF6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0943035"/>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99"/>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character" w:styleId="PlaceholderText">
    <w:name w:val="Placeholder Text"/>
    <w:basedOn w:val="DefaultParagraphFont"/>
    <w:uiPriority w:val="99"/>
    <w:semiHidden/>
    <w:rsid w:val="00313DFD"/>
    <w:rPr>
      <w:color w:val="808080"/>
    </w:rPr>
  </w:style>
  <w:style w:type="paragraph" w:styleId="Revision">
    <w:name w:val="Revision"/>
    <w:hidden/>
    <w:uiPriority w:val="99"/>
    <w:semiHidden/>
    <w:rsid w:val="00BD18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6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chived.naccho.org/topics/infrastructure/profile/upload/2013-national-profile-of-local-health-departments-repor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cbi.nlm.nih.gov/pmc/articles/PMC1361134/" TargetMode="External"/><Relationship Id="rId4" Type="http://schemas.openxmlformats.org/officeDocument/2006/relationships/settings" Target="settings.xml"/><Relationship Id="rId9" Type="http://schemas.openxmlformats.org/officeDocument/2006/relationships/hyperlink" Target="http://www.astho.org/Profile/Volume-Thr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24744-7352-4597-BB14-E59956B78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1706</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Zirger, Jeffrey (CDC/OD/OADS)</cp:lastModifiedBy>
  <cp:revision>3</cp:revision>
  <cp:lastPrinted>2016-10-21T12:40:00Z</cp:lastPrinted>
  <dcterms:created xsi:type="dcterms:W3CDTF">2017-01-10T20:46:00Z</dcterms:created>
  <dcterms:modified xsi:type="dcterms:W3CDTF">2017-01-11T13:59:00Z</dcterms:modified>
</cp:coreProperties>
</file>