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B81E7" w14:textId="77777777" w:rsidR="00BA2DBE" w:rsidRPr="00D20211" w:rsidRDefault="00BA2DBE">
      <w:pPr>
        <w:rPr>
          <w:rFonts w:ascii="Arial" w:hAnsi="Arial" w:cs="Arial"/>
        </w:rPr>
      </w:pPr>
      <w:bookmarkStart w:id="0" w:name="_Toc337198071"/>
      <w:bookmarkStart w:id="1" w:name="_Toc423335421"/>
      <w:bookmarkStart w:id="2" w:name="_GoBack"/>
      <w:bookmarkEnd w:id="2"/>
    </w:p>
    <w:p w14:paraId="59337D84" w14:textId="77777777" w:rsidR="00BA2DBE" w:rsidRPr="00D20211" w:rsidRDefault="00BA2DBE">
      <w:pPr>
        <w:rPr>
          <w:rFonts w:ascii="Arial" w:hAnsi="Arial" w:cs="Arial"/>
        </w:rPr>
      </w:pPr>
    </w:p>
    <w:p w14:paraId="276321DF" w14:textId="77777777" w:rsidR="00BA2DBE" w:rsidRPr="00D20211" w:rsidRDefault="00BA2DBE">
      <w:pPr>
        <w:rPr>
          <w:rFonts w:ascii="Arial" w:hAnsi="Arial" w:cs="Arial"/>
        </w:rPr>
      </w:pPr>
    </w:p>
    <w:p w14:paraId="21173796" w14:textId="77777777" w:rsidR="00BA2DBE" w:rsidRPr="00D20211" w:rsidRDefault="00BA2DBE">
      <w:pPr>
        <w:rPr>
          <w:rFonts w:ascii="Arial" w:hAnsi="Arial" w:cs="Arial"/>
        </w:rPr>
      </w:pPr>
    </w:p>
    <w:p w14:paraId="12BC4B96" w14:textId="77777777" w:rsidR="00BA2DBE" w:rsidRPr="00D20211" w:rsidRDefault="00BA2DBE">
      <w:pPr>
        <w:rPr>
          <w:rFonts w:ascii="Arial" w:hAnsi="Arial" w:cs="Arial"/>
        </w:rPr>
      </w:pPr>
    </w:p>
    <w:p w14:paraId="07657485" w14:textId="77777777" w:rsidR="00635C5B" w:rsidRDefault="00635C5B" w:rsidP="009379A8">
      <w:pPr>
        <w:pStyle w:val="Subtitle"/>
        <w:rPr>
          <w:color w:val="auto"/>
          <w:sz w:val="48"/>
          <w:szCs w:val="48"/>
        </w:rPr>
      </w:pPr>
      <w:r w:rsidRPr="00635C5B">
        <w:rPr>
          <w:color w:val="auto"/>
          <w:sz w:val="48"/>
          <w:szCs w:val="48"/>
        </w:rPr>
        <w:t>Understanding the Needs, Challenges, Opportunities, Vision and Emerging Roles in Environmental Health (UNCOVER EH)</w:t>
      </w:r>
    </w:p>
    <w:p w14:paraId="554B9A29" w14:textId="5A33B54F" w:rsidR="009379A8" w:rsidRPr="00997E7A" w:rsidRDefault="009379A8" w:rsidP="009379A8">
      <w:pPr>
        <w:pStyle w:val="Subtitle"/>
        <w:rPr>
          <w:color w:val="auto"/>
        </w:rPr>
      </w:pPr>
      <w:r w:rsidRPr="00997E7A">
        <w:rPr>
          <w:color w:val="auto"/>
        </w:rPr>
        <w:t xml:space="preserve">OMB Control No. 0920-NEW </w:t>
      </w:r>
    </w:p>
    <w:p w14:paraId="5066020B" w14:textId="0CA64D5A" w:rsidR="009379A8" w:rsidRPr="00997E7A" w:rsidRDefault="009379A8" w:rsidP="00CA1370">
      <w:pPr>
        <w:tabs>
          <w:tab w:val="left" w:pos="2190"/>
        </w:tabs>
        <w:spacing w:after="200" w:line="276" w:lineRule="auto"/>
        <w:rPr>
          <w:rFonts w:asciiTheme="majorHAnsi" w:hAnsiTheme="majorHAnsi"/>
          <w:sz w:val="36"/>
        </w:rPr>
      </w:pPr>
      <w:r w:rsidRPr="00997E7A">
        <w:rPr>
          <w:rFonts w:asciiTheme="majorHAnsi" w:hAnsiTheme="majorHAnsi"/>
          <w:sz w:val="36"/>
        </w:rPr>
        <w:t>New</w:t>
      </w:r>
      <w:r w:rsidR="00CA1370">
        <w:rPr>
          <w:rFonts w:asciiTheme="majorHAnsi" w:hAnsiTheme="majorHAnsi"/>
          <w:sz w:val="36"/>
        </w:rPr>
        <w:tab/>
      </w:r>
    </w:p>
    <w:p w14:paraId="208934B9" w14:textId="77777777" w:rsidR="00C000CD" w:rsidRPr="00D20211" w:rsidRDefault="00C000CD" w:rsidP="001626E8">
      <w:pPr>
        <w:pStyle w:val="Subtitle"/>
        <w:rPr>
          <w:color w:val="auto"/>
        </w:rPr>
      </w:pPr>
    </w:p>
    <w:p w14:paraId="0ED778E6" w14:textId="77777777"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14:paraId="71B235A4" w14:textId="7B45D1F0" w:rsidR="00BA2DBE" w:rsidRPr="00D20211" w:rsidRDefault="00480FC6" w:rsidP="001626E8">
      <w:pPr>
        <w:pStyle w:val="Subtitle"/>
        <w:rPr>
          <w:color w:val="auto"/>
        </w:rPr>
      </w:pPr>
      <w:r w:rsidRPr="00D20211">
        <w:rPr>
          <w:color w:val="auto"/>
        </w:rPr>
        <w:t>Justification</w:t>
      </w:r>
    </w:p>
    <w:p w14:paraId="5B69A118" w14:textId="77777777" w:rsidR="008E47E6" w:rsidRPr="00D20211" w:rsidRDefault="008E47E6" w:rsidP="00BB0E8E"/>
    <w:p w14:paraId="5CC0C15F" w14:textId="77777777" w:rsidR="00BA2DBE" w:rsidRPr="00D20211" w:rsidRDefault="00BA2DBE">
      <w:pPr>
        <w:spacing w:after="200" w:line="276" w:lineRule="auto"/>
        <w:rPr>
          <w:rFonts w:asciiTheme="majorHAnsi" w:hAnsiTheme="majorHAnsi" w:cs="Arial"/>
          <w:sz w:val="36"/>
          <w:szCs w:val="36"/>
        </w:rPr>
      </w:pPr>
    </w:p>
    <w:p w14:paraId="69C74FD2" w14:textId="77777777" w:rsidR="00BA2DBE" w:rsidRPr="00D20211" w:rsidRDefault="00BA2DBE">
      <w:pPr>
        <w:spacing w:after="200" w:line="276" w:lineRule="auto"/>
        <w:rPr>
          <w:rFonts w:asciiTheme="majorHAnsi" w:hAnsiTheme="majorHAnsi" w:cs="Arial"/>
          <w:sz w:val="36"/>
          <w:szCs w:val="36"/>
        </w:rPr>
      </w:pPr>
    </w:p>
    <w:p w14:paraId="1E4E243A" w14:textId="77777777" w:rsidR="00BA2DBE" w:rsidRPr="00D20211" w:rsidRDefault="00BA2DBE">
      <w:pPr>
        <w:spacing w:after="200" w:line="276" w:lineRule="auto"/>
        <w:rPr>
          <w:rFonts w:asciiTheme="majorHAnsi" w:hAnsiTheme="majorHAnsi" w:cs="Arial"/>
          <w:sz w:val="36"/>
          <w:szCs w:val="36"/>
        </w:rPr>
      </w:pPr>
    </w:p>
    <w:p w14:paraId="36D07EFE" w14:textId="77777777" w:rsidR="00BA2DBE" w:rsidRPr="00D20211" w:rsidRDefault="00BA2DBE">
      <w:pPr>
        <w:spacing w:after="200" w:line="276" w:lineRule="auto"/>
        <w:rPr>
          <w:rFonts w:asciiTheme="majorHAnsi" w:hAnsiTheme="majorHAnsi" w:cs="Arial"/>
          <w:sz w:val="36"/>
          <w:szCs w:val="36"/>
        </w:rPr>
      </w:pPr>
    </w:p>
    <w:p w14:paraId="77A49968" w14:textId="698433EC" w:rsidR="00BA2DBE" w:rsidRPr="00D20211" w:rsidRDefault="00480FC6" w:rsidP="008E47E6">
      <w:pPr>
        <w:pStyle w:val="Subtitle"/>
        <w:spacing w:after="0"/>
        <w:rPr>
          <w:color w:val="auto"/>
        </w:rPr>
      </w:pPr>
      <w:r w:rsidRPr="00D20211">
        <w:rPr>
          <w:color w:val="auto"/>
        </w:rPr>
        <w:t xml:space="preserve">Project Officer: </w:t>
      </w:r>
      <w:r w:rsidR="006B0E2B">
        <w:rPr>
          <w:color w:val="auto"/>
        </w:rPr>
        <w:t>Justin Gerding</w:t>
      </w:r>
    </w:p>
    <w:p w14:paraId="009E2166" w14:textId="3E37B1FC" w:rsidR="00BA2DBE" w:rsidRPr="00D20211" w:rsidRDefault="00480FC6" w:rsidP="008E47E6">
      <w:pPr>
        <w:pStyle w:val="Subtitle"/>
        <w:spacing w:after="0"/>
        <w:rPr>
          <w:color w:val="auto"/>
        </w:rPr>
      </w:pPr>
      <w:r w:rsidRPr="00D20211">
        <w:rPr>
          <w:color w:val="auto"/>
        </w:rPr>
        <w:t>Title:</w:t>
      </w:r>
      <w:r w:rsidR="006B0E2B">
        <w:rPr>
          <w:color w:val="auto"/>
        </w:rPr>
        <w:t xml:space="preserve"> Environmental Health Specialist</w:t>
      </w:r>
    </w:p>
    <w:p w14:paraId="4D73E7D9" w14:textId="6B1FB428" w:rsidR="00BA2DBE" w:rsidRPr="00D20211" w:rsidRDefault="00107476" w:rsidP="008E47E6">
      <w:pPr>
        <w:pStyle w:val="Subtitle"/>
        <w:spacing w:after="0"/>
        <w:rPr>
          <w:color w:val="auto"/>
        </w:rPr>
      </w:pPr>
      <w:r w:rsidRPr="00D20211">
        <w:rPr>
          <w:color w:val="auto"/>
        </w:rPr>
        <w:t>Phone</w:t>
      </w:r>
      <w:r w:rsidR="00480FC6" w:rsidRPr="00D20211">
        <w:rPr>
          <w:color w:val="auto"/>
        </w:rPr>
        <w:t>:</w:t>
      </w:r>
      <w:r w:rsidR="00546330">
        <w:rPr>
          <w:color w:val="auto"/>
        </w:rPr>
        <w:t xml:space="preserve"> (770) 488-3</w:t>
      </w:r>
      <w:r w:rsidR="006B0E2B">
        <w:rPr>
          <w:color w:val="auto"/>
        </w:rPr>
        <w:t>972</w:t>
      </w:r>
    </w:p>
    <w:p w14:paraId="72924699" w14:textId="12B0659B" w:rsidR="00BA2DBE" w:rsidRPr="00D20211" w:rsidRDefault="00107476" w:rsidP="00EA0849">
      <w:pPr>
        <w:pStyle w:val="Subtitle"/>
        <w:spacing w:after="0"/>
        <w:rPr>
          <w:color w:val="auto"/>
        </w:rPr>
      </w:pPr>
      <w:r w:rsidRPr="00D20211">
        <w:rPr>
          <w:color w:val="auto"/>
        </w:rPr>
        <w:t>Email</w:t>
      </w:r>
      <w:r w:rsidR="00480FC6" w:rsidRPr="00D20211">
        <w:rPr>
          <w:color w:val="auto"/>
        </w:rPr>
        <w:t xml:space="preserve">: </w:t>
      </w:r>
      <w:r w:rsidR="006B0E2B">
        <w:rPr>
          <w:color w:val="auto"/>
        </w:rPr>
        <w:t>Jgerding@cdc.gov</w:t>
      </w:r>
    </w:p>
    <w:p w14:paraId="70AB4DEC" w14:textId="14369592" w:rsidR="00BA2DBE" w:rsidRPr="00D20211" w:rsidRDefault="00107476" w:rsidP="008E47E6">
      <w:pPr>
        <w:pStyle w:val="Subtitle"/>
        <w:spacing w:after="0"/>
        <w:rPr>
          <w:color w:val="auto"/>
        </w:rPr>
      </w:pPr>
      <w:r w:rsidRPr="00D20211">
        <w:rPr>
          <w:color w:val="auto"/>
        </w:rPr>
        <w:t>Fax</w:t>
      </w:r>
      <w:r w:rsidR="00480FC6" w:rsidRPr="00D20211">
        <w:rPr>
          <w:color w:val="auto"/>
        </w:rPr>
        <w:t>:</w:t>
      </w:r>
      <w:r w:rsidR="006B0E2B">
        <w:rPr>
          <w:color w:val="auto"/>
        </w:rPr>
        <w:t xml:space="preserve"> (770) 488-7310</w:t>
      </w:r>
    </w:p>
    <w:p w14:paraId="14F78241" w14:textId="77777777" w:rsidR="00EA0849" w:rsidRPr="00D20211" w:rsidRDefault="00EA0849" w:rsidP="008E47E6">
      <w:pPr>
        <w:pStyle w:val="Subtitle"/>
        <w:spacing w:after="0"/>
        <w:rPr>
          <w:color w:val="auto"/>
        </w:rPr>
      </w:pPr>
    </w:p>
    <w:p w14:paraId="76D937C3" w14:textId="3203F627" w:rsidR="00965C2A" w:rsidRPr="00D20211" w:rsidRDefault="00480FC6" w:rsidP="008E47E6">
      <w:pPr>
        <w:pStyle w:val="Subtitle"/>
        <w:spacing w:after="0"/>
        <w:rPr>
          <w:rFonts w:ascii="Arial" w:hAnsi="Arial"/>
          <w:color w:val="auto"/>
        </w:rPr>
      </w:pPr>
      <w:r w:rsidRPr="00D20211">
        <w:rPr>
          <w:color w:val="auto"/>
        </w:rPr>
        <w:t>Date:</w:t>
      </w:r>
      <w:r w:rsidR="007C64C2">
        <w:rPr>
          <w:color w:val="auto"/>
        </w:rPr>
        <w:t xml:space="preserve"> </w:t>
      </w:r>
      <w:r w:rsidR="00C03CB6">
        <w:rPr>
          <w:color w:val="auto"/>
        </w:rPr>
        <w:t>January 4, 2017</w:t>
      </w:r>
      <w:r w:rsidR="00BA2DBE" w:rsidRPr="00D20211">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14:paraId="1C83B101" w14:textId="2229C436" w:rsidR="009B765E" w:rsidRPr="00D20211" w:rsidRDefault="009B765E" w:rsidP="00637DF7">
          <w:pPr>
            <w:pStyle w:val="TOCHeading"/>
            <w:spacing w:after="480"/>
            <w:jc w:val="center"/>
            <w:rPr>
              <w:color w:val="auto"/>
            </w:rPr>
          </w:pPr>
          <w:r w:rsidRPr="00D20211">
            <w:rPr>
              <w:color w:val="auto"/>
            </w:rPr>
            <w:t>Table of Contents</w:t>
          </w:r>
        </w:p>
        <w:p w14:paraId="33E0A934" w14:textId="77777777" w:rsidR="00D5249F" w:rsidRPr="000436D2" w:rsidRDefault="009B765E">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anchor="_Toc432356280" w:history="1">
            <w:r w:rsidR="00D5249F" w:rsidRPr="000436D2">
              <w:rPr>
                <w:rStyle w:val="Hyperlink"/>
                <w:noProof/>
                <w:color w:val="auto"/>
              </w:rPr>
              <w:t>A.1.  Circumstances Making the Collection of Information Necessary</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_Toc432356280 \h </w:instrText>
            </w:r>
            <w:r w:rsidR="00D5249F" w:rsidRPr="002E5606">
              <w:rPr>
                <w:noProof/>
                <w:webHidden/>
              </w:rPr>
            </w:r>
            <w:r w:rsidR="00D5249F" w:rsidRPr="002E5606">
              <w:rPr>
                <w:noProof/>
                <w:webHidden/>
              </w:rPr>
              <w:fldChar w:fldCharType="separate"/>
            </w:r>
            <w:r w:rsidR="00D85333">
              <w:rPr>
                <w:noProof/>
                <w:webHidden/>
              </w:rPr>
              <w:t>3</w:t>
            </w:r>
            <w:r w:rsidR="00D5249F" w:rsidRPr="002E5606">
              <w:rPr>
                <w:noProof/>
                <w:webHidden/>
              </w:rPr>
              <w:fldChar w:fldCharType="end"/>
            </w:r>
          </w:hyperlink>
        </w:p>
        <w:p w14:paraId="4CC80B27" w14:textId="77777777" w:rsidR="00D5249F" w:rsidRPr="000436D2" w:rsidRDefault="00070FCA">
          <w:pPr>
            <w:pStyle w:val="TOC1"/>
            <w:tabs>
              <w:tab w:val="right" w:leader="dot" w:pos="9350"/>
            </w:tabs>
            <w:rPr>
              <w:noProof/>
              <w:sz w:val="22"/>
              <w:szCs w:val="22"/>
            </w:rPr>
          </w:pPr>
          <w:hyperlink w:anchor="_Toc432356281" w:history="1">
            <w:r w:rsidR="00D5249F" w:rsidRPr="000436D2">
              <w:rPr>
                <w:rStyle w:val="Hyperlink"/>
                <w:noProof/>
                <w:color w:val="auto"/>
              </w:rPr>
              <w:t>A.2.  Purpose and Use of the Information Collection</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_Toc432356281 \h </w:instrText>
            </w:r>
            <w:r w:rsidR="00D5249F" w:rsidRPr="002E5606">
              <w:rPr>
                <w:noProof/>
                <w:webHidden/>
              </w:rPr>
            </w:r>
            <w:r w:rsidR="00D5249F" w:rsidRPr="002E5606">
              <w:rPr>
                <w:noProof/>
                <w:webHidden/>
              </w:rPr>
              <w:fldChar w:fldCharType="separate"/>
            </w:r>
            <w:r w:rsidR="00D85333">
              <w:rPr>
                <w:noProof/>
                <w:webHidden/>
              </w:rPr>
              <w:t>5</w:t>
            </w:r>
            <w:r w:rsidR="00D5249F" w:rsidRPr="002E5606">
              <w:rPr>
                <w:noProof/>
                <w:webHidden/>
              </w:rPr>
              <w:fldChar w:fldCharType="end"/>
            </w:r>
          </w:hyperlink>
        </w:p>
        <w:p w14:paraId="3160BA26" w14:textId="77777777" w:rsidR="00D5249F" w:rsidRPr="000436D2" w:rsidRDefault="00070FCA">
          <w:pPr>
            <w:pStyle w:val="TOC1"/>
            <w:tabs>
              <w:tab w:val="right" w:leader="dot" w:pos="9350"/>
            </w:tabs>
            <w:rPr>
              <w:noProof/>
              <w:sz w:val="22"/>
              <w:szCs w:val="22"/>
            </w:rPr>
          </w:pPr>
          <w:hyperlink w:anchor="_Toc432356282" w:history="1">
            <w:r w:rsidR="00D5249F" w:rsidRPr="000436D2">
              <w:rPr>
                <w:rStyle w:val="Hyperlink"/>
                <w:noProof/>
                <w:color w:val="auto"/>
              </w:rPr>
              <w:t>A.3.  Use of Improved Information Technology and Burden Reduction</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_Toc432356282 \h </w:instrText>
            </w:r>
            <w:r w:rsidR="00D5249F" w:rsidRPr="002E5606">
              <w:rPr>
                <w:noProof/>
                <w:webHidden/>
              </w:rPr>
            </w:r>
            <w:r w:rsidR="00D5249F" w:rsidRPr="002E5606">
              <w:rPr>
                <w:noProof/>
                <w:webHidden/>
              </w:rPr>
              <w:fldChar w:fldCharType="separate"/>
            </w:r>
            <w:r w:rsidR="00D85333">
              <w:rPr>
                <w:noProof/>
                <w:webHidden/>
              </w:rPr>
              <w:t>5</w:t>
            </w:r>
            <w:r w:rsidR="00D5249F" w:rsidRPr="002E5606">
              <w:rPr>
                <w:noProof/>
                <w:webHidden/>
              </w:rPr>
              <w:fldChar w:fldCharType="end"/>
            </w:r>
          </w:hyperlink>
        </w:p>
        <w:p w14:paraId="66D21B9E" w14:textId="77777777" w:rsidR="00D5249F" w:rsidRPr="000436D2" w:rsidRDefault="00070FCA">
          <w:pPr>
            <w:pStyle w:val="TOC1"/>
            <w:tabs>
              <w:tab w:val="right" w:leader="dot" w:pos="9350"/>
            </w:tabs>
            <w:rPr>
              <w:noProof/>
              <w:sz w:val="22"/>
              <w:szCs w:val="22"/>
            </w:rPr>
          </w:pPr>
          <w:hyperlink w:anchor="_Toc432356283" w:history="1">
            <w:r w:rsidR="00D5249F" w:rsidRPr="000436D2">
              <w:rPr>
                <w:rStyle w:val="Hyperlink"/>
                <w:noProof/>
                <w:color w:val="auto"/>
              </w:rPr>
              <w:t>A.4.  Efforts to Identify Duplication and Use of Similar Information</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_Toc432356283 \h </w:instrText>
            </w:r>
            <w:r w:rsidR="00D5249F" w:rsidRPr="002E5606">
              <w:rPr>
                <w:noProof/>
                <w:webHidden/>
              </w:rPr>
            </w:r>
            <w:r w:rsidR="00D5249F" w:rsidRPr="002E5606">
              <w:rPr>
                <w:noProof/>
                <w:webHidden/>
              </w:rPr>
              <w:fldChar w:fldCharType="separate"/>
            </w:r>
            <w:r w:rsidR="00D85333">
              <w:rPr>
                <w:noProof/>
                <w:webHidden/>
              </w:rPr>
              <w:t>6</w:t>
            </w:r>
            <w:r w:rsidR="00D5249F" w:rsidRPr="002E5606">
              <w:rPr>
                <w:noProof/>
                <w:webHidden/>
              </w:rPr>
              <w:fldChar w:fldCharType="end"/>
            </w:r>
          </w:hyperlink>
        </w:p>
        <w:p w14:paraId="257A781B" w14:textId="251B49DE" w:rsidR="00D5249F" w:rsidRPr="000436D2" w:rsidRDefault="00070FCA">
          <w:pPr>
            <w:pStyle w:val="TOC1"/>
            <w:tabs>
              <w:tab w:val="right" w:leader="dot" w:pos="9350"/>
            </w:tabs>
            <w:rPr>
              <w:noProof/>
              <w:sz w:val="22"/>
              <w:szCs w:val="22"/>
            </w:rPr>
          </w:pPr>
          <w:hyperlink w:anchor="_Toc432356284" w:history="1">
            <w:r w:rsidR="00D5249F" w:rsidRPr="000436D2">
              <w:rPr>
                <w:rStyle w:val="Hyperlink"/>
                <w:noProof/>
                <w:color w:val="auto"/>
              </w:rPr>
              <w:t>A.5.  Impact on Small Businesses or Other Small Entities</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_Toc432356284 \h </w:instrText>
            </w:r>
            <w:r w:rsidR="00D5249F" w:rsidRPr="002E5606">
              <w:rPr>
                <w:noProof/>
                <w:webHidden/>
              </w:rPr>
            </w:r>
            <w:r w:rsidR="00D5249F" w:rsidRPr="002E5606">
              <w:rPr>
                <w:noProof/>
                <w:webHidden/>
              </w:rPr>
              <w:fldChar w:fldCharType="separate"/>
            </w:r>
            <w:r w:rsidR="00D85333">
              <w:rPr>
                <w:noProof/>
                <w:webHidden/>
              </w:rPr>
              <w:t>6</w:t>
            </w:r>
            <w:r w:rsidR="00D5249F" w:rsidRPr="002E5606">
              <w:rPr>
                <w:noProof/>
                <w:webHidden/>
              </w:rPr>
              <w:fldChar w:fldCharType="end"/>
            </w:r>
          </w:hyperlink>
        </w:p>
        <w:p w14:paraId="665E7960" w14:textId="77777777" w:rsidR="00D5249F" w:rsidRPr="000436D2" w:rsidRDefault="00070FCA">
          <w:pPr>
            <w:pStyle w:val="TOC1"/>
            <w:tabs>
              <w:tab w:val="right" w:leader="dot" w:pos="9350"/>
            </w:tabs>
            <w:rPr>
              <w:noProof/>
              <w:sz w:val="22"/>
              <w:szCs w:val="22"/>
            </w:rPr>
          </w:pPr>
          <w:hyperlink w:anchor="_Toc432356285" w:history="1">
            <w:r w:rsidR="00D5249F" w:rsidRPr="000436D2">
              <w:rPr>
                <w:rStyle w:val="Hyperlink"/>
                <w:noProof/>
                <w:color w:val="auto"/>
              </w:rPr>
              <w:t>A.6.  Consequences of Collecting the Information Less Frequently</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_Toc432356285 \h </w:instrText>
            </w:r>
            <w:r w:rsidR="00D5249F" w:rsidRPr="002E5606">
              <w:rPr>
                <w:noProof/>
                <w:webHidden/>
              </w:rPr>
            </w:r>
            <w:r w:rsidR="00D5249F" w:rsidRPr="002E5606">
              <w:rPr>
                <w:noProof/>
                <w:webHidden/>
              </w:rPr>
              <w:fldChar w:fldCharType="separate"/>
            </w:r>
            <w:r w:rsidR="00D85333">
              <w:rPr>
                <w:noProof/>
                <w:webHidden/>
              </w:rPr>
              <w:t>6</w:t>
            </w:r>
            <w:r w:rsidR="00D5249F" w:rsidRPr="002E5606">
              <w:rPr>
                <w:noProof/>
                <w:webHidden/>
              </w:rPr>
              <w:fldChar w:fldCharType="end"/>
            </w:r>
          </w:hyperlink>
        </w:p>
        <w:p w14:paraId="51634259" w14:textId="77777777" w:rsidR="00D5249F" w:rsidRPr="000436D2" w:rsidRDefault="00070FCA">
          <w:pPr>
            <w:pStyle w:val="TOC1"/>
            <w:tabs>
              <w:tab w:val="right" w:leader="dot" w:pos="9350"/>
            </w:tabs>
            <w:rPr>
              <w:noProof/>
              <w:sz w:val="22"/>
              <w:szCs w:val="22"/>
            </w:rPr>
          </w:pPr>
          <w:hyperlink w:anchor="_Toc432356286" w:history="1">
            <w:r w:rsidR="00D5249F" w:rsidRPr="000436D2">
              <w:rPr>
                <w:rStyle w:val="Hyperlink"/>
                <w:noProof/>
                <w:color w:val="auto"/>
              </w:rPr>
              <w:t>A.7.  Special Circumstances Relating to the Guidelines of 5 CFR 1320.5</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_Toc432356286 \h </w:instrText>
            </w:r>
            <w:r w:rsidR="00D5249F" w:rsidRPr="002E5606">
              <w:rPr>
                <w:noProof/>
                <w:webHidden/>
              </w:rPr>
            </w:r>
            <w:r w:rsidR="00D5249F" w:rsidRPr="002E5606">
              <w:rPr>
                <w:noProof/>
                <w:webHidden/>
              </w:rPr>
              <w:fldChar w:fldCharType="separate"/>
            </w:r>
            <w:r w:rsidR="00D85333">
              <w:rPr>
                <w:noProof/>
                <w:webHidden/>
              </w:rPr>
              <w:t>6</w:t>
            </w:r>
            <w:r w:rsidR="00D5249F" w:rsidRPr="002E5606">
              <w:rPr>
                <w:noProof/>
                <w:webHidden/>
              </w:rPr>
              <w:fldChar w:fldCharType="end"/>
            </w:r>
          </w:hyperlink>
        </w:p>
        <w:p w14:paraId="67F52E71" w14:textId="77777777" w:rsidR="00D5249F" w:rsidRPr="000436D2" w:rsidRDefault="00070FCA">
          <w:pPr>
            <w:pStyle w:val="TOC1"/>
            <w:tabs>
              <w:tab w:val="right" w:leader="dot" w:pos="9350"/>
            </w:tabs>
            <w:rPr>
              <w:noProof/>
              <w:sz w:val="22"/>
              <w:szCs w:val="22"/>
            </w:rPr>
          </w:pPr>
          <w:hyperlink w:anchor="_Toc432356287" w:history="1">
            <w:r w:rsidR="00D5249F" w:rsidRPr="000436D2">
              <w:rPr>
                <w:rStyle w:val="Hyperlink"/>
                <w:noProof/>
                <w:color w:val="auto"/>
              </w:rPr>
              <w:t>A.8.  Comments in Response to the Federal Register Notice and Efforts to Consult Outside the Agency</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_Toc432356287 \h </w:instrText>
            </w:r>
            <w:r w:rsidR="00D5249F" w:rsidRPr="002E5606">
              <w:rPr>
                <w:noProof/>
                <w:webHidden/>
              </w:rPr>
            </w:r>
            <w:r w:rsidR="00D5249F" w:rsidRPr="002E5606">
              <w:rPr>
                <w:noProof/>
                <w:webHidden/>
              </w:rPr>
              <w:fldChar w:fldCharType="separate"/>
            </w:r>
            <w:r w:rsidR="00D85333">
              <w:rPr>
                <w:noProof/>
                <w:webHidden/>
              </w:rPr>
              <w:t>7</w:t>
            </w:r>
            <w:r w:rsidR="00D5249F" w:rsidRPr="002E5606">
              <w:rPr>
                <w:noProof/>
                <w:webHidden/>
              </w:rPr>
              <w:fldChar w:fldCharType="end"/>
            </w:r>
          </w:hyperlink>
        </w:p>
        <w:p w14:paraId="44038449" w14:textId="77777777" w:rsidR="00D5249F" w:rsidRPr="000436D2" w:rsidRDefault="00070FCA">
          <w:pPr>
            <w:pStyle w:val="TOC1"/>
            <w:tabs>
              <w:tab w:val="right" w:leader="dot" w:pos="9350"/>
            </w:tabs>
            <w:rPr>
              <w:noProof/>
              <w:sz w:val="22"/>
              <w:szCs w:val="22"/>
            </w:rPr>
          </w:pPr>
          <w:hyperlink w:anchor="_Toc432356288" w:history="1">
            <w:r w:rsidR="00D5249F" w:rsidRPr="000436D2">
              <w:rPr>
                <w:rStyle w:val="Hyperlink"/>
                <w:noProof/>
                <w:color w:val="auto"/>
              </w:rPr>
              <w:t>A.9.  Explanation of Any Payment or Gift to Respondents</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_Toc432356288 \h </w:instrText>
            </w:r>
            <w:r w:rsidR="00D5249F" w:rsidRPr="002E5606">
              <w:rPr>
                <w:noProof/>
                <w:webHidden/>
              </w:rPr>
            </w:r>
            <w:r w:rsidR="00D5249F" w:rsidRPr="002E5606">
              <w:rPr>
                <w:noProof/>
                <w:webHidden/>
              </w:rPr>
              <w:fldChar w:fldCharType="separate"/>
            </w:r>
            <w:r w:rsidR="00D85333">
              <w:rPr>
                <w:noProof/>
                <w:webHidden/>
              </w:rPr>
              <w:t>8</w:t>
            </w:r>
            <w:r w:rsidR="00D5249F" w:rsidRPr="002E5606">
              <w:rPr>
                <w:noProof/>
                <w:webHidden/>
              </w:rPr>
              <w:fldChar w:fldCharType="end"/>
            </w:r>
          </w:hyperlink>
        </w:p>
        <w:p w14:paraId="55F6B930" w14:textId="77777777" w:rsidR="00D5249F" w:rsidRPr="000436D2" w:rsidRDefault="00070FCA">
          <w:pPr>
            <w:pStyle w:val="TOC1"/>
            <w:tabs>
              <w:tab w:val="right" w:leader="dot" w:pos="9350"/>
            </w:tabs>
            <w:rPr>
              <w:noProof/>
              <w:sz w:val="22"/>
              <w:szCs w:val="22"/>
            </w:rPr>
          </w:pPr>
          <w:hyperlink w:anchor="_Toc432356289" w:history="1">
            <w:r w:rsidR="00D5249F" w:rsidRPr="000436D2">
              <w:rPr>
                <w:rStyle w:val="Hyperlink"/>
                <w:noProof/>
                <w:color w:val="auto"/>
              </w:rPr>
              <w:t>A.10.  Protection of the Privacy and Confidentiality of Information Provided by Respondents</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_Toc432356289 \h </w:instrText>
            </w:r>
            <w:r w:rsidR="00D5249F" w:rsidRPr="002E5606">
              <w:rPr>
                <w:noProof/>
                <w:webHidden/>
              </w:rPr>
            </w:r>
            <w:r w:rsidR="00D5249F" w:rsidRPr="002E5606">
              <w:rPr>
                <w:noProof/>
                <w:webHidden/>
              </w:rPr>
              <w:fldChar w:fldCharType="separate"/>
            </w:r>
            <w:r w:rsidR="00D85333">
              <w:rPr>
                <w:noProof/>
                <w:webHidden/>
              </w:rPr>
              <w:t>8</w:t>
            </w:r>
            <w:r w:rsidR="00D5249F" w:rsidRPr="002E5606">
              <w:rPr>
                <w:noProof/>
                <w:webHidden/>
              </w:rPr>
              <w:fldChar w:fldCharType="end"/>
            </w:r>
          </w:hyperlink>
        </w:p>
        <w:p w14:paraId="752B4A04" w14:textId="77777777" w:rsidR="00D5249F" w:rsidRPr="000436D2" w:rsidRDefault="00070FCA">
          <w:pPr>
            <w:pStyle w:val="TOC1"/>
            <w:tabs>
              <w:tab w:val="right" w:leader="dot" w:pos="9350"/>
            </w:tabs>
            <w:rPr>
              <w:noProof/>
              <w:sz w:val="22"/>
              <w:szCs w:val="22"/>
            </w:rPr>
          </w:pPr>
          <w:hyperlink w:anchor="_Toc432356290" w:history="1">
            <w:r w:rsidR="00D5249F" w:rsidRPr="000436D2">
              <w:rPr>
                <w:rStyle w:val="Hyperlink"/>
                <w:noProof/>
                <w:color w:val="auto"/>
              </w:rPr>
              <w:t>A.11.  Institutional Review Board (IRB) and Justification for Sensitive Questions</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_Toc432356290 \h </w:instrText>
            </w:r>
            <w:r w:rsidR="00D5249F" w:rsidRPr="002E5606">
              <w:rPr>
                <w:noProof/>
                <w:webHidden/>
              </w:rPr>
            </w:r>
            <w:r w:rsidR="00D5249F" w:rsidRPr="002E5606">
              <w:rPr>
                <w:noProof/>
                <w:webHidden/>
              </w:rPr>
              <w:fldChar w:fldCharType="separate"/>
            </w:r>
            <w:r w:rsidR="00D85333">
              <w:rPr>
                <w:noProof/>
                <w:webHidden/>
              </w:rPr>
              <w:t>9</w:t>
            </w:r>
            <w:r w:rsidR="00D5249F" w:rsidRPr="002E5606">
              <w:rPr>
                <w:noProof/>
                <w:webHidden/>
              </w:rPr>
              <w:fldChar w:fldCharType="end"/>
            </w:r>
          </w:hyperlink>
        </w:p>
        <w:p w14:paraId="18C364A8" w14:textId="77777777" w:rsidR="00D5249F" w:rsidRPr="000436D2" w:rsidRDefault="00070FCA">
          <w:pPr>
            <w:pStyle w:val="TOC1"/>
            <w:tabs>
              <w:tab w:val="right" w:leader="dot" w:pos="9350"/>
            </w:tabs>
            <w:rPr>
              <w:noProof/>
              <w:sz w:val="22"/>
              <w:szCs w:val="22"/>
            </w:rPr>
          </w:pPr>
          <w:hyperlink w:anchor="_Toc432356291" w:history="1">
            <w:r w:rsidR="00D5249F" w:rsidRPr="000436D2">
              <w:rPr>
                <w:rStyle w:val="Hyperlink"/>
                <w:noProof/>
                <w:color w:val="auto"/>
              </w:rPr>
              <w:t>A.12.  Estimates of Annualized Burden Hours and Costs</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_Toc432356291 \h </w:instrText>
            </w:r>
            <w:r w:rsidR="00D5249F" w:rsidRPr="002E5606">
              <w:rPr>
                <w:noProof/>
                <w:webHidden/>
              </w:rPr>
            </w:r>
            <w:r w:rsidR="00D5249F" w:rsidRPr="002E5606">
              <w:rPr>
                <w:noProof/>
                <w:webHidden/>
              </w:rPr>
              <w:fldChar w:fldCharType="separate"/>
            </w:r>
            <w:r w:rsidR="00D85333">
              <w:rPr>
                <w:noProof/>
                <w:webHidden/>
              </w:rPr>
              <w:t>9</w:t>
            </w:r>
            <w:r w:rsidR="00D5249F" w:rsidRPr="002E5606">
              <w:rPr>
                <w:noProof/>
                <w:webHidden/>
              </w:rPr>
              <w:fldChar w:fldCharType="end"/>
            </w:r>
          </w:hyperlink>
        </w:p>
        <w:p w14:paraId="1AF93569" w14:textId="77777777" w:rsidR="00D5249F" w:rsidRPr="000436D2" w:rsidRDefault="00070FCA">
          <w:pPr>
            <w:pStyle w:val="TOC1"/>
            <w:tabs>
              <w:tab w:val="right" w:leader="dot" w:pos="9350"/>
            </w:tabs>
            <w:rPr>
              <w:noProof/>
              <w:sz w:val="22"/>
              <w:szCs w:val="22"/>
            </w:rPr>
          </w:pPr>
          <w:hyperlink w:anchor="_Toc432356292" w:history="1">
            <w:r w:rsidR="00D5249F" w:rsidRPr="000436D2">
              <w:rPr>
                <w:rStyle w:val="Hyperlink"/>
                <w:noProof/>
                <w:color w:val="auto"/>
              </w:rPr>
              <w:t>A.13.  Estimates of Other Total Annual Cost Burden to Respondents and Record Keepers</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_Toc432356292 \h </w:instrText>
            </w:r>
            <w:r w:rsidR="00D5249F" w:rsidRPr="002E5606">
              <w:rPr>
                <w:noProof/>
                <w:webHidden/>
              </w:rPr>
            </w:r>
            <w:r w:rsidR="00D5249F" w:rsidRPr="002E5606">
              <w:rPr>
                <w:noProof/>
                <w:webHidden/>
              </w:rPr>
              <w:fldChar w:fldCharType="separate"/>
            </w:r>
            <w:r w:rsidR="00D85333">
              <w:rPr>
                <w:noProof/>
                <w:webHidden/>
              </w:rPr>
              <w:t>11</w:t>
            </w:r>
            <w:r w:rsidR="00D5249F" w:rsidRPr="002E5606">
              <w:rPr>
                <w:noProof/>
                <w:webHidden/>
              </w:rPr>
              <w:fldChar w:fldCharType="end"/>
            </w:r>
          </w:hyperlink>
        </w:p>
        <w:p w14:paraId="6582AF58" w14:textId="76DEEA1D" w:rsidR="00D5249F" w:rsidRPr="000436D2" w:rsidRDefault="00070FCA">
          <w:pPr>
            <w:pStyle w:val="TOC1"/>
            <w:tabs>
              <w:tab w:val="right" w:leader="dot" w:pos="9350"/>
            </w:tabs>
            <w:rPr>
              <w:noProof/>
              <w:sz w:val="22"/>
              <w:szCs w:val="22"/>
            </w:rPr>
          </w:pPr>
          <w:hyperlink w:anchor="_Toc432356293" w:history="1">
            <w:r w:rsidR="00D5249F" w:rsidRPr="000436D2">
              <w:rPr>
                <w:rStyle w:val="Hyperlink"/>
                <w:noProof/>
                <w:color w:val="auto"/>
              </w:rPr>
              <w:t>A.14.  Annualized Cost to the Federal Government</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_Toc432356293 \h </w:instrText>
            </w:r>
            <w:r w:rsidR="00D5249F" w:rsidRPr="002E5606">
              <w:rPr>
                <w:noProof/>
                <w:webHidden/>
              </w:rPr>
            </w:r>
            <w:r w:rsidR="00D5249F" w:rsidRPr="002E5606">
              <w:rPr>
                <w:noProof/>
                <w:webHidden/>
              </w:rPr>
              <w:fldChar w:fldCharType="separate"/>
            </w:r>
            <w:r w:rsidR="00D85333">
              <w:rPr>
                <w:noProof/>
                <w:webHidden/>
              </w:rPr>
              <w:t>11</w:t>
            </w:r>
            <w:r w:rsidR="00D5249F" w:rsidRPr="002E5606">
              <w:rPr>
                <w:noProof/>
                <w:webHidden/>
              </w:rPr>
              <w:fldChar w:fldCharType="end"/>
            </w:r>
          </w:hyperlink>
        </w:p>
        <w:p w14:paraId="618DB7A1" w14:textId="22ED8B5D" w:rsidR="00D5249F" w:rsidRPr="000436D2" w:rsidRDefault="00070FCA">
          <w:pPr>
            <w:pStyle w:val="TOC1"/>
            <w:tabs>
              <w:tab w:val="right" w:leader="dot" w:pos="9350"/>
            </w:tabs>
            <w:rPr>
              <w:noProof/>
              <w:sz w:val="22"/>
              <w:szCs w:val="22"/>
            </w:rPr>
          </w:pPr>
          <w:hyperlink w:anchor="_Toc432356294" w:history="1">
            <w:r w:rsidR="00D5249F" w:rsidRPr="000436D2">
              <w:rPr>
                <w:rStyle w:val="Hyperlink"/>
                <w:noProof/>
                <w:color w:val="auto"/>
              </w:rPr>
              <w:t>A.15.  Explanation for Program Changes or Adjustments</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_Toc432356294 \h </w:instrText>
            </w:r>
            <w:r w:rsidR="00D5249F" w:rsidRPr="002E5606">
              <w:rPr>
                <w:noProof/>
                <w:webHidden/>
              </w:rPr>
            </w:r>
            <w:r w:rsidR="00D5249F" w:rsidRPr="002E5606">
              <w:rPr>
                <w:noProof/>
                <w:webHidden/>
              </w:rPr>
              <w:fldChar w:fldCharType="separate"/>
            </w:r>
            <w:r w:rsidR="00D85333">
              <w:rPr>
                <w:noProof/>
                <w:webHidden/>
              </w:rPr>
              <w:t>12</w:t>
            </w:r>
            <w:r w:rsidR="00D5249F" w:rsidRPr="002E5606">
              <w:rPr>
                <w:noProof/>
                <w:webHidden/>
              </w:rPr>
              <w:fldChar w:fldCharType="end"/>
            </w:r>
          </w:hyperlink>
        </w:p>
        <w:p w14:paraId="14CA9493" w14:textId="60C8580A" w:rsidR="00D5249F" w:rsidRPr="000436D2" w:rsidRDefault="00070FCA">
          <w:pPr>
            <w:pStyle w:val="TOC1"/>
            <w:tabs>
              <w:tab w:val="right" w:leader="dot" w:pos="9350"/>
            </w:tabs>
            <w:rPr>
              <w:noProof/>
              <w:sz w:val="22"/>
              <w:szCs w:val="22"/>
            </w:rPr>
          </w:pPr>
          <w:hyperlink w:anchor="_Toc432356295" w:history="1">
            <w:r w:rsidR="00D5249F" w:rsidRPr="000436D2">
              <w:rPr>
                <w:rStyle w:val="Hyperlink"/>
                <w:noProof/>
                <w:color w:val="auto"/>
              </w:rPr>
              <w:t>A.16.  Plans for Tabulation and Publication and Project Time Schedule</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_Toc432356295 \h </w:instrText>
            </w:r>
            <w:r w:rsidR="00D5249F" w:rsidRPr="002E5606">
              <w:rPr>
                <w:noProof/>
                <w:webHidden/>
              </w:rPr>
            </w:r>
            <w:r w:rsidR="00D5249F" w:rsidRPr="002E5606">
              <w:rPr>
                <w:noProof/>
                <w:webHidden/>
              </w:rPr>
              <w:fldChar w:fldCharType="separate"/>
            </w:r>
            <w:r w:rsidR="00D85333">
              <w:rPr>
                <w:noProof/>
                <w:webHidden/>
              </w:rPr>
              <w:t>12</w:t>
            </w:r>
            <w:r w:rsidR="00D5249F" w:rsidRPr="002E5606">
              <w:rPr>
                <w:noProof/>
                <w:webHidden/>
              </w:rPr>
              <w:fldChar w:fldCharType="end"/>
            </w:r>
          </w:hyperlink>
        </w:p>
        <w:p w14:paraId="3AB29342" w14:textId="77777777" w:rsidR="00D5249F" w:rsidRPr="000436D2" w:rsidRDefault="00070FCA">
          <w:pPr>
            <w:pStyle w:val="TOC1"/>
            <w:tabs>
              <w:tab w:val="right" w:leader="dot" w:pos="9350"/>
            </w:tabs>
            <w:rPr>
              <w:noProof/>
              <w:sz w:val="22"/>
              <w:szCs w:val="22"/>
            </w:rPr>
          </w:pPr>
          <w:hyperlink w:anchor="_Toc432356296" w:history="1">
            <w:r w:rsidR="00D5249F" w:rsidRPr="000436D2">
              <w:rPr>
                <w:rStyle w:val="Hyperlink"/>
                <w:noProof/>
                <w:color w:val="auto"/>
              </w:rPr>
              <w:t>A.17.  Reason(s) Display of OMB Expiration Date is Inappropriate</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_Toc432356296 \h </w:instrText>
            </w:r>
            <w:r w:rsidR="00D5249F" w:rsidRPr="002E5606">
              <w:rPr>
                <w:noProof/>
                <w:webHidden/>
              </w:rPr>
            </w:r>
            <w:r w:rsidR="00D5249F" w:rsidRPr="002E5606">
              <w:rPr>
                <w:noProof/>
                <w:webHidden/>
              </w:rPr>
              <w:fldChar w:fldCharType="separate"/>
            </w:r>
            <w:r w:rsidR="00D85333">
              <w:rPr>
                <w:noProof/>
                <w:webHidden/>
              </w:rPr>
              <w:t>12</w:t>
            </w:r>
            <w:r w:rsidR="00D5249F" w:rsidRPr="002E5606">
              <w:rPr>
                <w:noProof/>
                <w:webHidden/>
              </w:rPr>
              <w:fldChar w:fldCharType="end"/>
            </w:r>
          </w:hyperlink>
        </w:p>
        <w:p w14:paraId="6FC82C3B" w14:textId="0E082DBA" w:rsidR="00D5249F" w:rsidRPr="000436D2" w:rsidRDefault="00070FCA">
          <w:pPr>
            <w:pStyle w:val="TOC1"/>
            <w:tabs>
              <w:tab w:val="right" w:leader="dot" w:pos="9350"/>
            </w:tabs>
            <w:rPr>
              <w:noProof/>
              <w:sz w:val="22"/>
              <w:szCs w:val="22"/>
            </w:rPr>
          </w:pPr>
          <w:hyperlink w:anchor="_Toc432356297" w:history="1">
            <w:r w:rsidR="00D5249F" w:rsidRPr="000436D2">
              <w:rPr>
                <w:rStyle w:val="Hyperlink"/>
                <w:noProof/>
                <w:color w:val="auto"/>
              </w:rPr>
              <w:t>A.18.  Exceptions to Certification for Paperwork Reduction Act Submissions</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_Toc432356297 \h </w:instrText>
            </w:r>
            <w:r w:rsidR="00D5249F" w:rsidRPr="002E5606">
              <w:rPr>
                <w:noProof/>
                <w:webHidden/>
              </w:rPr>
            </w:r>
            <w:r w:rsidR="00D5249F" w:rsidRPr="002E5606">
              <w:rPr>
                <w:noProof/>
                <w:webHidden/>
              </w:rPr>
              <w:fldChar w:fldCharType="separate"/>
            </w:r>
            <w:r w:rsidR="00D85333">
              <w:rPr>
                <w:noProof/>
                <w:webHidden/>
              </w:rPr>
              <w:t>12</w:t>
            </w:r>
            <w:r w:rsidR="00D5249F" w:rsidRPr="002E5606">
              <w:rPr>
                <w:noProof/>
                <w:webHidden/>
              </w:rPr>
              <w:fldChar w:fldCharType="end"/>
            </w:r>
          </w:hyperlink>
        </w:p>
        <w:p w14:paraId="6D55CACB" w14:textId="6ACF0239" w:rsidR="00D5249F" w:rsidRPr="000436D2" w:rsidRDefault="00070FCA">
          <w:pPr>
            <w:pStyle w:val="TOC1"/>
            <w:tabs>
              <w:tab w:val="right" w:leader="dot" w:pos="9350"/>
            </w:tabs>
            <w:rPr>
              <w:noProof/>
              <w:sz w:val="22"/>
              <w:szCs w:val="22"/>
            </w:rPr>
          </w:pPr>
          <w:hyperlink w:anchor="_Toc432356298" w:history="1">
            <w:r w:rsidR="00D5249F" w:rsidRPr="00087601">
              <w:rPr>
                <w:rStyle w:val="Hyperlink"/>
                <w:noProof/>
                <w:color w:val="auto"/>
              </w:rPr>
              <w:t>References</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_Toc432356298 \h </w:instrText>
            </w:r>
            <w:r w:rsidR="00D5249F" w:rsidRPr="002E5606">
              <w:rPr>
                <w:noProof/>
                <w:webHidden/>
              </w:rPr>
            </w:r>
            <w:r w:rsidR="00D5249F" w:rsidRPr="002E5606">
              <w:rPr>
                <w:noProof/>
                <w:webHidden/>
              </w:rPr>
              <w:fldChar w:fldCharType="separate"/>
            </w:r>
            <w:r w:rsidR="00D85333">
              <w:rPr>
                <w:noProof/>
                <w:webHidden/>
              </w:rPr>
              <w:t>13</w:t>
            </w:r>
            <w:r w:rsidR="00D5249F" w:rsidRPr="002E5606">
              <w:rPr>
                <w:noProof/>
                <w:webHidden/>
              </w:rPr>
              <w:fldChar w:fldCharType="end"/>
            </w:r>
          </w:hyperlink>
        </w:p>
        <w:p w14:paraId="0F51B53A" w14:textId="77777777" w:rsidR="00D5249F" w:rsidRPr="00D20211" w:rsidRDefault="00070FCA">
          <w:pPr>
            <w:pStyle w:val="TOC1"/>
            <w:tabs>
              <w:tab w:val="right" w:leader="dot" w:pos="9350"/>
            </w:tabs>
            <w:rPr>
              <w:noProof/>
              <w:sz w:val="22"/>
              <w:szCs w:val="22"/>
            </w:rPr>
          </w:pPr>
          <w:hyperlink w:anchor="_Toc432356299" w:history="1">
            <w:r w:rsidR="00D5249F" w:rsidRPr="00087601">
              <w:rPr>
                <w:rStyle w:val="Hyperlink"/>
                <w:noProof/>
                <w:color w:val="auto"/>
              </w:rPr>
              <w:t>List of Attachments</w:t>
            </w:r>
            <w:r w:rsidR="00D5249F" w:rsidRPr="000436D2">
              <w:rPr>
                <w:noProof/>
                <w:webHidden/>
              </w:rPr>
              <w:tab/>
            </w:r>
            <w:r w:rsidR="00D5249F" w:rsidRPr="002E5606">
              <w:rPr>
                <w:noProof/>
                <w:webHidden/>
              </w:rPr>
              <w:fldChar w:fldCharType="begin"/>
            </w:r>
            <w:r w:rsidR="00D5249F" w:rsidRPr="000436D2">
              <w:rPr>
                <w:noProof/>
                <w:webHidden/>
              </w:rPr>
              <w:instrText xml:space="preserve"> PAGEREF _Toc432356299 \h </w:instrText>
            </w:r>
            <w:r w:rsidR="00D5249F" w:rsidRPr="002E5606">
              <w:rPr>
                <w:noProof/>
                <w:webHidden/>
              </w:rPr>
            </w:r>
            <w:r w:rsidR="00D5249F" w:rsidRPr="002E5606">
              <w:rPr>
                <w:noProof/>
                <w:webHidden/>
              </w:rPr>
              <w:fldChar w:fldCharType="separate"/>
            </w:r>
            <w:r w:rsidR="00D85333">
              <w:rPr>
                <w:noProof/>
                <w:webHidden/>
              </w:rPr>
              <w:t>13</w:t>
            </w:r>
            <w:r w:rsidR="00D5249F" w:rsidRPr="002E5606">
              <w:rPr>
                <w:noProof/>
                <w:webHidden/>
              </w:rPr>
              <w:fldChar w:fldCharType="end"/>
            </w:r>
          </w:hyperlink>
        </w:p>
        <w:p w14:paraId="032A377A" w14:textId="0CE0ABC1" w:rsidR="009B765E" w:rsidRPr="00D20211" w:rsidRDefault="009B765E">
          <w:r w:rsidRPr="00D20211">
            <w:rPr>
              <w:b/>
              <w:bCs/>
              <w:noProof/>
            </w:rPr>
            <w:fldChar w:fldCharType="end"/>
          </w:r>
        </w:p>
      </w:sdtContent>
    </w:sdt>
    <w:p w14:paraId="031BBD7F" w14:textId="77777777" w:rsidR="00BA2DBE" w:rsidRPr="00D20211" w:rsidRDefault="00BA2DBE">
      <w:pPr>
        <w:spacing w:after="200" w:line="276" w:lineRule="auto"/>
        <w:rPr>
          <w:rFonts w:eastAsiaTheme="majorEastAsia" w:cs="Arial"/>
          <w:b/>
          <w:bCs/>
          <w:sz w:val="26"/>
          <w:szCs w:val="26"/>
        </w:rPr>
      </w:pPr>
    </w:p>
    <w:bookmarkEnd w:id="0"/>
    <w:bookmarkEnd w:id="1"/>
    <w:p w14:paraId="5A416702" w14:textId="77777777" w:rsidR="00480FC6" w:rsidRPr="00D20211" w:rsidRDefault="00480FC6">
      <w:r w:rsidRPr="00D20211">
        <w:br w:type="page"/>
      </w:r>
    </w:p>
    <w:p w14:paraId="15DFC48F" w14:textId="26246E5E" w:rsidR="0024399D" w:rsidRPr="00D20211" w:rsidRDefault="0024399D" w:rsidP="00EE7CF9">
      <w:pPr>
        <w:pBdr>
          <w:bottom w:val="single" w:sz="4" w:space="1" w:color="auto"/>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anchorId="33E3FF57" wp14:editId="15F2DFFF">
                <wp:simplePos x="0" y="0"/>
                <wp:positionH relativeFrom="margin">
                  <wp:align>right</wp:align>
                </wp:positionH>
                <wp:positionV relativeFrom="paragraph">
                  <wp:posOffset>494665</wp:posOffset>
                </wp:positionV>
                <wp:extent cx="5930900" cy="390525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3905250"/>
                        </a:xfrm>
                        <a:prstGeom prst="rect">
                          <a:avLst/>
                        </a:prstGeom>
                        <a:solidFill>
                          <a:srgbClr val="FFFFFF"/>
                        </a:solidFill>
                        <a:ln w="9525">
                          <a:solidFill>
                            <a:srgbClr val="000000"/>
                          </a:solidFill>
                          <a:miter lim="800000"/>
                          <a:headEnd/>
                          <a:tailEnd/>
                        </a:ln>
                      </wps:spPr>
                      <wps:txbx>
                        <w:txbxContent>
                          <w:p w14:paraId="44845CEB" w14:textId="0DF0DAD0" w:rsidR="006A353E" w:rsidRPr="001B2712" w:rsidRDefault="006A353E" w:rsidP="008C46E9">
                            <w:pPr>
                              <w:spacing w:before="240" w:line="240" w:lineRule="auto"/>
                              <w:rPr>
                                <w:sz w:val="24"/>
                                <w:szCs w:val="24"/>
                              </w:rPr>
                            </w:pPr>
                            <w:r w:rsidRPr="001B2712">
                              <w:rPr>
                                <w:b/>
                                <w:sz w:val="24"/>
                                <w:szCs w:val="24"/>
                              </w:rPr>
                              <w:t xml:space="preserve">Goal of the study: </w:t>
                            </w:r>
                            <w:r>
                              <w:rPr>
                                <w:sz w:val="24"/>
                                <w:szCs w:val="24"/>
                              </w:rPr>
                              <w:t>The purpose of this proposed information collection (IC) is to examine</w:t>
                            </w:r>
                            <w:r w:rsidRPr="005D43DE">
                              <w:rPr>
                                <w:sz w:val="24"/>
                                <w:szCs w:val="24"/>
                              </w:rPr>
                              <w:t xml:space="preserve"> </w:t>
                            </w:r>
                            <w:r>
                              <w:rPr>
                                <w:sz w:val="24"/>
                                <w:szCs w:val="24"/>
                              </w:rPr>
                              <w:t xml:space="preserve">the public health department environmental health (EH) workforce to determine: </w:t>
                            </w:r>
                            <w:r w:rsidRPr="00073427">
                              <w:rPr>
                                <w:sz w:val="24"/>
                                <w:szCs w:val="24"/>
                              </w:rPr>
                              <w:t xml:space="preserve">1) </w:t>
                            </w:r>
                            <w:r>
                              <w:rPr>
                                <w:sz w:val="24"/>
                                <w:szCs w:val="24"/>
                              </w:rPr>
                              <w:t>the current</w:t>
                            </w:r>
                            <w:r w:rsidRPr="00073427">
                              <w:rPr>
                                <w:sz w:val="24"/>
                                <w:szCs w:val="24"/>
                              </w:rPr>
                              <w:t xml:space="preserve"> supply of EH professionals; 2) EH workforce demographics and professional roles; 3) gaps in current EH education and competencies and training needs; and 4) critical skills and resources needed to meet the evolving and emerging EH issues and challenges.</w:t>
                            </w:r>
                          </w:p>
                          <w:p w14:paraId="24ED7B57" w14:textId="48202DE3" w:rsidR="006A353E" w:rsidRPr="001B2712" w:rsidRDefault="006A353E" w:rsidP="008C46E9">
                            <w:pPr>
                              <w:spacing w:before="240" w:line="240" w:lineRule="auto"/>
                              <w:rPr>
                                <w:sz w:val="24"/>
                                <w:szCs w:val="24"/>
                              </w:rPr>
                            </w:pPr>
                            <w:r w:rsidRPr="001B2712">
                              <w:rPr>
                                <w:b/>
                                <w:sz w:val="24"/>
                                <w:szCs w:val="24"/>
                              </w:rPr>
                              <w:t xml:space="preserve">Intended use of the resulting data: </w:t>
                            </w:r>
                            <w:r>
                              <w:rPr>
                                <w:sz w:val="24"/>
                                <w:szCs w:val="24"/>
                              </w:rPr>
                              <w:t>The proposed information collection will be used to support and inform initiatives and other efforts to enhance the EH workforce.</w:t>
                            </w:r>
                          </w:p>
                          <w:p w14:paraId="45A17586" w14:textId="5B640CFD" w:rsidR="006A353E" w:rsidRPr="001B2712" w:rsidRDefault="006A353E" w:rsidP="008C46E9">
                            <w:pPr>
                              <w:spacing w:before="240" w:line="240" w:lineRule="auto"/>
                              <w:rPr>
                                <w:sz w:val="24"/>
                                <w:szCs w:val="24"/>
                              </w:rPr>
                            </w:pPr>
                            <w:r w:rsidRPr="001B2712">
                              <w:rPr>
                                <w:b/>
                                <w:sz w:val="24"/>
                                <w:szCs w:val="24"/>
                              </w:rPr>
                              <w:t xml:space="preserve">Methods to be used to collect: </w:t>
                            </w:r>
                            <w:r>
                              <w:rPr>
                                <w:sz w:val="24"/>
                                <w:szCs w:val="24"/>
                              </w:rPr>
                              <w:t xml:space="preserve">The EH workforce members (respondents) will be identified and enumerated by identifying a </w:t>
                            </w:r>
                            <w:r w:rsidRPr="00497FEC">
                              <w:rPr>
                                <w:sz w:val="24"/>
                                <w:szCs w:val="24"/>
                              </w:rPr>
                              <w:t>point of contact in each state</w:t>
                            </w:r>
                            <w:r w:rsidRPr="004C65D5">
                              <w:rPr>
                                <w:rFonts w:cs="Courier New"/>
                                <w:sz w:val="24"/>
                                <w:szCs w:val="24"/>
                              </w:rPr>
                              <w:t xml:space="preserve">, tribal, </w:t>
                            </w:r>
                            <w:r>
                              <w:rPr>
                                <w:rFonts w:cs="Courier New"/>
                                <w:sz w:val="24"/>
                                <w:szCs w:val="24"/>
                              </w:rPr>
                              <w:t xml:space="preserve">local, </w:t>
                            </w:r>
                            <w:r w:rsidRPr="004C65D5">
                              <w:rPr>
                                <w:rFonts w:cs="Courier New"/>
                                <w:sz w:val="24"/>
                                <w:szCs w:val="24"/>
                              </w:rPr>
                              <w:t xml:space="preserve">and territorial health department </w:t>
                            </w:r>
                            <w:r w:rsidRPr="00A72871">
                              <w:rPr>
                                <w:sz w:val="24"/>
                                <w:szCs w:val="24"/>
                              </w:rPr>
                              <w:t xml:space="preserve">to request a roster </w:t>
                            </w:r>
                            <w:r w:rsidR="00B3208C">
                              <w:rPr>
                                <w:sz w:val="24"/>
                                <w:szCs w:val="24"/>
                              </w:rPr>
                              <w:t xml:space="preserve">containing names and email addresses </w:t>
                            </w:r>
                            <w:r w:rsidRPr="00A72871">
                              <w:rPr>
                                <w:sz w:val="24"/>
                                <w:szCs w:val="24"/>
                              </w:rPr>
                              <w:t>of EH professionals. Data will be collected one t</w:t>
                            </w:r>
                            <w:r w:rsidRPr="009F1401">
                              <w:rPr>
                                <w:sz w:val="24"/>
                                <w:szCs w:val="24"/>
                              </w:rPr>
                              <w:t>ime from a census of members of the public health department EH workforce using a web-based survey instrument.</w:t>
                            </w:r>
                            <w:r>
                              <w:rPr>
                                <w:sz w:val="24"/>
                                <w:szCs w:val="24"/>
                              </w:rPr>
                              <w:t xml:space="preserve"> </w:t>
                            </w:r>
                          </w:p>
                          <w:p w14:paraId="5E266301" w14:textId="5C4AA0BF" w:rsidR="006A353E" w:rsidRPr="001B2712" w:rsidRDefault="006A353E" w:rsidP="008C46E9">
                            <w:pPr>
                              <w:spacing w:before="240" w:line="240" w:lineRule="auto"/>
                              <w:rPr>
                                <w:sz w:val="24"/>
                                <w:szCs w:val="24"/>
                              </w:rPr>
                            </w:pPr>
                            <w:r w:rsidRPr="001B2712">
                              <w:rPr>
                                <w:b/>
                                <w:sz w:val="24"/>
                                <w:szCs w:val="24"/>
                              </w:rPr>
                              <w:t xml:space="preserve">Subpopulation to be studied: </w:t>
                            </w:r>
                            <w:r>
                              <w:rPr>
                                <w:sz w:val="24"/>
                                <w:szCs w:val="24"/>
                              </w:rPr>
                              <w:t>The respondent universe includes as many as 20,000 EH professionals working at public health departments.</w:t>
                            </w:r>
                          </w:p>
                          <w:p w14:paraId="01B10897" w14:textId="0AD28B4A" w:rsidR="006A353E" w:rsidRPr="001B2712" w:rsidRDefault="006A353E" w:rsidP="008C46E9">
                            <w:pPr>
                              <w:spacing w:before="240" w:line="240" w:lineRule="auto"/>
                              <w:rPr>
                                <w:sz w:val="24"/>
                                <w:szCs w:val="24"/>
                              </w:rPr>
                            </w:pPr>
                            <w:r w:rsidRPr="001B2712">
                              <w:rPr>
                                <w:b/>
                                <w:sz w:val="24"/>
                                <w:szCs w:val="24"/>
                              </w:rPr>
                              <w:t xml:space="preserve">How data will be analyzed: </w:t>
                            </w:r>
                            <w:r>
                              <w:rPr>
                                <w:sz w:val="24"/>
                                <w:szCs w:val="24"/>
                              </w:rPr>
                              <w:t>Data will be analyzed by CDC staff using descriptive and multivariate statistical analyses.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3FF57" id="_x0000_t202" coordsize="21600,21600" o:spt="202" path="m,l,21600r21600,l21600,xe">
                <v:stroke joinstyle="miter"/>
                <v:path gradientshapeok="t" o:connecttype="rect"/>
              </v:shapetype>
              <v:shape id="Text Box 2" o:spid="_x0000_s1026" type="#_x0000_t202" style="position:absolute;margin-left:415.8pt;margin-top:38.95pt;width:467pt;height:3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">
                <v:textbox>
                  <w:txbxContent>
                    <w:p w14:paraId="44845CEB" w14:textId="0DF0DAD0" w:rsidR="006A353E" w:rsidRPr="001B2712" w:rsidRDefault="006A353E" w:rsidP="008C46E9">
                      <w:pPr>
                        <w:spacing w:before="240" w:line="240" w:lineRule="auto"/>
                        <w:rPr>
                          <w:sz w:val="24"/>
                          <w:szCs w:val="24"/>
                        </w:rPr>
                      </w:pPr>
                      <w:r w:rsidRPr="001B2712">
                        <w:rPr>
                          <w:b/>
                          <w:sz w:val="24"/>
                          <w:szCs w:val="24"/>
                        </w:rPr>
                        <w:t xml:space="preserve">Goal of the study: </w:t>
                      </w:r>
                      <w:r>
                        <w:rPr>
                          <w:sz w:val="24"/>
                          <w:szCs w:val="24"/>
                        </w:rPr>
                        <w:t>The purpose of this proposed information collection (IC) is to examine</w:t>
                      </w:r>
                      <w:r w:rsidRPr="005D43DE">
                        <w:rPr>
                          <w:sz w:val="24"/>
                          <w:szCs w:val="24"/>
                        </w:rPr>
                        <w:t xml:space="preserve"> </w:t>
                      </w:r>
                      <w:r>
                        <w:rPr>
                          <w:sz w:val="24"/>
                          <w:szCs w:val="24"/>
                        </w:rPr>
                        <w:t xml:space="preserve">the public health department environmental health (EH) workforce to determine: </w:t>
                      </w:r>
                      <w:r w:rsidRPr="00073427">
                        <w:rPr>
                          <w:sz w:val="24"/>
                          <w:szCs w:val="24"/>
                        </w:rPr>
                        <w:t xml:space="preserve">1) </w:t>
                      </w:r>
                      <w:r>
                        <w:rPr>
                          <w:sz w:val="24"/>
                          <w:szCs w:val="24"/>
                        </w:rPr>
                        <w:t>the current</w:t>
                      </w:r>
                      <w:r w:rsidRPr="00073427">
                        <w:rPr>
                          <w:sz w:val="24"/>
                          <w:szCs w:val="24"/>
                        </w:rPr>
                        <w:t xml:space="preserve"> supply of EH professionals; 2) EH workforce demographics and professional roles; 3) gaps in current EH education and competencies and training needs; and 4) critical skills and resources needed to meet the evolving and emerging EH issues and challenges.</w:t>
                      </w:r>
                    </w:p>
                    <w:p w14:paraId="24ED7B57" w14:textId="48202DE3" w:rsidR="006A353E" w:rsidRPr="001B2712" w:rsidRDefault="006A353E" w:rsidP="008C46E9">
                      <w:pPr>
                        <w:spacing w:before="240" w:line="240" w:lineRule="auto"/>
                        <w:rPr>
                          <w:sz w:val="24"/>
                          <w:szCs w:val="24"/>
                        </w:rPr>
                      </w:pPr>
                      <w:r w:rsidRPr="001B2712">
                        <w:rPr>
                          <w:b/>
                          <w:sz w:val="24"/>
                          <w:szCs w:val="24"/>
                        </w:rPr>
                        <w:t xml:space="preserve">Intended use of the resulting data: </w:t>
                      </w:r>
                      <w:r>
                        <w:rPr>
                          <w:sz w:val="24"/>
                          <w:szCs w:val="24"/>
                        </w:rPr>
                        <w:t>The proposed information collection will be used to support and inform initiatives and other efforts to enhance the EH workforce.</w:t>
                      </w:r>
                    </w:p>
                    <w:p w14:paraId="45A17586" w14:textId="5B640CFD" w:rsidR="006A353E" w:rsidRPr="001B2712" w:rsidRDefault="006A353E" w:rsidP="008C46E9">
                      <w:pPr>
                        <w:spacing w:before="240" w:line="240" w:lineRule="auto"/>
                        <w:rPr>
                          <w:sz w:val="24"/>
                          <w:szCs w:val="24"/>
                        </w:rPr>
                      </w:pPr>
                      <w:r w:rsidRPr="001B2712">
                        <w:rPr>
                          <w:b/>
                          <w:sz w:val="24"/>
                          <w:szCs w:val="24"/>
                        </w:rPr>
                        <w:t xml:space="preserve">Methods to be used to collect: </w:t>
                      </w:r>
                      <w:r>
                        <w:rPr>
                          <w:sz w:val="24"/>
                          <w:szCs w:val="24"/>
                        </w:rPr>
                        <w:t xml:space="preserve">The EH workforce members (respondents) will be identified and enumerated by identifying a </w:t>
                      </w:r>
                      <w:r w:rsidRPr="00497FEC">
                        <w:rPr>
                          <w:sz w:val="24"/>
                          <w:szCs w:val="24"/>
                        </w:rPr>
                        <w:t>point of contact in each state</w:t>
                      </w:r>
                      <w:r w:rsidRPr="004C65D5">
                        <w:rPr>
                          <w:rFonts w:cs="Courier New"/>
                          <w:sz w:val="24"/>
                          <w:szCs w:val="24"/>
                        </w:rPr>
                        <w:t xml:space="preserve">, tribal, </w:t>
                      </w:r>
                      <w:r>
                        <w:rPr>
                          <w:rFonts w:cs="Courier New"/>
                          <w:sz w:val="24"/>
                          <w:szCs w:val="24"/>
                        </w:rPr>
                        <w:t xml:space="preserve">local, </w:t>
                      </w:r>
                      <w:r w:rsidRPr="004C65D5">
                        <w:rPr>
                          <w:rFonts w:cs="Courier New"/>
                          <w:sz w:val="24"/>
                          <w:szCs w:val="24"/>
                        </w:rPr>
                        <w:t xml:space="preserve">and territorial health department </w:t>
                      </w:r>
                      <w:r w:rsidRPr="00A72871">
                        <w:rPr>
                          <w:sz w:val="24"/>
                          <w:szCs w:val="24"/>
                        </w:rPr>
                        <w:t xml:space="preserve">to request a roster </w:t>
                      </w:r>
                      <w:r w:rsidR="00B3208C">
                        <w:rPr>
                          <w:sz w:val="24"/>
                          <w:szCs w:val="24"/>
                        </w:rPr>
                        <w:t xml:space="preserve">containing names and email addresses </w:t>
                      </w:r>
                      <w:r w:rsidRPr="00A72871">
                        <w:rPr>
                          <w:sz w:val="24"/>
                          <w:szCs w:val="24"/>
                        </w:rPr>
                        <w:t>of EH professionals. Data will be collected one t</w:t>
                      </w:r>
                      <w:r w:rsidRPr="009F1401">
                        <w:rPr>
                          <w:sz w:val="24"/>
                          <w:szCs w:val="24"/>
                        </w:rPr>
                        <w:t>ime from a census of members of the public health department EH workforce using a web-based survey instrument.</w:t>
                      </w:r>
                      <w:r>
                        <w:rPr>
                          <w:sz w:val="24"/>
                          <w:szCs w:val="24"/>
                        </w:rPr>
                        <w:t xml:space="preserve"> </w:t>
                      </w:r>
                    </w:p>
                    <w:p w14:paraId="5E266301" w14:textId="5C4AA0BF" w:rsidR="006A353E" w:rsidRPr="001B2712" w:rsidRDefault="006A353E" w:rsidP="008C46E9">
                      <w:pPr>
                        <w:spacing w:before="240" w:line="240" w:lineRule="auto"/>
                        <w:rPr>
                          <w:sz w:val="24"/>
                          <w:szCs w:val="24"/>
                        </w:rPr>
                      </w:pPr>
                      <w:r w:rsidRPr="001B2712">
                        <w:rPr>
                          <w:b/>
                          <w:sz w:val="24"/>
                          <w:szCs w:val="24"/>
                        </w:rPr>
                        <w:t xml:space="preserve">Subpopulation to be studied: </w:t>
                      </w:r>
                      <w:r>
                        <w:rPr>
                          <w:sz w:val="24"/>
                          <w:szCs w:val="24"/>
                        </w:rPr>
                        <w:t>The respondent universe includes as many as 20,000 EH professionals working at public health departments.</w:t>
                      </w:r>
                    </w:p>
                    <w:p w14:paraId="01B10897" w14:textId="0AD28B4A" w:rsidR="006A353E" w:rsidRPr="001B2712" w:rsidRDefault="006A353E" w:rsidP="008C46E9">
                      <w:pPr>
                        <w:spacing w:before="240" w:line="240" w:lineRule="auto"/>
                        <w:rPr>
                          <w:sz w:val="24"/>
                          <w:szCs w:val="24"/>
                        </w:rPr>
                      </w:pPr>
                      <w:r w:rsidRPr="001B2712">
                        <w:rPr>
                          <w:b/>
                          <w:sz w:val="24"/>
                          <w:szCs w:val="24"/>
                        </w:rPr>
                        <w:t xml:space="preserve">How data will be analyzed: </w:t>
                      </w:r>
                      <w:r>
                        <w:rPr>
                          <w:sz w:val="24"/>
                          <w:szCs w:val="24"/>
                        </w:rPr>
                        <w:t>Data will be analyzed by CDC staff using descriptive and multivariate statistical analyses.</w:t>
                      </w:r>
                    </w:p>
                  </w:txbxContent>
                </v:textbox>
                <w10:wrap type="square" anchorx="margin"/>
              </v:shape>
            </w:pict>
          </mc:Fallback>
        </mc:AlternateContent>
      </w:r>
      <w:r w:rsidRPr="00D20211">
        <w:rPr>
          <w:rFonts w:asciiTheme="majorHAnsi" w:hAnsiTheme="majorHAnsi"/>
          <w:sz w:val="36"/>
          <w:szCs w:val="36"/>
        </w:rPr>
        <w:t>Part A. Justification</w:t>
      </w:r>
    </w:p>
    <w:p w14:paraId="6564C8A5" w14:textId="4F284ABD" w:rsidR="00B45002" w:rsidRPr="00D20211" w:rsidRDefault="00FC5B5A" w:rsidP="00C03179">
      <w:pPr>
        <w:pStyle w:val="Heading1"/>
        <w:pBdr>
          <w:bottom w:val="none" w:sz="0" w:space="0" w:color="auto"/>
        </w:pBdr>
        <w:rPr>
          <w:color w:val="auto"/>
        </w:rPr>
      </w:pPr>
      <w:bookmarkStart w:id="3" w:name="_Toc432356280"/>
      <w:r w:rsidRPr="00D20211">
        <w:rPr>
          <w:color w:val="auto"/>
        </w:rPr>
        <w:t>A</w:t>
      </w:r>
      <w:r w:rsidR="0024399D" w:rsidRPr="00D20211">
        <w:rPr>
          <w:color w:val="auto"/>
        </w:rPr>
        <w:t>.</w:t>
      </w:r>
      <w:r w:rsidR="004D21C9" w:rsidRPr="00D20211">
        <w:rPr>
          <w:color w:val="auto"/>
        </w:rPr>
        <w:t>1</w:t>
      </w:r>
      <w:r w:rsidR="008C0292" w:rsidRPr="00D20211">
        <w:rPr>
          <w:color w:val="auto"/>
        </w:rPr>
        <w:t>. Circumstances</w:t>
      </w:r>
      <w:r w:rsidR="00B45002" w:rsidRPr="00D20211">
        <w:rPr>
          <w:color w:val="auto"/>
        </w:rPr>
        <w:t xml:space="preserve"> Making the Collection of Information Necessary</w:t>
      </w:r>
      <w:bookmarkEnd w:id="3"/>
    </w:p>
    <w:p w14:paraId="19324432" w14:textId="77777777" w:rsidR="00FC5B5A" w:rsidRPr="00D20211" w:rsidRDefault="00FC5B5A" w:rsidP="00601F1A"/>
    <w:p w14:paraId="6C8B1C07" w14:textId="5A6D758A" w:rsidR="006462D0" w:rsidRDefault="002E2F0C" w:rsidP="004654B2">
      <w:pPr>
        <w:rPr>
          <w:sz w:val="24"/>
          <w:szCs w:val="24"/>
        </w:rPr>
      </w:pPr>
      <w:r>
        <w:rPr>
          <w:sz w:val="24"/>
          <w:szCs w:val="24"/>
        </w:rPr>
        <w:t xml:space="preserve">The environmental health (EH) workforce is an essential component of the public health workforce.  </w:t>
      </w:r>
      <w:r w:rsidR="006B1DA6">
        <w:rPr>
          <w:sz w:val="24"/>
          <w:szCs w:val="24"/>
        </w:rPr>
        <w:t>The proposed information collection</w:t>
      </w:r>
      <w:r>
        <w:rPr>
          <w:sz w:val="24"/>
          <w:szCs w:val="24"/>
        </w:rPr>
        <w:t xml:space="preserve"> (IC)</w:t>
      </w:r>
      <w:r w:rsidR="006B1DA6">
        <w:rPr>
          <w:sz w:val="24"/>
          <w:szCs w:val="24"/>
        </w:rPr>
        <w:t xml:space="preserve"> will survey </w:t>
      </w:r>
      <w:r w:rsidR="004514E4">
        <w:rPr>
          <w:sz w:val="24"/>
          <w:szCs w:val="24"/>
        </w:rPr>
        <w:t xml:space="preserve">the </w:t>
      </w:r>
      <w:r w:rsidR="009B48A2">
        <w:rPr>
          <w:sz w:val="24"/>
          <w:szCs w:val="24"/>
        </w:rPr>
        <w:t xml:space="preserve">public health department </w:t>
      </w:r>
      <w:r w:rsidR="000543EE">
        <w:rPr>
          <w:sz w:val="24"/>
          <w:szCs w:val="24"/>
        </w:rPr>
        <w:t xml:space="preserve">EH </w:t>
      </w:r>
      <w:r w:rsidR="003A3157">
        <w:rPr>
          <w:sz w:val="24"/>
          <w:szCs w:val="24"/>
        </w:rPr>
        <w:t>workforce to</w:t>
      </w:r>
      <w:r w:rsidR="009A1419">
        <w:rPr>
          <w:sz w:val="24"/>
          <w:szCs w:val="24"/>
        </w:rPr>
        <w:t xml:space="preserve"> determine </w:t>
      </w:r>
      <w:r w:rsidR="00983785">
        <w:rPr>
          <w:sz w:val="24"/>
          <w:szCs w:val="24"/>
        </w:rPr>
        <w:t xml:space="preserve">demographics, </w:t>
      </w:r>
      <w:r w:rsidR="000543EE">
        <w:rPr>
          <w:sz w:val="24"/>
          <w:szCs w:val="24"/>
        </w:rPr>
        <w:t>education</w:t>
      </w:r>
      <w:r w:rsidR="00612850">
        <w:rPr>
          <w:sz w:val="24"/>
          <w:szCs w:val="24"/>
        </w:rPr>
        <w:t xml:space="preserve"> and </w:t>
      </w:r>
      <w:r w:rsidR="000543EE">
        <w:rPr>
          <w:sz w:val="24"/>
          <w:szCs w:val="24"/>
        </w:rPr>
        <w:t xml:space="preserve">training, </w:t>
      </w:r>
      <w:r w:rsidR="00983785">
        <w:rPr>
          <w:sz w:val="24"/>
          <w:szCs w:val="24"/>
        </w:rPr>
        <w:t xml:space="preserve">experience, areas of practice, </w:t>
      </w:r>
      <w:r w:rsidR="00D069B6">
        <w:rPr>
          <w:sz w:val="24"/>
          <w:szCs w:val="24"/>
        </w:rPr>
        <w:t xml:space="preserve">job satisfaction, </w:t>
      </w:r>
      <w:r w:rsidR="000543EE">
        <w:rPr>
          <w:sz w:val="24"/>
          <w:szCs w:val="24"/>
        </w:rPr>
        <w:t xml:space="preserve">and </w:t>
      </w:r>
      <w:r w:rsidR="00983785">
        <w:rPr>
          <w:sz w:val="24"/>
          <w:szCs w:val="24"/>
        </w:rPr>
        <w:t xml:space="preserve">current and </w:t>
      </w:r>
      <w:r w:rsidR="000543EE">
        <w:rPr>
          <w:sz w:val="24"/>
          <w:szCs w:val="24"/>
        </w:rPr>
        <w:t>future needs</w:t>
      </w:r>
      <w:r w:rsidR="00983785">
        <w:rPr>
          <w:sz w:val="24"/>
          <w:szCs w:val="24"/>
        </w:rPr>
        <w:t xml:space="preserve"> to address emerging environmental issues</w:t>
      </w:r>
      <w:r w:rsidR="000543EE">
        <w:rPr>
          <w:sz w:val="24"/>
          <w:szCs w:val="24"/>
        </w:rPr>
        <w:t xml:space="preserve">. </w:t>
      </w:r>
      <w:r w:rsidR="00F20456">
        <w:rPr>
          <w:sz w:val="24"/>
          <w:szCs w:val="24"/>
        </w:rPr>
        <w:t xml:space="preserve">The emergence of many </w:t>
      </w:r>
      <w:r w:rsidR="00265844">
        <w:rPr>
          <w:sz w:val="24"/>
          <w:szCs w:val="24"/>
        </w:rPr>
        <w:t xml:space="preserve">new </w:t>
      </w:r>
      <w:r w:rsidR="00F20456">
        <w:rPr>
          <w:sz w:val="24"/>
          <w:szCs w:val="24"/>
        </w:rPr>
        <w:t>issues and threats</w:t>
      </w:r>
      <w:r w:rsidR="007F4274">
        <w:rPr>
          <w:sz w:val="24"/>
          <w:szCs w:val="24"/>
        </w:rPr>
        <w:t>,</w:t>
      </w:r>
      <w:r w:rsidR="00F20456">
        <w:rPr>
          <w:sz w:val="24"/>
          <w:szCs w:val="24"/>
        </w:rPr>
        <w:t xml:space="preserve"> such as </w:t>
      </w:r>
      <w:r w:rsidR="00251433">
        <w:rPr>
          <w:sz w:val="24"/>
          <w:szCs w:val="24"/>
        </w:rPr>
        <w:t xml:space="preserve">the </w:t>
      </w:r>
      <w:r w:rsidR="00F20456">
        <w:rPr>
          <w:sz w:val="24"/>
          <w:szCs w:val="24"/>
        </w:rPr>
        <w:t xml:space="preserve">Zika virus, </w:t>
      </w:r>
      <w:r w:rsidR="006B1DA6">
        <w:rPr>
          <w:sz w:val="24"/>
          <w:szCs w:val="24"/>
        </w:rPr>
        <w:t>points</w:t>
      </w:r>
      <w:r w:rsidR="00F20456">
        <w:rPr>
          <w:sz w:val="24"/>
          <w:szCs w:val="24"/>
        </w:rPr>
        <w:t xml:space="preserve"> to a need for a well-prepared environmental health workforce.  </w:t>
      </w:r>
      <w:r w:rsidR="00251433">
        <w:rPr>
          <w:sz w:val="24"/>
          <w:szCs w:val="24"/>
        </w:rPr>
        <w:t xml:space="preserve">In addition, </w:t>
      </w:r>
      <w:r w:rsidR="006462D0">
        <w:rPr>
          <w:sz w:val="24"/>
          <w:szCs w:val="24"/>
        </w:rPr>
        <w:t>reduced funding and budget cuts have led to job losses and decreased services at state and local public health departments</w:t>
      </w:r>
      <w:r w:rsidR="006462D0" w:rsidRPr="00B45134">
        <w:rPr>
          <w:sz w:val="24"/>
          <w:szCs w:val="24"/>
          <w:vertAlign w:val="superscript"/>
        </w:rPr>
        <w:t>1,2</w:t>
      </w:r>
      <w:r w:rsidR="006462D0">
        <w:rPr>
          <w:sz w:val="24"/>
          <w:szCs w:val="24"/>
        </w:rPr>
        <w:t>. These compounding factors reinforce the need to closely examine the EH workforce to ensure it is sufficient and well-prepared to meet the environmental health needs of the nation.</w:t>
      </w:r>
    </w:p>
    <w:p w14:paraId="0B5BEF34" w14:textId="34431855" w:rsidR="000543EE" w:rsidRPr="00D72EFA" w:rsidRDefault="000543EE" w:rsidP="004654B2">
      <w:pPr>
        <w:rPr>
          <w:color w:val="FF0000"/>
          <w:sz w:val="24"/>
          <w:szCs w:val="24"/>
        </w:rPr>
      </w:pPr>
      <w:r>
        <w:rPr>
          <w:sz w:val="24"/>
          <w:szCs w:val="24"/>
        </w:rPr>
        <w:t xml:space="preserve">According to </w:t>
      </w:r>
      <w:r w:rsidR="00983785">
        <w:rPr>
          <w:sz w:val="24"/>
          <w:szCs w:val="24"/>
        </w:rPr>
        <w:t>recent public health</w:t>
      </w:r>
      <w:r w:rsidR="000D0B5F">
        <w:rPr>
          <w:sz w:val="24"/>
          <w:szCs w:val="24"/>
        </w:rPr>
        <w:t xml:space="preserve"> department surveys</w:t>
      </w:r>
      <w:r w:rsidR="00983785">
        <w:rPr>
          <w:sz w:val="24"/>
          <w:szCs w:val="24"/>
        </w:rPr>
        <w:t xml:space="preserve">, </w:t>
      </w:r>
      <w:r w:rsidR="007F4274">
        <w:rPr>
          <w:sz w:val="24"/>
          <w:szCs w:val="24"/>
        </w:rPr>
        <w:t>EH</w:t>
      </w:r>
      <w:r w:rsidR="00983785">
        <w:rPr>
          <w:sz w:val="24"/>
          <w:szCs w:val="24"/>
        </w:rPr>
        <w:t xml:space="preserve"> professionals are employed at approximately </w:t>
      </w:r>
      <w:r w:rsidR="00F91AF2">
        <w:rPr>
          <w:sz w:val="24"/>
          <w:szCs w:val="24"/>
        </w:rPr>
        <w:t>85% of local health departments</w:t>
      </w:r>
      <w:r w:rsidR="0078375D">
        <w:rPr>
          <w:sz w:val="24"/>
          <w:szCs w:val="24"/>
        </w:rPr>
        <w:t>,</w:t>
      </w:r>
      <w:r w:rsidR="00B45134">
        <w:rPr>
          <w:sz w:val="24"/>
          <w:szCs w:val="24"/>
          <w:vertAlign w:val="superscript"/>
        </w:rPr>
        <w:t>3</w:t>
      </w:r>
      <w:r>
        <w:rPr>
          <w:sz w:val="24"/>
          <w:szCs w:val="24"/>
        </w:rPr>
        <w:t xml:space="preserve"> </w:t>
      </w:r>
      <w:r w:rsidR="00983785">
        <w:rPr>
          <w:sz w:val="24"/>
          <w:szCs w:val="24"/>
        </w:rPr>
        <w:t>81% of state health departments</w:t>
      </w:r>
      <w:r w:rsidR="0078375D">
        <w:rPr>
          <w:sz w:val="24"/>
          <w:szCs w:val="24"/>
        </w:rPr>
        <w:t>,</w:t>
      </w:r>
      <w:r w:rsidR="00B45134">
        <w:rPr>
          <w:sz w:val="24"/>
          <w:szCs w:val="24"/>
          <w:vertAlign w:val="superscript"/>
        </w:rPr>
        <w:t>4</w:t>
      </w:r>
      <w:r w:rsidR="00983785">
        <w:rPr>
          <w:sz w:val="24"/>
          <w:szCs w:val="24"/>
        </w:rPr>
        <w:t xml:space="preserve"> </w:t>
      </w:r>
      <w:r w:rsidR="0078375D">
        <w:rPr>
          <w:sz w:val="24"/>
          <w:szCs w:val="24"/>
        </w:rPr>
        <w:t xml:space="preserve">and </w:t>
      </w:r>
      <w:r w:rsidR="00983785">
        <w:rPr>
          <w:sz w:val="24"/>
          <w:szCs w:val="24"/>
        </w:rPr>
        <w:t xml:space="preserve">30% </w:t>
      </w:r>
      <w:r w:rsidR="0078375D">
        <w:rPr>
          <w:sz w:val="24"/>
          <w:szCs w:val="24"/>
        </w:rPr>
        <w:t xml:space="preserve">of </w:t>
      </w:r>
      <w:r w:rsidR="00983785">
        <w:rPr>
          <w:sz w:val="24"/>
          <w:szCs w:val="24"/>
        </w:rPr>
        <w:t xml:space="preserve">tribal </w:t>
      </w:r>
      <w:r w:rsidR="0078375D">
        <w:rPr>
          <w:sz w:val="24"/>
          <w:szCs w:val="24"/>
        </w:rPr>
        <w:t>health departments</w:t>
      </w:r>
      <w:r>
        <w:rPr>
          <w:sz w:val="24"/>
          <w:szCs w:val="24"/>
        </w:rPr>
        <w:t>.</w:t>
      </w:r>
      <w:r w:rsidR="00B45134">
        <w:rPr>
          <w:sz w:val="24"/>
          <w:szCs w:val="24"/>
          <w:vertAlign w:val="superscript"/>
        </w:rPr>
        <w:t>5</w:t>
      </w:r>
      <w:r>
        <w:rPr>
          <w:sz w:val="24"/>
          <w:szCs w:val="24"/>
        </w:rPr>
        <w:t xml:space="preserve"> </w:t>
      </w:r>
      <w:r w:rsidR="0084398E">
        <w:rPr>
          <w:sz w:val="24"/>
          <w:szCs w:val="24"/>
        </w:rPr>
        <w:t xml:space="preserve">While the profile surveys provide general information about the </w:t>
      </w:r>
      <w:r w:rsidR="0084398E">
        <w:rPr>
          <w:sz w:val="24"/>
          <w:szCs w:val="24"/>
        </w:rPr>
        <w:lastRenderedPageBreak/>
        <w:t>public health workforce, t</w:t>
      </w:r>
      <w:r>
        <w:rPr>
          <w:sz w:val="24"/>
          <w:szCs w:val="24"/>
        </w:rPr>
        <w:t xml:space="preserve">here have been </w:t>
      </w:r>
      <w:r w:rsidR="0084398E">
        <w:rPr>
          <w:sz w:val="24"/>
          <w:szCs w:val="24"/>
        </w:rPr>
        <w:t>no</w:t>
      </w:r>
      <w:r>
        <w:rPr>
          <w:sz w:val="24"/>
          <w:szCs w:val="24"/>
        </w:rPr>
        <w:t xml:space="preserve"> efforts to </w:t>
      </w:r>
      <w:r w:rsidR="0084398E">
        <w:rPr>
          <w:sz w:val="24"/>
          <w:szCs w:val="24"/>
        </w:rPr>
        <w:t xml:space="preserve">closely </w:t>
      </w:r>
      <w:r>
        <w:rPr>
          <w:sz w:val="24"/>
          <w:szCs w:val="24"/>
        </w:rPr>
        <w:t xml:space="preserve">examine </w:t>
      </w:r>
      <w:r w:rsidR="00FD7C14">
        <w:rPr>
          <w:sz w:val="24"/>
          <w:szCs w:val="24"/>
        </w:rPr>
        <w:t xml:space="preserve">the EH </w:t>
      </w:r>
      <w:r>
        <w:rPr>
          <w:sz w:val="24"/>
          <w:szCs w:val="24"/>
        </w:rPr>
        <w:t xml:space="preserve">workforce. </w:t>
      </w:r>
      <w:r w:rsidR="00A339D2">
        <w:rPr>
          <w:sz w:val="24"/>
          <w:szCs w:val="24"/>
        </w:rPr>
        <w:t>Furthermore, e</w:t>
      </w:r>
      <w:r w:rsidR="0084398E">
        <w:rPr>
          <w:sz w:val="24"/>
          <w:szCs w:val="24"/>
        </w:rPr>
        <w:t xml:space="preserve">numeration of the </w:t>
      </w:r>
      <w:r w:rsidR="001A3A1E">
        <w:rPr>
          <w:sz w:val="24"/>
          <w:szCs w:val="24"/>
        </w:rPr>
        <w:t xml:space="preserve">EH </w:t>
      </w:r>
      <w:r w:rsidR="0084398E">
        <w:rPr>
          <w:sz w:val="24"/>
          <w:szCs w:val="24"/>
        </w:rPr>
        <w:t xml:space="preserve">workforce has been identified as </w:t>
      </w:r>
      <w:r w:rsidR="001A3A1E">
        <w:rPr>
          <w:sz w:val="24"/>
          <w:szCs w:val="24"/>
        </w:rPr>
        <w:t xml:space="preserve">an important aspect of supporting the profession and </w:t>
      </w:r>
      <w:r w:rsidR="0084398E" w:rsidRPr="0084398E">
        <w:rPr>
          <w:sz w:val="24"/>
          <w:szCs w:val="24"/>
        </w:rPr>
        <w:t xml:space="preserve">there </w:t>
      </w:r>
      <w:r w:rsidR="00D72EFA" w:rsidRPr="0084398E">
        <w:rPr>
          <w:sz w:val="24"/>
          <w:szCs w:val="24"/>
        </w:rPr>
        <w:t xml:space="preserve">is no complete list or database of EH professionals </w:t>
      </w:r>
      <w:r w:rsidR="0084398E" w:rsidRPr="0084398E">
        <w:rPr>
          <w:sz w:val="24"/>
          <w:szCs w:val="24"/>
        </w:rPr>
        <w:t>working at public health departments.</w:t>
      </w:r>
      <w:r w:rsidR="00B45134">
        <w:rPr>
          <w:sz w:val="24"/>
          <w:szCs w:val="24"/>
          <w:vertAlign w:val="superscript"/>
        </w:rPr>
        <w:t>6</w:t>
      </w:r>
      <w:r w:rsidR="0084398E" w:rsidRPr="0084398E">
        <w:rPr>
          <w:sz w:val="24"/>
          <w:szCs w:val="24"/>
        </w:rPr>
        <w:t xml:space="preserve"> </w:t>
      </w:r>
    </w:p>
    <w:p w14:paraId="7DB26929" w14:textId="503BA83D" w:rsidR="008626B0" w:rsidRPr="008626B0" w:rsidRDefault="003C2B28" w:rsidP="008626B0">
      <w:pPr>
        <w:rPr>
          <w:sz w:val="24"/>
          <w:szCs w:val="24"/>
        </w:rPr>
      </w:pPr>
      <w:r>
        <w:rPr>
          <w:sz w:val="24"/>
          <w:szCs w:val="24"/>
        </w:rPr>
        <w:t>D</w:t>
      </w:r>
      <w:r w:rsidR="004654B2" w:rsidRPr="004654B2">
        <w:rPr>
          <w:sz w:val="24"/>
          <w:szCs w:val="24"/>
        </w:rPr>
        <w:t>escribing and characterizing the public health workforce is emphasized by the importance of identifying gaps in staffing, training, and ultimately ensuring a sufficient workforce prepared to meet future challenges.</w:t>
      </w:r>
      <w:r w:rsidR="00B45134">
        <w:rPr>
          <w:sz w:val="24"/>
          <w:szCs w:val="24"/>
          <w:vertAlign w:val="superscript"/>
        </w:rPr>
        <w:t>7</w:t>
      </w:r>
      <w:r w:rsidR="004654B2" w:rsidRPr="004654B2">
        <w:rPr>
          <w:sz w:val="24"/>
          <w:szCs w:val="24"/>
        </w:rPr>
        <w:t xml:space="preserve"> Efforts are underway to describe these details for the general public health workforce and within specific discipline areas, such as public health nursing and epidemiology.</w:t>
      </w:r>
      <w:r w:rsidR="008626B0">
        <w:rPr>
          <w:sz w:val="24"/>
          <w:szCs w:val="24"/>
          <w:vertAlign w:val="superscript"/>
        </w:rPr>
        <w:t>8</w:t>
      </w:r>
      <w:r w:rsidR="004654B2" w:rsidRPr="004654B2">
        <w:rPr>
          <w:sz w:val="24"/>
          <w:szCs w:val="24"/>
        </w:rPr>
        <w:t xml:space="preserve"> </w:t>
      </w:r>
      <w:r w:rsidR="008626B0">
        <w:rPr>
          <w:sz w:val="24"/>
          <w:szCs w:val="24"/>
        </w:rPr>
        <w:t>A similar level of description and analysis is critical for e</w:t>
      </w:r>
      <w:r w:rsidR="004654B2" w:rsidRPr="004654B2">
        <w:rPr>
          <w:sz w:val="24"/>
          <w:szCs w:val="24"/>
        </w:rPr>
        <w:t xml:space="preserve">nvironmental health, </w:t>
      </w:r>
      <w:r w:rsidR="008626B0">
        <w:rPr>
          <w:sz w:val="24"/>
          <w:szCs w:val="24"/>
        </w:rPr>
        <w:t xml:space="preserve">as </w:t>
      </w:r>
      <w:r w:rsidR="004654B2" w:rsidRPr="004654B2">
        <w:rPr>
          <w:sz w:val="24"/>
          <w:szCs w:val="24"/>
        </w:rPr>
        <w:t>a foun</w:t>
      </w:r>
      <w:r w:rsidR="00A339D2">
        <w:rPr>
          <w:sz w:val="24"/>
          <w:szCs w:val="24"/>
        </w:rPr>
        <w:t xml:space="preserve">dational area of public health that </w:t>
      </w:r>
      <w:r w:rsidR="004654B2" w:rsidRPr="004654B2">
        <w:rPr>
          <w:sz w:val="24"/>
          <w:szCs w:val="24"/>
        </w:rPr>
        <w:t>provides critical services and important activities for promoting safe and healthful communit</w:t>
      </w:r>
      <w:r w:rsidR="00A339D2">
        <w:rPr>
          <w:sz w:val="24"/>
          <w:szCs w:val="24"/>
        </w:rPr>
        <w:t>ie</w:t>
      </w:r>
      <w:r w:rsidR="004654B2" w:rsidRPr="004654B2">
        <w:rPr>
          <w:sz w:val="24"/>
          <w:szCs w:val="24"/>
        </w:rPr>
        <w:t>s</w:t>
      </w:r>
      <w:r w:rsidR="008626B0">
        <w:rPr>
          <w:sz w:val="24"/>
          <w:szCs w:val="24"/>
        </w:rPr>
        <w:t>.</w:t>
      </w:r>
      <w:r w:rsidR="00A339D2">
        <w:rPr>
          <w:sz w:val="24"/>
          <w:szCs w:val="24"/>
          <w:vertAlign w:val="superscript"/>
        </w:rPr>
        <w:t>9</w:t>
      </w:r>
      <w:r w:rsidR="004654B2" w:rsidRPr="004654B2">
        <w:rPr>
          <w:sz w:val="24"/>
          <w:szCs w:val="24"/>
        </w:rPr>
        <w:t xml:space="preserve"> </w:t>
      </w:r>
      <w:r w:rsidR="00DB060C">
        <w:rPr>
          <w:sz w:val="24"/>
          <w:szCs w:val="24"/>
        </w:rPr>
        <w:t xml:space="preserve">EH’s </w:t>
      </w:r>
      <w:r w:rsidR="00DB060C" w:rsidRPr="004654B2">
        <w:rPr>
          <w:sz w:val="24"/>
          <w:szCs w:val="24"/>
        </w:rPr>
        <w:t xml:space="preserve">important role within the public health framework warrants assessment and analysis of the practice and practitioners in order to assure a workforce well positioned to address current needs and </w:t>
      </w:r>
      <w:r w:rsidR="00DB060C">
        <w:rPr>
          <w:sz w:val="24"/>
          <w:szCs w:val="24"/>
        </w:rPr>
        <w:t xml:space="preserve">well </w:t>
      </w:r>
      <w:r w:rsidR="00DB060C" w:rsidRPr="004654B2">
        <w:rPr>
          <w:sz w:val="24"/>
          <w:szCs w:val="24"/>
        </w:rPr>
        <w:t xml:space="preserve">prepared for future environmental health challenges. </w:t>
      </w:r>
      <w:r w:rsidR="008626B0" w:rsidRPr="008626B0">
        <w:rPr>
          <w:sz w:val="24"/>
          <w:szCs w:val="24"/>
        </w:rPr>
        <w:t xml:space="preserve">This information collection will </w:t>
      </w:r>
      <w:r w:rsidR="008626B0">
        <w:rPr>
          <w:sz w:val="24"/>
          <w:szCs w:val="24"/>
        </w:rPr>
        <w:t>provide critical data on</w:t>
      </w:r>
      <w:r w:rsidR="002C581A">
        <w:rPr>
          <w:sz w:val="24"/>
          <w:szCs w:val="24"/>
        </w:rPr>
        <w:t xml:space="preserve"> the</w:t>
      </w:r>
      <w:r w:rsidR="008626B0">
        <w:rPr>
          <w:sz w:val="24"/>
          <w:szCs w:val="24"/>
        </w:rPr>
        <w:t xml:space="preserve"> </w:t>
      </w:r>
      <w:r w:rsidR="008626B0" w:rsidRPr="008626B0">
        <w:rPr>
          <w:sz w:val="24"/>
          <w:szCs w:val="24"/>
        </w:rPr>
        <w:t xml:space="preserve">1) </w:t>
      </w:r>
      <w:r w:rsidR="00073427">
        <w:rPr>
          <w:sz w:val="24"/>
          <w:szCs w:val="24"/>
        </w:rPr>
        <w:t xml:space="preserve">current </w:t>
      </w:r>
      <w:r w:rsidR="008626B0" w:rsidRPr="008626B0">
        <w:rPr>
          <w:sz w:val="24"/>
          <w:szCs w:val="24"/>
        </w:rPr>
        <w:t xml:space="preserve">supply of EH professionals; 2) </w:t>
      </w:r>
      <w:r w:rsidR="002C581A">
        <w:rPr>
          <w:sz w:val="24"/>
          <w:szCs w:val="24"/>
        </w:rPr>
        <w:t xml:space="preserve">EH </w:t>
      </w:r>
      <w:r w:rsidR="008626B0" w:rsidRPr="008626B0">
        <w:rPr>
          <w:sz w:val="24"/>
          <w:szCs w:val="24"/>
        </w:rPr>
        <w:t xml:space="preserve">workforce </w:t>
      </w:r>
      <w:r w:rsidR="002C581A">
        <w:rPr>
          <w:sz w:val="24"/>
          <w:szCs w:val="24"/>
        </w:rPr>
        <w:t>demographics a</w:t>
      </w:r>
      <w:r w:rsidR="008626B0" w:rsidRPr="008626B0">
        <w:rPr>
          <w:sz w:val="24"/>
          <w:szCs w:val="24"/>
        </w:rPr>
        <w:t xml:space="preserve">nd </w:t>
      </w:r>
      <w:r w:rsidR="002C581A">
        <w:rPr>
          <w:sz w:val="24"/>
          <w:szCs w:val="24"/>
        </w:rPr>
        <w:t>p</w:t>
      </w:r>
      <w:r w:rsidR="008626B0" w:rsidRPr="008626B0">
        <w:rPr>
          <w:sz w:val="24"/>
          <w:szCs w:val="24"/>
        </w:rPr>
        <w:t>rofessional</w:t>
      </w:r>
      <w:r w:rsidR="002C581A">
        <w:rPr>
          <w:sz w:val="24"/>
          <w:szCs w:val="24"/>
        </w:rPr>
        <w:t xml:space="preserve"> roles</w:t>
      </w:r>
      <w:r w:rsidR="008626B0" w:rsidRPr="008626B0">
        <w:rPr>
          <w:sz w:val="24"/>
          <w:szCs w:val="24"/>
        </w:rPr>
        <w:t xml:space="preserve">; 3) gaps in current EH education </w:t>
      </w:r>
      <w:r w:rsidR="002C581A">
        <w:rPr>
          <w:sz w:val="24"/>
          <w:szCs w:val="24"/>
        </w:rPr>
        <w:t xml:space="preserve">and competencies </w:t>
      </w:r>
      <w:r w:rsidR="008626B0" w:rsidRPr="008626B0">
        <w:rPr>
          <w:sz w:val="24"/>
          <w:szCs w:val="24"/>
        </w:rPr>
        <w:t>and training</w:t>
      </w:r>
      <w:r w:rsidR="002C581A">
        <w:rPr>
          <w:sz w:val="24"/>
          <w:szCs w:val="24"/>
        </w:rPr>
        <w:t xml:space="preserve"> needs</w:t>
      </w:r>
      <w:r w:rsidR="008626B0" w:rsidRPr="008626B0">
        <w:rPr>
          <w:sz w:val="24"/>
          <w:szCs w:val="24"/>
        </w:rPr>
        <w:t xml:space="preserve">; and 4) critical skills </w:t>
      </w:r>
      <w:r w:rsidR="002C581A">
        <w:rPr>
          <w:sz w:val="24"/>
          <w:szCs w:val="24"/>
        </w:rPr>
        <w:t xml:space="preserve">and resources </w:t>
      </w:r>
      <w:r w:rsidR="008626B0" w:rsidRPr="008626B0">
        <w:rPr>
          <w:sz w:val="24"/>
          <w:szCs w:val="24"/>
        </w:rPr>
        <w:t xml:space="preserve">needed to meet the evolving </w:t>
      </w:r>
      <w:r w:rsidR="002C581A">
        <w:rPr>
          <w:sz w:val="24"/>
          <w:szCs w:val="24"/>
        </w:rPr>
        <w:t>and emerging EH issues and challenges.</w:t>
      </w:r>
    </w:p>
    <w:p w14:paraId="17936A9D" w14:textId="0ADA2569" w:rsidR="004654B2" w:rsidRPr="004654B2" w:rsidRDefault="004654B2" w:rsidP="004654B2">
      <w:pPr>
        <w:rPr>
          <w:sz w:val="24"/>
          <w:szCs w:val="24"/>
        </w:rPr>
      </w:pPr>
      <w:r w:rsidRPr="004654B2">
        <w:rPr>
          <w:sz w:val="24"/>
          <w:szCs w:val="24"/>
        </w:rPr>
        <w:t xml:space="preserve">Engaging in initiatives that generate important information about the EH </w:t>
      </w:r>
      <w:r w:rsidR="00DB060C">
        <w:rPr>
          <w:sz w:val="24"/>
          <w:szCs w:val="24"/>
        </w:rPr>
        <w:t xml:space="preserve">workforce and EH professionals </w:t>
      </w:r>
      <w:r w:rsidRPr="004654B2">
        <w:rPr>
          <w:sz w:val="24"/>
          <w:szCs w:val="24"/>
        </w:rPr>
        <w:t xml:space="preserve">is recognized as a vital function for ensuring high quality services that address community need, as well as maintaining a sufficient and well trained workforce. For example, CDC’s </w:t>
      </w:r>
      <w:r w:rsidRPr="004654B2">
        <w:rPr>
          <w:i/>
          <w:sz w:val="24"/>
          <w:szCs w:val="24"/>
        </w:rPr>
        <w:t>National Strategy to Revitalize Environmental Public Health Services</w:t>
      </w:r>
      <w:r w:rsidR="002F2AF0" w:rsidRPr="002F2AF0">
        <w:rPr>
          <w:sz w:val="24"/>
          <w:szCs w:val="24"/>
        </w:rPr>
        <w:t>, a</w:t>
      </w:r>
      <w:r w:rsidR="00AE4BB7">
        <w:rPr>
          <w:sz w:val="24"/>
          <w:szCs w:val="24"/>
        </w:rPr>
        <w:t xml:space="preserve"> consensus based document with broad stakeholder input </w:t>
      </w:r>
      <w:r w:rsidR="002F2AF0" w:rsidRPr="002F2AF0">
        <w:rPr>
          <w:sz w:val="24"/>
          <w:szCs w:val="24"/>
        </w:rPr>
        <w:t xml:space="preserve">about strategies to enhance the EH workforce and practice, </w:t>
      </w:r>
      <w:r w:rsidRPr="002F2AF0">
        <w:rPr>
          <w:sz w:val="24"/>
          <w:szCs w:val="24"/>
        </w:rPr>
        <w:t>i</w:t>
      </w:r>
      <w:r w:rsidRPr="004654B2">
        <w:rPr>
          <w:sz w:val="24"/>
          <w:szCs w:val="24"/>
        </w:rPr>
        <w:t>dentified the need to examine size and structure of the EPH workforce by explaining that “workforce evaluations are needed to ascertain the current level of competence, methods of training, effect of training, effect of the "essential services" approach to environmental public health, relations between competencies and practices as they pertain to community-based needs, information that reaches the environmental public health workforce, and effect of workforce-directed activities on the level of competence and job performance.”</w:t>
      </w:r>
      <w:r w:rsidR="00AE4BB7">
        <w:rPr>
          <w:sz w:val="24"/>
          <w:szCs w:val="24"/>
          <w:vertAlign w:val="superscript"/>
        </w:rPr>
        <w:t>10</w:t>
      </w:r>
      <w:r w:rsidRPr="004654B2">
        <w:rPr>
          <w:sz w:val="24"/>
          <w:szCs w:val="24"/>
        </w:rPr>
        <w:t xml:space="preserve"> </w:t>
      </w:r>
      <w:r w:rsidR="00712A80">
        <w:rPr>
          <w:sz w:val="24"/>
          <w:szCs w:val="24"/>
        </w:rPr>
        <w:t xml:space="preserve">This information collection will support the mission of the CDC Division of Emergency and Environmental Health Services and its efforts to support the </w:t>
      </w:r>
      <w:r w:rsidR="00B3208C">
        <w:rPr>
          <w:sz w:val="24"/>
          <w:szCs w:val="24"/>
        </w:rPr>
        <w:t>state, tribal, local and territorial (</w:t>
      </w:r>
      <w:r w:rsidR="00712A80">
        <w:rPr>
          <w:sz w:val="24"/>
          <w:szCs w:val="24"/>
        </w:rPr>
        <w:t>STLT</w:t>
      </w:r>
      <w:r w:rsidR="00B3208C">
        <w:rPr>
          <w:sz w:val="24"/>
          <w:szCs w:val="24"/>
        </w:rPr>
        <w:t>)</w:t>
      </w:r>
      <w:r w:rsidR="00712A80">
        <w:rPr>
          <w:sz w:val="24"/>
          <w:szCs w:val="24"/>
        </w:rPr>
        <w:t xml:space="preserve"> EH workforce. The</w:t>
      </w:r>
      <w:r w:rsidR="00712A80" w:rsidRPr="00712A80">
        <w:rPr>
          <w:sz w:val="24"/>
          <w:szCs w:val="24"/>
        </w:rPr>
        <w:t xml:space="preserve"> </w:t>
      </w:r>
      <w:r w:rsidR="00712A80">
        <w:rPr>
          <w:sz w:val="24"/>
          <w:szCs w:val="24"/>
        </w:rPr>
        <w:t>data</w:t>
      </w:r>
      <w:r w:rsidR="00712A80" w:rsidRPr="00712A80">
        <w:rPr>
          <w:sz w:val="24"/>
          <w:szCs w:val="24"/>
        </w:rPr>
        <w:t xml:space="preserve"> collection i</w:t>
      </w:r>
      <w:r w:rsidR="00C771F7">
        <w:rPr>
          <w:sz w:val="24"/>
          <w:szCs w:val="24"/>
        </w:rPr>
        <w:t xml:space="preserve">s authorized under section 301 </w:t>
      </w:r>
      <w:r w:rsidR="00712A80" w:rsidRPr="00712A80">
        <w:rPr>
          <w:sz w:val="24"/>
          <w:szCs w:val="24"/>
        </w:rPr>
        <w:t>of the Public Health Service (PHS) Act, [42 U.S.C. section 241(a)]</w:t>
      </w:r>
      <w:r w:rsidR="00712A80">
        <w:rPr>
          <w:sz w:val="24"/>
          <w:szCs w:val="24"/>
        </w:rPr>
        <w:t xml:space="preserve"> (Attachment 1).</w:t>
      </w:r>
    </w:p>
    <w:p w14:paraId="124ED2F3" w14:textId="2149DB71" w:rsidR="001F53D2" w:rsidRDefault="002E2F0C" w:rsidP="004654B2">
      <w:pPr>
        <w:rPr>
          <w:sz w:val="24"/>
          <w:szCs w:val="24"/>
        </w:rPr>
      </w:pPr>
      <w:r>
        <w:rPr>
          <w:sz w:val="24"/>
          <w:szCs w:val="24"/>
        </w:rPr>
        <w:t xml:space="preserve">The Centers for Disease Control and Prevention (CDC) is requesting a </w:t>
      </w:r>
      <w:r w:rsidR="000661ED">
        <w:rPr>
          <w:sz w:val="24"/>
          <w:szCs w:val="24"/>
        </w:rPr>
        <w:t>12 m</w:t>
      </w:r>
      <w:r>
        <w:rPr>
          <w:sz w:val="24"/>
          <w:szCs w:val="24"/>
        </w:rPr>
        <w:t xml:space="preserve">onth Paperwork Reduction Act (PRA) clearance from the Office of Management and Budget (OMB). </w:t>
      </w:r>
    </w:p>
    <w:p w14:paraId="73F9314C" w14:textId="77777777" w:rsidR="00B3208C" w:rsidRPr="00877537" w:rsidRDefault="00B3208C" w:rsidP="004654B2">
      <w:pPr>
        <w:rPr>
          <w:sz w:val="24"/>
          <w:szCs w:val="24"/>
        </w:rPr>
      </w:pPr>
    </w:p>
    <w:p w14:paraId="66725973" w14:textId="48418DA7" w:rsidR="00B45002" w:rsidRPr="00D20211" w:rsidRDefault="00601F1A" w:rsidP="00601F1A">
      <w:pPr>
        <w:pStyle w:val="Heading1"/>
        <w:pBdr>
          <w:bottom w:val="none" w:sz="0" w:space="0" w:color="auto"/>
        </w:pBdr>
        <w:rPr>
          <w:color w:val="auto"/>
        </w:rPr>
      </w:pPr>
      <w:bookmarkStart w:id="4" w:name="_Toc432356281"/>
      <w:r w:rsidRPr="00D20211">
        <w:rPr>
          <w:color w:val="auto"/>
        </w:rPr>
        <w:t>A.</w:t>
      </w:r>
      <w:r w:rsidR="004D21C9" w:rsidRPr="00D20211">
        <w:rPr>
          <w:color w:val="auto"/>
        </w:rPr>
        <w:t>2</w:t>
      </w:r>
      <w:r w:rsidR="008C0292" w:rsidRPr="00D20211">
        <w:rPr>
          <w:color w:val="auto"/>
        </w:rPr>
        <w:t>. Purpose</w:t>
      </w:r>
      <w:r w:rsidR="00B45002" w:rsidRPr="00D20211">
        <w:rPr>
          <w:color w:val="auto"/>
        </w:rPr>
        <w:t xml:space="preserve"> and Use of the Information Collection</w:t>
      </w:r>
      <w:bookmarkEnd w:id="4"/>
    </w:p>
    <w:p w14:paraId="1FBDFBE5" w14:textId="77777777" w:rsidR="00A65BAD" w:rsidRPr="00D20211" w:rsidRDefault="00A65BAD" w:rsidP="003F6A54">
      <w:pPr>
        <w:autoSpaceDE w:val="0"/>
        <w:autoSpaceDN w:val="0"/>
        <w:adjustRightInd w:val="0"/>
        <w:spacing w:after="0" w:line="240" w:lineRule="auto"/>
        <w:rPr>
          <w:rFonts w:cs="ITCFranklinGothicStd-Book"/>
          <w:sz w:val="24"/>
          <w:szCs w:val="24"/>
        </w:rPr>
      </w:pPr>
    </w:p>
    <w:p w14:paraId="7F0D6619" w14:textId="7FA3F8C4" w:rsidR="004F1D6F" w:rsidRDefault="00740EDF" w:rsidP="00D25512">
      <w:pPr>
        <w:autoSpaceDE w:val="0"/>
        <w:autoSpaceDN w:val="0"/>
        <w:adjustRightInd w:val="0"/>
        <w:spacing w:line="240" w:lineRule="auto"/>
        <w:rPr>
          <w:rFonts w:cs="ITCFranklinGothicStd-Book"/>
          <w:sz w:val="24"/>
          <w:szCs w:val="24"/>
        </w:rPr>
      </w:pPr>
      <w:r>
        <w:rPr>
          <w:rFonts w:cs="ITCFranklinGothicStd-Book"/>
          <w:sz w:val="24"/>
          <w:szCs w:val="24"/>
        </w:rPr>
        <w:t>Th</w:t>
      </w:r>
      <w:r w:rsidR="007169A5">
        <w:rPr>
          <w:rFonts w:cs="ITCFranklinGothicStd-Book"/>
          <w:sz w:val="24"/>
          <w:szCs w:val="24"/>
        </w:rPr>
        <w:t>is</w:t>
      </w:r>
      <w:r>
        <w:rPr>
          <w:rFonts w:cs="ITCFranklinGothicStd-Book"/>
          <w:sz w:val="24"/>
          <w:szCs w:val="24"/>
        </w:rPr>
        <w:t xml:space="preserve"> is</w:t>
      </w:r>
      <w:r w:rsidR="001F0C92">
        <w:rPr>
          <w:rFonts w:cs="ITCFranklinGothicStd-Book"/>
          <w:sz w:val="24"/>
          <w:szCs w:val="24"/>
        </w:rPr>
        <w:t xml:space="preserve"> </w:t>
      </w:r>
      <w:r w:rsidR="0048092D">
        <w:rPr>
          <w:rFonts w:cs="ITCFranklinGothicStd-Book"/>
          <w:sz w:val="24"/>
          <w:szCs w:val="24"/>
        </w:rPr>
        <w:t xml:space="preserve">a one-time information collection </w:t>
      </w:r>
      <w:r w:rsidR="002F669E">
        <w:rPr>
          <w:rFonts w:cs="ITCFranklinGothicStd-Book"/>
          <w:sz w:val="24"/>
          <w:szCs w:val="24"/>
        </w:rPr>
        <w:t>designed to</w:t>
      </w:r>
      <w:r w:rsidR="00821207">
        <w:rPr>
          <w:rFonts w:cs="ITCFranklinGothicStd-Book"/>
          <w:sz w:val="24"/>
          <w:szCs w:val="24"/>
        </w:rPr>
        <w:t xml:space="preserve"> </w:t>
      </w:r>
      <w:r w:rsidR="007169A5">
        <w:rPr>
          <w:rFonts w:cs="ITCFranklinGothicStd-Book"/>
          <w:sz w:val="24"/>
          <w:szCs w:val="24"/>
        </w:rPr>
        <w:t xml:space="preserve">thoroughly </w:t>
      </w:r>
      <w:r w:rsidR="00052B17">
        <w:rPr>
          <w:rFonts w:cs="ITCFranklinGothicStd-Book"/>
          <w:sz w:val="24"/>
          <w:szCs w:val="24"/>
        </w:rPr>
        <w:t>examin</w:t>
      </w:r>
      <w:r w:rsidR="002F669E">
        <w:rPr>
          <w:rFonts w:cs="ITCFranklinGothicStd-Book"/>
          <w:sz w:val="24"/>
          <w:szCs w:val="24"/>
        </w:rPr>
        <w:t>e</w:t>
      </w:r>
      <w:r w:rsidR="00052B17">
        <w:rPr>
          <w:rFonts w:cs="ITCFranklinGothicStd-Book"/>
          <w:sz w:val="24"/>
          <w:szCs w:val="24"/>
        </w:rPr>
        <w:t xml:space="preserve"> </w:t>
      </w:r>
      <w:r w:rsidR="007169A5">
        <w:rPr>
          <w:rFonts w:cs="ITCFranklinGothicStd-Book"/>
          <w:sz w:val="24"/>
          <w:szCs w:val="24"/>
        </w:rPr>
        <w:t xml:space="preserve">the </w:t>
      </w:r>
      <w:r w:rsidR="00073427">
        <w:rPr>
          <w:rFonts w:cs="ITCFranklinGothicStd-Book"/>
          <w:sz w:val="24"/>
          <w:szCs w:val="24"/>
        </w:rPr>
        <w:t xml:space="preserve">public health department </w:t>
      </w:r>
      <w:r w:rsidR="007169A5" w:rsidRPr="007169A5">
        <w:rPr>
          <w:rFonts w:cs="ITCFranklinGothicStd-Book"/>
          <w:sz w:val="24"/>
          <w:szCs w:val="24"/>
        </w:rPr>
        <w:t>EH workforce</w:t>
      </w:r>
      <w:r w:rsidR="000A5AC6" w:rsidRPr="00D25512">
        <w:rPr>
          <w:rFonts w:cs="ITCFranklinGothicStd-Book"/>
          <w:sz w:val="24"/>
          <w:szCs w:val="24"/>
        </w:rPr>
        <w:t>.</w:t>
      </w:r>
      <w:r w:rsidR="001F0C92">
        <w:rPr>
          <w:rFonts w:cs="ITCFranklinGothicStd-Book"/>
          <w:sz w:val="24"/>
          <w:szCs w:val="24"/>
        </w:rPr>
        <w:t xml:space="preserve"> </w:t>
      </w:r>
      <w:r w:rsidR="009516F3">
        <w:rPr>
          <w:rFonts w:cs="ITCFranklinGothicStd-Book"/>
          <w:sz w:val="24"/>
          <w:szCs w:val="24"/>
        </w:rPr>
        <w:t>The assessment will</w:t>
      </w:r>
      <w:r w:rsidR="00052B17">
        <w:rPr>
          <w:rFonts w:cs="ITCFranklinGothicStd-Book"/>
          <w:sz w:val="24"/>
          <w:szCs w:val="24"/>
        </w:rPr>
        <w:t xml:space="preserve">: </w:t>
      </w:r>
      <w:r w:rsidR="009516F3" w:rsidRPr="009516F3">
        <w:rPr>
          <w:rFonts w:cs="ITCFranklinGothicStd-Book"/>
          <w:sz w:val="24"/>
          <w:szCs w:val="24"/>
        </w:rPr>
        <w:t xml:space="preserve">1) </w:t>
      </w:r>
      <w:r w:rsidR="0034692B">
        <w:rPr>
          <w:rFonts w:cs="ITCFranklinGothicStd-Book"/>
          <w:sz w:val="24"/>
          <w:szCs w:val="24"/>
        </w:rPr>
        <w:t>determine the current supply of</w:t>
      </w:r>
      <w:r w:rsidR="009516F3" w:rsidRPr="009516F3">
        <w:rPr>
          <w:rFonts w:cs="ITCFranklinGothicStd-Book"/>
          <w:sz w:val="24"/>
          <w:szCs w:val="24"/>
        </w:rPr>
        <w:t xml:space="preserve"> EH professionals; 2) </w:t>
      </w:r>
      <w:r w:rsidR="0034692B">
        <w:rPr>
          <w:rFonts w:cs="ITCFranklinGothicStd-Book"/>
          <w:sz w:val="24"/>
          <w:szCs w:val="24"/>
        </w:rPr>
        <w:t xml:space="preserve">describe </w:t>
      </w:r>
      <w:r w:rsidR="009516F3" w:rsidRPr="009516F3">
        <w:rPr>
          <w:rFonts w:cs="ITCFranklinGothicStd-Book"/>
          <w:sz w:val="24"/>
          <w:szCs w:val="24"/>
        </w:rPr>
        <w:t xml:space="preserve">EH workforce demographics and professional roles; 3) </w:t>
      </w:r>
      <w:r w:rsidR="0034692B">
        <w:rPr>
          <w:rFonts w:cs="ITCFranklinGothicStd-Book"/>
          <w:sz w:val="24"/>
          <w:szCs w:val="24"/>
        </w:rPr>
        <w:t xml:space="preserve">assess </w:t>
      </w:r>
      <w:r w:rsidR="009516F3" w:rsidRPr="009516F3">
        <w:rPr>
          <w:rFonts w:cs="ITCFranklinGothicStd-Book"/>
          <w:sz w:val="24"/>
          <w:szCs w:val="24"/>
        </w:rPr>
        <w:t xml:space="preserve">gaps in current EH education and competencies and training needs; and 4) </w:t>
      </w:r>
      <w:r w:rsidR="0034692B">
        <w:rPr>
          <w:rFonts w:cs="ITCFranklinGothicStd-Book"/>
          <w:sz w:val="24"/>
          <w:szCs w:val="24"/>
        </w:rPr>
        <w:t xml:space="preserve">identify </w:t>
      </w:r>
      <w:r w:rsidR="009516F3" w:rsidRPr="009516F3">
        <w:rPr>
          <w:rFonts w:cs="ITCFranklinGothicStd-Book"/>
          <w:sz w:val="24"/>
          <w:szCs w:val="24"/>
        </w:rPr>
        <w:t>critical skills and resources needed to meet the evolving and emerging EH issues and challenges</w:t>
      </w:r>
      <w:r w:rsidR="001F0C92">
        <w:rPr>
          <w:rFonts w:cs="ITCFranklinGothicStd-Book"/>
          <w:sz w:val="24"/>
          <w:szCs w:val="24"/>
        </w:rPr>
        <w:t>.</w:t>
      </w:r>
      <w:r w:rsidR="00821207">
        <w:rPr>
          <w:rFonts w:cs="ITCFranklinGothicStd-Book"/>
          <w:sz w:val="24"/>
          <w:szCs w:val="24"/>
        </w:rPr>
        <w:t xml:space="preserve"> </w:t>
      </w:r>
      <w:r w:rsidR="00F936BD">
        <w:rPr>
          <w:rFonts w:cs="ITCFranklinGothicStd-Book"/>
          <w:sz w:val="24"/>
          <w:szCs w:val="24"/>
        </w:rPr>
        <w:t xml:space="preserve">Not having this information limits the </w:t>
      </w:r>
      <w:r w:rsidR="00AE4BB7">
        <w:rPr>
          <w:rFonts w:cs="ITCFranklinGothicStd-Book"/>
          <w:sz w:val="24"/>
          <w:szCs w:val="24"/>
        </w:rPr>
        <w:t xml:space="preserve">CDC’s and other public health agency’s </w:t>
      </w:r>
      <w:r w:rsidR="00F936BD">
        <w:rPr>
          <w:rFonts w:cs="ITCFranklinGothicStd-Book"/>
          <w:sz w:val="24"/>
          <w:szCs w:val="24"/>
        </w:rPr>
        <w:t>abilit</w:t>
      </w:r>
      <w:r w:rsidR="00AE4BB7">
        <w:rPr>
          <w:rFonts w:cs="ITCFranklinGothicStd-Book"/>
          <w:sz w:val="24"/>
          <w:szCs w:val="24"/>
        </w:rPr>
        <w:t>ies</w:t>
      </w:r>
      <w:r w:rsidR="00F936BD">
        <w:rPr>
          <w:rFonts w:cs="ITCFranklinGothicStd-Book"/>
          <w:sz w:val="24"/>
          <w:szCs w:val="24"/>
        </w:rPr>
        <w:t xml:space="preserve"> to establish </w:t>
      </w:r>
      <w:r w:rsidR="00A753B6">
        <w:rPr>
          <w:rFonts w:cs="ITCFranklinGothicStd-Book"/>
          <w:sz w:val="24"/>
          <w:szCs w:val="24"/>
        </w:rPr>
        <w:t xml:space="preserve">accurate and necessary </w:t>
      </w:r>
      <w:r w:rsidR="00F936BD">
        <w:rPr>
          <w:rFonts w:cs="ITCFranklinGothicStd-Book"/>
          <w:sz w:val="24"/>
          <w:szCs w:val="24"/>
        </w:rPr>
        <w:t xml:space="preserve">workforce development initiatives </w:t>
      </w:r>
      <w:r w:rsidR="00A753B6">
        <w:rPr>
          <w:rFonts w:cs="ITCFranklinGothicStd-Book"/>
          <w:sz w:val="24"/>
          <w:szCs w:val="24"/>
        </w:rPr>
        <w:t xml:space="preserve">and support for improving the </w:t>
      </w:r>
      <w:r w:rsidR="003A3FD1">
        <w:rPr>
          <w:rFonts w:cs="ITCFranklinGothicStd-Book"/>
          <w:sz w:val="24"/>
          <w:szCs w:val="24"/>
        </w:rPr>
        <w:t xml:space="preserve">EH </w:t>
      </w:r>
      <w:r w:rsidR="00A753B6">
        <w:rPr>
          <w:rFonts w:cs="ITCFranklinGothicStd-Book"/>
          <w:sz w:val="24"/>
          <w:szCs w:val="24"/>
        </w:rPr>
        <w:t>practice.</w:t>
      </w:r>
    </w:p>
    <w:p w14:paraId="01F91EA2" w14:textId="6E7F9C1A" w:rsidR="00821207" w:rsidRPr="00821207" w:rsidRDefault="00F936BD" w:rsidP="00821207">
      <w:pPr>
        <w:autoSpaceDE w:val="0"/>
        <w:autoSpaceDN w:val="0"/>
        <w:adjustRightInd w:val="0"/>
        <w:spacing w:line="240" w:lineRule="auto"/>
        <w:rPr>
          <w:rFonts w:cs="ITCFranklinGothicStd-Book"/>
          <w:sz w:val="24"/>
          <w:szCs w:val="24"/>
        </w:rPr>
      </w:pPr>
      <w:r>
        <w:rPr>
          <w:rFonts w:cs="ITCFranklinGothicStd-Book"/>
          <w:sz w:val="24"/>
          <w:szCs w:val="24"/>
        </w:rPr>
        <w:t>T</w:t>
      </w:r>
      <w:r w:rsidR="00821207" w:rsidRPr="00821207">
        <w:rPr>
          <w:rFonts w:cs="ITCFranklinGothicStd-Book"/>
          <w:sz w:val="24"/>
          <w:szCs w:val="24"/>
        </w:rPr>
        <w:t xml:space="preserve">he </w:t>
      </w:r>
      <w:r>
        <w:rPr>
          <w:rFonts w:cs="ITCFranklinGothicStd-Book"/>
          <w:sz w:val="24"/>
          <w:szCs w:val="24"/>
        </w:rPr>
        <w:t xml:space="preserve">overall </w:t>
      </w:r>
      <w:r w:rsidR="00821207" w:rsidRPr="00821207">
        <w:rPr>
          <w:rFonts w:cs="ITCFranklinGothicStd-Book"/>
          <w:sz w:val="24"/>
          <w:szCs w:val="24"/>
        </w:rPr>
        <w:t xml:space="preserve">purpose of </w:t>
      </w:r>
      <w:r>
        <w:rPr>
          <w:rFonts w:cs="ITCFranklinGothicStd-Book"/>
          <w:sz w:val="24"/>
          <w:szCs w:val="24"/>
        </w:rPr>
        <w:t xml:space="preserve">this effort is to </w:t>
      </w:r>
      <w:r w:rsidR="00821207" w:rsidRPr="00821207">
        <w:rPr>
          <w:rFonts w:cs="ITCFranklinGothicStd-Book"/>
          <w:sz w:val="24"/>
          <w:szCs w:val="24"/>
        </w:rPr>
        <w:t>identify, describ</w:t>
      </w:r>
      <w:r>
        <w:rPr>
          <w:rFonts w:cs="ITCFranklinGothicStd-Book"/>
          <w:sz w:val="24"/>
          <w:szCs w:val="24"/>
        </w:rPr>
        <w:t>e</w:t>
      </w:r>
      <w:r w:rsidR="00821207" w:rsidRPr="00821207">
        <w:rPr>
          <w:rFonts w:cs="ITCFranklinGothicStd-Book"/>
          <w:sz w:val="24"/>
          <w:szCs w:val="24"/>
        </w:rPr>
        <w:t>, and understand</w:t>
      </w:r>
      <w:r w:rsidR="00A753B6">
        <w:rPr>
          <w:rFonts w:cs="ITCFranklinGothicStd-Book"/>
          <w:sz w:val="24"/>
          <w:szCs w:val="24"/>
        </w:rPr>
        <w:t xml:space="preserve"> EH professional</w:t>
      </w:r>
      <w:r w:rsidR="005F0B3C">
        <w:rPr>
          <w:rFonts w:cs="ITCFranklinGothicStd-Book"/>
          <w:sz w:val="24"/>
          <w:szCs w:val="24"/>
        </w:rPr>
        <w:t>s</w:t>
      </w:r>
      <w:r w:rsidR="003A3FD1">
        <w:rPr>
          <w:rFonts w:cs="ITCFranklinGothicStd-Book"/>
          <w:sz w:val="24"/>
          <w:szCs w:val="24"/>
        </w:rPr>
        <w:t>’</w:t>
      </w:r>
      <w:r w:rsidR="00821207" w:rsidRPr="00821207">
        <w:rPr>
          <w:rFonts w:cs="ITCFranklinGothicStd-Book"/>
          <w:sz w:val="24"/>
          <w:szCs w:val="24"/>
        </w:rPr>
        <w:t>:</w:t>
      </w:r>
    </w:p>
    <w:p w14:paraId="4F76BBC6" w14:textId="283AB8BD" w:rsidR="00821207" w:rsidRPr="00821207" w:rsidRDefault="00223E36" w:rsidP="00821207">
      <w:pPr>
        <w:numPr>
          <w:ilvl w:val="0"/>
          <w:numId w:val="40"/>
        </w:numPr>
        <w:autoSpaceDE w:val="0"/>
        <w:autoSpaceDN w:val="0"/>
        <w:adjustRightInd w:val="0"/>
        <w:spacing w:line="240" w:lineRule="auto"/>
        <w:rPr>
          <w:rFonts w:cs="ITCFranklinGothicStd-Book"/>
          <w:sz w:val="24"/>
          <w:szCs w:val="24"/>
        </w:rPr>
      </w:pPr>
      <w:r>
        <w:rPr>
          <w:rFonts w:cs="ITCFranklinGothicStd-Book"/>
          <w:sz w:val="24"/>
          <w:szCs w:val="24"/>
        </w:rPr>
        <w:t>D</w:t>
      </w:r>
      <w:r w:rsidR="00821207" w:rsidRPr="00821207">
        <w:rPr>
          <w:rFonts w:cs="ITCFranklinGothicStd-Book"/>
          <w:sz w:val="24"/>
          <w:szCs w:val="24"/>
        </w:rPr>
        <w:t>emographics, skills and competencies, and potential training needs;</w:t>
      </w:r>
    </w:p>
    <w:p w14:paraId="190E7F56" w14:textId="6FCDF523" w:rsidR="00821207" w:rsidRPr="00821207" w:rsidRDefault="00223E36" w:rsidP="00821207">
      <w:pPr>
        <w:numPr>
          <w:ilvl w:val="0"/>
          <w:numId w:val="40"/>
        </w:numPr>
        <w:autoSpaceDE w:val="0"/>
        <w:autoSpaceDN w:val="0"/>
        <w:adjustRightInd w:val="0"/>
        <w:spacing w:line="240" w:lineRule="auto"/>
        <w:rPr>
          <w:rFonts w:cs="ITCFranklinGothicStd-Book"/>
          <w:sz w:val="24"/>
          <w:szCs w:val="24"/>
        </w:rPr>
      </w:pPr>
      <w:r>
        <w:rPr>
          <w:rFonts w:cs="ITCFranklinGothicStd-Book"/>
          <w:sz w:val="24"/>
          <w:szCs w:val="24"/>
        </w:rPr>
        <w:t>A</w:t>
      </w:r>
      <w:r w:rsidR="00A753B6">
        <w:rPr>
          <w:rFonts w:cs="ITCFranklinGothicStd-Book"/>
          <w:sz w:val="24"/>
          <w:szCs w:val="24"/>
        </w:rPr>
        <w:t>reas of practice</w:t>
      </w:r>
      <w:r w:rsidR="00821207" w:rsidRPr="00821207">
        <w:rPr>
          <w:rFonts w:cs="ITCFranklinGothicStd-Book"/>
          <w:sz w:val="24"/>
          <w:szCs w:val="24"/>
        </w:rPr>
        <w:t xml:space="preserve">, primary responsibilities, and delivery of </w:t>
      </w:r>
      <w:r w:rsidR="005174A9">
        <w:rPr>
          <w:rFonts w:cs="ITCFranklinGothicStd-Book"/>
          <w:sz w:val="24"/>
          <w:szCs w:val="24"/>
        </w:rPr>
        <w:t>s</w:t>
      </w:r>
      <w:r w:rsidR="00821207" w:rsidRPr="00821207">
        <w:rPr>
          <w:rFonts w:cs="ITCFranklinGothicStd-Book"/>
          <w:sz w:val="24"/>
          <w:szCs w:val="24"/>
        </w:rPr>
        <w:t>ervices; and</w:t>
      </w:r>
    </w:p>
    <w:p w14:paraId="5C37C900" w14:textId="4B423A2F" w:rsidR="00821207" w:rsidRPr="00821207" w:rsidRDefault="00223E36" w:rsidP="00821207">
      <w:pPr>
        <w:numPr>
          <w:ilvl w:val="0"/>
          <w:numId w:val="40"/>
        </w:numPr>
        <w:autoSpaceDE w:val="0"/>
        <w:autoSpaceDN w:val="0"/>
        <w:adjustRightInd w:val="0"/>
        <w:spacing w:line="240" w:lineRule="auto"/>
        <w:rPr>
          <w:rFonts w:cs="ITCFranklinGothicStd-Book"/>
          <w:sz w:val="24"/>
          <w:szCs w:val="24"/>
        </w:rPr>
      </w:pPr>
      <w:r>
        <w:rPr>
          <w:rFonts w:cs="ITCFranklinGothicStd-Book"/>
          <w:sz w:val="24"/>
          <w:szCs w:val="24"/>
        </w:rPr>
        <w:t>G</w:t>
      </w:r>
      <w:r w:rsidR="00821207" w:rsidRPr="00821207">
        <w:rPr>
          <w:rFonts w:cs="ITCFranklinGothicStd-Book"/>
          <w:sz w:val="24"/>
          <w:szCs w:val="24"/>
        </w:rPr>
        <w:t>rand challenges and emerging environmental health issues.</w:t>
      </w:r>
    </w:p>
    <w:p w14:paraId="6A169809" w14:textId="24FD72B8" w:rsidR="00821207" w:rsidRPr="00821207" w:rsidRDefault="00420353" w:rsidP="00821207">
      <w:pPr>
        <w:autoSpaceDE w:val="0"/>
        <w:autoSpaceDN w:val="0"/>
        <w:adjustRightInd w:val="0"/>
        <w:spacing w:line="240" w:lineRule="auto"/>
        <w:rPr>
          <w:rFonts w:cs="ITCFranklinGothicStd-Book"/>
          <w:sz w:val="24"/>
          <w:szCs w:val="24"/>
        </w:rPr>
      </w:pPr>
      <w:r>
        <w:rPr>
          <w:rFonts w:cs="ITCFranklinGothicStd-Book"/>
          <w:sz w:val="24"/>
          <w:szCs w:val="24"/>
        </w:rPr>
        <w:t>This assessment</w:t>
      </w:r>
      <w:r w:rsidR="00F936BD">
        <w:rPr>
          <w:rFonts w:cs="ITCFranklinGothicStd-Book"/>
          <w:sz w:val="24"/>
          <w:szCs w:val="24"/>
        </w:rPr>
        <w:t xml:space="preserve"> </w:t>
      </w:r>
      <w:r w:rsidR="005174A9">
        <w:rPr>
          <w:rFonts w:cs="ITCFranklinGothicStd-Book"/>
          <w:sz w:val="24"/>
          <w:szCs w:val="24"/>
        </w:rPr>
        <w:t>could</w:t>
      </w:r>
      <w:r w:rsidR="00821207" w:rsidRPr="00821207">
        <w:rPr>
          <w:rFonts w:cs="ITCFranklinGothicStd-Book"/>
          <w:sz w:val="24"/>
          <w:szCs w:val="24"/>
        </w:rPr>
        <w:t xml:space="preserve"> provide information serving a wide range of purposes, such as:</w:t>
      </w:r>
    </w:p>
    <w:p w14:paraId="70B79530" w14:textId="77777777" w:rsidR="00821207" w:rsidRPr="00821207" w:rsidRDefault="00821207" w:rsidP="00821207">
      <w:pPr>
        <w:numPr>
          <w:ilvl w:val="0"/>
          <w:numId w:val="41"/>
        </w:numPr>
        <w:autoSpaceDE w:val="0"/>
        <w:autoSpaceDN w:val="0"/>
        <w:adjustRightInd w:val="0"/>
        <w:spacing w:line="240" w:lineRule="auto"/>
        <w:rPr>
          <w:rFonts w:cs="ITCFranklinGothicStd-Book"/>
          <w:sz w:val="24"/>
          <w:szCs w:val="24"/>
        </w:rPr>
      </w:pPr>
      <w:r w:rsidRPr="00821207">
        <w:rPr>
          <w:rFonts w:cs="ITCFranklinGothicStd-Book"/>
          <w:sz w:val="24"/>
          <w:szCs w:val="24"/>
        </w:rPr>
        <w:t>Establishing uniform practice benchmarks and workforce competencies;</w:t>
      </w:r>
    </w:p>
    <w:p w14:paraId="4DE35556" w14:textId="77777777" w:rsidR="00821207" w:rsidRPr="00821207" w:rsidRDefault="00821207" w:rsidP="00821207">
      <w:pPr>
        <w:numPr>
          <w:ilvl w:val="0"/>
          <w:numId w:val="41"/>
        </w:numPr>
        <w:autoSpaceDE w:val="0"/>
        <w:autoSpaceDN w:val="0"/>
        <w:adjustRightInd w:val="0"/>
        <w:spacing w:line="240" w:lineRule="auto"/>
        <w:rPr>
          <w:rFonts w:cs="ITCFranklinGothicStd-Book"/>
          <w:sz w:val="24"/>
          <w:szCs w:val="24"/>
        </w:rPr>
      </w:pPr>
      <w:r w:rsidRPr="00821207">
        <w:rPr>
          <w:rFonts w:cs="ITCFranklinGothicStd-Book"/>
          <w:sz w:val="24"/>
          <w:szCs w:val="24"/>
        </w:rPr>
        <w:t xml:space="preserve">Allocating funds to support improvement of the practice based on identified needs; </w:t>
      </w:r>
    </w:p>
    <w:p w14:paraId="254DAAAC" w14:textId="65813EF6" w:rsidR="00821207" w:rsidRPr="00821207" w:rsidRDefault="00821207" w:rsidP="00821207">
      <w:pPr>
        <w:numPr>
          <w:ilvl w:val="0"/>
          <w:numId w:val="41"/>
        </w:numPr>
        <w:autoSpaceDE w:val="0"/>
        <w:autoSpaceDN w:val="0"/>
        <w:adjustRightInd w:val="0"/>
        <w:spacing w:line="240" w:lineRule="auto"/>
        <w:rPr>
          <w:rFonts w:cs="ITCFranklinGothicStd-Book"/>
          <w:sz w:val="24"/>
          <w:szCs w:val="24"/>
        </w:rPr>
      </w:pPr>
      <w:r w:rsidRPr="00821207">
        <w:rPr>
          <w:rFonts w:cs="ITCFranklinGothicStd-Book"/>
          <w:sz w:val="24"/>
          <w:szCs w:val="24"/>
        </w:rPr>
        <w:t xml:space="preserve">Informing </w:t>
      </w:r>
      <w:r w:rsidR="00A753B6">
        <w:rPr>
          <w:rFonts w:cs="ITCFranklinGothicStd-Book"/>
          <w:sz w:val="24"/>
          <w:szCs w:val="24"/>
        </w:rPr>
        <w:t>decision-</w:t>
      </w:r>
      <w:r w:rsidRPr="00821207">
        <w:rPr>
          <w:rFonts w:cs="ITCFranklinGothicStd-Book"/>
          <w:sz w:val="24"/>
          <w:szCs w:val="24"/>
        </w:rPr>
        <w:t xml:space="preserve">making </w:t>
      </w:r>
      <w:r w:rsidR="001E26FA">
        <w:rPr>
          <w:rFonts w:cs="ITCFranklinGothicStd-Book"/>
          <w:sz w:val="24"/>
          <w:szCs w:val="24"/>
        </w:rPr>
        <w:t>about the</w:t>
      </w:r>
      <w:r w:rsidR="00A753B6">
        <w:rPr>
          <w:rFonts w:cs="ITCFranklinGothicStd-Book"/>
          <w:sz w:val="24"/>
          <w:szCs w:val="24"/>
        </w:rPr>
        <w:t xml:space="preserve"> practice</w:t>
      </w:r>
      <w:r w:rsidR="001E26FA">
        <w:rPr>
          <w:rFonts w:cs="ITCFranklinGothicStd-Book"/>
          <w:sz w:val="24"/>
          <w:szCs w:val="24"/>
        </w:rPr>
        <w:t>, staffing</w:t>
      </w:r>
      <w:r w:rsidR="00A753B6">
        <w:rPr>
          <w:rFonts w:cs="ITCFranklinGothicStd-Book"/>
          <w:sz w:val="24"/>
          <w:szCs w:val="24"/>
        </w:rPr>
        <w:t>,</w:t>
      </w:r>
      <w:r w:rsidRPr="00821207">
        <w:rPr>
          <w:rFonts w:cs="ITCFranklinGothicStd-Book"/>
          <w:sz w:val="24"/>
          <w:szCs w:val="24"/>
        </w:rPr>
        <w:t xml:space="preserve"> services</w:t>
      </w:r>
      <w:r w:rsidR="00A753B6">
        <w:rPr>
          <w:rFonts w:cs="ITCFranklinGothicStd-Book"/>
          <w:sz w:val="24"/>
          <w:szCs w:val="24"/>
        </w:rPr>
        <w:t>,</w:t>
      </w:r>
      <w:r w:rsidRPr="00821207">
        <w:rPr>
          <w:rFonts w:cs="ITCFranklinGothicStd-Book"/>
          <w:sz w:val="24"/>
          <w:szCs w:val="24"/>
        </w:rPr>
        <w:t xml:space="preserve"> and activities; and</w:t>
      </w:r>
    </w:p>
    <w:p w14:paraId="2F994793" w14:textId="77777777" w:rsidR="00821207" w:rsidRDefault="00821207" w:rsidP="00821207">
      <w:pPr>
        <w:numPr>
          <w:ilvl w:val="0"/>
          <w:numId w:val="41"/>
        </w:numPr>
        <w:autoSpaceDE w:val="0"/>
        <w:autoSpaceDN w:val="0"/>
        <w:adjustRightInd w:val="0"/>
        <w:spacing w:line="240" w:lineRule="auto"/>
        <w:rPr>
          <w:rFonts w:cs="ITCFranklinGothicStd-Book"/>
          <w:sz w:val="24"/>
          <w:szCs w:val="24"/>
        </w:rPr>
      </w:pPr>
      <w:r w:rsidRPr="00821207">
        <w:rPr>
          <w:rFonts w:cs="ITCFranklinGothicStd-Book"/>
          <w:sz w:val="24"/>
          <w:szCs w:val="24"/>
        </w:rPr>
        <w:t>Supporting broader public health initiatives, such as workforce enumeration, health department accreditation, and academic and training efforts.</w:t>
      </w:r>
    </w:p>
    <w:p w14:paraId="27AF5D0A" w14:textId="478A6CE8" w:rsidR="00A82016" w:rsidRDefault="00A82016" w:rsidP="00A82016">
      <w:pPr>
        <w:autoSpaceDE w:val="0"/>
        <w:autoSpaceDN w:val="0"/>
        <w:adjustRightInd w:val="0"/>
        <w:spacing w:line="240" w:lineRule="auto"/>
        <w:rPr>
          <w:rFonts w:cs="ITCFranklinGothicStd-Book"/>
          <w:sz w:val="24"/>
          <w:szCs w:val="24"/>
        </w:rPr>
      </w:pPr>
      <w:r w:rsidRPr="00A82016">
        <w:rPr>
          <w:rFonts w:cs="ITCFranklinGothicStd-Book"/>
          <w:sz w:val="24"/>
          <w:szCs w:val="24"/>
        </w:rPr>
        <w:t xml:space="preserve">An effort of this magnitude will result in a wide range of benefits to the EH </w:t>
      </w:r>
      <w:r w:rsidR="00A753B6">
        <w:rPr>
          <w:rFonts w:cs="ITCFranklinGothicStd-Book"/>
          <w:sz w:val="24"/>
          <w:szCs w:val="24"/>
        </w:rPr>
        <w:t>workforce</w:t>
      </w:r>
      <w:r w:rsidRPr="00A82016">
        <w:rPr>
          <w:rFonts w:cs="ITCFranklinGothicStd-Book"/>
          <w:sz w:val="24"/>
          <w:szCs w:val="24"/>
        </w:rPr>
        <w:t xml:space="preserve"> that span across the levels of government and beyond by reaching leaders and decision makers within non-governmental organizations, private industry, and other s</w:t>
      </w:r>
      <w:r w:rsidR="00A753B6">
        <w:rPr>
          <w:rFonts w:cs="ITCFranklinGothicStd-Book"/>
          <w:sz w:val="24"/>
          <w:szCs w:val="24"/>
        </w:rPr>
        <w:t>ectors. National level decision-</w:t>
      </w:r>
      <w:r w:rsidRPr="00A82016">
        <w:rPr>
          <w:rFonts w:cs="ITCFranklinGothicStd-Book"/>
          <w:sz w:val="24"/>
          <w:szCs w:val="24"/>
        </w:rPr>
        <w:t xml:space="preserve">makers and leaders will be provided with essential data for shaping </w:t>
      </w:r>
      <w:r w:rsidR="00D431F0">
        <w:rPr>
          <w:rFonts w:cs="ITCFranklinGothicStd-Book"/>
          <w:sz w:val="24"/>
          <w:szCs w:val="24"/>
        </w:rPr>
        <w:t xml:space="preserve">the </w:t>
      </w:r>
      <w:r w:rsidR="00F902E9">
        <w:rPr>
          <w:rFonts w:cs="ITCFranklinGothicStd-Book"/>
          <w:sz w:val="24"/>
          <w:szCs w:val="24"/>
        </w:rPr>
        <w:t xml:space="preserve">delivery of EH </w:t>
      </w:r>
      <w:r w:rsidR="00D431F0">
        <w:rPr>
          <w:rFonts w:cs="ITCFranklinGothicStd-Book"/>
          <w:sz w:val="24"/>
          <w:szCs w:val="24"/>
        </w:rPr>
        <w:t xml:space="preserve">services and preparing the workforce </w:t>
      </w:r>
      <w:r w:rsidRPr="00A82016">
        <w:rPr>
          <w:rFonts w:cs="ITCFranklinGothicStd-Book"/>
          <w:sz w:val="24"/>
          <w:szCs w:val="24"/>
        </w:rPr>
        <w:t xml:space="preserve">to address </w:t>
      </w:r>
      <w:r w:rsidR="00F902E9">
        <w:rPr>
          <w:rFonts w:cs="ITCFranklinGothicStd-Book"/>
          <w:sz w:val="24"/>
          <w:szCs w:val="24"/>
        </w:rPr>
        <w:t>current and future EH issues</w:t>
      </w:r>
      <w:r w:rsidRPr="00A82016">
        <w:rPr>
          <w:rFonts w:cs="ITCFranklinGothicStd-Book"/>
          <w:sz w:val="24"/>
          <w:szCs w:val="24"/>
        </w:rPr>
        <w:t xml:space="preserve">. </w:t>
      </w:r>
    </w:p>
    <w:p w14:paraId="28BB1B60" w14:textId="51AAD04C" w:rsidR="00C13959" w:rsidRPr="00D20211" w:rsidRDefault="00601F1A" w:rsidP="004976CC">
      <w:pPr>
        <w:pStyle w:val="Heading1"/>
        <w:pBdr>
          <w:bottom w:val="none" w:sz="0" w:space="0" w:color="auto"/>
        </w:pBdr>
        <w:rPr>
          <w:color w:val="auto"/>
        </w:rPr>
      </w:pPr>
      <w:bookmarkStart w:id="5" w:name="_Toc432356282"/>
      <w:r w:rsidRPr="00D20211">
        <w:rPr>
          <w:color w:val="auto"/>
        </w:rPr>
        <w:t>A.</w:t>
      </w:r>
      <w:r w:rsidR="004D21C9" w:rsidRPr="00D20211">
        <w:rPr>
          <w:color w:val="auto"/>
        </w:rPr>
        <w:t>3</w:t>
      </w:r>
      <w:r w:rsidR="008C0292" w:rsidRPr="00D20211">
        <w:rPr>
          <w:color w:val="auto"/>
        </w:rPr>
        <w:t>. Use</w:t>
      </w:r>
      <w:r w:rsidR="00B45002" w:rsidRPr="00D20211">
        <w:rPr>
          <w:color w:val="auto"/>
        </w:rPr>
        <w:t xml:space="preserve"> of Improved Information Technology and Burden Reduction</w:t>
      </w:r>
      <w:bookmarkEnd w:id="5"/>
    </w:p>
    <w:p w14:paraId="670FA626" w14:textId="77777777" w:rsidR="00F57377" w:rsidRDefault="00F57377" w:rsidP="00F57377">
      <w:pPr>
        <w:autoSpaceDE w:val="0"/>
        <w:autoSpaceDN w:val="0"/>
        <w:adjustRightInd w:val="0"/>
        <w:spacing w:line="240" w:lineRule="auto"/>
        <w:rPr>
          <w:rFonts w:cs="ITCFranklinGothicStd-Book"/>
          <w:sz w:val="24"/>
          <w:szCs w:val="24"/>
        </w:rPr>
      </w:pPr>
    </w:p>
    <w:p w14:paraId="4492A575" w14:textId="297438B9" w:rsidR="00925F13" w:rsidRPr="00F57377" w:rsidRDefault="00F57377" w:rsidP="00F57377">
      <w:pPr>
        <w:autoSpaceDE w:val="0"/>
        <w:autoSpaceDN w:val="0"/>
        <w:adjustRightInd w:val="0"/>
        <w:spacing w:line="240" w:lineRule="auto"/>
        <w:rPr>
          <w:rFonts w:cs="ITCFranklinGothicStd-Book"/>
          <w:sz w:val="24"/>
          <w:szCs w:val="24"/>
        </w:rPr>
      </w:pPr>
      <w:r>
        <w:rPr>
          <w:rFonts w:cs="ITCFranklinGothicStd-Book"/>
          <w:sz w:val="24"/>
          <w:szCs w:val="24"/>
        </w:rPr>
        <w:t>A web-based survey instrument</w:t>
      </w:r>
      <w:r w:rsidR="00E13DF4">
        <w:rPr>
          <w:rFonts w:cs="ITCFranklinGothicStd-Book"/>
          <w:sz w:val="24"/>
          <w:szCs w:val="24"/>
        </w:rPr>
        <w:t xml:space="preserve"> will be used for 100% of the responses</w:t>
      </w:r>
      <w:r w:rsidR="0076058B">
        <w:rPr>
          <w:rFonts w:cs="ITCFranklinGothicStd-Book"/>
          <w:sz w:val="24"/>
          <w:szCs w:val="24"/>
        </w:rPr>
        <w:t>. The survey</w:t>
      </w:r>
      <w:r>
        <w:rPr>
          <w:rFonts w:cs="ITCFranklinGothicStd-Book"/>
          <w:sz w:val="24"/>
          <w:szCs w:val="24"/>
        </w:rPr>
        <w:t xml:space="preserve"> </w:t>
      </w:r>
      <w:r w:rsidR="0076058B">
        <w:rPr>
          <w:rFonts w:cs="ITCFranklinGothicStd-Book"/>
          <w:sz w:val="24"/>
          <w:szCs w:val="24"/>
        </w:rPr>
        <w:t>i</w:t>
      </w:r>
      <w:r>
        <w:rPr>
          <w:rFonts w:cs="ITCFranklinGothicStd-Book"/>
          <w:sz w:val="24"/>
          <w:szCs w:val="24"/>
        </w:rPr>
        <w:t xml:space="preserve">s designed to </w:t>
      </w:r>
      <w:r w:rsidR="00640183">
        <w:rPr>
          <w:rFonts w:cs="ITCFranklinGothicStd-Book"/>
          <w:sz w:val="24"/>
          <w:szCs w:val="24"/>
        </w:rPr>
        <w:t>collect</w:t>
      </w:r>
      <w:r>
        <w:rPr>
          <w:rFonts w:cs="ITCFranklinGothicStd-Book"/>
          <w:sz w:val="24"/>
          <w:szCs w:val="24"/>
        </w:rPr>
        <w:t xml:space="preserve"> </w:t>
      </w:r>
      <w:r w:rsidR="00640183">
        <w:rPr>
          <w:rFonts w:cs="ITCFranklinGothicStd-Book"/>
          <w:sz w:val="24"/>
          <w:szCs w:val="24"/>
        </w:rPr>
        <w:t>only essential information to meet the o</w:t>
      </w:r>
      <w:r w:rsidR="005174A9">
        <w:rPr>
          <w:rFonts w:cs="ITCFranklinGothicStd-Book"/>
          <w:sz w:val="24"/>
          <w:szCs w:val="24"/>
        </w:rPr>
        <w:t xml:space="preserve">bjectives of the </w:t>
      </w:r>
      <w:r w:rsidR="003A3157">
        <w:rPr>
          <w:rFonts w:cs="ITCFranklinGothicStd-Book"/>
          <w:sz w:val="24"/>
          <w:szCs w:val="24"/>
        </w:rPr>
        <w:t xml:space="preserve">workforce </w:t>
      </w:r>
      <w:r w:rsidR="005174A9">
        <w:rPr>
          <w:rFonts w:cs="ITCFranklinGothicStd-Book"/>
          <w:sz w:val="24"/>
          <w:szCs w:val="24"/>
        </w:rPr>
        <w:t xml:space="preserve">assessment. The </w:t>
      </w:r>
      <w:r w:rsidR="00640183">
        <w:rPr>
          <w:rFonts w:cs="ITCFranklinGothicStd-Book"/>
          <w:sz w:val="24"/>
          <w:szCs w:val="24"/>
        </w:rPr>
        <w:t>information</w:t>
      </w:r>
      <w:r w:rsidR="005174A9">
        <w:rPr>
          <w:rFonts w:cs="ITCFranklinGothicStd-Book"/>
          <w:sz w:val="24"/>
          <w:szCs w:val="24"/>
        </w:rPr>
        <w:t xml:space="preserve"> being collected</w:t>
      </w:r>
      <w:r w:rsidR="003A3157">
        <w:rPr>
          <w:rFonts w:cs="ITCFranklinGothicStd-Book"/>
          <w:sz w:val="24"/>
          <w:szCs w:val="24"/>
        </w:rPr>
        <w:t xml:space="preserve"> was</w:t>
      </w:r>
      <w:r w:rsidR="00640183">
        <w:rPr>
          <w:rFonts w:cs="ITCFranklinGothicStd-Book"/>
          <w:sz w:val="24"/>
          <w:szCs w:val="24"/>
        </w:rPr>
        <w:t xml:space="preserve"> </w:t>
      </w:r>
      <w:r w:rsidR="00640183" w:rsidRPr="00E94218">
        <w:rPr>
          <w:rFonts w:cs="ITCFranklinGothicStd-Book"/>
          <w:sz w:val="24"/>
          <w:szCs w:val="24"/>
        </w:rPr>
        <w:t xml:space="preserve">reviewed by </w:t>
      </w:r>
      <w:r w:rsidR="00E94218">
        <w:rPr>
          <w:rFonts w:cs="ITCFranklinGothicStd-Book"/>
          <w:sz w:val="24"/>
          <w:szCs w:val="24"/>
        </w:rPr>
        <w:t>four</w:t>
      </w:r>
      <w:r w:rsidR="00E94218" w:rsidRPr="00E94218">
        <w:rPr>
          <w:rFonts w:cs="ITCFranklinGothicStd-Book"/>
          <w:sz w:val="24"/>
          <w:szCs w:val="24"/>
        </w:rPr>
        <w:t xml:space="preserve"> </w:t>
      </w:r>
      <w:r w:rsidR="00640183" w:rsidRPr="00E94218">
        <w:rPr>
          <w:rFonts w:cs="ITCFranklinGothicStd-Book"/>
          <w:sz w:val="24"/>
          <w:szCs w:val="24"/>
        </w:rPr>
        <w:t xml:space="preserve">EH experts and the instrument was pilot tested by </w:t>
      </w:r>
      <w:r w:rsidR="00E94218">
        <w:rPr>
          <w:rFonts w:cs="ITCFranklinGothicStd-Book"/>
          <w:sz w:val="24"/>
          <w:szCs w:val="24"/>
        </w:rPr>
        <w:t>six</w:t>
      </w:r>
      <w:r w:rsidR="00CD595E">
        <w:rPr>
          <w:rFonts w:cs="ITCFranklinGothicStd-Book"/>
          <w:sz w:val="24"/>
          <w:szCs w:val="24"/>
        </w:rPr>
        <w:t xml:space="preserve"> EH</w:t>
      </w:r>
      <w:r w:rsidR="00640183" w:rsidRPr="00E94218">
        <w:rPr>
          <w:rFonts w:cs="ITCFranklinGothicStd-Book"/>
          <w:sz w:val="24"/>
          <w:szCs w:val="24"/>
        </w:rPr>
        <w:t xml:space="preserve"> professionals. Those reviewers and testers prov</w:t>
      </w:r>
      <w:r w:rsidR="00640183">
        <w:rPr>
          <w:rFonts w:cs="ITCFranklinGothicStd-Book"/>
          <w:sz w:val="24"/>
          <w:szCs w:val="24"/>
        </w:rPr>
        <w:t xml:space="preserve">ided recommendations for ensuring only necessary and important information is collected. Additionally, the survey </w:t>
      </w:r>
      <w:r w:rsidR="003A3157">
        <w:rPr>
          <w:rFonts w:cs="ITCFranklinGothicStd-Book"/>
          <w:sz w:val="24"/>
          <w:szCs w:val="24"/>
        </w:rPr>
        <w:t>was programmed with skip logic</w:t>
      </w:r>
      <w:r w:rsidR="00640183">
        <w:rPr>
          <w:rFonts w:cs="ITCFranklinGothicStd-Book"/>
          <w:sz w:val="24"/>
          <w:szCs w:val="24"/>
        </w:rPr>
        <w:t xml:space="preserve"> to ensure respondents are prompted to only respond to applicable items.</w:t>
      </w:r>
    </w:p>
    <w:p w14:paraId="32CBF19C" w14:textId="077B81EF" w:rsidR="00B45002" w:rsidRPr="00D20211" w:rsidRDefault="00601F1A" w:rsidP="004D7237">
      <w:pPr>
        <w:pStyle w:val="Heading1"/>
        <w:pBdr>
          <w:bottom w:val="none" w:sz="0" w:space="0" w:color="auto"/>
        </w:pBdr>
        <w:rPr>
          <w:color w:val="auto"/>
        </w:rPr>
      </w:pPr>
      <w:bookmarkStart w:id="6" w:name="_Toc432356283"/>
      <w:r w:rsidRPr="00D20211">
        <w:rPr>
          <w:color w:val="auto"/>
        </w:rPr>
        <w:t>A.</w:t>
      </w:r>
      <w:r w:rsidR="004D21C9" w:rsidRPr="00D20211">
        <w:rPr>
          <w:color w:val="auto"/>
        </w:rPr>
        <w:t>4</w:t>
      </w:r>
      <w:r w:rsidR="008C0292" w:rsidRPr="00D20211">
        <w:rPr>
          <w:color w:val="auto"/>
        </w:rPr>
        <w:t>. Efforts</w:t>
      </w:r>
      <w:r w:rsidR="00B45002" w:rsidRPr="00D20211">
        <w:rPr>
          <w:color w:val="auto"/>
        </w:rPr>
        <w:t xml:space="preserve"> to Identify Duplication and Use of Similar Information</w:t>
      </w:r>
      <w:bookmarkEnd w:id="6"/>
    </w:p>
    <w:p w14:paraId="241D43FC" w14:textId="77777777" w:rsidR="004D7237" w:rsidRPr="00D20211" w:rsidRDefault="004D7237" w:rsidP="004D7237"/>
    <w:p w14:paraId="3AA61001" w14:textId="1F924E31" w:rsidR="00BF0B0C" w:rsidRDefault="00AF2591" w:rsidP="00AF2591">
      <w:pPr>
        <w:autoSpaceDE w:val="0"/>
        <w:autoSpaceDN w:val="0"/>
        <w:adjustRightInd w:val="0"/>
        <w:spacing w:line="240" w:lineRule="auto"/>
        <w:rPr>
          <w:rFonts w:cs="ITCFranklinGothicStd-Book"/>
          <w:sz w:val="24"/>
          <w:szCs w:val="24"/>
        </w:rPr>
      </w:pPr>
      <w:r>
        <w:rPr>
          <w:rFonts w:cs="ITCFranklinGothicStd-Book"/>
          <w:sz w:val="24"/>
          <w:szCs w:val="24"/>
        </w:rPr>
        <w:t>A review of government websites, publication database</w:t>
      </w:r>
      <w:r w:rsidR="005174A9">
        <w:rPr>
          <w:rFonts w:cs="ITCFranklinGothicStd-Book"/>
          <w:sz w:val="24"/>
          <w:szCs w:val="24"/>
        </w:rPr>
        <w:t>s</w:t>
      </w:r>
      <w:r>
        <w:rPr>
          <w:rFonts w:cs="ITCFranklinGothicStd-Book"/>
          <w:sz w:val="24"/>
          <w:szCs w:val="24"/>
        </w:rPr>
        <w:t xml:space="preserve"> and general web-based searches, and consultation with non-governmental organizations revealed no duplication of effort for collecting this information. </w:t>
      </w:r>
      <w:r w:rsidR="00BF0B0C">
        <w:rPr>
          <w:rFonts w:cs="ITCFranklinGothicStd-Book"/>
          <w:sz w:val="24"/>
          <w:szCs w:val="24"/>
        </w:rPr>
        <w:t>In addition, the National Environmental Health Association</w:t>
      </w:r>
      <w:r w:rsidR="00523CED">
        <w:rPr>
          <w:rFonts w:cs="ITCFranklinGothicStd-Book"/>
          <w:sz w:val="24"/>
          <w:szCs w:val="24"/>
        </w:rPr>
        <w:t xml:space="preserve"> (NEHA)</w:t>
      </w:r>
      <w:r w:rsidR="00BF0B0C">
        <w:rPr>
          <w:rFonts w:cs="ITCFranklinGothicStd-Book"/>
          <w:sz w:val="24"/>
          <w:szCs w:val="24"/>
        </w:rPr>
        <w:t>, a co</w:t>
      </w:r>
      <w:r w:rsidR="004F58E9">
        <w:rPr>
          <w:rFonts w:cs="ITCFranklinGothicStd-Book"/>
          <w:sz w:val="24"/>
          <w:szCs w:val="24"/>
        </w:rPr>
        <w:t>ntractor supporting</w:t>
      </w:r>
      <w:r w:rsidR="00BF0B0C">
        <w:rPr>
          <w:rFonts w:cs="ITCFranklinGothicStd-Book"/>
          <w:sz w:val="24"/>
          <w:szCs w:val="24"/>
        </w:rPr>
        <w:t xml:space="preserve"> this information</w:t>
      </w:r>
      <w:r w:rsidR="004F58E9">
        <w:rPr>
          <w:rFonts w:cs="ITCFranklinGothicStd-Book"/>
          <w:sz w:val="24"/>
          <w:szCs w:val="24"/>
        </w:rPr>
        <w:t xml:space="preserve"> collection</w:t>
      </w:r>
      <w:r w:rsidR="00BF0B0C">
        <w:rPr>
          <w:rFonts w:cs="ITCFranklinGothicStd-Book"/>
          <w:sz w:val="24"/>
          <w:szCs w:val="24"/>
        </w:rPr>
        <w:t xml:space="preserve">, recognizes the important need for detailed information about the </w:t>
      </w:r>
      <w:r w:rsidR="004F58E9">
        <w:rPr>
          <w:rFonts w:cs="ITCFranklinGothicStd-Book"/>
          <w:sz w:val="24"/>
          <w:szCs w:val="24"/>
        </w:rPr>
        <w:t>EH</w:t>
      </w:r>
      <w:r w:rsidR="00BF0B0C">
        <w:rPr>
          <w:rFonts w:cs="ITCFranklinGothicStd-Book"/>
          <w:sz w:val="24"/>
          <w:szCs w:val="24"/>
        </w:rPr>
        <w:t xml:space="preserve"> workforce. </w:t>
      </w:r>
    </w:p>
    <w:p w14:paraId="5DED3C15" w14:textId="08955D59" w:rsidR="00AF2591" w:rsidRPr="00AF2591" w:rsidRDefault="00BF0B0C" w:rsidP="00AF2591">
      <w:pPr>
        <w:autoSpaceDE w:val="0"/>
        <w:autoSpaceDN w:val="0"/>
        <w:adjustRightInd w:val="0"/>
        <w:spacing w:line="240" w:lineRule="auto"/>
        <w:rPr>
          <w:rFonts w:cs="ITCFranklinGothicStd-Book"/>
          <w:sz w:val="24"/>
          <w:szCs w:val="24"/>
        </w:rPr>
      </w:pPr>
      <w:r>
        <w:rPr>
          <w:rFonts w:cs="ITCFranklinGothicStd-Book"/>
          <w:sz w:val="24"/>
          <w:szCs w:val="24"/>
        </w:rPr>
        <w:t>T</w:t>
      </w:r>
      <w:r w:rsidR="00AF2591">
        <w:rPr>
          <w:rFonts w:cs="ITCFranklinGothicStd-Book"/>
          <w:sz w:val="24"/>
          <w:szCs w:val="24"/>
        </w:rPr>
        <w:t>he National Association of County and City Health Officials (NACCHO)</w:t>
      </w:r>
      <w:r w:rsidR="006E74A4">
        <w:rPr>
          <w:rFonts w:cs="ITCFranklinGothicStd-Book"/>
          <w:sz w:val="24"/>
          <w:szCs w:val="24"/>
        </w:rPr>
        <w:t>,</w:t>
      </w:r>
      <w:r w:rsidR="00AF2591">
        <w:rPr>
          <w:rFonts w:cs="ITCFranklinGothicStd-Book"/>
          <w:sz w:val="24"/>
          <w:szCs w:val="24"/>
        </w:rPr>
        <w:t xml:space="preserve"> Association of State and Territorial Health Officials (ASTHO), and </w:t>
      </w:r>
      <w:r w:rsidR="00AF2591" w:rsidRPr="00471087">
        <w:rPr>
          <w:rFonts w:cs="ITCFranklinGothicStd-Book"/>
          <w:sz w:val="24"/>
          <w:szCs w:val="24"/>
        </w:rPr>
        <w:t>N</w:t>
      </w:r>
      <w:r w:rsidR="00471087" w:rsidRPr="00471087">
        <w:rPr>
          <w:rFonts w:cs="ITCFranklinGothicStd-Book"/>
          <w:sz w:val="24"/>
          <w:szCs w:val="24"/>
        </w:rPr>
        <w:t xml:space="preserve">ational Indian </w:t>
      </w:r>
      <w:r w:rsidR="00AF2591" w:rsidRPr="00471087">
        <w:rPr>
          <w:rFonts w:cs="ITCFranklinGothicStd-Book"/>
          <w:sz w:val="24"/>
          <w:szCs w:val="24"/>
        </w:rPr>
        <w:t>H</w:t>
      </w:r>
      <w:r w:rsidR="00471087" w:rsidRPr="00471087">
        <w:rPr>
          <w:rFonts w:cs="ITCFranklinGothicStd-Book"/>
          <w:sz w:val="24"/>
          <w:szCs w:val="24"/>
        </w:rPr>
        <w:t xml:space="preserve">ealth </w:t>
      </w:r>
      <w:r w:rsidR="00AF2591" w:rsidRPr="00471087">
        <w:rPr>
          <w:rFonts w:cs="ITCFranklinGothicStd-Book"/>
          <w:sz w:val="24"/>
          <w:szCs w:val="24"/>
        </w:rPr>
        <w:t>B</w:t>
      </w:r>
      <w:r w:rsidR="00471087" w:rsidRPr="00471087">
        <w:rPr>
          <w:rFonts w:cs="ITCFranklinGothicStd-Book"/>
          <w:sz w:val="24"/>
          <w:szCs w:val="24"/>
        </w:rPr>
        <w:t xml:space="preserve">oard </w:t>
      </w:r>
      <w:r w:rsidR="00377868">
        <w:rPr>
          <w:rFonts w:cs="ITCFranklinGothicStd-Book"/>
          <w:sz w:val="24"/>
          <w:szCs w:val="24"/>
        </w:rPr>
        <w:t xml:space="preserve">(NIHB) </w:t>
      </w:r>
      <w:r w:rsidR="007A0F74">
        <w:rPr>
          <w:rFonts w:cs="ITCFranklinGothicStd-Book"/>
          <w:sz w:val="24"/>
          <w:szCs w:val="24"/>
        </w:rPr>
        <w:t xml:space="preserve">already </w:t>
      </w:r>
      <w:r w:rsidR="00471087">
        <w:rPr>
          <w:rFonts w:cs="ITCFranklinGothicStd-Book"/>
          <w:sz w:val="24"/>
          <w:szCs w:val="24"/>
        </w:rPr>
        <w:t xml:space="preserve">produce </w:t>
      </w:r>
      <w:r w:rsidR="006E74A4">
        <w:rPr>
          <w:rFonts w:cs="ITCFranklinGothicStd-Book"/>
          <w:sz w:val="24"/>
          <w:szCs w:val="24"/>
        </w:rPr>
        <w:t xml:space="preserve">health department </w:t>
      </w:r>
      <w:r w:rsidR="00471087">
        <w:rPr>
          <w:rFonts w:cs="ITCFranklinGothicStd-Book"/>
          <w:sz w:val="24"/>
          <w:szCs w:val="24"/>
        </w:rPr>
        <w:t xml:space="preserve">profiles </w:t>
      </w:r>
      <w:r w:rsidR="006E74A4">
        <w:rPr>
          <w:rFonts w:cs="ITCFranklinGothicStd-Book"/>
          <w:sz w:val="24"/>
          <w:szCs w:val="24"/>
        </w:rPr>
        <w:t>that</w:t>
      </w:r>
      <w:r w:rsidR="00AF2591">
        <w:rPr>
          <w:rFonts w:cs="ITCFranklinGothicStd-Book"/>
          <w:sz w:val="24"/>
          <w:szCs w:val="24"/>
        </w:rPr>
        <w:t xml:space="preserve"> report general information </w:t>
      </w:r>
      <w:r w:rsidR="00471087">
        <w:rPr>
          <w:rFonts w:cs="ITCFranklinGothicStd-Book"/>
          <w:sz w:val="24"/>
          <w:szCs w:val="24"/>
        </w:rPr>
        <w:t xml:space="preserve">about </w:t>
      </w:r>
      <w:r w:rsidR="00AF2591">
        <w:rPr>
          <w:rFonts w:cs="ITCFranklinGothicStd-Book"/>
          <w:sz w:val="24"/>
          <w:szCs w:val="24"/>
        </w:rPr>
        <w:t>EH staff</w:t>
      </w:r>
      <w:r w:rsidR="00471087">
        <w:rPr>
          <w:rFonts w:cs="ITCFranklinGothicStd-Book"/>
          <w:sz w:val="24"/>
          <w:szCs w:val="24"/>
        </w:rPr>
        <w:t xml:space="preserve">ing levels and the </w:t>
      </w:r>
      <w:r w:rsidR="00AF2591">
        <w:rPr>
          <w:rFonts w:cs="ITCFranklinGothicStd-Book"/>
          <w:sz w:val="24"/>
          <w:szCs w:val="24"/>
        </w:rPr>
        <w:t xml:space="preserve">type of EH services </w:t>
      </w:r>
      <w:r w:rsidR="00471087">
        <w:rPr>
          <w:rFonts w:cs="ITCFranklinGothicStd-Book"/>
          <w:sz w:val="24"/>
          <w:szCs w:val="24"/>
        </w:rPr>
        <w:t xml:space="preserve">departments are </w:t>
      </w:r>
      <w:r w:rsidR="00AF2591">
        <w:rPr>
          <w:rFonts w:cs="ITCFranklinGothicStd-Book"/>
          <w:sz w:val="24"/>
          <w:szCs w:val="24"/>
        </w:rPr>
        <w:t>provid</w:t>
      </w:r>
      <w:r w:rsidR="00471087">
        <w:rPr>
          <w:rFonts w:cs="ITCFranklinGothicStd-Book"/>
          <w:sz w:val="24"/>
          <w:szCs w:val="24"/>
        </w:rPr>
        <w:t>ing</w:t>
      </w:r>
      <w:r w:rsidR="00AF2591">
        <w:rPr>
          <w:rFonts w:cs="ITCFranklinGothicStd-Book"/>
          <w:sz w:val="24"/>
          <w:szCs w:val="24"/>
        </w:rPr>
        <w:t xml:space="preserve">. </w:t>
      </w:r>
      <w:r w:rsidR="00471087">
        <w:rPr>
          <w:rFonts w:cs="ITCFranklinGothicStd-Book"/>
          <w:sz w:val="24"/>
          <w:szCs w:val="24"/>
        </w:rPr>
        <w:t>Th</w:t>
      </w:r>
      <w:r w:rsidR="00E60FFB">
        <w:rPr>
          <w:rFonts w:cs="ITCFranklinGothicStd-Book"/>
          <w:sz w:val="24"/>
          <w:szCs w:val="24"/>
        </w:rPr>
        <w:t>e</w:t>
      </w:r>
      <w:r w:rsidR="00471087">
        <w:rPr>
          <w:rFonts w:cs="ITCFranklinGothicStd-Book"/>
          <w:sz w:val="24"/>
          <w:szCs w:val="24"/>
        </w:rPr>
        <w:t xml:space="preserve"> proposed collection of information span</w:t>
      </w:r>
      <w:r w:rsidR="004F58E9">
        <w:rPr>
          <w:rFonts w:cs="ITCFranklinGothicStd-Book"/>
          <w:sz w:val="24"/>
          <w:szCs w:val="24"/>
        </w:rPr>
        <w:t>s</w:t>
      </w:r>
      <w:r w:rsidR="00471087">
        <w:rPr>
          <w:rFonts w:cs="ITCFranklinGothicStd-Book"/>
          <w:sz w:val="24"/>
          <w:szCs w:val="24"/>
        </w:rPr>
        <w:t xml:space="preserve"> </w:t>
      </w:r>
      <w:r w:rsidR="006E74A4">
        <w:rPr>
          <w:rFonts w:cs="ITCFranklinGothicStd-Book"/>
          <w:sz w:val="24"/>
          <w:szCs w:val="24"/>
        </w:rPr>
        <w:t>beyond the scope of these reports by</w:t>
      </w:r>
      <w:r w:rsidR="00471087">
        <w:rPr>
          <w:rFonts w:cs="ITCFranklinGothicStd-Book"/>
          <w:sz w:val="24"/>
          <w:szCs w:val="24"/>
        </w:rPr>
        <w:t xml:space="preserve"> focusing directly on the </w:t>
      </w:r>
      <w:r w:rsidR="002D4F81">
        <w:rPr>
          <w:rFonts w:cs="ITCFranklinGothicStd-Book"/>
          <w:sz w:val="24"/>
          <w:szCs w:val="24"/>
        </w:rPr>
        <w:t>EH</w:t>
      </w:r>
      <w:r w:rsidR="00471087">
        <w:rPr>
          <w:rFonts w:cs="ITCFranklinGothicStd-Book"/>
          <w:sz w:val="24"/>
          <w:szCs w:val="24"/>
        </w:rPr>
        <w:t xml:space="preserve"> </w:t>
      </w:r>
      <w:r w:rsidR="006E74A4">
        <w:rPr>
          <w:rFonts w:cs="ITCFranklinGothicStd-Book"/>
          <w:sz w:val="24"/>
          <w:szCs w:val="24"/>
        </w:rPr>
        <w:t xml:space="preserve">workforce </w:t>
      </w:r>
      <w:r w:rsidR="00471087">
        <w:rPr>
          <w:rFonts w:cs="ITCFranklinGothicStd-Book"/>
          <w:sz w:val="24"/>
          <w:szCs w:val="24"/>
        </w:rPr>
        <w:t xml:space="preserve">to </w:t>
      </w:r>
      <w:r w:rsidR="00AF2591">
        <w:rPr>
          <w:rFonts w:cs="ITCFranklinGothicStd-Book"/>
          <w:sz w:val="24"/>
          <w:szCs w:val="24"/>
        </w:rPr>
        <w:t>col</w:t>
      </w:r>
      <w:r w:rsidR="00741AA1">
        <w:rPr>
          <w:rFonts w:cs="ITCFranklinGothicStd-Book"/>
          <w:sz w:val="24"/>
          <w:szCs w:val="24"/>
        </w:rPr>
        <w:t xml:space="preserve">lect detailed information at the </w:t>
      </w:r>
      <w:r w:rsidR="00471087">
        <w:rPr>
          <w:rFonts w:cs="ITCFranklinGothicStd-Book"/>
          <w:sz w:val="24"/>
          <w:szCs w:val="24"/>
        </w:rPr>
        <w:t>level of the professional</w:t>
      </w:r>
      <w:r w:rsidR="006E74A4">
        <w:rPr>
          <w:rFonts w:cs="ITCFranklinGothicStd-Book"/>
          <w:sz w:val="24"/>
          <w:szCs w:val="24"/>
        </w:rPr>
        <w:t>.</w:t>
      </w:r>
      <w:r w:rsidR="00AF2591">
        <w:rPr>
          <w:rFonts w:cs="ITCFranklinGothicStd-Book"/>
          <w:sz w:val="24"/>
          <w:szCs w:val="24"/>
        </w:rPr>
        <w:t xml:space="preserve"> </w:t>
      </w:r>
      <w:r w:rsidR="004F58E9">
        <w:rPr>
          <w:rFonts w:cs="ITCFranklinGothicStd-Book"/>
          <w:sz w:val="24"/>
          <w:szCs w:val="24"/>
        </w:rPr>
        <w:t xml:space="preserve">This is the first effort </w:t>
      </w:r>
      <w:r w:rsidR="00F64DF1">
        <w:rPr>
          <w:rFonts w:cs="ITCFranklinGothicStd-Book"/>
          <w:sz w:val="24"/>
          <w:szCs w:val="24"/>
        </w:rPr>
        <w:t xml:space="preserve">of this magnitude designed </w:t>
      </w:r>
      <w:r w:rsidR="004F58E9">
        <w:rPr>
          <w:rFonts w:cs="ITCFranklinGothicStd-Book"/>
          <w:sz w:val="24"/>
          <w:szCs w:val="24"/>
        </w:rPr>
        <w:t xml:space="preserve">to collect this essential information about the EH workforce.  </w:t>
      </w:r>
      <w:r w:rsidR="00AF2591">
        <w:rPr>
          <w:rFonts w:cs="ITCFranklinGothicStd-Book"/>
          <w:sz w:val="24"/>
          <w:szCs w:val="24"/>
        </w:rPr>
        <w:t xml:space="preserve"> </w:t>
      </w:r>
    </w:p>
    <w:p w14:paraId="5500B6CD" w14:textId="717B79EA" w:rsidR="00B45002" w:rsidRPr="00D20211" w:rsidRDefault="00601F1A" w:rsidP="00601F1A">
      <w:pPr>
        <w:pStyle w:val="Heading1"/>
        <w:pBdr>
          <w:bottom w:val="none" w:sz="0" w:space="0" w:color="auto"/>
        </w:pBdr>
        <w:rPr>
          <w:color w:val="auto"/>
        </w:rPr>
      </w:pPr>
      <w:bookmarkStart w:id="7" w:name="_Toc432356284"/>
      <w:r w:rsidRPr="00D20211">
        <w:rPr>
          <w:color w:val="auto"/>
        </w:rPr>
        <w:t>A.</w:t>
      </w:r>
      <w:r w:rsidR="004D21C9" w:rsidRPr="00D20211">
        <w:rPr>
          <w:color w:val="auto"/>
        </w:rPr>
        <w:t>5</w:t>
      </w:r>
      <w:r w:rsidR="008C0292" w:rsidRPr="00D20211">
        <w:rPr>
          <w:color w:val="auto"/>
        </w:rPr>
        <w:t>. Impact</w:t>
      </w:r>
      <w:r w:rsidR="00B45002" w:rsidRPr="00D20211">
        <w:rPr>
          <w:color w:val="auto"/>
        </w:rPr>
        <w:t xml:space="preserve"> on Small Businesses or Other Small Entities</w:t>
      </w:r>
      <w:bookmarkEnd w:id="7"/>
    </w:p>
    <w:p w14:paraId="52BDAC51" w14:textId="77777777" w:rsidR="008C0292" w:rsidRDefault="008C0292" w:rsidP="00CB0BD9">
      <w:pPr>
        <w:autoSpaceDE w:val="0"/>
        <w:autoSpaceDN w:val="0"/>
        <w:adjustRightInd w:val="0"/>
        <w:spacing w:line="240" w:lineRule="auto"/>
        <w:rPr>
          <w:rFonts w:cs="ITCFranklinGothicStd-Book"/>
          <w:sz w:val="24"/>
          <w:szCs w:val="24"/>
        </w:rPr>
      </w:pPr>
    </w:p>
    <w:p w14:paraId="35DE3348" w14:textId="6207726D" w:rsidR="00943FCF" w:rsidRPr="00D20211" w:rsidRDefault="00F16DA0" w:rsidP="00CB0BD9">
      <w:pPr>
        <w:autoSpaceDE w:val="0"/>
        <w:autoSpaceDN w:val="0"/>
        <w:adjustRightInd w:val="0"/>
        <w:spacing w:line="240" w:lineRule="auto"/>
        <w:rPr>
          <w:rFonts w:cs="ITCFranklinGothicStd-Book"/>
          <w:sz w:val="24"/>
          <w:szCs w:val="24"/>
        </w:rPr>
      </w:pPr>
      <w:r w:rsidRPr="00D20211">
        <w:rPr>
          <w:rFonts w:cs="ITCFranklinGothicStd-Book"/>
          <w:sz w:val="24"/>
          <w:szCs w:val="24"/>
        </w:rPr>
        <w:t>This data collection will not involve small businesses.</w:t>
      </w:r>
    </w:p>
    <w:p w14:paraId="1771BB1B" w14:textId="622EA41F" w:rsidR="00B45002" w:rsidRPr="00D20211" w:rsidRDefault="00601F1A" w:rsidP="00601F1A">
      <w:pPr>
        <w:pStyle w:val="Heading1"/>
        <w:pBdr>
          <w:bottom w:val="none" w:sz="0" w:space="0" w:color="auto"/>
        </w:pBdr>
        <w:rPr>
          <w:color w:val="auto"/>
        </w:rPr>
      </w:pPr>
      <w:bookmarkStart w:id="8" w:name="_Toc432356285"/>
      <w:r w:rsidRPr="00D20211">
        <w:rPr>
          <w:color w:val="auto"/>
        </w:rPr>
        <w:t>A.</w:t>
      </w:r>
      <w:r w:rsidR="004D21C9" w:rsidRPr="00D20211">
        <w:rPr>
          <w:color w:val="auto"/>
        </w:rPr>
        <w:t>6</w:t>
      </w:r>
      <w:r w:rsidR="008C0292" w:rsidRPr="00D20211">
        <w:rPr>
          <w:color w:val="auto"/>
        </w:rPr>
        <w:t>. Consequences</w:t>
      </w:r>
      <w:r w:rsidR="00B45002" w:rsidRPr="00D20211">
        <w:rPr>
          <w:color w:val="auto"/>
        </w:rPr>
        <w:t xml:space="preserve"> of Collecting the Information Less Frequently</w:t>
      </w:r>
      <w:bookmarkEnd w:id="8"/>
    </w:p>
    <w:p w14:paraId="4B9CAA11" w14:textId="77777777" w:rsidR="00F82AF2" w:rsidRPr="00D20211" w:rsidRDefault="00F82AF2" w:rsidP="002930EC">
      <w:pPr>
        <w:spacing w:after="0" w:line="240" w:lineRule="auto"/>
        <w:rPr>
          <w:sz w:val="24"/>
          <w:szCs w:val="24"/>
        </w:rPr>
      </w:pPr>
    </w:p>
    <w:p w14:paraId="5429A3AD" w14:textId="7678490E" w:rsidR="00DA6118" w:rsidRPr="00D20211" w:rsidRDefault="00814D4A" w:rsidP="00CF766A">
      <w:pPr>
        <w:autoSpaceDE w:val="0"/>
        <w:autoSpaceDN w:val="0"/>
        <w:adjustRightInd w:val="0"/>
        <w:spacing w:line="240" w:lineRule="auto"/>
        <w:rPr>
          <w:rFonts w:cs="ITCFranklinGothicStd-Book"/>
          <w:sz w:val="24"/>
          <w:szCs w:val="24"/>
        </w:rPr>
      </w:pPr>
      <w:r>
        <w:rPr>
          <w:rFonts w:cs="ITCFranklinGothicStd-Book"/>
          <w:sz w:val="24"/>
          <w:szCs w:val="24"/>
        </w:rPr>
        <w:t xml:space="preserve">This one-time assessment will collect the </w:t>
      </w:r>
      <w:r w:rsidR="00660E77">
        <w:rPr>
          <w:rFonts w:cs="ITCFranklinGothicStd-Book"/>
          <w:sz w:val="24"/>
          <w:szCs w:val="24"/>
        </w:rPr>
        <w:t>minimum</w:t>
      </w:r>
      <w:r>
        <w:rPr>
          <w:rFonts w:cs="ITCFranklinGothicStd-Book"/>
          <w:sz w:val="24"/>
          <w:szCs w:val="24"/>
        </w:rPr>
        <w:t xml:space="preserve"> amount of information</w:t>
      </w:r>
      <w:r w:rsidR="00660E77">
        <w:rPr>
          <w:rFonts w:cs="ITCFranklinGothicStd-Book"/>
          <w:sz w:val="24"/>
          <w:szCs w:val="24"/>
        </w:rPr>
        <w:t xml:space="preserve"> needed</w:t>
      </w:r>
      <w:r>
        <w:rPr>
          <w:rFonts w:cs="ITCFranklinGothicStd-Book"/>
          <w:sz w:val="24"/>
          <w:szCs w:val="24"/>
        </w:rPr>
        <w:t xml:space="preserve"> to </w:t>
      </w:r>
      <w:r w:rsidR="008A0E33">
        <w:rPr>
          <w:rFonts w:cs="ITCFranklinGothicStd-Book"/>
          <w:sz w:val="24"/>
          <w:szCs w:val="24"/>
        </w:rPr>
        <w:t>clear</w:t>
      </w:r>
      <w:r>
        <w:rPr>
          <w:rFonts w:cs="ITCFranklinGothicStd-Book"/>
          <w:sz w:val="24"/>
          <w:szCs w:val="24"/>
        </w:rPr>
        <w:t>ly</w:t>
      </w:r>
      <w:r w:rsidRPr="00814D4A">
        <w:rPr>
          <w:rFonts w:cs="ITCFranklinGothicStd-Book"/>
          <w:sz w:val="24"/>
          <w:szCs w:val="24"/>
        </w:rPr>
        <w:t xml:space="preserve"> understand </w:t>
      </w:r>
      <w:r>
        <w:rPr>
          <w:rFonts w:cs="ITCFranklinGothicStd-Book"/>
          <w:sz w:val="24"/>
          <w:szCs w:val="24"/>
        </w:rPr>
        <w:t xml:space="preserve">current </w:t>
      </w:r>
      <w:r w:rsidRPr="00814D4A">
        <w:rPr>
          <w:rFonts w:cs="ITCFranklinGothicStd-Book"/>
          <w:sz w:val="24"/>
          <w:szCs w:val="24"/>
        </w:rPr>
        <w:t xml:space="preserve">EH workforce characteristics, </w:t>
      </w:r>
      <w:r w:rsidR="00E23BA5">
        <w:rPr>
          <w:rFonts w:cs="ITCFranklinGothicStd-Book"/>
          <w:sz w:val="24"/>
          <w:szCs w:val="24"/>
        </w:rPr>
        <w:t>areas of practice</w:t>
      </w:r>
      <w:r w:rsidRPr="00814D4A">
        <w:rPr>
          <w:rFonts w:cs="ITCFranklinGothicStd-Book"/>
          <w:sz w:val="24"/>
          <w:szCs w:val="24"/>
        </w:rPr>
        <w:t xml:space="preserve">, and </w:t>
      </w:r>
      <w:r w:rsidR="00E23BA5">
        <w:rPr>
          <w:rFonts w:cs="ITCFranklinGothicStd-Book"/>
          <w:sz w:val="24"/>
          <w:szCs w:val="24"/>
        </w:rPr>
        <w:t>challenges and needs</w:t>
      </w:r>
      <w:r w:rsidR="000A5AC6" w:rsidRPr="00814D4A">
        <w:rPr>
          <w:rFonts w:cs="ITCFranklinGothicStd-Book"/>
          <w:sz w:val="24"/>
          <w:szCs w:val="24"/>
        </w:rPr>
        <w:t>.</w:t>
      </w:r>
      <w:r>
        <w:rPr>
          <w:rFonts w:cs="ITCFranklinGothicStd-Book"/>
          <w:sz w:val="24"/>
          <w:szCs w:val="24"/>
        </w:rPr>
        <w:t xml:space="preserve"> </w:t>
      </w:r>
      <w:r w:rsidR="00CF766A" w:rsidRPr="00D20211">
        <w:rPr>
          <w:rFonts w:cs="ITCFranklinGothicStd-Book"/>
          <w:sz w:val="24"/>
          <w:szCs w:val="24"/>
        </w:rPr>
        <w:t>I</w:t>
      </w:r>
      <w:r w:rsidR="00F82AF2" w:rsidRPr="00D20211">
        <w:rPr>
          <w:rFonts w:cs="ITCFranklinGothicStd-Book"/>
          <w:sz w:val="24"/>
          <w:szCs w:val="24"/>
        </w:rPr>
        <w:t xml:space="preserve">f the collection is </w:t>
      </w:r>
      <w:r>
        <w:rPr>
          <w:rFonts w:cs="ITCFranklinGothicStd-Book"/>
          <w:sz w:val="24"/>
          <w:szCs w:val="24"/>
        </w:rPr>
        <w:t>not conducted</w:t>
      </w:r>
      <w:r w:rsidR="00CF766A" w:rsidRPr="00D20211">
        <w:rPr>
          <w:rFonts w:cs="ITCFranklinGothicStd-Book"/>
          <w:sz w:val="24"/>
          <w:szCs w:val="24"/>
        </w:rPr>
        <w:t xml:space="preserve">, </w:t>
      </w:r>
      <w:r>
        <w:rPr>
          <w:rFonts w:cs="ITCFranklinGothicStd-Book"/>
          <w:sz w:val="24"/>
          <w:szCs w:val="24"/>
        </w:rPr>
        <w:t>there will be limitations in the information needed to accurately support and enhance the EH workforce</w:t>
      </w:r>
      <w:r w:rsidR="00CF766A" w:rsidRPr="00D20211">
        <w:rPr>
          <w:rFonts w:cs="ITCFranklinGothicStd-Book"/>
          <w:sz w:val="24"/>
          <w:szCs w:val="24"/>
        </w:rPr>
        <w:t>.</w:t>
      </w:r>
      <w:r>
        <w:rPr>
          <w:rFonts w:cs="ITCFranklinGothicStd-Book"/>
          <w:sz w:val="24"/>
          <w:szCs w:val="24"/>
        </w:rPr>
        <w:t xml:space="preserve"> </w:t>
      </w:r>
      <w:r w:rsidR="00455158" w:rsidRPr="00D20211">
        <w:rPr>
          <w:rFonts w:cs="ITCFranklinGothicStd-Book"/>
          <w:sz w:val="24"/>
          <w:szCs w:val="24"/>
        </w:rPr>
        <w:t>There are no technical or lega</w:t>
      </w:r>
      <w:r>
        <w:rPr>
          <w:rFonts w:cs="ITCFranklinGothicStd-Book"/>
          <w:sz w:val="24"/>
          <w:szCs w:val="24"/>
        </w:rPr>
        <w:t>l obstacles to reducing burden.</w:t>
      </w:r>
    </w:p>
    <w:p w14:paraId="0123AC1E" w14:textId="2EE1EB8B" w:rsidR="00B45002" w:rsidRPr="00D20211" w:rsidRDefault="00601F1A" w:rsidP="00601F1A">
      <w:pPr>
        <w:pStyle w:val="Heading1"/>
        <w:pBdr>
          <w:bottom w:val="none" w:sz="0" w:space="0" w:color="auto"/>
        </w:pBdr>
        <w:rPr>
          <w:color w:val="auto"/>
        </w:rPr>
      </w:pPr>
      <w:bookmarkStart w:id="9" w:name="_Toc432356286"/>
      <w:r w:rsidRPr="00D20211">
        <w:rPr>
          <w:color w:val="auto"/>
        </w:rPr>
        <w:t>A.</w:t>
      </w:r>
      <w:r w:rsidR="00B45002" w:rsidRPr="00D20211">
        <w:rPr>
          <w:color w:val="auto"/>
        </w:rPr>
        <w:t>7</w:t>
      </w:r>
      <w:r w:rsidR="00323F97" w:rsidRPr="00D20211">
        <w:rPr>
          <w:color w:val="auto"/>
        </w:rPr>
        <w:t>. Special</w:t>
      </w:r>
      <w:r w:rsidR="00B45002" w:rsidRPr="00D20211">
        <w:rPr>
          <w:color w:val="auto"/>
        </w:rPr>
        <w:t xml:space="preserve"> Circumstances Relating to the Guidelines of 5 CFR 1320.5</w:t>
      </w:r>
      <w:bookmarkEnd w:id="9"/>
    </w:p>
    <w:p w14:paraId="2A9759C6" w14:textId="77777777" w:rsidR="0014151A" w:rsidRPr="00D20211" w:rsidRDefault="0014151A" w:rsidP="00FB3333">
      <w:pPr>
        <w:autoSpaceDE w:val="0"/>
        <w:autoSpaceDN w:val="0"/>
        <w:adjustRightInd w:val="0"/>
        <w:spacing w:line="240" w:lineRule="auto"/>
        <w:rPr>
          <w:sz w:val="24"/>
          <w:szCs w:val="24"/>
        </w:rPr>
      </w:pPr>
    </w:p>
    <w:p w14:paraId="358B1A7B" w14:textId="2107E7F0" w:rsidR="00FB3333" w:rsidRPr="00723925" w:rsidRDefault="00FB3333" w:rsidP="00BA60FD">
      <w:pPr>
        <w:autoSpaceDE w:val="0"/>
        <w:autoSpaceDN w:val="0"/>
        <w:adjustRightInd w:val="0"/>
        <w:spacing w:line="240" w:lineRule="auto"/>
        <w:rPr>
          <w:rFonts w:cs="ITCFranklinGothicStd-Book"/>
          <w:sz w:val="24"/>
          <w:szCs w:val="24"/>
        </w:rPr>
      </w:pPr>
      <w:r w:rsidRPr="00723925">
        <w:rPr>
          <w:rFonts w:cs="ITCFranklinGothicStd-Book"/>
          <w:sz w:val="24"/>
          <w:szCs w:val="24"/>
        </w:rPr>
        <w:t>This request fully complies with the regulation 5 CFR</w:t>
      </w:r>
      <w:r w:rsidR="002605A1" w:rsidRPr="00723925">
        <w:rPr>
          <w:rFonts w:cs="ITCFranklinGothicStd-Book"/>
          <w:sz w:val="24"/>
          <w:szCs w:val="24"/>
        </w:rPr>
        <w:t xml:space="preserve"> </w:t>
      </w:r>
      <w:r w:rsidR="00723925" w:rsidRPr="00723925">
        <w:rPr>
          <w:rFonts w:cs="ITCFranklinGothicStd-Book"/>
          <w:sz w:val="24"/>
          <w:szCs w:val="24"/>
        </w:rPr>
        <w:t>1320.5.</w:t>
      </w:r>
    </w:p>
    <w:p w14:paraId="508E9BF1" w14:textId="7C4292AB" w:rsidR="00B45002" w:rsidRPr="00D20211" w:rsidRDefault="00601F1A" w:rsidP="00601F1A">
      <w:pPr>
        <w:pStyle w:val="Heading1"/>
        <w:pBdr>
          <w:bottom w:val="none" w:sz="0" w:space="0" w:color="auto"/>
        </w:pBdr>
        <w:rPr>
          <w:color w:val="auto"/>
        </w:rPr>
      </w:pPr>
      <w:bookmarkStart w:id="10" w:name="_Toc432356287"/>
      <w:r w:rsidRPr="00D20211">
        <w:rPr>
          <w:color w:val="auto"/>
        </w:rPr>
        <w:t>A.</w:t>
      </w:r>
      <w:r w:rsidR="004D21C9" w:rsidRPr="00D20211">
        <w:rPr>
          <w:color w:val="auto"/>
        </w:rPr>
        <w:t>8</w:t>
      </w:r>
      <w:r w:rsidR="00D72EFA" w:rsidRPr="00D20211">
        <w:rPr>
          <w:color w:val="auto"/>
        </w:rPr>
        <w:t>. Comments</w:t>
      </w:r>
      <w:r w:rsidR="00B45002" w:rsidRPr="00D20211">
        <w:rPr>
          <w:color w:val="auto"/>
        </w:rPr>
        <w:t xml:space="preserve"> in Response to the Federal Register Notice and Efforts to Consult Outside the Agency</w:t>
      </w:r>
      <w:bookmarkEnd w:id="10"/>
    </w:p>
    <w:p w14:paraId="1633E94E" w14:textId="77777777" w:rsidR="00D62EE3" w:rsidRPr="00D20211" w:rsidRDefault="00D62EE3" w:rsidP="00D62EE3">
      <w:pPr>
        <w:autoSpaceDE w:val="0"/>
        <w:autoSpaceDN w:val="0"/>
        <w:adjustRightInd w:val="0"/>
        <w:spacing w:after="0" w:line="240" w:lineRule="auto"/>
        <w:rPr>
          <w:rFonts w:cs="ITCFranklinGothicStd-Demi"/>
          <w:sz w:val="24"/>
          <w:szCs w:val="24"/>
        </w:rPr>
      </w:pPr>
    </w:p>
    <w:p w14:paraId="79962973" w14:textId="044A602D" w:rsidR="0002168F" w:rsidRDefault="00D62EE3" w:rsidP="00D44A04">
      <w:pPr>
        <w:autoSpaceDE w:val="0"/>
        <w:autoSpaceDN w:val="0"/>
        <w:adjustRightInd w:val="0"/>
        <w:spacing w:line="240" w:lineRule="auto"/>
        <w:rPr>
          <w:rFonts w:cs="ITCFranklinGothicStd-Book"/>
          <w:sz w:val="24"/>
          <w:szCs w:val="24"/>
        </w:rPr>
      </w:pPr>
      <w:r w:rsidRPr="00D20211">
        <w:rPr>
          <w:rFonts w:cs="ITCFranklinGothicStd-Book"/>
          <w:sz w:val="24"/>
          <w:szCs w:val="24"/>
        </w:rPr>
        <w:t xml:space="preserve">A 60-day Federal Register Notice was published in the </w:t>
      </w:r>
      <w:r w:rsidRPr="00D20211">
        <w:rPr>
          <w:rFonts w:cs="ITCFranklinGothicStd-BookIt"/>
          <w:i/>
          <w:iCs/>
          <w:sz w:val="24"/>
          <w:szCs w:val="24"/>
        </w:rPr>
        <w:t xml:space="preserve">Federal Register </w:t>
      </w:r>
      <w:r w:rsidRPr="00D20211">
        <w:rPr>
          <w:rFonts w:cs="ITCFranklinGothicStd-Book"/>
          <w:sz w:val="24"/>
          <w:szCs w:val="24"/>
        </w:rPr>
        <w:t xml:space="preserve">on </w:t>
      </w:r>
      <w:r w:rsidR="001A4EF7" w:rsidRPr="00E95AE9">
        <w:rPr>
          <w:rFonts w:cs="ITCFranklinGothicStd-Book"/>
          <w:sz w:val="24"/>
          <w:szCs w:val="24"/>
        </w:rPr>
        <w:t>October 31, 2016</w:t>
      </w:r>
      <w:r w:rsidRPr="00E95AE9">
        <w:rPr>
          <w:rFonts w:cs="ITCFranklinGothicStd-Book"/>
          <w:sz w:val="24"/>
          <w:szCs w:val="24"/>
        </w:rPr>
        <w:t>, v</w:t>
      </w:r>
      <w:r w:rsidR="00A6012F" w:rsidRPr="00E95AE9">
        <w:rPr>
          <w:rFonts w:cs="ITCFranklinGothicStd-Book"/>
          <w:sz w:val="24"/>
          <w:szCs w:val="24"/>
        </w:rPr>
        <w:t xml:space="preserve">ol. </w:t>
      </w:r>
      <w:r w:rsidR="001A4EF7" w:rsidRPr="00E95AE9">
        <w:rPr>
          <w:rFonts w:cs="ITCFranklinGothicStd-Book"/>
          <w:sz w:val="24"/>
          <w:szCs w:val="24"/>
        </w:rPr>
        <w:t>81</w:t>
      </w:r>
      <w:r w:rsidR="00A6012F" w:rsidRPr="00E95AE9">
        <w:rPr>
          <w:rFonts w:cs="ITCFranklinGothicStd-Book"/>
          <w:sz w:val="24"/>
          <w:szCs w:val="24"/>
        </w:rPr>
        <w:t xml:space="preserve">, No. </w:t>
      </w:r>
      <w:r w:rsidR="001A4EF7" w:rsidRPr="00E95AE9">
        <w:rPr>
          <w:rFonts w:cs="ITCFranklinGothicStd-Book"/>
          <w:sz w:val="24"/>
          <w:szCs w:val="24"/>
        </w:rPr>
        <w:t>210</w:t>
      </w:r>
      <w:r w:rsidR="00A6012F" w:rsidRPr="00E95AE9">
        <w:rPr>
          <w:rFonts w:cs="ITCFranklinGothicStd-Book"/>
          <w:sz w:val="24"/>
          <w:szCs w:val="24"/>
        </w:rPr>
        <w:t xml:space="preserve">, pp. </w:t>
      </w:r>
      <w:r w:rsidR="001A4EF7" w:rsidRPr="00E95AE9">
        <w:rPr>
          <w:rFonts w:cs="ITCFranklinGothicStd-Book"/>
          <w:sz w:val="24"/>
          <w:szCs w:val="24"/>
        </w:rPr>
        <w:t>75405-75406</w:t>
      </w:r>
      <w:r w:rsidR="00A6012F" w:rsidRPr="00E95AE9">
        <w:rPr>
          <w:rFonts w:cs="ITCFranklinGothicStd-Book"/>
          <w:sz w:val="24"/>
          <w:szCs w:val="24"/>
        </w:rPr>
        <w:t xml:space="preserve"> (</w:t>
      </w:r>
      <w:r w:rsidRPr="00E95AE9">
        <w:rPr>
          <w:rFonts w:cs="ITCFranklinGothicStd-Book"/>
          <w:sz w:val="24"/>
          <w:szCs w:val="24"/>
        </w:rPr>
        <w:t>Att</w:t>
      </w:r>
      <w:r w:rsidR="00A6012F" w:rsidRPr="00E95AE9">
        <w:rPr>
          <w:rFonts w:cs="ITCFranklinGothicStd-Book"/>
          <w:sz w:val="24"/>
          <w:szCs w:val="24"/>
        </w:rPr>
        <w:t>achment 2</w:t>
      </w:r>
      <w:r w:rsidRPr="00E95AE9">
        <w:rPr>
          <w:rFonts w:cs="ITCFranklinGothicStd-Book"/>
          <w:sz w:val="24"/>
          <w:szCs w:val="24"/>
        </w:rPr>
        <w:t>)</w:t>
      </w:r>
      <w:r w:rsidRPr="001A4EF7">
        <w:rPr>
          <w:rFonts w:cs="ITCFranklinGothicStd-Book"/>
          <w:sz w:val="24"/>
          <w:szCs w:val="24"/>
        </w:rPr>
        <w:t xml:space="preserve">. </w:t>
      </w:r>
      <w:r w:rsidR="00E00EAC" w:rsidRPr="001A4EF7">
        <w:rPr>
          <w:rFonts w:cs="ITCFranklinGothicStd-Book"/>
          <w:sz w:val="24"/>
          <w:szCs w:val="24"/>
        </w:rPr>
        <w:t>CDC</w:t>
      </w:r>
      <w:r w:rsidRPr="001A4EF7">
        <w:rPr>
          <w:rFonts w:cs="ITCFranklinGothicStd-Book"/>
          <w:sz w:val="24"/>
          <w:szCs w:val="24"/>
        </w:rPr>
        <w:t xml:space="preserve"> </w:t>
      </w:r>
      <w:r w:rsidR="00D85333">
        <w:rPr>
          <w:rFonts w:cs="ITCFranklinGothicStd-Book"/>
          <w:sz w:val="24"/>
          <w:szCs w:val="24"/>
        </w:rPr>
        <w:t>received</w:t>
      </w:r>
      <w:r w:rsidRPr="001A4EF7">
        <w:rPr>
          <w:rFonts w:cs="ITCFranklinGothicStd-Book"/>
          <w:sz w:val="24"/>
          <w:szCs w:val="24"/>
        </w:rPr>
        <w:t xml:space="preserve"> </w:t>
      </w:r>
      <w:r w:rsidR="00D93542">
        <w:rPr>
          <w:rFonts w:cs="ITCFranklinGothicStd-Book"/>
          <w:sz w:val="24"/>
          <w:szCs w:val="24"/>
        </w:rPr>
        <w:t xml:space="preserve">one </w:t>
      </w:r>
      <w:r w:rsidR="00D85333">
        <w:rPr>
          <w:rFonts w:cs="ITCFranklinGothicStd-Book"/>
          <w:sz w:val="24"/>
          <w:szCs w:val="24"/>
        </w:rPr>
        <w:t>non-substantive</w:t>
      </w:r>
      <w:r w:rsidRPr="001A4EF7">
        <w:rPr>
          <w:rFonts w:cs="ITCFranklinGothicStd-Book"/>
          <w:sz w:val="24"/>
          <w:szCs w:val="24"/>
        </w:rPr>
        <w:t xml:space="preserve"> comment </w:t>
      </w:r>
      <w:r w:rsidR="009D3032">
        <w:rPr>
          <w:rFonts w:cs="ITCFranklinGothicStd-Book"/>
          <w:sz w:val="24"/>
          <w:szCs w:val="24"/>
        </w:rPr>
        <w:t>(Attachment 2a</w:t>
      </w:r>
      <w:r w:rsidR="00D85333">
        <w:rPr>
          <w:rFonts w:cs="ITCFranklinGothicStd-Book"/>
          <w:sz w:val="24"/>
          <w:szCs w:val="24"/>
        </w:rPr>
        <w:t xml:space="preserve">) and replied with a standard CDC response.  </w:t>
      </w:r>
    </w:p>
    <w:p w14:paraId="53C7E96A" w14:textId="34584383" w:rsidR="004556A8" w:rsidRPr="004556A8" w:rsidRDefault="004556A8" w:rsidP="004556A8">
      <w:pPr>
        <w:autoSpaceDE w:val="0"/>
        <w:autoSpaceDN w:val="0"/>
        <w:adjustRightInd w:val="0"/>
        <w:spacing w:line="240" w:lineRule="auto"/>
        <w:rPr>
          <w:rFonts w:cs="ITCFranklinGothicStd-Book"/>
          <w:sz w:val="24"/>
          <w:szCs w:val="24"/>
        </w:rPr>
      </w:pPr>
      <w:r w:rsidRPr="004556A8">
        <w:rPr>
          <w:rFonts w:cs="ITCFranklinGothicStd-Book"/>
          <w:sz w:val="24"/>
          <w:szCs w:val="24"/>
        </w:rPr>
        <w:t>In the public comment received, the commenter stated that this information collection is an unnecessary expenditure of taxpayer dollars and the contact person at each health department should simply ask the environmental health workers to complete the survey. Identifying environmental health professionals at each health department is required to ensure the survey is sent directly to each individual respondent. This process will result in enumeration of the workforce and allow determina</w:t>
      </w:r>
      <w:r w:rsidR="00D85333">
        <w:rPr>
          <w:rFonts w:cs="ITCFranklinGothicStd-Book"/>
          <w:sz w:val="24"/>
          <w:szCs w:val="24"/>
        </w:rPr>
        <w:t>tion of a survey response rate</w:t>
      </w:r>
      <w:r w:rsidR="009D3032">
        <w:rPr>
          <w:rFonts w:cs="ITCFranklinGothicStd-Book"/>
          <w:sz w:val="24"/>
          <w:szCs w:val="24"/>
        </w:rPr>
        <w:t xml:space="preserve"> (Attachment 2b)</w:t>
      </w:r>
      <w:r w:rsidR="00D85333">
        <w:rPr>
          <w:rFonts w:cs="ITCFranklinGothicStd-Book"/>
          <w:sz w:val="24"/>
          <w:szCs w:val="24"/>
        </w:rPr>
        <w:t xml:space="preserve">. </w:t>
      </w:r>
    </w:p>
    <w:p w14:paraId="5E14C678" w14:textId="08B857D8" w:rsidR="00B04C37" w:rsidRPr="00DD6160" w:rsidRDefault="00DD6160" w:rsidP="00DD6160">
      <w:pPr>
        <w:autoSpaceDE w:val="0"/>
        <w:autoSpaceDN w:val="0"/>
        <w:adjustRightInd w:val="0"/>
        <w:spacing w:line="240" w:lineRule="auto"/>
        <w:rPr>
          <w:rFonts w:cs="ITCFranklinGothicStd-Book"/>
          <w:sz w:val="24"/>
          <w:szCs w:val="24"/>
        </w:rPr>
      </w:pPr>
      <w:r>
        <w:rPr>
          <w:rFonts w:cs="ITCFranklinGothicStd-Book"/>
          <w:sz w:val="24"/>
          <w:szCs w:val="24"/>
        </w:rPr>
        <w:t xml:space="preserve">The </w:t>
      </w:r>
      <w:r w:rsidRPr="00FE0379">
        <w:rPr>
          <w:rFonts w:cs="ITCFranklinGothicStd-Book"/>
          <w:sz w:val="24"/>
          <w:szCs w:val="24"/>
        </w:rPr>
        <w:t xml:space="preserve">following </w:t>
      </w:r>
      <w:r w:rsidR="00D62EE3" w:rsidRPr="00FE0379">
        <w:rPr>
          <w:rFonts w:cs="ITCFranklinGothicStd-Book"/>
          <w:sz w:val="24"/>
          <w:szCs w:val="24"/>
        </w:rPr>
        <w:t xml:space="preserve">persons </w:t>
      </w:r>
      <w:r w:rsidR="00D62EE3" w:rsidRPr="00FE0379">
        <w:rPr>
          <w:rFonts w:cs="ITCFranklinGothicStd-Demi"/>
          <w:sz w:val="24"/>
          <w:szCs w:val="24"/>
        </w:rPr>
        <w:t>outside</w:t>
      </w:r>
      <w:r w:rsidR="003A0349" w:rsidRPr="00FE0379">
        <w:rPr>
          <w:rFonts w:cs="ITCFranklinGothicStd-Demi"/>
          <w:sz w:val="24"/>
          <w:szCs w:val="24"/>
        </w:rPr>
        <w:t xml:space="preserve"> </w:t>
      </w:r>
      <w:r w:rsidR="00D62EE3" w:rsidRPr="00FE0379">
        <w:rPr>
          <w:rFonts w:cs="ITCFranklinGothicStd-Demi"/>
          <w:sz w:val="24"/>
          <w:szCs w:val="24"/>
        </w:rPr>
        <w:t xml:space="preserve">the agency </w:t>
      </w:r>
      <w:r w:rsidRPr="00FE0379">
        <w:rPr>
          <w:rFonts w:cs="ITCFranklinGothicStd-Book"/>
          <w:sz w:val="24"/>
          <w:szCs w:val="24"/>
        </w:rPr>
        <w:t>were</w:t>
      </w:r>
      <w:r w:rsidRPr="00DD6160">
        <w:rPr>
          <w:rFonts w:cs="ITCFranklinGothicStd-Book"/>
          <w:sz w:val="24"/>
          <w:szCs w:val="24"/>
        </w:rPr>
        <w:t xml:space="preserve"> consult</w:t>
      </w:r>
      <w:r>
        <w:rPr>
          <w:rFonts w:cs="ITCFranklinGothicStd-Book"/>
          <w:sz w:val="24"/>
          <w:szCs w:val="24"/>
        </w:rPr>
        <w:t>ed</w:t>
      </w:r>
      <w:r w:rsidRPr="00DD6160">
        <w:rPr>
          <w:rFonts w:cs="ITCFranklinGothicStd-Book"/>
          <w:sz w:val="24"/>
          <w:szCs w:val="24"/>
        </w:rPr>
        <w:t xml:space="preserve"> with </w:t>
      </w:r>
      <w:r w:rsidR="00D62EE3" w:rsidRPr="00DD6160">
        <w:rPr>
          <w:rFonts w:cs="ITCFranklinGothicStd-Book"/>
          <w:sz w:val="24"/>
          <w:szCs w:val="24"/>
        </w:rPr>
        <w:t>to obtain their views on the availability of data, frequency of collecti</w:t>
      </w:r>
      <w:r>
        <w:rPr>
          <w:rFonts w:cs="ITCFranklinGothicStd-Book"/>
          <w:sz w:val="24"/>
          <w:szCs w:val="24"/>
        </w:rPr>
        <w:t>on, the clarity of instructions,</w:t>
      </w:r>
      <w:r w:rsidR="00D62EE3" w:rsidRPr="00DD6160">
        <w:rPr>
          <w:rFonts w:cs="ITCFranklinGothicStd-Book"/>
          <w:sz w:val="24"/>
          <w:szCs w:val="24"/>
        </w:rPr>
        <w:t xml:space="preserve"> disclosure, </w:t>
      </w:r>
      <w:r>
        <w:rPr>
          <w:rFonts w:cs="ITCFranklinGothicStd-Book"/>
          <w:sz w:val="24"/>
          <w:szCs w:val="24"/>
        </w:rPr>
        <w:t>and</w:t>
      </w:r>
      <w:r w:rsidR="00D62EE3" w:rsidRPr="00DD6160">
        <w:rPr>
          <w:rFonts w:cs="ITCFranklinGothicStd-Book"/>
          <w:sz w:val="24"/>
          <w:szCs w:val="24"/>
        </w:rPr>
        <w:t xml:space="preserve"> on the data elements to be recorded, disclosed, or reported. </w:t>
      </w:r>
      <w:r w:rsidR="004F6350">
        <w:rPr>
          <w:rFonts w:cs="ITCFranklinGothicStd-Book"/>
          <w:sz w:val="24"/>
          <w:szCs w:val="24"/>
        </w:rPr>
        <w:t xml:space="preserve">CDC has a funded contract with NEHA and </w:t>
      </w:r>
      <w:r w:rsidR="00A36D2C">
        <w:rPr>
          <w:rFonts w:cs="ITCFranklinGothicStd-Book"/>
          <w:sz w:val="24"/>
          <w:szCs w:val="24"/>
        </w:rPr>
        <w:t xml:space="preserve">a </w:t>
      </w:r>
      <w:r w:rsidR="004F6350">
        <w:rPr>
          <w:rFonts w:cs="ITCFranklinGothicStd-Book"/>
          <w:sz w:val="24"/>
          <w:szCs w:val="24"/>
        </w:rPr>
        <w:t xml:space="preserve">funded </w:t>
      </w:r>
      <w:r w:rsidR="001E5E1E">
        <w:rPr>
          <w:rFonts w:cs="ITCFranklinGothicStd-Book"/>
          <w:sz w:val="24"/>
          <w:szCs w:val="24"/>
        </w:rPr>
        <w:t xml:space="preserve">intergovernmental </w:t>
      </w:r>
      <w:r w:rsidR="00CA32F7">
        <w:rPr>
          <w:rFonts w:cs="ITCFranklinGothicStd-Book"/>
          <w:sz w:val="24"/>
          <w:szCs w:val="24"/>
        </w:rPr>
        <w:t>personnel agreement with Baylor University to support their involvement in this information collection.</w:t>
      </w:r>
      <w:r w:rsidR="004F6350">
        <w:rPr>
          <w:rFonts w:cs="ITCFranklinGothicStd-Book"/>
          <w:sz w:val="24"/>
          <w:szCs w:val="24"/>
        </w:rPr>
        <w:t xml:space="preserve"> </w:t>
      </w:r>
    </w:p>
    <w:p w14:paraId="445AF536" w14:textId="77777777" w:rsidR="00C73D2A" w:rsidRDefault="00C73D2A" w:rsidP="00FE0379">
      <w:pPr>
        <w:autoSpaceDE w:val="0"/>
        <w:autoSpaceDN w:val="0"/>
        <w:adjustRightInd w:val="0"/>
        <w:spacing w:after="0" w:line="240" w:lineRule="auto"/>
        <w:jc w:val="both"/>
        <w:rPr>
          <w:rFonts w:cstheme="minorHAnsi"/>
          <w:b/>
          <w:sz w:val="24"/>
          <w:szCs w:val="24"/>
        </w:rPr>
      </w:pPr>
    </w:p>
    <w:p w14:paraId="7D0C777B" w14:textId="400816F3" w:rsidR="00FE0379" w:rsidRPr="00D20211" w:rsidRDefault="00FE0379" w:rsidP="00FE0379">
      <w:pPr>
        <w:autoSpaceDE w:val="0"/>
        <w:autoSpaceDN w:val="0"/>
        <w:adjustRightInd w:val="0"/>
        <w:spacing w:after="0" w:line="240" w:lineRule="auto"/>
        <w:jc w:val="both"/>
        <w:rPr>
          <w:rFonts w:cstheme="minorHAnsi"/>
          <w:sz w:val="24"/>
          <w:szCs w:val="24"/>
        </w:rPr>
      </w:pPr>
      <w:r w:rsidRPr="00D20211">
        <w:rPr>
          <w:rFonts w:cstheme="minorHAnsi"/>
          <w:b/>
          <w:sz w:val="24"/>
          <w:szCs w:val="24"/>
        </w:rPr>
        <w:t>Table 1.</w:t>
      </w:r>
      <w:r w:rsidRPr="00D20211">
        <w:rPr>
          <w:rFonts w:cstheme="minorHAnsi"/>
          <w:sz w:val="24"/>
          <w:szCs w:val="24"/>
        </w:rPr>
        <w:t xml:space="preserve"> </w:t>
      </w:r>
      <w:r>
        <w:rPr>
          <w:rFonts w:cstheme="minorHAnsi"/>
          <w:sz w:val="24"/>
          <w:szCs w:val="24"/>
        </w:rPr>
        <w:t>2016</w:t>
      </w:r>
      <w:r w:rsidRPr="00D20211">
        <w:rPr>
          <w:rFonts w:cstheme="minorHAnsi"/>
          <w:sz w:val="24"/>
          <w:szCs w:val="24"/>
        </w:rPr>
        <w:t xml:space="preserve"> External Consultations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350"/>
        <w:gridCol w:w="1530"/>
        <w:gridCol w:w="1530"/>
        <w:gridCol w:w="2610"/>
      </w:tblGrid>
      <w:tr w:rsidR="00FE0379" w:rsidRPr="00D20211" w14:paraId="4A2EA4B9" w14:textId="77777777" w:rsidTr="00D44A04">
        <w:tc>
          <w:tcPr>
            <w:tcW w:w="2340" w:type="dxa"/>
            <w:tcBorders>
              <w:top w:val="single" w:sz="8" w:space="0" w:color="auto"/>
              <w:left w:val="nil"/>
              <w:bottom w:val="single" w:sz="8" w:space="0" w:color="auto"/>
              <w:right w:val="nil"/>
            </w:tcBorders>
            <w:shd w:val="clear" w:color="auto" w:fill="auto"/>
          </w:tcPr>
          <w:p w14:paraId="6250A5EA" w14:textId="77777777" w:rsidR="00FE0379" w:rsidRPr="00D20211" w:rsidRDefault="00FE0379" w:rsidP="001B5172">
            <w:pPr>
              <w:autoSpaceDE w:val="0"/>
              <w:autoSpaceDN w:val="0"/>
              <w:adjustRightInd w:val="0"/>
              <w:spacing w:after="0" w:line="240" w:lineRule="auto"/>
              <w:jc w:val="both"/>
              <w:rPr>
                <w:rFonts w:cstheme="minorHAnsi"/>
                <w:b/>
              </w:rPr>
            </w:pPr>
            <w:r w:rsidRPr="00D20211">
              <w:rPr>
                <w:rFonts w:cstheme="minorHAnsi"/>
                <w:b/>
              </w:rPr>
              <w:t>Name</w:t>
            </w:r>
          </w:p>
        </w:tc>
        <w:tc>
          <w:tcPr>
            <w:tcW w:w="1350" w:type="dxa"/>
            <w:tcBorders>
              <w:top w:val="single" w:sz="8" w:space="0" w:color="auto"/>
              <w:left w:val="nil"/>
              <w:bottom w:val="single" w:sz="8" w:space="0" w:color="auto"/>
              <w:right w:val="nil"/>
            </w:tcBorders>
            <w:shd w:val="clear" w:color="auto" w:fill="auto"/>
          </w:tcPr>
          <w:p w14:paraId="4AF9E224" w14:textId="77777777" w:rsidR="00FE0379" w:rsidRPr="00D20211" w:rsidRDefault="00FE0379" w:rsidP="001B5172">
            <w:pPr>
              <w:autoSpaceDE w:val="0"/>
              <w:autoSpaceDN w:val="0"/>
              <w:adjustRightInd w:val="0"/>
              <w:spacing w:after="0" w:line="240" w:lineRule="auto"/>
              <w:jc w:val="both"/>
              <w:rPr>
                <w:rFonts w:cstheme="minorHAnsi"/>
                <w:b/>
              </w:rPr>
            </w:pPr>
            <w:r w:rsidRPr="00D20211">
              <w:rPr>
                <w:rFonts w:cstheme="minorHAnsi"/>
                <w:b/>
              </w:rPr>
              <w:t>Title</w:t>
            </w:r>
          </w:p>
        </w:tc>
        <w:tc>
          <w:tcPr>
            <w:tcW w:w="1530" w:type="dxa"/>
            <w:tcBorders>
              <w:top w:val="single" w:sz="8" w:space="0" w:color="auto"/>
              <w:left w:val="nil"/>
              <w:bottom w:val="single" w:sz="8" w:space="0" w:color="auto"/>
              <w:right w:val="nil"/>
            </w:tcBorders>
            <w:shd w:val="clear" w:color="auto" w:fill="auto"/>
          </w:tcPr>
          <w:p w14:paraId="6F655AA3" w14:textId="77777777" w:rsidR="00FE0379" w:rsidRPr="00D20211" w:rsidRDefault="00FE0379" w:rsidP="001B5172">
            <w:pPr>
              <w:autoSpaceDE w:val="0"/>
              <w:autoSpaceDN w:val="0"/>
              <w:adjustRightInd w:val="0"/>
              <w:spacing w:after="0" w:line="240" w:lineRule="auto"/>
              <w:jc w:val="both"/>
              <w:rPr>
                <w:rFonts w:cstheme="minorHAnsi"/>
                <w:b/>
              </w:rPr>
            </w:pPr>
            <w:r w:rsidRPr="00D20211">
              <w:rPr>
                <w:rFonts w:cstheme="minorHAnsi"/>
                <w:b/>
              </w:rPr>
              <w:t>Affiliation</w:t>
            </w:r>
          </w:p>
        </w:tc>
        <w:tc>
          <w:tcPr>
            <w:tcW w:w="1530" w:type="dxa"/>
            <w:tcBorders>
              <w:top w:val="single" w:sz="8" w:space="0" w:color="auto"/>
              <w:left w:val="nil"/>
              <w:bottom w:val="single" w:sz="8" w:space="0" w:color="auto"/>
              <w:right w:val="nil"/>
            </w:tcBorders>
            <w:shd w:val="clear" w:color="auto" w:fill="auto"/>
          </w:tcPr>
          <w:p w14:paraId="1E531E12" w14:textId="77777777" w:rsidR="00FE0379" w:rsidRPr="00D20211" w:rsidRDefault="00FE0379" w:rsidP="001B5172">
            <w:pPr>
              <w:autoSpaceDE w:val="0"/>
              <w:autoSpaceDN w:val="0"/>
              <w:adjustRightInd w:val="0"/>
              <w:spacing w:after="0" w:line="240" w:lineRule="auto"/>
              <w:jc w:val="both"/>
              <w:rPr>
                <w:rFonts w:cstheme="minorHAnsi"/>
                <w:b/>
              </w:rPr>
            </w:pPr>
            <w:r w:rsidRPr="00D20211">
              <w:rPr>
                <w:rFonts w:cstheme="minorHAnsi"/>
                <w:b/>
              </w:rPr>
              <w:t>Phone</w:t>
            </w:r>
          </w:p>
        </w:tc>
        <w:tc>
          <w:tcPr>
            <w:tcW w:w="2610" w:type="dxa"/>
            <w:tcBorders>
              <w:top w:val="single" w:sz="8" w:space="0" w:color="auto"/>
              <w:left w:val="nil"/>
              <w:bottom w:val="single" w:sz="8" w:space="0" w:color="auto"/>
              <w:right w:val="nil"/>
            </w:tcBorders>
            <w:shd w:val="clear" w:color="auto" w:fill="auto"/>
          </w:tcPr>
          <w:p w14:paraId="75B55FF1" w14:textId="77777777" w:rsidR="00FE0379" w:rsidRPr="00D20211" w:rsidRDefault="00FE0379" w:rsidP="001B5172">
            <w:pPr>
              <w:autoSpaceDE w:val="0"/>
              <w:autoSpaceDN w:val="0"/>
              <w:adjustRightInd w:val="0"/>
              <w:spacing w:after="0" w:line="240" w:lineRule="auto"/>
              <w:jc w:val="both"/>
              <w:rPr>
                <w:rFonts w:cstheme="minorHAnsi"/>
                <w:b/>
              </w:rPr>
            </w:pPr>
            <w:r w:rsidRPr="00D20211">
              <w:rPr>
                <w:rFonts w:cstheme="minorHAnsi"/>
                <w:b/>
              </w:rPr>
              <w:t>Email</w:t>
            </w:r>
          </w:p>
        </w:tc>
      </w:tr>
      <w:tr w:rsidR="00FE0379" w:rsidRPr="00D20211" w14:paraId="0AB22D9E" w14:textId="77777777" w:rsidTr="001B5172">
        <w:tc>
          <w:tcPr>
            <w:tcW w:w="9360" w:type="dxa"/>
            <w:gridSpan w:val="5"/>
            <w:tcBorders>
              <w:top w:val="single" w:sz="8" w:space="0" w:color="auto"/>
              <w:left w:val="nil"/>
              <w:bottom w:val="single" w:sz="8" w:space="0" w:color="auto"/>
              <w:right w:val="nil"/>
            </w:tcBorders>
            <w:shd w:val="clear" w:color="auto" w:fill="auto"/>
            <w:vAlign w:val="center"/>
          </w:tcPr>
          <w:p w14:paraId="7A7236ED" w14:textId="77777777" w:rsidR="00FE0379" w:rsidRPr="00D20211" w:rsidRDefault="00FE0379" w:rsidP="001B5172">
            <w:pPr>
              <w:autoSpaceDE w:val="0"/>
              <w:autoSpaceDN w:val="0"/>
              <w:adjustRightInd w:val="0"/>
              <w:spacing w:after="0" w:line="240" w:lineRule="auto"/>
              <w:jc w:val="both"/>
              <w:rPr>
                <w:rFonts w:cstheme="minorHAnsi"/>
                <w:i/>
                <w:sz w:val="20"/>
                <w:szCs w:val="20"/>
              </w:rPr>
            </w:pPr>
            <w:r w:rsidRPr="00D20211">
              <w:rPr>
                <w:rFonts w:cstheme="minorHAnsi"/>
                <w:i/>
                <w:sz w:val="20"/>
                <w:szCs w:val="20"/>
              </w:rPr>
              <w:t>OUTSIDE CONSULTANTS</w:t>
            </w:r>
          </w:p>
        </w:tc>
      </w:tr>
      <w:tr w:rsidR="00FE0379" w:rsidRPr="00D20211" w14:paraId="51BA6F4E" w14:textId="77777777" w:rsidTr="00D44A04">
        <w:tc>
          <w:tcPr>
            <w:tcW w:w="2340" w:type="dxa"/>
            <w:tcBorders>
              <w:top w:val="single" w:sz="8" w:space="0" w:color="auto"/>
              <w:left w:val="nil"/>
              <w:bottom w:val="single" w:sz="8" w:space="0" w:color="auto"/>
              <w:right w:val="nil"/>
            </w:tcBorders>
            <w:shd w:val="clear" w:color="auto" w:fill="auto"/>
            <w:vAlign w:val="center"/>
          </w:tcPr>
          <w:p w14:paraId="708CC243" w14:textId="6AC9B16E" w:rsidR="00FE0379" w:rsidRPr="00D20211" w:rsidRDefault="00832978" w:rsidP="001B5172">
            <w:pPr>
              <w:autoSpaceDE w:val="0"/>
              <w:autoSpaceDN w:val="0"/>
              <w:adjustRightInd w:val="0"/>
              <w:spacing w:after="0" w:line="240" w:lineRule="auto"/>
              <w:jc w:val="both"/>
              <w:rPr>
                <w:rFonts w:cstheme="minorHAnsi"/>
                <w:sz w:val="20"/>
                <w:szCs w:val="20"/>
              </w:rPr>
            </w:pPr>
            <w:r>
              <w:rPr>
                <w:rFonts w:cstheme="minorHAnsi"/>
                <w:sz w:val="20"/>
                <w:szCs w:val="20"/>
              </w:rPr>
              <w:t>David Dyjack</w:t>
            </w:r>
            <w:r w:rsidR="002D0850">
              <w:rPr>
                <w:rFonts w:cstheme="minorHAnsi"/>
                <w:sz w:val="20"/>
                <w:szCs w:val="20"/>
              </w:rPr>
              <w:t>, DrPH</w:t>
            </w:r>
            <w:r w:rsidR="00FE0379">
              <w:rPr>
                <w:rFonts w:cstheme="minorHAnsi"/>
                <w:sz w:val="20"/>
                <w:szCs w:val="20"/>
              </w:rPr>
              <w:t xml:space="preserve"> </w:t>
            </w:r>
          </w:p>
        </w:tc>
        <w:tc>
          <w:tcPr>
            <w:tcW w:w="1350" w:type="dxa"/>
            <w:tcBorders>
              <w:top w:val="single" w:sz="8" w:space="0" w:color="auto"/>
              <w:left w:val="nil"/>
              <w:bottom w:val="single" w:sz="8" w:space="0" w:color="auto"/>
              <w:right w:val="nil"/>
            </w:tcBorders>
            <w:shd w:val="clear" w:color="auto" w:fill="auto"/>
            <w:vAlign w:val="center"/>
          </w:tcPr>
          <w:p w14:paraId="6305898F" w14:textId="31C3482E" w:rsidR="00FE0379" w:rsidRPr="00D20211" w:rsidRDefault="00E23BA5" w:rsidP="001B5172">
            <w:pPr>
              <w:autoSpaceDE w:val="0"/>
              <w:autoSpaceDN w:val="0"/>
              <w:adjustRightInd w:val="0"/>
              <w:spacing w:after="0" w:line="240" w:lineRule="auto"/>
              <w:jc w:val="both"/>
              <w:rPr>
                <w:rFonts w:cstheme="minorHAnsi"/>
                <w:sz w:val="20"/>
                <w:szCs w:val="20"/>
              </w:rPr>
            </w:pPr>
            <w:r>
              <w:rPr>
                <w:rFonts w:cstheme="minorHAnsi"/>
                <w:sz w:val="20"/>
                <w:szCs w:val="20"/>
              </w:rPr>
              <w:t>Executive Director</w:t>
            </w:r>
          </w:p>
        </w:tc>
        <w:tc>
          <w:tcPr>
            <w:tcW w:w="1530" w:type="dxa"/>
            <w:tcBorders>
              <w:top w:val="single" w:sz="8" w:space="0" w:color="auto"/>
              <w:left w:val="nil"/>
              <w:bottom w:val="single" w:sz="8" w:space="0" w:color="auto"/>
              <w:right w:val="nil"/>
            </w:tcBorders>
            <w:shd w:val="clear" w:color="auto" w:fill="auto"/>
            <w:vAlign w:val="center"/>
          </w:tcPr>
          <w:p w14:paraId="667B31A7" w14:textId="15B07E1D" w:rsidR="00FE0379" w:rsidRPr="00D20211" w:rsidRDefault="00E23BA5" w:rsidP="00A23FDC">
            <w:pPr>
              <w:autoSpaceDE w:val="0"/>
              <w:autoSpaceDN w:val="0"/>
              <w:adjustRightInd w:val="0"/>
              <w:spacing w:after="0" w:line="240" w:lineRule="auto"/>
              <w:jc w:val="both"/>
              <w:rPr>
                <w:rFonts w:cstheme="minorHAnsi"/>
                <w:sz w:val="20"/>
                <w:szCs w:val="20"/>
              </w:rPr>
            </w:pPr>
            <w:r>
              <w:rPr>
                <w:rFonts w:cstheme="minorHAnsi"/>
                <w:sz w:val="20"/>
                <w:szCs w:val="20"/>
              </w:rPr>
              <w:t>National Environmental</w:t>
            </w:r>
            <w:r w:rsidR="00A23FDC">
              <w:rPr>
                <w:rFonts w:cstheme="minorHAnsi"/>
                <w:sz w:val="20"/>
                <w:szCs w:val="20"/>
              </w:rPr>
              <w:t xml:space="preserve"> </w:t>
            </w:r>
            <w:r>
              <w:rPr>
                <w:rFonts w:cstheme="minorHAnsi"/>
                <w:sz w:val="20"/>
                <w:szCs w:val="20"/>
              </w:rPr>
              <w:t>Health Association</w:t>
            </w:r>
          </w:p>
        </w:tc>
        <w:tc>
          <w:tcPr>
            <w:tcW w:w="1530" w:type="dxa"/>
            <w:tcBorders>
              <w:top w:val="single" w:sz="8" w:space="0" w:color="auto"/>
              <w:left w:val="nil"/>
              <w:bottom w:val="single" w:sz="8" w:space="0" w:color="auto"/>
              <w:right w:val="nil"/>
            </w:tcBorders>
            <w:shd w:val="clear" w:color="auto" w:fill="auto"/>
            <w:vAlign w:val="center"/>
          </w:tcPr>
          <w:p w14:paraId="1F2CB36E" w14:textId="589332EF" w:rsidR="00FE0379" w:rsidRPr="00D44A04" w:rsidRDefault="00FE0379" w:rsidP="00A23FDC">
            <w:pPr>
              <w:autoSpaceDE w:val="0"/>
              <w:autoSpaceDN w:val="0"/>
              <w:adjustRightInd w:val="0"/>
              <w:spacing w:after="0" w:line="240" w:lineRule="auto"/>
              <w:jc w:val="both"/>
              <w:rPr>
                <w:rFonts w:cstheme="minorHAnsi"/>
                <w:sz w:val="20"/>
                <w:szCs w:val="20"/>
              </w:rPr>
            </w:pPr>
            <w:r w:rsidRPr="00D44A04">
              <w:rPr>
                <w:rFonts w:cstheme="minorHAnsi"/>
                <w:sz w:val="20"/>
                <w:szCs w:val="20"/>
              </w:rPr>
              <w:t>(</w:t>
            </w:r>
            <w:r w:rsidR="00A23FDC" w:rsidRPr="00D44A04">
              <w:rPr>
                <w:rFonts w:cstheme="minorHAnsi"/>
                <w:sz w:val="20"/>
                <w:szCs w:val="20"/>
              </w:rPr>
              <w:t>303</w:t>
            </w:r>
            <w:r w:rsidRPr="00D44A04">
              <w:rPr>
                <w:rFonts w:cstheme="minorHAnsi"/>
                <w:sz w:val="20"/>
                <w:szCs w:val="20"/>
              </w:rPr>
              <w:t xml:space="preserve">) </w:t>
            </w:r>
            <w:r w:rsidR="00A23FDC" w:rsidRPr="00D44A04">
              <w:rPr>
                <w:rFonts w:cstheme="minorHAnsi"/>
                <w:sz w:val="20"/>
                <w:szCs w:val="20"/>
              </w:rPr>
              <w:t>756</w:t>
            </w:r>
            <w:r w:rsidRPr="00D44A04">
              <w:rPr>
                <w:rFonts w:cstheme="minorHAnsi"/>
                <w:sz w:val="20"/>
                <w:szCs w:val="20"/>
              </w:rPr>
              <w:t>-</w:t>
            </w:r>
            <w:r w:rsidR="00A23FDC" w:rsidRPr="00D44A04">
              <w:rPr>
                <w:rFonts w:cstheme="minorHAnsi"/>
                <w:sz w:val="20"/>
                <w:szCs w:val="20"/>
              </w:rPr>
              <w:t>9090</w:t>
            </w:r>
          </w:p>
        </w:tc>
        <w:tc>
          <w:tcPr>
            <w:tcW w:w="2610" w:type="dxa"/>
            <w:tcBorders>
              <w:top w:val="single" w:sz="8" w:space="0" w:color="auto"/>
              <w:left w:val="nil"/>
              <w:bottom w:val="single" w:sz="8" w:space="0" w:color="auto"/>
              <w:right w:val="nil"/>
            </w:tcBorders>
            <w:shd w:val="clear" w:color="auto" w:fill="auto"/>
            <w:vAlign w:val="center"/>
          </w:tcPr>
          <w:p w14:paraId="10EC3BAF" w14:textId="03A98DCE" w:rsidR="00FE0379" w:rsidRPr="00D20211" w:rsidRDefault="00A23FDC" w:rsidP="00A23FDC">
            <w:pPr>
              <w:autoSpaceDE w:val="0"/>
              <w:autoSpaceDN w:val="0"/>
              <w:adjustRightInd w:val="0"/>
              <w:spacing w:after="0" w:line="240" w:lineRule="auto"/>
              <w:jc w:val="both"/>
              <w:rPr>
                <w:rFonts w:cstheme="minorHAnsi"/>
                <w:sz w:val="20"/>
                <w:szCs w:val="20"/>
              </w:rPr>
            </w:pPr>
            <w:r>
              <w:t>ddyjack@neha.org</w:t>
            </w:r>
          </w:p>
        </w:tc>
      </w:tr>
      <w:tr w:rsidR="00832978" w:rsidRPr="00D20211" w14:paraId="3351D390" w14:textId="77777777" w:rsidTr="00752F17">
        <w:tc>
          <w:tcPr>
            <w:tcW w:w="2340" w:type="dxa"/>
            <w:tcBorders>
              <w:top w:val="single" w:sz="8" w:space="0" w:color="auto"/>
              <w:left w:val="nil"/>
              <w:bottom w:val="single" w:sz="8" w:space="0" w:color="auto"/>
              <w:right w:val="nil"/>
            </w:tcBorders>
            <w:shd w:val="clear" w:color="auto" w:fill="auto"/>
            <w:vAlign w:val="center"/>
          </w:tcPr>
          <w:p w14:paraId="7CB71A6A" w14:textId="56A8C8CA" w:rsidR="00832978" w:rsidRDefault="00A23FDC" w:rsidP="001B5172">
            <w:pPr>
              <w:autoSpaceDE w:val="0"/>
              <w:autoSpaceDN w:val="0"/>
              <w:adjustRightInd w:val="0"/>
              <w:spacing w:after="0" w:line="240" w:lineRule="auto"/>
              <w:jc w:val="both"/>
              <w:rPr>
                <w:rFonts w:cstheme="minorHAnsi"/>
                <w:sz w:val="20"/>
                <w:szCs w:val="20"/>
              </w:rPr>
            </w:pPr>
            <w:r>
              <w:rPr>
                <w:rFonts w:cstheme="minorHAnsi"/>
                <w:sz w:val="20"/>
                <w:szCs w:val="20"/>
              </w:rPr>
              <w:t>Sandra Whitehead</w:t>
            </w:r>
            <w:r w:rsidR="002D0850">
              <w:rPr>
                <w:rFonts w:cstheme="minorHAnsi"/>
                <w:sz w:val="20"/>
                <w:szCs w:val="20"/>
              </w:rPr>
              <w:t>, PhD</w:t>
            </w:r>
          </w:p>
        </w:tc>
        <w:tc>
          <w:tcPr>
            <w:tcW w:w="1350" w:type="dxa"/>
            <w:tcBorders>
              <w:top w:val="single" w:sz="8" w:space="0" w:color="auto"/>
              <w:left w:val="nil"/>
              <w:bottom w:val="single" w:sz="8" w:space="0" w:color="auto"/>
              <w:right w:val="nil"/>
            </w:tcBorders>
            <w:shd w:val="clear" w:color="auto" w:fill="auto"/>
            <w:vAlign w:val="center"/>
          </w:tcPr>
          <w:p w14:paraId="177D51A4" w14:textId="743A1DBD" w:rsidR="00832978" w:rsidRPr="00D20211" w:rsidRDefault="00A23FDC" w:rsidP="00752F17">
            <w:pPr>
              <w:autoSpaceDE w:val="0"/>
              <w:autoSpaceDN w:val="0"/>
              <w:adjustRightInd w:val="0"/>
              <w:spacing w:after="0" w:line="240" w:lineRule="auto"/>
              <w:rPr>
                <w:rFonts w:cstheme="minorHAnsi"/>
                <w:sz w:val="20"/>
                <w:szCs w:val="20"/>
              </w:rPr>
            </w:pPr>
            <w:r>
              <w:rPr>
                <w:rFonts w:cstheme="minorHAnsi"/>
                <w:sz w:val="20"/>
                <w:szCs w:val="20"/>
              </w:rPr>
              <w:t>Manager, Research</w:t>
            </w:r>
            <w:r w:rsidR="00EE6F52">
              <w:rPr>
                <w:rFonts w:cstheme="minorHAnsi"/>
                <w:sz w:val="20"/>
                <w:szCs w:val="20"/>
              </w:rPr>
              <w:t xml:space="preserve"> </w:t>
            </w:r>
            <w:r>
              <w:rPr>
                <w:rFonts w:cstheme="minorHAnsi"/>
                <w:sz w:val="20"/>
                <w:szCs w:val="20"/>
              </w:rPr>
              <w:t>&amp; Development</w:t>
            </w:r>
          </w:p>
        </w:tc>
        <w:tc>
          <w:tcPr>
            <w:tcW w:w="1530" w:type="dxa"/>
            <w:tcBorders>
              <w:top w:val="single" w:sz="8" w:space="0" w:color="auto"/>
              <w:left w:val="nil"/>
              <w:bottom w:val="single" w:sz="8" w:space="0" w:color="auto"/>
              <w:right w:val="nil"/>
            </w:tcBorders>
            <w:shd w:val="clear" w:color="auto" w:fill="auto"/>
            <w:vAlign w:val="center"/>
          </w:tcPr>
          <w:p w14:paraId="3DB1C13E" w14:textId="4E23E8F7" w:rsidR="00832978" w:rsidRPr="00D20211" w:rsidRDefault="00A23FDC" w:rsidP="001B5172">
            <w:pPr>
              <w:autoSpaceDE w:val="0"/>
              <w:autoSpaceDN w:val="0"/>
              <w:adjustRightInd w:val="0"/>
              <w:spacing w:after="0" w:line="240" w:lineRule="auto"/>
              <w:jc w:val="both"/>
              <w:rPr>
                <w:rFonts w:cstheme="minorHAnsi"/>
                <w:sz w:val="20"/>
                <w:szCs w:val="20"/>
              </w:rPr>
            </w:pPr>
            <w:r>
              <w:rPr>
                <w:rFonts w:cstheme="minorHAnsi"/>
                <w:sz w:val="20"/>
                <w:szCs w:val="20"/>
              </w:rPr>
              <w:t>National Environmental Health Association</w:t>
            </w:r>
          </w:p>
        </w:tc>
        <w:tc>
          <w:tcPr>
            <w:tcW w:w="1530" w:type="dxa"/>
            <w:tcBorders>
              <w:top w:val="single" w:sz="8" w:space="0" w:color="auto"/>
              <w:left w:val="nil"/>
              <w:bottom w:val="single" w:sz="8" w:space="0" w:color="auto"/>
              <w:right w:val="nil"/>
            </w:tcBorders>
            <w:shd w:val="clear" w:color="auto" w:fill="auto"/>
            <w:vAlign w:val="center"/>
          </w:tcPr>
          <w:p w14:paraId="674F37FF" w14:textId="0C74D1F6" w:rsidR="00832978" w:rsidRPr="00D44A04" w:rsidRDefault="00A23FDC" w:rsidP="001B5172">
            <w:pPr>
              <w:autoSpaceDE w:val="0"/>
              <w:autoSpaceDN w:val="0"/>
              <w:adjustRightInd w:val="0"/>
              <w:spacing w:after="0" w:line="240" w:lineRule="auto"/>
              <w:jc w:val="both"/>
              <w:rPr>
                <w:rFonts w:cstheme="minorHAnsi"/>
                <w:sz w:val="20"/>
                <w:szCs w:val="20"/>
              </w:rPr>
            </w:pPr>
            <w:r w:rsidRPr="00D44A04">
              <w:rPr>
                <w:rFonts w:cstheme="minorHAnsi"/>
                <w:sz w:val="20"/>
                <w:szCs w:val="20"/>
              </w:rPr>
              <w:t xml:space="preserve">(850) 727-2431 </w:t>
            </w:r>
          </w:p>
        </w:tc>
        <w:tc>
          <w:tcPr>
            <w:tcW w:w="2610" w:type="dxa"/>
            <w:tcBorders>
              <w:top w:val="single" w:sz="8" w:space="0" w:color="auto"/>
              <w:left w:val="nil"/>
              <w:bottom w:val="single" w:sz="8" w:space="0" w:color="auto"/>
              <w:right w:val="nil"/>
            </w:tcBorders>
            <w:shd w:val="clear" w:color="auto" w:fill="auto"/>
            <w:vAlign w:val="center"/>
          </w:tcPr>
          <w:p w14:paraId="65240E9F" w14:textId="78A7876E" w:rsidR="00832978" w:rsidRDefault="00A23FDC" w:rsidP="001B5172">
            <w:pPr>
              <w:autoSpaceDE w:val="0"/>
              <w:autoSpaceDN w:val="0"/>
              <w:adjustRightInd w:val="0"/>
              <w:spacing w:after="0" w:line="240" w:lineRule="auto"/>
              <w:jc w:val="both"/>
            </w:pPr>
            <w:r>
              <w:t>swhitehead@neha.org</w:t>
            </w:r>
          </w:p>
        </w:tc>
      </w:tr>
      <w:tr w:rsidR="00FE0379" w:rsidRPr="00D20211" w14:paraId="3C20A5E3" w14:textId="77777777" w:rsidTr="001B5172">
        <w:tc>
          <w:tcPr>
            <w:tcW w:w="9360" w:type="dxa"/>
            <w:gridSpan w:val="5"/>
            <w:tcBorders>
              <w:top w:val="single" w:sz="8" w:space="0" w:color="auto"/>
              <w:left w:val="nil"/>
              <w:bottom w:val="single" w:sz="8" w:space="0" w:color="auto"/>
              <w:right w:val="nil"/>
            </w:tcBorders>
            <w:shd w:val="clear" w:color="auto" w:fill="auto"/>
            <w:vAlign w:val="center"/>
          </w:tcPr>
          <w:p w14:paraId="510EB41D" w14:textId="77777777" w:rsidR="00FE0379" w:rsidRPr="00D20211" w:rsidRDefault="00FE0379" w:rsidP="001B5172">
            <w:pPr>
              <w:pStyle w:val="PlainText"/>
              <w:jc w:val="both"/>
              <w:rPr>
                <w:rFonts w:asciiTheme="minorHAnsi" w:hAnsiTheme="minorHAnsi" w:cstheme="minorHAnsi"/>
                <w:i/>
                <w:sz w:val="20"/>
                <w:szCs w:val="20"/>
              </w:rPr>
            </w:pPr>
            <w:r w:rsidRPr="00D20211">
              <w:rPr>
                <w:rFonts w:asciiTheme="minorHAnsi" w:hAnsiTheme="minorHAnsi" w:cstheme="minorHAnsi"/>
                <w:i/>
                <w:sz w:val="20"/>
                <w:szCs w:val="20"/>
              </w:rPr>
              <w:t>ACADEMIC INSTITUTIONS</w:t>
            </w:r>
          </w:p>
        </w:tc>
      </w:tr>
      <w:tr w:rsidR="00FE0379" w:rsidRPr="00D20211" w14:paraId="2AD71798" w14:textId="77777777" w:rsidTr="00D44A04">
        <w:tc>
          <w:tcPr>
            <w:tcW w:w="2340" w:type="dxa"/>
            <w:tcBorders>
              <w:top w:val="single" w:sz="8" w:space="0" w:color="auto"/>
              <w:left w:val="nil"/>
              <w:bottom w:val="single" w:sz="8" w:space="0" w:color="auto"/>
              <w:right w:val="nil"/>
            </w:tcBorders>
            <w:shd w:val="clear" w:color="auto" w:fill="auto"/>
            <w:vAlign w:val="center"/>
          </w:tcPr>
          <w:p w14:paraId="4B88B7C7" w14:textId="77777777" w:rsidR="00FE0379" w:rsidRPr="00D20211" w:rsidRDefault="00FE0379" w:rsidP="001B5172">
            <w:pPr>
              <w:autoSpaceDE w:val="0"/>
              <w:autoSpaceDN w:val="0"/>
              <w:adjustRightInd w:val="0"/>
              <w:spacing w:after="0" w:line="240" w:lineRule="auto"/>
              <w:rPr>
                <w:rFonts w:cstheme="minorHAnsi"/>
                <w:sz w:val="20"/>
                <w:szCs w:val="20"/>
              </w:rPr>
            </w:pPr>
            <w:r>
              <w:rPr>
                <w:rFonts w:cstheme="minorHAnsi"/>
                <w:sz w:val="20"/>
                <w:szCs w:val="20"/>
              </w:rPr>
              <w:t>Bryan Brooks</w:t>
            </w:r>
            <w:r w:rsidRPr="00D20211">
              <w:rPr>
                <w:rFonts w:cstheme="minorHAnsi"/>
                <w:sz w:val="20"/>
                <w:szCs w:val="20"/>
              </w:rPr>
              <w:t>, PhD</w:t>
            </w:r>
          </w:p>
        </w:tc>
        <w:tc>
          <w:tcPr>
            <w:tcW w:w="1350" w:type="dxa"/>
            <w:tcBorders>
              <w:top w:val="single" w:sz="8" w:space="0" w:color="auto"/>
              <w:left w:val="nil"/>
              <w:bottom w:val="single" w:sz="8" w:space="0" w:color="auto"/>
              <w:right w:val="nil"/>
            </w:tcBorders>
            <w:shd w:val="clear" w:color="auto" w:fill="auto"/>
            <w:vAlign w:val="center"/>
          </w:tcPr>
          <w:p w14:paraId="56FF1D9D" w14:textId="3B853E70" w:rsidR="00FE0379" w:rsidRPr="00D20211" w:rsidRDefault="00A23FDC" w:rsidP="001B5172">
            <w:pPr>
              <w:autoSpaceDE w:val="0"/>
              <w:autoSpaceDN w:val="0"/>
              <w:adjustRightInd w:val="0"/>
              <w:spacing w:after="0" w:line="240" w:lineRule="auto"/>
              <w:rPr>
                <w:rFonts w:cstheme="minorHAnsi"/>
                <w:sz w:val="20"/>
                <w:szCs w:val="20"/>
              </w:rPr>
            </w:pPr>
            <w:r>
              <w:rPr>
                <w:rFonts w:cstheme="minorHAnsi"/>
                <w:sz w:val="20"/>
                <w:szCs w:val="20"/>
              </w:rPr>
              <w:t>Professor, Environmental Health Sciences</w:t>
            </w:r>
          </w:p>
        </w:tc>
        <w:tc>
          <w:tcPr>
            <w:tcW w:w="1530" w:type="dxa"/>
            <w:tcBorders>
              <w:top w:val="single" w:sz="8" w:space="0" w:color="auto"/>
              <w:left w:val="nil"/>
              <w:bottom w:val="single" w:sz="8" w:space="0" w:color="auto"/>
              <w:right w:val="nil"/>
            </w:tcBorders>
            <w:shd w:val="clear" w:color="auto" w:fill="auto"/>
            <w:vAlign w:val="center"/>
          </w:tcPr>
          <w:p w14:paraId="14200573" w14:textId="58C87F39" w:rsidR="00FE0379" w:rsidRPr="00D20211" w:rsidRDefault="00A23FDC" w:rsidP="001B5172">
            <w:pPr>
              <w:autoSpaceDE w:val="0"/>
              <w:autoSpaceDN w:val="0"/>
              <w:adjustRightInd w:val="0"/>
              <w:spacing w:after="0" w:line="240" w:lineRule="auto"/>
              <w:rPr>
                <w:rFonts w:cstheme="minorHAnsi"/>
                <w:sz w:val="20"/>
                <w:szCs w:val="20"/>
              </w:rPr>
            </w:pPr>
            <w:r>
              <w:rPr>
                <w:rFonts w:cstheme="minorHAnsi"/>
                <w:sz w:val="20"/>
                <w:szCs w:val="20"/>
              </w:rPr>
              <w:t>Baylor University</w:t>
            </w:r>
          </w:p>
        </w:tc>
        <w:tc>
          <w:tcPr>
            <w:tcW w:w="1530" w:type="dxa"/>
            <w:tcBorders>
              <w:top w:val="single" w:sz="8" w:space="0" w:color="auto"/>
              <w:left w:val="nil"/>
              <w:bottom w:val="single" w:sz="8" w:space="0" w:color="auto"/>
              <w:right w:val="nil"/>
            </w:tcBorders>
            <w:shd w:val="clear" w:color="auto" w:fill="auto"/>
            <w:vAlign w:val="center"/>
          </w:tcPr>
          <w:p w14:paraId="2B7DD875" w14:textId="6DD7D189" w:rsidR="00FE0379" w:rsidRPr="00D44A04" w:rsidRDefault="00FE0379" w:rsidP="00A23FDC">
            <w:pPr>
              <w:autoSpaceDE w:val="0"/>
              <w:autoSpaceDN w:val="0"/>
              <w:adjustRightInd w:val="0"/>
              <w:spacing w:after="0" w:line="240" w:lineRule="auto"/>
              <w:jc w:val="both"/>
              <w:rPr>
                <w:rFonts w:cstheme="minorHAnsi"/>
                <w:sz w:val="20"/>
                <w:szCs w:val="20"/>
              </w:rPr>
            </w:pPr>
            <w:r w:rsidRPr="00D44A04">
              <w:rPr>
                <w:rFonts w:cstheme="minorHAnsi"/>
                <w:sz w:val="20"/>
                <w:szCs w:val="20"/>
              </w:rPr>
              <w:t>(</w:t>
            </w:r>
            <w:r w:rsidR="00A23FDC" w:rsidRPr="00D44A04">
              <w:rPr>
                <w:rFonts w:cstheme="minorHAnsi"/>
                <w:sz w:val="20"/>
                <w:szCs w:val="20"/>
              </w:rPr>
              <w:t>254) 710-6553</w:t>
            </w:r>
          </w:p>
        </w:tc>
        <w:tc>
          <w:tcPr>
            <w:tcW w:w="2610" w:type="dxa"/>
            <w:tcBorders>
              <w:top w:val="single" w:sz="8" w:space="0" w:color="auto"/>
              <w:left w:val="nil"/>
              <w:bottom w:val="single" w:sz="8" w:space="0" w:color="auto"/>
              <w:right w:val="nil"/>
            </w:tcBorders>
            <w:shd w:val="clear" w:color="auto" w:fill="auto"/>
            <w:vAlign w:val="center"/>
          </w:tcPr>
          <w:p w14:paraId="15E5C584" w14:textId="371B82CF" w:rsidR="00FE0379" w:rsidRPr="00D20211" w:rsidRDefault="00A23FDC" w:rsidP="001B5172">
            <w:pPr>
              <w:autoSpaceDE w:val="0"/>
              <w:autoSpaceDN w:val="0"/>
              <w:adjustRightInd w:val="0"/>
              <w:spacing w:after="0" w:line="240" w:lineRule="auto"/>
              <w:jc w:val="both"/>
              <w:rPr>
                <w:rFonts w:cstheme="minorHAnsi"/>
                <w:sz w:val="20"/>
                <w:szCs w:val="20"/>
              </w:rPr>
            </w:pPr>
            <w:r>
              <w:rPr>
                <w:rFonts w:cstheme="minorHAnsi"/>
                <w:sz w:val="20"/>
                <w:szCs w:val="20"/>
              </w:rPr>
              <w:t>Bryan_Brooks@baylor.edu</w:t>
            </w:r>
          </w:p>
        </w:tc>
      </w:tr>
      <w:tr w:rsidR="00FE0379" w:rsidRPr="00D20211" w14:paraId="5526845E" w14:textId="77777777" w:rsidTr="00D44A04">
        <w:tc>
          <w:tcPr>
            <w:tcW w:w="2340" w:type="dxa"/>
            <w:tcBorders>
              <w:top w:val="single" w:sz="8" w:space="0" w:color="auto"/>
              <w:left w:val="nil"/>
              <w:bottom w:val="single" w:sz="8" w:space="0" w:color="auto"/>
              <w:right w:val="nil"/>
            </w:tcBorders>
            <w:vAlign w:val="center"/>
          </w:tcPr>
          <w:p w14:paraId="18B0F65E" w14:textId="77777777" w:rsidR="00FE0379" w:rsidRPr="00D20211" w:rsidRDefault="00FE0379" w:rsidP="001B5172">
            <w:pPr>
              <w:autoSpaceDE w:val="0"/>
              <w:autoSpaceDN w:val="0"/>
              <w:adjustRightInd w:val="0"/>
              <w:spacing w:after="0" w:line="240" w:lineRule="auto"/>
              <w:jc w:val="both"/>
              <w:rPr>
                <w:rFonts w:cstheme="minorHAnsi"/>
                <w:sz w:val="20"/>
                <w:szCs w:val="20"/>
              </w:rPr>
            </w:pPr>
            <w:r>
              <w:rPr>
                <w:rFonts w:cstheme="minorHAnsi"/>
                <w:sz w:val="20"/>
                <w:szCs w:val="20"/>
              </w:rPr>
              <w:t>Murray Rudd, PhD</w:t>
            </w:r>
          </w:p>
        </w:tc>
        <w:tc>
          <w:tcPr>
            <w:tcW w:w="1350" w:type="dxa"/>
            <w:tcBorders>
              <w:top w:val="single" w:sz="8" w:space="0" w:color="auto"/>
              <w:left w:val="nil"/>
              <w:bottom w:val="single" w:sz="8" w:space="0" w:color="auto"/>
              <w:right w:val="nil"/>
            </w:tcBorders>
            <w:vAlign w:val="center"/>
          </w:tcPr>
          <w:p w14:paraId="57E826F3" w14:textId="42F926FB" w:rsidR="00FE0379" w:rsidRPr="00D20211" w:rsidRDefault="00A23FDC" w:rsidP="001B5172">
            <w:pPr>
              <w:autoSpaceDE w:val="0"/>
              <w:autoSpaceDN w:val="0"/>
              <w:adjustRightInd w:val="0"/>
              <w:spacing w:after="0" w:line="240" w:lineRule="auto"/>
              <w:jc w:val="both"/>
              <w:rPr>
                <w:rFonts w:cstheme="minorHAnsi"/>
                <w:sz w:val="20"/>
                <w:szCs w:val="20"/>
              </w:rPr>
            </w:pPr>
            <w:r>
              <w:rPr>
                <w:rFonts w:cstheme="minorHAnsi"/>
                <w:sz w:val="20"/>
                <w:szCs w:val="20"/>
              </w:rPr>
              <w:t>Associate Professor, Department of Environmental Sciences</w:t>
            </w:r>
          </w:p>
        </w:tc>
        <w:tc>
          <w:tcPr>
            <w:tcW w:w="1530" w:type="dxa"/>
            <w:tcBorders>
              <w:top w:val="single" w:sz="8" w:space="0" w:color="auto"/>
              <w:left w:val="nil"/>
              <w:bottom w:val="single" w:sz="8" w:space="0" w:color="auto"/>
              <w:right w:val="nil"/>
            </w:tcBorders>
            <w:vAlign w:val="center"/>
          </w:tcPr>
          <w:p w14:paraId="002B17F7" w14:textId="1E3AF183" w:rsidR="00FE0379" w:rsidRPr="00D20211" w:rsidRDefault="00A23FDC" w:rsidP="001B5172">
            <w:pPr>
              <w:autoSpaceDE w:val="0"/>
              <w:autoSpaceDN w:val="0"/>
              <w:adjustRightInd w:val="0"/>
              <w:spacing w:after="0" w:line="240" w:lineRule="auto"/>
              <w:jc w:val="both"/>
              <w:rPr>
                <w:rFonts w:cstheme="minorHAnsi"/>
                <w:sz w:val="20"/>
                <w:szCs w:val="20"/>
              </w:rPr>
            </w:pPr>
            <w:r>
              <w:rPr>
                <w:rFonts w:cstheme="minorHAnsi"/>
                <w:sz w:val="20"/>
                <w:szCs w:val="20"/>
              </w:rPr>
              <w:t>Emory University</w:t>
            </w:r>
          </w:p>
        </w:tc>
        <w:tc>
          <w:tcPr>
            <w:tcW w:w="1530" w:type="dxa"/>
            <w:tcBorders>
              <w:top w:val="single" w:sz="8" w:space="0" w:color="auto"/>
              <w:left w:val="nil"/>
              <w:bottom w:val="single" w:sz="8" w:space="0" w:color="auto"/>
              <w:right w:val="nil"/>
            </w:tcBorders>
            <w:vAlign w:val="center"/>
          </w:tcPr>
          <w:p w14:paraId="1043107C" w14:textId="17730473" w:rsidR="00FE0379" w:rsidRPr="00D44A04" w:rsidRDefault="00FE0379" w:rsidP="00A23FDC">
            <w:pPr>
              <w:autoSpaceDE w:val="0"/>
              <w:autoSpaceDN w:val="0"/>
              <w:adjustRightInd w:val="0"/>
              <w:spacing w:after="0" w:line="240" w:lineRule="auto"/>
              <w:jc w:val="both"/>
              <w:rPr>
                <w:rFonts w:cstheme="minorHAnsi"/>
                <w:sz w:val="20"/>
                <w:szCs w:val="20"/>
              </w:rPr>
            </w:pPr>
            <w:r w:rsidRPr="00D44A04">
              <w:rPr>
                <w:rFonts w:cstheme="minorHAnsi"/>
                <w:sz w:val="20"/>
                <w:szCs w:val="20"/>
              </w:rPr>
              <w:t>(</w:t>
            </w:r>
            <w:r w:rsidR="00C40CAD" w:rsidRPr="00D44A04">
              <w:rPr>
                <w:rFonts w:cstheme="minorHAnsi"/>
                <w:sz w:val="20"/>
                <w:szCs w:val="20"/>
              </w:rPr>
              <w:t>404) 727-3262</w:t>
            </w:r>
          </w:p>
        </w:tc>
        <w:tc>
          <w:tcPr>
            <w:tcW w:w="2610" w:type="dxa"/>
            <w:tcBorders>
              <w:top w:val="single" w:sz="8" w:space="0" w:color="auto"/>
              <w:left w:val="nil"/>
              <w:bottom w:val="single" w:sz="8" w:space="0" w:color="auto"/>
              <w:right w:val="nil"/>
            </w:tcBorders>
            <w:vAlign w:val="center"/>
          </w:tcPr>
          <w:p w14:paraId="77DC2FE6" w14:textId="4898375A" w:rsidR="00FE0379" w:rsidRPr="00D20211" w:rsidRDefault="00C40CAD" w:rsidP="001B5172">
            <w:pPr>
              <w:autoSpaceDE w:val="0"/>
              <w:autoSpaceDN w:val="0"/>
              <w:adjustRightInd w:val="0"/>
              <w:spacing w:after="0" w:line="240" w:lineRule="auto"/>
              <w:jc w:val="both"/>
              <w:rPr>
                <w:rFonts w:cstheme="minorHAnsi"/>
                <w:sz w:val="20"/>
                <w:szCs w:val="20"/>
              </w:rPr>
            </w:pPr>
            <w:r>
              <w:rPr>
                <w:rFonts w:cstheme="minorHAnsi"/>
                <w:sz w:val="20"/>
                <w:szCs w:val="20"/>
              </w:rPr>
              <w:t>murray.a.rudd@emory.edu</w:t>
            </w:r>
            <w:r w:rsidR="00FE0379" w:rsidRPr="00D20211">
              <w:rPr>
                <w:rFonts w:cstheme="minorHAnsi"/>
                <w:sz w:val="20"/>
                <w:szCs w:val="20"/>
              </w:rPr>
              <w:t xml:space="preserve">  </w:t>
            </w:r>
          </w:p>
        </w:tc>
      </w:tr>
    </w:tbl>
    <w:p w14:paraId="68CD07F7" w14:textId="77777777" w:rsidR="00FE0379" w:rsidRDefault="00FE0379" w:rsidP="00DD6160">
      <w:pPr>
        <w:autoSpaceDE w:val="0"/>
        <w:autoSpaceDN w:val="0"/>
        <w:adjustRightInd w:val="0"/>
        <w:rPr>
          <w:rFonts w:cs="ITCFranklinGothicStd-Book"/>
          <w:b/>
          <w:color w:val="FF0000"/>
          <w:sz w:val="24"/>
          <w:szCs w:val="24"/>
        </w:rPr>
      </w:pPr>
    </w:p>
    <w:p w14:paraId="0A014A5E" w14:textId="67253690" w:rsidR="00B45002" w:rsidRPr="00D20211" w:rsidRDefault="00601F1A" w:rsidP="00601F1A">
      <w:pPr>
        <w:pStyle w:val="Heading1"/>
        <w:pBdr>
          <w:bottom w:val="none" w:sz="0" w:space="0" w:color="auto"/>
        </w:pBdr>
        <w:rPr>
          <w:color w:val="auto"/>
        </w:rPr>
      </w:pPr>
      <w:bookmarkStart w:id="11" w:name="_Toc432356288"/>
      <w:r w:rsidRPr="00D20211">
        <w:rPr>
          <w:color w:val="auto"/>
        </w:rPr>
        <w:t>A.</w:t>
      </w:r>
      <w:r w:rsidR="004D21C9" w:rsidRPr="00D20211">
        <w:rPr>
          <w:color w:val="auto"/>
        </w:rPr>
        <w:t>9</w:t>
      </w:r>
      <w:r w:rsidR="00DD6160" w:rsidRPr="00D20211">
        <w:rPr>
          <w:color w:val="auto"/>
        </w:rPr>
        <w:t>. Explanation</w:t>
      </w:r>
      <w:r w:rsidR="00B45002" w:rsidRPr="00D20211">
        <w:rPr>
          <w:color w:val="auto"/>
        </w:rPr>
        <w:t xml:space="preserve"> of Any Payment or Gift to Respondents</w:t>
      </w:r>
      <w:bookmarkEnd w:id="11"/>
    </w:p>
    <w:p w14:paraId="043F830F" w14:textId="77777777" w:rsidR="00100D0E" w:rsidRPr="00D20211" w:rsidRDefault="00100D0E" w:rsidP="00524D01">
      <w:pPr>
        <w:autoSpaceDE w:val="0"/>
        <w:autoSpaceDN w:val="0"/>
        <w:adjustRightInd w:val="0"/>
        <w:spacing w:after="0" w:line="240" w:lineRule="auto"/>
        <w:rPr>
          <w:sz w:val="24"/>
          <w:szCs w:val="24"/>
        </w:rPr>
      </w:pPr>
    </w:p>
    <w:p w14:paraId="78CCAFFB" w14:textId="11654CD6" w:rsidR="00A70A6F" w:rsidRPr="0083405E" w:rsidRDefault="0083405E" w:rsidP="0083405E">
      <w:pPr>
        <w:autoSpaceDE w:val="0"/>
        <w:autoSpaceDN w:val="0"/>
        <w:adjustRightInd w:val="0"/>
        <w:spacing w:line="240" w:lineRule="auto"/>
        <w:rPr>
          <w:rFonts w:cs="ITCFranklinGothicStd-Book"/>
          <w:sz w:val="24"/>
          <w:szCs w:val="24"/>
        </w:rPr>
      </w:pPr>
      <w:r>
        <w:rPr>
          <w:rFonts w:cs="ITCFranklinGothicStd-Book"/>
          <w:sz w:val="24"/>
          <w:szCs w:val="24"/>
        </w:rPr>
        <w:t>Respondents will not receive any payment o</w:t>
      </w:r>
      <w:r w:rsidR="006A1A5D">
        <w:rPr>
          <w:rFonts w:cs="ITCFranklinGothicStd-Book"/>
          <w:sz w:val="24"/>
          <w:szCs w:val="24"/>
        </w:rPr>
        <w:t>r</w:t>
      </w:r>
      <w:r>
        <w:rPr>
          <w:rFonts w:cs="ITCFranklinGothicStd-Book"/>
          <w:sz w:val="24"/>
          <w:szCs w:val="24"/>
        </w:rPr>
        <w:t xml:space="preserve"> gift.</w:t>
      </w:r>
    </w:p>
    <w:p w14:paraId="6E8EA09B" w14:textId="00551830" w:rsidR="00B45002" w:rsidRPr="00D20211" w:rsidRDefault="00601F1A" w:rsidP="00601F1A">
      <w:pPr>
        <w:pStyle w:val="Heading1"/>
        <w:pBdr>
          <w:bottom w:val="none" w:sz="0" w:space="0" w:color="auto"/>
        </w:pBdr>
        <w:rPr>
          <w:color w:val="auto"/>
        </w:rPr>
      </w:pPr>
      <w:bookmarkStart w:id="12" w:name="_Toc432356289"/>
      <w:r w:rsidRPr="00D20211">
        <w:rPr>
          <w:color w:val="auto"/>
        </w:rPr>
        <w:t>A.</w:t>
      </w:r>
      <w:r w:rsidR="004D21C9" w:rsidRPr="00D20211">
        <w:rPr>
          <w:color w:val="auto"/>
        </w:rPr>
        <w:t>10</w:t>
      </w:r>
      <w:r w:rsidR="00AA130E" w:rsidRPr="00D20211">
        <w:rPr>
          <w:color w:val="auto"/>
        </w:rPr>
        <w:t>. Protection</w:t>
      </w:r>
      <w:r w:rsidR="00B45002" w:rsidRPr="00D20211">
        <w:rPr>
          <w:color w:val="auto"/>
        </w:rPr>
        <w:t xml:space="preserve"> of the Privacy and Confidentiality of Information Provided by Respondents</w:t>
      </w:r>
      <w:bookmarkEnd w:id="12"/>
    </w:p>
    <w:p w14:paraId="24BF9EC4" w14:textId="2A0266CD" w:rsidR="00CF7455" w:rsidRPr="00D20211" w:rsidRDefault="00CF7455" w:rsidP="00CF7455">
      <w:pPr>
        <w:autoSpaceDE w:val="0"/>
        <w:autoSpaceDN w:val="0"/>
        <w:adjustRightInd w:val="0"/>
        <w:spacing w:line="240" w:lineRule="auto"/>
        <w:rPr>
          <w:rFonts w:cs="ITCFranklinGothicStd-Book"/>
          <w:sz w:val="24"/>
          <w:szCs w:val="24"/>
          <w:u w:val="single"/>
        </w:rPr>
      </w:pPr>
    </w:p>
    <w:p w14:paraId="4F77EB48" w14:textId="4074F56B" w:rsidR="0045732D" w:rsidRDefault="00414DBD" w:rsidP="00A13158">
      <w:pPr>
        <w:autoSpaceDE w:val="0"/>
        <w:autoSpaceDN w:val="0"/>
        <w:adjustRightInd w:val="0"/>
        <w:spacing w:line="240" w:lineRule="auto"/>
        <w:rPr>
          <w:rFonts w:cs="ITCFranklinGothicStd-Book"/>
          <w:sz w:val="24"/>
          <w:szCs w:val="24"/>
        </w:rPr>
      </w:pPr>
      <w:r>
        <w:rPr>
          <w:rFonts w:cs="ITCFranklinGothicStd-Book"/>
          <w:sz w:val="24"/>
          <w:szCs w:val="24"/>
        </w:rPr>
        <w:t>On November 29, 2016, the NCEH/ATSDR PRA Contact</w:t>
      </w:r>
      <w:r w:rsidR="0045732D">
        <w:rPr>
          <w:rFonts w:cs="ITCFranklinGothicStd-Book"/>
          <w:sz w:val="24"/>
          <w:szCs w:val="24"/>
        </w:rPr>
        <w:t xml:space="preserve"> determined that the </w:t>
      </w:r>
      <w:r w:rsidR="009B3991" w:rsidRPr="00E95AE9">
        <w:rPr>
          <w:rFonts w:cs="ITCFranklinGothicStd-Book"/>
          <w:sz w:val="24"/>
          <w:szCs w:val="24"/>
        </w:rPr>
        <w:t xml:space="preserve">Privacy Act </w:t>
      </w:r>
      <w:r w:rsidR="00A36D2C" w:rsidRPr="00E95AE9">
        <w:rPr>
          <w:rFonts w:cs="ITCFranklinGothicStd-Book"/>
          <w:sz w:val="24"/>
          <w:szCs w:val="24"/>
        </w:rPr>
        <w:t>does not</w:t>
      </w:r>
      <w:r w:rsidR="009B3991" w:rsidRPr="00E95AE9">
        <w:rPr>
          <w:rFonts w:cs="ITCFranklinGothicStd-Book"/>
          <w:sz w:val="24"/>
          <w:szCs w:val="24"/>
        </w:rPr>
        <w:t xml:space="preserve"> apply. </w:t>
      </w:r>
      <w:r w:rsidR="00B71CC6">
        <w:rPr>
          <w:rFonts w:cs="ITCFranklinGothicStd-Book"/>
          <w:sz w:val="24"/>
          <w:szCs w:val="24"/>
        </w:rPr>
        <w:t xml:space="preserve"> </w:t>
      </w:r>
      <w:r w:rsidR="002B23E5" w:rsidRPr="002B23E5">
        <w:rPr>
          <w:rFonts w:cs="ITCFranklinGothicStd-Book"/>
          <w:sz w:val="24"/>
          <w:szCs w:val="24"/>
        </w:rPr>
        <w:t xml:space="preserve">Although the data collection staff will use identifiable information, such as names and </w:t>
      </w:r>
      <w:r w:rsidR="002B23E5">
        <w:rPr>
          <w:rFonts w:cs="ITCFranklinGothicStd-Book"/>
          <w:sz w:val="24"/>
          <w:szCs w:val="24"/>
        </w:rPr>
        <w:t xml:space="preserve">business </w:t>
      </w:r>
      <w:r w:rsidR="002B23E5" w:rsidRPr="002B23E5">
        <w:rPr>
          <w:rFonts w:cs="ITCFranklinGothicStd-Book"/>
          <w:sz w:val="24"/>
          <w:szCs w:val="24"/>
        </w:rPr>
        <w:t xml:space="preserve">email addresses, to facilitate administration of the data collection process, this information will be maintained in a separate password-protected record file on </w:t>
      </w:r>
      <w:r w:rsidR="002B23E5">
        <w:rPr>
          <w:rFonts w:cs="ITCFranklinGothicStd-Book"/>
          <w:sz w:val="24"/>
          <w:szCs w:val="24"/>
        </w:rPr>
        <w:t>secure</w:t>
      </w:r>
      <w:r w:rsidR="002B23E5" w:rsidRPr="002B23E5">
        <w:rPr>
          <w:rFonts w:cs="ITCFranklinGothicStd-Book"/>
          <w:sz w:val="24"/>
          <w:szCs w:val="24"/>
        </w:rPr>
        <w:t xml:space="preserve"> servers and will not be linked to response data. Participants will receive unique ID numbers; data collection records identified by participant ID numbers will not be stored with participant identifying information (i.e. name, </w:t>
      </w:r>
      <w:r w:rsidR="002B23E5">
        <w:rPr>
          <w:rFonts w:cs="ITCFranklinGothicStd-Book"/>
          <w:sz w:val="24"/>
          <w:szCs w:val="24"/>
        </w:rPr>
        <w:t>business email address</w:t>
      </w:r>
      <w:r w:rsidR="002B23E5" w:rsidRPr="002B23E5">
        <w:rPr>
          <w:rFonts w:cs="ITCFranklinGothicStd-Book"/>
          <w:sz w:val="24"/>
          <w:szCs w:val="24"/>
        </w:rPr>
        <w:t xml:space="preserve">). </w:t>
      </w:r>
      <w:r w:rsidR="002B23E5">
        <w:rPr>
          <w:rFonts w:cs="ITCFranklinGothicStd-Book"/>
          <w:sz w:val="24"/>
          <w:szCs w:val="24"/>
        </w:rPr>
        <w:t xml:space="preserve"> </w:t>
      </w:r>
      <w:r w:rsidR="002B23E5" w:rsidRPr="002B23E5">
        <w:rPr>
          <w:rFonts w:cs="ITCFranklinGothicStd-Book"/>
          <w:sz w:val="24"/>
          <w:szCs w:val="24"/>
        </w:rPr>
        <w:t xml:space="preserve">Procedures will be followed to limit the linkage of ID numbers and personal identification information. </w:t>
      </w:r>
      <w:r w:rsidR="002B23E5">
        <w:rPr>
          <w:rFonts w:cs="ITCFranklinGothicStd-Book"/>
          <w:sz w:val="24"/>
          <w:szCs w:val="24"/>
        </w:rPr>
        <w:t xml:space="preserve"> </w:t>
      </w:r>
      <w:r w:rsidR="00E95AE9">
        <w:rPr>
          <w:rFonts w:cs="ITCFranklinGothicStd-Book"/>
          <w:sz w:val="24"/>
          <w:szCs w:val="24"/>
        </w:rPr>
        <w:t>The assessment</w:t>
      </w:r>
      <w:r w:rsidR="0061321F" w:rsidRPr="00E95AE9">
        <w:rPr>
          <w:rFonts w:cs="ITCFranklinGothicStd-Book"/>
          <w:sz w:val="24"/>
          <w:szCs w:val="24"/>
        </w:rPr>
        <w:t xml:space="preserve"> </w:t>
      </w:r>
      <w:r w:rsidR="00A36D2C" w:rsidRPr="00E95AE9">
        <w:rPr>
          <w:rFonts w:cs="ITCFranklinGothicStd-Book"/>
          <w:sz w:val="24"/>
          <w:szCs w:val="24"/>
        </w:rPr>
        <w:t>does not</w:t>
      </w:r>
      <w:r w:rsidR="0061321F" w:rsidRPr="00E95AE9">
        <w:rPr>
          <w:rFonts w:cs="ITCFranklinGothicStd-Book"/>
          <w:sz w:val="24"/>
          <w:szCs w:val="24"/>
        </w:rPr>
        <w:t xml:space="preserve"> require a full Privac</w:t>
      </w:r>
      <w:r w:rsidR="00021EDD">
        <w:rPr>
          <w:rFonts w:cs="ITCFranklinGothicStd-Book"/>
          <w:sz w:val="24"/>
          <w:szCs w:val="24"/>
        </w:rPr>
        <w:t>y Impact Assessment</w:t>
      </w:r>
      <w:r w:rsidR="0061321F" w:rsidRPr="00E95AE9">
        <w:rPr>
          <w:rFonts w:cs="ITCFranklinGothicStd-Book"/>
          <w:sz w:val="24"/>
          <w:szCs w:val="24"/>
        </w:rPr>
        <w:t>.</w:t>
      </w:r>
    </w:p>
    <w:p w14:paraId="67E532E0" w14:textId="5EDDA53F" w:rsidR="00D672A0" w:rsidRPr="003F39D2" w:rsidRDefault="00D672A0" w:rsidP="00A13158">
      <w:pPr>
        <w:autoSpaceDE w:val="0"/>
        <w:autoSpaceDN w:val="0"/>
        <w:adjustRightInd w:val="0"/>
        <w:spacing w:line="240" w:lineRule="auto"/>
        <w:rPr>
          <w:rFonts w:cs="ITCFranklinGothicStd-Book"/>
          <w:sz w:val="24"/>
          <w:szCs w:val="24"/>
          <w:u w:val="single"/>
        </w:rPr>
      </w:pPr>
      <w:r w:rsidRPr="003F39D2">
        <w:rPr>
          <w:rFonts w:cs="ITCFranklinGothicStd-Book"/>
          <w:sz w:val="24"/>
          <w:szCs w:val="24"/>
          <w:u w:val="single"/>
        </w:rPr>
        <w:t>Overview of the Data Collection System</w:t>
      </w:r>
    </w:p>
    <w:p w14:paraId="73450C0C" w14:textId="77777777" w:rsidR="00A36D2C" w:rsidRDefault="00A36D2C" w:rsidP="00A13158">
      <w:pPr>
        <w:autoSpaceDE w:val="0"/>
        <w:autoSpaceDN w:val="0"/>
        <w:adjustRightInd w:val="0"/>
        <w:spacing w:line="240" w:lineRule="auto"/>
        <w:rPr>
          <w:rFonts w:cs="ITCFranklinGothicStd-Book"/>
          <w:sz w:val="24"/>
          <w:szCs w:val="24"/>
        </w:rPr>
      </w:pPr>
      <w:r w:rsidRPr="00A36D2C">
        <w:rPr>
          <w:rFonts w:cs="ITCFranklinGothicStd-Book"/>
          <w:sz w:val="24"/>
          <w:szCs w:val="24"/>
        </w:rPr>
        <w:t xml:space="preserve">The CDC is partnering with NEHA and providing funding through a contract to support their work and assistance with identifying EH professional respondents and communicating about the initiative and the results it produces. An intergovernmental personnel agreement was established with Baylor University to support the involvement of an academic consultant. The academic consultant provided valuable guidance for the design of the study and development of the survey instrument. The academic consultant has access to the survey software and will manage the administration of the survey and assist with the analysis of survey results.  </w:t>
      </w:r>
    </w:p>
    <w:p w14:paraId="3F1A1159" w14:textId="5580BB35" w:rsidR="002F4A44" w:rsidRDefault="002F5A25" w:rsidP="00A13158">
      <w:pPr>
        <w:autoSpaceDE w:val="0"/>
        <w:autoSpaceDN w:val="0"/>
        <w:adjustRightInd w:val="0"/>
        <w:spacing w:line="240" w:lineRule="auto"/>
        <w:rPr>
          <w:rFonts w:cs="ITCFranklinGothicStd-Book"/>
          <w:sz w:val="24"/>
          <w:szCs w:val="24"/>
        </w:rPr>
      </w:pPr>
      <w:r w:rsidRPr="002F5A25">
        <w:rPr>
          <w:rFonts w:cs="ITCFranklinGothicStd-Book"/>
          <w:sz w:val="24"/>
          <w:szCs w:val="24"/>
        </w:rPr>
        <w:t>EH workforce members (respondents) will be identified and enumerated by identifying a point of contact in each state</w:t>
      </w:r>
      <w:r w:rsidR="007B0C0B">
        <w:rPr>
          <w:rFonts w:cs="ITCFranklinGothicStd-Book"/>
          <w:sz w:val="24"/>
          <w:szCs w:val="24"/>
        </w:rPr>
        <w:t>, tribal,</w:t>
      </w:r>
      <w:r w:rsidR="00F912B4">
        <w:rPr>
          <w:rFonts w:cs="ITCFranklinGothicStd-Book"/>
          <w:sz w:val="24"/>
          <w:szCs w:val="24"/>
        </w:rPr>
        <w:t xml:space="preserve"> </w:t>
      </w:r>
      <w:r w:rsidR="006A353E">
        <w:rPr>
          <w:rFonts w:cs="ITCFranklinGothicStd-Book"/>
          <w:sz w:val="24"/>
          <w:szCs w:val="24"/>
        </w:rPr>
        <w:t xml:space="preserve">local, and </w:t>
      </w:r>
      <w:r w:rsidR="007B0C0B">
        <w:rPr>
          <w:rFonts w:cs="ITCFranklinGothicStd-Book"/>
          <w:sz w:val="24"/>
          <w:szCs w:val="24"/>
        </w:rPr>
        <w:t>territorial health department</w:t>
      </w:r>
      <w:r w:rsidRPr="002F5A25">
        <w:rPr>
          <w:rFonts w:cs="ITCFranklinGothicStd-Book"/>
          <w:sz w:val="24"/>
          <w:szCs w:val="24"/>
        </w:rPr>
        <w:t xml:space="preserve"> </w:t>
      </w:r>
      <w:r w:rsidR="007B0C0B">
        <w:rPr>
          <w:rFonts w:cs="ITCFranklinGothicStd-Book"/>
          <w:sz w:val="24"/>
          <w:szCs w:val="24"/>
        </w:rPr>
        <w:t xml:space="preserve">from whom a </w:t>
      </w:r>
      <w:r w:rsidRPr="002F5A25">
        <w:rPr>
          <w:rFonts w:cs="ITCFranklinGothicStd-Book"/>
          <w:sz w:val="24"/>
          <w:szCs w:val="24"/>
        </w:rPr>
        <w:t>roster of EH professionals</w:t>
      </w:r>
      <w:r w:rsidR="007B0C0B">
        <w:rPr>
          <w:rFonts w:cs="ITCFranklinGothicStd-Book"/>
          <w:sz w:val="24"/>
          <w:szCs w:val="24"/>
        </w:rPr>
        <w:t xml:space="preserve"> will be requested</w:t>
      </w:r>
      <w:r w:rsidR="000C31AF">
        <w:rPr>
          <w:rFonts w:cs="ITCFranklinGothicStd-Book"/>
          <w:sz w:val="24"/>
          <w:szCs w:val="24"/>
        </w:rPr>
        <w:t xml:space="preserve"> (Attachment </w:t>
      </w:r>
      <w:r w:rsidR="003C30AB">
        <w:rPr>
          <w:rFonts w:cs="ITCFranklinGothicStd-Book"/>
          <w:sz w:val="24"/>
          <w:szCs w:val="24"/>
        </w:rPr>
        <w:t>3</w:t>
      </w:r>
      <w:r w:rsidR="002836EB">
        <w:rPr>
          <w:rFonts w:cs="ITCFranklinGothicStd-Book"/>
          <w:sz w:val="24"/>
          <w:szCs w:val="24"/>
        </w:rPr>
        <w:t>)</w:t>
      </w:r>
      <w:r w:rsidRPr="002F5A25">
        <w:rPr>
          <w:rFonts w:cs="ITCFranklinGothicStd-Book"/>
          <w:sz w:val="24"/>
          <w:szCs w:val="24"/>
        </w:rPr>
        <w:t xml:space="preserve">. </w:t>
      </w:r>
      <w:r w:rsidR="0061321F">
        <w:rPr>
          <w:rFonts w:cs="ITCFranklinGothicStd-Book"/>
          <w:sz w:val="24"/>
          <w:szCs w:val="24"/>
        </w:rPr>
        <w:t xml:space="preserve">A </w:t>
      </w:r>
      <w:r w:rsidR="009A50C9">
        <w:rPr>
          <w:rFonts w:cs="ITCFranklinGothicStd-Book"/>
          <w:sz w:val="24"/>
          <w:szCs w:val="24"/>
        </w:rPr>
        <w:t>list of respondent</w:t>
      </w:r>
      <w:r w:rsidR="00403C61">
        <w:rPr>
          <w:rFonts w:cs="ITCFranklinGothicStd-Book"/>
          <w:sz w:val="24"/>
          <w:szCs w:val="24"/>
        </w:rPr>
        <w:t>s</w:t>
      </w:r>
      <w:r w:rsidR="003F39D2">
        <w:rPr>
          <w:rFonts w:cs="ITCFranklinGothicStd-Book"/>
          <w:sz w:val="24"/>
          <w:szCs w:val="24"/>
        </w:rPr>
        <w:t xml:space="preserve"> and their</w:t>
      </w:r>
      <w:r w:rsidR="0001093D">
        <w:rPr>
          <w:rFonts w:cs="ITCFranklinGothicStd-Book"/>
          <w:sz w:val="24"/>
          <w:szCs w:val="24"/>
        </w:rPr>
        <w:t xml:space="preserve"> </w:t>
      </w:r>
      <w:r w:rsidR="00377868">
        <w:rPr>
          <w:rFonts w:cs="ITCFranklinGothicStd-Book"/>
          <w:sz w:val="24"/>
          <w:szCs w:val="24"/>
        </w:rPr>
        <w:t xml:space="preserve">business </w:t>
      </w:r>
      <w:r w:rsidR="009A50C9">
        <w:rPr>
          <w:rFonts w:cs="ITCFranklinGothicStd-Book"/>
          <w:sz w:val="24"/>
          <w:szCs w:val="24"/>
        </w:rPr>
        <w:t>email</w:t>
      </w:r>
      <w:r>
        <w:rPr>
          <w:rFonts w:cs="ITCFranklinGothicStd-Book"/>
          <w:sz w:val="24"/>
          <w:szCs w:val="24"/>
        </w:rPr>
        <w:t xml:space="preserve"> addresses</w:t>
      </w:r>
      <w:r w:rsidR="00403C61">
        <w:rPr>
          <w:rFonts w:cs="ITCFranklinGothicStd-Book"/>
          <w:sz w:val="24"/>
          <w:szCs w:val="24"/>
        </w:rPr>
        <w:t xml:space="preserve"> </w:t>
      </w:r>
      <w:r w:rsidR="00072DDD">
        <w:rPr>
          <w:rFonts w:cs="ITCFranklinGothicStd-Book"/>
          <w:sz w:val="24"/>
          <w:szCs w:val="24"/>
        </w:rPr>
        <w:t xml:space="preserve">will be </w:t>
      </w:r>
      <w:r w:rsidR="0001093D">
        <w:rPr>
          <w:rFonts w:cs="ITCFranklinGothicStd-Book"/>
          <w:sz w:val="24"/>
          <w:szCs w:val="24"/>
        </w:rPr>
        <w:t xml:space="preserve">generated and </w:t>
      </w:r>
      <w:r w:rsidR="00072DDD">
        <w:rPr>
          <w:rFonts w:cs="ITCFranklinGothicStd-Book"/>
          <w:sz w:val="24"/>
          <w:szCs w:val="24"/>
        </w:rPr>
        <w:t xml:space="preserve">used for </w:t>
      </w:r>
      <w:r w:rsidR="004C3A6C">
        <w:rPr>
          <w:rFonts w:cs="ITCFranklinGothicStd-Book"/>
          <w:sz w:val="24"/>
          <w:szCs w:val="24"/>
        </w:rPr>
        <w:t xml:space="preserve">recruitment and </w:t>
      </w:r>
      <w:r w:rsidR="00072DDD">
        <w:rPr>
          <w:rFonts w:cs="ITCFranklinGothicStd-Book"/>
          <w:sz w:val="24"/>
          <w:szCs w:val="24"/>
        </w:rPr>
        <w:t>survey administration</w:t>
      </w:r>
      <w:r w:rsidR="00770EEA">
        <w:rPr>
          <w:rFonts w:cs="ITCFranklinGothicStd-Book"/>
          <w:sz w:val="24"/>
          <w:szCs w:val="24"/>
        </w:rPr>
        <w:t>.</w:t>
      </w:r>
      <w:r w:rsidR="002F4A44">
        <w:rPr>
          <w:rFonts w:cs="ITCFranklinGothicStd-Book"/>
          <w:sz w:val="24"/>
          <w:szCs w:val="24"/>
        </w:rPr>
        <w:t xml:space="preserve"> </w:t>
      </w:r>
      <w:r w:rsidR="00770EEA">
        <w:rPr>
          <w:rFonts w:cs="ITCFranklinGothicStd-Book"/>
          <w:sz w:val="24"/>
          <w:szCs w:val="24"/>
        </w:rPr>
        <w:t xml:space="preserve"> </w:t>
      </w:r>
      <w:r w:rsidR="00072DDD">
        <w:rPr>
          <w:rFonts w:cs="ITCFranklinGothicStd-Book"/>
          <w:sz w:val="24"/>
          <w:szCs w:val="24"/>
        </w:rPr>
        <w:t xml:space="preserve">Any contact information collected will be </w:t>
      </w:r>
      <w:r w:rsidR="00770EEA">
        <w:rPr>
          <w:rFonts w:cs="ITCFranklinGothicStd-Book"/>
          <w:sz w:val="24"/>
          <w:szCs w:val="24"/>
        </w:rPr>
        <w:t xml:space="preserve">related to their role in the organization. </w:t>
      </w:r>
      <w:r w:rsidR="002B23E5">
        <w:rPr>
          <w:rFonts w:cs="ITCFranklinGothicStd-Book"/>
          <w:sz w:val="24"/>
          <w:szCs w:val="24"/>
        </w:rPr>
        <w:t xml:space="preserve"> </w:t>
      </w:r>
      <w:r w:rsidR="00CE017E">
        <w:rPr>
          <w:rFonts w:cs="ITCFranklinGothicStd-Book"/>
          <w:sz w:val="24"/>
          <w:szCs w:val="24"/>
        </w:rPr>
        <w:t xml:space="preserve">CDC, </w:t>
      </w:r>
      <w:r>
        <w:rPr>
          <w:rFonts w:cs="ITCFranklinGothicStd-Book"/>
          <w:sz w:val="24"/>
          <w:szCs w:val="24"/>
        </w:rPr>
        <w:t>NEHA</w:t>
      </w:r>
      <w:r w:rsidR="00CE017E">
        <w:rPr>
          <w:rFonts w:cs="ITCFranklinGothicStd-Book"/>
          <w:sz w:val="24"/>
          <w:szCs w:val="24"/>
        </w:rPr>
        <w:t xml:space="preserve">, </w:t>
      </w:r>
      <w:r>
        <w:rPr>
          <w:rFonts w:cs="ITCFranklinGothicStd-Book"/>
          <w:sz w:val="24"/>
          <w:szCs w:val="24"/>
        </w:rPr>
        <w:t xml:space="preserve">and Baylor University </w:t>
      </w:r>
      <w:r w:rsidR="00072DDD">
        <w:rPr>
          <w:rFonts w:cs="ITCFranklinGothicStd-Book"/>
          <w:sz w:val="24"/>
          <w:szCs w:val="24"/>
        </w:rPr>
        <w:t>w</w:t>
      </w:r>
      <w:r w:rsidR="00770EEA">
        <w:rPr>
          <w:rFonts w:cs="ITCFranklinGothicStd-Book"/>
          <w:sz w:val="24"/>
          <w:szCs w:val="24"/>
        </w:rPr>
        <w:t xml:space="preserve">ill </w:t>
      </w:r>
      <w:r w:rsidR="00B3437C">
        <w:rPr>
          <w:rFonts w:cs="ITCFranklinGothicStd-Book"/>
          <w:sz w:val="24"/>
          <w:szCs w:val="24"/>
        </w:rPr>
        <w:t>maintain</w:t>
      </w:r>
      <w:r w:rsidR="00770EEA">
        <w:rPr>
          <w:rFonts w:cs="ITCFranklinGothicStd-Book"/>
          <w:sz w:val="24"/>
          <w:szCs w:val="24"/>
        </w:rPr>
        <w:t xml:space="preserve"> the</w:t>
      </w:r>
      <w:r w:rsidR="00072DDD">
        <w:rPr>
          <w:rFonts w:cs="ITCFranklinGothicStd-Book"/>
          <w:sz w:val="24"/>
          <w:szCs w:val="24"/>
        </w:rPr>
        <w:t xml:space="preserve"> list of respondent</w:t>
      </w:r>
      <w:r w:rsidR="0001093D">
        <w:rPr>
          <w:rFonts w:cs="ITCFranklinGothicStd-Book"/>
          <w:sz w:val="24"/>
          <w:szCs w:val="24"/>
        </w:rPr>
        <w:t xml:space="preserve"> email addresses</w:t>
      </w:r>
      <w:r w:rsidR="00B3437C">
        <w:rPr>
          <w:rFonts w:cs="ITCFranklinGothicStd-Book"/>
          <w:sz w:val="24"/>
          <w:szCs w:val="24"/>
        </w:rPr>
        <w:t>, along with any other contact information,</w:t>
      </w:r>
      <w:r w:rsidR="0001093D">
        <w:rPr>
          <w:rFonts w:cs="ITCFranklinGothicStd-Book"/>
          <w:sz w:val="24"/>
          <w:szCs w:val="24"/>
        </w:rPr>
        <w:t xml:space="preserve"> </w:t>
      </w:r>
      <w:r w:rsidR="00A13158">
        <w:rPr>
          <w:rFonts w:cs="ITCFranklinGothicStd-Book"/>
          <w:sz w:val="24"/>
          <w:szCs w:val="24"/>
        </w:rPr>
        <w:t xml:space="preserve">that will remain </w:t>
      </w:r>
      <w:r w:rsidR="00A36D2C">
        <w:rPr>
          <w:rFonts w:cs="ITCFranklinGothicStd-Book"/>
          <w:sz w:val="24"/>
          <w:szCs w:val="24"/>
        </w:rPr>
        <w:t xml:space="preserve">secure </w:t>
      </w:r>
      <w:r w:rsidR="00A13158">
        <w:rPr>
          <w:rFonts w:cs="ITCFranklinGothicStd-Book"/>
          <w:sz w:val="24"/>
          <w:szCs w:val="24"/>
        </w:rPr>
        <w:t>and stored o</w:t>
      </w:r>
      <w:r w:rsidR="00072DDD">
        <w:rPr>
          <w:rFonts w:cs="ITCFranklinGothicStd-Book"/>
          <w:sz w:val="24"/>
          <w:szCs w:val="24"/>
        </w:rPr>
        <w:t>n secure</w:t>
      </w:r>
      <w:r w:rsidR="00770EEA">
        <w:rPr>
          <w:rFonts w:cs="ITCFranklinGothicStd-Book"/>
          <w:sz w:val="24"/>
          <w:szCs w:val="24"/>
        </w:rPr>
        <w:t xml:space="preserve"> </w:t>
      </w:r>
      <w:r w:rsidR="00A13158">
        <w:rPr>
          <w:rFonts w:cs="ITCFranklinGothicStd-Book"/>
          <w:sz w:val="24"/>
          <w:szCs w:val="24"/>
        </w:rPr>
        <w:t>servers</w:t>
      </w:r>
      <w:r w:rsidR="001B5172">
        <w:rPr>
          <w:rFonts w:cs="ITCFranklinGothicStd-Book"/>
          <w:sz w:val="24"/>
          <w:szCs w:val="24"/>
        </w:rPr>
        <w:t xml:space="preserve"> with controlled access</w:t>
      </w:r>
      <w:r w:rsidR="00770EEA">
        <w:rPr>
          <w:rFonts w:cs="ITCFranklinGothicStd-Book"/>
          <w:sz w:val="24"/>
          <w:szCs w:val="24"/>
        </w:rPr>
        <w:t>.</w:t>
      </w:r>
      <w:r w:rsidR="00072DDD">
        <w:rPr>
          <w:rFonts w:cs="ITCFranklinGothicStd-Book"/>
          <w:sz w:val="24"/>
          <w:szCs w:val="24"/>
        </w:rPr>
        <w:t xml:space="preserve"> </w:t>
      </w:r>
      <w:r w:rsidR="00B71CC6">
        <w:rPr>
          <w:rFonts w:cs="ITCFranklinGothicStd-Book"/>
          <w:sz w:val="24"/>
          <w:szCs w:val="24"/>
        </w:rPr>
        <w:t xml:space="preserve"> </w:t>
      </w:r>
      <w:r w:rsidR="00E51473">
        <w:rPr>
          <w:rFonts w:cs="ITCFranklinGothicStd-Book"/>
          <w:sz w:val="24"/>
          <w:szCs w:val="24"/>
        </w:rPr>
        <w:t>Respondent names and business email addresses</w:t>
      </w:r>
      <w:r w:rsidR="00E51473" w:rsidRPr="00E51473">
        <w:rPr>
          <w:rFonts w:cs="ITCFranklinGothicStd-Book"/>
          <w:sz w:val="24"/>
          <w:szCs w:val="24"/>
        </w:rPr>
        <w:t xml:space="preserve"> will be maintained in a separate file from results. </w:t>
      </w:r>
      <w:r w:rsidR="00E51473">
        <w:rPr>
          <w:rFonts w:cs="ITCFranklinGothicStd-Book"/>
          <w:sz w:val="24"/>
          <w:szCs w:val="24"/>
        </w:rPr>
        <w:t xml:space="preserve"> </w:t>
      </w:r>
      <w:r w:rsidR="00B71CC6">
        <w:rPr>
          <w:rFonts w:cs="ITCFranklinGothicStd-Book"/>
          <w:sz w:val="24"/>
          <w:szCs w:val="24"/>
        </w:rPr>
        <w:t xml:space="preserve">CDC will treat data/information in a secure manner and will not disclose, unless otherwise compelled by law.  </w:t>
      </w:r>
      <w:r w:rsidR="001B5172">
        <w:rPr>
          <w:rFonts w:cs="ITCFranklinGothicStd-Book"/>
          <w:sz w:val="24"/>
          <w:szCs w:val="24"/>
        </w:rPr>
        <w:t xml:space="preserve">In addition, </w:t>
      </w:r>
      <w:r w:rsidR="00CE017E">
        <w:rPr>
          <w:rFonts w:cs="ITCFranklinGothicStd-Book"/>
          <w:sz w:val="24"/>
          <w:szCs w:val="24"/>
        </w:rPr>
        <w:t xml:space="preserve">survey respondents will be coded for anonymity, </w:t>
      </w:r>
      <w:r w:rsidR="00167360">
        <w:rPr>
          <w:rFonts w:cs="ITCFranklinGothicStd-Book"/>
          <w:sz w:val="24"/>
          <w:szCs w:val="24"/>
        </w:rPr>
        <w:t xml:space="preserve">and </w:t>
      </w:r>
      <w:r w:rsidR="00CE017E">
        <w:rPr>
          <w:rFonts w:cs="ITCFranklinGothicStd-Book"/>
          <w:sz w:val="24"/>
          <w:szCs w:val="24"/>
        </w:rPr>
        <w:t xml:space="preserve">any personally </w:t>
      </w:r>
      <w:r w:rsidR="00CE017E">
        <w:rPr>
          <w:rFonts w:cs="ITCFranklinGothicStd-Book"/>
          <w:sz w:val="24"/>
          <w:szCs w:val="24"/>
          <w:lang w:val="en-GB"/>
        </w:rPr>
        <w:t xml:space="preserve">identifiable </w:t>
      </w:r>
      <w:r w:rsidR="00A13158" w:rsidRPr="00A13158">
        <w:rPr>
          <w:rFonts w:cs="ITCFranklinGothicStd-Book"/>
          <w:sz w:val="24"/>
          <w:szCs w:val="24"/>
          <w:lang w:val="en-GB"/>
        </w:rPr>
        <w:t>information in open-ended responses will be removed</w:t>
      </w:r>
      <w:r w:rsidR="002F4A44">
        <w:rPr>
          <w:rFonts w:cs="ITCFranklinGothicStd-Book"/>
          <w:sz w:val="24"/>
          <w:szCs w:val="24"/>
          <w:lang w:val="en-GB"/>
        </w:rPr>
        <w:t xml:space="preserve"> by CDC and Baylor University.  The survey software, which will be </w:t>
      </w:r>
      <w:r w:rsidR="002E0E5B">
        <w:rPr>
          <w:rFonts w:cs="ITCFranklinGothicStd-Book"/>
          <w:sz w:val="24"/>
          <w:szCs w:val="24"/>
          <w:lang w:val="en-GB"/>
        </w:rPr>
        <w:t>managed</w:t>
      </w:r>
      <w:r w:rsidR="002F4A44">
        <w:rPr>
          <w:rFonts w:cs="ITCFranklinGothicStd-Book"/>
          <w:sz w:val="24"/>
          <w:szCs w:val="24"/>
          <w:lang w:val="en-GB"/>
        </w:rPr>
        <w:t xml:space="preserve"> by the academic consultant at Baylor University, will assign and maintain the codes and linking information for survey respondents</w:t>
      </w:r>
      <w:r w:rsidR="002B23E5">
        <w:rPr>
          <w:rFonts w:cs="ITCFranklinGothicStd-Book"/>
          <w:sz w:val="24"/>
          <w:szCs w:val="24"/>
          <w:lang w:val="en-GB"/>
        </w:rPr>
        <w:t xml:space="preserve">. </w:t>
      </w:r>
      <w:r w:rsidR="002B23E5" w:rsidRPr="002B23E5">
        <w:t xml:space="preserve"> </w:t>
      </w:r>
      <w:r w:rsidR="002B23E5" w:rsidRPr="002B23E5">
        <w:rPr>
          <w:rFonts w:cs="ITCFranklinGothicStd-Book"/>
          <w:sz w:val="24"/>
          <w:szCs w:val="24"/>
          <w:lang w:val="en-GB"/>
        </w:rPr>
        <w:t>Any ID number assigned to a respondent will be de-linked from personally identifying information at the end of data collection</w:t>
      </w:r>
      <w:r w:rsidR="002B23E5">
        <w:rPr>
          <w:rFonts w:cs="ITCFranklinGothicStd-Book"/>
          <w:sz w:val="24"/>
          <w:szCs w:val="24"/>
          <w:lang w:val="en-GB"/>
        </w:rPr>
        <w:t>.</w:t>
      </w:r>
      <w:r w:rsidR="00AC0E0C">
        <w:rPr>
          <w:rFonts w:cs="ITCFranklinGothicStd-Book"/>
          <w:sz w:val="24"/>
          <w:szCs w:val="24"/>
          <w:lang w:val="en-GB"/>
        </w:rPr>
        <w:t xml:space="preserve">  Data from this information collection will be published in aggregate statistical form only.</w:t>
      </w:r>
      <w:r w:rsidR="002F4A44">
        <w:rPr>
          <w:rFonts w:cs="ITCFranklinGothicStd-Book"/>
          <w:sz w:val="24"/>
          <w:szCs w:val="24"/>
          <w:lang w:val="en-GB"/>
        </w:rPr>
        <w:t xml:space="preserve"> </w:t>
      </w:r>
    </w:p>
    <w:p w14:paraId="55E5847B" w14:textId="66185DB2" w:rsidR="00115F97" w:rsidRDefault="007B5185" w:rsidP="00A13158">
      <w:pPr>
        <w:autoSpaceDE w:val="0"/>
        <w:autoSpaceDN w:val="0"/>
        <w:adjustRightInd w:val="0"/>
        <w:spacing w:line="240" w:lineRule="auto"/>
        <w:rPr>
          <w:rFonts w:cs="ITCFranklinGothicStd-Book"/>
          <w:sz w:val="24"/>
          <w:szCs w:val="24"/>
        </w:rPr>
      </w:pPr>
      <w:r>
        <w:rPr>
          <w:rFonts w:cs="ITCFranklinGothicStd-Book"/>
          <w:sz w:val="24"/>
          <w:szCs w:val="24"/>
        </w:rPr>
        <w:t>Five email messages will be distributed to the respondents</w:t>
      </w:r>
      <w:r w:rsidR="00A36D2C">
        <w:rPr>
          <w:rFonts w:cs="ITCFranklinGothicStd-Book"/>
          <w:sz w:val="24"/>
          <w:szCs w:val="24"/>
        </w:rPr>
        <w:t>:</w:t>
      </w:r>
    </w:p>
    <w:p w14:paraId="39A65600" w14:textId="3801C67B" w:rsidR="00E36F44" w:rsidRPr="00074B9B" w:rsidRDefault="00E36F44" w:rsidP="007B5185">
      <w:pPr>
        <w:pStyle w:val="ListParagraph"/>
        <w:numPr>
          <w:ilvl w:val="0"/>
          <w:numId w:val="43"/>
        </w:numPr>
        <w:autoSpaceDE w:val="0"/>
        <w:autoSpaceDN w:val="0"/>
        <w:adjustRightInd w:val="0"/>
        <w:spacing w:line="240" w:lineRule="auto"/>
        <w:rPr>
          <w:rFonts w:cs="ITCFranklinGothicStd-Book"/>
          <w:sz w:val="24"/>
          <w:szCs w:val="24"/>
        </w:rPr>
      </w:pPr>
      <w:r w:rsidRPr="00074B9B">
        <w:rPr>
          <w:rFonts w:cs="ITCFranklinGothicStd-Book"/>
          <w:sz w:val="24"/>
          <w:szCs w:val="24"/>
        </w:rPr>
        <w:t>Pre-Survey Email –</w:t>
      </w:r>
      <w:r w:rsidR="00547ACF" w:rsidRPr="00074B9B">
        <w:rPr>
          <w:rFonts w:cs="ITCFranklinGothicStd-Book"/>
          <w:sz w:val="24"/>
          <w:szCs w:val="24"/>
        </w:rPr>
        <w:t xml:space="preserve"> </w:t>
      </w:r>
      <w:r w:rsidR="00074B9B">
        <w:rPr>
          <w:rFonts w:cs="ITCFranklinGothicStd-Book"/>
          <w:sz w:val="24"/>
          <w:szCs w:val="24"/>
        </w:rPr>
        <w:t>The pre-survey email will p</w:t>
      </w:r>
      <w:r w:rsidR="00547ACF" w:rsidRPr="00074B9B">
        <w:rPr>
          <w:rFonts w:cs="ITCFranklinGothicStd-Book"/>
          <w:sz w:val="24"/>
          <w:szCs w:val="24"/>
        </w:rPr>
        <w:t>rovide the potential respondent with information about the survey and in</w:t>
      </w:r>
      <w:r w:rsidR="00074B9B" w:rsidRPr="00074B9B">
        <w:rPr>
          <w:rFonts w:cs="ITCFranklinGothicStd-Book"/>
          <w:sz w:val="24"/>
          <w:szCs w:val="24"/>
        </w:rPr>
        <w:t xml:space="preserve">dicate they will soon receive a </w:t>
      </w:r>
      <w:r w:rsidR="00547ACF" w:rsidRPr="00074B9B">
        <w:rPr>
          <w:rFonts w:cs="ITCFranklinGothicStd-Book"/>
          <w:sz w:val="24"/>
          <w:szCs w:val="24"/>
        </w:rPr>
        <w:t xml:space="preserve">link to </w:t>
      </w:r>
      <w:r w:rsidR="00A36D2C">
        <w:rPr>
          <w:rFonts w:cs="ITCFranklinGothicStd-Book"/>
          <w:sz w:val="24"/>
          <w:szCs w:val="24"/>
        </w:rPr>
        <w:t xml:space="preserve">the </w:t>
      </w:r>
      <w:r w:rsidR="00547ACF" w:rsidRPr="00074B9B">
        <w:rPr>
          <w:rFonts w:cs="ITCFranklinGothicStd-Book"/>
          <w:sz w:val="24"/>
          <w:szCs w:val="24"/>
        </w:rPr>
        <w:t xml:space="preserve">survey </w:t>
      </w:r>
      <w:r w:rsidR="00D22535" w:rsidRPr="00074B9B">
        <w:rPr>
          <w:rFonts w:cs="ITCFranklinGothicStd-Book"/>
          <w:sz w:val="24"/>
          <w:szCs w:val="24"/>
        </w:rPr>
        <w:t xml:space="preserve">(Attachment </w:t>
      </w:r>
      <w:r w:rsidR="003C30AB">
        <w:rPr>
          <w:rFonts w:cs="ITCFranklinGothicStd-Book"/>
          <w:sz w:val="24"/>
          <w:szCs w:val="24"/>
        </w:rPr>
        <w:t>4</w:t>
      </w:r>
      <w:r w:rsidR="001843CE" w:rsidRPr="00074B9B">
        <w:rPr>
          <w:rFonts w:cs="ITCFranklinGothicStd-Book"/>
          <w:sz w:val="24"/>
          <w:szCs w:val="24"/>
        </w:rPr>
        <w:t>a).</w:t>
      </w:r>
      <w:r w:rsidRPr="00074B9B">
        <w:rPr>
          <w:rFonts w:cs="ITCFranklinGothicStd-Book"/>
          <w:sz w:val="24"/>
          <w:szCs w:val="24"/>
        </w:rPr>
        <w:t xml:space="preserve"> </w:t>
      </w:r>
    </w:p>
    <w:p w14:paraId="35843AD1" w14:textId="191D2E41" w:rsidR="004E4E7F" w:rsidRPr="00074B9B" w:rsidRDefault="004E4E7F" w:rsidP="007B5185">
      <w:pPr>
        <w:pStyle w:val="ListParagraph"/>
        <w:numPr>
          <w:ilvl w:val="0"/>
          <w:numId w:val="43"/>
        </w:numPr>
        <w:autoSpaceDE w:val="0"/>
        <w:autoSpaceDN w:val="0"/>
        <w:adjustRightInd w:val="0"/>
        <w:spacing w:line="240" w:lineRule="auto"/>
        <w:rPr>
          <w:sz w:val="24"/>
          <w:szCs w:val="24"/>
        </w:rPr>
      </w:pPr>
      <w:r w:rsidRPr="00074B9B">
        <w:rPr>
          <w:rFonts w:cs="ITCFranklinGothicStd-Book"/>
          <w:sz w:val="24"/>
          <w:szCs w:val="24"/>
        </w:rPr>
        <w:t xml:space="preserve">Invitation to Participate - </w:t>
      </w:r>
      <w:r w:rsidRPr="00074B9B">
        <w:rPr>
          <w:sz w:val="24"/>
          <w:szCs w:val="24"/>
        </w:rPr>
        <w:t>An invitation letter will be emailed to the respondent universe inviting them to participate in the survey and directing them to the website where the survey is located</w:t>
      </w:r>
      <w:r w:rsidR="00D22535" w:rsidRPr="00074B9B">
        <w:rPr>
          <w:sz w:val="24"/>
          <w:szCs w:val="24"/>
        </w:rPr>
        <w:t xml:space="preserve"> (Attachment </w:t>
      </w:r>
      <w:r w:rsidR="003C30AB">
        <w:rPr>
          <w:sz w:val="24"/>
          <w:szCs w:val="24"/>
        </w:rPr>
        <w:t>4</w:t>
      </w:r>
      <w:r w:rsidR="001843CE" w:rsidRPr="00074B9B">
        <w:rPr>
          <w:sz w:val="24"/>
          <w:szCs w:val="24"/>
        </w:rPr>
        <w:t>b)</w:t>
      </w:r>
      <w:r w:rsidRPr="00074B9B">
        <w:rPr>
          <w:sz w:val="24"/>
          <w:szCs w:val="24"/>
        </w:rPr>
        <w:t>.</w:t>
      </w:r>
    </w:p>
    <w:p w14:paraId="7028CA63" w14:textId="606B7A85" w:rsidR="000A6B97" w:rsidRPr="0086416C" w:rsidRDefault="000A6B97" w:rsidP="007B5185">
      <w:pPr>
        <w:pStyle w:val="ListParagraph"/>
        <w:numPr>
          <w:ilvl w:val="0"/>
          <w:numId w:val="43"/>
        </w:numPr>
        <w:autoSpaceDE w:val="0"/>
        <w:autoSpaceDN w:val="0"/>
        <w:adjustRightInd w:val="0"/>
        <w:spacing w:line="240" w:lineRule="auto"/>
        <w:rPr>
          <w:rFonts w:cs="ITCFranklinGothicStd-Book"/>
          <w:sz w:val="24"/>
          <w:szCs w:val="24"/>
        </w:rPr>
      </w:pPr>
      <w:r w:rsidRPr="0086416C">
        <w:rPr>
          <w:sz w:val="24"/>
          <w:szCs w:val="24"/>
        </w:rPr>
        <w:t xml:space="preserve">First </w:t>
      </w:r>
      <w:r w:rsidR="004E4E7F" w:rsidRPr="0086416C">
        <w:rPr>
          <w:sz w:val="24"/>
          <w:szCs w:val="24"/>
        </w:rPr>
        <w:t xml:space="preserve">Follow-Up Email </w:t>
      </w:r>
      <w:r w:rsidR="005612A6" w:rsidRPr="0086416C">
        <w:rPr>
          <w:sz w:val="24"/>
          <w:szCs w:val="24"/>
        </w:rPr>
        <w:t>–</w:t>
      </w:r>
      <w:r w:rsidR="004E4E7F" w:rsidRPr="0086416C">
        <w:rPr>
          <w:sz w:val="24"/>
          <w:szCs w:val="24"/>
        </w:rPr>
        <w:t xml:space="preserve"> </w:t>
      </w:r>
      <w:r w:rsidR="005612A6" w:rsidRPr="0086416C">
        <w:rPr>
          <w:sz w:val="24"/>
          <w:szCs w:val="24"/>
        </w:rPr>
        <w:t xml:space="preserve">The </w:t>
      </w:r>
      <w:r w:rsidR="001843CE" w:rsidRPr="0086416C">
        <w:rPr>
          <w:rFonts w:cs="ITCFranklinGothicStd-Book"/>
          <w:sz w:val="24"/>
          <w:szCs w:val="24"/>
        </w:rPr>
        <w:t xml:space="preserve">Thanks-Reminder email </w:t>
      </w:r>
      <w:r w:rsidR="005612A6" w:rsidRPr="0086416C">
        <w:rPr>
          <w:rFonts w:cs="ITCFranklinGothicStd-Book"/>
          <w:sz w:val="24"/>
          <w:szCs w:val="24"/>
        </w:rPr>
        <w:t>will be sent a week after the invitation to participate. The email will thank those respondents who already completed the survey and r</w:t>
      </w:r>
      <w:r w:rsidR="001843CE" w:rsidRPr="0086416C">
        <w:rPr>
          <w:rFonts w:cs="ITCFranklinGothicStd-Book"/>
          <w:sz w:val="24"/>
          <w:szCs w:val="24"/>
        </w:rPr>
        <w:t xml:space="preserve">emind </w:t>
      </w:r>
      <w:r w:rsidR="005612A6" w:rsidRPr="0086416C">
        <w:rPr>
          <w:rFonts w:cs="ITCFranklinGothicStd-Book"/>
          <w:sz w:val="24"/>
          <w:szCs w:val="24"/>
        </w:rPr>
        <w:t xml:space="preserve">those who have not to please consider completing the survey </w:t>
      </w:r>
      <w:r w:rsidR="00D22535" w:rsidRPr="0086416C">
        <w:rPr>
          <w:rFonts w:cs="ITCFranklinGothicStd-Book"/>
          <w:sz w:val="24"/>
          <w:szCs w:val="24"/>
        </w:rPr>
        <w:t xml:space="preserve">(Attachment </w:t>
      </w:r>
      <w:r w:rsidR="003C30AB">
        <w:rPr>
          <w:rFonts w:cs="ITCFranklinGothicStd-Book"/>
          <w:sz w:val="24"/>
          <w:szCs w:val="24"/>
        </w:rPr>
        <w:t>4</w:t>
      </w:r>
      <w:r w:rsidR="00D22535" w:rsidRPr="0086416C">
        <w:rPr>
          <w:rFonts w:cs="ITCFranklinGothicStd-Book"/>
          <w:sz w:val="24"/>
          <w:szCs w:val="24"/>
        </w:rPr>
        <w:t>c</w:t>
      </w:r>
      <w:r w:rsidR="00D069B6" w:rsidRPr="0086416C">
        <w:rPr>
          <w:rFonts w:cs="ITCFranklinGothicStd-Book"/>
          <w:sz w:val="24"/>
          <w:szCs w:val="24"/>
        </w:rPr>
        <w:t>)</w:t>
      </w:r>
      <w:r w:rsidR="005612A6" w:rsidRPr="0086416C">
        <w:rPr>
          <w:rFonts w:cs="ITCFranklinGothicStd-Book"/>
          <w:sz w:val="24"/>
          <w:szCs w:val="24"/>
        </w:rPr>
        <w:t>.</w:t>
      </w:r>
    </w:p>
    <w:p w14:paraId="27A185B9" w14:textId="6948295F" w:rsidR="004E4E7F" w:rsidRPr="0086416C" w:rsidRDefault="00D069B6" w:rsidP="007B5185">
      <w:pPr>
        <w:pStyle w:val="ListParagraph"/>
        <w:numPr>
          <w:ilvl w:val="0"/>
          <w:numId w:val="43"/>
        </w:numPr>
        <w:autoSpaceDE w:val="0"/>
        <w:autoSpaceDN w:val="0"/>
        <w:adjustRightInd w:val="0"/>
        <w:spacing w:line="240" w:lineRule="auto"/>
        <w:rPr>
          <w:rFonts w:cs="ITCFranklinGothicStd-Book"/>
          <w:sz w:val="24"/>
          <w:szCs w:val="24"/>
        </w:rPr>
      </w:pPr>
      <w:r w:rsidRPr="0086416C">
        <w:rPr>
          <w:rFonts w:cs="ITCFranklinGothicStd-Book"/>
          <w:sz w:val="24"/>
          <w:szCs w:val="24"/>
        </w:rPr>
        <w:t xml:space="preserve">Second Follow-Up email </w:t>
      </w:r>
      <w:r w:rsidR="0086416C" w:rsidRPr="0086416C">
        <w:rPr>
          <w:rFonts w:cs="ITCFranklinGothicStd-Book"/>
          <w:sz w:val="24"/>
          <w:szCs w:val="24"/>
        </w:rPr>
        <w:t>–</w:t>
      </w:r>
      <w:r w:rsidR="000211D6" w:rsidRPr="0086416C">
        <w:rPr>
          <w:rFonts w:cs="ITCFranklinGothicStd-Book"/>
          <w:sz w:val="24"/>
          <w:szCs w:val="24"/>
        </w:rPr>
        <w:t xml:space="preserve"> </w:t>
      </w:r>
      <w:r w:rsidR="0086416C" w:rsidRPr="0086416C">
        <w:rPr>
          <w:rFonts w:cs="ITCFranklinGothicStd-Book"/>
          <w:sz w:val="24"/>
          <w:szCs w:val="24"/>
        </w:rPr>
        <w:t xml:space="preserve">The reminder email will be sent several weeks after the invitation email to respondents who have not yet completed the survey </w:t>
      </w:r>
      <w:r w:rsidRPr="0086416C">
        <w:rPr>
          <w:rFonts w:cs="ITCFranklinGothicStd-Book"/>
          <w:sz w:val="24"/>
          <w:szCs w:val="24"/>
        </w:rPr>
        <w:t>(Attachment</w:t>
      </w:r>
      <w:r w:rsidR="000A6B97" w:rsidRPr="0086416C">
        <w:rPr>
          <w:rFonts w:cs="ITCFranklinGothicStd-Book"/>
          <w:sz w:val="24"/>
          <w:szCs w:val="24"/>
        </w:rPr>
        <w:t xml:space="preserve"> </w:t>
      </w:r>
      <w:r w:rsidR="003C30AB">
        <w:rPr>
          <w:rFonts w:cs="ITCFranklinGothicStd-Book"/>
          <w:sz w:val="24"/>
          <w:szCs w:val="24"/>
        </w:rPr>
        <w:t>4</w:t>
      </w:r>
      <w:r w:rsidR="001843CE" w:rsidRPr="0086416C">
        <w:rPr>
          <w:rFonts w:cs="ITCFranklinGothicStd-Book"/>
          <w:sz w:val="24"/>
          <w:szCs w:val="24"/>
        </w:rPr>
        <w:t>d).</w:t>
      </w:r>
    </w:p>
    <w:p w14:paraId="34A5571C" w14:textId="02392551" w:rsidR="001843CE" w:rsidRPr="00FE6322" w:rsidRDefault="001843CE" w:rsidP="007B5185">
      <w:pPr>
        <w:pStyle w:val="ListParagraph"/>
        <w:numPr>
          <w:ilvl w:val="0"/>
          <w:numId w:val="43"/>
        </w:numPr>
        <w:autoSpaceDE w:val="0"/>
        <w:autoSpaceDN w:val="0"/>
        <w:adjustRightInd w:val="0"/>
        <w:spacing w:line="240" w:lineRule="auto"/>
        <w:rPr>
          <w:rFonts w:cs="ITCFranklinGothicStd-Book"/>
          <w:sz w:val="24"/>
          <w:szCs w:val="24"/>
        </w:rPr>
      </w:pPr>
      <w:r w:rsidRPr="00FE6322">
        <w:rPr>
          <w:rFonts w:cs="ITCFranklinGothicStd-Book"/>
          <w:sz w:val="24"/>
          <w:szCs w:val="24"/>
        </w:rPr>
        <w:t xml:space="preserve">Final Notice Email – </w:t>
      </w:r>
      <w:r w:rsidR="00FE6322" w:rsidRPr="00FE6322">
        <w:rPr>
          <w:rFonts w:cs="ITCFranklinGothicStd-Book"/>
          <w:sz w:val="24"/>
          <w:szCs w:val="24"/>
        </w:rPr>
        <w:t xml:space="preserve">The </w:t>
      </w:r>
      <w:r w:rsidR="00A36D2C">
        <w:rPr>
          <w:rFonts w:cs="ITCFranklinGothicStd-Book"/>
          <w:sz w:val="24"/>
          <w:szCs w:val="24"/>
        </w:rPr>
        <w:t xml:space="preserve">final notice </w:t>
      </w:r>
      <w:r w:rsidR="00FE6322" w:rsidRPr="00FE6322">
        <w:rPr>
          <w:rFonts w:cs="ITCFranklinGothicStd-Book"/>
          <w:sz w:val="24"/>
          <w:szCs w:val="24"/>
        </w:rPr>
        <w:t>email will be sent one month after the invitation email was sent as a final request for respondents to complete the survey</w:t>
      </w:r>
      <w:r w:rsidR="00D22535" w:rsidRPr="00FE6322">
        <w:rPr>
          <w:rFonts w:cs="ITCFranklinGothicStd-Book"/>
          <w:sz w:val="24"/>
          <w:szCs w:val="24"/>
        </w:rPr>
        <w:t xml:space="preserve"> (Attachment </w:t>
      </w:r>
      <w:r w:rsidR="003C30AB">
        <w:rPr>
          <w:rFonts w:cs="ITCFranklinGothicStd-Book"/>
          <w:sz w:val="24"/>
          <w:szCs w:val="24"/>
        </w:rPr>
        <w:t>4</w:t>
      </w:r>
      <w:r w:rsidRPr="00FE6322">
        <w:rPr>
          <w:rFonts w:cs="ITCFranklinGothicStd-Book"/>
          <w:sz w:val="24"/>
          <w:szCs w:val="24"/>
        </w:rPr>
        <w:t>e).</w:t>
      </w:r>
    </w:p>
    <w:p w14:paraId="15E26FD9" w14:textId="77777777" w:rsidR="00586E42" w:rsidRDefault="00AF72A5" w:rsidP="000B56A0">
      <w:pPr>
        <w:autoSpaceDE w:val="0"/>
        <w:autoSpaceDN w:val="0"/>
        <w:adjustRightInd w:val="0"/>
        <w:spacing w:line="240" w:lineRule="auto"/>
        <w:rPr>
          <w:rFonts w:cs="ITCFranklinGothicStd-Book"/>
          <w:sz w:val="24"/>
          <w:szCs w:val="24"/>
        </w:rPr>
      </w:pPr>
      <w:r>
        <w:rPr>
          <w:rFonts w:cs="ITCFranklinGothicStd-Book"/>
          <w:sz w:val="24"/>
          <w:szCs w:val="24"/>
        </w:rPr>
        <w:t xml:space="preserve">The introductory message of the survey indicates that the survey is voluntary </w:t>
      </w:r>
      <w:r w:rsidRPr="00AF72A5">
        <w:rPr>
          <w:rFonts w:cs="ITCFranklinGothicStd-Book"/>
          <w:sz w:val="24"/>
          <w:szCs w:val="24"/>
        </w:rPr>
        <w:t xml:space="preserve">and </w:t>
      </w:r>
      <w:r>
        <w:rPr>
          <w:rFonts w:cs="ITCFranklinGothicStd-Book"/>
          <w:sz w:val="24"/>
          <w:szCs w:val="24"/>
        </w:rPr>
        <w:t xml:space="preserve">the respondent </w:t>
      </w:r>
      <w:r w:rsidRPr="00AF72A5">
        <w:rPr>
          <w:rFonts w:cs="ITCFranklinGothicStd-Book"/>
          <w:sz w:val="24"/>
          <w:szCs w:val="24"/>
        </w:rPr>
        <w:t xml:space="preserve">may decide to quit the survey at any time. If </w:t>
      </w:r>
      <w:r>
        <w:rPr>
          <w:rFonts w:cs="ITCFranklinGothicStd-Book"/>
          <w:sz w:val="24"/>
          <w:szCs w:val="24"/>
        </w:rPr>
        <w:t xml:space="preserve">they </w:t>
      </w:r>
      <w:r w:rsidRPr="00AF72A5">
        <w:rPr>
          <w:rFonts w:cs="ITCFranklinGothicStd-Book"/>
          <w:sz w:val="24"/>
          <w:szCs w:val="24"/>
        </w:rPr>
        <w:t>do not want to participate in th</w:t>
      </w:r>
      <w:r>
        <w:rPr>
          <w:rFonts w:cs="ITCFranklinGothicStd-Book"/>
          <w:sz w:val="24"/>
          <w:szCs w:val="24"/>
        </w:rPr>
        <w:t>e</w:t>
      </w:r>
      <w:r w:rsidRPr="00AF72A5">
        <w:rPr>
          <w:rFonts w:cs="ITCFranklinGothicStd-Book"/>
          <w:sz w:val="24"/>
          <w:szCs w:val="24"/>
        </w:rPr>
        <w:t xml:space="preserve"> survey, </w:t>
      </w:r>
      <w:r>
        <w:rPr>
          <w:rFonts w:cs="ITCFranklinGothicStd-Book"/>
          <w:sz w:val="24"/>
          <w:szCs w:val="24"/>
        </w:rPr>
        <w:t>they will have the ability to opt out and they</w:t>
      </w:r>
      <w:r w:rsidRPr="00AF72A5">
        <w:rPr>
          <w:rFonts w:cs="ITCFranklinGothicStd-Book"/>
          <w:sz w:val="24"/>
          <w:szCs w:val="24"/>
        </w:rPr>
        <w:t xml:space="preserve"> will not be emailed again. </w:t>
      </w:r>
      <w:r>
        <w:rPr>
          <w:rFonts w:cs="ITCFranklinGothicStd-Book"/>
          <w:sz w:val="24"/>
          <w:szCs w:val="24"/>
        </w:rPr>
        <w:t xml:space="preserve">There is further acknowledgement that responses </w:t>
      </w:r>
      <w:r w:rsidR="00827064">
        <w:rPr>
          <w:rFonts w:cs="ITCFranklinGothicStd-Book"/>
          <w:sz w:val="24"/>
          <w:szCs w:val="24"/>
        </w:rPr>
        <w:t xml:space="preserve">will not be </w:t>
      </w:r>
      <w:r w:rsidR="006E324A">
        <w:rPr>
          <w:rFonts w:cs="ITCFranklinGothicStd-Book"/>
          <w:sz w:val="24"/>
          <w:szCs w:val="24"/>
        </w:rPr>
        <w:t>associated with any individual or organization</w:t>
      </w:r>
      <w:r w:rsidR="00586E42">
        <w:rPr>
          <w:rFonts w:cs="ITCFranklinGothicStd-Book"/>
          <w:sz w:val="24"/>
          <w:szCs w:val="24"/>
        </w:rPr>
        <w:t xml:space="preserve">. </w:t>
      </w:r>
    </w:p>
    <w:p w14:paraId="3169A153" w14:textId="3920D438" w:rsidR="004759D2" w:rsidRDefault="00C90B7E" w:rsidP="000B56A0">
      <w:pPr>
        <w:autoSpaceDE w:val="0"/>
        <w:autoSpaceDN w:val="0"/>
        <w:adjustRightInd w:val="0"/>
        <w:spacing w:line="240" w:lineRule="auto"/>
        <w:rPr>
          <w:rFonts w:cs="ITCFranklinGothicStd-Book"/>
          <w:sz w:val="24"/>
          <w:szCs w:val="24"/>
        </w:rPr>
      </w:pPr>
      <w:r>
        <w:rPr>
          <w:rFonts w:cs="ITCFranklinGothicStd-Book"/>
          <w:sz w:val="24"/>
          <w:szCs w:val="24"/>
        </w:rPr>
        <w:t xml:space="preserve">The </w:t>
      </w:r>
      <w:r w:rsidR="00091773">
        <w:rPr>
          <w:rFonts w:cs="ITCFranklinGothicStd-Book"/>
          <w:sz w:val="24"/>
          <w:szCs w:val="24"/>
        </w:rPr>
        <w:t>Understanding the Needs, Challenges, Opportunities, Vision and Emerging Roles in Environmental Health</w:t>
      </w:r>
      <w:r>
        <w:rPr>
          <w:rFonts w:cs="ITCFranklinGothicStd-Book"/>
          <w:sz w:val="24"/>
          <w:szCs w:val="24"/>
        </w:rPr>
        <w:t xml:space="preserve"> (UNCOVER EH</w:t>
      </w:r>
      <w:r w:rsidR="00091773">
        <w:rPr>
          <w:rFonts w:cs="ITCFranklinGothicStd-Book"/>
          <w:sz w:val="24"/>
          <w:szCs w:val="24"/>
        </w:rPr>
        <w:t>) Survey</w:t>
      </w:r>
      <w:r w:rsidR="00964A21">
        <w:rPr>
          <w:rFonts w:cs="ITCFranklinGothicStd-Book"/>
          <w:sz w:val="24"/>
          <w:szCs w:val="24"/>
        </w:rPr>
        <w:t xml:space="preserve"> (Attachment </w:t>
      </w:r>
      <w:r w:rsidR="003C30AB">
        <w:rPr>
          <w:rFonts w:cs="ITCFranklinGothicStd-Book"/>
          <w:sz w:val="24"/>
          <w:szCs w:val="24"/>
        </w:rPr>
        <w:t>5</w:t>
      </w:r>
      <w:r w:rsidR="00964A21">
        <w:rPr>
          <w:rFonts w:cs="ITCFranklinGothicStd-Book"/>
          <w:sz w:val="24"/>
          <w:szCs w:val="24"/>
        </w:rPr>
        <w:t>a</w:t>
      </w:r>
      <w:r w:rsidR="000C365E">
        <w:rPr>
          <w:rFonts w:cs="ITCFranklinGothicStd-Book"/>
          <w:sz w:val="24"/>
          <w:szCs w:val="24"/>
        </w:rPr>
        <w:t xml:space="preserve"> and </w:t>
      </w:r>
      <w:r w:rsidR="003C30AB">
        <w:rPr>
          <w:rFonts w:cs="ITCFranklinGothicStd-Book"/>
          <w:sz w:val="24"/>
          <w:szCs w:val="24"/>
        </w:rPr>
        <w:t>5</w:t>
      </w:r>
      <w:r w:rsidR="000C365E">
        <w:rPr>
          <w:rFonts w:cs="ITCFranklinGothicStd-Book"/>
          <w:sz w:val="24"/>
          <w:szCs w:val="24"/>
        </w:rPr>
        <w:t>b</w:t>
      </w:r>
      <w:r w:rsidR="00964A21">
        <w:rPr>
          <w:rFonts w:cs="ITCFranklinGothicStd-Book"/>
          <w:sz w:val="24"/>
          <w:szCs w:val="24"/>
        </w:rPr>
        <w:t>)</w:t>
      </w:r>
      <w:r w:rsidR="001843CE">
        <w:rPr>
          <w:rFonts w:cs="ITCFranklinGothicStd-Book"/>
          <w:sz w:val="24"/>
          <w:szCs w:val="24"/>
        </w:rPr>
        <w:t xml:space="preserve"> will collect standardized information from </w:t>
      </w:r>
      <w:r w:rsidR="006E324A">
        <w:rPr>
          <w:rFonts w:cs="ITCFranklinGothicStd-Book"/>
          <w:sz w:val="24"/>
          <w:szCs w:val="24"/>
        </w:rPr>
        <w:t>public health department</w:t>
      </w:r>
      <w:r w:rsidR="001843CE">
        <w:rPr>
          <w:rFonts w:cs="ITCFranklinGothicStd-Book"/>
          <w:sz w:val="24"/>
          <w:szCs w:val="24"/>
        </w:rPr>
        <w:t xml:space="preserve"> EH professionals </w:t>
      </w:r>
      <w:r w:rsidR="00E01A0B">
        <w:rPr>
          <w:rFonts w:cs="ITCFranklinGothicStd-Book"/>
          <w:sz w:val="24"/>
          <w:szCs w:val="24"/>
        </w:rPr>
        <w:t>o</w:t>
      </w:r>
      <w:r w:rsidR="00D22535">
        <w:rPr>
          <w:rFonts w:cs="ITCFranklinGothicStd-Book"/>
          <w:sz w:val="24"/>
          <w:szCs w:val="24"/>
        </w:rPr>
        <w:t>n</w:t>
      </w:r>
      <w:r w:rsidR="005024FE" w:rsidRPr="005024FE">
        <w:rPr>
          <w:sz w:val="24"/>
          <w:szCs w:val="24"/>
        </w:rPr>
        <w:t xml:space="preserve"> </w:t>
      </w:r>
      <w:r w:rsidR="005024FE">
        <w:rPr>
          <w:sz w:val="24"/>
          <w:szCs w:val="24"/>
        </w:rPr>
        <w:t>their</w:t>
      </w:r>
      <w:r w:rsidR="005024FE" w:rsidRPr="005024FE">
        <w:rPr>
          <w:rFonts w:cs="ITCFranklinGothicStd-Book"/>
          <w:sz w:val="24"/>
          <w:szCs w:val="24"/>
        </w:rPr>
        <w:t xml:space="preserve"> demographics, education and training, experience, areas of practice, job satisfaction, and current and future needs to address emerging environmental issues. </w:t>
      </w:r>
      <w:r w:rsidR="00E01A0B">
        <w:rPr>
          <w:rFonts w:cs="ITCFranklinGothicStd-Book"/>
          <w:sz w:val="24"/>
          <w:szCs w:val="24"/>
        </w:rPr>
        <w:t xml:space="preserve">The survey will be administered by </w:t>
      </w:r>
      <w:r w:rsidR="00F13649">
        <w:rPr>
          <w:rFonts w:cs="ITCFranklinGothicStd-Book"/>
          <w:sz w:val="24"/>
          <w:szCs w:val="24"/>
        </w:rPr>
        <w:t xml:space="preserve">a </w:t>
      </w:r>
      <w:r w:rsidR="000F7CD2">
        <w:rPr>
          <w:rFonts w:cs="ITCFranklinGothicStd-Book"/>
          <w:sz w:val="24"/>
          <w:szCs w:val="24"/>
        </w:rPr>
        <w:t xml:space="preserve">trained </w:t>
      </w:r>
      <w:r w:rsidR="00E01A0B">
        <w:rPr>
          <w:rFonts w:cs="ITCFranklinGothicStd-Book"/>
          <w:sz w:val="24"/>
          <w:szCs w:val="24"/>
        </w:rPr>
        <w:t xml:space="preserve">academic consultant </w:t>
      </w:r>
      <w:r w:rsidR="00F13649">
        <w:rPr>
          <w:rFonts w:cs="ITCFranklinGothicStd-Book"/>
          <w:sz w:val="24"/>
          <w:szCs w:val="24"/>
        </w:rPr>
        <w:t xml:space="preserve">at Baylor University </w:t>
      </w:r>
      <w:r w:rsidR="00E01A0B">
        <w:rPr>
          <w:rFonts w:cs="ITCFranklinGothicStd-Book"/>
          <w:sz w:val="24"/>
          <w:szCs w:val="24"/>
        </w:rPr>
        <w:t xml:space="preserve">(identified in Table 1) using </w:t>
      </w:r>
      <w:r w:rsidR="00276439">
        <w:rPr>
          <w:rFonts w:cs="ITCFranklinGothicStd-Book"/>
          <w:sz w:val="24"/>
          <w:szCs w:val="24"/>
        </w:rPr>
        <w:t>Saw</w:t>
      </w:r>
      <w:r w:rsidR="000E5FB0">
        <w:rPr>
          <w:rFonts w:cs="ITCFranklinGothicStd-Book"/>
          <w:sz w:val="24"/>
          <w:szCs w:val="24"/>
        </w:rPr>
        <w:t>t</w:t>
      </w:r>
      <w:r w:rsidR="004236A9">
        <w:rPr>
          <w:rFonts w:cs="ITCFranklinGothicStd-Book"/>
          <w:sz w:val="24"/>
          <w:szCs w:val="24"/>
        </w:rPr>
        <w:t>ooth</w:t>
      </w:r>
      <w:r w:rsidR="00E37931">
        <w:rPr>
          <w:rFonts w:cs="ITCFranklinGothicStd-Book"/>
          <w:sz w:val="24"/>
          <w:szCs w:val="24"/>
        </w:rPr>
        <w:t xml:space="preserve"> survey</w:t>
      </w:r>
      <w:r w:rsidR="00E01A0B">
        <w:rPr>
          <w:rFonts w:cs="ITCFranklinGothicStd-Book"/>
          <w:sz w:val="24"/>
          <w:szCs w:val="24"/>
        </w:rPr>
        <w:t xml:space="preserve"> </w:t>
      </w:r>
      <w:r w:rsidR="00276439">
        <w:rPr>
          <w:rFonts w:cs="ITCFranklinGothicStd-Book"/>
          <w:sz w:val="24"/>
          <w:szCs w:val="24"/>
        </w:rPr>
        <w:t xml:space="preserve">software </w:t>
      </w:r>
      <w:r w:rsidR="00E37931">
        <w:rPr>
          <w:rFonts w:cs="ITCFranklinGothicStd-Book"/>
          <w:sz w:val="24"/>
          <w:szCs w:val="24"/>
        </w:rPr>
        <w:t xml:space="preserve">to </w:t>
      </w:r>
      <w:r w:rsidR="00513F80">
        <w:rPr>
          <w:rFonts w:cs="ITCFranklinGothicStd-Book"/>
          <w:sz w:val="24"/>
          <w:szCs w:val="24"/>
        </w:rPr>
        <w:t xml:space="preserve">develop and </w:t>
      </w:r>
      <w:r w:rsidR="00E37931">
        <w:rPr>
          <w:rFonts w:cs="ITCFranklinGothicStd-Book"/>
          <w:sz w:val="24"/>
          <w:szCs w:val="24"/>
        </w:rPr>
        <w:t>distribute the</w:t>
      </w:r>
      <w:r w:rsidR="00276439">
        <w:rPr>
          <w:rFonts w:cs="ITCFranklinGothicStd-Book"/>
          <w:sz w:val="24"/>
          <w:szCs w:val="24"/>
        </w:rPr>
        <w:t xml:space="preserve"> </w:t>
      </w:r>
      <w:r w:rsidR="00E01A0B">
        <w:rPr>
          <w:rFonts w:cs="ITCFranklinGothicStd-Book"/>
          <w:sz w:val="24"/>
          <w:szCs w:val="24"/>
        </w:rPr>
        <w:t xml:space="preserve">electronic survey to the respondent universe. </w:t>
      </w:r>
    </w:p>
    <w:p w14:paraId="618142DC" w14:textId="5803F1A6" w:rsidR="00FD2436" w:rsidRPr="000B56A0" w:rsidRDefault="00914007" w:rsidP="000B56A0">
      <w:pPr>
        <w:autoSpaceDE w:val="0"/>
        <w:autoSpaceDN w:val="0"/>
        <w:adjustRightInd w:val="0"/>
        <w:spacing w:line="240" w:lineRule="auto"/>
        <w:rPr>
          <w:rFonts w:cs="ITCFranklinGothicStd-Book"/>
          <w:sz w:val="24"/>
          <w:szCs w:val="24"/>
        </w:rPr>
      </w:pPr>
      <w:r>
        <w:rPr>
          <w:rFonts w:cs="ITCFranklinGothicStd-Book"/>
          <w:sz w:val="24"/>
          <w:szCs w:val="24"/>
        </w:rPr>
        <w:t>T</w:t>
      </w:r>
      <w:r w:rsidR="00E01A0B">
        <w:rPr>
          <w:rFonts w:cs="ITCFranklinGothicStd-Book"/>
          <w:sz w:val="24"/>
          <w:szCs w:val="24"/>
        </w:rPr>
        <w:t>he academic consultant</w:t>
      </w:r>
      <w:r w:rsidR="00E56709">
        <w:rPr>
          <w:rFonts w:cs="ITCFranklinGothicStd-Book"/>
          <w:sz w:val="24"/>
          <w:szCs w:val="24"/>
        </w:rPr>
        <w:t>, funded through an intergovernmental personnel agreement,</w:t>
      </w:r>
      <w:r w:rsidR="00E01A0B">
        <w:rPr>
          <w:rFonts w:cs="ITCFranklinGothicStd-Book"/>
          <w:sz w:val="24"/>
          <w:szCs w:val="24"/>
        </w:rPr>
        <w:t xml:space="preserve"> will download the data and prepare it for analysis.  </w:t>
      </w:r>
      <w:r w:rsidR="00513F80">
        <w:rPr>
          <w:rFonts w:cs="ITCFranklinGothicStd-Book"/>
          <w:sz w:val="24"/>
          <w:szCs w:val="24"/>
        </w:rPr>
        <w:t>In the dataset, s</w:t>
      </w:r>
      <w:r w:rsidR="00513F80" w:rsidRPr="00276439">
        <w:rPr>
          <w:rFonts w:cs="ITCFranklinGothicStd-Book"/>
          <w:sz w:val="24"/>
          <w:szCs w:val="24"/>
        </w:rPr>
        <w:t>urvey respondents will be coded for anonymity</w:t>
      </w:r>
      <w:r w:rsidR="00513F80">
        <w:rPr>
          <w:rFonts w:cs="ITCFranklinGothicStd-Book"/>
          <w:sz w:val="24"/>
          <w:szCs w:val="24"/>
        </w:rPr>
        <w:t>.</w:t>
      </w:r>
      <w:r w:rsidR="00513F80" w:rsidRPr="00276439">
        <w:rPr>
          <w:rFonts w:cs="ITCFranklinGothicStd-Book"/>
          <w:sz w:val="24"/>
          <w:szCs w:val="24"/>
        </w:rPr>
        <w:t xml:space="preserve"> </w:t>
      </w:r>
      <w:r w:rsidR="00E01A0B">
        <w:rPr>
          <w:rFonts w:cs="ITCFranklinGothicStd-Book"/>
          <w:sz w:val="24"/>
          <w:szCs w:val="24"/>
        </w:rPr>
        <w:t>Any potential personal identifiers will be removed from the dataset and the de-identified dataset will be provided to</w:t>
      </w:r>
      <w:r w:rsidR="00513F80">
        <w:rPr>
          <w:rFonts w:cs="ITCFranklinGothicStd-Book"/>
          <w:sz w:val="24"/>
          <w:szCs w:val="24"/>
        </w:rPr>
        <w:t xml:space="preserve"> the</w:t>
      </w:r>
      <w:r w:rsidR="00E01A0B">
        <w:rPr>
          <w:rFonts w:cs="ITCFranklinGothicStd-Book"/>
          <w:sz w:val="24"/>
          <w:szCs w:val="24"/>
        </w:rPr>
        <w:t xml:space="preserve"> CDC</w:t>
      </w:r>
      <w:r w:rsidR="00513F80">
        <w:rPr>
          <w:rFonts w:cs="ITCFranklinGothicStd-Book"/>
          <w:sz w:val="24"/>
          <w:szCs w:val="24"/>
        </w:rPr>
        <w:t>.</w:t>
      </w:r>
      <w:r w:rsidR="00E01A0B">
        <w:rPr>
          <w:rFonts w:cs="ITCFranklinGothicStd-Book"/>
          <w:sz w:val="24"/>
          <w:szCs w:val="24"/>
        </w:rPr>
        <w:t xml:space="preserve">  </w:t>
      </w:r>
      <w:r w:rsidR="00B7374E">
        <w:rPr>
          <w:rFonts w:cs="ITCFranklinGothicStd-Book"/>
          <w:sz w:val="24"/>
          <w:szCs w:val="24"/>
        </w:rPr>
        <w:t xml:space="preserve">CDC will maintain the </w:t>
      </w:r>
      <w:r w:rsidR="00E01A0B">
        <w:rPr>
          <w:rFonts w:cs="ITCFranklinGothicStd-Book"/>
          <w:sz w:val="24"/>
          <w:szCs w:val="24"/>
        </w:rPr>
        <w:t>dataset on secure servers with controlled access at all times.</w:t>
      </w:r>
      <w:r w:rsidR="00074BBD">
        <w:rPr>
          <w:rFonts w:cs="ITCFranklinGothicStd-Book"/>
          <w:sz w:val="24"/>
          <w:szCs w:val="24"/>
        </w:rPr>
        <w:t xml:space="preserve">  Data will be analyzed in aggregate form, and there will be no retrieval capability or intent in the collection of the respondents’ responses.  </w:t>
      </w:r>
    </w:p>
    <w:p w14:paraId="70B45DCE" w14:textId="2A32CEBD" w:rsidR="00B45002" w:rsidRPr="00D20211" w:rsidRDefault="00601F1A" w:rsidP="00601F1A">
      <w:pPr>
        <w:pStyle w:val="Heading1"/>
        <w:pBdr>
          <w:bottom w:val="none" w:sz="0" w:space="0" w:color="auto"/>
        </w:pBdr>
        <w:rPr>
          <w:color w:val="auto"/>
        </w:rPr>
      </w:pPr>
      <w:bookmarkStart w:id="13" w:name="_Toc432356290"/>
      <w:r w:rsidRPr="00D20211">
        <w:rPr>
          <w:color w:val="auto"/>
        </w:rPr>
        <w:t>A.</w:t>
      </w:r>
      <w:r w:rsidR="004D21C9" w:rsidRPr="00D20211">
        <w:rPr>
          <w:color w:val="auto"/>
        </w:rPr>
        <w:t>11</w:t>
      </w:r>
      <w:r w:rsidR="00A053EE" w:rsidRPr="00D20211">
        <w:rPr>
          <w:color w:val="auto"/>
        </w:rPr>
        <w:t>. Institutional</w:t>
      </w:r>
      <w:r w:rsidR="00B45002" w:rsidRPr="00D20211">
        <w:rPr>
          <w:color w:val="auto"/>
        </w:rPr>
        <w:t xml:space="preserve"> Review Board (IRB) and Justification for Sensitive Questions</w:t>
      </w:r>
      <w:bookmarkEnd w:id="13"/>
    </w:p>
    <w:p w14:paraId="0074E3B2" w14:textId="77777777" w:rsidR="00B53975" w:rsidRPr="00D20211" w:rsidRDefault="00B53975" w:rsidP="00B855BC">
      <w:pPr>
        <w:spacing w:line="240" w:lineRule="auto"/>
      </w:pPr>
    </w:p>
    <w:p w14:paraId="53D58700" w14:textId="28D44C54" w:rsidR="00A035BA" w:rsidRPr="000B56A0" w:rsidRDefault="006D78BC" w:rsidP="000B56A0">
      <w:pPr>
        <w:rPr>
          <w:sz w:val="24"/>
          <w:szCs w:val="24"/>
        </w:rPr>
      </w:pPr>
      <w:r w:rsidRPr="000B56A0">
        <w:rPr>
          <w:sz w:val="24"/>
          <w:szCs w:val="24"/>
        </w:rPr>
        <w:t xml:space="preserve">The NCEH/ATSDR Office of Science determined that this activity is </w:t>
      </w:r>
      <w:r w:rsidR="004236A9">
        <w:rPr>
          <w:sz w:val="24"/>
          <w:szCs w:val="24"/>
        </w:rPr>
        <w:t xml:space="preserve">exempt </w:t>
      </w:r>
      <w:r w:rsidRPr="000B56A0">
        <w:rPr>
          <w:sz w:val="24"/>
          <w:szCs w:val="24"/>
        </w:rPr>
        <w:t>human subjects research in which CDC is engaged.  As such, t</w:t>
      </w:r>
      <w:r w:rsidR="00D97655" w:rsidRPr="000B56A0">
        <w:rPr>
          <w:sz w:val="24"/>
          <w:szCs w:val="24"/>
        </w:rPr>
        <w:t xml:space="preserve">he study protocol </w:t>
      </w:r>
      <w:r w:rsidR="00D97655" w:rsidRPr="00FD41CD">
        <w:rPr>
          <w:sz w:val="24"/>
          <w:szCs w:val="24"/>
        </w:rPr>
        <w:t xml:space="preserve">(Attachment </w:t>
      </w:r>
      <w:r w:rsidR="003C30AB">
        <w:rPr>
          <w:sz w:val="24"/>
          <w:szCs w:val="24"/>
        </w:rPr>
        <w:t>6</w:t>
      </w:r>
      <w:r w:rsidR="00D97655" w:rsidRPr="00FD41CD">
        <w:rPr>
          <w:sz w:val="24"/>
          <w:szCs w:val="24"/>
        </w:rPr>
        <w:t xml:space="preserve">) </w:t>
      </w:r>
      <w:r w:rsidR="00D97655" w:rsidRPr="000B56A0">
        <w:rPr>
          <w:sz w:val="24"/>
          <w:szCs w:val="24"/>
        </w:rPr>
        <w:t xml:space="preserve">has been submitted and </w:t>
      </w:r>
      <w:r w:rsidR="001A3241">
        <w:rPr>
          <w:sz w:val="24"/>
          <w:szCs w:val="24"/>
        </w:rPr>
        <w:t>determined to be an exempt category of research involving human subjects</w:t>
      </w:r>
      <w:r w:rsidRPr="000B56A0">
        <w:rPr>
          <w:sz w:val="24"/>
          <w:szCs w:val="24"/>
        </w:rPr>
        <w:t xml:space="preserve"> by the CDC </w:t>
      </w:r>
      <w:r w:rsidR="00216C03">
        <w:rPr>
          <w:sz w:val="24"/>
          <w:szCs w:val="24"/>
        </w:rPr>
        <w:t>Institutional Review Board (</w:t>
      </w:r>
      <w:r w:rsidRPr="000B56A0">
        <w:rPr>
          <w:sz w:val="24"/>
          <w:szCs w:val="24"/>
        </w:rPr>
        <w:t>IRB</w:t>
      </w:r>
      <w:r w:rsidR="00216C03">
        <w:rPr>
          <w:sz w:val="24"/>
          <w:szCs w:val="24"/>
        </w:rPr>
        <w:t>)</w:t>
      </w:r>
      <w:r w:rsidRPr="000B56A0">
        <w:rPr>
          <w:sz w:val="24"/>
          <w:szCs w:val="24"/>
        </w:rPr>
        <w:t xml:space="preserve"> (</w:t>
      </w:r>
      <w:r w:rsidRPr="00FD41CD">
        <w:rPr>
          <w:sz w:val="24"/>
          <w:szCs w:val="24"/>
        </w:rPr>
        <w:t xml:space="preserve">Attachment </w:t>
      </w:r>
      <w:r w:rsidR="003C30AB">
        <w:rPr>
          <w:sz w:val="24"/>
          <w:szCs w:val="24"/>
        </w:rPr>
        <w:t>7</w:t>
      </w:r>
      <w:r w:rsidR="00D97655" w:rsidRPr="000B56A0">
        <w:rPr>
          <w:sz w:val="24"/>
          <w:szCs w:val="24"/>
        </w:rPr>
        <w:t>).  All human subjects protections will be implemented</w:t>
      </w:r>
      <w:r w:rsidR="00C90B7E">
        <w:rPr>
          <w:sz w:val="24"/>
          <w:szCs w:val="24"/>
        </w:rPr>
        <w:t xml:space="preserve"> and no sensitive questions will be asked within the survey</w:t>
      </w:r>
      <w:r w:rsidR="00D97655" w:rsidRPr="000B56A0">
        <w:rPr>
          <w:sz w:val="24"/>
          <w:szCs w:val="24"/>
        </w:rPr>
        <w:t xml:space="preserve">.  </w:t>
      </w:r>
    </w:p>
    <w:p w14:paraId="527F9FA5" w14:textId="69B7A3CF" w:rsidR="00B45002" w:rsidRPr="00D20211" w:rsidRDefault="00601F1A" w:rsidP="00601F1A">
      <w:pPr>
        <w:pStyle w:val="Heading1"/>
        <w:pBdr>
          <w:bottom w:val="none" w:sz="0" w:space="0" w:color="auto"/>
        </w:pBdr>
        <w:rPr>
          <w:color w:val="auto"/>
        </w:rPr>
      </w:pPr>
      <w:bookmarkStart w:id="14" w:name="_Toc432356291"/>
      <w:r w:rsidRPr="00D20211">
        <w:rPr>
          <w:color w:val="auto"/>
        </w:rPr>
        <w:t>A.</w:t>
      </w:r>
      <w:r w:rsidR="004D21C9" w:rsidRPr="00D20211">
        <w:rPr>
          <w:color w:val="auto"/>
        </w:rPr>
        <w:t>12</w:t>
      </w:r>
      <w:r w:rsidR="00D2613D" w:rsidRPr="00D20211">
        <w:rPr>
          <w:color w:val="auto"/>
        </w:rPr>
        <w:t>. Estimates</w:t>
      </w:r>
      <w:r w:rsidR="00B45002" w:rsidRPr="00D20211">
        <w:rPr>
          <w:color w:val="auto"/>
        </w:rPr>
        <w:t xml:space="preserve"> of Annualized Burden Hours and Costs</w:t>
      </w:r>
      <w:bookmarkEnd w:id="14"/>
    </w:p>
    <w:p w14:paraId="1C20FEA3" w14:textId="77777777" w:rsidR="00ED72E9" w:rsidRPr="00D20211" w:rsidRDefault="00ED72E9" w:rsidP="00ED72E9">
      <w:pPr>
        <w:spacing w:line="240" w:lineRule="auto"/>
        <w:rPr>
          <w:sz w:val="24"/>
          <w:szCs w:val="24"/>
        </w:rPr>
      </w:pPr>
    </w:p>
    <w:p w14:paraId="3BD8E087" w14:textId="02450891" w:rsidR="0015103C" w:rsidRPr="000C6E8F" w:rsidRDefault="00117BB3" w:rsidP="000272F5">
      <w:pPr>
        <w:autoSpaceDE w:val="0"/>
        <w:autoSpaceDN w:val="0"/>
        <w:adjustRightInd w:val="0"/>
        <w:spacing w:line="240" w:lineRule="auto"/>
        <w:rPr>
          <w:rFonts w:cs="ITCFranklinGothicStd-Book"/>
          <w:sz w:val="24"/>
          <w:szCs w:val="24"/>
        </w:rPr>
      </w:pPr>
      <w:r>
        <w:rPr>
          <w:rFonts w:cs="ITCFranklinGothicStd-Book"/>
          <w:sz w:val="24"/>
          <w:szCs w:val="24"/>
        </w:rPr>
        <w:t>Table 2</w:t>
      </w:r>
      <w:r w:rsidR="0051498C">
        <w:rPr>
          <w:rFonts w:cs="ITCFranklinGothicStd-Book"/>
          <w:sz w:val="24"/>
          <w:szCs w:val="24"/>
        </w:rPr>
        <w:t xml:space="preserve"> sho</w:t>
      </w:r>
      <w:r>
        <w:rPr>
          <w:rFonts w:cs="ITCFranklinGothicStd-Book"/>
          <w:sz w:val="24"/>
          <w:szCs w:val="24"/>
        </w:rPr>
        <w:t>w</w:t>
      </w:r>
      <w:r w:rsidR="0051498C">
        <w:rPr>
          <w:rFonts w:cs="ITCFranklinGothicStd-Book"/>
          <w:sz w:val="24"/>
          <w:szCs w:val="24"/>
        </w:rPr>
        <w:t xml:space="preserve">s the estimated annualized burden hours for the respondents.  These estimates are based on pretesting of the final surveys.  </w:t>
      </w:r>
      <w:r w:rsidR="000272F5" w:rsidRPr="000C6E8F">
        <w:rPr>
          <w:rFonts w:cs="ITCFranklinGothicStd-Book"/>
          <w:sz w:val="24"/>
          <w:szCs w:val="24"/>
        </w:rPr>
        <w:t xml:space="preserve">Six </w:t>
      </w:r>
      <w:r w:rsidR="00344966">
        <w:rPr>
          <w:rFonts w:cs="ITCFranklinGothicStd-Book"/>
          <w:sz w:val="24"/>
          <w:szCs w:val="24"/>
        </w:rPr>
        <w:t>state and local EH</w:t>
      </w:r>
      <w:r w:rsidR="000272F5" w:rsidRPr="000C6E8F">
        <w:rPr>
          <w:rFonts w:cs="ITCFranklinGothicStd-Book"/>
          <w:sz w:val="24"/>
          <w:szCs w:val="24"/>
        </w:rPr>
        <w:t xml:space="preserve"> professionals in field, management, and director positions pilot tested the survey instrument. The pilot testers provided comments pertaining to the survey format and measures, </w:t>
      </w:r>
      <w:r w:rsidR="00AF1B8F">
        <w:rPr>
          <w:rFonts w:cs="ITCFranklinGothicStd-Book"/>
          <w:sz w:val="24"/>
          <w:szCs w:val="24"/>
        </w:rPr>
        <w:t>and gave</w:t>
      </w:r>
      <w:r w:rsidR="000272F5" w:rsidRPr="000C6E8F">
        <w:rPr>
          <w:rFonts w:cs="ITCFranklinGothicStd-Book"/>
          <w:sz w:val="24"/>
          <w:szCs w:val="24"/>
        </w:rPr>
        <w:t xml:space="preserve"> an estimate of the time required to complete the survey. On aver</w:t>
      </w:r>
      <w:r w:rsidR="000C6E8F" w:rsidRPr="000C6E8F">
        <w:rPr>
          <w:rFonts w:cs="ITCFranklinGothicStd-Book"/>
          <w:sz w:val="24"/>
          <w:szCs w:val="24"/>
        </w:rPr>
        <w:t xml:space="preserve">age, the pilot testers reported that the time required to complete the survey was 30 minutes. Therefore, the total </w:t>
      </w:r>
      <w:r w:rsidR="00EF1ECD" w:rsidRPr="000C6E8F">
        <w:rPr>
          <w:rFonts w:cs="ITCFranklinGothicStd-Book"/>
          <w:sz w:val="24"/>
          <w:szCs w:val="24"/>
        </w:rPr>
        <w:t xml:space="preserve">number of </w:t>
      </w:r>
      <w:r w:rsidR="00413951" w:rsidRPr="000C6E8F">
        <w:rPr>
          <w:rFonts w:cs="ITCFranklinGothicStd-Book"/>
          <w:sz w:val="24"/>
          <w:szCs w:val="24"/>
        </w:rPr>
        <w:t xml:space="preserve">annualized </w:t>
      </w:r>
      <w:r w:rsidR="00EF1ECD" w:rsidRPr="000C6E8F">
        <w:rPr>
          <w:rFonts w:cs="ITCFranklinGothicStd-Book"/>
          <w:sz w:val="24"/>
          <w:szCs w:val="24"/>
        </w:rPr>
        <w:t xml:space="preserve">burden hours requested </w:t>
      </w:r>
      <w:r w:rsidR="00D8483F">
        <w:rPr>
          <w:rFonts w:cs="ITCFranklinGothicStd-Book"/>
          <w:sz w:val="24"/>
          <w:szCs w:val="24"/>
        </w:rPr>
        <w:t xml:space="preserve">for </w:t>
      </w:r>
      <w:r w:rsidR="001F444D">
        <w:rPr>
          <w:rFonts w:cs="ITCFranklinGothicStd-Book"/>
          <w:sz w:val="24"/>
          <w:szCs w:val="24"/>
        </w:rPr>
        <w:t>16</w:t>
      </w:r>
      <w:r w:rsidR="00D8483F">
        <w:rPr>
          <w:rFonts w:cs="ITCFranklinGothicStd-Book"/>
          <w:sz w:val="24"/>
          <w:szCs w:val="24"/>
        </w:rPr>
        <w:t xml:space="preserve">,000 respondents </w:t>
      </w:r>
      <w:r w:rsidR="00EF1ECD" w:rsidRPr="000C6E8F">
        <w:rPr>
          <w:rFonts w:cs="ITCFranklinGothicStd-Book"/>
          <w:sz w:val="24"/>
          <w:szCs w:val="24"/>
        </w:rPr>
        <w:t>i</w:t>
      </w:r>
      <w:r w:rsidR="000C6E8F" w:rsidRPr="000C6E8F">
        <w:rPr>
          <w:rFonts w:cs="ITCFranklinGothicStd-Book"/>
          <w:sz w:val="24"/>
          <w:szCs w:val="24"/>
        </w:rPr>
        <w:t>s</w:t>
      </w:r>
      <w:r w:rsidR="00EF1ECD" w:rsidRPr="000C6E8F">
        <w:rPr>
          <w:rFonts w:cs="ITCFranklinGothicStd-Book"/>
          <w:sz w:val="24"/>
          <w:szCs w:val="24"/>
        </w:rPr>
        <w:t xml:space="preserve"> </w:t>
      </w:r>
      <w:r w:rsidR="001F444D">
        <w:rPr>
          <w:rFonts w:cs="ITCFranklinGothicStd-Book"/>
          <w:sz w:val="24"/>
          <w:szCs w:val="24"/>
        </w:rPr>
        <w:t>8</w:t>
      </w:r>
      <w:r w:rsidR="000C6E8F" w:rsidRPr="000C6E8F">
        <w:rPr>
          <w:rFonts w:cs="ITCFranklinGothicStd-Book"/>
          <w:sz w:val="24"/>
          <w:szCs w:val="24"/>
        </w:rPr>
        <w:t>,000</w:t>
      </w:r>
      <w:r w:rsidR="00EF1ECD" w:rsidRPr="000C6E8F">
        <w:rPr>
          <w:rFonts w:cs="ITCFranklinGothicStd-Book"/>
          <w:sz w:val="24"/>
          <w:szCs w:val="24"/>
        </w:rPr>
        <w:t xml:space="preserve"> hours.</w:t>
      </w:r>
      <w:r w:rsidR="006D701F">
        <w:rPr>
          <w:rFonts w:cs="ITCFranklinGothicStd-Book"/>
          <w:sz w:val="24"/>
          <w:szCs w:val="24"/>
        </w:rPr>
        <w:t xml:space="preserve"> The estimated number of respondents was based o</w:t>
      </w:r>
      <w:r w:rsidR="009D17A8">
        <w:rPr>
          <w:rFonts w:cs="ITCFranklinGothicStd-Book"/>
          <w:sz w:val="24"/>
          <w:szCs w:val="24"/>
        </w:rPr>
        <w:t xml:space="preserve">n </w:t>
      </w:r>
      <w:r w:rsidR="00DC1D1D">
        <w:rPr>
          <w:rFonts w:cs="ITCFranklinGothicStd-Book"/>
          <w:sz w:val="24"/>
          <w:szCs w:val="24"/>
        </w:rPr>
        <w:t xml:space="preserve">results of </w:t>
      </w:r>
      <w:r w:rsidR="006D701F">
        <w:rPr>
          <w:rFonts w:cs="ITCFranklinGothicStd-Book"/>
          <w:sz w:val="24"/>
          <w:szCs w:val="24"/>
        </w:rPr>
        <w:t>public health</w:t>
      </w:r>
      <w:r w:rsidR="00DC1D1D">
        <w:rPr>
          <w:rFonts w:cs="ITCFranklinGothicStd-Book"/>
          <w:sz w:val="24"/>
          <w:szCs w:val="24"/>
        </w:rPr>
        <w:t xml:space="preserve"> department profile studie</w:t>
      </w:r>
      <w:r w:rsidR="009D17A8">
        <w:rPr>
          <w:rFonts w:cs="ITCFranklinGothicStd-Book"/>
          <w:sz w:val="24"/>
          <w:szCs w:val="24"/>
        </w:rPr>
        <w:t>s</w:t>
      </w:r>
      <w:r w:rsidR="000D5748">
        <w:rPr>
          <w:rFonts w:cs="ITCFranklinGothicStd-Book"/>
          <w:sz w:val="24"/>
          <w:szCs w:val="24"/>
        </w:rPr>
        <w:t xml:space="preserve"> </w:t>
      </w:r>
      <w:r w:rsidR="006D701F">
        <w:rPr>
          <w:rFonts w:cs="ITCFranklinGothicStd-Book"/>
          <w:sz w:val="24"/>
          <w:szCs w:val="24"/>
        </w:rPr>
        <w:t>and discussion</w:t>
      </w:r>
      <w:r w:rsidR="008D51C6">
        <w:rPr>
          <w:rFonts w:cs="ITCFranklinGothicStd-Book"/>
          <w:sz w:val="24"/>
          <w:szCs w:val="24"/>
        </w:rPr>
        <w:t>s with EH experts about workforce estimates and identifying potential EH professionals not represented in the studies.</w:t>
      </w:r>
      <w:r w:rsidR="000D5748" w:rsidRPr="009D17A8">
        <w:rPr>
          <w:rFonts w:cs="ITCFranklinGothicStd-Book"/>
          <w:sz w:val="24"/>
          <w:szCs w:val="24"/>
          <w:vertAlign w:val="superscript"/>
        </w:rPr>
        <w:t>3,4</w:t>
      </w:r>
      <w:r w:rsidR="000D5748">
        <w:rPr>
          <w:rFonts w:cs="ITCFranklinGothicStd-Book"/>
          <w:sz w:val="24"/>
          <w:szCs w:val="24"/>
        </w:rPr>
        <w:t xml:space="preserve"> </w:t>
      </w:r>
      <w:r w:rsidR="008D51C6">
        <w:rPr>
          <w:rFonts w:cs="ITCFranklinGothicStd-Book"/>
          <w:sz w:val="24"/>
          <w:szCs w:val="24"/>
        </w:rPr>
        <w:t xml:space="preserve"> </w:t>
      </w:r>
      <w:r w:rsidR="006D701F">
        <w:rPr>
          <w:rFonts w:cs="ITCFranklinGothicStd-Book"/>
          <w:sz w:val="24"/>
          <w:szCs w:val="24"/>
        </w:rPr>
        <w:t xml:space="preserve">  </w:t>
      </w:r>
      <w:r w:rsidR="001F444D">
        <w:rPr>
          <w:rFonts w:cs="ITCFranklinGothicStd-Book"/>
          <w:sz w:val="24"/>
          <w:szCs w:val="24"/>
        </w:rPr>
        <w:t>We estimate that approximately 80% of the 20,000 EH professionals will complete the survey.</w:t>
      </w:r>
    </w:p>
    <w:p w14:paraId="71A56FE2" w14:textId="77777777" w:rsidR="00A54359" w:rsidRPr="00D20211" w:rsidRDefault="00A54359" w:rsidP="00A148A3">
      <w:pPr>
        <w:autoSpaceDE w:val="0"/>
        <w:autoSpaceDN w:val="0"/>
        <w:adjustRightInd w:val="0"/>
        <w:spacing w:line="240" w:lineRule="auto"/>
        <w:ind w:left="360"/>
        <w:rPr>
          <w:rFonts w:cs="ITCFranklinGothicStd-DmCd"/>
          <w:sz w:val="24"/>
          <w:szCs w:val="24"/>
        </w:rPr>
      </w:pPr>
    </w:p>
    <w:p w14:paraId="1ABE52CC" w14:textId="2BFC1663" w:rsidR="00B3235B" w:rsidRPr="00D20211" w:rsidRDefault="00AA34C6" w:rsidP="009D17A8">
      <w:pPr>
        <w:autoSpaceDE w:val="0"/>
        <w:autoSpaceDN w:val="0"/>
        <w:adjustRightInd w:val="0"/>
        <w:spacing w:line="240" w:lineRule="auto"/>
        <w:rPr>
          <w:rFonts w:cs="ITCFranklinGothicStd-Book"/>
          <w:sz w:val="24"/>
          <w:szCs w:val="24"/>
        </w:rPr>
      </w:pPr>
      <w:r>
        <w:rPr>
          <w:rFonts w:cs="ITCFranklinGothicStd-DmCd"/>
          <w:sz w:val="24"/>
          <w:szCs w:val="24"/>
        </w:rPr>
        <w:t>Table 2</w:t>
      </w:r>
      <w:r w:rsidR="00AB12D6" w:rsidRPr="00D20211">
        <w:rPr>
          <w:rFonts w:cs="ITCFranklinGothicStd-DmCd"/>
          <w:sz w:val="24"/>
          <w:szCs w:val="24"/>
        </w:rPr>
        <w:t>: Estimated Annualized Burden Hours</w:t>
      </w:r>
    </w:p>
    <w:tbl>
      <w:tblPr>
        <w:tblStyle w:val="TableGrid"/>
        <w:tblW w:w="0" w:type="auto"/>
        <w:tblLook w:val="04A0" w:firstRow="1" w:lastRow="0" w:firstColumn="1" w:lastColumn="0" w:noHBand="0" w:noVBand="1"/>
      </w:tblPr>
      <w:tblGrid>
        <w:gridCol w:w="1646"/>
        <w:gridCol w:w="1548"/>
        <w:gridCol w:w="1554"/>
        <w:gridCol w:w="1548"/>
        <w:gridCol w:w="1534"/>
        <w:gridCol w:w="1520"/>
      </w:tblGrid>
      <w:tr w:rsidR="00D20211" w:rsidRPr="00D20211" w14:paraId="15851121" w14:textId="77777777" w:rsidTr="00B3235B">
        <w:tc>
          <w:tcPr>
            <w:tcW w:w="1558" w:type="dxa"/>
            <w:vAlign w:val="center"/>
          </w:tcPr>
          <w:p w14:paraId="7353D90B" w14:textId="1F020C37" w:rsidR="009B6C89"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Type of Respondent</w:t>
            </w:r>
          </w:p>
        </w:tc>
        <w:tc>
          <w:tcPr>
            <w:tcW w:w="1558" w:type="dxa"/>
            <w:vAlign w:val="center"/>
          </w:tcPr>
          <w:p w14:paraId="72BA7F8B" w14:textId="18C63776" w:rsidR="009B6C89"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Form Name</w:t>
            </w:r>
          </w:p>
        </w:tc>
        <w:tc>
          <w:tcPr>
            <w:tcW w:w="1558" w:type="dxa"/>
            <w:vAlign w:val="center"/>
          </w:tcPr>
          <w:p w14:paraId="77BBDDC5" w14:textId="074A6A16" w:rsidR="009B6C89"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No. of Respondents</w:t>
            </w:r>
          </w:p>
        </w:tc>
        <w:tc>
          <w:tcPr>
            <w:tcW w:w="1558" w:type="dxa"/>
            <w:vAlign w:val="center"/>
          </w:tcPr>
          <w:p w14:paraId="7D37CC84" w14:textId="4CD474A8" w:rsidR="009B6C89"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No. of Responses per Respondent</w:t>
            </w:r>
          </w:p>
        </w:tc>
        <w:tc>
          <w:tcPr>
            <w:tcW w:w="1559" w:type="dxa"/>
            <w:vAlign w:val="center"/>
          </w:tcPr>
          <w:p w14:paraId="042DCE38" w14:textId="77777777" w:rsidR="00CF24E4"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 xml:space="preserve">Average Burden per Response </w:t>
            </w:r>
          </w:p>
          <w:p w14:paraId="60ADF131" w14:textId="6C4CE533" w:rsidR="009B6C89"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(in hours)</w:t>
            </w:r>
          </w:p>
        </w:tc>
        <w:tc>
          <w:tcPr>
            <w:tcW w:w="1559" w:type="dxa"/>
            <w:vAlign w:val="center"/>
          </w:tcPr>
          <w:p w14:paraId="0C0ACDC7" w14:textId="7D67F044" w:rsidR="009B6C89"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Total Burden Hours</w:t>
            </w:r>
          </w:p>
        </w:tc>
      </w:tr>
      <w:tr w:rsidR="004022E3" w:rsidRPr="00D20211" w14:paraId="17D3796F" w14:textId="77777777" w:rsidTr="004C65D5">
        <w:tc>
          <w:tcPr>
            <w:tcW w:w="1558" w:type="dxa"/>
            <w:vAlign w:val="center"/>
          </w:tcPr>
          <w:p w14:paraId="77CC837A" w14:textId="38B6B0F4" w:rsidR="004022E3" w:rsidRDefault="004022E3" w:rsidP="00152222">
            <w:pPr>
              <w:autoSpaceDE w:val="0"/>
              <w:autoSpaceDN w:val="0"/>
              <w:adjustRightInd w:val="0"/>
              <w:rPr>
                <w:rFonts w:cs="ITCFranklinGothicStd-Book"/>
                <w:sz w:val="24"/>
                <w:szCs w:val="24"/>
              </w:rPr>
            </w:pPr>
            <w:r>
              <w:rPr>
                <w:rFonts w:cs="ITCFranklinGothicStd-Book"/>
                <w:sz w:val="24"/>
                <w:szCs w:val="24"/>
              </w:rPr>
              <w:t xml:space="preserve">Health Department </w:t>
            </w:r>
            <w:r w:rsidR="00C00704">
              <w:rPr>
                <w:rFonts w:cs="ITCFranklinGothicStd-Book"/>
                <w:sz w:val="24"/>
                <w:szCs w:val="24"/>
              </w:rPr>
              <w:t>Administrative Staff</w:t>
            </w:r>
          </w:p>
        </w:tc>
        <w:tc>
          <w:tcPr>
            <w:tcW w:w="1558" w:type="dxa"/>
            <w:vAlign w:val="center"/>
          </w:tcPr>
          <w:p w14:paraId="7BDCE2D2" w14:textId="1947094A" w:rsidR="004022E3" w:rsidRDefault="004022E3" w:rsidP="005632B3">
            <w:pPr>
              <w:autoSpaceDE w:val="0"/>
              <w:autoSpaceDN w:val="0"/>
              <w:adjustRightInd w:val="0"/>
              <w:jc w:val="center"/>
              <w:rPr>
                <w:rFonts w:cs="ITCFranklinGothicStd-Book"/>
                <w:sz w:val="24"/>
                <w:szCs w:val="24"/>
              </w:rPr>
            </w:pPr>
            <w:r>
              <w:rPr>
                <w:rFonts w:cs="ITCFranklinGothicStd-Book"/>
                <w:sz w:val="24"/>
                <w:szCs w:val="24"/>
              </w:rPr>
              <w:t>Health Department Roster</w:t>
            </w:r>
          </w:p>
        </w:tc>
        <w:tc>
          <w:tcPr>
            <w:tcW w:w="1558" w:type="dxa"/>
            <w:vAlign w:val="center"/>
          </w:tcPr>
          <w:p w14:paraId="63F67AAA" w14:textId="23AAF322" w:rsidR="004022E3" w:rsidRDefault="002C3819" w:rsidP="005632B3">
            <w:pPr>
              <w:autoSpaceDE w:val="0"/>
              <w:autoSpaceDN w:val="0"/>
              <w:adjustRightInd w:val="0"/>
              <w:jc w:val="center"/>
              <w:rPr>
                <w:rFonts w:cs="ITCFranklinGothicStd-Book"/>
                <w:sz w:val="24"/>
                <w:szCs w:val="24"/>
              </w:rPr>
            </w:pPr>
            <w:r>
              <w:rPr>
                <w:rFonts w:cs="ITCFranklinGothicStd-Book"/>
                <w:sz w:val="24"/>
                <w:szCs w:val="24"/>
              </w:rPr>
              <w:t>3</w:t>
            </w:r>
            <w:r w:rsidR="00861EB6">
              <w:rPr>
                <w:rFonts w:cs="ITCFranklinGothicStd-Book"/>
                <w:sz w:val="24"/>
                <w:szCs w:val="24"/>
              </w:rPr>
              <w:t>,</w:t>
            </w:r>
            <w:r>
              <w:rPr>
                <w:rFonts w:cs="ITCFranklinGothicStd-Book"/>
                <w:sz w:val="24"/>
                <w:szCs w:val="24"/>
              </w:rPr>
              <w:t>231</w:t>
            </w:r>
          </w:p>
        </w:tc>
        <w:tc>
          <w:tcPr>
            <w:tcW w:w="1558" w:type="dxa"/>
            <w:vAlign w:val="center"/>
          </w:tcPr>
          <w:p w14:paraId="01CCA6A6" w14:textId="4714DFB7" w:rsidR="004022E3" w:rsidRDefault="00317CBA" w:rsidP="005632B3">
            <w:pPr>
              <w:autoSpaceDE w:val="0"/>
              <w:autoSpaceDN w:val="0"/>
              <w:adjustRightInd w:val="0"/>
              <w:jc w:val="center"/>
              <w:rPr>
                <w:rFonts w:cs="ITCFranklinGothicStd-Book"/>
                <w:sz w:val="24"/>
                <w:szCs w:val="24"/>
              </w:rPr>
            </w:pPr>
            <w:r>
              <w:rPr>
                <w:rFonts w:cs="ITCFranklinGothicStd-Book"/>
                <w:sz w:val="24"/>
                <w:szCs w:val="24"/>
              </w:rPr>
              <w:t>1</w:t>
            </w:r>
          </w:p>
        </w:tc>
        <w:tc>
          <w:tcPr>
            <w:tcW w:w="1559" w:type="dxa"/>
            <w:vAlign w:val="center"/>
          </w:tcPr>
          <w:p w14:paraId="2321EE72" w14:textId="06D746A0" w:rsidR="004022E3" w:rsidRDefault="00317CBA" w:rsidP="005632B3">
            <w:pPr>
              <w:autoSpaceDE w:val="0"/>
              <w:autoSpaceDN w:val="0"/>
              <w:adjustRightInd w:val="0"/>
              <w:jc w:val="center"/>
              <w:rPr>
                <w:rFonts w:cs="ITCFranklinGothicStd-Book"/>
                <w:sz w:val="24"/>
                <w:szCs w:val="24"/>
              </w:rPr>
            </w:pPr>
            <w:r>
              <w:rPr>
                <w:rFonts w:cs="ITCFranklinGothicStd-Book"/>
                <w:sz w:val="24"/>
                <w:szCs w:val="24"/>
              </w:rPr>
              <w:t>5/60</w:t>
            </w:r>
          </w:p>
        </w:tc>
        <w:tc>
          <w:tcPr>
            <w:tcW w:w="1559" w:type="dxa"/>
            <w:vAlign w:val="center"/>
          </w:tcPr>
          <w:p w14:paraId="67C55179" w14:textId="182CC42B" w:rsidR="004022E3" w:rsidRDefault="002C3819">
            <w:pPr>
              <w:autoSpaceDE w:val="0"/>
              <w:autoSpaceDN w:val="0"/>
              <w:adjustRightInd w:val="0"/>
              <w:jc w:val="center"/>
              <w:rPr>
                <w:rFonts w:cs="ITCFranklinGothicStd-Book"/>
                <w:sz w:val="24"/>
                <w:szCs w:val="24"/>
              </w:rPr>
            </w:pPr>
            <w:r>
              <w:rPr>
                <w:rFonts w:cs="ITCFranklinGothicStd-Book"/>
                <w:sz w:val="24"/>
                <w:szCs w:val="24"/>
              </w:rPr>
              <w:t>269</w:t>
            </w:r>
          </w:p>
        </w:tc>
      </w:tr>
      <w:tr w:rsidR="004022E3" w:rsidRPr="00D20211" w14:paraId="6DF85CE0" w14:textId="77777777" w:rsidTr="005632B3">
        <w:tc>
          <w:tcPr>
            <w:tcW w:w="1558" w:type="dxa"/>
          </w:tcPr>
          <w:p w14:paraId="2CEEDD8E" w14:textId="6D1BBE07" w:rsidR="004022E3" w:rsidRPr="00D20211" w:rsidRDefault="00C00704" w:rsidP="00A321C9">
            <w:pPr>
              <w:autoSpaceDE w:val="0"/>
              <w:autoSpaceDN w:val="0"/>
              <w:adjustRightInd w:val="0"/>
              <w:rPr>
                <w:rFonts w:cs="ITCFranklinGothicStd-Book"/>
                <w:sz w:val="24"/>
                <w:szCs w:val="24"/>
              </w:rPr>
            </w:pPr>
            <w:r>
              <w:rPr>
                <w:rFonts w:cs="ITCFranklinGothicStd-Book"/>
                <w:sz w:val="24"/>
                <w:szCs w:val="24"/>
              </w:rPr>
              <w:t>Health Department EH Professionals</w:t>
            </w:r>
          </w:p>
        </w:tc>
        <w:tc>
          <w:tcPr>
            <w:tcW w:w="1558" w:type="dxa"/>
            <w:vAlign w:val="center"/>
          </w:tcPr>
          <w:p w14:paraId="65E01F35" w14:textId="77777777" w:rsidR="004022E3" w:rsidRDefault="004022E3" w:rsidP="005632B3">
            <w:pPr>
              <w:autoSpaceDE w:val="0"/>
              <w:autoSpaceDN w:val="0"/>
              <w:adjustRightInd w:val="0"/>
              <w:jc w:val="center"/>
              <w:rPr>
                <w:rFonts w:cs="ITCFranklinGothicStd-Book"/>
                <w:sz w:val="24"/>
                <w:szCs w:val="24"/>
              </w:rPr>
            </w:pPr>
            <w:r>
              <w:rPr>
                <w:rFonts w:cs="ITCFranklinGothicStd-Book"/>
                <w:sz w:val="24"/>
                <w:szCs w:val="24"/>
              </w:rPr>
              <w:t>UNCOVER EH</w:t>
            </w:r>
          </w:p>
          <w:p w14:paraId="62B65DC3" w14:textId="621A246B" w:rsidR="004022E3" w:rsidRPr="00D20211" w:rsidRDefault="004022E3" w:rsidP="005632B3">
            <w:pPr>
              <w:autoSpaceDE w:val="0"/>
              <w:autoSpaceDN w:val="0"/>
              <w:adjustRightInd w:val="0"/>
              <w:jc w:val="center"/>
              <w:rPr>
                <w:rFonts w:cs="ITCFranklinGothicStd-Book"/>
                <w:sz w:val="24"/>
                <w:szCs w:val="24"/>
              </w:rPr>
            </w:pPr>
            <w:r>
              <w:rPr>
                <w:rFonts w:cs="ITCFranklinGothicStd-Book"/>
                <w:sz w:val="24"/>
                <w:szCs w:val="24"/>
              </w:rPr>
              <w:t>Survey</w:t>
            </w:r>
          </w:p>
        </w:tc>
        <w:tc>
          <w:tcPr>
            <w:tcW w:w="1558" w:type="dxa"/>
            <w:vAlign w:val="center"/>
          </w:tcPr>
          <w:p w14:paraId="0937DF21" w14:textId="2D664F1C" w:rsidR="004022E3" w:rsidRPr="00D20211" w:rsidRDefault="00064BDD" w:rsidP="005632B3">
            <w:pPr>
              <w:autoSpaceDE w:val="0"/>
              <w:autoSpaceDN w:val="0"/>
              <w:adjustRightInd w:val="0"/>
              <w:jc w:val="center"/>
              <w:rPr>
                <w:rFonts w:cs="ITCFranklinGothicStd-Book"/>
                <w:sz w:val="24"/>
                <w:szCs w:val="24"/>
              </w:rPr>
            </w:pPr>
            <w:r>
              <w:rPr>
                <w:rFonts w:cs="ITCFranklinGothicStd-Book"/>
                <w:sz w:val="24"/>
                <w:szCs w:val="24"/>
              </w:rPr>
              <w:t>16</w:t>
            </w:r>
            <w:r w:rsidR="004022E3">
              <w:rPr>
                <w:rFonts w:cs="ITCFranklinGothicStd-Book"/>
                <w:sz w:val="24"/>
                <w:szCs w:val="24"/>
              </w:rPr>
              <w:t>,000</w:t>
            </w:r>
          </w:p>
        </w:tc>
        <w:tc>
          <w:tcPr>
            <w:tcW w:w="1558" w:type="dxa"/>
            <w:vAlign w:val="center"/>
          </w:tcPr>
          <w:p w14:paraId="3F77ADEF" w14:textId="18C4F91B" w:rsidR="004022E3" w:rsidRPr="00D20211" w:rsidRDefault="004022E3" w:rsidP="005632B3">
            <w:pPr>
              <w:autoSpaceDE w:val="0"/>
              <w:autoSpaceDN w:val="0"/>
              <w:adjustRightInd w:val="0"/>
              <w:jc w:val="center"/>
              <w:rPr>
                <w:rFonts w:cs="ITCFranklinGothicStd-Book"/>
                <w:sz w:val="24"/>
                <w:szCs w:val="24"/>
              </w:rPr>
            </w:pPr>
            <w:r>
              <w:rPr>
                <w:rFonts w:cs="ITCFranklinGothicStd-Book"/>
                <w:sz w:val="24"/>
                <w:szCs w:val="24"/>
              </w:rPr>
              <w:t>1</w:t>
            </w:r>
          </w:p>
        </w:tc>
        <w:tc>
          <w:tcPr>
            <w:tcW w:w="1559" w:type="dxa"/>
            <w:vAlign w:val="center"/>
          </w:tcPr>
          <w:p w14:paraId="6D588576" w14:textId="24685ECA" w:rsidR="004022E3" w:rsidRPr="00D20211" w:rsidRDefault="004022E3" w:rsidP="005632B3">
            <w:pPr>
              <w:autoSpaceDE w:val="0"/>
              <w:autoSpaceDN w:val="0"/>
              <w:adjustRightInd w:val="0"/>
              <w:jc w:val="center"/>
              <w:rPr>
                <w:rFonts w:cs="ITCFranklinGothicStd-Book"/>
                <w:sz w:val="24"/>
                <w:szCs w:val="24"/>
              </w:rPr>
            </w:pPr>
            <w:r>
              <w:rPr>
                <w:rFonts w:cs="ITCFranklinGothicStd-Book"/>
                <w:sz w:val="24"/>
                <w:szCs w:val="24"/>
              </w:rPr>
              <w:t>30</w:t>
            </w:r>
            <w:r w:rsidRPr="00D20211">
              <w:rPr>
                <w:rFonts w:cs="ITCFranklinGothicStd-Book"/>
                <w:sz w:val="24"/>
                <w:szCs w:val="24"/>
              </w:rPr>
              <w:t>/60</w:t>
            </w:r>
          </w:p>
        </w:tc>
        <w:tc>
          <w:tcPr>
            <w:tcW w:w="1559" w:type="dxa"/>
            <w:vAlign w:val="center"/>
          </w:tcPr>
          <w:p w14:paraId="7804DF53" w14:textId="150731C7" w:rsidR="004022E3" w:rsidRPr="00D20211" w:rsidRDefault="00064BDD">
            <w:pPr>
              <w:autoSpaceDE w:val="0"/>
              <w:autoSpaceDN w:val="0"/>
              <w:adjustRightInd w:val="0"/>
              <w:jc w:val="center"/>
              <w:rPr>
                <w:rFonts w:cs="ITCFranklinGothicStd-Book"/>
                <w:sz w:val="24"/>
                <w:szCs w:val="24"/>
              </w:rPr>
            </w:pPr>
            <w:r>
              <w:rPr>
                <w:rFonts w:cs="ITCFranklinGothicStd-Book"/>
                <w:sz w:val="24"/>
                <w:szCs w:val="24"/>
              </w:rPr>
              <w:t>8</w:t>
            </w:r>
            <w:r w:rsidR="004022E3">
              <w:rPr>
                <w:rFonts w:cs="ITCFranklinGothicStd-Book"/>
                <w:sz w:val="24"/>
                <w:szCs w:val="24"/>
              </w:rPr>
              <w:t>,000</w:t>
            </w:r>
          </w:p>
        </w:tc>
      </w:tr>
      <w:tr w:rsidR="009B6C89" w:rsidRPr="00D20211" w14:paraId="1BCF00D5" w14:textId="77777777" w:rsidTr="009B6C89">
        <w:tc>
          <w:tcPr>
            <w:tcW w:w="1558" w:type="dxa"/>
          </w:tcPr>
          <w:p w14:paraId="60891DB2" w14:textId="4E2FC06D" w:rsidR="009B6C89" w:rsidRPr="00D20211" w:rsidRDefault="009B6C89" w:rsidP="00A321C9">
            <w:pPr>
              <w:autoSpaceDE w:val="0"/>
              <w:autoSpaceDN w:val="0"/>
              <w:adjustRightInd w:val="0"/>
              <w:rPr>
                <w:rFonts w:cs="ITCFranklinGothicStd-Book"/>
                <w:sz w:val="24"/>
                <w:szCs w:val="24"/>
              </w:rPr>
            </w:pPr>
            <w:r w:rsidRPr="00D20211">
              <w:rPr>
                <w:rFonts w:cs="ITCFranklinGothicStd-Book"/>
                <w:sz w:val="24"/>
                <w:szCs w:val="24"/>
              </w:rPr>
              <w:t>Total</w:t>
            </w:r>
          </w:p>
        </w:tc>
        <w:tc>
          <w:tcPr>
            <w:tcW w:w="1558" w:type="dxa"/>
          </w:tcPr>
          <w:p w14:paraId="0745131A" w14:textId="77777777" w:rsidR="009B6C89" w:rsidRPr="00D20211" w:rsidRDefault="009B6C89" w:rsidP="00A321C9">
            <w:pPr>
              <w:autoSpaceDE w:val="0"/>
              <w:autoSpaceDN w:val="0"/>
              <w:adjustRightInd w:val="0"/>
              <w:rPr>
                <w:rFonts w:cs="ITCFranklinGothicStd-Book"/>
                <w:sz w:val="24"/>
                <w:szCs w:val="24"/>
              </w:rPr>
            </w:pPr>
          </w:p>
        </w:tc>
        <w:tc>
          <w:tcPr>
            <w:tcW w:w="1558" w:type="dxa"/>
          </w:tcPr>
          <w:p w14:paraId="7FFA9353" w14:textId="77777777" w:rsidR="009B6C89" w:rsidRPr="00D20211" w:rsidRDefault="009B6C89" w:rsidP="00A321C9">
            <w:pPr>
              <w:autoSpaceDE w:val="0"/>
              <w:autoSpaceDN w:val="0"/>
              <w:adjustRightInd w:val="0"/>
              <w:rPr>
                <w:rFonts w:cs="ITCFranklinGothicStd-Book"/>
                <w:sz w:val="24"/>
                <w:szCs w:val="24"/>
              </w:rPr>
            </w:pPr>
          </w:p>
        </w:tc>
        <w:tc>
          <w:tcPr>
            <w:tcW w:w="1558" w:type="dxa"/>
          </w:tcPr>
          <w:p w14:paraId="4AF2D0E9" w14:textId="77777777" w:rsidR="009B6C89" w:rsidRPr="00D20211" w:rsidRDefault="009B6C89" w:rsidP="00A321C9">
            <w:pPr>
              <w:autoSpaceDE w:val="0"/>
              <w:autoSpaceDN w:val="0"/>
              <w:adjustRightInd w:val="0"/>
              <w:rPr>
                <w:rFonts w:cs="ITCFranklinGothicStd-Book"/>
                <w:sz w:val="24"/>
                <w:szCs w:val="24"/>
              </w:rPr>
            </w:pPr>
          </w:p>
        </w:tc>
        <w:tc>
          <w:tcPr>
            <w:tcW w:w="1559" w:type="dxa"/>
          </w:tcPr>
          <w:p w14:paraId="60455AED" w14:textId="77777777" w:rsidR="009B6C89" w:rsidRPr="00D20211" w:rsidRDefault="009B6C89" w:rsidP="00A321C9">
            <w:pPr>
              <w:autoSpaceDE w:val="0"/>
              <w:autoSpaceDN w:val="0"/>
              <w:adjustRightInd w:val="0"/>
              <w:rPr>
                <w:rFonts w:cs="ITCFranklinGothicStd-Book"/>
                <w:sz w:val="24"/>
                <w:szCs w:val="24"/>
              </w:rPr>
            </w:pPr>
          </w:p>
        </w:tc>
        <w:tc>
          <w:tcPr>
            <w:tcW w:w="1559" w:type="dxa"/>
          </w:tcPr>
          <w:p w14:paraId="5FBE1F98" w14:textId="500D6799" w:rsidR="009B6C89" w:rsidRPr="00D20211" w:rsidRDefault="00064BDD" w:rsidP="009B6C89">
            <w:pPr>
              <w:autoSpaceDE w:val="0"/>
              <w:autoSpaceDN w:val="0"/>
              <w:adjustRightInd w:val="0"/>
              <w:jc w:val="center"/>
              <w:rPr>
                <w:rFonts w:cs="ITCFranklinGothicStd-Book"/>
                <w:sz w:val="24"/>
                <w:szCs w:val="24"/>
              </w:rPr>
            </w:pPr>
            <w:r>
              <w:rPr>
                <w:rFonts w:cs="ITCFranklinGothicStd-Book"/>
                <w:sz w:val="24"/>
                <w:szCs w:val="24"/>
              </w:rPr>
              <w:t>8</w:t>
            </w:r>
            <w:r w:rsidR="00483999">
              <w:rPr>
                <w:rFonts w:cs="ITCFranklinGothicStd-Book"/>
                <w:sz w:val="24"/>
                <w:szCs w:val="24"/>
              </w:rPr>
              <w:t>,</w:t>
            </w:r>
            <w:r w:rsidR="002C3819">
              <w:rPr>
                <w:rFonts w:cs="ITCFranklinGothicStd-Book"/>
                <w:sz w:val="24"/>
                <w:szCs w:val="24"/>
              </w:rPr>
              <w:t>269</w:t>
            </w:r>
          </w:p>
        </w:tc>
      </w:tr>
    </w:tbl>
    <w:p w14:paraId="67F9D08F" w14:textId="77777777" w:rsidR="003924FB" w:rsidRPr="00D20211" w:rsidRDefault="003924FB" w:rsidP="00A321C9">
      <w:pPr>
        <w:autoSpaceDE w:val="0"/>
        <w:autoSpaceDN w:val="0"/>
        <w:adjustRightInd w:val="0"/>
        <w:spacing w:line="240" w:lineRule="auto"/>
        <w:rPr>
          <w:rFonts w:cs="ITCFranklinGothicStd-Book"/>
          <w:sz w:val="24"/>
          <w:szCs w:val="24"/>
        </w:rPr>
      </w:pPr>
    </w:p>
    <w:p w14:paraId="57B490FD" w14:textId="0CE00C9D" w:rsidR="001D75CC" w:rsidRDefault="00117BB3" w:rsidP="00A148A3">
      <w:pPr>
        <w:autoSpaceDE w:val="0"/>
        <w:autoSpaceDN w:val="0"/>
        <w:adjustRightInd w:val="0"/>
        <w:spacing w:line="240" w:lineRule="auto"/>
        <w:rPr>
          <w:rFonts w:cs="ITCFranklinGothicStd-DmCd"/>
          <w:sz w:val="24"/>
          <w:szCs w:val="24"/>
        </w:rPr>
      </w:pPr>
      <w:r>
        <w:rPr>
          <w:rFonts w:cs="ITCFranklinGothicStd-DmCd"/>
          <w:sz w:val="24"/>
          <w:szCs w:val="24"/>
        </w:rPr>
        <w:t xml:space="preserve">Table 3 shows the estimated annualized cost burden for the respondents.  </w:t>
      </w:r>
      <w:r w:rsidR="00FC7293">
        <w:rPr>
          <w:rFonts w:cs="ITCFranklinGothicStd-DmCd"/>
          <w:sz w:val="24"/>
          <w:szCs w:val="24"/>
        </w:rPr>
        <w:t>The Bureau of Labor Statistics reported that the average hourly wage for “Environmental Scientists and Specialists, Including Health” in the United States was $35.55 in May, 2015 (</w:t>
      </w:r>
      <w:hyperlink r:id="rId8" w:history="1">
        <w:r w:rsidR="00FC7293" w:rsidRPr="003C4A7C">
          <w:rPr>
            <w:rStyle w:val="Hyperlink"/>
            <w:rFonts w:cs="ITCFranklinGothicStd-DmCd"/>
            <w:sz w:val="24"/>
            <w:szCs w:val="24"/>
          </w:rPr>
          <w:t>http://www.bls.gov/oes/current/oes192041.htm</w:t>
        </w:r>
      </w:hyperlink>
      <w:r w:rsidR="00FC7293">
        <w:rPr>
          <w:rFonts w:cs="ITCFranklinGothicStd-DmCd"/>
          <w:sz w:val="24"/>
          <w:szCs w:val="24"/>
        </w:rPr>
        <w:t xml:space="preserve">).  </w:t>
      </w:r>
      <w:r w:rsidR="002C3819">
        <w:rPr>
          <w:rFonts w:cs="ITCFranklinGothicStd-DmCd"/>
          <w:sz w:val="24"/>
          <w:szCs w:val="24"/>
        </w:rPr>
        <w:t>The average hourly wage for “Administrative Staff” in the United States was $17.55 in May, 2015 (</w:t>
      </w:r>
      <w:r w:rsidR="002C3819" w:rsidRPr="002C3819">
        <w:rPr>
          <w:rFonts w:cs="ITCFranklinGothicStd-DmCd"/>
          <w:sz w:val="24"/>
          <w:szCs w:val="24"/>
        </w:rPr>
        <w:t>http://www.bls.gov/ooh/office-and-administrative-support/secretaries-and-administrative-assistants.htm</w:t>
      </w:r>
      <w:r w:rsidR="002C3819">
        <w:rPr>
          <w:rFonts w:cs="ITCFranklinGothicStd-DmCd"/>
          <w:sz w:val="24"/>
          <w:szCs w:val="24"/>
        </w:rPr>
        <w:t xml:space="preserve">).  </w:t>
      </w:r>
      <w:r w:rsidR="00FC7293">
        <w:rPr>
          <w:rFonts w:cs="ITCFranklinGothicStd-DmCd"/>
          <w:sz w:val="24"/>
          <w:szCs w:val="24"/>
        </w:rPr>
        <w:t>The total estimated cost burden for respondents is $3</w:t>
      </w:r>
      <w:r w:rsidR="002C3819">
        <w:rPr>
          <w:rFonts w:cs="ITCFranklinGothicStd-DmCd"/>
          <w:sz w:val="24"/>
          <w:szCs w:val="24"/>
        </w:rPr>
        <w:t>60</w:t>
      </w:r>
      <w:r w:rsidR="00FC7293">
        <w:rPr>
          <w:rFonts w:cs="ITCFranklinGothicStd-DmCd"/>
          <w:sz w:val="24"/>
          <w:szCs w:val="24"/>
        </w:rPr>
        <w:t>,</w:t>
      </w:r>
      <w:r w:rsidR="002C3819">
        <w:rPr>
          <w:rFonts w:cs="ITCFranklinGothicStd-DmCd"/>
          <w:sz w:val="24"/>
          <w:szCs w:val="24"/>
        </w:rPr>
        <w:t>221</w:t>
      </w:r>
      <w:r w:rsidR="00FC7293">
        <w:rPr>
          <w:rFonts w:cs="ITCFranklinGothicStd-DmCd"/>
          <w:sz w:val="24"/>
          <w:szCs w:val="24"/>
        </w:rPr>
        <w:t>.</w:t>
      </w:r>
    </w:p>
    <w:p w14:paraId="6E232F05" w14:textId="77777777" w:rsidR="00B5263F" w:rsidRPr="00D20211" w:rsidRDefault="00B5263F" w:rsidP="00A148A3">
      <w:pPr>
        <w:autoSpaceDE w:val="0"/>
        <w:autoSpaceDN w:val="0"/>
        <w:adjustRightInd w:val="0"/>
        <w:spacing w:line="240" w:lineRule="auto"/>
        <w:rPr>
          <w:rFonts w:cs="ITCFranklinGothicStd-DmCd"/>
          <w:sz w:val="24"/>
          <w:szCs w:val="24"/>
        </w:rPr>
      </w:pPr>
    </w:p>
    <w:p w14:paraId="6C8AAD0D" w14:textId="54B8875D" w:rsidR="00ED72E9" w:rsidRPr="00D20211" w:rsidRDefault="00AA34C6" w:rsidP="00A148A3">
      <w:pPr>
        <w:autoSpaceDE w:val="0"/>
        <w:autoSpaceDN w:val="0"/>
        <w:adjustRightInd w:val="0"/>
        <w:spacing w:line="240" w:lineRule="auto"/>
        <w:rPr>
          <w:rFonts w:cs="ITCFranklinGothicStd-DmCd"/>
          <w:sz w:val="24"/>
          <w:szCs w:val="24"/>
        </w:rPr>
      </w:pPr>
      <w:r>
        <w:rPr>
          <w:rFonts w:cs="ITCFranklinGothicStd-DmCd"/>
          <w:sz w:val="24"/>
          <w:szCs w:val="24"/>
        </w:rPr>
        <w:t>Table</w:t>
      </w:r>
      <w:r w:rsidR="00ED72E9" w:rsidRPr="00D20211">
        <w:rPr>
          <w:rFonts w:cs="ITCFranklinGothicStd-DmCd"/>
          <w:sz w:val="24"/>
          <w:szCs w:val="24"/>
        </w:rPr>
        <w:t xml:space="preserve"> 3: Estimated Annualized Burden </w:t>
      </w:r>
      <w:r w:rsidR="00AF1B8F">
        <w:rPr>
          <w:rFonts w:cs="ITCFranklinGothicStd-DmCd"/>
          <w:sz w:val="24"/>
          <w:szCs w:val="24"/>
        </w:rPr>
        <w:t>Costs</w:t>
      </w:r>
      <w:r w:rsidR="00FC7293">
        <w:rPr>
          <w:rFonts w:cs="ITCFranklinGothicStd-DmCd"/>
          <w:sz w:val="24"/>
          <w:szCs w:val="24"/>
        </w:rPr>
        <w:t xml:space="preserve"> </w:t>
      </w:r>
    </w:p>
    <w:tbl>
      <w:tblPr>
        <w:tblStyle w:val="TableGrid"/>
        <w:tblW w:w="0" w:type="auto"/>
        <w:tblLook w:val="04A0" w:firstRow="1" w:lastRow="0" w:firstColumn="1" w:lastColumn="0" w:noHBand="0" w:noVBand="1"/>
      </w:tblPr>
      <w:tblGrid>
        <w:gridCol w:w="1870"/>
        <w:gridCol w:w="1870"/>
        <w:gridCol w:w="1870"/>
        <w:gridCol w:w="1870"/>
        <w:gridCol w:w="1870"/>
      </w:tblGrid>
      <w:tr w:rsidR="00D20211" w:rsidRPr="00D20211" w14:paraId="208D0C2E" w14:textId="77777777" w:rsidTr="00D54C0F">
        <w:tc>
          <w:tcPr>
            <w:tcW w:w="1870" w:type="dxa"/>
            <w:vAlign w:val="center"/>
          </w:tcPr>
          <w:p w14:paraId="496BD5F8" w14:textId="16498F10" w:rsidR="00610DFB" w:rsidRPr="00D20211" w:rsidRDefault="00610DFB" w:rsidP="001232E4">
            <w:pPr>
              <w:autoSpaceDE w:val="0"/>
              <w:autoSpaceDN w:val="0"/>
              <w:adjustRightInd w:val="0"/>
              <w:jc w:val="center"/>
              <w:rPr>
                <w:rFonts w:cs="ITCFranklinGothicStd-DmCd"/>
                <w:sz w:val="24"/>
                <w:szCs w:val="24"/>
              </w:rPr>
            </w:pPr>
            <w:r w:rsidRPr="00D20211">
              <w:rPr>
                <w:rFonts w:cs="ITCFranklinGothicStd-Book"/>
                <w:sz w:val="24"/>
                <w:szCs w:val="24"/>
              </w:rPr>
              <w:t>Type of Respondent</w:t>
            </w:r>
          </w:p>
        </w:tc>
        <w:tc>
          <w:tcPr>
            <w:tcW w:w="1870" w:type="dxa"/>
            <w:vAlign w:val="center"/>
          </w:tcPr>
          <w:p w14:paraId="48FC7198" w14:textId="73E30520" w:rsidR="00610DFB" w:rsidRPr="00D20211" w:rsidRDefault="00610DFB" w:rsidP="001232E4">
            <w:pPr>
              <w:autoSpaceDE w:val="0"/>
              <w:autoSpaceDN w:val="0"/>
              <w:adjustRightInd w:val="0"/>
              <w:jc w:val="center"/>
              <w:rPr>
                <w:rFonts w:cs="ITCFranklinGothicStd-DmCd"/>
                <w:sz w:val="24"/>
                <w:szCs w:val="24"/>
              </w:rPr>
            </w:pPr>
            <w:r w:rsidRPr="00D20211">
              <w:rPr>
                <w:rFonts w:cs="ITCFranklinGothicStd-Book"/>
                <w:sz w:val="24"/>
                <w:szCs w:val="24"/>
              </w:rPr>
              <w:t>Form Name</w:t>
            </w:r>
          </w:p>
        </w:tc>
        <w:tc>
          <w:tcPr>
            <w:tcW w:w="1870" w:type="dxa"/>
            <w:vAlign w:val="center"/>
          </w:tcPr>
          <w:p w14:paraId="179EC0A5" w14:textId="746B1E7B" w:rsidR="00610DFB" w:rsidRPr="00D20211" w:rsidRDefault="00610DFB" w:rsidP="001232E4">
            <w:pPr>
              <w:autoSpaceDE w:val="0"/>
              <w:autoSpaceDN w:val="0"/>
              <w:adjustRightInd w:val="0"/>
              <w:jc w:val="center"/>
              <w:rPr>
                <w:rFonts w:cs="ITCFranklinGothicStd-DmCd"/>
                <w:sz w:val="24"/>
                <w:szCs w:val="24"/>
              </w:rPr>
            </w:pPr>
            <w:r w:rsidRPr="00D20211">
              <w:rPr>
                <w:rFonts w:cs="ITCFranklinGothicStd-Book"/>
                <w:sz w:val="24"/>
                <w:szCs w:val="24"/>
              </w:rPr>
              <w:t>Total Burden Hours</w:t>
            </w:r>
          </w:p>
        </w:tc>
        <w:tc>
          <w:tcPr>
            <w:tcW w:w="1870" w:type="dxa"/>
            <w:vAlign w:val="center"/>
          </w:tcPr>
          <w:p w14:paraId="4051270C" w14:textId="4C7D52B6" w:rsidR="00610DFB" w:rsidRPr="00D20211" w:rsidRDefault="00610DFB" w:rsidP="001232E4">
            <w:pPr>
              <w:autoSpaceDE w:val="0"/>
              <w:autoSpaceDN w:val="0"/>
              <w:adjustRightInd w:val="0"/>
              <w:jc w:val="center"/>
              <w:rPr>
                <w:rFonts w:cs="ITCFranklinGothicStd-DmCd"/>
                <w:sz w:val="24"/>
                <w:szCs w:val="24"/>
              </w:rPr>
            </w:pPr>
            <w:r w:rsidRPr="00D20211">
              <w:rPr>
                <w:rFonts w:cs="ITCFranklinGothicStd-DmCd"/>
                <w:sz w:val="24"/>
                <w:szCs w:val="24"/>
              </w:rPr>
              <w:t>Hourly Wage Rate</w:t>
            </w:r>
          </w:p>
        </w:tc>
        <w:tc>
          <w:tcPr>
            <w:tcW w:w="1870" w:type="dxa"/>
            <w:vAlign w:val="center"/>
          </w:tcPr>
          <w:p w14:paraId="0453DE8A" w14:textId="7EDAFE09" w:rsidR="00610DFB" w:rsidRPr="00D20211" w:rsidRDefault="00610DFB" w:rsidP="001232E4">
            <w:pPr>
              <w:autoSpaceDE w:val="0"/>
              <w:autoSpaceDN w:val="0"/>
              <w:adjustRightInd w:val="0"/>
              <w:jc w:val="center"/>
              <w:rPr>
                <w:rFonts w:cs="ITCFranklinGothicStd-DmCd"/>
                <w:sz w:val="24"/>
                <w:szCs w:val="24"/>
              </w:rPr>
            </w:pPr>
            <w:r w:rsidRPr="00D20211">
              <w:rPr>
                <w:rFonts w:cs="ITCFranklinGothicStd-DmCd"/>
                <w:sz w:val="24"/>
                <w:szCs w:val="24"/>
              </w:rPr>
              <w:t>Total Respondent Costs</w:t>
            </w:r>
          </w:p>
        </w:tc>
      </w:tr>
      <w:tr w:rsidR="00B95FDC" w:rsidRPr="00D20211" w14:paraId="6933B81D" w14:textId="77777777" w:rsidTr="004C65D5">
        <w:tc>
          <w:tcPr>
            <w:tcW w:w="1870" w:type="dxa"/>
            <w:vAlign w:val="center"/>
          </w:tcPr>
          <w:p w14:paraId="2E24DE0A" w14:textId="0A50A128" w:rsidR="00B95FDC" w:rsidRPr="00AA34C6" w:rsidRDefault="00B95FDC" w:rsidP="00610DFB">
            <w:pPr>
              <w:autoSpaceDE w:val="0"/>
              <w:autoSpaceDN w:val="0"/>
              <w:adjustRightInd w:val="0"/>
              <w:rPr>
                <w:rFonts w:cs="ITCFranklinGothicStd-Book"/>
                <w:sz w:val="24"/>
                <w:szCs w:val="24"/>
              </w:rPr>
            </w:pPr>
            <w:r w:rsidRPr="00AA34C6">
              <w:rPr>
                <w:rFonts w:cs="ITCFranklinGothicStd-Book"/>
                <w:sz w:val="24"/>
                <w:szCs w:val="24"/>
              </w:rPr>
              <w:t xml:space="preserve">Health Department </w:t>
            </w:r>
            <w:r w:rsidR="00C00704">
              <w:rPr>
                <w:rFonts w:cs="ITCFranklinGothicStd-Book"/>
                <w:sz w:val="24"/>
                <w:szCs w:val="24"/>
              </w:rPr>
              <w:t>Administrative Staff</w:t>
            </w:r>
          </w:p>
        </w:tc>
        <w:tc>
          <w:tcPr>
            <w:tcW w:w="1870" w:type="dxa"/>
            <w:vAlign w:val="center"/>
          </w:tcPr>
          <w:p w14:paraId="5766FF65" w14:textId="51F9AC8C" w:rsidR="00B95FDC" w:rsidRDefault="00B95FDC" w:rsidP="00610DFB">
            <w:pPr>
              <w:autoSpaceDE w:val="0"/>
              <w:autoSpaceDN w:val="0"/>
              <w:adjustRightInd w:val="0"/>
              <w:jc w:val="center"/>
              <w:rPr>
                <w:rFonts w:cs="ITCFranklinGothicStd-DmCd"/>
                <w:sz w:val="24"/>
                <w:szCs w:val="24"/>
              </w:rPr>
            </w:pPr>
            <w:r>
              <w:rPr>
                <w:rFonts w:cs="ITCFranklinGothicStd-Book"/>
                <w:sz w:val="24"/>
                <w:szCs w:val="24"/>
              </w:rPr>
              <w:t>Health Department Roster</w:t>
            </w:r>
          </w:p>
        </w:tc>
        <w:tc>
          <w:tcPr>
            <w:tcW w:w="1870" w:type="dxa"/>
            <w:vAlign w:val="center"/>
          </w:tcPr>
          <w:p w14:paraId="2560B6C3" w14:textId="69E56554" w:rsidR="00B95FDC" w:rsidRDefault="002C3819" w:rsidP="00317CBA">
            <w:pPr>
              <w:autoSpaceDE w:val="0"/>
              <w:autoSpaceDN w:val="0"/>
              <w:adjustRightInd w:val="0"/>
              <w:jc w:val="center"/>
              <w:rPr>
                <w:rFonts w:cs="ITCFranklinGothicStd-Book"/>
                <w:sz w:val="24"/>
                <w:szCs w:val="24"/>
              </w:rPr>
            </w:pPr>
            <w:r>
              <w:rPr>
                <w:rFonts w:cs="ITCFranklinGothicStd-Book"/>
                <w:sz w:val="24"/>
                <w:szCs w:val="24"/>
              </w:rPr>
              <w:t>269</w:t>
            </w:r>
          </w:p>
        </w:tc>
        <w:tc>
          <w:tcPr>
            <w:tcW w:w="1870" w:type="dxa"/>
            <w:vAlign w:val="center"/>
          </w:tcPr>
          <w:p w14:paraId="0A500DFE" w14:textId="5D31AF5A" w:rsidR="00B95FDC" w:rsidRDefault="002C3819" w:rsidP="00AA34C6">
            <w:pPr>
              <w:autoSpaceDE w:val="0"/>
              <w:autoSpaceDN w:val="0"/>
              <w:adjustRightInd w:val="0"/>
              <w:jc w:val="center"/>
              <w:rPr>
                <w:rFonts w:cs="ITCFranklinGothicStd-DmCd"/>
                <w:sz w:val="24"/>
                <w:szCs w:val="24"/>
              </w:rPr>
            </w:pPr>
            <w:r>
              <w:rPr>
                <w:rFonts w:cs="ITCFranklinGothicStd-DmCd"/>
                <w:sz w:val="24"/>
                <w:szCs w:val="24"/>
              </w:rPr>
              <w:t>$17.55</w:t>
            </w:r>
          </w:p>
        </w:tc>
        <w:tc>
          <w:tcPr>
            <w:tcW w:w="1870" w:type="dxa"/>
            <w:vAlign w:val="center"/>
          </w:tcPr>
          <w:p w14:paraId="3C3570C3" w14:textId="378B492B" w:rsidR="00B95FDC" w:rsidRPr="00D20211" w:rsidRDefault="002C3819" w:rsidP="00AA34C6">
            <w:pPr>
              <w:autoSpaceDE w:val="0"/>
              <w:autoSpaceDN w:val="0"/>
              <w:adjustRightInd w:val="0"/>
              <w:jc w:val="center"/>
              <w:rPr>
                <w:rFonts w:cs="ITCFranklinGothicStd-DmCd"/>
                <w:sz w:val="24"/>
                <w:szCs w:val="24"/>
              </w:rPr>
            </w:pPr>
            <w:r>
              <w:rPr>
                <w:rFonts w:cs="ITCFranklinGothicStd-DmCd"/>
                <w:sz w:val="24"/>
                <w:szCs w:val="24"/>
              </w:rPr>
              <w:t>$4</w:t>
            </w:r>
            <w:r w:rsidR="00861EB6">
              <w:rPr>
                <w:rFonts w:cs="ITCFranklinGothicStd-DmCd"/>
                <w:sz w:val="24"/>
                <w:szCs w:val="24"/>
              </w:rPr>
              <w:t>,</w:t>
            </w:r>
            <w:r>
              <w:rPr>
                <w:rFonts w:cs="ITCFranklinGothicStd-DmCd"/>
                <w:sz w:val="24"/>
                <w:szCs w:val="24"/>
              </w:rPr>
              <w:t>721</w:t>
            </w:r>
          </w:p>
        </w:tc>
      </w:tr>
      <w:tr w:rsidR="00B95FDC" w:rsidRPr="00D20211" w14:paraId="07C54FE8" w14:textId="77777777" w:rsidTr="00D54C0F">
        <w:tc>
          <w:tcPr>
            <w:tcW w:w="1870" w:type="dxa"/>
            <w:vAlign w:val="center"/>
          </w:tcPr>
          <w:p w14:paraId="5E191574" w14:textId="1D7A683F" w:rsidR="00B95FDC" w:rsidRPr="00D20211" w:rsidRDefault="00C00704" w:rsidP="00610DFB">
            <w:pPr>
              <w:autoSpaceDE w:val="0"/>
              <w:autoSpaceDN w:val="0"/>
              <w:adjustRightInd w:val="0"/>
              <w:rPr>
                <w:rFonts w:cs="ITCFranklinGothicStd-DmCd"/>
                <w:sz w:val="24"/>
                <w:szCs w:val="24"/>
              </w:rPr>
            </w:pPr>
            <w:r w:rsidRPr="00AA34C6">
              <w:rPr>
                <w:rFonts w:cs="ITCFranklinGothicStd-Book"/>
                <w:sz w:val="24"/>
                <w:szCs w:val="24"/>
              </w:rPr>
              <w:t>Health Department EH Professionals</w:t>
            </w:r>
          </w:p>
        </w:tc>
        <w:tc>
          <w:tcPr>
            <w:tcW w:w="1870" w:type="dxa"/>
            <w:vAlign w:val="center"/>
          </w:tcPr>
          <w:p w14:paraId="1FF419DB" w14:textId="77777777" w:rsidR="00B95FDC" w:rsidRDefault="00B95FDC" w:rsidP="00610DFB">
            <w:pPr>
              <w:autoSpaceDE w:val="0"/>
              <w:autoSpaceDN w:val="0"/>
              <w:adjustRightInd w:val="0"/>
              <w:jc w:val="center"/>
              <w:rPr>
                <w:rFonts w:cs="ITCFranklinGothicStd-DmCd"/>
                <w:sz w:val="24"/>
                <w:szCs w:val="24"/>
              </w:rPr>
            </w:pPr>
            <w:r>
              <w:rPr>
                <w:rFonts w:cs="ITCFranklinGothicStd-DmCd"/>
                <w:sz w:val="24"/>
                <w:szCs w:val="24"/>
              </w:rPr>
              <w:t>UNCOVER EH</w:t>
            </w:r>
          </w:p>
          <w:p w14:paraId="0358EDB1" w14:textId="72909922" w:rsidR="00B95FDC" w:rsidRPr="00D20211" w:rsidRDefault="00B95FDC" w:rsidP="00610DFB">
            <w:pPr>
              <w:autoSpaceDE w:val="0"/>
              <w:autoSpaceDN w:val="0"/>
              <w:adjustRightInd w:val="0"/>
              <w:jc w:val="center"/>
              <w:rPr>
                <w:rFonts w:cs="ITCFranklinGothicStd-DmCd"/>
                <w:sz w:val="24"/>
                <w:szCs w:val="24"/>
              </w:rPr>
            </w:pPr>
            <w:r>
              <w:rPr>
                <w:rFonts w:cs="ITCFranklinGothicStd-DmCd"/>
                <w:sz w:val="24"/>
                <w:szCs w:val="24"/>
              </w:rPr>
              <w:t>Survey</w:t>
            </w:r>
          </w:p>
        </w:tc>
        <w:tc>
          <w:tcPr>
            <w:tcW w:w="1870" w:type="dxa"/>
            <w:vAlign w:val="center"/>
          </w:tcPr>
          <w:p w14:paraId="05A35E05" w14:textId="2D4C3D4A" w:rsidR="00B95FDC" w:rsidRPr="00D20211" w:rsidRDefault="001F444D" w:rsidP="00610DFB">
            <w:pPr>
              <w:autoSpaceDE w:val="0"/>
              <w:autoSpaceDN w:val="0"/>
              <w:adjustRightInd w:val="0"/>
              <w:jc w:val="center"/>
              <w:rPr>
                <w:rFonts w:cs="ITCFranklinGothicStd-DmCd"/>
                <w:sz w:val="24"/>
                <w:szCs w:val="24"/>
              </w:rPr>
            </w:pPr>
            <w:r>
              <w:rPr>
                <w:rFonts w:cs="ITCFranklinGothicStd-Book"/>
                <w:sz w:val="24"/>
                <w:szCs w:val="24"/>
              </w:rPr>
              <w:t>8</w:t>
            </w:r>
            <w:r w:rsidR="00B95FDC">
              <w:rPr>
                <w:rFonts w:cs="ITCFranklinGothicStd-Book"/>
                <w:sz w:val="24"/>
                <w:szCs w:val="24"/>
              </w:rPr>
              <w:t>,000</w:t>
            </w:r>
          </w:p>
        </w:tc>
        <w:tc>
          <w:tcPr>
            <w:tcW w:w="1870" w:type="dxa"/>
            <w:vAlign w:val="center"/>
          </w:tcPr>
          <w:p w14:paraId="675A9A90" w14:textId="5F03D867" w:rsidR="00B95FDC" w:rsidRPr="00D20211" w:rsidRDefault="00B95FDC" w:rsidP="00AA34C6">
            <w:pPr>
              <w:autoSpaceDE w:val="0"/>
              <w:autoSpaceDN w:val="0"/>
              <w:adjustRightInd w:val="0"/>
              <w:jc w:val="center"/>
              <w:rPr>
                <w:rFonts w:cs="ITCFranklinGothicStd-DmCd"/>
                <w:sz w:val="24"/>
                <w:szCs w:val="24"/>
              </w:rPr>
            </w:pPr>
            <w:r>
              <w:rPr>
                <w:rFonts w:cs="ITCFranklinGothicStd-DmCd"/>
                <w:sz w:val="24"/>
                <w:szCs w:val="24"/>
              </w:rPr>
              <w:t>$3</w:t>
            </w:r>
            <w:r w:rsidRPr="00D20211">
              <w:rPr>
                <w:rFonts w:cs="ITCFranklinGothicStd-DmCd"/>
                <w:sz w:val="24"/>
                <w:szCs w:val="24"/>
              </w:rPr>
              <w:t>5.</w:t>
            </w:r>
            <w:r>
              <w:rPr>
                <w:rFonts w:cs="ITCFranklinGothicStd-DmCd"/>
                <w:sz w:val="24"/>
                <w:szCs w:val="24"/>
              </w:rPr>
              <w:t>55</w:t>
            </w:r>
          </w:p>
        </w:tc>
        <w:tc>
          <w:tcPr>
            <w:tcW w:w="1870" w:type="dxa"/>
            <w:vAlign w:val="center"/>
          </w:tcPr>
          <w:p w14:paraId="19E881B9" w14:textId="286CE960" w:rsidR="00B95FDC" w:rsidRPr="00D20211" w:rsidRDefault="00B95FDC" w:rsidP="001F444D">
            <w:pPr>
              <w:autoSpaceDE w:val="0"/>
              <w:autoSpaceDN w:val="0"/>
              <w:adjustRightInd w:val="0"/>
              <w:jc w:val="center"/>
              <w:rPr>
                <w:rFonts w:cs="ITCFranklinGothicStd-DmCd"/>
                <w:sz w:val="24"/>
                <w:szCs w:val="24"/>
              </w:rPr>
            </w:pPr>
            <w:r w:rsidRPr="00D20211">
              <w:rPr>
                <w:rFonts w:cs="ITCFranklinGothicStd-DmCd"/>
                <w:sz w:val="24"/>
                <w:szCs w:val="24"/>
              </w:rPr>
              <w:t>$</w:t>
            </w:r>
            <w:r w:rsidR="001F444D">
              <w:rPr>
                <w:rFonts w:cs="ITCFranklinGothicStd-DmCd"/>
                <w:sz w:val="24"/>
                <w:szCs w:val="24"/>
              </w:rPr>
              <w:t>284,400</w:t>
            </w:r>
          </w:p>
        </w:tc>
      </w:tr>
      <w:tr w:rsidR="00610DFB" w:rsidRPr="00D20211" w14:paraId="339D8E3E" w14:textId="77777777" w:rsidTr="00D54C0F">
        <w:tc>
          <w:tcPr>
            <w:tcW w:w="1870" w:type="dxa"/>
          </w:tcPr>
          <w:p w14:paraId="13742A54" w14:textId="30A3B4DD" w:rsidR="00610DFB" w:rsidRPr="00D20211" w:rsidRDefault="00610DFB" w:rsidP="00610DFB">
            <w:pPr>
              <w:autoSpaceDE w:val="0"/>
              <w:autoSpaceDN w:val="0"/>
              <w:adjustRightInd w:val="0"/>
              <w:rPr>
                <w:rFonts w:cs="ITCFranklinGothicStd-DmCd"/>
                <w:sz w:val="24"/>
                <w:szCs w:val="24"/>
              </w:rPr>
            </w:pPr>
            <w:r w:rsidRPr="00D20211">
              <w:rPr>
                <w:rFonts w:cs="ITCFranklinGothicStd-DmCd"/>
                <w:sz w:val="24"/>
                <w:szCs w:val="24"/>
              </w:rPr>
              <w:t>Total</w:t>
            </w:r>
          </w:p>
        </w:tc>
        <w:tc>
          <w:tcPr>
            <w:tcW w:w="1870" w:type="dxa"/>
          </w:tcPr>
          <w:p w14:paraId="6A888E76" w14:textId="77777777" w:rsidR="00610DFB" w:rsidRPr="00D20211" w:rsidRDefault="00610DFB" w:rsidP="00610DFB">
            <w:pPr>
              <w:autoSpaceDE w:val="0"/>
              <w:autoSpaceDN w:val="0"/>
              <w:adjustRightInd w:val="0"/>
              <w:jc w:val="center"/>
              <w:rPr>
                <w:rFonts w:cs="ITCFranklinGothicStd-DmCd"/>
                <w:sz w:val="24"/>
                <w:szCs w:val="24"/>
              </w:rPr>
            </w:pPr>
          </w:p>
        </w:tc>
        <w:tc>
          <w:tcPr>
            <w:tcW w:w="1870" w:type="dxa"/>
          </w:tcPr>
          <w:p w14:paraId="13CE3CAE" w14:textId="77777777" w:rsidR="00610DFB" w:rsidRPr="00D20211" w:rsidRDefault="00610DFB" w:rsidP="00610DFB">
            <w:pPr>
              <w:autoSpaceDE w:val="0"/>
              <w:autoSpaceDN w:val="0"/>
              <w:adjustRightInd w:val="0"/>
              <w:jc w:val="center"/>
              <w:rPr>
                <w:rFonts w:cs="ITCFranklinGothicStd-DmCd"/>
                <w:sz w:val="24"/>
                <w:szCs w:val="24"/>
              </w:rPr>
            </w:pPr>
          </w:p>
        </w:tc>
        <w:tc>
          <w:tcPr>
            <w:tcW w:w="1870" w:type="dxa"/>
            <w:vAlign w:val="center"/>
          </w:tcPr>
          <w:p w14:paraId="69FAA3B1" w14:textId="77777777" w:rsidR="00610DFB" w:rsidRPr="00D20211" w:rsidRDefault="00610DFB" w:rsidP="00610DFB">
            <w:pPr>
              <w:autoSpaceDE w:val="0"/>
              <w:autoSpaceDN w:val="0"/>
              <w:adjustRightInd w:val="0"/>
              <w:jc w:val="center"/>
              <w:rPr>
                <w:rFonts w:cs="ITCFranklinGothicStd-DmCd"/>
                <w:sz w:val="24"/>
                <w:szCs w:val="24"/>
              </w:rPr>
            </w:pPr>
          </w:p>
        </w:tc>
        <w:tc>
          <w:tcPr>
            <w:tcW w:w="1870" w:type="dxa"/>
            <w:vAlign w:val="center"/>
          </w:tcPr>
          <w:p w14:paraId="4F66BE40" w14:textId="7A188B2F" w:rsidR="00610DFB" w:rsidRPr="00D20211" w:rsidRDefault="00AC4E2F" w:rsidP="001F444D">
            <w:pPr>
              <w:autoSpaceDE w:val="0"/>
              <w:autoSpaceDN w:val="0"/>
              <w:adjustRightInd w:val="0"/>
              <w:jc w:val="center"/>
              <w:rPr>
                <w:rFonts w:cs="ITCFranklinGothicStd-DmCd"/>
                <w:sz w:val="24"/>
                <w:szCs w:val="24"/>
              </w:rPr>
            </w:pPr>
            <w:r>
              <w:rPr>
                <w:rFonts w:cs="ITCFranklinGothicStd-DmCd"/>
                <w:sz w:val="24"/>
                <w:szCs w:val="24"/>
              </w:rPr>
              <w:t>$</w:t>
            </w:r>
            <w:r w:rsidR="001F444D">
              <w:rPr>
                <w:rFonts w:cs="ITCFranklinGothicStd-DmCd"/>
                <w:sz w:val="24"/>
                <w:szCs w:val="24"/>
              </w:rPr>
              <w:t>289,121</w:t>
            </w:r>
          </w:p>
        </w:tc>
      </w:tr>
    </w:tbl>
    <w:p w14:paraId="38D56CFC" w14:textId="77777777" w:rsidR="00ED72E9" w:rsidRPr="00D20211" w:rsidRDefault="00ED72E9" w:rsidP="00ED72E9"/>
    <w:p w14:paraId="051C67DE" w14:textId="4D2F92D2" w:rsidR="00B45002" w:rsidRPr="00D20211" w:rsidRDefault="00601F1A" w:rsidP="00601F1A">
      <w:pPr>
        <w:pStyle w:val="Heading1"/>
        <w:pBdr>
          <w:bottom w:val="none" w:sz="0" w:space="0" w:color="auto"/>
        </w:pBdr>
        <w:rPr>
          <w:color w:val="auto"/>
        </w:rPr>
      </w:pPr>
      <w:bookmarkStart w:id="15" w:name="_Toc432356292"/>
      <w:r w:rsidRPr="00D20211">
        <w:rPr>
          <w:color w:val="auto"/>
        </w:rPr>
        <w:t>A.</w:t>
      </w:r>
      <w:r w:rsidR="00AC62CC" w:rsidRPr="00D20211">
        <w:rPr>
          <w:color w:val="auto"/>
        </w:rPr>
        <w:t>13</w:t>
      </w:r>
      <w:r w:rsidR="00D2613D" w:rsidRPr="00D20211">
        <w:rPr>
          <w:color w:val="auto"/>
        </w:rPr>
        <w:t>. Estimates</w:t>
      </w:r>
      <w:r w:rsidR="00B45002" w:rsidRPr="00D20211">
        <w:rPr>
          <w:color w:val="auto"/>
        </w:rPr>
        <w:t xml:space="preserve"> of Other Total Annual Cost Burden to Respondents and Record Keepers</w:t>
      </w:r>
      <w:bookmarkEnd w:id="15"/>
    </w:p>
    <w:p w14:paraId="3887E2D4" w14:textId="77777777" w:rsidR="00F1279E" w:rsidRDefault="00F1279E" w:rsidP="00ED72E9">
      <w:pPr>
        <w:autoSpaceDE w:val="0"/>
        <w:autoSpaceDN w:val="0"/>
        <w:adjustRightInd w:val="0"/>
        <w:spacing w:after="0" w:line="240" w:lineRule="auto"/>
        <w:rPr>
          <w:sz w:val="24"/>
          <w:szCs w:val="24"/>
        </w:rPr>
      </w:pPr>
    </w:p>
    <w:p w14:paraId="195B24AB" w14:textId="601A94E7" w:rsidR="00FF7D36" w:rsidRPr="00D20211" w:rsidRDefault="00FF7D36" w:rsidP="00ED72E9">
      <w:pPr>
        <w:autoSpaceDE w:val="0"/>
        <w:autoSpaceDN w:val="0"/>
        <w:adjustRightInd w:val="0"/>
        <w:spacing w:after="0" w:line="240" w:lineRule="auto"/>
        <w:rPr>
          <w:sz w:val="24"/>
          <w:szCs w:val="24"/>
        </w:rPr>
      </w:pPr>
      <w:r>
        <w:rPr>
          <w:sz w:val="24"/>
          <w:szCs w:val="24"/>
        </w:rPr>
        <w:t>There are no additional costs anticipated</w:t>
      </w:r>
      <w:r w:rsidR="00B5263F">
        <w:rPr>
          <w:sz w:val="24"/>
          <w:szCs w:val="24"/>
        </w:rPr>
        <w:t xml:space="preserve"> </w:t>
      </w:r>
      <w:r w:rsidR="00B95FDC">
        <w:rPr>
          <w:sz w:val="24"/>
          <w:szCs w:val="24"/>
        </w:rPr>
        <w:t>for</w:t>
      </w:r>
      <w:r w:rsidR="00B5263F">
        <w:rPr>
          <w:sz w:val="24"/>
          <w:szCs w:val="24"/>
        </w:rPr>
        <w:t xml:space="preserve"> respondents other than their time to participate in the survey</w:t>
      </w:r>
      <w:r>
        <w:rPr>
          <w:sz w:val="24"/>
          <w:szCs w:val="24"/>
        </w:rPr>
        <w:t>.</w:t>
      </w:r>
    </w:p>
    <w:p w14:paraId="2DC96AD8" w14:textId="36E71E62" w:rsidR="00B45002" w:rsidRPr="00D20211" w:rsidRDefault="00601F1A" w:rsidP="00601F1A">
      <w:pPr>
        <w:pStyle w:val="Heading1"/>
        <w:pBdr>
          <w:bottom w:val="none" w:sz="0" w:space="0" w:color="auto"/>
        </w:pBdr>
        <w:rPr>
          <w:color w:val="auto"/>
        </w:rPr>
      </w:pPr>
      <w:bookmarkStart w:id="16" w:name="_Toc432356293"/>
      <w:r w:rsidRPr="00D20211">
        <w:rPr>
          <w:color w:val="auto"/>
        </w:rPr>
        <w:t>A.</w:t>
      </w:r>
      <w:r w:rsidR="00AC62CC" w:rsidRPr="00D20211">
        <w:rPr>
          <w:color w:val="auto"/>
        </w:rPr>
        <w:t>14</w:t>
      </w:r>
      <w:r w:rsidR="006C6939" w:rsidRPr="00D20211">
        <w:rPr>
          <w:color w:val="auto"/>
        </w:rPr>
        <w:t>. Annualized</w:t>
      </w:r>
      <w:r w:rsidR="00B45002" w:rsidRPr="00D20211">
        <w:rPr>
          <w:color w:val="auto"/>
        </w:rPr>
        <w:t xml:space="preserve"> Cost to the Federal Government</w:t>
      </w:r>
      <w:bookmarkEnd w:id="16"/>
    </w:p>
    <w:p w14:paraId="3B492077" w14:textId="77777777" w:rsidR="00DA5A96" w:rsidRPr="00D20211" w:rsidRDefault="00DA5A96" w:rsidP="00DA5A96"/>
    <w:p w14:paraId="0CCE6BC1" w14:textId="11072C72" w:rsidR="00FF7D36" w:rsidRDefault="00EF55AB" w:rsidP="00FF7D36">
      <w:pPr>
        <w:autoSpaceDE w:val="0"/>
        <w:autoSpaceDN w:val="0"/>
        <w:adjustRightInd w:val="0"/>
        <w:spacing w:line="240" w:lineRule="auto"/>
        <w:rPr>
          <w:rFonts w:cs="ITCFranklinGothicStd-Book"/>
          <w:sz w:val="24"/>
          <w:szCs w:val="24"/>
        </w:rPr>
      </w:pPr>
      <w:r>
        <w:rPr>
          <w:rFonts w:cs="ITCFranklinGothicStd-Book"/>
          <w:sz w:val="24"/>
          <w:szCs w:val="24"/>
        </w:rPr>
        <w:t>A total of</w:t>
      </w:r>
      <w:r w:rsidR="00C417A8">
        <w:rPr>
          <w:rFonts w:cs="ITCFranklinGothicStd-Book"/>
          <w:sz w:val="24"/>
          <w:szCs w:val="24"/>
        </w:rPr>
        <w:t xml:space="preserve"> $125</w:t>
      </w:r>
      <w:r>
        <w:rPr>
          <w:rFonts w:cs="ITCFranklinGothicStd-Book"/>
          <w:sz w:val="24"/>
          <w:szCs w:val="24"/>
        </w:rPr>
        <w:t xml:space="preserve">,000 </w:t>
      </w:r>
      <w:r w:rsidR="00C417A8">
        <w:rPr>
          <w:rFonts w:cs="ITCFranklinGothicStd-Book"/>
          <w:sz w:val="24"/>
          <w:szCs w:val="24"/>
        </w:rPr>
        <w:t xml:space="preserve">annually </w:t>
      </w:r>
      <w:r>
        <w:rPr>
          <w:rFonts w:cs="ITCFranklinGothicStd-Book"/>
          <w:sz w:val="24"/>
          <w:szCs w:val="24"/>
        </w:rPr>
        <w:t>is supporting</w:t>
      </w:r>
      <w:r w:rsidR="00FF7D36" w:rsidRPr="00FF7D36">
        <w:rPr>
          <w:rFonts w:cs="ITCFranklinGothicStd-Book"/>
          <w:sz w:val="24"/>
          <w:szCs w:val="24"/>
        </w:rPr>
        <w:t xml:space="preserve"> contract and consultation </w:t>
      </w:r>
      <w:r w:rsidR="000E78DE">
        <w:rPr>
          <w:rFonts w:cs="ITCFranklinGothicStd-Book"/>
          <w:sz w:val="24"/>
          <w:szCs w:val="24"/>
        </w:rPr>
        <w:t xml:space="preserve">costs </w:t>
      </w:r>
      <w:r>
        <w:rPr>
          <w:rFonts w:cs="ITCFranklinGothicStd-Book"/>
          <w:sz w:val="24"/>
          <w:szCs w:val="24"/>
        </w:rPr>
        <w:t>for</w:t>
      </w:r>
      <w:r w:rsidR="00A322B2">
        <w:rPr>
          <w:rFonts w:cs="ITCFranklinGothicStd-Book"/>
          <w:sz w:val="24"/>
          <w:szCs w:val="24"/>
        </w:rPr>
        <w:t xml:space="preserve"> </w:t>
      </w:r>
      <w:r w:rsidR="00FF7D36" w:rsidRPr="00FF7D36">
        <w:rPr>
          <w:rFonts w:cs="ITCFranklinGothicStd-Book"/>
          <w:sz w:val="24"/>
          <w:szCs w:val="24"/>
        </w:rPr>
        <w:t>planning</w:t>
      </w:r>
      <w:r>
        <w:rPr>
          <w:rFonts w:cs="ITCFranklinGothicStd-Book"/>
          <w:sz w:val="24"/>
          <w:szCs w:val="24"/>
        </w:rPr>
        <w:t xml:space="preserve"> and administration of </w:t>
      </w:r>
      <w:r w:rsidR="00A322B2">
        <w:rPr>
          <w:rFonts w:cs="ITCFranklinGothicStd-Book"/>
          <w:sz w:val="24"/>
          <w:szCs w:val="24"/>
        </w:rPr>
        <w:t>the information collection</w:t>
      </w:r>
      <w:r w:rsidR="000E78DE">
        <w:rPr>
          <w:rFonts w:cs="ITCFranklinGothicStd-Book"/>
          <w:sz w:val="24"/>
          <w:szCs w:val="24"/>
        </w:rPr>
        <w:t>,</w:t>
      </w:r>
      <w:r w:rsidR="00A322B2">
        <w:rPr>
          <w:rFonts w:cs="ITCFranklinGothicStd-Book"/>
          <w:sz w:val="24"/>
          <w:szCs w:val="24"/>
        </w:rPr>
        <w:t xml:space="preserve"> analyzing the data</w:t>
      </w:r>
      <w:r w:rsidR="000E78DE">
        <w:rPr>
          <w:rFonts w:cs="ITCFranklinGothicStd-Book"/>
          <w:sz w:val="24"/>
          <w:szCs w:val="24"/>
        </w:rPr>
        <w:t>,</w:t>
      </w:r>
      <w:r w:rsidR="00A322B2">
        <w:rPr>
          <w:rFonts w:cs="ITCFranklinGothicStd-Book"/>
          <w:sz w:val="24"/>
          <w:szCs w:val="24"/>
        </w:rPr>
        <w:t xml:space="preserve"> and reporting results</w:t>
      </w:r>
      <w:r w:rsidR="00FF7D36" w:rsidRPr="00FF7D36">
        <w:rPr>
          <w:rFonts w:cs="ITCFranklinGothicStd-Book"/>
          <w:sz w:val="24"/>
          <w:szCs w:val="24"/>
        </w:rPr>
        <w:t xml:space="preserve">. </w:t>
      </w:r>
      <w:r w:rsidR="00A322B2">
        <w:rPr>
          <w:rFonts w:cs="ITCFranklinGothicStd-Book"/>
          <w:sz w:val="24"/>
          <w:szCs w:val="24"/>
        </w:rPr>
        <w:t xml:space="preserve">It is </w:t>
      </w:r>
      <w:r w:rsidR="00FF7D36" w:rsidRPr="00FF7D36">
        <w:rPr>
          <w:rFonts w:cs="ITCFranklinGothicStd-Book"/>
          <w:sz w:val="24"/>
          <w:szCs w:val="24"/>
        </w:rPr>
        <w:t>anticipate</w:t>
      </w:r>
      <w:r w:rsidR="00A322B2">
        <w:rPr>
          <w:rFonts w:cs="ITCFranklinGothicStd-Book"/>
          <w:sz w:val="24"/>
          <w:szCs w:val="24"/>
        </w:rPr>
        <w:t xml:space="preserve">d </w:t>
      </w:r>
      <w:r w:rsidR="00FF7D36" w:rsidRPr="00FF7D36">
        <w:rPr>
          <w:rFonts w:cs="ITCFranklinGothicStd-Book"/>
          <w:sz w:val="24"/>
          <w:szCs w:val="24"/>
        </w:rPr>
        <w:t xml:space="preserve">this collection </w:t>
      </w:r>
      <w:r w:rsidR="00A322B2">
        <w:rPr>
          <w:rFonts w:cs="ITCFranklinGothicStd-Book"/>
          <w:sz w:val="24"/>
          <w:szCs w:val="24"/>
        </w:rPr>
        <w:t>of information will</w:t>
      </w:r>
      <w:r w:rsidR="00FF7D36" w:rsidRPr="00FF7D36">
        <w:rPr>
          <w:rFonts w:cs="ITCFranklinGothicStd-Book"/>
          <w:sz w:val="24"/>
          <w:szCs w:val="24"/>
        </w:rPr>
        <w:t xml:space="preserve"> take place over the year</w:t>
      </w:r>
      <w:r w:rsidR="00FD42F0">
        <w:rPr>
          <w:rFonts w:cs="ITCFranklinGothicStd-Book"/>
          <w:sz w:val="24"/>
          <w:szCs w:val="24"/>
        </w:rPr>
        <w:t xml:space="preserve"> following </w:t>
      </w:r>
      <w:r w:rsidR="00A53938">
        <w:rPr>
          <w:rFonts w:cs="ITCFranklinGothicStd-Book"/>
          <w:sz w:val="24"/>
          <w:szCs w:val="24"/>
        </w:rPr>
        <w:t>PRA clearance</w:t>
      </w:r>
      <w:r w:rsidR="00FF7D36" w:rsidRPr="00FF7D36">
        <w:rPr>
          <w:rFonts w:cs="ITCFranklinGothicStd-Book"/>
          <w:sz w:val="24"/>
          <w:szCs w:val="24"/>
        </w:rPr>
        <w:t>. This is a one</w:t>
      </w:r>
      <w:r w:rsidR="00A322B2">
        <w:rPr>
          <w:rFonts w:cs="ITCFranklinGothicStd-Book"/>
          <w:sz w:val="24"/>
          <w:szCs w:val="24"/>
        </w:rPr>
        <w:t>-</w:t>
      </w:r>
      <w:r w:rsidR="00FF7D36" w:rsidRPr="00FF7D36">
        <w:rPr>
          <w:rFonts w:cs="ITCFranklinGothicStd-Book"/>
          <w:sz w:val="24"/>
          <w:szCs w:val="24"/>
        </w:rPr>
        <w:t>time action</w:t>
      </w:r>
      <w:r w:rsidR="00A322B2">
        <w:rPr>
          <w:rFonts w:cs="ITCFranklinGothicStd-Book"/>
          <w:sz w:val="24"/>
          <w:szCs w:val="24"/>
        </w:rPr>
        <w:t xml:space="preserve"> </w:t>
      </w:r>
      <w:r w:rsidR="00FF7D36" w:rsidRPr="00FF7D36">
        <w:rPr>
          <w:rFonts w:cs="ITCFranklinGothicStd-Book"/>
          <w:sz w:val="24"/>
          <w:szCs w:val="24"/>
        </w:rPr>
        <w:t>two</w:t>
      </w:r>
      <w:r w:rsidR="00D04144">
        <w:rPr>
          <w:rFonts w:cs="ITCFranklinGothicStd-Book"/>
          <w:sz w:val="24"/>
          <w:szCs w:val="24"/>
        </w:rPr>
        <w:t>-</w:t>
      </w:r>
      <w:r w:rsidR="00FF7D36" w:rsidRPr="00FF7D36">
        <w:rPr>
          <w:rFonts w:cs="ITCFranklinGothicStd-Book"/>
          <w:sz w:val="24"/>
          <w:szCs w:val="24"/>
        </w:rPr>
        <w:t>year project</w:t>
      </w:r>
      <w:r w:rsidR="00A322B2">
        <w:rPr>
          <w:rFonts w:cs="ITCFranklinGothicStd-Book"/>
          <w:sz w:val="24"/>
          <w:szCs w:val="24"/>
        </w:rPr>
        <w:t xml:space="preserve"> with approximately </w:t>
      </w:r>
      <w:r w:rsidR="00FF7D36" w:rsidRPr="00FF7D36">
        <w:rPr>
          <w:rFonts w:cs="ITCFranklinGothicStd-Book"/>
          <w:sz w:val="24"/>
          <w:szCs w:val="24"/>
        </w:rPr>
        <w:t>$</w:t>
      </w:r>
      <w:r w:rsidR="00A322B2">
        <w:rPr>
          <w:rFonts w:cs="ITCFranklinGothicStd-Book"/>
          <w:sz w:val="24"/>
          <w:szCs w:val="24"/>
        </w:rPr>
        <w:t xml:space="preserve">125,000 to support activities </w:t>
      </w:r>
      <w:r w:rsidR="00F70DDE">
        <w:rPr>
          <w:rFonts w:cs="ITCFranklinGothicStd-Book"/>
          <w:sz w:val="24"/>
          <w:szCs w:val="24"/>
        </w:rPr>
        <w:t>during</w:t>
      </w:r>
      <w:r w:rsidR="00A322B2">
        <w:rPr>
          <w:rFonts w:cs="ITCFranklinGothicStd-Book"/>
          <w:sz w:val="24"/>
          <w:szCs w:val="24"/>
        </w:rPr>
        <w:t xml:space="preserve"> each year</w:t>
      </w:r>
      <w:r w:rsidR="00FF7D36" w:rsidRPr="00FF7D36">
        <w:rPr>
          <w:rFonts w:cs="ITCFranklinGothicStd-Book"/>
          <w:sz w:val="24"/>
          <w:szCs w:val="24"/>
        </w:rPr>
        <w:t xml:space="preserve">. </w:t>
      </w:r>
      <w:r w:rsidR="00CE2FA4" w:rsidRPr="00064EA7">
        <w:rPr>
          <w:rFonts w:cs="ITCFranklinGothicStd-Book"/>
          <w:sz w:val="24"/>
          <w:szCs w:val="24"/>
        </w:rPr>
        <w:t>We estimate that</w:t>
      </w:r>
      <w:r w:rsidR="00CE2FA4">
        <w:rPr>
          <w:rFonts w:cs="ITCFranklinGothicStd-Book"/>
          <w:sz w:val="24"/>
          <w:szCs w:val="24"/>
        </w:rPr>
        <w:t xml:space="preserve"> two</w:t>
      </w:r>
      <w:r w:rsidR="00CE2FA4" w:rsidRPr="00064EA7">
        <w:rPr>
          <w:rFonts w:cs="ITCFranklinGothicStd-Book"/>
          <w:sz w:val="24"/>
          <w:szCs w:val="24"/>
        </w:rPr>
        <w:t xml:space="preserve"> CDC staff will spend approximately </w:t>
      </w:r>
      <w:r w:rsidR="00CE2FA4">
        <w:rPr>
          <w:rFonts w:cs="ITCFranklinGothicStd-Book"/>
          <w:sz w:val="24"/>
          <w:szCs w:val="24"/>
        </w:rPr>
        <w:t>1</w:t>
      </w:r>
      <w:r w:rsidR="006C307E">
        <w:rPr>
          <w:rFonts w:cs="ITCFranklinGothicStd-Book"/>
          <w:sz w:val="24"/>
          <w:szCs w:val="24"/>
        </w:rPr>
        <w:t xml:space="preserve">0% </w:t>
      </w:r>
      <w:r w:rsidR="00CE2FA4">
        <w:rPr>
          <w:rFonts w:cs="ITCFranklinGothicStd-Book"/>
          <w:sz w:val="24"/>
          <w:szCs w:val="24"/>
        </w:rPr>
        <w:t>and 5% o</w:t>
      </w:r>
      <w:r w:rsidR="00CE2FA4" w:rsidRPr="00064EA7">
        <w:rPr>
          <w:rFonts w:cs="ITCFranklinGothicStd-Book"/>
          <w:sz w:val="24"/>
          <w:szCs w:val="24"/>
        </w:rPr>
        <w:t>f their time on this data collection.</w:t>
      </w:r>
      <w:r w:rsidR="00CE2FA4">
        <w:rPr>
          <w:rFonts w:cs="ITCFranklinGothicStd-Book"/>
          <w:sz w:val="24"/>
          <w:szCs w:val="24"/>
        </w:rPr>
        <w:t xml:space="preserve"> </w:t>
      </w:r>
      <w:r w:rsidR="00A322B2">
        <w:rPr>
          <w:rFonts w:cs="ITCFranklinGothicStd-Book"/>
          <w:sz w:val="24"/>
          <w:szCs w:val="24"/>
        </w:rPr>
        <w:t xml:space="preserve">Governmental full-time employee salary </w:t>
      </w:r>
      <w:r w:rsidR="00FF7D36" w:rsidRPr="00FF7D36">
        <w:rPr>
          <w:rFonts w:cs="ITCFranklinGothicStd-Book"/>
          <w:sz w:val="24"/>
          <w:szCs w:val="24"/>
        </w:rPr>
        <w:t>and travel</w:t>
      </w:r>
      <w:r w:rsidR="00A322B2">
        <w:rPr>
          <w:rFonts w:cs="ITCFranklinGothicStd-Book"/>
          <w:sz w:val="24"/>
          <w:szCs w:val="24"/>
        </w:rPr>
        <w:t xml:space="preserve"> expenses are estimated at $</w:t>
      </w:r>
      <w:r w:rsidR="00C417A8">
        <w:rPr>
          <w:rFonts w:cs="ITCFranklinGothicStd-Book"/>
          <w:sz w:val="24"/>
          <w:szCs w:val="24"/>
        </w:rPr>
        <w:t>16,536.</w:t>
      </w:r>
      <w:r w:rsidR="00FF7D36" w:rsidRPr="00FF7D36">
        <w:rPr>
          <w:rFonts w:cs="ITCFranklinGothicStd-Book"/>
          <w:sz w:val="24"/>
          <w:szCs w:val="24"/>
        </w:rPr>
        <w:t xml:space="preserve"> </w:t>
      </w:r>
      <w:r w:rsidR="00C417A8">
        <w:rPr>
          <w:rFonts w:cs="ITCFranklinGothicStd-Book"/>
          <w:sz w:val="24"/>
          <w:szCs w:val="24"/>
        </w:rPr>
        <w:t xml:space="preserve"> The estimated total cost of the information collection annually is $146,536.</w:t>
      </w:r>
    </w:p>
    <w:p w14:paraId="79CC69C4" w14:textId="77777777" w:rsidR="00064EA7" w:rsidRDefault="00064EA7" w:rsidP="00FF7D36">
      <w:pPr>
        <w:autoSpaceDE w:val="0"/>
        <w:autoSpaceDN w:val="0"/>
        <w:adjustRightInd w:val="0"/>
        <w:spacing w:line="240" w:lineRule="auto"/>
        <w:rPr>
          <w:rFonts w:cs="ITCFranklinGothicStd-Book"/>
          <w:sz w:val="24"/>
          <w:szCs w:val="24"/>
        </w:rPr>
      </w:pPr>
    </w:p>
    <w:p w14:paraId="537C1058" w14:textId="0A548275" w:rsidR="00064EA7" w:rsidRPr="00564BCC" w:rsidRDefault="00064EA7" w:rsidP="00064EA7">
      <w:pPr>
        <w:autoSpaceDE w:val="0"/>
        <w:autoSpaceDN w:val="0"/>
        <w:adjustRightInd w:val="0"/>
        <w:spacing w:line="240" w:lineRule="auto"/>
        <w:rPr>
          <w:rFonts w:cs="ITCFranklinGothicStd-Book"/>
          <w:sz w:val="24"/>
          <w:szCs w:val="24"/>
        </w:rPr>
      </w:pPr>
      <w:bookmarkStart w:id="17" w:name="OLE_LINK13"/>
      <w:r w:rsidRPr="00564BCC">
        <w:rPr>
          <w:rFonts w:cs="ITCFranklinGothicStd-Book"/>
          <w:sz w:val="24"/>
          <w:szCs w:val="24"/>
        </w:rPr>
        <w:t xml:space="preserve">Table 4: </w:t>
      </w:r>
      <w:r w:rsidR="00564BCC">
        <w:rPr>
          <w:rFonts w:cs="ITCFranklinGothicStd-Book"/>
          <w:sz w:val="24"/>
          <w:szCs w:val="24"/>
        </w:rPr>
        <w:t xml:space="preserve">Annualized Cost to the Federal </w:t>
      </w:r>
      <w:r w:rsidR="00564BCC" w:rsidRPr="00564BCC">
        <w:rPr>
          <w:rFonts w:cs="ITCFranklinGothicStd-Book"/>
          <w:sz w:val="24"/>
          <w:szCs w:val="24"/>
        </w:rPr>
        <w:t>Government</w:t>
      </w:r>
      <w:r w:rsidRPr="00564BCC">
        <w:rPr>
          <w:rFonts w:cs="ITCFranklinGothicStd-Book"/>
          <w:sz w:val="24"/>
          <w:szCs w:val="24"/>
        </w:rPr>
        <w:t xml:space="preserve"> </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5"/>
        <w:gridCol w:w="1535"/>
        <w:gridCol w:w="1535"/>
        <w:gridCol w:w="1665"/>
      </w:tblGrid>
      <w:tr w:rsidR="0020629A" w:rsidRPr="00064EA7" w14:paraId="52E6B0A6" w14:textId="77777777" w:rsidTr="00882D1A">
        <w:tc>
          <w:tcPr>
            <w:tcW w:w="4165" w:type="dxa"/>
            <w:tcBorders>
              <w:top w:val="single" w:sz="4" w:space="0" w:color="auto"/>
              <w:left w:val="single" w:sz="4" w:space="0" w:color="auto"/>
              <w:bottom w:val="single" w:sz="4" w:space="0" w:color="auto"/>
              <w:right w:val="single" w:sz="4" w:space="0" w:color="auto"/>
            </w:tcBorders>
            <w:shd w:val="clear" w:color="auto" w:fill="FFFFFF"/>
          </w:tcPr>
          <w:p w14:paraId="598BD7C9" w14:textId="674D48F4" w:rsidR="0020629A" w:rsidRPr="00064EA7" w:rsidRDefault="0020629A" w:rsidP="00882D1A">
            <w:pPr>
              <w:autoSpaceDE w:val="0"/>
              <w:autoSpaceDN w:val="0"/>
              <w:adjustRightInd w:val="0"/>
              <w:spacing w:line="240" w:lineRule="auto"/>
              <w:jc w:val="center"/>
              <w:rPr>
                <w:rFonts w:cs="ITCFranklinGothicStd-Book"/>
                <w:b/>
                <w:sz w:val="24"/>
                <w:szCs w:val="24"/>
              </w:rPr>
            </w:pPr>
            <w:r>
              <w:rPr>
                <w:rFonts w:cs="ITCFranklinGothicStd-Book"/>
                <w:b/>
                <w:sz w:val="24"/>
                <w:szCs w:val="24"/>
              </w:rPr>
              <w:t>Staff</w:t>
            </w:r>
            <w:r w:rsidR="00603210">
              <w:rPr>
                <w:rFonts w:cs="ITCFranklinGothicStd-Book"/>
                <w:b/>
                <w:sz w:val="24"/>
                <w:szCs w:val="24"/>
              </w:rPr>
              <w:t xml:space="preserve"> (FTE)</w:t>
            </w:r>
          </w:p>
        </w:tc>
        <w:tc>
          <w:tcPr>
            <w:tcW w:w="1535" w:type="dxa"/>
            <w:tcBorders>
              <w:top w:val="single" w:sz="4" w:space="0" w:color="auto"/>
              <w:left w:val="single" w:sz="4" w:space="0" w:color="auto"/>
              <w:bottom w:val="single" w:sz="4" w:space="0" w:color="auto"/>
              <w:right w:val="single" w:sz="4" w:space="0" w:color="auto"/>
            </w:tcBorders>
            <w:shd w:val="clear" w:color="auto" w:fill="FFFFFF"/>
          </w:tcPr>
          <w:p w14:paraId="7E07EB8A" w14:textId="5DA7E47B" w:rsidR="0020629A" w:rsidRPr="00064EA7" w:rsidRDefault="0020629A" w:rsidP="00882D1A">
            <w:pPr>
              <w:autoSpaceDE w:val="0"/>
              <w:autoSpaceDN w:val="0"/>
              <w:adjustRightInd w:val="0"/>
              <w:spacing w:line="240" w:lineRule="auto"/>
              <w:jc w:val="center"/>
              <w:rPr>
                <w:rFonts w:cs="ITCFranklinGothicStd-Book"/>
                <w:b/>
                <w:sz w:val="24"/>
                <w:szCs w:val="24"/>
              </w:rPr>
            </w:pPr>
            <w:r>
              <w:rPr>
                <w:rFonts w:cs="ITCFranklinGothicStd-Book"/>
                <w:b/>
                <w:sz w:val="24"/>
                <w:szCs w:val="24"/>
              </w:rPr>
              <w:t>Average Hours per Year</w:t>
            </w:r>
          </w:p>
        </w:tc>
        <w:tc>
          <w:tcPr>
            <w:tcW w:w="1535" w:type="dxa"/>
            <w:tcBorders>
              <w:top w:val="single" w:sz="4" w:space="0" w:color="auto"/>
              <w:left w:val="single" w:sz="4" w:space="0" w:color="auto"/>
              <w:bottom w:val="single" w:sz="4" w:space="0" w:color="auto"/>
              <w:right w:val="single" w:sz="4" w:space="0" w:color="auto"/>
            </w:tcBorders>
            <w:shd w:val="clear" w:color="auto" w:fill="FFFFFF"/>
          </w:tcPr>
          <w:p w14:paraId="75361F50" w14:textId="0CF52405" w:rsidR="0020629A" w:rsidRPr="00064EA7" w:rsidRDefault="0020629A" w:rsidP="00882D1A">
            <w:pPr>
              <w:autoSpaceDE w:val="0"/>
              <w:autoSpaceDN w:val="0"/>
              <w:adjustRightInd w:val="0"/>
              <w:spacing w:line="240" w:lineRule="auto"/>
              <w:jc w:val="center"/>
              <w:rPr>
                <w:rFonts w:cs="ITCFranklinGothicStd-Book"/>
                <w:b/>
                <w:sz w:val="24"/>
                <w:szCs w:val="24"/>
              </w:rPr>
            </w:pPr>
            <w:r>
              <w:rPr>
                <w:rFonts w:cs="ITCFranklinGothicStd-Book"/>
                <w:b/>
                <w:sz w:val="24"/>
                <w:szCs w:val="24"/>
              </w:rPr>
              <w:t>Average Hourly Rate</w:t>
            </w:r>
          </w:p>
        </w:tc>
        <w:tc>
          <w:tcPr>
            <w:tcW w:w="1665" w:type="dxa"/>
            <w:tcBorders>
              <w:top w:val="single" w:sz="4" w:space="0" w:color="auto"/>
              <w:left w:val="single" w:sz="4" w:space="0" w:color="auto"/>
              <w:bottom w:val="single" w:sz="4" w:space="0" w:color="auto"/>
              <w:right w:val="single" w:sz="4" w:space="0" w:color="auto"/>
            </w:tcBorders>
            <w:shd w:val="clear" w:color="auto" w:fill="FFFFFF"/>
          </w:tcPr>
          <w:p w14:paraId="64E2265D" w14:textId="1AF4952E" w:rsidR="0020629A" w:rsidRPr="00064EA7" w:rsidRDefault="0020629A" w:rsidP="00882D1A">
            <w:pPr>
              <w:autoSpaceDE w:val="0"/>
              <w:autoSpaceDN w:val="0"/>
              <w:adjustRightInd w:val="0"/>
              <w:spacing w:line="240" w:lineRule="auto"/>
              <w:jc w:val="center"/>
              <w:rPr>
                <w:rFonts w:cs="ITCFranklinGothicStd-Book"/>
                <w:b/>
                <w:sz w:val="24"/>
                <w:szCs w:val="24"/>
              </w:rPr>
            </w:pPr>
            <w:r>
              <w:rPr>
                <w:rFonts w:cs="ITCFranklinGothicStd-Book"/>
                <w:b/>
                <w:sz w:val="24"/>
                <w:szCs w:val="24"/>
              </w:rPr>
              <w:t>Annual Cost</w:t>
            </w:r>
          </w:p>
        </w:tc>
      </w:tr>
      <w:tr w:rsidR="0020629A" w:rsidRPr="00064EA7" w14:paraId="6193D586" w14:textId="77777777" w:rsidTr="004C65D5">
        <w:trPr>
          <w:trHeight w:val="215"/>
        </w:trPr>
        <w:tc>
          <w:tcPr>
            <w:tcW w:w="4165" w:type="dxa"/>
            <w:tcBorders>
              <w:top w:val="single" w:sz="4" w:space="0" w:color="auto"/>
              <w:left w:val="single" w:sz="4" w:space="0" w:color="auto"/>
              <w:bottom w:val="single" w:sz="4" w:space="0" w:color="auto"/>
              <w:right w:val="single" w:sz="4" w:space="0" w:color="auto"/>
            </w:tcBorders>
            <w:shd w:val="clear" w:color="auto" w:fill="auto"/>
          </w:tcPr>
          <w:p w14:paraId="7713BB99" w14:textId="63C1D2D2" w:rsidR="0020629A" w:rsidRPr="00064EA7" w:rsidRDefault="00EA4ACF" w:rsidP="00EA4ACF">
            <w:pPr>
              <w:autoSpaceDE w:val="0"/>
              <w:autoSpaceDN w:val="0"/>
              <w:adjustRightInd w:val="0"/>
              <w:spacing w:line="240" w:lineRule="auto"/>
              <w:rPr>
                <w:rFonts w:cs="ITCFranklinGothicStd-Book"/>
                <w:sz w:val="24"/>
                <w:szCs w:val="24"/>
              </w:rPr>
            </w:pPr>
            <w:r>
              <w:rPr>
                <w:rFonts w:cs="ITCFranklinGothicStd-Book"/>
                <w:sz w:val="24"/>
                <w:szCs w:val="24"/>
              </w:rPr>
              <w:t xml:space="preserve">Environmental Health Specialist </w:t>
            </w:r>
            <w:r w:rsidR="00BB3AD6">
              <w:rPr>
                <w:rFonts w:cs="ITCFranklinGothicStd-Book"/>
                <w:sz w:val="24"/>
                <w:szCs w:val="24"/>
              </w:rPr>
              <w:t>(GS 14 Equivalent)</w:t>
            </w:r>
            <w:r w:rsidR="000A0B44">
              <w:rPr>
                <w:rFonts w:cs="ITCFranklinGothicStd-Book"/>
                <w:sz w:val="24"/>
                <w:szCs w:val="24"/>
              </w:rPr>
              <w:t xml:space="preserve"> </w:t>
            </w:r>
            <w:r w:rsidR="00EA7026">
              <w:rPr>
                <w:rFonts w:cs="ITCFranklinGothicStd-Book"/>
                <w:sz w:val="24"/>
                <w:szCs w:val="24"/>
              </w:rPr>
              <w:t>involved in the planning and implementation of the information collection and monitors contractor and academic consultant activities</w:t>
            </w:r>
          </w:p>
        </w:tc>
        <w:tc>
          <w:tcPr>
            <w:tcW w:w="1535" w:type="dxa"/>
            <w:tcBorders>
              <w:top w:val="single" w:sz="4" w:space="0" w:color="auto"/>
              <w:left w:val="single" w:sz="4" w:space="0" w:color="auto"/>
              <w:bottom w:val="single" w:sz="4" w:space="0" w:color="auto"/>
              <w:right w:val="single" w:sz="4" w:space="0" w:color="auto"/>
            </w:tcBorders>
            <w:vAlign w:val="center"/>
          </w:tcPr>
          <w:p w14:paraId="17FA4CC1" w14:textId="7F268738" w:rsidR="0020629A" w:rsidRPr="00064EA7" w:rsidRDefault="006D51D6" w:rsidP="00A92652">
            <w:pPr>
              <w:autoSpaceDE w:val="0"/>
              <w:autoSpaceDN w:val="0"/>
              <w:adjustRightInd w:val="0"/>
              <w:spacing w:line="240" w:lineRule="auto"/>
              <w:jc w:val="center"/>
              <w:rPr>
                <w:rFonts w:cs="ITCFranklinGothicStd-Book"/>
                <w:sz w:val="24"/>
                <w:szCs w:val="24"/>
              </w:rPr>
            </w:pPr>
            <w:r>
              <w:rPr>
                <w:rFonts w:cs="ITCFranklinGothicStd-Book"/>
                <w:sz w:val="24"/>
                <w:szCs w:val="24"/>
              </w:rPr>
              <w:t>208</w:t>
            </w:r>
          </w:p>
        </w:tc>
        <w:tc>
          <w:tcPr>
            <w:tcW w:w="1535" w:type="dxa"/>
            <w:tcBorders>
              <w:top w:val="single" w:sz="4" w:space="0" w:color="auto"/>
              <w:left w:val="single" w:sz="4" w:space="0" w:color="auto"/>
              <w:bottom w:val="single" w:sz="4" w:space="0" w:color="auto"/>
              <w:right w:val="single" w:sz="4" w:space="0" w:color="auto"/>
            </w:tcBorders>
            <w:vAlign w:val="center"/>
          </w:tcPr>
          <w:p w14:paraId="43CCFD09" w14:textId="05D2B962" w:rsidR="0020629A" w:rsidRPr="00064EA7" w:rsidRDefault="00EA4ACF" w:rsidP="006A353E">
            <w:pPr>
              <w:autoSpaceDE w:val="0"/>
              <w:autoSpaceDN w:val="0"/>
              <w:adjustRightInd w:val="0"/>
              <w:spacing w:line="240" w:lineRule="auto"/>
              <w:jc w:val="center"/>
              <w:rPr>
                <w:rFonts w:cs="ITCFranklinGothicStd-Book"/>
                <w:sz w:val="24"/>
                <w:szCs w:val="24"/>
              </w:rPr>
            </w:pPr>
            <w:r>
              <w:rPr>
                <w:rFonts w:cs="ITCFranklinGothicStd-Book"/>
                <w:sz w:val="24"/>
                <w:szCs w:val="24"/>
              </w:rPr>
              <w:t>$50</w:t>
            </w:r>
            <w:r w:rsidR="00603210">
              <w:rPr>
                <w:rFonts w:cs="ITCFranklinGothicStd-Book"/>
                <w:sz w:val="24"/>
                <w:szCs w:val="24"/>
              </w:rPr>
              <w:t>.</w:t>
            </w:r>
            <w:r>
              <w:rPr>
                <w:rFonts w:cs="ITCFranklinGothicStd-Book"/>
                <w:sz w:val="24"/>
                <w:szCs w:val="24"/>
              </w:rPr>
              <w:t>00</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4B10E0FB" w14:textId="35A915C8" w:rsidR="0020629A" w:rsidRPr="00064EA7" w:rsidRDefault="0020629A" w:rsidP="00A92652">
            <w:pPr>
              <w:autoSpaceDE w:val="0"/>
              <w:autoSpaceDN w:val="0"/>
              <w:adjustRightInd w:val="0"/>
              <w:spacing w:line="240" w:lineRule="auto"/>
              <w:jc w:val="center"/>
              <w:rPr>
                <w:rFonts w:cs="ITCFranklinGothicStd-Book"/>
                <w:sz w:val="24"/>
                <w:szCs w:val="24"/>
              </w:rPr>
            </w:pPr>
            <w:r w:rsidRPr="00064EA7">
              <w:rPr>
                <w:rFonts w:cs="ITCFranklinGothicStd-Book"/>
                <w:sz w:val="24"/>
                <w:szCs w:val="24"/>
              </w:rPr>
              <w:t>$1</w:t>
            </w:r>
            <w:r>
              <w:rPr>
                <w:rFonts w:cs="ITCFranklinGothicStd-Book"/>
                <w:sz w:val="24"/>
                <w:szCs w:val="24"/>
              </w:rPr>
              <w:t>0</w:t>
            </w:r>
            <w:r w:rsidR="00F030B9">
              <w:rPr>
                <w:rFonts w:cs="ITCFranklinGothicStd-Book"/>
                <w:sz w:val="24"/>
                <w:szCs w:val="24"/>
              </w:rPr>
              <w:t>,4</w:t>
            </w:r>
            <w:r w:rsidRPr="00064EA7">
              <w:rPr>
                <w:rFonts w:cs="ITCFranklinGothicStd-Book"/>
                <w:sz w:val="24"/>
                <w:szCs w:val="24"/>
              </w:rPr>
              <w:t>00</w:t>
            </w:r>
          </w:p>
        </w:tc>
      </w:tr>
      <w:tr w:rsidR="0020629A" w:rsidRPr="00064EA7" w14:paraId="7DEB6088" w14:textId="77777777" w:rsidTr="004C65D5">
        <w:trPr>
          <w:trHeight w:val="215"/>
        </w:trPr>
        <w:tc>
          <w:tcPr>
            <w:tcW w:w="4165" w:type="dxa"/>
            <w:tcBorders>
              <w:top w:val="single" w:sz="4" w:space="0" w:color="auto"/>
              <w:left w:val="single" w:sz="4" w:space="0" w:color="auto"/>
              <w:bottom w:val="single" w:sz="4" w:space="0" w:color="auto"/>
              <w:right w:val="single" w:sz="4" w:space="0" w:color="auto"/>
            </w:tcBorders>
            <w:shd w:val="clear" w:color="auto" w:fill="auto"/>
          </w:tcPr>
          <w:p w14:paraId="3A3D7B38" w14:textId="366D75E8" w:rsidR="0020629A" w:rsidRDefault="00EA4ACF" w:rsidP="00EA4ACF">
            <w:pPr>
              <w:autoSpaceDE w:val="0"/>
              <w:autoSpaceDN w:val="0"/>
              <w:adjustRightInd w:val="0"/>
              <w:spacing w:line="240" w:lineRule="auto"/>
              <w:rPr>
                <w:rFonts w:cs="ITCFranklinGothicStd-Book"/>
                <w:sz w:val="24"/>
                <w:szCs w:val="24"/>
              </w:rPr>
            </w:pPr>
            <w:r>
              <w:rPr>
                <w:rFonts w:cs="ITCFranklinGothicStd-Book"/>
                <w:sz w:val="24"/>
                <w:szCs w:val="24"/>
              </w:rPr>
              <w:t>Health Scientist (</w:t>
            </w:r>
            <w:r w:rsidR="00BB3AD6">
              <w:rPr>
                <w:rFonts w:cs="ITCFranklinGothicStd-Book"/>
                <w:sz w:val="24"/>
                <w:szCs w:val="24"/>
              </w:rPr>
              <w:t>GS 15</w:t>
            </w:r>
            <w:r>
              <w:rPr>
                <w:rFonts w:cs="ITCFranklinGothicStd-Book"/>
                <w:sz w:val="24"/>
                <w:szCs w:val="24"/>
              </w:rPr>
              <w:t>)</w:t>
            </w:r>
            <w:r w:rsidR="00EA7026">
              <w:rPr>
                <w:rFonts w:cs="ITCFranklinGothicStd-Book"/>
                <w:sz w:val="24"/>
                <w:szCs w:val="24"/>
              </w:rPr>
              <w:t xml:space="preserve"> Provides oversight and guidance on development and implementation of the information collection</w:t>
            </w:r>
          </w:p>
        </w:tc>
        <w:tc>
          <w:tcPr>
            <w:tcW w:w="1535" w:type="dxa"/>
            <w:tcBorders>
              <w:top w:val="single" w:sz="4" w:space="0" w:color="auto"/>
              <w:left w:val="single" w:sz="4" w:space="0" w:color="auto"/>
              <w:bottom w:val="single" w:sz="4" w:space="0" w:color="auto"/>
              <w:right w:val="single" w:sz="4" w:space="0" w:color="auto"/>
            </w:tcBorders>
            <w:vAlign w:val="center"/>
          </w:tcPr>
          <w:p w14:paraId="789D801A" w14:textId="7AD4EB62" w:rsidR="0020629A" w:rsidRDefault="00B715A4" w:rsidP="00A92652">
            <w:pPr>
              <w:autoSpaceDE w:val="0"/>
              <w:autoSpaceDN w:val="0"/>
              <w:adjustRightInd w:val="0"/>
              <w:spacing w:line="240" w:lineRule="auto"/>
              <w:jc w:val="center"/>
              <w:rPr>
                <w:rFonts w:cs="ITCFranklinGothicStd-Book"/>
                <w:sz w:val="24"/>
                <w:szCs w:val="24"/>
              </w:rPr>
            </w:pPr>
            <w:r>
              <w:rPr>
                <w:rFonts w:cs="ITCFranklinGothicStd-Book"/>
                <w:sz w:val="24"/>
                <w:szCs w:val="24"/>
              </w:rPr>
              <w:t>104</w:t>
            </w:r>
          </w:p>
        </w:tc>
        <w:tc>
          <w:tcPr>
            <w:tcW w:w="1535" w:type="dxa"/>
            <w:tcBorders>
              <w:top w:val="single" w:sz="4" w:space="0" w:color="auto"/>
              <w:left w:val="single" w:sz="4" w:space="0" w:color="auto"/>
              <w:bottom w:val="single" w:sz="4" w:space="0" w:color="auto"/>
              <w:right w:val="single" w:sz="4" w:space="0" w:color="auto"/>
            </w:tcBorders>
            <w:vAlign w:val="center"/>
          </w:tcPr>
          <w:p w14:paraId="62AC3724" w14:textId="59DB8108" w:rsidR="0020629A" w:rsidRDefault="00F030B9" w:rsidP="006A353E">
            <w:pPr>
              <w:autoSpaceDE w:val="0"/>
              <w:autoSpaceDN w:val="0"/>
              <w:adjustRightInd w:val="0"/>
              <w:spacing w:line="240" w:lineRule="auto"/>
              <w:jc w:val="center"/>
              <w:rPr>
                <w:rFonts w:cs="ITCFranklinGothicStd-Book"/>
                <w:sz w:val="24"/>
                <w:szCs w:val="24"/>
              </w:rPr>
            </w:pPr>
            <w:r>
              <w:rPr>
                <w:rFonts w:cs="ITCFranklinGothicStd-Book"/>
                <w:sz w:val="24"/>
                <w:szCs w:val="24"/>
              </w:rPr>
              <w:t>$59.00</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63ACF978" w14:textId="6186E033" w:rsidR="0020629A" w:rsidRPr="00064EA7" w:rsidRDefault="00F030B9" w:rsidP="00A92652">
            <w:pPr>
              <w:autoSpaceDE w:val="0"/>
              <w:autoSpaceDN w:val="0"/>
              <w:adjustRightInd w:val="0"/>
              <w:spacing w:line="240" w:lineRule="auto"/>
              <w:jc w:val="center"/>
              <w:rPr>
                <w:rFonts w:cs="ITCFranklinGothicStd-Book"/>
                <w:sz w:val="24"/>
                <w:szCs w:val="24"/>
              </w:rPr>
            </w:pPr>
            <w:r>
              <w:rPr>
                <w:rFonts w:cs="ITCFranklinGothicStd-Book"/>
                <w:sz w:val="24"/>
                <w:szCs w:val="24"/>
              </w:rPr>
              <w:t>$6,136</w:t>
            </w:r>
          </w:p>
        </w:tc>
      </w:tr>
      <w:tr w:rsidR="006D51D6" w:rsidRPr="00064EA7" w14:paraId="6B3FE8F1" w14:textId="77777777" w:rsidTr="004C65D5">
        <w:trPr>
          <w:trHeight w:val="260"/>
        </w:trPr>
        <w:tc>
          <w:tcPr>
            <w:tcW w:w="7235" w:type="dxa"/>
            <w:gridSpan w:val="3"/>
            <w:tcBorders>
              <w:top w:val="single" w:sz="4" w:space="0" w:color="auto"/>
              <w:left w:val="single" w:sz="4" w:space="0" w:color="auto"/>
              <w:bottom w:val="single" w:sz="4" w:space="0" w:color="auto"/>
              <w:right w:val="single" w:sz="4" w:space="0" w:color="auto"/>
            </w:tcBorders>
            <w:shd w:val="clear" w:color="auto" w:fill="auto"/>
          </w:tcPr>
          <w:p w14:paraId="7D65DBB3" w14:textId="5ABE139E" w:rsidR="006D51D6" w:rsidRDefault="006D51D6" w:rsidP="001F530C">
            <w:pPr>
              <w:autoSpaceDE w:val="0"/>
              <w:autoSpaceDN w:val="0"/>
              <w:adjustRightInd w:val="0"/>
              <w:spacing w:line="240" w:lineRule="auto"/>
              <w:rPr>
                <w:rFonts w:cs="ITCFranklinGothicStd-Book"/>
                <w:sz w:val="24"/>
                <w:szCs w:val="24"/>
              </w:rPr>
            </w:pPr>
            <w:r>
              <w:rPr>
                <w:rFonts w:cs="ITCFranklinGothicStd-Book"/>
                <w:sz w:val="24"/>
                <w:szCs w:val="24"/>
              </w:rPr>
              <w:t>C</w:t>
            </w:r>
            <w:r w:rsidR="00B515D2">
              <w:rPr>
                <w:rFonts w:cs="ITCFranklinGothicStd-Book"/>
                <w:sz w:val="24"/>
                <w:szCs w:val="24"/>
              </w:rPr>
              <w:t>ontract/c</w:t>
            </w:r>
            <w:r>
              <w:rPr>
                <w:rFonts w:cs="ITCFranklinGothicStd-Book"/>
                <w:sz w:val="24"/>
                <w:szCs w:val="24"/>
              </w:rPr>
              <w:t>ooperative agreement</w:t>
            </w:r>
            <w:r w:rsidR="00BB3AD6">
              <w:rPr>
                <w:rFonts w:cs="ITCFranklinGothicStd-Book"/>
                <w:sz w:val="24"/>
                <w:szCs w:val="24"/>
              </w:rPr>
              <w:t xml:space="preserve"> (academic consultant and NEHA will support their involvement in the planning, marketing, and survey implementation, and analysis and reporting of the results</w:t>
            </w:r>
            <w:r w:rsidR="001F530C">
              <w:rPr>
                <w:rFonts w:cs="ITCFranklinGothicStd-Book"/>
                <w:sz w:val="24"/>
                <w:szCs w:val="24"/>
              </w:rPr>
              <w:t>)</w:t>
            </w:r>
            <w:r w:rsidR="00BB3AD6">
              <w:rPr>
                <w:rFonts w:cs="ITCFranklinGothicStd-Book"/>
                <w:sz w:val="24"/>
                <w:szCs w:val="24"/>
              </w:rPr>
              <w:t xml:space="preserve"> </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47AA4C5A" w14:textId="76A8B54C" w:rsidR="006D51D6" w:rsidRDefault="006D51D6" w:rsidP="00A92652">
            <w:pPr>
              <w:autoSpaceDE w:val="0"/>
              <w:autoSpaceDN w:val="0"/>
              <w:adjustRightInd w:val="0"/>
              <w:spacing w:line="240" w:lineRule="auto"/>
              <w:jc w:val="center"/>
              <w:rPr>
                <w:rFonts w:cs="ITCFranklinGothicStd-Book"/>
                <w:sz w:val="24"/>
                <w:szCs w:val="24"/>
              </w:rPr>
            </w:pPr>
            <w:r>
              <w:rPr>
                <w:rFonts w:cs="ITCFranklinGothicStd-Book"/>
                <w:sz w:val="24"/>
                <w:szCs w:val="24"/>
              </w:rPr>
              <w:t>$</w:t>
            </w:r>
            <w:r w:rsidR="00BB3AD6">
              <w:rPr>
                <w:rFonts w:cs="ITCFranklinGothicStd-Book"/>
                <w:sz w:val="24"/>
                <w:szCs w:val="24"/>
              </w:rPr>
              <w:t>125</w:t>
            </w:r>
            <w:r>
              <w:rPr>
                <w:rFonts w:cs="ITCFranklinGothicStd-Book"/>
                <w:sz w:val="24"/>
                <w:szCs w:val="24"/>
              </w:rPr>
              <w:t>,</w:t>
            </w:r>
            <w:r w:rsidR="00BB3AD6">
              <w:rPr>
                <w:rFonts w:cs="ITCFranklinGothicStd-Book"/>
                <w:sz w:val="24"/>
                <w:szCs w:val="24"/>
              </w:rPr>
              <w:t>000</w:t>
            </w:r>
          </w:p>
        </w:tc>
      </w:tr>
      <w:tr w:rsidR="006D51D6" w:rsidRPr="00064EA7" w14:paraId="7E08DABC" w14:textId="77777777" w:rsidTr="004C65D5">
        <w:trPr>
          <w:trHeight w:val="260"/>
        </w:trPr>
        <w:tc>
          <w:tcPr>
            <w:tcW w:w="7235" w:type="dxa"/>
            <w:gridSpan w:val="3"/>
            <w:tcBorders>
              <w:top w:val="single" w:sz="4" w:space="0" w:color="auto"/>
              <w:left w:val="single" w:sz="4" w:space="0" w:color="auto"/>
              <w:bottom w:val="single" w:sz="4" w:space="0" w:color="auto"/>
              <w:right w:val="single" w:sz="4" w:space="0" w:color="auto"/>
            </w:tcBorders>
            <w:shd w:val="clear" w:color="auto" w:fill="auto"/>
          </w:tcPr>
          <w:p w14:paraId="4F8B7EE0" w14:textId="3424D707" w:rsidR="006D51D6" w:rsidRDefault="006D51D6" w:rsidP="00CE2FA4">
            <w:pPr>
              <w:autoSpaceDE w:val="0"/>
              <w:autoSpaceDN w:val="0"/>
              <w:adjustRightInd w:val="0"/>
              <w:spacing w:line="240" w:lineRule="auto"/>
              <w:rPr>
                <w:rFonts w:cs="ITCFranklinGothicStd-Book"/>
                <w:sz w:val="24"/>
                <w:szCs w:val="24"/>
              </w:rPr>
            </w:pPr>
            <w:r>
              <w:rPr>
                <w:rFonts w:cs="ITCFranklinGothicStd-Book"/>
                <w:sz w:val="24"/>
                <w:szCs w:val="24"/>
              </w:rPr>
              <w:t>Travel, etc.</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06A188C6" w14:textId="03CC4BFB" w:rsidR="006D51D6" w:rsidRPr="00064EA7" w:rsidRDefault="006D51D6" w:rsidP="00A92652">
            <w:pPr>
              <w:autoSpaceDE w:val="0"/>
              <w:autoSpaceDN w:val="0"/>
              <w:adjustRightInd w:val="0"/>
              <w:spacing w:line="240" w:lineRule="auto"/>
              <w:jc w:val="center"/>
              <w:rPr>
                <w:rFonts w:cs="ITCFranklinGothicStd-Book"/>
                <w:sz w:val="24"/>
                <w:szCs w:val="24"/>
              </w:rPr>
            </w:pPr>
            <w:r>
              <w:rPr>
                <w:rFonts w:cs="ITCFranklinGothicStd-Book"/>
                <w:sz w:val="24"/>
                <w:szCs w:val="24"/>
              </w:rPr>
              <w:t>$</w:t>
            </w:r>
            <w:r w:rsidRPr="00064EA7">
              <w:rPr>
                <w:rFonts w:cs="ITCFranklinGothicStd-Book"/>
                <w:sz w:val="24"/>
                <w:szCs w:val="24"/>
              </w:rPr>
              <w:t>5,000</w:t>
            </w:r>
          </w:p>
        </w:tc>
      </w:tr>
      <w:tr w:rsidR="006D51D6" w:rsidRPr="00064EA7" w14:paraId="18CEF515" w14:textId="77777777" w:rsidTr="004C65D5">
        <w:tc>
          <w:tcPr>
            <w:tcW w:w="7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F2760E" w14:textId="340BC5B3" w:rsidR="006D51D6" w:rsidRDefault="006D51D6" w:rsidP="00064EA7">
            <w:pPr>
              <w:autoSpaceDE w:val="0"/>
              <w:autoSpaceDN w:val="0"/>
              <w:adjustRightInd w:val="0"/>
              <w:spacing w:line="240" w:lineRule="auto"/>
              <w:rPr>
                <w:rFonts w:cs="ITCFranklinGothicStd-Book"/>
                <w:b/>
                <w:sz w:val="24"/>
                <w:szCs w:val="24"/>
              </w:rPr>
            </w:pPr>
            <w:r>
              <w:rPr>
                <w:rFonts w:cs="ITCFranklinGothicStd-Book"/>
                <w:b/>
                <w:sz w:val="24"/>
                <w:szCs w:val="24"/>
              </w:rPr>
              <w:t>Estimated Total Cost of Information Collection</w:t>
            </w:r>
            <w:r w:rsidRPr="00564BCC">
              <w:rPr>
                <w:rFonts w:cs="ITCFranklinGothicStd-Book"/>
                <w:b/>
                <w:sz w:val="24"/>
                <w:szCs w:val="24"/>
              </w:rPr>
              <w:tab/>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2C356E23" w14:textId="4751F699" w:rsidR="006D51D6" w:rsidRPr="00064EA7" w:rsidRDefault="006D51D6" w:rsidP="00A92652">
            <w:pPr>
              <w:autoSpaceDE w:val="0"/>
              <w:autoSpaceDN w:val="0"/>
              <w:adjustRightInd w:val="0"/>
              <w:spacing w:line="240" w:lineRule="auto"/>
              <w:jc w:val="center"/>
              <w:rPr>
                <w:rFonts w:cs="ITCFranklinGothicStd-Book"/>
                <w:b/>
                <w:sz w:val="24"/>
                <w:szCs w:val="24"/>
              </w:rPr>
            </w:pPr>
            <w:r>
              <w:rPr>
                <w:rFonts w:cs="ITCFranklinGothicStd-Book"/>
                <w:b/>
                <w:sz w:val="24"/>
                <w:szCs w:val="24"/>
              </w:rPr>
              <w:t>$</w:t>
            </w:r>
            <w:r w:rsidR="00F030B9">
              <w:rPr>
                <w:rFonts w:cs="ITCFranklinGothicStd-Book"/>
                <w:b/>
                <w:sz w:val="24"/>
                <w:szCs w:val="24"/>
              </w:rPr>
              <w:t>146</w:t>
            </w:r>
            <w:r>
              <w:rPr>
                <w:rFonts w:cs="ITCFranklinGothicStd-Book"/>
                <w:b/>
                <w:sz w:val="24"/>
                <w:szCs w:val="24"/>
              </w:rPr>
              <w:t>,</w:t>
            </w:r>
            <w:r w:rsidR="00F030B9">
              <w:rPr>
                <w:rFonts w:cs="ITCFranklinGothicStd-Book"/>
                <w:b/>
                <w:sz w:val="24"/>
                <w:szCs w:val="24"/>
              </w:rPr>
              <w:t>536</w:t>
            </w:r>
          </w:p>
        </w:tc>
      </w:tr>
      <w:bookmarkEnd w:id="17"/>
    </w:tbl>
    <w:p w14:paraId="32028289" w14:textId="77777777" w:rsidR="00064EA7" w:rsidRPr="00FF7D36" w:rsidRDefault="00064EA7" w:rsidP="00FF7D36">
      <w:pPr>
        <w:autoSpaceDE w:val="0"/>
        <w:autoSpaceDN w:val="0"/>
        <w:adjustRightInd w:val="0"/>
        <w:spacing w:line="240" w:lineRule="auto"/>
        <w:rPr>
          <w:rFonts w:cs="ITCFranklinGothicStd-Book"/>
          <w:sz w:val="24"/>
          <w:szCs w:val="24"/>
        </w:rPr>
      </w:pPr>
    </w:p>
    <w:p w14:paraId="2314A6FA" w14:textId="191F57C4" w:rsidR="00B45002" w:rsidRPr="00D20211" w:rsidRDefault="00601F1A" w:rsidP="00236267">
      <w:pPr>
        <w:pStyle w:val="Heading1"/>
        <w:rPr>
          <w:rFonts w:cs="ITCFranklinGothicStd-Demi"/>
          <w:color w:val="auto"/>
          <w:sz w:val="24"/>
          <w:szCs w:val="24"/>
        </w:rPr>
      </w:pPr>
      <w:bookmarkStart w:id="18" w:name="_Toc432356294"/>
      <w:r w:rsidRPr="00D20211">
        <w:rPr>
          <w:color w:val="auto"/>
        </w:rPr>
        <w:t>A.</w:t>
      </w:r>
      <w:r w:rsidR="00AC62CC" w:rsidRPr="00D20211">
        <w:rPr>
          <w:color w:val="auto"/>
        </w:rPr>
        <w:t>15</w:t>
      </w:r>
      <w:r w:rsidR="0024047A" w:rsidRPr="00D20211">
        <w:rPr>
          <w:color w:val="auto"/>
        </w:rPr>
        <w:t>. Explanation</w:t>
      </w:r>
      <w:r w:rsidR="00B45002" w:rsidRPr="00D20211">
        <w:rPr>
          <w:color w:val="auto"/>
        </w:rPr>
        <w:t xml:space="preserve"> for Program Changes or Adjustments</w:t>
      </w:r>
      <w:bookmarkEnd w:id="18"/>
    </w:p>
    <w:p w14:paraId="4DF5F890" w14:textId="77777777" w:rsidR="0024047A" w:rsidRDefault="0024047A" w:rsidP="0024047A">
      <w:pPr>
        <w:spacing w:line="240" w:lineRule="auto"/>
        <w:rPr>
          <w:sz w:val="24"/>
          <w:szCs w:val="24"/>
        </w:rPr>
      </w:pPr>
    </w:p>
    <w:p w14:paraId="2D20FCA1" w14:textId="24DE9AF8" w:rsidR="00702BFD" w:rsidRPr="0024047A" w:rsidRDefault="00702BFD" w:rsidP="0024047A">
      <w:pPr>
        <w:spacing w:line="240" w:lineRule="auto"/>
        <w:rPr>
          <w:sz w:val="24"/>
          <w:szCs w:val="24"/>
        </w:rPr>
      </w:pPr>
      <w:r w:rsidRPr="0024047A">
        <w:rPr>
          <w:sz w:val="24"/>
          <w:szCs w:val="24"/>
        </w:rPr>
        <w:t>This is a n</w:t>
      </w:r>
      <w:r w:rsidR="009926BB">
        <w:rPr>
          <w:sz w:val="24"/>
          <w:szCs w:val="24"/>
        </w:rPr>
        <w:t>ew information collection.</w:t>
      </w:r>
    </w:p>
    <w:p w14:paraId="6A569BBC" w14:textId="3A43D79E" w:rsidR="00B45002" w:rsidRPr="00D20211" w:rsidRDefault="00601F1A" w:rsidP="00601F1A">
      <w:pPr>
        <w:pStyle w:val="Heading1"/>
        <w:pBdr>
          <w:bottom w:val="none" w:sz="0" w:space="0" w:color="auto"/>
        </w:pBdr>
        <w:rPr>
          <w:color w:val="auto"/>
        </w:rPr>
      </w:pPr>
      <w:bookmarkStart w:id="19" w:name="_Toc432356295"/>
      <w:r w:rsidRPr="00D20211">
        <w:rPr>
          <w:color w:val="auto"/>
        </w:rPr>
        <w:t>A.</w:t>
      </w:r>
      <w:r w:rsidR="00AC62CC" w:rsidRPr="00D20211">
        <w:rPr>
          <w:color w:val="auto"/>
        </w:rPr>
        <w:t>16</w:t>
      </w:r>
      <w:r w:rsidR="0024047A" w:rsidRPr="00D20211">
        <w:rPr>
          <w:color w:val="auto"/>
        </w:rPr>
        <w:t>. Plans</w:t>
      </w:r>
      <w:r w:rsidR="00B45002" w:rsidRPr="00D20211">
        <w:rPr>
          <w:color w:val="auto"/>
        </w:rPr>
        <w:t xml:space="preserve"> for Tabulation and Publication and Project Time Schedule</w:t>
      </w:r>
      <w:bookmarkEnd w:id="19"/>
    </w:p>
    <w:p w14:paraId="04966E2D" w14:textId="77777777" w:rsidR="003248A4" w:rsidRPr="00D20211" w:rsidRDefault="003248A4" w:rsidP="003248A4"/>
    <w:p w14:paraId="4B7931B5" w14:textId="15053483" w:rsidR="003248A4" w:rsidRPr="00D20211" w:rsidRDefault="00C21893" w:rsidP="003248A4">
      <w:pPr>
        <w:autoSpaceDE w:val="0"/>
        <w:autoSpaceDN w:val="0"/>
        <w:adjustRightInd w:val="0"/>
        <w:spacing w:line="240" w:lineRule="auto"/>
        <w:rPr>
          <w:rFonts w:cs="ITCFranklinGothicStd-Book"/>
          <w:sz w:val="24"/>
          <w:szCs w:val="24"/>
        </w:rPr>
      </w:pPr>
      <w:r>
        <w:rPr>
          <w:rFonts w:cs="ITCFranklinGothicStd-Book"/>
          <w:sz w:val="24"/>
          <w:szCs w:val="24"/>
        </w:rPr>
        <w:t xml:space="preserve">The start of data collection activities is contingent upon receiving </w:t>
      </w:r>
      <w:r w:rsidR="00E1208D">
        <w:rPr>
          <w:rFonts w:cs="ITCFranklinGothicStd-Book"/>
          <w:sz w:val="24"/>
          <w:szCs w:val="24"/>
        </w:rPr>
        <w:t xml:space="preserve">PRA </w:t>
      </w:r>
      <w:r>
        <w:rPr>
          <w:rFonts w:cs="ITCFranklinGothicStd-Book"/>
          <w:sz w:val="24"/>
          <w:szCs w:val="24"/>
        </w:rPr>
        <w:t>clearance.  Table 5 sho</w:t>
      </w:r>
      <w:r w:rsidR="004B3567">
        <w:rPr>
          <w:rFonts w:cs="ITCFranklinGothicStd-Book"/>
          <w:sz w:val="24"/>
          <w:szCs w:val="24"/>
        </w:rPr>
        <w:t>w</w:t>
      </w:r>
      <w:r>
        <w:rPr>
          <w:rFonts w:cs="ITCFranklinGothicStd-Book"/>
          <w:sz w:val="24"/>
          <w:szCs w:val="24"/>
        </w:rPr>
        <w:t xml:space="preserve">s the anticipated project time schedule.  </w:t>
      </w:r>
      <w:r w:rsidR="008126DB">
        <w:rPr>
          <w:rFonts w:cs="ITCFranklinGothicStd-Book"/>
          <w:sz w:val="24"/>
          <w:szCs w:val="24"/>
        </w:rPr>
        <w:t>Aggregate</w:t>
      </w:r>
      <w:r w:rsidR="005E5CD4">
        <w:rPr>
          <w:rFonts w:cs="ITCFranklinGothicStd-Book"/>
          <w:sz w:val="24"/>
          <w:szCs w:val="24"/>
        </w:rPr>
        <w:t xml:space="preserve"> data will be analyzed using d</w:t>
      </w:r>
      <w:r w:rsidR="005E5CD4" w:rsidRPr="005E5CD4">
        <w:rPr>
          <w:rFonts w:cs="ITCFranklinGothicStd-Book"/>
          <w:sz w:val="24"/>
          <w:szCs w:val="24"/>
        </w:rPr>
        <w:t>escriptive and multivariate statistical analyses</w:t>
      </w:r>
      <w:r w:rsidR="003248A4" w:rsidRPr="00D20211">
        <w:rPr>
          <w:rFonts w:cs="ITCFranklinGothicStd-Book"/>
          <w:sz w:val="24"/>
          <w:szCs w:val="24"/>
        </w:rPr>
        <w:t>.</w:t>
      </w:r>
      <w:r w:rsidR="005E5CD4">
        <w:rPr>
          <w:rFonts w:cs="ITCFranklinGothicStd-Book"/>
          <w:sz w:val="24"/>
          <w:szCs w:val="24"/>
        </w:rPr>
        <w:t xml:space="preserve"> The </w:t>
      </w:r>
      <w:r w:rsidR="008126DB">
        <w:rPr>
          <w:rFonts w:cs="ITCFranklinGothicStd-Book"/>
          <w:sz w:val="24"/>
          <w:szCs w:val="24"/>
        </w:rPr>
        <w:t xml:space="preserve">results will </w:t>
      </w:r>
      <w:r w:rsidR="005E5CD4">
        <w:rPr>
          <w:rFonts w:cs="ITCFranklinGothicStd-Book"/>
          <w:sz w:val="24"/>
          <w:szCs w:val="24"/>
        </w:rPr>
        <w:t xml:space="preserve">be summarized for </w:t>
      </w:r>
      <w:r w:rsidR="008126DB">
        <w:rPr>
          <w:rFonts w:cs="ITCFranklinGothicStd-Book"/>
          <w:sz w:val="24"/>
          <w:szCs w:val="24"/>
        </w:rPr>
        <w:t xml:space="preserve">a comprehensive report, that will be made publicly available, and subsequent publications pertaining to specific aspects of the EH workforce.  </w:t>
      </w:r>
      <w:r w:rsidR="003248A4" w:rsidRPr="00D20211">
        <w:rPr>
          <w:rFonts w:cs="ITCFranklinGothicStd-Book"/>
          <w:sz w:val="24"/>
          <w:szCs w:val="24"/>
        </w:rPr>
        <w:t xml:space="preserve"> </w:t>
      </w:r>
    </w:p>
    <w:p w14:paraId="7884217D" w14:textId="77777777" w:rsidR="00810E18" w:rsidRPr="00D20211" w:rsidRDefault="00810E18" w:rsidP="003248A4">
      <w:pPr>
        <w:spacing w:line="240" w:lineRule="auto"/>
        <w:rPr>
          <w:rFonts w:cs="ITCFranklinGothicStd-Book"/>
          <w:sz w:val="24"/>
          <w:szCs w:val="24"/>
        </w:rPr>
      </w:pPr>
    </w:p>
    <w:p w14:paraId="015A75DA" w14:textId="37D0C289" w:rsidR="003C21A1" w:rsidRPr="00D20211" w:rsidRDefault="00571BF8" w:rsidP="003248A4">
      <w:pPr>
        <w:spacing w:line="240" w:lineRule="auto"/>
        <w:rPr>
          <w:rFonts w:cs="ITCFranklinGothicStd-Book"/>
          <w:sz w:val="24"/>
          <w:szCs w:val="24"/>
        </w:rPr>
      </w:pPr>
      <w:r>
        <w:rPr>
          <w:rFonts w:cs="ITCFranklinGothicStd-Book"/>
          <w:sz w:val="24"/>
          <w:szCs w:val="24"/>
        </w:rPr>
        <w:t>Table 5. Project Time Schedule</w:t>
      </w:r>
    </w:p>
    <w:tbl>
      <w:tblPr>
        <w:tblStyle w:val="TableGrid"/>
        <w:tblW w:w="0" w:type="auto"/>
        <w:tblLook w:val="04A0" w:firstRow="1" w:lastRow="0" w:firstColumn="1" w:lastColumn="0" w:noHBand="0" w:noVBand="1"/>
      </w:tblPr>
      <w:tblGrid>
        <w:gridCol w:w="4675"/>
        <w:gridCol w:w="4675"/>
      </w:tblGrid>
      <w:tr w:rsidR="00D20211" w:rsidRPr="00D20211" w14:paraId="46E66349" w14:textId="77777777" w:rsidTr="003C21A1">
        <w:tc>
          <w:tcPr>
            <w:tcW w:w="9350" w:type="dxa"/>
            <w:gridSpan w:val="2"/>
          </w:tcPr>
          <w:p w14:paraId="129A5CCA" w14:textId="5719DC65" w:rsidR="003C21A1" w:rsidRPr="006065B9" w:rsidRDefault="003C21A1" w:rsidP="003C21A1">
            <w:pPr>
              <w:jc w:val="center"/>
              <w:rPr>
                <w:sz w:val="24"/>
                <w:szCs w:val="24"/>
              </w:rPr>
            </w:pPr>
            <w:r w:rsidRPr="006065B9">
              <w:rPr>
                <w:sz w:val="24"/>
                <w:szCs w:val="24"/>
              </w:rPr>
              <w:t>Project Time Schedule</w:t>
            </w:r>
          </w:p>
        </w:tc>
      </w:tr>
      <w:tr w:rsidR="00D20211" w:rsidRPr="00D20211" w14:paraId="638A7FA3" w14:textId="77777777" w:rsidTr="003C21A1">
        <w:tc>
          <w:tcPr>
            <w:tcW w:w="4675" w:type="dxa"/>
          </w:tcPr>
          <w:p w14:paraId="0F7BC050" w14:textId="1628E485" w:rsidR="003C21A1" w:rsidRPr="006065B9" w:rsidRDefault="003C21A1" w:rsidP="003C21A1">
            <w:pPr>
              <w:jc w:val="center"/>
              <w:rPr>
                <w:sz w:val="24"/>
                <w:szCs w:val="24"/>
              </w:rPr>
            </w:pPr>
            <w:r w:rsidRPr="006065B9">
              <w:rPr>
                <w:sz w:val="24"/>
                <w:szCs w:val="24"/>
              </w:rPr>
              <w:t>Activity</w:t>
            </w:r>
          </w:p>
        </w:tc>
        <w:tc>
          <w:tcPr>
            <w:tcW w:w="4675" w:type="dxa"/>
          </w:tcPr>
          <w:p w14:paraId="198D79E8" w14:textId="39D38407" w:rsidR="003C21A1" w:rsidRPr="006065B9" w:rsidRDefault="003C21A1" w:rsidP="003C21A1">
            <w:pPr>
              <w:jc w:val="center"/>
              <w:rPr>
                <w:sz w:val="24"/>
                <w:szCs w:val="24"/>
              </w:rPr>
            </w:pPr>
            <w:r w:rsidRPr="006065B9">
              <w:rPr>
                <w:sz w:val="24"/>
                <w:szCs w:val="24"/>
              </w:rPr>
              <w:t>Time Schedule</w:t>
            </w:r>
          </w:p>
        </w:tc>
      </w:tr>
      <w:tr w:rsidR="00D20211" w:rsidRPr="00D20211" w14:paraId="67DDDE7C" w14:textId="77777777" w:rsidTr="003C21A1">
        <w:tc>
          <w:tcPr>
            <w:tcW w:w="4675" w:type="dxa"/>
          </w:tcPr>
          <w:p w14:paraId="534F7F8F" w14:textId="1BD25594" w:rsidR="00F30919" w:rsidRPr="006065B9" w:rsidRDefault="00787E64" w:rsidP="00571BF8">
            <w:pPr>
              <w:jc w:val="center"/>
              <w:rPr>
                <w:sz w:val="24"/>
                <w:szCs w:val="24"/>
              </w:rPr>
            </w:pPr>
            <w:r>
              <w:rPr>
                <w:rFonts w:cs="ITCFranklinGothicStd-BkCd"/>
                <w:sz w:val="24"/>
                <w:szCs w:val="24"/>
              </w:rPr>
              <w:t xml:space="preserve">Introductory </w:t>
            </w:r>
            <w:r w:rsidR="00571BF8">
              <w:rPr>
                <w:rFonts w:cs="ITCFranklinGothicStd-BkCd"/>
                <w:sz w:val="24"/>
                <w:szCs w:val="24"/>
              </w:rPr>
              <w:t>email</w:t>
            </w:r>
            <w:r w:rsidR="00571BF8" w:rsidRPr="006065B9">
              <w:rPr>
                <w:rFonts w:cs="ITCFranklinGothicStd-BkCd"/>
                <w:sz w:val="24"/>
                <w:szCs w:val="24"/>
              </w:rPr>
              <w:t xml:space="preserve"> </w:t>
            </w:r>
            <w:r w:rsidR="00F30919" w:rsidRPr="006065B9">
              <w:rPr>
                <w:rFonts w:cs="ITCFranklinGothicStd-BkCd"/>
                <w:sz w:val="24"/>
                <w:szCs w:val="24"/>
              </w:rPr>
              <w:t>sent to respondents</w:t>
            </w:r>
          </w:p>
        </w:tc>
        <w:tc>
          <w:tcPr>
            <w:tcW w:w="4675" w:type="dxa"/>
          </w:tcPr>
          <w:p w14:paraId="2BDD67A5" w14:textId="6AEE046B" w:rsidR="00F30919" w:rsidRPr="006065B9" w:rsidRDefault="006D0C1E" w:rsidP="006D0C1E">
            <w:pPr>
              <w:jc w:val="center"/>
              <w:rPr>
                <w:sz w:val="24"/>
                <w:szCs w:val="24"/>
              </w:rPr>
            </w:pPr>
            <w:r>
              <w:rPr>
                <w:rFonts w:cs="ITCFranklinGothicStd-BkCd"/>
                <w:sz w:val="24"/>
                <w:szCs w:val="24"/>
              </w:rPr>
              <w:t>1</w:t>
            </w:r>
            <w:r w:rsidR="00F30919" w:rsidRPr="006065B9">
              <w:rPr>
                <w:rFonts w:cs="ITCFranklinGothicStd-BkCd"/>
                <w:sz w:val="24"/>
                <w:szCs w:val="24"/>
              </w:rPr>
              <w:t xml:space="preserve"> month after </w:t>
            </w:r>
            <w:r w:rsidR="00A737CE">
              <w:rPr>
                <w:rFonts w:cs="ITCFranklinGothicStd-BkCd"/>
                <w:sz w:val="24"/>
                <w:szCs w:val="24"/>
              </w:rPr>
              <w:t>PRA clearance</w:t>
            </w:r>
          </w:p>
        </w:tc>
      </w:tr>
      <w:tr w:rsidR="00D20211" w:rsidRPr="00D20211" w14:paraId="1DEC6E1E" w14:textId="77777777" w:rsidTr="003C21A1">
        <w:tc>
          <w:tcPr>
            <w:tcW w:w="4675" w:type="dxa"/>
          </w:tcPr>
          <w:p w14:paraId="45AD2811" w14:textId="41763D2E" w:rsidR="00F30919" w:rsidRPr="006065B9" w:rsidRDefault="00787E64" w:rsidP="00F30919">
            <w:pPr>
              <w:jc w:val="center"/>
              <w:rPr>
                <w:sz w:val="24"/>
                <w:szCs w:val="24"/>
              </w:rPr>
            </w:pPr>
            <w:r>
              <w:rPr>
                <w:rFonts w:cs="ITCFranklinGothicStd-BkCd"/>
                <w:sz w:val="24"/>
                <w:szCs w:val="24"/>
              </w:rPr>
              <w:t>Information/d</w:t>
            </w:r>
            <w:r w:rsidR="00F30919" w:rsidRPr="006065B9">
              <w:rPr>
                <w:rFonts w:cs="ITCFranklinGothicStd-BkCd"/>
                <w:sz w:val="24"/>
                <w:szCs w:val="24"/>
              </w:rPr>
              <w:t>ata collection</w:t>
            </w:r>
          </w:p>
        </w:tc>
        <w:tc>
          <w:tcPr>
            <w:tcW w:w="4675" w:type="dxa"/>
          </w:tcPr>
          <w:p w14:paraId="1EE6F908" w14:textId="482C66F8" w:rsidR="00F30919" w:rsidRPr="006065B9" w:rsidRDefault="006D0C1E" w:rsidP="00F30919">
            <w:pPr>
              <w:jc w:val="center"/>
              <w:rPr>
                <w:sz w:val="24"/>
                <w:szCs w:val="24"/>
              </w:rPr>
            </w:pPr>
            <w:r>
              <w:rPr>
                <w:rFonts w:cs="ITCFranklinGothicStd-BkCd"/>
                <w:sz w:val="24"/>
                <w:szCs w:val="24"/>
              </w:rPr>
              <w:t>2</w:t>
            </w:r>
            <w:r w:rsidR="00F30919" w:rsidRPr="006065B9">
              <w:rPr>
                <w:rFonts w:cs="ITCFranklinGothicStd-BkCd"/>
                <w:sz w:val="24"/>
                <w:szCs w:val="24"/>
              </w:rPr>
              <w:t xml:space="preserve"> months after </w:t>
            </w:r>
            <w:r w:rsidR="00A737CE">
              <w:rPr>
                <w:rFonts w:cs="ITCFranklinGothicStd-BkCd"/>
                <w:sz w:val="24"/>
                <w:szCs w:val="24"/>
              </w:rPr>
              <w:t>PRA clearance</w:t>
            </w:r>
          </w:p>
        </w:tc>
      </w:tr>
      <w:tr w:rsidR="00D20211" w:rsidRPr="00D20211" w14:paraId="66553B6E" w14:textId="77777777" w:rsidTr="003C21A1">
        <w:tc>
          <w:tcPr>
            <w:tcW w:w="4675" w:type="dxa"/>
          </w:tcPr>
          <w:p w14:paraId="6D61A9F4" w14:textId="5D142B86" w:rsidR="00F30919" w:rsidRPr="006065B9" w:rsidRDefault="00F30919" w:rsidP="00F30919">
            <w:pPr>
              <w:jc w:val="center"/>
              <w:rPr>
                <w:sz w:val="24"/>
                <w:szCs w:val="24"/>
              </w:rPr>
            </w:pPr>
            <w:r w:rsidRPr="006065B9">
              <w:rPr>
                <w:rFonts w:cs="ITCFranklinGothicStd-BkCd"/>
                <w:sz w:val="24"/>
                <w:szCs w:val="24"/>
              </w:rPr>
              <w:t>Validation</w:t>
            </w:r>
          </w:p>
        </w:tc>
        <w:tc>
          <w:tcPr>
            <w:tcW w:w="4675" w:type="dxa"/>
          </w:tcPr>
          <w:p w14:paraId="56C1DD57" w14:textId="7622C20B" w:rsidR="00F30919" w:rsidRPr="006065B9" w:rsidRDefault="005A1459" w:rsidP="00F30919">
            <w:pPr>
              <w:jc w:val="center"/>
              <w:rPr>
                <w:sz w:val="24"/>
                <w:szCs w:val="24"/>
              </w:rPr>
            </w:pPr>
            <w:r>
              <w:rPr>
                <w:rFonts w:cs="ITCFranklinGothicStd-BkCd"/>
                <w:sz w:val="24"/>
                <w:szCs w:val="24"/>
              </w:rPr>
              <w:t>12</w:t>
            </w:r>
            <w:r w:rsidR="00F30919" w:rsidRPr="006065B9">
              <w:rPr>
                <w:rFonts w:cs="ITCFranklinGothicStd-BkCd"/>
                <w:sz w:val="24"/>
                <w:szCs w:val="24"/>
              </w:rPr>
              <w:t xml:space="preserve"> months after </w:t>
            </w:r>
            <w:r w:rsidR="00A737CE">
              <w:rPr>
                <w:rFonts w:cs="ITCFranklinGothicStd-BkCd"/>
                <w:sz w:val="24"/>
                <w:szCs w:val="24"/>
              </w:rPr>
              <w:t>PRA clearance</w:t>
            </w:r>
          </w:p>
        </w:tc>
      </w:tr>
      <w:tr w:rsidR="00D20211" w:rsidRPr="00D20211" w14:paraId="6E24D274" w14:textId="77777777" w:rsidTr="003C21A1">
        <w:tc>
          <w:tcPr>
            <w:tcW w:w="4675" w:type="dxa"/>
          </w:tcPr>
          <w:p w14:paraId="6ED5C938" w14:textId="59643BCD" w:rsidR="00F30919" w:rsidRPr="006065B9" w:rsidRDefault="00F30919" w:rsidP="00F30919">
            <w:pPr>
              <w:jc w:val="center"/>
              <w:rPr>
                <w:sz w:val="24"/>
                <w:szCs w:val="24"/>
              </w:rPr>
            </w:pPr>
            <w:r w:rsidRPr="006065B9">
              <w:rPr>
                <w:rFonts w:cs="ITCFranklinGothicStd-BkCd"/>
                <w:sz w:val="24"/>
                <w:szCs w:val="24"/>
              </w:rPr>
              <w:t>Analyses</w:t>
            </w:r>
          </w:p>
        </w:tc>
        <w:tc>
          <w:tcPr>
            <w:tcW w:w="4675" w:type="dxa"/>
          </w:tcPr>
          <w:p w14:paraId="1A955684" w14:textId="427B7A11" w:rsidR="00F30919" w:rsidRPr="006065B9" w:rsidRDefault="005A1459" w:rsidP="00F30919">
            <w:pPr>
              <w:jc w:val="center"/>
              <w:rPr>
                <w:sz w:val="24"/>
                <w:szCs w:val="24"/>
              </w:rPr>
            </w:pPr>
            <w:r>
              <w:rPr>
                <w:rFonts w:cs="ITCFranklinGothicStd-BkCd"/>
                <w:sz w:val="24"/>
                <w:szCs w:val="24"/>
              </w:rPr>
              <w:t>15</w:t>
            </w:r>
            <w:r w:rsidR="00F30919" w:rsidRPr="006065B9">
              <w:rPr>
                <w:rFonts w:cs="ITCFranklinGothicStd-BkCd"/>
                <w:sz w:val="24"/>
                <w:szCs w:val="24"/>
              </w:rPr>
              <w:t xml:space="preserve"> months after </w:t>
            </w:r>
            <w:r w:rsidR="00A737CE">
              <w:rPr>
                <w:rFonts w:cs="ITCFranklinGothicStd-BkCd"/>
                <w:sz w:val="24"/>
                <w:szCs w:val="24"/>
              </w:rPr>
              <w:t>PRA clearance</w:t>
            </w:r>
          </w:p>
        </w:tc>
      </w:tr>
      <w:tr w:rsidR="00F30919" w:rsidRPr="00D20211" w14:paraId="78FD6E78" w14:textId="77777777" w:rsidTr="003C21A1">
        <w:tc>
          <w:tcPr>
            <w:tcW w:w="4675" w:type="dxa"/>
          </w:tcPr>
          <w:p w14:paraId="15AA9771" w14:textId="68F542E9" w:rsidR="00F30919" w:rsidRPr="006065B9" w:rsidRDefault="00F30919" w:rsidP="00F30919">
            <w:pPr>
              <w:jc w:val="center"/>
              <w:rPr>
                <w:sz w:val="24"/>
                <w:szCs w:val="24"/>
              </w:rPr>
            </w:pPr>
            <w:r w:rsidRPr="006065B9">
              <w:rPr>
                <w:rFonts w:cs="ITCFranklinGothicStd-BkCd"/>
                <w:sz w:val="24"/>
                <w:szCs w:val="24"/>
              </w:rPr>
              <w:t>Publication</w:t>
            </w:r>
          </w:p>
        </w:tc>
        <w:tc>
          <w:tcPr>
            <w:tcW w:w="4675" w:type="dxa"/>
          </w:tcPr>
          <w:p w14:paraId="4C8081B9" w14:textId="18EB58DB" w:rsidR="00F30919" w:rsidRPr="006065B9" w:rsidRDefault="005A1459" w:rsidP="00F30919">
            <w:pPr>
              <w:jc w:val="center"/>
              <w:rPr>
                <w:sz w:val="24"/>
                <w:szCs w:val="24"/>
              </w:rPr>
            </w:pPr>
            <w:r>
              <w:rPr>
                <w:rFonts w:cs="ITCFranklinGothicStd-BkCd"/>
                <w:sz w:val="24"/>
                <w:szCs w:val="24"/>
              </w:rPr>
              <w:t>24</w:t>
            </w:r>
            <w:r w:rsidR="00F30919" w:rsidRPr="006065B9">
              <w:rPr>
                <w:rFonts w:cs="ITCFranklinGothicStd-BkCd"/>
                <w:sz w:val="24"/>
                <w:szCs w:val="24"/>
              </w:rPr>
              <w:t xml:space="preserve"> months after </w:t>
            </w:r>
            <w:r>
              <w:rPr>
                <w:rFonts w:cs="ITCFranklinGothicStd-BkCd"/>
                <w:sz w:val="24"/>
                <w:szCs w:val="24"/>
              </w:rPr>
              <w:t>PRA clearance</w:t>
            </w:r>
          </w:p>
        </w:tc>
      </w:tr>
    </w:tbl>
    <w:p w14:paraId="53C48A52" w14:textId="77777777" w:rsidR="003C21A1" w:rsidRPr="00D20211" w:rsidRDefault="003C21A1" w:rsidP="003248A4">
      <w:pPr>
        <w:spacing w:line="240" w:lineRule="auto"/>
        <w:rPr>
          <w:sz w:val="24"/>
          <w:szCs w:val="24"/>
        </w:rPr>
      </w:pPr>
    </w:p>
    <w:p w14:paraId="17A1701D" w14:textId="616FE784" w:rsidR="00B45002" w:rsidRPr="00D20211" w:rsidRDefault="00601F1A" w:rsidP="00601F1A">
      <w:pPr>
        <w:pStyle w:val="Heading1"/>
        <w:pBdr>
          <w:bottom w:val="none" w:sz="0" w:space="0" w:color="auto"/>
        </w:pBdr>
        <w:rPr>
          <w:color w:val="auto"/>
        </w:rPr>
      </w:pPr>
      <w:bookmarkStart w:id="20" w:name="_Toc432356296"/>
      <w:r w:rsidRPr="00D20211">
        <w:rPr>
          <w:color w:val="auto"/>
        </w:rPr>
        <w:t>A.</w:t>
      </w:r>
      <w:r w:rsidR="00AC62CC" w:rsidRPr="00D20211">
        <w:rPr>
          <w:color w:val="auto"/>
        </w:rPr>
        <w:t>17</w:t>
      </w:r>
      <w:r w:rsidR="0024047A" w:rsidRPr="00D20211">
        <w:rPr>
          <w:color w:val="auto"/>
        </w:rPr>
        <w:t>. Reason</w:t>
      </w:r>
      <w:r w:rsidR="00B45002" w:rsidRPr="00D20211">
        <w:rPr>
          <w:color w:val="auto"/>
        </w:rPr>
        <w:t>(s) Display of OMB Expiration Date is Inappropriate</w:t>
      </w:r>
      <w:bookmarkEnd w:id="20"/>
    </w:p>
    <w:p w14:paraId="7135D023" w14:textId="77777777" w:rsidR="005B6E55" w:rsidRPr="00D20211" w:rsidRDefault="005B6E55" w:rsidP="005B6E55"/>
    <w:p w14:paraId="387ECE52" w14:textId="17BC7E63" w:rsidR="005B6E55" w:rsidRPr="00D20211" w:rsidRDefault="005B6E55" w:rsidP="005B6E55">
      <w:pPr>
        <w:autoSpaceDE w:val="0"/>
        <w:autoSpaceDN w:val="0"/>
        <w:adjustRightInd w:val="0"/>
        <w:spacing w:line="240" w:lineRule="auto"/>
        <w:rPr>
          <w:rFonts w:cs="ITCFranklinGothicStd-Book"/>
          <w:sz w:val="24"/>
          <w:szCs w:val="24"/>
        </w:rPr>
      </w:pPr>
      <w:r w:rsidRPr="00D20211">
        <w:rPr>
          <w:rFonts w:cs="ITCFranklinGothicStd-Book"/>
          <w:sz w:val="24"/>
          <w:szCs w:val="24"/>
        </w:rPr>
        <w:t>The display of the OMB expira</w:t>
      </w:r>
      <w:r w:rsidR="0024047A">
        <w:rPr>
          <w:rFonts w:cs="ITCFranklinGothicStd-Book"/>
          <w:sz w:val="24"/>
          <w:szCs w:val="24"/>
        </w:rPr>
        <w:t>tion date is appropriate.</w:t>
      </w:r>
    </w:p>
    <w:p w14:paraId="2756C2D5" w14:textId="6DAD1BB1" w:rsidR="00DC57CC" w:rsidRPr="00D20211" w:rsidRDefault="00601F1A" w:rsidP="00601F1A">
      <w:pPr>
        <w:pStyle w:val="Heading1"/>
        <w:pBdr>
          <w:bottom w:val="none" w:sz="0" w:space="0" w:color="auto"/>
        </w:pBdr>
        <w:rPr>
          <w:color w:val="auto"/>
        </w:rPr>
      </w:pPr>
      <w:bookmarkStart w:id="21" w:name="_Toc432356297"/>
      <w:r w:rsidRPr="00D20211">
        <w:rPr>
          <w:color w:val="auto"/>
        </w:rPr>
        <w:t>A.</w:t>
      </w:r>
      <w:r w:rsidR="00B45002" w:rsidRPr="00D20211">
        <w:rPr>
          <w:color w:val="auto"/>
        </w:rPr>
        <w:t>18</w:t>
      </w:r>
      <w:r w:rsidR="0024047A" w:rsidRPr="00D20211">
        <w:rPr>
          <w:color w:val="auto"/>
        </w:rPr>
        <w:t>. Exceptions</w:t>
      </w:r>
      <w:r w:rsidR="00B45002" w:rsidRPr="00D20211">
        <w:rPr>
          <w:color w:val="auto"/>
        </w:rPr>
        <w:t xml:space="preserve"> to Certification for Paperwork Reduction Act Submissions</w:t>
      </w:r>
      <w:bookmarkEnd w:id="21"/>
    </w:p>
    <w:p w14:paraId="661E4960" w14:textId="77777777" w:rsidR="008C154D" w:rsidRPr="00D20211" w:rsidRDefault="008C154D" w:rsidP="005B6E55">
      <w:pPr>
        <w:spacing w:line="240" w:lineRule="auto"/>
        <w:rPr>
          <w:sz w:val="24"/>
          <w:szCs w:val="24"/>
        </w:rPr>
      </w:pPr>
    </w:p>
    <w:p w14:paraId="21296356" w14:textId="6B250610" w:rsidR="005B6E55" w:rsidRPr="00D20211" w:rsidRDefault="005B6E55" w:rsidP="00EC64FB">
      <w:pPr>
        <w:autoSpaceDE w:val="0"/>
        <w:autoSpaceDN w:val="0"/>
        <w:adjustRightInd w:val="0"/>
        <w:spacing w:line="240" w:lineRule="auto"/>
        <w:rPr>
          <w:rFonts w:cs="ITCFranklinGothicStd-Book"/>
          <w:sz w:val="24"/>
          <w:szCs w:val="24"/>
        </w:rPr>
      </w:pPr>
      <w:r w:rsidRPr="00D20211">
        <w:rPr>
          <w:rFonts w:cs="ITCFranklinGothicStd-Book"/>
          <w:sz w:val="24"/>
          <w:szCs w:val="24"/>
        </w:rPr>
        <w:t>There are no exceptions to the certification.</w:t>
      </w:r>
    </w:p>
    <w:p w14:paraId="0E7DEE7C" w14:textId="45BDC7D6" w:rsidR="005C33C7" w:rsidRPr="00D20211" w:rsidRDefault="005C33C7" w:rsidP="005C33C7">
      <w:pPr>
        <w:pStyle w:val="Heading1"/>
        <w:pBdr>
          <w:bottom w:val="none" w:sz="0" w:space="0" w:color="auto"/>
        </w:pBdr>
        <w:rPr>
          <w:rFonts w:ascii="Cambria" w:hAnsi="Cambria"/>
          <w:color w:val="auto"/>
        </w:rPr>
      </w:pPr>
      <w:bookmarkStart w:id="22" w:name="_Toc432356298"/>
      <w:r w:rsidRPr="00D20211">
        <w:rPr>
          <w:rFonts w:ascii="Cambria" w:hAnsi="Cambria"/>
          <w:color w:val="auto"/>
        </w:rPr>
        <w:t>References</w:t>
      </w:r>
      <w:bookmarkEnd w:id="22"/>
    </w:p>
    <w:p w14:paraId="559AA2ED" w14:textId="1257723C" w:rsidR="003F1F5A" w:rsidRPr="003F1F5A" w:rsidRDefault="003F1F5A" w:rsidP="003F1F5A">
      <w:pPr>
        <w:pStyle w:val="ListParagraph"/>
        <w:numPr>
          <w:ilvl w:val="0"/>
          <w:numId w:val="42"/>
        </w:numPr>
        <w:rPr>
          <w:rFonts w:cs="ITCFranklinGothicStd-Book"/>
          <w:sz w:val="24"/>
          <w:szCs w:val="24"/>
        </w:rPr>
      </w:pPr>
      <w:r w:rsidRPr="003F1F5A">
        <w:rPr>
          <w:rFonts w:cs="ITCFranklinGothicStd-Book"/>
          <w:sz w:val="24"/>
          <w:szCs w:val="24"/>
        </w:rPr>
        <w:t>National Association of County &amp; City Health Officials. Local Health Department Job Losses and Program</w:t>
      </w:r>
      <w:r>
        <w:rPr>
          <w:rFonts w:cs="ITCFranklinGothicStd-Book"/>
          <w:sz w:val="24"/>
          <w:szCs w:val="24"/>
        </w:rPr>
        <w:t xml:space="preserve"> </w:t>
      </w:r>
      <w:r w:rsidRPr="003F1F5A">
        <w:rPr>
          <w:rFonts w:cs="ITCFranklinGothicStd-Book"/>
          <w:sz w:val="24"/>
          <w:szCs w:val="24"/>
        </w:rPr>
        <w:t>Cuts: Findings from the 2013 Profile Study</w:t>
      </w:r>
      <w:r>
        <w:rPr>
          <w:rFonts w:cs="ITCFranklinGothicStd-Book"/>
          <w:sz w:val="24"/>
          <w:szCs w:val="24"/>
        </w:rPr>
        <w:t>.</w:t>
      </w:r>
      <w:r w:rsidRPr="003F1F5A">
        <w:rPr>
          <w:rFonts w:cs="ITCFranklinGothicStd-Book"/>
          <w:sz w:val="24"/>
          <w:szCs w:val="24"/>
        </w:rPr>
        <w:t xml:space="preserve"> Available at </w:t>
      </w:r>
      <w:hyperlink r:id="rId9" w:history="1">
        <w:r w:rsidRPr="001A24F9">
          <w:rPr>
            <w:rStyle w:val="Hyperlink"/>
            <w:rFonts w:cs="ITCFranklinGothicStd-Book"/>
            <w:sz w:val="24"/>
            <w:szCs w:val="24"/>
          </w:rPr>
          <w:t>http://archived.naccho.org/topics/infrastructure/lhdbudget/upload/Survey-Findings-Brief-8-13-13-3.pdf</w:t>
        </w:r>
      </w:hyperlink>
      <w:r>
        <w:rPr>
          <w:rFonts w:cs="ITCFranklinGothicStd-Book"/>
          <w:sz w:val="24"/>
          <w:szCs w:val="24"/>
        </w:rPr>
        <w:t xml:space="preserve">. </w:t>
      </w:r>
      <w:r w:rsidRPr="003F1F5A">
        <w:rPr>
          <w:rFonts w:cs="ITCFranklinGothicStd-Book"/>
          <w:sz w:val="24"/>
          <w:szCs w:val="24"/>
        </w:rPr>
        <w:t xml:space="preserve">Accessed </w:t>
      </w:r>
      <w:r>
        <w:rPr>
          <w:rFonts w:cs="ITCFranklinGothicStd-Book"/>
          <w:sz w:val="24"/>
          <w:szCs w:val="24"/>
        </w:rPr>
        <w:t>September 7, 2016</w:t>
      </w:r>
      <w:r w:rsidRPr="003F1F5A">
        <w:rPr>
          <w:rFonts w:cs="ITCFranklinGothicStd-Book"/>
          <w:sz w:val="24"/>
          <w:szCs w:val="24"/>
        </w:rPr>
        <w:t>.</w:t>
      </w:r>
    </w:p>
    <w:p w14:paraId="05D73029" w14:textId="6CAC4E00" w:rsidR="003F1F5A" w:rsidRPr="003F1F5A" w:rsidRDefault="003F1F5A" w:rsidP="003F1F5A">
      <w:pPr>
        <w:pStyle w:val="ListParagraph"/>
        <w:numPr>
          <w:ilvl w:val="0"/>
          <w:numId w:val="42"/>
        </w:numPr>
        <w:autoSpaceDE w:val="0"/>
        <w:autoSpaceDN w:val="0"/>
        <w:adjustRightInd w:val="0"/>
        <w:spacing w:line="240" w:lineRule="auto"/>
        <w:rPr>
          <w:rFonts w:cs="ITCFranklinGothicStd-Book"/>
          <w:sz w:val="24"/>
          <w:szCs w:val="24"/>
        </w:rPr>
      </w:pPr>
      <w:r>
        <w:rPr>
          <w:rFonts w:cs="ITCFranklinGothicStd-Book"/>
          <w:sz w:val="24"/>
          <w:szCs w:val="24"/>
        </w:rPr>
        <w:t xml:space="preserve">Association of State and Territorial Health Officials. </w:t>
      </w:r>
      <w:r w:rsidRPr="003F1F5A">
        <w:rPr>
          <w:rFonts w:cs="ITCFranklinGothicStd-Book"/>
          <w:bCs/>
          <w:sz w:val="24"/>
          <w:szCs w:val="24"/>
        </w:rPr>
        <w:t>Budget Cuts Continue to Affect the Health of Americans</w:t>
      </w:r>
      <w:r>
        <w:rPr>
          <w:rFonts w:cs="ITCFranklinGothicStd-Book"/>
          <w:bCs/>
          <w:sz w:val="24"/>
          <w:szCs w:val="24"/>
        </w:rPr>
        <w:t xml:space="preserve">. Available at </w:t>
      </w:r>
      <w:hyperlink r:id="rId10" w:history="1">
        <w:r w:rsidRPr="001A24F9">
          <w:rPr>
            <w:rStyle w:val="Hyperlink"/>
            <w:rFonts w:cs="ITCFranklinGothicStd-Book"/>
            <w:bCs/>
            <w:sz w:val="24"/>
            <w:szCs w:val="24"/>
          </w:rPr>
          <w:t>http://www.astho.org/budget-cuts-Sept-2014/</w:t>
        </w:r>
      </w:hyperlink>
      <w:r>
        <w:rPr>
          <w:rFonts w:cs="ITCFranklinGothicStd-Book"/>
          <w:bCs/>
          <w:sz w:val="24"/>
          <w:szCs w:val="24"/>
        </w:rPr>
        <w:t>. Accessed September 7, 2016.</w:t>
      </w:r>
    </w:p>
    <w:p w14:paraId="77F17204" w14:textId="563F2A36" w:rsidR="0078375D" w:rsidRDefault="0078375D" w:rsidP="0078375D">
      <w:pPr>
        <w:pStyle w:val="ListParagraph"/>
        <w:numPr>
          <w:ilvl w:val="0"/>
          <w:numId w:val="42"/>
        </w:numPr>
        <w:autoSpaceDE w:val="0"/>
        <w:autoSpaceDN w:val="0"/>
        <w:adjustRightInd w:val="0"/>
        <w:spacing w:line="240" w:lineRule="auto"/>
        <w:rPr>
          <w:rFonts w:cs="ITCFranklinGothicStd-Book"/>
          <w:sz w:val="24"/>
          <w:szCs w:val="24"/>
        </w:rPr>
      </w:pPr>
      <w:r>
        <w:rPr>
          <w:rFonts w:cs="ITCFranklinGothicStd-Book"/>
          <w:sz w:val="24"/>
          <w:szCs w:val="24"/>
        </w:rPr>
        <w:t xml:space="preserve">National Association of County &amp; City Health Officials. 2013 National Profile of Local Health Departments. Available at </w:t>
      </w:r>
      <w:hyperlink r:id="rId11" w:history="1">
        <w:r w:rsidRPr="00147EB8">
          <w:rPr>
            <w:rStyle w:val="Hyperlink"/>
            <w:rFonts w:cs="ITCFranklinGothicStd-Book"/>
            <w:sz w:val="24"/>
            <w:szCs w:val="24"/>
          </w:rPr>
          <w:t>http://archived.naccho.org/topics/infrastructure/profile/upload/2013-national-profile-of-local-health-departments-report.pdf</w:t>
        </w:r>
      </w:hyperlink>
      <w:r>
        <w:rPr>
          <w:rFonts w:cs="ITCFranklinGothicStd-Book"/>
          <w:sz w:val="24"/>
          <w:szCs w:val="24"/>
        </w:rPr>
        <w:t>. Accessed May 24, 2016.</w:t>
      </w:r>
    </w:p>
    <w:p w14:paraId="7856382F" w14:textId="6F9C65C0" w:rsidR="0078375D" w:rsidRDefault="0078375D" w:rsidP="0078375D">
      <w:pPr>
        <w:pStyle w:val="ListParagraph"/>
        <w:numPr>
          <w:ilvl w:val="0"/>
          <w:numId w:val="42"/>
        </w:numPr>
        <w:autoSpaceDE w:val="0"/>
        <w:autoSpaceDN w:val="0"/>
        <w:adjustRightInd w:val="0"/>
        <w:spacing w:line="240" w:lineRule="auto"/>
        <w:rPr>
          <w:rFonts w:cs="ITCFranklinGothicStd-Book"/>
          <w:sz w:val="24"/>
          <w:szCs w:val="24"/>
        </w:rPr>
      </w:pPr>
      <w:r>
        <w:rPr>
          <w:rFonts w:cs="ITCFranklinGothicStd-Book"/>
          <w:sz w:val="24"/>
          <w:szCs w:val="24"/>
        </w:rPr>
        <w:t xml:space="preserve">Association of State and Territorial Health Officials. </w:t>
      </w:r>
      <w:r w:rsidRPr="0078375D">
        <w:rPr>
          <w:rFonts w:cs="ITCFranklinGothicStd-Book"/>
          <w:sz w:val="24"/>
          <w:szCs w:val="24"/>
        </w:rPr>
        <w:t>Profile of State Public Health, Volume Three</w:t>
      </w:r>
      <w:r>
        <w:rPr>
          <w:rFonts w:cs="ITCFranklinGothicStd-Book"/>
          <w:sz w:val="24"/>
          <w:szCs w:val="24"/>
        </w:rPr>
        <w:t xml:space="preserve">. Available at </w:t>
      </w:r>
      <w:hyperlink r:id="rId12" w:history="1">
        <w:r w:rsidRPr="00147EB8">
          <w:rPr>
            <w:rStyle w:val="Hyperlink"/>
            <w:rFonts w:cs="ITCFranklinGothicStd-Book"/>
            <w:sz w:val="24"/>
            <w:szCs w:val="24"/>
          </w:rPr>
          <w:t>http://www.astho.org/Profile/Volume-Three/</w:t>
        </w:r>
      </w:hyperlink>
      <w:r>
        <w:rPr>
          <w:rFonts w:cs="ITCFranklinGothicStd-Book"/>
          <w:sz w:val="24"/>
          <w:szCs w:val="24"/>
        </w:rPr>
        <w:t>. Accessed May 24, 2016.</w:t>
      </w:r>
    </w:p>
    <w:p w14:paraId="628A52EE" w14:textId="1E1C3F72" w:rsidR="0078375D" w:rsidRDefault="0078375D" w:rsidP="0078375D">
      <w:pPr>
        <w:pStyle w:val="ListParagraph"/>
        <w:numPr>
          <w:ilvl w:val="0"/>
          <w:numId w:val="42"/>
        </w:numPr>
        <w:autoSpaceDE w:val="0"/>
        <w:autoSpaceDN w:val="0"/>
        <w:adjustRightInd w:val="0"/>
        <w:spacing w:line="240" w:lineRule="auto"/>
        <w:rPr>
          <w:rFonts w:cs="ITCFranklinGothicStd-Book"/>
          <w:sz w:val="24"/>
          <w:szCs w:val="24"/>
        </w:rPr>
      </w:pPr>
      <w:r>
        <w:rPr>
          <w:rFonts w:cs="ITCFranklinGothicStd-Book"/>
          <w:sz w:val="24"/>
          <w:szCs w:val="24"/>
        </w:rPr>
        <w:t>National Indian Health Board. 2010 T</w:t>
      </w:r>
      <w:r w:rsidRPr="0078375D">
        <w:rPr>
          <w:rFonts w:cs="ITCFranklinGothicStd-Book"/>
          <w:sz w:val="24"/>
          <w:szCs w:val="24"/>
        </w:rPr>
        <w:t xml:space="preserve">ribal </w:t>
      </w:r>
      <w:r>
        <w:rPr>
          <w:rFonts w:cs="ITCFranklinGothicStd-Book"/>
          <w:sz w:val="24"/>
          <w:szCs w:val="24"/>
        </w:rPr>
        <w:t>P</w:t>
      </w:r>
      <w:r w:rsidRPr="0078375D">
        <w:rPr>
          <w:rFonts w:cs="ITCFranklinGothicStd-Book"/>
          <w:sz w:val="24"/>
          <w:szCs w:val="24"/>
        </w:rPr>
        <w:t xml:space="preserve">ublic </w:t>
      </w:r>
      <w:r>
        <w:rPr>
          <w:rFonts w:cs="ITCFranklinGothicStd-Book"/>
          <w:sz w:val="24"/>
          <w:szCs w:val="24"/>
        </w:rPr>
        <w:t>Health P</w:t>
      </w:r>
      <w:r w:rsidRPr="0078375D">
        <w:rPr>
          <w:rFonts w:cs="ITCFranklinGothicStd-Book"/>
          <w:sz w:val="24"/>
          <w:szCs w:val="24"/>
        </w:rPr>
        <w:t>rofile</w:t>
      </w:r>
      <w:r>
        <w:rPr>
          <w:rFonts w:cs="ITCFranklinGothicStd-Book"/>
          <w:sz w:val="24"/>
          <w:szCs w:val="24"/>
        </w:rPr>
        <w:t xml:space="preserve">. Available at </w:t>
      </w:r>
      <w:hyperlink r:id="rId13" w:history="1">
        <w:r w:rsidRPr="00147EB8">
          <w:rPr>
            <w:rStyle w:val="Hyperlink"/>
            <w:rFonts w:cs="ITCFranklinGothicStd-Book"/>
            <w:sz w:val="24"/>
            <w:szCs w:val="24"/>
          </w:rPr>
          <w:t>http://www.nihb.org/docs/07012010/NIHB_HealthProfile%202010.pdf</w:t>
        </w:r>
      </w:hyperlink>
      <w:r>
        <w:rPr>
          <w:rFonts w:cs="ITCFranklinGothicStd-Book"/>
          <w:sz w:val="24"/>
          <w:szCs w:val="24"/>
        </w:rPr>
        <w:t>. Accessed May 24, 2016.</w:t>
      </w:r>
    </w:p>
    <w:p w14:paraId="6E6AD26C" w14:textId="15270CBE" w:rsidR="00407D18" w:rsidRDefault="00407D18" w:rsidP="0078375D">
      <w:pPr>
        <w:pStyle w:val="ListParagraph"/>
        <w:numPr>
          <w:ilvl w:val="0"/>
          <w:numId w:val="42"/>
        </w:numPr>
        <w:autoSpaceDE w:val="0"/>
        <w:autoSpaceDN w:val="0"/>
        <w:adjustRightInd w:val="0"/>
        <w:spacing w:line="240" w:lineRule="auto"/>
        <w:rPr>
          <w:rFonts w:cs="ITCFranklinGothicStd-Book"/>
          <w:sz w:val="24"/>
          <w:szCs w:val="24"/>
        </w:rPr>
      </w:pPr>
      <w:r w:rsidRPr="00407D18">
        <w:rPr>
          <w:rFonts w:cs="ITCFranklinGothicStd-Book"/>
          <w:sz w:val="24"/>
          <w:szCs w:val="24"/>
        </w:rPr>
        <w:t xml:space="preserve">Massoudi M, </w:t>
      </w:r>
      <w:r w:rsidRPr="00407D18">
        <w:rPr>
          <w:rFonts w:cs="ITCFranklinGothicStd-Book"/>
          <w:bCs/>
          <w:sz w:val="24"/>
          <w:szCs w:val="24"/>
        </w:rPr>
        <w:t>Blake R</w:t>
      </w:r>
      <w:r w:rsidRPr="00407D18">
        <w:rPr>
          <w:rFonts w:cs="ITCFranklinGothicStd-Book"/>
          <w:sz w:val="24"/>
          <w:szCs w:val="24"/>
        </w:rPr>
        <w:t>, Marcum L. Enumerating the environmental public health workfor</w:t>
      </w:r>
      <w:r>
        <w:rPr>
          <w:rFonts w:cs="ITCFranklinGothicStd-Book"/>
          <w:sz w:val="24"/>
          <w:szCs w:val="24"/>
        </w:rPr>
        <w:t>ce—challenges and opportunities.</w:t>
      </w:r>
      <w:r w:rsidRPr="00407D18">
        <w:rPr>
          <w:rFonts w:cs="ITCFranklinGothicStd-Book"/>
          <w:sz w:val="24"/>
          <w:szCs w:val="24"/>
        </w:rPr>
        <w:t xml:space="preserve"> [</w:t>
      </w:r>
      <w:r>
        <w:rPr>
          <w:rFonts w:cs="ITCFranklinGothicStd-Book"/>
          <w:sz w:val="24"/>
          <w:szCs w:val="24"/>
        </w:rPr>
        <w:t>C</w:t>
      </w:r>
      <w:r w:rsidRPr="00407D18">
        <w:rPr>
          <w:rFonts w:cs="ITCFranklinGothicStd-Book"/>
          <w:sz w:val="24"/>
          <w:szCs w:val="24"/>
        </w:rPr>
        <w:t>ommentary] J Environ Health. 2012;</w:t>
      </w:r>
      <w:r>
        <w:rPr>
          <w:rFonts w:cs="ITCFranklinGothicStd-Book"/>
          <w:sz w:val="24"/>
          <w:szCs w:val="24"/>
        </w:rPr>
        <w:t xml:space="preserve"> </w:t>
      </w:r>
      <w:r w:rsidRPr="00407D18">
        <w:rPr>
          <w:rFonts w:cs="ITCFranklinGothicStd-Book"/>
          <w:sz w:val="24"/>
          <w:szCs w:val="24"/>
        </w:rPr>
        <w:t>75(4):34-6.</w:t>
      </w:r>
    </w:p>
    <w:p w14:paraId="0D45297B" w14:textId="34799174" w:rsidR="00633500" w:rsidRPr="00633500" w:rsidRDefault="00633500" w:rsidP="00633500">
      <w:pPr>
        <w:pStyle w:val="ListParagraph"/>
        <w:numPr>
          <w:ilvl w:val="0"/>
          <w:numId w:val="42"/>
        </w:numPr>
        <w:rPr>
          <w:rFonts w:cs="ITCFranklinGothicStd-Book"/>
          <w:sz w:val="24"/>
          <w:szCs w:val="24"/>
        </w:rPr>
      </w:pPr>
      <w:r w:rsidRPr="00633500">
        <w:rPr>
          <w:rFonts w:cs="ITCFranklinGothicStd-Book"/>
          <w:sz w:val="24"/>
          <w:szCs w:val="24"/>
        </w:rPr>
        <w:t>Beck, AJ</w:t>
      </w:r>
      <w:r>
        <w:rPr>
          <w:rFonts w:cs="ITCFranklinGothicStd-Book"/>
          <w:sz w:val="24"/>
          <w:szCs w:val="24"/>
        </w:rPr>
        <w:t>, Boulton, M</w:t>
      </w:r>
      <w:r w:rsidRPr="00633500">
        <w:rPr>
          <w:rFonts w:cs="ITCFranklinGothicStd-Book"/>
          <w:sz w:val="24"/>
          <w:szCs w:val="24"/>
        </w:rPr>
        <w:t>L &amp; Coronado, F. Enumeration of the governmental public health workforce, 2014. American Journal of Preventive Medicine</w:t>
      </w:r>
      <w:r>
        <w:rPr>
          <w:rFonts w:cs="ITCFranklinGothicStd-Book"/>
          <w:sz w:val="24"/>
          <w:szCs w:val="24"/>
        </w:rPr>
        <w:t xml:space="preserve">. </w:t>
      </w:r>
      <w:r w:rsidRPr="00633500">
        <w:rPr>
          <w:rFonts w:cs="ITCFranklinGothicStd-Book"/>
          <w:sz w:val="24"/>
          <w:szCs w:val="24"/>
        </w:rPr>
        <w:t>2014</w:t>
      </w:r>
      <w:r>
        <w:rPr>
          <w:rFonts w:cs="ITCFranklinGothicStd-Book"/>
          <w:sz w:val="24"/>
          <w:szCs w:val="24"/>
        </w:rPr>
        <w:t>;</w:t>
      </w:r>
      <w:r w:rsidRPr="00633500">
        <w:rPr>
          <w:rFonts w:cs="ITCFranklinGothicStd-Book"/>
          <w:sz w:val="24"/>
          <w:szCs w:val="24"/>
        </w:rPr>
        <w:t xml:space="preserve"> 47, S306-S313.</w:t>
      </w:r>
    </w:p>
    <w:p w14:paraId="6EF24F00" w14:textId="77777777" w:rsidR="00821A81" w:rsidRPr="00821A81" w:rsidRDefault="00821A81" w:rsidP="00821A81">
      <w:pPr>
        <w:pStyle w:val="ListParagraph"/>
        <w:numPr>
          <w:ilvl w:val="0"/>
          <w:numId w:val="42"/>
        </w:numPr>
        <w:rPr>
          <w:rFonts w:cs="ITCFranklinGothicStd-Book"/>
          <w:sz w:val="24"/>
          <w:szCs w:val="24"/>
        </w:rPr>
      </w:pPr>
      <w:r w:rsidRPr="00821A81">
        <w:rPr>
          <w:rFonts w:cs="ITCFranklinGothicStd-Book"/>
          <w:sz w:val="24"/>
          <w:szCs w:val="24"/>
        </w:rPr>
        <w:t>Center of Excellence in public health workforce studies. University of Michigan, http://sph.umich.edu/cephw/projects.html.</w:t>
      </w:r>
    </w:p>
    <w:p w14:paraId="4FF5975C" w14:textId="77777777" w:rsidR="00821A81" w:rsidRPr="00821A81" w:rsidRDefault="00821A81" w:rsidP="00821A81">
      <w:pPr>
        <w:pStyle w:val="ListParagraph"/>
        <w:numPr>
          <w:ilvl w:val="0"/>
          <w:numId w:val="42"/>
        </w:numPr>
        <w:rPr>
          <w:rFonts w:cs="ITCFranklinGothicStd-Book"/>
          <w:sz w:val="24"/>
          <w:szCs w:val="24"/>
        </w:rPr>
      </w:pPr>
      <w:r w:rsidRPr="00821A81">
        <w:rPr>
          <w:rFonts w:cs="ITCFranklinGothicStd-Book"/>
          <w:sz w:val="24"/>
          <w:szCs w:val="24"/>
        </w:rPr>
        <w:t>Leider, J. P., et al. (2015). Practitioner perspectives on foundational capabilities. Journal of Public Health Management and Practice, 21, 325-335.</w:t>
      </w:r>
    </w:p>
    <w:p w14:paraId="3329EAB1" w14:textId="77777777" w:rsidR="00821A81" w:rsidRPr="00821A81" w:rsidRDefault="00821A81" w:rsidP="00821A81">
      <w:pPr>
        <w:pStyle w:val="ListParagraph"/>
        <w:numPr>
          <w:ilvl w:val="0"/>
          <w:numId w:val="42"/>
        </w:numPr>
        <w:rPr>
          <w:rFonts w:cs="ITCFranklinGothicStd-Book"/>
          <w:sz w:val="24"/>
          <w:szCs w:val="24"/>
        </w:rPr>
      </w:pPr>
      <w:r w:rsidRPr="00821A81">
        <w:rPr>
          <w:rFonts w:cs="ITCFranklinGothicStd-Book"/>
          <w:sz w:val="24"/>
          <w:szCs w:val="24"/>
        </w:rPr>
        <w:t>A National Strategy to Revitalize Environmental Public Health Services. (2003). http://www.cdc.gov/nceh/ehs/docs/nationalstrategy2003.pdf.</w:t>
      </w:r>
    </w:p>
    <w:p w14:paraId="1B042990" w14:textId="77777777" w:rsidR="00633500" w:rsidRPr="0078375D" w:rsidRDefault="00633500" w:rsidP="00AC4E2F">
      <w:pPr>
        <w:pStyle w:val="ListParagraph"/>
        <w:autoSpaceDE w:val="0"/>
        <w:autoSpaceDN w:val="0"/>
        <w:adjustRightInd w:val="0"/>
        <w:spacing w:line="240" w:lineRule="auto"/>
        <w:ind w:left="360"/>
        <w:rPr>
          <w:rFonts w:cs="ITCFranklinGothicStd-Book"/>
          <w:sz w:val="24"/>
          <w:szCs w:val="24"/>
        </w:rPr>
      </w:pPr>
    </w:p>
    <w:p w14:paraId="4AA67867" w14:textId="70BCB8CC" w:rsidR="008C154D" w:rsidRPr="00D20211" w:rsidRDefault="008C154D" w:rsidP="008C154D">
      <w:pPr>
        <w:pStyle w:val="Heading1"/>
        <w:pBdr>
          <w:bottom w:val="none" w:sz="0" w:space="0" w:color="auto"/>
        </w:pBdr>
        <w:rPr>
          <w:rFonts w:ascii="Cambria" w:hAnsi="Cambria"/>
          <w:color w:val="auto"/>
        </w:rPr>
      </w:pPr>
      <w:bookmarkStart w:id="23" w:name="_Toc432356299"/>
      <w:r w:rsidRPr="00D20211">
        <w:rPr>
          <w:rFonts w:ascii="Cambria" w:hAnsi="Cambria"/>
          <w:color w:val="auto"/>
        </w:rPr>
        <w:t>L</w:t>
      </w:r>
      <w:r w:rsidR="00E278FC" w:rsidRPr="00D20211">
        <w:rPr>
          <w:rFonts w:ascii="Cambria" w:hAnsi="Cambria"/>
          <w:color w:val="auto"/>
        </w:rPr>
        <w:t>ist of</w:t>
      </w:r>
      <w:r w:rsidRPr="00D20211">
        <w:rPr>
          <w:rFonts w:ascii="Cambria" w:hAnsi="Cambria"/>
          <w:color w:val="auto"/>
        </w:rPr>
        <w:t xml:space="preserve"> Attachments</w:t>
      </w:r>
      <w:bookmarkEnd w:id="23"/>
    </w:p>
    <w:p w14:paraId="33B3298E" w14:textId="77777777" w:rsidR="008C154D" w:rsidRPr="00D20211" w:rsidRDefault="008C154D" w:rsidP="008C154D"/>
    <w:p w14:paraId="6C8120AE" w14:textId="075A6A9A" w:rsidR="008C154D" w:rsidRPr="00565A94" w:rsidRDefault="008C154D" w:rsidP="00E95AE9">
      <w:pPr>
        <w:spacing w:line="240" w:lineRule="auto"/>
        <w:rPr>
          <w:rFonts w:ascii="Calibri" w:hAnsi="Calibri"/>
          <w:sz w:val="24"/>
          <w:szCs w:val="24"/>
        </w:rPr>
      </w:pPr>
      <w:r w:rsidRPr="00565A94">
        <w:rPr>
          <w:rFonts w:ascii="Calibri" w:hAnsi="Calibri"/>
          <w:sz w:val="24"/>
          <w:szCs w:val="24"/>
        </w:rPr>
        <w:t>Attachment 1. Authorizing Legislation</w:t>
      </w:r>
    </w:p>
    <w:p w14:paraId="30CF9F8F" w14:textId="5C0EF9FA" w:rsidR="008C154D" w:rsidRPr="00565A94" w:rsidRDefault="008C154D" w:rsidP="00E95AE9">
      <w:pPr>
        <w:spacing w:line="240" w:lineRule="auto"/>
        <w:rPr>
          <w:rFonts w:ascii="Calibri" w:hAnsi="Calibri"/>
          <w:sz w:val="24"/>
          <w:szCs w:val="24"/>
        </w:rPr>
      </w:pPr>
      <w:r w:rsidRPr="00565A94">
        <w:rPr>
          <w:rFonts w:ascii="Calibri" w:hAnsi="Calibri"/>
          <w:sz w:val="24"/>
          <w:szCs w:val="24"/>
        </w:rPr>
        <w:t>Attachment 2. 60-day Federal Register Notice</w:t>
      </w:r>
    </w:p>
    <w:p w14:paraId="1D3BB5F3" w14:textId="355DD4B3" w:rsidR="00C815A5" w:rsidRDefault="006570C6" w:rsidP="00E95AE9">
      <w:pPr>
        <w:spacing w:line="240" w:lineRule="auto"/>
        <w:ind w:firstLine="720"/>
        <w:rPr>
          <w:rFonts w:ascii="Calibri" w:hAnsi="Calibri"/>
          <w:sz w:val="24"/>
          <w:szCs w:val="24"/>
        </w:rPr>
      </w:pPr>
      <w:r w:rsidRPr="00565A94">
        <w:rPr>
          <w:rFonts w:ascii="Calibri" w:hAnsi="Calibri"/>
          <w:sz w:val="24"/>
          <w:szCs w:val="24"/>
        </w:rPr>
        <w:t>Attachment 2a</w:t>
      </w:r>
      <w:r w:rsidR="00C815A5">
        <w:rPr>
          <w:rFonts w:ascii="Calibri" w:hAnsi="Calibri"/>
          <w:sz w:val="24"/>
          <w:szCs w:val="24"/>
        </w:rPr>
        <w:t>. Public Comment</w:t>
      </w:r>
      <w:r w:rsidR="008C154D" w:rsidRPr="00565A94">
        <w:rPr>
          <w:rFonts w:ascii="Calibri" w:hAnsi="Calibri"/>
          <w:sz w:val="24"/>
          <w:szCs w:val="24"/>
        </w:rPr>
        <w:t xml:space="preserve"> </w:t>
      </w:r>
    </w:p>
    <w:p w14:paraId="0226AC6E" w14:textId="32551D15" w:rsidR="008C154D" w:rsidRPr="00565A94" w:rsidRDefault="00C815A5" w:rsidP="00E95AE9">
      <w:pPr>
        <w:spacing w:line="240" w:lineRule="auto"/>
        <w:ind w:firstLine="720"/>
        <w:rPr>
          <w:rFonts w:ascii="Calibri" w:hAnsi="Calibri"/>
          <w:sz w:val="24"/>
          <w:szCs w:val="24"/>
        </w:rPr>
      </w:pPr>
      <w:r>
        <w:rPr>
          <w:rFonts w:ascii="Calibri" w:hAnsi="Calibri"/>
          <w:sz w:val="24"/>
          <w:szCs w:val="24"/>
        </w:rPr>
        <w:t>Attachment 2b. Program Response</w:t>
      </w:r>
    </w:p>
    <w:p w14:paraId="38DAA952" w14:textId="73D1A496" w:rsidR="00057DBB" w:rsidRDefault="000C31AF" w:rsidP="00E95AE9">
      <w:pPr>
        <w:spacing w:line="240" w:lineRule="auto"/>
        <w:rPr>
          <w:rFonts w:ascii="Calibri" w:hAnsi="Calibri"/>
          <w:sz w:val="24"/>
          <w:szCs w:val="24"/>
        </w:rPr>
      </w:pPr>
      <w:r>
        <w:rPr>
          <w:rFonts w:ascii="Calibri" w:hAnsi="Calibri"/>
          <w:sz w:val="24"/>
          <w:szCs w:val="24"/>
        </w:rPr>
        <w:t xml:space="preserve">Attachment </w:t>
      </w:r>
      <w:r w:rsidR="00EE3304">
        <w:rPr>
          <w:rFonts w:ascii="Calibri" w:hAnsi="Calibri"/>
          <w:sz w:val="24"/>
          <w:szCs w:val="24"/>
        </w:rPr>
        <w:t>3</w:t>
      </w:r>
      <w:r>
        <w:rPr>
          <w:rFonts w:ascii="Calibri" w:hAnsi="Calibri"/>
          <w:sz w:val="24"/>
          <w:szCs w:val="24"/>
        </w:rPr>
        <w:t xml:space="preserve">. </w:t>
      </w:r>
      <w:r w:rsidR="00057DBB">
        <w:rPr>
          <w:rFonts w:ascii="Calibri" w:hAnsi="Calibri"/>
          <w:sz w:val="24"/>
          <w:szCs w:val="24"/>
        </w:rPr>
        <w:t>Health Department Roster</w:t>
      </w:r>
    </w:p>
    <w:p w14:paraId="4C070BC3" w14:textId="4953BCC3" w:rsidR="006570C6" w:rsidRPr="00565A94" w:rsidRDefault="006570C6" w:rsidP="00E95AE9">
      <w:pPr>
        <w:spacing w:line="240" w:lineRule="auto"/>
        <w:rPr>
          <w:rFonts w:ascii="Calibri" w:hAnsi="Calibri"/>
          <w:sz w:val="24"/>
          <w:szCs w:val="24"/>
        </w:rPr>
      </w:pPr>
      <w:r w:rsidRPr="00565A94">
        <w:rPr>
          <w:rFonts w:ascii="Calibri" w:hAnsi="Calibri"/>
          <w:sz w:val="24"/>
          <w:szCs w:val="24"/>
        </w:rPr>
        <w:t xml:space="preserve">Attachment </w:t>
      </w:r>
      <w:r w:rsidR="00EE3304">
        <w:rPr>
          <w:rFonts w:ascii="Calibri" w:hAnsi="Calibri"/>
          <w:sz w:val="24"/>
          <w:szCs w:val="24"/>
        </w:rPr>
        <w:t>4</w:t>
      </w:r>
      <w:r w:rsidR="00DA59E6" w:rsidRPr="00565A94">
        <w:rPr>
          <w:rFonts w:ascii="Calibri" w:hAnsi="Calibri"/>
          <w:sz w:val="24"/>
          <w:szCs w:val="24"/>
        </w:rPr>
        <w:t>a</w:t>
      </w:r>
      <w:r w:rsidRPr="00565A94">
        <w:rPr>
          <w:rFonts w:ascii="Calibri" w:hAnsi="Calibri"/>
          <w:sz w:val="24"/>
          <w:szCs w:val="24"/>
        </w:rPr>
        <w:t xml:space="preserve">. </w:t>
      </w:r>
      <w:r w:rsidR="00DA59E6" w:rsidRPr="00565A94">
        <w:rPr>
          <w:rFonts w:ascii="Calibri" w:hAnsi="Calibri"/>
          <w:sz w:val="24"/>
          <w:szCs w:val="24"/>
        </w:rPr>
        <w:t>Pre-Surv</w:t>
      </w:r>
      <w:r w:rsidRPr="00565A94">
        <w:rPr>
          <w:rFonts w:ascii="Calibri" w:hAnsi="Calibri"/>
          <w:sz w:val="24"/>
          <w:szCs w:val="24"/>
        </w:rPr>
        <w:t xml:space="preserve">ey </w:t>
      </w:r>
      <w:r w:rsidR="00DA59E6" w:rsidRPr="00565A94">
        <w:rPr>
          <w:rFonts w:ascii="Calibri" w:hAnsi="Calibri"/>
          <w:sz w:val="24"/>
          <w:szCs w:val="24"/>
        </w:rPr>
        <w:t>Email</w:t>
      </w:r>
    </w:p>
    <w:p w14:paraId="455B0B76" w14:textId="5ED73FB4" w:rsidR="006570C6" w:rsidRPr="00565A94" w:rsidRDefault="006570C6" w:rsidP="00E95AE9">
      <w:pPr>
        <w:spacing w:line="240" w:lineRule="auto"/>
        <w:rPr>
          <w:rFonts w:ascii="Calibri" w:hAnsi="Calibri"/>
          <w:sz w:val="24"/>
          <w:szCs w:val="24"/>
        </w:rPr>
      </w:pPr>
      <w:r w:rsidRPr="00565A94">
        <w:rPr>
          <w:rFonts w:ascii="Calibri" w:hAnsi="Calibri"/>
          <w:sz w:val="24"/>
          <w:szCs w:val="24"/>
        </w:rPr>
        <w:t xml:space="preserve">Attachment </w:t>
      </w:r>
      <w:r w:rsidR="00EE3304">
        <w:rPr>
          <w:rFonts w:ascii="Calibri" w:hAnsi="Calibri"/>
          <w:sz w:val="24"/>
          <w:szCs w:val="24"/>
        </w:rPr>
        <w:t>4</w:t>
      </w:r>
      <w:r w:rsidR="00DA59E6" w:rsidRPr="00565A94">
        <w:rPr>
          <w:rFonts w:ascii="Calibri" w:hAnsi="Calibri"/>
          <w:sz w:val="24"/>
          <w:szCs w:val="24"/>
        </w:rPr>
        <w:t>b</w:t>
      </w:r>
      <w:r w:rsidRPr="00565A94">
        <w:rPr>
          <w:rFonts w:ascii="Calibri" w:hAnsi="Calibri"/>
          <w:sz w:val="24"/>
          <w:szCs w:val="24"/>
        </w:rPr>
        <w:t xml:space="preserve">. </w:t>
      </w:r>
      <w:r w:rsidR="00DA59E6" w:rsidRPr="00565A94">
        <w:rPr>
          <w:rFonts w:ascii="Calibri" w:hAnsi="Calibri"/>
          <w:sz w:val="24"/>
          <w:szCs w:val="24"/>
        </w:rPr>
        <w:t>Invitation Email</w:t>
      </w:r>
    </w:p>
    <w:p w14:paraId="5C608F91" w14:textId="4503945A" w:rsidR="006570C6" w:rsidRPr="00565A94" w:rsidRDefault="00DA59E6" w:rsidP="00E95AE9">
      <w:pPr>
        <w:spacing w:line="240" w:lineRule="auto"/>
        <w:rPr>
          <w:rFonts w:ascii="Calibri" w:hAnsi="Calibri"/>
          <w:sz w:val="24"/>
          <w:szCs w:val="24"/>
        </w:rPr>
      </w:pPr>
      <w:r w:rsidRPr="00565A94">
        <w:rPr>
          <w:rFonts w:ascii="Calibri" w:hAnsi="Calibri"/>
          <w:sz w:val="24"/>
          <w:szCs w:val="24"/>
        </w:rPr>
        <w:t xml:space="preserve">Attachment </w:t>
      </w:r>
      <w:r w:rsidR="00EE3304">
        <w:rPr>
          <w:rFonts w:ascii="Calibri" w:hAnsi="Calibri"/>
          <w:sz w:val="24"/>
          <w:szCs w:val="24"/>
        </w:rPr>
        <w:t>4</w:t>
      </w:r>
      <w:r w:rsidRPr="00565A94">
        <w:rPr>
          <w:rFonts w:ascii="Calibri" w:hAnsi="Calibri"/>
          <w:sz w:val="24"/>
          <w:szCs w:val="24"/>
        </w:rPr>
        <w:t>c</w:t>
      </w:r>
      <w:r w:rsidR="006570C6" w:rsidRPr="00565A94">
        <w:rPr>
          <w:rFonts w:ascii="Calibri" w:hAnsi="Calibri"/>
          <w:sz w:val="24"/>
          <w:szCs w:val="24"/>
        </w:rPr>
        <w:t xml:space="preserve">. </w:t>
      </w:r>
      <w:r w:rsidRPr="00565A94">
        <w:rPr>
          <w:rFonts w:ascii="Calibri" w:hAnsi="Calibri"/>
          <w:sz w:val="24"/>
          <w:szCs w:val="24"/>
        </w:rPr>
        <w:t>Thanks-Reminder Email</w:t>
      </w:r>
    </w:p>
    <w:p w14:paraId="1A64EC21" w14:textId="1EE86729" w:rsidR="006570C6" w:rsidRPr="00565A94" w:rsidRDefault="00DA59E6" w:rsidP="00E95AE9">
      <w:pPr>
        <w:spacing w:line="240" w:lineRule="auto"/>
        <w:rPr>
          <w:rFonts w:ascii="Calibri" w:hAnsi="Calibri"/>
          <w:sz w:val="24"/>
          <w:szCs w:val="24"/>
        </w:rPr>
      </w:pPr>
      <w:r w:rsidRPr="00565A94">
        <w:rPr>
          <w:rFonts w:ascii="Calibri" w:hAnsi="Calibri"/>
          <w:sz w:val="24"/>
          <w:szCs w:val="24"/>
        </w:rPr>
        <w:t xml:space="preserve">Attachment </w:t>
      </w:r>
      <w:r w:rsidR="00EE3304">
        <w:rPr>
          <w:rFonts w:ascii="Calibri" w:hAnsi="Calibri"/>
          <w:sz w:val="24"/>
          <w:szCs w:val="24"/>
        </w:rPr>
        <w:t>4</w:t>
      </w:r>
      <w:r w:rsidRPr="00565A94">
        <w:rPr>
          <w:rFonts w:ascii="Calibri" w:hAnsi="Calibri"/>
          <w:sz w:val="24"/>
          <w:szCs w:val="24"/>
        </w:rPr>
        <w:t>d</w:t>
      </w:r>
      <w:r w:rsidR="006570C6" w:rsidRPr="00565A94">
        <w:rPr>
          <w:rFonts w:ascii="Calibri" w:hAnsi="Calibri"/>
          <w:sz w:val="24"/>
          <w:szCs w:val="24"/>
        </w:rPr>
        <w:t xml:space="preserve">. </w:t>
      </w:r>
      <w:r w:rsidRPr="00565A94">
        <w:rPr>
          <w:rFonts w:ascii="Calibri" w:hAnsi="Calibri"/>
          <w:sz w:val="24"/>
          <w:szCs w:val="24"/>
        </w:rPr>
        <w:t>Reminder Email</w:t>
      </w:r>
    </w:p>
    <w:p w14:paraId="7FCA80E0" w14:textId="6F05DF7E" w:rsidR="001F530C" w:rsidRDefault="00DA59E6" w:rsidP="00E95AE9">
      <w:pPr>
        <w:spacing w:line="240" w:lineRule="auto"/>
        <w:rPr>
          <w:rFonts w:ascii="Calibri" w:hAnsi="Calibri"/>
          <w:sz w:val="24"/>
          <w:szCs w:val="24"/>
        </w:rPr>
      </w:pPr>
      <w:r w:rsidRPr="00565A94">
        <w:rPr>
          <w:rFonts w:ascii="Calibri" w:hAnsi="Calibri"/>
          <w:sz w:val="24"/>
          <w:szCs w:val="24"/>
        </w:rPr>
        <w:t xml:space="preserve">Attachment </w:t>
      </w:r>
      <w:r w:rsidR="00EE3304">
        <w:rPr>
          <w:rFonts w:ascii="Calibri" w:hAnsi="Calibri"/>
          <w:sz w:val="24"/>
          <w:szCs w:val="24"/>
        </w:rPr>
        <w:t>4</w:t>
      </w:r>
      <w:r w:rsidRPr="00565A94">
        <w:rPr>
          <w:rFonts w:ascii="Calibri" w:hAnsi="Calibri"/>
          <w:sz w:val="24"/>
          <w:szCs w:val="24"/>
        </w:rPr>
        <w:t>e. Final Notice Email</w:t>
      </w:r>
    </w:p>
    <w:p w14:paraId="645FA28D" w14:textId="0F2D8D75" w:rsidR="00D22535" w:rsidRPr="00565A94" w:rsidRDefault="00D22535" w:rsidP="00E95AE9">
      <w:pPr>
        <w:spacing w:line="240" w:lineRule="auto"/>
        <w:rPr>
          <w:rFonts w:ascii="Calibri" w:hAnsi="Calibri"/>
          <w:sz w:val="24"/>
          <w:szCs w:val="24"/>
        </w:rPr>
      </w:pPr>
      <w:r w:rsidRPr="00565A94">
        <w:rPr>
          <w:rFonts w:ascii="Calibri" w:hAnsi="Calibri"/>
          <w:sz w:val="24"/>
          <w:szCs w:val="24"/>
        </w:rPr>
        <w:t xml:space="preserve">Attachment </w:t>
      </w:r>
      <w:r w:rsidR="00EE3304">
        <w:rPr>
          <w:rFonts w:ascii="Calibri" w:hAnsi="Calibri"/>
          <w:sz w:val="24"/>
          <w:szCs w:val="24"/>
        </w:rPr>
        <w:t>5</w:t>
      </w:r>
      <w:r w:rsidRPr="00565A94">
        <w:rPr>
          <w:rFonts w:ascii="Calibri" w:hAnsi="Calibri"/>
          <w:sz w:val="24"/>
          <w:szCs w:val="24"/>
        </w:rPr>
        <w:t xml:space="preserve">a. </w:t>
      </w:r>
      <w:r w:rsidR="000F31BD">
        <w:rPr>
          <w:rFonts w:ascii="Calibri" w:hAnsi="Calibri"/>
          <w:sz w:val="24"/>
          <w:szCs w:val="24"/>
        </w:rPr>
        <w:t xml:space="preserve">UNCOVER EH </w:t>
      </w:r>
      <w:r w:rsidRPr="00565A94">
        <w:rPr>
          <w:rFonts w:ascii="Calibri" w:hAnsi="Calibri"/>
          <w:sz w:val="24"/>
          <w:szCs w:val="24"/>
        </w:rPr>
        <w:t>Survey (text)</w:t>
      </w:r>
    </w:p>
    <w:p w14:paraId="43EBF189" w14:textId="2F8201BB" w:rsidR="00D22535" w:rsidRPr="00565A94" w:rsidRDefault="00D22535" w:rsidP="00E95AE9">
      <w:pPr>
        <w:spacing w:line="240" w:lineRule="auto"/>
        <w:rPr>
          <w:rFonts w:ascii="Calibri" w:hAnsi="Calibri"/>
          <w:sz w:val="24"/>
          <w:szCs w:val="24"/>
        </w:rPr>
      </w:pPr>
      <w:r w:rsidRPr="00565A94">
        <w:rPr>
          <w:rFonts w:ascii="Calibri" w:hAnsi="Calibri"/>
          <w:sz w:val="24"/>
          <w:szCs w:val="24"/>
        </w:rPr>
        <w:t xml:space="preserve">Attachment </w:t>
      </w:r>
      <w:r w:rsidR="00EE3304">
        <w:rPr>
          <w:rFonts w:ascii="Calibri" w:hAnsi="Calibri"/>
          <w:sz w:val="24"/>
          <w:szCs w:val="24"/>
        </w:rPr>
        <w:t>5</w:t>
      </w:r>
      <w:r w:rsidRPr="00565A94">
        <w:rPr>
          <w:rFonts w:ascii="Calibri" w:hAnsi="Calibri"/>
          <w:sz w:val="24"/>
          <w:szCs w:val="24"/>
        </w:rPr>
        <w:t xml:space="preserve">b. </w:t>
      </w:r>
      <w:r w:rsidR="000F31BD">
        <w:rPr>
          <w:rFonts w:ascii="Calibri" w:hAnsi="Calibri"/>
          <w:sz w:val="24"/>
          <w:szCs w:val="24"/>
        </w:rPr>
        <w:t>UNCOVER EH</w:t>
      </w:r>
      <w:r w:rsidR="000F31BD" w:rsidRPr="00E630C8">
        <w:rPr>
          <w:rFonts w:ascii="Calibri" w:hAnsi="Calibri"/>
          <w:sz w:val="24"/>
          <w:szCs w:val="24"/>
        </w:rPr>
        <w:t xml:space="preserve"> </w:t>
      </w:r>
      <w:r w:rsidRPr="00565A94">
        <w:rPr>
          <w:rFonts w:ascii="Calibri" w:hAnsi="Calibri"/>
          <w:sz w:val="24"/>
          <w:szCs w:val="24"/>
        </w:rPr>
        <w:t>Survey (online)</w:t>
      </w:r>
    </w:p>
    <w:p w14:paraId="349B31A3" w14:textId="0D249530" w:rsidR="006570C6" w:rsidRPr="00565A94" w:rsidRDefault="002F62D2" w:rsidP="00E95AE9">
      <w:pPr>
        <w:spacing w:line="240" w:lineRule="auto"/>
        <w:rPr>
          <w:rFonts w:ascii="Calibri" w:hAnsi="Calibri"/>
          <w:sz w:val="24"/>
          <w:szCs w:val="24"/>
        </w:rPr>
      </w:pPr>
      <w:r w:rsidRPr="00565A94">
        <w:rPr>
          <w:rFonts w:ascii="Calibri" w:hAnsi="Calibri"/>
          <w:sz w:val="24"/>
          <w:szCs w:val="24"/>
        </w:rPr>
        <w:t xml:space="preserve">Attachment </w:t>
      </w:r>
      <w:r w:rsidR="00EE3304">
        <w:rPr>
          <w:rFonts w:ascii="Calibri" w:hAnsi="Calibri"/>
          <w:sz w:val="24"/>
          <w:szCs w:val="24"/>
        </w:rPr>
        <w:t>6</w:t>
      </w:r>
      <w:r w:rsidR="00901E43" w:rsidRPr="00565A94">
        <w:rPr>
          <w:rFonts w:ascii="Calibri" w:hAnsi="Calibri"/>
          <w:sz w:val="24"/>
          <w:szCs w:val="24"/>
        </w:rPr>
        <w:t xml:space="preserve">. </w:t>
      </w:r>
      <w:r w:rsidR="00FD41CD">
        <w:rPr>
          <w:rFonts w:ascii="Calibri" w:hAnsi="Calibri"/>
          <w:sz w:val="24"/>
          <w:szCs w:val="24"/>
        </w:rPr>
        <w:t>Study</w:t>
      </w:r>
      <w:r w:rsidR="006D78BC" w:rsidRPr="00565A94">
        <w:rPr>
          <w:rFonts w:ascii="Calibri" w:hAnsi="Calibri"/>
          <w:sz w:val="24"/>
          <w:szCs w:val="24"/>
        </w:rPr>
        <w:t xml:space="preserve"> Protocol</w:t>
      </w:r>
    </w:p>
    <w:p w14:paraId="000E963E" w14:textId="65128722" w:rsidR="008C154D" w:rsidRPr="00D20211" w:rsidRDefault="00D97655" w:rsidP="00E95AE9">
      <w:pPr>
        <w:spacing w:line="240" w:lineRule="auto"/>
      </w:pPr>
      <w:r w:rsidRPr="00565A94">
        <w:rPr>
          <w:rFonts w:ascii="Calibri" w:hAnsi="Calibri"/>
          <w:sz w:val="24"/>
          <w:szCs w:val="24"/>
        </w:rPr>
        <w:t xml:space="preserve">Attachment </w:t>
      </w:r>
      <w:r w:rsidR="00EE3304">
        <w:rPr>
          <w:rFonts w:ascii="Calibri" w:hAnsi="Calibri"/>
          <w:sz w:val="24"/>
          <w:szCs w:val="24"/>
        </w:rPr>
        <w:t>7</w:t>
      </w:r>
      <w:r w:rsidRPr="00565A94">
        <w:rPr>
          <w:rFonts w:ascii="Calibri" w:hAnsi="Calibri"/>
          <w:sz w:val="24"/>
          <w:szCs w:val="24"/>
        </w:rPr>
        <w:t xml:space="preserve">. </w:t>
      </w:r>
      <w:r w:rsidR="006D78BC" w:rsidRPr="00565A94">
        <w:rPr>
          <w:rFonts w:ascii="Calibri" w:hAnsi="Calibri"/>
          <w:sz w:val="24"/>
          <w:szCs w:val="24"/>
        </w:rPr>
        <w:t xml:space="preserve">IRB </w:t>
      </w:r>
      <w:r w:rsidR="000343E5">
        <w:rPr>
          <w:rFonts w:ascii="Calibri" w:hAnsi="Calibri"/>
          <w:sz w:val="24"/>
          <w:szCs w:val="24"/>
        </w:rPr>
        <w:t>Exemption</w:t>
      </w:r>
      <w:r w:rsidR="006D78BC" w:rsidRPr="00565A94">
        <w:rPr>
          <w:rFonts w:ascii="Calibri" w:hAnsi="Calibri"/>
          <w:sz w:val="24"/>
          <w:szCs w:val="24"/>
        </w:rPr>
        <w:t xml:space="preserve"> </w:t>
      </w:r>
      <w:r w:rsidR="00B025CC">
        <w:rPr>
          <w:rFonts w:ascii="Calibri" w:hAnsi="Calibri"/>
          <w:sz w:val="24"/>
          <w:szCs w:val="24"/>
        </w:rPr>
        <w:t xml:space="preserve">Determination </w:t>
      </w:r>
      <w:r w:rsidR="006D78BC" w:rsidRPr="00565A94">
        <w:rPr>
          <w:rFonts w:ascii="Calibri" w:hAnsi="Calibri"/>
          <w:sz w:val="24"/>
          <w:szCs w:val="24"/>
        </w:rPr>
        <w:t>Letter</w:t>
      </w:r>
    </w:p>
    <w:sectPr w:rsidR="008C154D" w:rsidRPr="00D20211" w:rsidSect="00F91C3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30110" w14:textId="77777777" w:rsidR="006A353E" w:rsidRDefault="006A353E" w:rsidP="008B5D54">
      <w:r>
        <w:separator/>
      </w:r>
    </w:p>
  </w:endnote>
  <w:endnote w:type="continuationSeparator" w:id="0">
    <w:p w14:paraId="283D2C2D" w14:textId="77777777" w:rsidR="006A353E" w:rsidRDefault="006A353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ITCFranklinGothicStd-BookIt">
    <w:panose1 w:val="00000000000000000000"/>
    <w:charset w:val="00"/>
    <w:family w:val="swiss"/>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A171F" w14:textId="77777777" w:rsidR="006A353E" w:rsidRDefault="006A353E" w:rsidP="008B5D54">
      <w:r>
        <w:separator/>
      </w:r>
    </w:p>
  </w:footnote>
  <w:footnote w:type="continuationSeparator" w:id="0">
    <w:p w14:paraId="5896977D" w14:textId="77777777" w:rsidR="006A353E" w:rsidRDefault="006A353E"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D31D7"/>
    <w:multiLevelType w:val="hybridMultilevel"/>
    <w:tmpl w:val="D700B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06CA1"/>
    <w:multiLevelType w:val="hybridMultilevel"/>
    <w:tmpl w:val="21D66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9F7213F"/>
    <w:multiLevelType w:val="hybridMultilevel"/>
    <w:tmpl w:val="ADCE4E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115A75"/>
    <w:multiLevelType w:val="hybridMultilevel"/>
    <w:tmpl w:val="49F47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7"/>
  </w:num>
  <w:num w:numId="2">
    <w:abstractNumId w:val="29"/>
  </w:num>
  <w:num w:numId="3">
    <w:abstractNumId w:val="32"/>
  </w:num>
  <w:num w:numId="4">
    <w:abstractNumId w:val="4"/>
  </w:num>
  <w:num w:numId="5">
    <w:abstractNumId w:val="20"/>
  </w:num>
  <w:num w:numId="6">
    <w:abstractNumId w:val="0"/>
  </w:num>
  <w:num w:numId="7">
    <w:abstractNumId w:val="40"/>
  </w:num>
  <w:num w:numId="8">
    <w:abstractNumId w:val="27"/>
  </w:num>
  <w:num w:numId="9">
    <w:abstractNumId w:val="10"/>
  </w:num>
  <w:num w:numId="10">
    <w:abstractNumId w:val="41"/>
  </w:num>
  <w:num w:numId="11">
    <w:abstractNumId w:val="16"/>
  </w:num>
  <w:num w:numId="12">
    <w:abstractNumId w:val="26"/>
  </w:num>
  <w:num w:numId="13">
    <w:abstractNumId w:val="30"/>
  </w:num>
  <w:num w:numId="14">
    <w:abstractNumId w:val="1"/>
  </w:num>
  <w:num w:numId="15">
    <w:abstractNumId w:val="35"/>
  </w:num>
  <w:num w:numId="16">
    <w:abstractNumId w:val="5"/>
  </w:num>
  <w:num w:numId="17">
    <w:abstractNumId w:val="12"/>
  </w:num>
  <w:num w:numId="18">
    <w:abstractNumId w:val="28"/>
  </w:num>
  <w:num w:numId="19">
    <w:abstractNumId w:val="34"/>
  </w:num>
  <w:num w:numId="20">
    <w:abstractNumId w:val="23"/>
  </w:num>
  <w:num w:numId="21">
    <w:abstractNumId w:val="6"/>
  </w:num>
  <w:num w:numId="22">
    <w:abstractNumId w:val="36"/>
  </w:num>
  <w:num w:numId="23">
    <w:abstractNumId w:val="42"/>
  </w:num>
  <w:num w:numId="24">
    <w:abstractNumId w:val="9"/>
  </w:num>
  <w:num w:numId="25">
    <w:abstractNumId w:val="22"/>
  </w:num>
  <w:num w:numId="26">
    <w:abstractNumId w:val="8"/>
  </w:num>
  <w:num w:numId="27">
    <w:abstractNumId w:val="13"/>
  </w:num>
  <w:num w:numId="28">
    <w:abstractNumId w:val="24"/>
  </w:num>
  <w:num w:numId="29">
    <w:abstractNumId w:val="39"/>
  </w:num>
  <w:num w:numId="30">
    <w:abstractNumId w:val="7"/>
  </w:num>
  <w:num w:numId="31">
    <w:abstractNumId w:val="15"/>
  </w:num>
  <w:num w:numId="32">
    <w:abstractNumId w:val="33"/>
  </w:num>
  <w:num w:numId="33">
    <w:abstractNumId w:val="38"/>
  </w:num>
  <w:num w:numId="34">
    <w:abstractNumId w:val="19"/>
  </w:num>
  <w:num w:numId="35">
    <w:abstractNumId w:val="14"/>
  </w:num>
  <w:num w:numId="36">
    <w:abstractNumId w:val="2"/>
  </w:num>
  <w:num w:numId="37">
    <w:abstractNumId w:val="3"/>
  </w:num>
  <w:num w:numId="38">
    <w:abstractNumId w:val="21"/>
  </w:num>
  <w:num w:numId="39">
    <w:abstractNumId w:val="25"/>
  </w:num>
  <w:num w:numId="40">
    <w:abstractNumId w:val="37"/>
  </w:num>
  <w:num w:numId="41">
    <w:abstractNumId w:val="18"/>
  </w:num>
  <w:num w:numId="42">
    <w:abstractNumId w:val="31"/>
  </w:num>
  <w:num w:numId="4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1F18"/>
    <w:rsid w:val="0000219C"/>
    <w:rsid w:val="000056A8"/>
    <w:rsid w:val="0000689D"/>
    <w:rsid w:val="000071D1"/>
    <w:rsid w:val="0001093D"/>
    <w:rsid w:val="00013DB5"/>
    <w:rsid w:val="00015A15"/>
    <w:rsid w:val="000211D6"/>
    <w:rsid w:val="0002168F"/>
    <w:rsid w:val="00021EDD"/>
    <w:rsid w:val="00025C3D"/>
    <w:rsid w:val="00026800"/>
    <w:rsid w:val="000272F5"/>
    <w:rsid w:val="000273E9"/>
    <w:rsid w:val="00027B1B"/>
    <w:rsid w:val="000343E5"/>
    <w:rsid w:val="00037F21"/>
    <w:rsid w:val="00040E13"/>
    <w:rsid w:val="00040F4A"/>
    <w:rsid w:val="000436D2"/>
    <w:rsid w:val="00045A02"/>
    <w:rsid w:val="00047490"/>
    <w:rsid w:val="00051810"/>
    <w:rsid w:val="00051816"/>
    <w:rsid w:val="00051B38"/>
    <w:rsid w:val="00052B17"/>
    <w:rsid w:val="000543EE"/>
    <w:rsid w:val="00057DBB"/>
    <w:rsid w:val="00064766"/>
    <w:rsid w:val="00064BDD"/>
    <w:rsid w:val="00064EA7"/>
    <w:rsid w:val="00065509"/>
    <w:rsid w:val="000661ED"/>
    <w:rsid w:val="00070FCA"/>
    <w:rsid w:val="000712F6"/>
    <w:rsid w:val="00072010"/>
    <w:rsid w:val="00072DDD"/>
    <w:rsid w:val="00073427"/>
    <w:rsid w:val="00074B9B"/>
    <w:rsid w:val="00074BBD"/>
    <w:rsid w:val="00075A8C"/>
    <w:rsid w:val="00076C74"/>
    <w:rsid w:val="000771B9"/>
    <w:rsid w:val="0007753E"/>
    <w:rsid w:val="00087601"/>
    <w:rsid w:val="00091773"/>
    <w:rsid w:val="00094108"/>
    <w:rsid w:val="00094E12"/>
    <w:rsid w:val="000A0B44"/>
    <w:rsid w:val="000A16FA"/>
    <w:rsid w:val="000A204D"/>
    <w:rsid w:val="000A30A8"/>
    <w:rsid w:val="000A4BD7"/>
    <w:rsid w:val="000A5AC6"/>
    <w:rsid w:val="000A6B97"/>
    <w:rsid w:val="000A6E17"/>
    <w:rsid w:val="000A77B0"/>
    <w:rsid w:val="000B0207"/>
    <w:rsid w:val="000B14F2"/>
    <w:rsid w:val="000B38C7"/>
    <w:rsid w:val="000B56A0"/>
    <w:rsid w:val="000B76F0"/>
    <w:rsid w:val="000C1D55"/>
    <w:rsid w:val="000C31AF"/>
    <w:rsid w:val="000C365E"/>
    <w:rsid w:val="000C5B4F"/>
    <w:rsid w:val="000C6B97"/>
    <w:rsid w:val="000C6E8F"/>
    <w:rsid w:val="000D0B5F"/>
    <w:rsid w:val="000D1879"/>
    <w:rsid w:val="000D5748"/>
    <w:rsid w:val="000D7F27"/>
    <w:rsid w:val="000E5FB0"/>
    <w:rsid w:val="000E7805"/>
    <w:rsid w:val="000E78DE"/>
    <w:rsid w:val="000E7FAD"/>
    <w:rsid w:val="000F31BD"/>
    <w:rsid w:val="000F7CD2"/>
    <w:rsid w:val="00100D0E"/>
    <w:rsid w:val="00103DFD"/>
    <w:rsid w:val="00104051"/>
    <w:rsid w:val="00106836"/>
    <w:rsid w:val="00107476"/>
    <w:rsid w:val="00110D29"/>
    <w:rsid w:val="0011321F"/>
    <w:rsid w:val="00115F97"/>
    <w:rsid w:val="00116841"/>
    <w:rsid w:val="00117BB3"/>
    <w:rsid w:val="001232E4"/>
    <w:rsid w:val="00123A3D"/>
    <w:rsid w:val="00124561"/>
    <w:rsid w:val="00131112"/>
    <w:rsid w:val="001317DF"/>
    <w:rsid w:val="00132004"/>
    <w:rsid w:val="001324C6"/>
    <w:rsid w:val="0013396D"/>
    <w:rsid w:val="001346BF"/>
    <w:rsid w:val="00135693"/>
    <w:rsid w:val="001372DB"/>
    <w:rsid w:val="0013764F"/>
    <w:rsid w:val="0014151A"/>
    <w:rsid w:val="001417E6"/>
    <w:rsid w:val="00141AFF"/>
    <w:rsid w:val="00142483"/>
    <w:rsid w:val="00145547"/>
    <w:rsid w:val="00147AEA"/>
    <w:rsid w:val="00150025"/>
    <w:rsid w:val="0015103C"/>
    <w:rsid w:val="00151318"/>
    <w:rsid w:val="00152222"/>
    <w:rsid w:val="001568CF"/>
    <w:rsid w:val="00160A9B"/>
    <w:rsid w:val="001626E8"/>
    <w:rsid w:val="00163C21"/>
    <w:rsid w:val="00165452"/>
    <w:rsid w:val="00167360"/>
    <w:rsid w:val="00167A15"/>
    <w:rsid w:val="001727C1"/>
    <w:rsid w:val="00173CFE"/>
    <w:rsid w:val="00176AF4"/>
    <w:rsid w:val="00177ABE"/>
    <w:rsid w:val="001843CE"/>
    <w:rsid w:val="00185386"/>
    <w:rsid w:val="001855E3"/>
    <w:rsid w:val="001872E6"/>
    <w:rsid w:val="00196C12"/>
    <w:rsid w:val="001A15F9"/>
    <w:rsid w:val="001A3241"/>
    <w:rsid w:val="001A3A1E"/>
    <w:rsid w:val="001A4EF7"/>
    <w:rsid w:val="001A5EC6"/>
    <w:rsid w:val="001A69BA"/>
    <w:rsid w:val="001B2712"/>
    <w:rsid w:val="001B3522"/>
    <w:rsid w:val="001B5172"/>
    <w:rsid w:val="001C066E"/>
    <w:rsid w:val="001C1DD5"/>
    <w:rsid w:val="001C268C"/>
    <w:rsid w:val="001C27CC"/>
    <w:rsid w:val="001C3EBE"/>
    <w:rsid w:val="001D391B"/>
    <w:rsid w:val="001D4864"/>
    <w:rsid w:val="001D56E7"/>
    <w:rsid w:val="001D5770"/>
    <w:rsid w:val="001D75CC"/>
    <w:rsid w:val="001E16AB"/>
    <w:rsid w:val="001E26FA"/>
    <w:rsid w:val="001E27D7"/>
    <w:rsid w:val="001E595A"/>
    <w:rsid w:val="001E5E1E"/>
    <w:rsid w:val="001F0C92"/>
    <w:rsid w:val="001F19FD"/>
    <w:rsid w:val="001F1D97"/>
    <w:rsid w:val="001F23DF"/>
    <w:rsid w:val="001F3995"/>
    <w:rsid w:val="001F444D"/>
    <w:rsid w:val="001F4FFA"/>
    <w:rsid w:val="001F530C"/>
    <w:rsid w:val="001F53D2"/>
    <w:rsid w:val="001F5BDA"/>
    <w:rsid w:val="00201308"/>
    <w:rsid w:val="00203A62"/>
    <w:rsid w:val="00204C7F"/>
    <w:rsid w:val="00204DD3"/>
    <w:rsid w:val="002052BC"/>
    <w:rsid w:val="0020629A"/>
    <w:rsid w:val="002064EF"/>
    <w:rsid w:val="00206A3D"/>
    <w:rsid w:val="00206AAE"/>
    <w:rsid w:val="00215202"/>
    <w:rsid w:val="00216C03"/>
    <w:rsid w:val="002203E0"/>
    <w:rsid w:val="0022130D"/>
    <w:rsid w:val="00223E36"/>
    <w:rsid w:val="00227817"/>
    <w:rsid w:val="0023081C"/>
    <w:rsid w:val="00231951"/>
    <w:rsid w:val="00236267"/>
    <w:rsid w:val="0023630E"/>
    <w:rsid w:val="002369DA"/>
    <w:rsid w:val="002379B5"/>
    <w:rsid w:val="0024047A"/>
    <w:rsid w:val="00241A6A"/>
    <w:rsid w:val="0024399D"/>
    <w:rsid w:val="00244F46"/>
    <w:rsid w:val="00251433"/>
    <w:rsid w:val="00257CB9"/>
    <w:rsid w:val="002605A1"/>
    <w:rsid w:val="00261399"/>
    <w:rsid w:val="00265663"/>
    <w:rsid w:val="00265844"/>
    <w:rsid w:val="00271C0C"/>
    <w:rsid w:val="002732B9"/>
    <w:rsid w:val="00274D11"/>
    <w:rsid w:val="0027504B"/>
    <w:rsid w:val="00276439"/>
    <w:rsid w:val="002771FE"/>
    <w:rsid w:val="002836EB"/>
    <w:rsid w:val="00283881"/>
    <w:rsid w:val="0028491D"/>
    <w:rsid w:val="00287A8C"/>
    <w:rsid w:val="00287B5A"/>
    <w:rsid w:val="00290F85"/>
    <w:rsid w:val="002928DF"/>
    <w:rsid w:val="002930EC"/>
    <w:rsid w:val="00293D77"/>
    <w:rsid w:val="00294E11"/>
    <w:rsid w:val="0029620A"/>
    <w:rsid w:val="0029631C"/>
    <w:rsid w:val="00297929"/>
    <w:rsid w:val="002A1AB0"/>
    <w:rsid w:val="002B1D7C"/>
    <w:rsid w:val="002B23E5"/>
    <w:rsid w:val="002B4997"/>
    <w:rsid w:val="002C06A1"/>
    <w:rsid w:val="002C1279"/>
    <w:rsid w:val="002C2A8D"/>
    <w:rsid w:val="002C3819"/>
    <w:rsid w:val="002C581A"/>
    <w:rsid w:val="002C645E"/>
    <w:rsid w:val="002C6753"/>
    <w:rsid w:val="002D0850"/>
    <w:rsid w:val="002D3A9E"/>
    <w:rsid w:val="002D4F81"/>
    <w:rsid w:val="002E0397"/>
    <w:rsid w:val="002E0E5B"/>
    <w:rsid w:val="002E2E4E"/>
    <w:rsid w:val="002E2F0C"/>
    <w:rsid w:val="002E368A"/>
    <w:rsid w:val="002E3C81"/>
    <w:rsid w:val="002E4498"/>
    <w:rsid w:val="002E48A7"/>
    <w:rsid w:val="002E5606"/>
    <w:rsid w:val="002F1EC0"/>
    <w:rsid w:val="002F2AF0"/>
    <w:rsid w:val="002F3924"/>
    <w:rsid w:val="002F4A44"/>
    <w:rsid w:val="002F5A25"/>
    <w:rsid w:val="002F62D2"/>
    <w:rsid w:val="002F669E"/>
    <w:rsid w:val="00302CC4"/>
    <w:rsid w:val="00307FE7"/>
    <w:rsid w:val="003113D2"/>
    <w:rsid w:val="00316980"/>
    <w:rsid w:val="00317CBA"/>
    <w:rsid w:val="00320135"/>
    <w:rsid w:val="003210B3"/>
    <w:rsid w:val="00323C10"/>
    <w:rsid w:val="00323F97"/>
    <w:rsid w:val="003248A4"/>
    <w:rsid w:val="003263F1"/>
    <w:rsid w:val="00326844"/>
    <w:rsid w:val="00330703"/>
    <w:rsid w:val="00332993"/>
    <w:rsid w:val="00340E99"/>
    <w:rsid w:val="00342BA4"/>
    <w:rsid w:val="00344966"/>
    <w:rsid w:val="0034692B"/>
    <w:rsid w:val="00346C4C"/>
    <w:rsid w:val="00346E41"/>
    <w:rsid w:val="003506B8"/>
    <w:rsid w:val="003507B3"/>
    <w:rsid w:val="003532E0"/>
    <w:rsid w:val="00354A4E"/>
    <w:rsid w:val="00354E0E"/>
    <w:rsid w:val="00355B97"/>
    <w:rsid w:val="003562EA"/>
    <w:rsid w:val="00357FB5"/>
    <w:rsid w:val="00360896"/>
    <w:rsid w:val="00360BBB"/>
    <w:rsid w:val="00361201"/>
    <w:rsid w:val="00361AF0"/>
    <w:rsid w:val="003648A2"/>
    <w:rsid w:val="00364CCC"/>
    <w:rsid w:val="0036566F"/>
    <w:rsid w:val="00365B89"/>
    <w:rsid w:val="00370207"/>
    <w:rsid w:val="003712EB"/>
    <w:rsid w:val="00373456"/>
    <w:rsid w:val="00377868"/>
    <w:rsid w:val="003810E2"/>
    <w:rsid w:val="00382C09"/>
    <w:rsid w:val="00383848"/>
    <w:rsid w:val="00385207"/>
    <w:rsid w:val="00386C3A"/>
    <w:rsid w:val="00387C4A"/>
    <w:rsid w:val="00390B2D"/>
    <w:rsid w:val="00391007"/>
    <w:rsid w:val="00391972"/>
    <w:rsid w:val="003924FB"/>
    <w:rsid w:val="00393492"/>
    <w:rsid w:val="00393533"/>
    <w:rsid w:val="00396F19"/>
    <w:rsid w:val="003A007B"/>
    <w:rsid w:val="003A0349"/>
    <w:rsid w:val="003A2F76"/>
    <w:rsid w:val="003A3157"/>
    <w:rsid w:val="003A3339"/>
    <w:rsid w:val="003A3FD1"/>
    <w:rsid w:val="003A4B8F"/>
    <w:rsid w:val="003A5DD1"/>
    <w:rsid w:val="003B1968"/>
    <w:rsid w:val="003B2A57"/>
    <w:rsid w:val="003B3057"/>
    <w:rsid w:val="003B5881"/>
    <w:rsid w:val="003B67A3"/>
    <w:rsid w:val="003C0795"/>
    <w:rsid w:val="003C0CED"/>
    <w:rsid w:val="003C21A1"/>
    <w:rsid w:val="003C2B28"/>
    <w:rsid w:val="003C30AB"/>
    <w:rsid w:val="003C4886"/>
    <w:rsid w:val="003C530B"/>
    <w:rsid w:val="003D1A64"/>
    <w:rsid w:val="003D21E9"/>
    <w:rsid w:val="003D3E78"/>
    <w:rsid w:val="003D702E"/>
    <w:rsid w:val="003D7C7F"/>
    <w:rsid w:val="003E050F"/>
    <w:rsid w:val="003E092D"/>
    <w:rsid w:val="003E5125"/>
    <w:rsid w:val="003E7D3C"/>
    <w:rsid w:val="003F1F5A"/>
    <w:rsid w:val="003F2C06"/>
    <w:rsid w:val="003F39D2"/>
    <w:rsid w:val="003F51BF"/>
    <w:rsid w:val="003F612D"/>
    <w:rsid w:val="003F6A54"/>
    <w:rsid w:val="003F7043"/>
    <w:rsid w:val="004022E3"/>
    <w:rsid w:val="00403C61"/>
    <w:rsid w:val="0040594D"/>
    <w:rsid w:val="004060CE"/>
    <w:rsid w:val="00407B3E"/>
    <w:rsid w:val="00407D18"/>
    <w:rsid w:val="00411D9C"/>
    <w:rsid w:val="00413951"/>
    <w:rsid w:val="00414DBD"/>
    <w:rsid w:val="004154B7"/>
    <w:rsid w:val="00416242"/>
    <w:rsid w:val="00416F68"/>
    <w:rsid w:val="00420102"/>
    <w:rsid w:val="00420353"/>
    <w:rsid w:val="004236A9"/>
    <w:rsid w:val="0042567B"/>
    <w:rsid w:val="00425FE3"/>
    <w:rsid w:val="004302E3"/>
    <w:rsid w:val="004302E9"/>
    <w:rsid w:val="00434368"/>
    <w:rsid w:val="00434825"/>
    <w:rsid w:val="00434990"/>
    <w:rsid w:val="00434A3F"/>
    <w:rsid w:val="00436064"/>
    <w:rsid w:val="004417A7"/>
    <w:rsid w:val="00441874"/>
    <w:rsid w:val="0044654D"/>
    <w:rsid w:val="0044724D"/>
    <w:rsid w:val="004514E4"/>
    <w:rsid w:val="00451BBD"/>
    <w:rsid w:val="00455158"/>
    <w:rsid w:val="00455277"/>
    <w:rsid w:val="004556A8"/>
    <w:rsid w:val="004558AD"/>
    <w:rsid w:val="0045732D"/>
    <w:rsid w:val="0045780B"/>
    <w:rsid w:val="00462755"/>
    <w:rsid w:val="00462CB7"/>
    <w:rsid w:val="00463291"/>
    <w:rsid w:val="004654B2"/>
    <w:rsid w:val="00465813"/>
    <w:rsid w:val="004677EB"/>
    <w:rsid w:val="00471087"/>
    <w:rsid w:val="0047476D"/>
    <w:rsid w:val="004759D2"/>
    <w:rsid w:val="0047610D"/>
    <w:rsid w:val="00476284"/>
    <w:rsid w:val="00476CEE"/>
    <w:rsid w:val="0047778A"/>
    <w:rsid w:val="00477BB5"/>
    <w:rsid w:val="0048092D"/>
    <w:rsid w:val="00480FC6"/>
    <w:rsid w:val="004834F8"/>
    <w:rsid w:val="00483999"/>
    <w:rsid w:val="00483E2D"/>
    <w:rsid w:val="004863C6"/>
    <w:rsid w:val="00487E8A"/>
    <w:rsid w:val="0049091C"/>
    <w:rsid w:val="00491470"/>
    <w:rsid w:val="004939F0"/>
    <w:rsid w:val="00495D77"/>
    <w:rsid w:val="00496470"/>
    <w:rsid w:val="00496C37"/>
    <w:rsid w:val="004976CC"/>
    <w:rsid w:val="00497E87"/>
    <w:rsid w:val="00497FEC"/>
    <w:rsid w:val="004A0C8C"/>
    <w:rsid w:val="004A1ACD"/>
    <w:rsid w:val="004A3C34"/>
    <w:rsid w:val="004A555F"/>
    <w:rsid w:val="004A61E9"/>
    <w:rsid w:val="004A7B18"/>
    <w:rsid w:val="004B091D"/>
    <w:rsid w:val="004B1388"/>
    <w:rsid w:val="004B1E79"/>
    <w:rsid w:val="004B2746"/>
    <w:rsid w:val="004B3567"/>
    <w:rsid w:val="004B69EF"/>
    <w:rsid w:val="004B7E0F"/>
    <w:rsid w:val="004C37C5"/>
    <w:rsid w:val="004C3A6C"/>
    <w:rsid w:val="004C65D5"/>
    <w:rsid w:val="004C78BB"/>
    <w:rsid w:val="004D194E"/>
    <w:rsid w:val="004D21C9"/>
    <w:rsid w:val="004D3245"/>
    <w:rsid w:val="004D621C"/>
    <w:rsid w:val="004D6B87"/>
    <w:rsid w:val="004D7237"/>
    <w:rsid w:val="004E1D4C"/>
    <w:rsid w:val="004E29A9"/>
    <w:rsid w:val="004E3771"/>
    <w:rsid w:val="004E3E94"/>
    <w:rsid w:val="004E3F14"/>
    <w:rsid w:val="004E3F29"/>
    <w:rsid w:val="004E40CE"/>
    <w:rsid w:val="004E4E7F"/>
    <w:rsid w:val="004E580C"/>
    <w:rsid w:val="004E5B73"/>
    <w:rsid w:val="004E62B1"/>
    <w:rsid w:val="004E7FB2"/>
    <w:rsid w:val="004F0165"/>
    <w:rsid w:val="004F1D6F"/>
    <w:rsid w:val="004F3917"/>
    <w:rsid w:val="004F58E9"/>
    <w:rsid w:val="004F6350"/>
    <w:rsid w:val="004F7591"/>
    <w:rsid w:val="004F771E"/>
    <w:rsid w:val="005024FE"/>
    <w:rsid w:val="00513F80"/>
    <w:rsid w:val="0051498C"/>
    <w:rsid w:val="005174A9"/>
    <w:rsid w:val="00523A2A"/>
    <w:rsid w:val="00523CED"/>
    <w:rsid w:val="00524D01"/>
    <w:rsid w:val="00525695"/>
    <w:rsid w:val="00526644"/>
    <w:rsid w:val="005337BC"/>
    <w:rsid w:val="00535F0D"/>
    <w:rsid w:val="0054047D"/>
    <w:rsid w:val="0054053A"/>
    <w:rsid w:val="005407DB"/>
    <w:rsid w:val="00541808"/>
    <w:rsid w:val="00543DCF"/>
    <w:rsid w:val="00544418"/>
    <w:rsid w:val="005459BB"/>
    <w:rsid w:val="00546330"/>
    <w:rsid w:val="00546E3E"/>
    <w:rsid w:val="00547ACF"/>
    <w:rsid w:val="0055030C"/>
    <w:rsid w:val="00551931"/>
    <w:rsid w:val="005612A6"/>
    <w:rsid w:val="005632B3"/>
    <w:rsid w:val="00564BCC"/>
    <w:rsid w:val="005655A6"/>
    <w:rsid w:val="00565A94"/>
    <w:rsid w:val="00566D2A"/>
    <w:rsid w:val="00571A36"/>
    <w:rsid w:val="00571BF8"/>
    <w:rsid w:val="00572450"/>
    <w:rsid w:val="005773F6"/>
    <w:rsid w:val="00581C29"/>
    <w:rsid w:val="0058290A"/>
    <w:rsid w:val="00583B69"/>
    <w:rsid w:val="00585152"/>
    <w:rsid w:val="00586E42"/>
    <w:rsid w:val="00587B77"/>
    <w:rsid w:val="005918F7"/>
    <w:rsid w:val="00597B55"/>
    <w:rsid w:val="005A033A"/>
    <w:rsid w:val="005A1459"/>
    <w:rsid w:val="005A1E38"/>
    <w:rsid w:val="005A5FA1"/>
    <w:rsid w:val="005B03EC"/>
    <w:rsid w:val="005B07B8"/>
    <w:rsid w:val="005B191C"/>
    <w:rsid w:val="005B610F"/>
    <w:rsid w:val="005B6E20"/>
    <w:rsid w:val="005B6E55"/>
    <w:rsid w:val="005B7771"/>
    <w:rsid w:val="005C193F"/>
    <w:rsid w:val="005C33C7"/>
    <w:rsid w:val="005C34DF"/>
    <w:rsid w:val="005C465C"/>
    <w:rsid w:val="005C7CF0"/>
    <w:rsid w:val="005D20E9"/>
    <w:rsid w:val="005D31AE"/>
    <w:rsid w:val="005D43DE"/>
    <w:rsid w:val="005D5795"/>
    <w:rsid w:val="005E0AD5"/>
    <w:rsid w:val="005E5CD4"/>
    <w:rsid w:val="005E69D1"/>
    <w:rsid w:val="005E7081"/>
    <w:rsid w:val="005E7243"/>
    <w:rsid w:val="005F0539"/>
    <w:rsid w:val="005F0B3C"/>
    <w:rsid w:val="00601F1A"/>
    <w:rsid w:val="00603210"/>
    <w:rsid w:val="0060347C"/>
    <w:rsid w:val="00603C64"/>
    <w:rsid w:val="006065B9"/>
    <w:rsid w:val="00606634"/>
    <w:rsid w:val="00610DFB"/>
    <w:rsid w:val="00611F76"/>
    <w:rsid w:val="00612850"/>
    <w:rsid w:val="0061321F"/>
    <w:rsid w:val="00614A15"/>
    <w:rsid w:val="00614ABC"/>
    <w:rsid w:val="00617C0E"/>
    <w:rsid w:val="006206E1"/>
    <w:rsid w:val="006223BF"/>
    <w:rsid w:val="00622684"/>
    <w:rsid w:val="00622886"/>
    <w:rsid w:val="00623105"/>
    <w:rsid w:val="00623EE7"/>
    <w:rsid w:val="006253E1"/>
    <w:rsid w:val="006316B5"/>
    <w:rsid w:val="006319F4"/>
    <w:rsid w:val="006322DF"/>
    <w:rsid w:val="00633500"/>
    <w:rsid w:val="0063415A"/>
    <w:rsid w:val="00635C5B"/>
    <w:rsid w:val="00637075"/>
    <w:rsid w:val="00637DF7"/>
    <w:rsid w:val="00637EE0"/>
    <w:rsid w:val="0064011A"/>
    <w:rsid w:val="00640183"/>
    <w:rsid w:val="0064474F"/>
    <w:rsid w:val="006462D0"/>
    <w:rsid w:val="006471EF"/>
    <w:rsid w:val="00647EBF"/>
    <w:rsid w:val="00651B40"/>
    <w:rsid w:val="00653F5D"/>
    <w:rsid w:val="00654A1D"/>
    <w:rsid w:val="006562A8"/>
    <w:rsid w:val="006570C6"/>
    <w:rsid w:val="00660E77"/>
    <w:rsid w:val="00664763"/>
    <w:rsid w:val="00664ABF"/>
    <w:rsid w:val="00665135"/>
    <w:rsid w:val="00666272"/>
    <w:rsid w:val="0066775F"/>
    <w:rsid w:val="0068062A"/>
    <w:rsid w:val="006806D2"/>
    <w:rsid w:val="00681BC2"/>
    <w:rsid w:val="00684E9A"/>
    <w:rsid w:val="006851AD"/>
    <w:rsid w:val="006971FA"/>
    <w:rsid w:val="006A10FE"/>
    <w:rsid w:val="006A1A5D"/>
    <w:rsid w:val="006A1CC4"/>
    <w:rsid w:val="006A1D99"/>
    <w:rsid w:val="006A353E"/>
    <w:rsid w:val="006B0E2B"/>
    <w:rsid w:val="006B1DA6"/>
    <w:rsid w:val="006B3ACC"/>
    <w:rsid w:val="006B486C"/>
    <w:rsid w:val="006B5B71"/>
    <w:rsid w:val="006B6A68"/>
    <w:rsid w:val="006B7E68"/>
    <w:rsid w:val="006C00B3"/>
    <w:rsid w:val="006C307E"/>
    <w:rsid w:val="006C448B"/>
    <w:rsid w:val="006C4FDD"/>
    <w:rsid w:val="006C51A7"/>
    <w:rsid w:val="006C6445"/>
    <w:rsid w:val="006C6578"/>
    <w:rsid w:val="006C6939"/>
    <w:rsid w:val="006C6F2C"/>
    <w:rsid w:val="006D0C1E"/>
    <w:rsid w:val="006D1B41"/>
    <w:rsid w:val="006D35F6"/>
    <w:rsid w:val="006D3D2C"/>
    <w:rsid w:val="006D432C"/>
    <w:rsid w:val="006D4FB7"/>
    <w:rsid w:val="006D4FE4"/>
    <w:rsid w:val="006D51D6"/>
    <w:rsid w:val="006D701F"/>
    <w:rsid w:val="006D78BC"/>
    <w:rsid w:val="006E121E"/>
    <w:rsid w:val="006E324A"/>
    <w:rsid w:val="006E334B"/>
    <w:rsid w:val="006E74A4"/>
    <w:rsid w:val="006F125A"/>
    <w:rsid w:val="006F2B95"/>
    <w:rsid w:val="006F4026"/>
    <w:rsid w:val="006F5C8E"/>
    <w:rsid w:val="006F66B2"/>
    <w:rsid w:val="0070060E"/>
    <w:rsid w:val="00702423"/>
    <w:rsid w:val="00702996"/>
    <w:rsid w:val="00702BFD"/>
    <w:rsid w:val="00710401"/>
    <w:rsid w:val="00712A80"/>
    <w:rsid w:val="007157E4"/>
    <w:rsid w:val="007169A5"/>
    <w:rsid w:val="0072106B"/>
    <w:rsid w:val="00723925"/>
    <w:rsid w:val="0072405E"/>
    <w:rsid w:val="00725912"/>
    <w:rsid w:val="0072632D"/>
    <w:rsid w:val="00726E14"/>
    <w:rsid w:val="00727EDB"/>
    <w:rsid w:val="00734F65"/>
    <w:rsid w:val="00740EDF"/>
    <w:rsid w:val="00741AA1"/>
    <w:rsid w:val="007504EA"/>
    <w:rsid w:val="00752F17"/>
    <w:rsid w:val="007532D4"/>
    <w:rsid w:val="007541E5"/>
    <w:rsid w:val="00754C47"/>
    <w:rsid w:val="00754F1A"/>
    <w:rsid w:val="00755987"/>
    <w:rsid w:val="007565A5"/>
    <w:rsid w:val="0076058B"/>
    <w:rsid w:val="007620ED"/>
    <w:rsid w:val="00770EEA"/>
    <w:rsid w:val="00771A9A"/>
    <w:rsid w:val="007756CB"/>
    <w:rsid w:val="007829B4"/>
    <w:rsid w:val="0078375D"/>
    <w:rsid w:val="00783896"/>
    <w:rsid w:val="00784D08"/>
    <w:rsid w:val="00786431"/>
    <w:rsid w:val="00787E64"/>
    <w:rsid w:val="00790966"/>
    <w:rsid w:val="0079260A"/>
    <w:rsid w:val="00794160"/>
    <w:rsid w:val="00797B1C"/>
    <w:rsid w:val="007A0F74"/>
    <w:rsid w:val="007A2363"/>
    <w:rsid w:val="007A4BAC"/>
    <w:rsid w:val="007A4DC2"/>
    <w:rsid w:val="007A5A11"/>
    <w:rsid w:val="007A5A47"/>
    <w:rsid w:val="007A6725"/>
    <w:rsid w:val="007A7A76"/>
    <w:rsid w:val="007B0C0B"/>
    <w:rsid w:val="007B1E0A"/>
    <w:rsid w:val="007B5185"/>
    <w:rsid w:val="007B5AA7"/>
    <w:rsid w:val="007C145D"/>
    <w:rsid w:val="007C25FE"/>
    <w:rsid w:val="007C46F5"/>
    <w:rsid w:val="007C64C2"/>
    <w:rsid w:val="007D206B"/>
    <w:rsid w:val="007D3978"/>
    <w:rsid w:val="007D4F53"/>
    <w:rsid w:val="007D55AD"/>
    <w:rsid w:val="007E36E8"/>
    <w:rsid w:val="007E4C0D"/>
    <w:rsid w:val="007E6427"/>
    <w:rsid w:val="007F1D07"/>
    <w:rsid w:val="007F2951"/>
    <w:rsid w:val="007F3330"/>
    <w:rsid w:val="007F4274"/>
    <w:rsid w:val="007F6841"/>
    <w:rsid w:val="007F6CB2"/>
    <w:rsid w:val="0080091A"/>
    <w:rsid w:val="00803390"/>
    <w:rsid w:val="00807133"/>
    <w:rsid w:val="00810E18"/>
    <w:rsid w:val="008126DB"/>
    <w:rsid w:val="00814D4A"/>
    <w:rsid w:val="00817403"/>
    <w:rsid w:val="00817922"/>
    <w:rsid w:val="00820B83"/>
    <w:rsid w:val="00820DBF"/>
    <w:rsid w:val="00821207"/>
    <w:rsid w:val="00821A81"/>
    <w:rsid w:val="0082222A"/>
    <w:rsid w:val="0082388A"/>
    <w:rsid w:val="00824698"/>
    <w:rsid w:val="008266BD"/>
    <w:rsid w:val="00827064"/>
    <w:rsid w:val="00830EB8"/>
    <w:rsid w:val="00832978"/>
    <w:rsid w:val="00832C83"/>
    <w:rsid w:val="0083405E"/>
    <w:rsid w:val="00834E94"/>
    <w:rsid w:val="00837166"/>
    <w:rsid w:val="00837C67"/>
    <w:rsid w:val="00841F6B"/>
    <w:rsid w:val="0084398E"/>
    <w:rsid w:val="00845576"/>
    <w:rsid w:val="008458FA"/>
    <w:rsid w:val="00846F82"/>
    <w:rsid w:val="00847DB7"/>
    <w:rsid w:val="0085194F"/>
    <w:rsid w:val="00853428"/>
    <w:rsid w:val="00853C63"/>
    <w:rsid w:val="00861D3A"/>
    <w:rsid w:val="00861EB6"/>
    <w:rsid w:val="008626B0"/>
    <w:rsid w:val="0086416C"/>
    <w:rsid w:val="008705D5"/>
    <w:rsid w:val="008734A9"/>
    <w:rsid w:val="00874329"/>
    <w:rsid w:val="00877537"/>
    <w:rsid w:val="00877F7C"/>
    <w:rsid w:val="00882456"/>
    <w:rsid w:val="00882793"/>
    <w:rsid w:val="00882D1A"/>
    <w:rsid w:val="008835A7"/>
    <w:rsid w:val="00887415"/>
    <w:rsid w:val="008935A8"/>
    <w:rsid w:val="008960B8"/>
    <w:rsid w:val="0089651E"/>
    <w:rsid w:val="008978BE"/>
    <w:rsid w:val="008A0E33"/>
    <w:rsid w:val="008A254B"/>
    <w:rsid w:val="008A6EA6"/>
    <w:rsid w:val="008A7BF0"/>
    <w:rsid w:val="008B5D54"/>
    <w:rsid w:val="008B6A7E"/>
    <w:rsid w:val="008C0292"/>
    <w:rsid w:val="008C0677"/>
    <w:rsid w:val="008C154D"/>
    <w:rsid w:val="008C36BB"/>
    <w:rsid w:val="008C46E9"/>
    <w:rsid w:val="008C6811"/>
    <w:rsid w:val="008D1AE4"/>
    <w:rsid w:val="008D51C6"/>
    <w:rsid w:val="008D678D"/>
    <w:rsid w:val="008E1058"/>
    <w:rsid w:val="008E3A6C"/>
    <w:rsid w:val="008E47E6"/>
    <w:rsid w:val="008E49FD"/>
    <w:rsid w:val="008E7A31"/>
    <w:rsid w:val="008F0707"/>
    <w:rsid w:val="008F26E1"/>
    <w:rsid w:val="008F6917"/>
    <w:rsid w:val="008F6D26"/>
    <w:rsid w:val="008F6E48"/>
    <w:rsid w:val="0090078A"/>
    <w:rsid w:val="00901E43"/>
    <w:rsid w:val="00904FB6"/>
    <w:rsid w:val="0090515B"/>
    <w:rsid w:val="00906B16"/>
    <w:rsid w:val="009123C4"/>
    <w:rsid w:val="00912925"/>
    <w:rsid w:val="0091320B"/>
    <w:rsid w:val="00913909"/>
    <w:rsid w:val="00914007"/>
    <w:rsid w:val="00914AB8"/>
    <w:rsid w:val="00915629"/>
    <w:rsid w:val="009163A4"/>
    <w:rsid w:val="0091651D"/>
    <w:rsid w:val="00925F13"/>
    <w:rsid w:val="00930D68"/>
    <w:rsid w:val="00932BF5"/>
    <w:rsid w:val="009363D4"/>
    <w:rsid w:val="009379A8"/>
    <w:rsid w:val="00940376"/>
    <w:rsid w:val="00943FCF"/>
    <w:rsid w:val="009516F3"/>
    <w:rsid w:val="00952BF9"/>
    <w:rsid w:val="009535EC"/>
    <w:rsid w:val="009577A5"/>
    <w:rsid w:val="009607D8"/>
    <w:rsid w:val="00962A73"/>
    <w:rsid w:val="00963A1F"/>
    <w:rsid w:val="00964A21"/>
    <w:rsid w:val="00964F8C"/>
    <w:rsid w:val="00965C2A"/>
    <w:rsid w:val="00975121"/>
    <w:rsid w:val="009758DC"/>
    <w:rsid w:val="00976EBB"/>
    <w:rsid w:val="00981176"/>
    <w:rsid w:val="00983785"/>
    <w:rsid w:val="00987961"/>
    <w:rsid w:val="009926BB"/>
    <w:rsid w:val="00993D9A"/>
    <w:rsid w:val="009948CC"/>
    <w:rsid w:val="009977B4"/>
    <w:rsid w:val="009A107B"/>
    <w:rsid w:val="009A1419"/>
    <w:rsid w:val="009A379F"/>
    <w:rsid w:val="009A4B6B"/>
    <w:rsid w:val="009A50C9"/>
    <w:rsid w:val="009A57A2"/>
    <w:rsid w:val="009B26BF"/>
    <w:rsid w:val="009B3991"/>
    <w:rsid w:val="009B46AF"/>
    <w:rsid w:val="009B48A2"/>
    <w:rsid w:val="009B4E9B"/>
    <w:rsid w:val="009B6C89"/>
    <w:rsid w:val="009B6DBA"/>
    <w:rsid w:val="009B765E"/>
    <w:rsid w:val="009C452C"/>
    <w:rsid w:val="009C4626"/>
    <w:rsid w:val="009C49EF"/>
    <w:rsid w:val="009C654B"/>
    <w:rsid w:val="009C7ACF"/>
    <w:rsid w:val="009D0E27"/>
    <w:rsid w:val="009D17A8"/>
    <w:rsid w:val="009D2718"/>
    <w:rsid w:val="009D3032"/>
    <w:rsid w:val="009D31F6"/>
    <w:rsid w:val="009D6EBD"/>
    <w:rsid w:val="009D75DF"/>
    <w:rsid w:val="009D7F7F"/>
    <w:rsid w:val="009E0134"/>
    <w:rsid w:val="009E313A"/>
    <w:rsid w:val="009E4B22"/>
    <w:rsid w:val="009E7B1B"/>
    <w:rsid w:val="009F0943"/>
    <w:rsid w:val="009F1401"/>
    <w:rsid w:val="00A007C5"/>
    <w:rsid w:val="00A035BA"/>
    <w:rsid w:val="00A053EE"/>
    <w:rsid w:val="00A063A7"/>
    <w:rsid w:val="00A10A8C"/>
    <w:rsid w:val="00A13158"/>
    <w:rsid w:val="00A131F4"/>
    <w:rsid w:val="00A148A3"/>
    <w:rsid w:val="00A150EF"/>
    <w:rsid w:val="00A22372"/>
    <w:rsid w:val="00A22B44"/>
    <w:rsid w:val="00A22E60"/>
    <w:rsid w:val="00A23FDC"/>
    <w:rsid w:val="00A269C0"/>
    <w:rsid w:val="00A30192"/>
    <w:rsid w:val="00A321C9"/>
    <w:rsid w:val="00A322B2"/>
    <w:rsid w:val="00A32507"/>
    <w:rsid w:val="00A339D2"/>
    <w:rsid w:val="00A366C8"/>
    <w:rsid w:val="00A36D2C"/>
    <w:rsid w:val="00A40E0B"/>
    <w:rsid w:val="00A414FE"/>
    <w:rsid w:val="00A42D2D"/>
    <w:rsid w:val="00A43C9D"/>
    <w:rsid w:val="00A446D4"/>
    <w:rsid w:val="00A45AE6"/>
    <w:rsid w:val="00A51051"/>
    <w:rsid w:val="00A52644"/>
    <w:rsid w:val="00A53938"/>
    <w:rsid w:val="00A54359"/>
    <w:rsid w:val="00A561BB"/>
    <w:rsid w:val="00A6012F"/>
    <w:rsid w:val="00A609A6"/>
    <w:rsid w:val="00A635F0"/>
    <w:rsid w:val="00A64299"/>
    <w:rsid w:val="00A65244"/>
    <w:rsid w:val="00A6592C"/>
    <w:rsid w:val="00A65BAD"/>
    <w:rsid w:val="00A664B4"/>
    <w:rsid w:val="00A6728E"/>
    <w:rsid w:val="00A70A6F"/>
    <w:rsid w:val="00A71627"/>
    <w:rsid w:val="00A72871"/>
    <w:rsid w:val="00A72A15"/>
    <w:rsid w:val="00A737CE"/>
    <w:rsid w:val="00A753B6"/>
    <w:rsid w:val="00A770FA"/>
    <w:rsid w:val="00A81AAF"/>
    <w:rsid w:val="00A82016"/>
    <w:rsid w:val="00A84859"/>
    <w:rsid w:val="00A85F25"/>
    <w:rsid w:val="00A866D5"/>
    <w:rsid w:val="00A92354"/>
    <w:rsid w:val="00A92652"/>
    <w:rsid w:val="00A931CD"/>
    <w:rsid w:val="00A94610"/>
    <w:rsid w:val="00A96C71"/>
    <w:rsid w:val="00A96F70"/>
    <w:rsid w:val="00AA03E9"/>
    <w:rsid w:val="00AA0FCE"/>
    <w:rsid w:val="00AA130E"/>
    <w:rsid w:val="00AA2343"/>
    <w:rsid w:val="00AA2F28"/>
    <w:rsid w:val="00AA34C6"/>
    <w:rsid w:val="00AA54F3"/>
    <w:rsid w:val="00AB09FF"/>
    <w:rsid w:val="00AB12D6"/>
    <w:rsid w:val="00AB18A6"/>
    <w:rsid w:val="00AB2DFE"/>
    <w:rsid w:val="00AB3C31"/>
    <w:rsid w:val="00AB3CEB"/>
    <w:rsid w:val="00AB46DB"/>
    <w:rsid w:val="00AC0E0C"/>
    <w:rsid w:val="00AC4C7D"/>
    <w:rsid w:val="00AC4E2F"/>
    <w:rsid w:val="00AC5BD1"/>
    <w:rsid w:val="00AC62CC"/>
    <w:rsid w:val="00AC76C2"/>
    <w:rsid w:val="00AD362D"/>
    <w:rsid w:val="00AD4E9D"/>
    <w:rsid w:val="00AD5E41"/>
    <w:rsid w:val="00AD6A63"/>
    <w:rsid w:val="00AD7FE9"/>
    <w:rsid w:val="00AE0D6C"/>
    <w:rsid w:val="00AE1D9F"/>
    <w:rsid w:val="00AE3B4D"/>
    <w:rsid w:val="00AE4BB7"/>
    <w:rsid w:val="00AE5246"/>
    <w:rsid w:val="00AE5F50"/>
    <w:rsid w:val="00AF0689"/>
    <w:rsid w:val="00AF1B8F"/>
    <w:rsid w:val="00AF2591"/>
    <w:rsid w:val="00AF3796"/>
    <w:rsid w:val="00AF72A5"/>
    <w:rsid w:val="00AF7E84"/>
    <w:rsid w:val="00B025CC"/>
    <w:rsid w:val="00B02A88"/>
    <w:rsid w:val="00B04C37"/>
    <w:rsid w:val="00B04CD7"/>
    <w:rsid w:val="00B10E0C"/>
    <w:rsid w:val="00B128A4"/>
    <w:rsid w:val="00B15E05"/>
    <w:rsid w:val="00B209BD"/>
    <w:rsid w:val="00B20F3A"/>
    <w:rsid w:val="00B2287C"/>
    <w:rsid w:val="00B266F0"/>
    <w:rsid w:val="00B3208C"/>
    <w:rsid w:val="00B3235B"/>
    <w:rsid w:val="00B32586"/>
    <w:rsid w:val="00B3437C"/>
    <w:rsid w:val="00B362F9"/>
    <w:rsid w:val="00B405D8"/>
    <w:rsid w:val="00B40DFF"/>
    <w:rsid w:val="00B45002"/>
    <w:rsid w:val="00B45134"/>
    <w:rsid w:val="00B45779"/>
    <w:rsid w:val="00B459A6"/>
    <w:rsid w:val="00B4706E"/>
    <w:rsid w:val="00B4734F"/>
    <w:rsid w:val="00B5095A"/>
    <w:rsid w:val="00B50EA9"/>
    <w:rsid w:val="00B515D2"/>
    <w:rsid w:val="00B5263F"/>
    <w:rsid w:val="00B533D7"/>
    <w:rsid w:val="00B53975"/>
    <w:rsid w:val="00B55735"/>
    <w:rsid w:val="00B56E8A"/>
    <w:rsid w:val="00B572CF"/>
    <w:rsid w:val="00B608AC"/>
    <w:rsid w:val="00B62148"/>
    <w:rsid w:val="00B64F7D"/>
    <w:rsid w:val="00B655CA"/>
    <w:rsid w:val="00B65C2F"/>
    <w:rsid w:val="00B65C54"/>
    <w:rsid w:val="00B67D13"/>
    <w:rsid w:val="00B715A4"/>
    <w:rsid w:val="00B71CC6"/>
    <w:rsid w:val="00B7374E"/>
    <w:rsid w:val="00B75CBD"/>
    <w:rsid w:val="00B779D4"/>
    <w:rsid w:val="00B81631"/>
    <w:rsid w:val="00B82B61"/>
    <w:rsid w:val="00B855BC"/>
    <w:rsid w:val="00B909F9"/>
    <w:rsid w:val="00B9184D"/>
    <w:rsid w:val="00B9186E"/>
    <w:rsid w:val="00B91B41"/>
    <w:rsid w:val="00B92BFB"/>
    <w:rsid w:val="00B9370C"/>
    <w:rsid w:val="00B95D90"/>
    <w:rsid w:val="00B95FDC"/>
    <w:rsid w:val="00B97C3B"/>
    <w:rsid w:val="00BA0CB2"/>
    <w:rsid w:val="00BA1042"/>
    <w:rsid w:val="00BA2D35"/>
    <w:rsid w:val="00BA2DBE"/>
    <w:rsid w:val="00BA4A65"/>
    <w:rsid w:val="00BA60FD"/>
    <w:rsid w:val="00BA6BB7"/>
    <w:rsid w:val="00BB0E8E"/>
    <w:rsid w:val="00BB3447"/>
    <w:rsid w:val="00BB375A"/>
    <w:rsid w:val="00BB3AD6"/>
    <w:rsid w:val="00BB5AE3"/>
    <w:rsid w:val="00BC17AA"/>
    <w:rsid w:val="00BD24A8"/>
    <w:rsid w:val="00BD4653"/>
    <w:rsid w:val="00BD70C4"/>
    <w:rsid w:val="00BD7198"/>
    <w:rsid w:val="00BE035C"/>
    <w:rsid w:val="00BE0C4A"/>
    <w:rsid w:val="00BE14E2"/>
    <w:rsid w:val="00BE223E"/>
    <w:rsid w:val="00BE59B4"/>
    <w:rsid w:val="00BE5BD0"/>
    <w:rsid w:val="00BE6013"/>
    <w:rsid w:val="00BE6F95"/>
    <w:rsid w:val="00BE7F98"/>
    <w:rsid w:val="00BF0B0C"/>
    <w:rsid w:val="00BF3E5B"/>
    <w:rsid w:val="00BF6C67"/>
    <w:rsid w:val="00C000AF"/>
    <w:rsid w:val="00C000CD"/>
    <w:rsid w:val="00C00704"/>
    <w:rsid w:val="00C00DE8"/>
    <w:rsid w:val="00C01AB0"/>
    <w:rsid w:val="00C03179"/>
    <w:rsid w:val="00C0357E"/>
    <w:rsid w:val="00C03CB6"/>
    <w:rsid w:val="00C0561A"/>
    <w:rsid w:val="00C10248"/>
    <w:rsid w:val="00C10594"/>
    <w:rsid w:val="00C10AE3"/>
    <w:rsid w:val="00C1136E"/>
    <w:rsid w:val="00C11E84"/>
    <w:rsid w:val="00C1323F"/>
    <w:rsid w:val="00C13936"/>
    <w:rsid w:val="00C13959"/>
    <w:rsid w:val="00C14779"/>
    <w:rsid w:val="00C16C10"/>
    <w:rsid w:val="00C17718"/>
    <w:rsid w:val="00C17A31"/>
    <w:rsid w:val="00C21893"/>
    <w:rsid w:val="00C21F90"/>
    <w:rsid w:val="00C22CC3"/>
    <w:rsid w:val="00C26766"/>
    <w:rsid w:val="00C314B6"/>
    <w:rsid w:val="00C32985"/>
    <w:rsid w:val="00C33F5F"/>
    <w:rsid w:val="00C35A52"/>
    <w:rsid w:val="00C36D9E"/>
    <w:rsid w:val="00C409FC"/>
    <w:rsid w:val="00C40CAD"/>
    <w:rsid w:val="00C417A8"/>
    <w:rsid w:val="00C44E6F"/>
    <w:rsid w:val="00C50474"/>
    <w:rsid w:val="00C54298"/>
    <w:rsid w:val="00C564AD"/>
    <w:rsid w:val="00C56C35"/>
    <w:rsid w:val="00C61874"/>
    <w:rsid w:val="00C63466"/>
    <w:rsid w:val="00C63A84"/>
    <w:rsid w:val="00C63AD7"/>
    <w:rsid w:val="00C66D16"/>
    <w:rsid w:val="00C70072"/>
    <w:rsid w:val="00C72689"/>
    <w:rsid w:val="00C72C51"/>
    <w:rsid w:val="00C73D2A"/>
    <w:rsid w:val="00C771F7"/>
    <w:rsid w:val="00C773A9"/>
    <w:rsid w:val="00C815A5"/>
    <w:rsid w:val="00C829E4"/>
    <w:rsid w:val="00C836A1"/>
    <w:rsid w:val="00C90B7E"/>
    <w:rsid w:val="00C929D2"/>
    <w:rsid w:val="00C92BCB"/>
    <w:rsid w:val="00CA1370"/>
    <w:rsid w:val="00CA2658"/>
    <w:rsid w:val="00CA32F7"/>
    <w:rsid w:val="00CA4658"/>
    <w:rsid w:val="00CA72CD"/>
    <w:rsid w:val="00CA736B"/>
    <w:rsid w:val="00CB0BD9"/>
    <w:rsid w:val="00CB14BD"/>
    <w:rsid w:val="00CB17F2"/>
    <w:rsid w:val="00CB18A3"/>
    <w:rsid w:val="00CB4B3C"/>
    <w:rsid w:val="00CB6A65"/>
    <w:rsid w:val="00CB747C"/>
    <w:rsid w:val="00CD11AD"/>
    <w:rsid w:val="00CD2300"/>
    <w:rsid w:val="00CD595E"/>
    <w:rsid w:val="00CD6754"/>
    <w:rsid w:val="00CD7A35"/>
    <w:rsid w:val="00CE017E"/>
    <w:rsid w:val="00CE2FA4"/>
    <w:rsid w:val="00CE4B47"/>
    <w:rsid w:val="00CE5AFA"/>
    <w:rsid w:val="00CE70D0"/>
    <w:rsid w:val="00CE71F8"/>
    <w:rsid w:val="00CE76C1"/>
    <w:rsid w:val="00CF24E4"/>
    <w:rsid w:val="00CF7455"/>
    <w:rsid w:val="00CF766A"/>
    <w:rsid w:val="00D00836"/>
    <w:rsid w:val="00D01949"/>
    <w:rsid w:val="00D02999"/>
    <w:rsid w:val="00D03C86"/>
    <w:rsid w:val="00D04144"/>
    <w:rsid w:val="00D069B6"/>
    <w:rsid w:val="00D07EA8"/>
    <w:rsid w:val="00D12B9C"/>
    <w:rsid w:val="00D14962"/>
    <w:rsid w:val="00D150A8"/>
    <w:rsid w:val="00D16598"/>
    <w:rsid w:val="00D179EA"/>
    <w:rsid w:val="00D20211"/>
    <w:rsid w:val="00D2041B"/>
    <w:rsid w:val="00D21504"/>
    <w:rsid w:val="00D22285"/>
    <w:rsid w:val="00D22535"/>
    <w:rsid w:val="00D22A94"/>
    <w:rsid w:val="00D234B1"/>
    <w:rsid w:val="00D25381"/>
    <w:rsid w:val="00D25512"/>
    <w:rsid w:val="00D2613D"/>
    <w:rsid w:val="00D30BDF"/>
    <w:rsid w:val="00D312D8"/>
    <w:rsid w:val="00D32500"/>
    <w:rsid w:val="00D400DF"/>
    <w:rsid w:val="00D408B1"/>
    <w:rsid w:val="00D40D1B"/>
    <w:rsid w:val="00D431BD"/>
    <w:rsid w:val="00D431F0"/>
    <w:rsid w:val="00D44A04"/>
    <w:rsid w:val="00D476FA"/>
    <w:rsid w:val="00D51816"/>
    <w:rsid w:val="00D51FE9"/>
    <w:rsid w:val="00D5249F"/>
    <w:rsid w:val="00D53272"/>
    <w:rsid w:val="00D5424F"/>
    <w:rsid w:val="00D54994"/>
    <w:rsid w:val="00D54C0F"/>
    <w:rsid w:val="00D5572B"/>
    <w:rsid w:val="00D5583A"/>
    <w:rsid w:val="00D62EE3"/>
    <w:rsid w:val="00D6587B"/>
    <w:rsid w:val="00D672A0"/>
    <w:rsid w:val="00D67B08"/>
    <w:rsid w:val="00D72EA8"/>
    <w:rsid w:val="00D72EFA"/>
    <w:rsid w:val="00D80860"/>
    <w:rsid w:val="00D815D4"/>
    <w:rsid w:val="00D81F36"/>
    <w:rsid w:val="00D83A5F"/>
    <w:rsid w:val="00D84506"/>
    <w:rsid w:val="00D8483F"/>
    <w:rsid w:val="00D85333"/>
    <w:rsid w:val="00D907C6"/>
    <w:rsid w:val="00D91D4C"/>
    <w:rsid w:val="00D93542"/>
    <w:rsid w:val="00D938F7"/>
    <w:rsid w:val="00D9512F"/>
    <w:rsid w:val="00D97655"/>
    <w:rsid w:val="00DA1FD9"/>
    <w:rsid w:val="00DA2BC4"/>
    <w:rsid w:val="00DA3C84"/>
    <w:rsid w:val="00DA54A6"/>
    <w:rsid w:val="00DA5824"/>
    <w:rsid w:val="00DA59E6"/>
    <w:rsid w:val="00DA5A96"/>
    <w:rsid w:val="00DA6118"/>
    <w:rsid w:val="00DB060C"/>
    <w:rsid w:val="00DB2341"/>
    <w:rsid w:val="00DB2D0A"/>
    <w:rsid w:val="00DB40A8"/>
    <w:rsid w:val="00DB4709"/>
    <w:rsid w:val="00DB4DC9"/>
    <w:rsid w:val="00DC1D1D"/>
    <w:rsid w:val="00DC352E"/>
    <w:rsid w:val="00DC3C3F"/>
    <w:rsid w:val="00DC57CC"/>
    <w:rsid w:val="00DC7E2A"/>
    <w:rsid w:val="00DD046B"/>
    <w:rsid w:val="00DD160E"/>
    <w:rsid w:val="00DD30E1"/>
    <w:rsid w:val="00DD5C03"/>
    <w:rsid w:val="00DD6160"/>
    <w:rsid w:val="00DD7989"/>
    <w:rsid w:val="00DD7ABB"/>
    <w:rsid w:val="00DE0E6C"/>
    <w:rsid w:val="00DE30A2"/>
    <w:rsid w:val="00DE5708"/>
    <w:rsid w:val="00DF2BF4"/>
    <w:rsid w:val="00DF5F5A"/>
    <w:rsid w:val="00E00EAC"/>
    <w:rsid w:val="00E01A0B"/>
    <w:rsid w:val="00E073FF"/>
    <w:rsid w:val="00E11F63"/>
    <w:rsid w:val="00E1208D"/>
    <w:rsid w:val="00E13DF4"/>
    <w:rsid w:val="00E152EA"/>
    <w:rsid w:val="00E17B2F"/>
    <w:rsid w:val="00E22E3A"/>
    <w:rsid w:val="00E23BA5"/>
    <w:rsid w:val="00E25AB9"/>
    <w:rsid w:val="00E26D57"/>
    <w:rsid w:val="00E2725E"/>
    <w:rsid w:val="00E278FC"/>
    <w:rsid w:val="00E33008"/>
    <w:rsid w:val="00E36F44"/>
    <w:rsid w:val="00E3707E"/>
    <w:rsid w:val="00E37931"/>
    <w:rsid w:val="00E413BA"/>
    <w:rsid w:val="00E443DB"/>
    <w:rsid w:val="00E44C4F"/>
    <w:rsid w:val="00E47940"/>
    <w:rsid w:val="00E51473"/>
    <w:rsid w:val="00E52761"/>
    <w:rsid w:val="00E53CD8"/>
    <w:rsid w:val="00E56709"/>
    <w:rsid w:val="00E60FFB"/>
    <w:rsid w:val="00E630C8"/>
    <w:rsid w:val="00E64C21"/>
    <w:rsid w:val="00E71A5F"/>
    <w:rsid w:val="00E733C0"/>
    <w:rsid w:val="00E73437"/>
    <w:rsid w:val="00E73BE0"/>
    <w:rsid w:val="00E747E6"/>
    <w:rsid w:val="00E75B19"/>
    <w:rsid w:val="00E82C63"/>
    <w:rsid w:val="00E8471C"/>
    <w:rsid w:val="00E85215"/>
    <w:rsid w:val="00E857BB"/>
    <w:rsid w:val="00E94218"/>
    <w:rsid w:val="00E95AE9"/>
    <w:rsid w:val="00E95E60"/>
    <w:rsid w:val="00EA0849"/>
    <w:rsid w:val="00EA2AFC"/>
    <w:rsid w:val="00EA3339"/>
    <w:rsid w:val="00EA4ACF"/>
    <w:rsid w:val="00EA52EC"/>
    <w:rsid w:val="00EA538D"/>
    <w:rsid w:val="00EA55C0"/>
    <w:rsid w:val="00EA7026"/>
    <w:rsid w:val="00EA7430"/>
    <w:rsid w:val="00EB0B5C"/>
    <w:rsid w:val="00EB246C"/>
    <w:rsid w:val="00EB3C45"/>
    <w:rsid w:val="00EB4D35"/>
    <w:rsid w:val="00EB58BA"/>
    <w:rsid w:val="00EB6288"/>
    <w:rsid w:val="00EC1D86"/>
    <w:rsid w:val="00EC3682"/>
    <w:rsid w:val="00EC3937"/>
    <w:rsid w:val="00EC5E2E"/>
    <w:rsid w:val="00EC64FB"/>
    <w:rsid w:val="00ED0D0E"/>
    <w:rsid w:val="00ED4142"/>
    <w:rsid w:val="00ED5B39"/>
    <w:rsid w:val="00ED614F"/>
    <w:rsid w:val="00ED72E9"/>
    <w:rsid w:val="00ED73C0"/>
    <w:rsid w:val="00EE2130"/>
    <w:rsid w:val="00EE2348"/>
    <w:rsid w:val="00EE3304"/>
    <w:rsid w:val="00EE6F52"/>
    <w:rsid w:val="00EE7CF9"/>
    <w:rsid w:val="00EF0F25"/>
    <w:rsid w:val="00EF13BA"/>
    <w:rsid w:val="00EF1ECD"/>
    <w:rsid w:val="00EF4047"/>
    <w:rsid w:val="00EF55AB"/>
    <w:rsid w:val="00EF674C"/>
    <w:rsid w:val="00F0210B"/>
    <w:rsid w:val="00F024E8"/>
    <w:rsid w:val="00F030B9"/>
    <w:rsid w:val="00F10255"/>
    <w:rsid w:val="00F1279E"/>
    <w:rsid w:val="00F12AD6"/>
    <w:rsid w:val="00F13451"/>
    <w:rsid w:val="00F13649"/>
    <w:rsid w:val="00F15C93"/>
    <w:rsid w:val="00F1603C"/>
    <w:rsid w:val="00F16DA0"/>
    <w:rsid w:val="00F1710D"/>
    <w:rsid w:val="00F20456"/>
    <w:rsid w:val="00F2076C"/>
    <w:rsid w:val="00F20B48"/>
    <w:rsid w:val="00F219A6"/>
    <w:rsid w:val="00F226AD"/>
    <w:rsid w:val="00F23A4F"/>
    <w:rsid w:val="00F2476B"/>
    <w:rsid w:val="00F262CE"/>
    <w:rsid w:val="00F30919"/>
    <w:rsid w:val="00F31CDE"/>
    <w:rsid w:val="00F32FA5"/>
    <w:rsid w:val="00F33B65"/>
    <w:rsid w:val="00F546BB"/>
    <w:rsid w:val="00F55293"/>
    <w:rsid w:val="00F557E4"/>
    <w:rsid w:val="00F57377"/>
    <w:rsid w:val="00F6029C"/>
    <w:rsid w:val="00F61266"/>
    <w:rsid w:val="00F63FAF"/>
    <w:rsid w:val="00F643DD"/>
    <w:rsid w:val="00F64DF1"/>
    <w:rsid w:val="00F70DDE"/>
    <w:rsid w:val="00F719E0"/>
    <w:rsid w:val="00F7214F"/>
    <w:rsid w:val="00F722C3"/>
    <w:rsid w:val="00F77C21"/>
    <w:rsid w:val="00F8030A"/>
    <w:rsid w:val="00F82AF2"/>
    <w:rsid w:val="00F84FB5"/>
    <w:rsid w:val="00F86B2F"/>
    <w:rsid w:val="00F86B72"/>
    <w:rsid w:val="00F902E9"/>
    <w:rsid w:val="00F90B8D"/>
    <w:rsid w:val="00F912B4"/>
    <w:rsid w:val="00F916B5"/>
    <w:rsid w:val="00F91AF2"/>
    <w:rsid w:val="00F91C38"/>
    <w:rsid w:val="00F936BD"/>
    <w:rsid w:val="00F94F08"/>
    <w:rsid w:val="00FA4342"/>
    <w:rsid w:val="00FA4DE0"/>
    <w:rsid w:val="00FA77F8"/>
    <w:rsid w:val="00FB25EB"/>
    <w:rsid w:val="00FB3333"/>
    <w:rsid w:val="00FB497D"/>
    <w:rsid w:val="00FB6BD6"/>
    <w:rsid w:val="00FC0EBE"/>
    <w:rsid w:val="00FC2F2A"/>
    <w:rsid w:val="00FC5B5A"/>
    <w:rsid w:val="00FC7293"/>
    <w:rsid w:val="00FD00E5"/>
    <w:rsid w:val="00FD2436"/>
    <w:rsid w:val="00FD41CD"/>
    <w:rsid w:val="00FD42F0"/>
    <w:rsid w:val="00FD7C14"/>
    <w:rsid w:val="00FE0379"/>
    <w:rsid w:val="00FE526D"/>
    <w:rsid w:val="00FE577A"/>
    <w:rsid w:val="00FE5AEA"/>
    <w:rsid w:val="00FE60FC"/>
    <w:rsid w:val="00FE6322"/>
    <w:rsid w:val="00FF4346"/>
    <w:rsid w:val="00FF784D"/>
    <w:rsid w:val="00FF7CA5"/>
    <w:rsid w:val="00FF7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8FBF9"/>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99"/>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PlaceholderText">
    <w:name w:val="Placeholder Text"/>
    <w:basedOn w:val="DefaultParagraphFont"/>
    <w:uiPriority w:val="99"/>
    <w:semiHidden/>
    <w:rsid w:val="003B67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212509">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92041.htm" TargetMode="External"/><Relationship Id="rId13" Type="http://schemas.openxmlformats.org/officeDocument/2006/relationships/hyperlink" Target="http://www.nihb.org/docs/07012010/NIHB_HealthProfile%20201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ho.org/Profile/Volume-Thr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hived.naccho.org/topics/infrastructure/profile/upload/2013-national-profile-of-local-health-departments-repor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tho.org/budget-cuts-Sept-2014/" TargetMode="External"/><Relationship Id="rId4" Type="http://schemas.openxmlformats.org/officeDocument/2006/relationships/settings" Target="settings.xml"/><Relationship Id="rId9" Type="http://schemas.openxmlformats.org/officeDocument/2006/relationships/hyperlink" Target="http://archived.naccho.org/topics/infrastructure/lhdbudget/upload/Survey-Findings-Brief-8-13-13-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8A6C2-5092-42FC-B4A7-5A5B08075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4122</Words>
  <Characters>23499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Zirger, Jeffrey (CDC/OD/OADS)</cp:lastModifiedBy>
  <cp:revision>3</cp:revision>
  <cp:lastPrinted>2017-01-03T15:08:00Z</cp:lastPrinted>
  <dcterms:created xsi:type="dcterms:W3CDTF">2017-01-10T20:45:00Z</dcterms:created>
  <dcterms:modified xsi:type="dcterms:W3CDTF">2017-01-11T13:58:00Z</dcterms:modified>
</cp:coreProperties>
</file>