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29CDB" w14:textId="77777777" w:rsidR="0069574B" w:rsidRDefault="0069574B" w:rsidP="00404B55">
      <w:pPr>
        <w:keepLines/>
        <w:widowControl/>
        <w:spacing w:after="0"/>
        <w:jc w:val="center"/>
        <w:rPr>
          <w:b/>
          <w:bCs/>
          <w:szCs w:val="24"/>
        </w:rPr>
      </w:pPr>
      <w:bookmarkStart w:id="0" w:name="_GoBack"/>
      <w:bookmarkEnd w:id="0"/>
      <w:r>
        <w:rPr>
          <w:b/>
          <w:bCs/>
          <w:szCs w:val="24"/>
        </w:rPr>
        <w:t>SUPPORTING STATEMENT</w:t>
      </w:r>
    </w:p>
    <w:p w14:paraId="5DD85047" w14:textId="77777777" w:rsidR="00BF0813" w:rsidRDefault="004D2C0A" w:rsidP="00404B55">
      <w:pPr>
        <w:spacing w:after="0"/>
        <w:jc w:val="center"/>
        <w:rPr>
          <w:b/>
          <w:bCs/>
          <w:szCs w:val="24"/>
        </w:rPr>
      </w:pPr>
      <w:r>
        <w:rPr>
          <w:b/>
          <w:bCs/>
          <w:szCs w:val="24"/>
        </w:rPr>
        <w:t xml:space="preserve">ALASKA </w:t>
      </w:r>
      <w:r w:rsidR="00C53E90" w:rsidRPr="00C53E90">
        <w:rPr>
          <w:b/>
          <w:bCs/>
          <w:szCs w:val="24"/>
        </w:rPr>
        <w:t>PACIFIC HALIBUT AND SABLEFISH</w:t>
      </w:r>
      <w:r>
        <w:rPr>
          <w:b/>
          <w:bCs/>
          <w:szCs w:val="24"/>
        </w:rPr>
        <w:t xml:space="preserve"> FISHERIES</w:t>
      </w:r>
    </w:p>
    <w:p w14:paraId="4E8CA203" w14:textId="30F9AA4B" w:rsidR="004D2C0A" w:rsidRPr="00C53E90" w:rsidRDefault="00AC6BD2" w:rsidP="00404B55">
      <w:pPr>
        <w:spacing w:after="0"/>
        <w:jc w:val="center"/>
        <w:rPr>
          <w:b/>
          <w:bCs/>
          <w:szCs w:val="24"/>
        </w:rPr>
      </w:pPr>
      <w:r>
        <w:rPr>
          <w:b/>
          <w:bCs/>
          <w:szCs w:val="24"/>
        </w:rPr>
        <w:t xml:space="preserve">TEMPORARY </w:t>
      </w:r>
      <w:r w:rsidR="004D2C0A" w:rsidRPr="00C53E90">
        <w:rPr>
          <w:b/>
          <w:bCs/>
          <w:szCs w:val="24"/>
        </w:rPr>
        <w:t>INDIVIDUAL FISHING QUOTA</w:t>
      </w:r>
      <w:r>
        <w:rPr>
          <w:b/>
          <w:bCs/>
          <w:szCs w:val="24"/>
        </w:rPr>
        <w:t xml:space="preserve"> TRANSFER</w:t>
      </w:r>
    </w:p>
    <w:p w14:paraId="032DC6EC" w14:textId="30C3A1A6" w:rsidR="00EB3159" w:rsidRDefault="00EB3159" w:rsidP="00EB3159">
      <w:pPr>
        <w:rPr>
          <w:szCs w:val="24"/>
        </w:rPr>
      </w:pPr>
    </w:p>
    <w:p w14:paraId="33EDC5E4" w14:textId="77777777" w:rsidR="00404B55" w:rsidRDefault="004276E9" w:rsidP="00404B55">
      <w:r w:rsidRPr="008B194F">
        <w:t>This</w:t>
      </w:r>
      <w:r w:rsidR="00D451B2" w:rsidRPr="008B194F">
        <w:t xml:space="preserve"> </w:t>
      </w:r>
      <w:r w:rsidR="000101B0" w:rsidRPr="008B194F">
        <w:t>is a</w:t>
      </w:r>
      <w:r w:rsidR="00DA6FE2" w:rsidRPr="008B194F">
        <w:t xml:space="preserve"> submission of a request, with </w:t>
      </w:r>
      <w:r w:rsidR="00CF786C" w:rsidRPr="008B194F">
        <w:t xml:space="preserve">a proposed </w:t>
      </w:r>
      <w:r w:rsidR="000101B0" w:rsidRPr="008B194F">
        <w:t xml:space="preserve">rule, for a </w:t>
      </w:r>
      <w:r w:rsidR="00E6751E" w:rsidRPr="008B194F">
        <w:t>temporary new information collection</w:t>
      </w:r>
      <w:r w:rsidR="000101B0" w:rsidRPr="008B194F">
        <w:t xml:space="preserve"> due to an associated rule </w:t>
      </w:r>
      <w:r w:rsidR="00AC5503" w:rsidRPr="008B194F">
        <w:rPr>
          <w:b/>
        </w:rPr>
        <w:t>[</w:t>
      </w:r>
      <w:r w:rsidR="00B34828" w:rsidRPr="008B194F">
        <w:rPr>
          <w:b/>
        </w:rPr>
        <w:t>RIN 0648-</w:t>
      </w:r>
      <w:r w:rsidR="00E4082C" w:rsidRPr="008B194F">
        <w:rPr>
          <w:b/>
        </w:rPr>
        <w:t>BG94</w:t>
      </w:r>
      <w:r w:rsidR="00AC5503" w:rsidRPr="008B194F">
        <w:t>]</w:t>
      </w:r>
      <w:r w:rsidR="00B34828" w:rsidRPr="008B194F">
        <w:t>.</w:t>
      </w:r>
      <w:r w:rsidR="000101B0" w:rsidRPr="008B194F">
        <w:t xml:space="preserve"> </w:t>
      </w:r>
    </w:p>
    <w:p w14:paraId="3CC36308" w14:textId="77777777" w:rsidR="00404B55" w:rsidRDefault="00071543" w:rsidP="00404B55">
      <w:r w:rsidRPr="00AC5503">
        <w:t xml:space="preserve">The International Pacific Halibut Commission (IPHC) and </w:t>
      </w:r>
      <w:r w:rsidRPr="00BE3185">
        <w:t>National Marine Fisheries Service</w:t>
      </w:r>
      <w:r w:rsidR="00BF0813">
        <w:t xml:space="preserve"> (NMFS)</w:t>
      </w:r>
      <w:r w:rsidRPr="00BE3185">
        <w:t xml:space="preserve">, Alaska Region </w:t>
      </w:r>
      <w:r w:rsidRPr="00AC5503">
        <w:t>manage fishing for Pacific halibut (</w:t>
      </w:r>
      <w:r w:rsidRPr="00AC5503">
        <w:rPr>
          <w:i/>
        </w:rPr>
        <w:t>Hippoglossus stenolepis</w:t>
      </w:r>
      <w:r w:rsidRPr="00AC5503">
        <w:t>) through regulations established under the authority of the</w:t>
      </w:r>
      <w:r w:rsidR="00DE53DD">
        <w:t xml:space="preserve"> </w:t>
      </w:r>
      <w:hyperlink r:id="rId9" w:history="1">
        <w:r w:rsidRPr="00AC5503">
          <w:rPr>
            <w:rStyle w:val="Hyperlink"/>
            <w:szCs w:val="24"/>
          </w:rPr>
          <w:t>Northern Pacific Halibut Act of 1982</w:t>
        </w:r>
      </w:hyperlink>
      <w:r w:rsidR="000A62E9">
        <w:t xml:space="preserve"> (Halibut Act).</w:t>
      </w:r>
      <w:r w:rsidRPr="00AC5503">
        <w:t xml:space="preserve">  The IPHC promulgates regulations governing the halibut fishery under the Convention between the United States and Canada for the Preservation of the Halibut Fishery of the Northern Pacific Ocean and Bering Sea.</w:t>
      </w:r>
    </w:p>
    <w:p w14:paraId="6C5DFC35" w14:textId="482CFCB9" w:rsidR="0069574B" w:rsidRDefault="00FA2BD1" w:rsidP="00404B55">
      <w:r w:rsidRPr="00BE3185">
        <w:t xml:space="preserve">The North Pacific </w:t>
      </w:r>
      <w:r w:rsidR="00D13E04" w:rsidRPr="00BE3185">
        <w:t>Fisher</w:t>
      </w:r>
      <w:r w:rsidR="00D13E04">
        <w:t>y</w:t>
      </w:r>
      <w:r w:rsidR="00D13E04" w:rsidRPr="00BE3185">
        <w:t xml:space="preserve"> </w:t>
      </w:r>
      <w:r w:rsidRPr="00BE3185">
        <w:t xml:space="preserve">Management Council (Council), under the authority of the Halibut Act (with respect to Pacific halibut) and the </w:t>
      </w:r>
      <w:hyperlink r:id="rId10" w:history="1">
        <w:r w:rsidRPr="00BE3185">
          <w:rPr>
            <w:rStyle w:val="Hyperlink"/>
            <w:szCs w:val="24"/>
          </w:rPr>
          <w:t xml:space="preserve">Magnuson-Stevens </w:t>
        </w:r>
        <w:r w:rsidR="00D13E04">
          <w:rPr>
            <w:rStyle w:val="Hyperlink"/>
            <w:szCs w:val="24"/>
          </w:rPr>
          <w:t xml:space="preserve">Fishery </w:t>
        </w:r>
        <w:r w:rsidR="00405A9D" w:rsidRPr="00BE3185">
          <w:rPr>
            <w:rStyle w:val="Hyperlink"/>
            <w:szCs w:val="24"/>
          </w:rPr>
          <w:t xml:space="preserve">Conservation </w:t>
        </w:r>
        <w:r w:rsidR="00D13E04">
          <w:rPr>
            <w:rStyle w:val="Hyperlink"/>
            <w:szCs w:val="24"/>
          </w:rPr>
          <w:t xml:space="preserve">and Management </w:t>
        </w:r>
        <w:r w:rsidRPr="00BE3185">
          <w:rPr>
            <w:rStyle w:val="Hyperlink"/>
            <w:szCs w:val="24"/>
          </w:rPr>
          <w:t>Act</w:t>
        </w:r>
      </w:hyperlink>
      <w:r w:rsidR="007F6683" w:rsidRPr="00BE3185">
        <w:t xml:space="preserve">, 16 U.S.C. 1801 </w:t>
      </w:r>
      <w:r w:rsidR="007F6683" w:rsidRPr="00BE3185">
        <w:rPr>
          <w:i/>
        </w:rPr>
        <w:t>et seq</w:t>
      </w:r>
      <w:r w:rsidR="007F6683" w:rsidRPr="00BE3185">
        <w:t>., as amended in 2006</w:t>
      </w:r>
      <w:r w:rsidR="00405A9D" w:rsidRPr="00BE3185">
        <w:t xml:space="preserve"> </w:t>
      </w:r>
      <w:r w:rsidR="007F6683" w:rsidRPr="00BE3185">
        <w:t>(</w:t>
      </w:r>
      <w:r w:rsidR="00405A9D" w:rsidRPr="00BE3185">
        <w:t>Magnuson-Stevens Act</w:t>
      </w:r>
      <w:r w:rsidR="007F6683" w:rsidRPr="00BE3185">
        <w:t>)</w:t>
      </w:r>
      <w:r w:rsidR="00405A9D" w:rsidRPr="00BE3185">
        <w:t xml:space="preserve"> </w:t>
      </w:r>
      <w:r w:rsidRPr="00BE3185">
        <w:t xml:space="preserve">(with respect to sablefish), </w:t>
      </w:r>
      <w:r w:rsidR="00C2390E" w:rsidRPr="00BE3185">
        <w:t>manages the</w:t>
      </w:r>
      <w:r w:rsidRPr="00BE3185">
        <w:t xml:space="preserve"> </w:t>
      </w:r>
      <w:r w:rsidR="00405A9D" w:rsidRPr="00BE3185">
        <w:t xml:space="preserve">fixed gear Pacific </w:t>
      </w:r>
      <w:r w:rsidR="009A0377">
        <w:t>H</w:t>
      </w:r>
      <w:r w:rsidR="009A0377" w:rsidRPr="00BE3185">
        <w:t xml:space="preserve">alibut </w:t>
      </w:r>
      <w:r w:rsidRPr="00BE3185">
        <w:t xml:space="preserve">and </w:t>
      </w:r>
      <w:r w:rsidR="009A0377">
        <w:t>S</w:t>
      </w:r>
      <w:r w:rsidR="009A0377" w:rsidRPr="00BE3185">
        <w:t xml:space="preserve">ablefish </w:t>
      </w:r>
      <w:r w:rsidR="00B73F8D" w:rsidRPr="00BE3185">
        <w:t xml:space="preserve">Individual Fishing Quota </w:t>
      </w:r>
      <w:r w:rsidRPr="00BE3185">
        <w:t>Program</w:t>
      </w:r>
      <w:r w:rsidR="009A0377">
        <w:t xml:space="preserve"> (IFQ Program)</w:t>
      </w:r>
      <w:r w:rsidR="007F6683" w:rsidRPr="00BE3185">
        <w:t>.  The IFQ Program</w:t>
      </w:r>
      <w:r w:rsidRPr="00BE3185">
        <w:t xml:space="preserve"> </w:t>
      </w:r>
      <w:r w:rsidR="003006A8" w:rsidRPr="00BE3185">
        <w:t xml:space="preserve">provides </w:t>
      </w:r>
      <w:r w:rsidRPr="00BE3185">
        <w:t xml:space="preserve">a limited access system </w:t>
      </w:r>
      <w:r w:rsidR="00B91019" w:rsidRPr="00BE3185">
        <w:t xml:space="preserve">for Pacific halibut </w:t>
      </w:r>
      <w:r w:rsidRPr="00BE3185">
        <w:t>in Convention waters in and off Alaska and sablefish fisheries in waters of the E</w:t>
      </w:r>
      <w:r w:rsidR="007F6683" w:rsidRPr="00BE3185">
        <w:t>xclusive Economic Zone</w:t>
      </w:r>
      <w:r w:rsidRPr="00BE3185">
        <w:t xml:space="preserve"> off Alaska. </w:t>
      </w:r>
      <w:r w:rsidR="00C2390E" w:rsidRPr="00BE3185">
        <w:t xml:space="preserve">Regulations implementing the IFQ </w:t>
      </w:r>
      <w:r w:rsidR="00B904FC" w:rsidRPr="00BE3185">
        <w:t>P</w:t>
      </w:r>
      <w:r w:rsidR="00C2390E" w:rsidRPr="00BE3185">
        <w:t xml:space="preserve">rogram are set forth at </w:t>
      </w:r>
      <w:hyperlink r:id="rId11" w:history="1">
        <w:r w:rsidR="00291287" w:rsidRPr="00BE3185">
          <w:rPr>
            <w:rStyle w:val="Hyperlink"/>
            <w:szCs w:val="24"/>
          </w:rPr>
          <w:t>50 CFR part 679</w:t>
        </w:r>
      </w:hyperlink>
      <w:r w:rsidR="00C2390E" w:rsidRPr="00BE3185">
        <w:t>.</w:t>
      </w:r>
    </w:p>
    <w:p w14:paraId="57DEE44F" w14:textId="77777777" w:rsidR="00404B55" w:rsidRDefault="00DA6FE2" w:rsidP="00404B55">
      <w:pPr>
        <w:rPr>
          <w:color w:val="000000" w:themeColor="text1"/>
        </w:rPr>
      </w:pPr>
      <w:r w:rsidRPr="00150DB7">
        <w:rPr>
          <w:color w:val="000000" w:themeColor="text1"/>
        </w:rPr>
        <w:t>NMFS will issue</w:t>
      </w:r>
      <w:r w:rsidR="003E757D" w:rsidRPr="00150DB7">
        <w:rPr>
          <w:color w:val="000000" w:themeColor="text1"/>
        </w:rPr>
        <w:t xml:space="preserve"> </w:t>
      </w:r>
      <w:r w:rsidRPr="00150DB7">
        <w:rPr>
          <w:color w:val="000000" w:themeColor="text1"/>
        </w:rPr>
        <w:t>a proposed rule</w:t>
      </w:r>
      <w:r w:rsidRPr="00D36DDB">
        <w:rPr>
          <w:color w:val="000000" w:themeColor="text1"/>
        </w:rPr>
        <w:t xml:space="preserve"> that would </w:t>
      </w:r>
      <w:r>
        <w:rPr>
          <w:color w:val="000000" w:themeColor="text1"/>
        </w:rPr>
        <w:t>modify regulations governing the IFQ Program. This proposed</w:t>
      </w:r>
      <w:r w:rsidR="00777924">
        <w:rPr>
          <w:color w:val="000000" w:themeColor="text1"/>
        </w:rPr>
        <w:t xml:space="preserve"> rule</w:t>
      </w:r>
      <w:r>
        <w:rPr>
          <w:color w:val="000000" w:themeColor="text1"/>
        </w:rPr>
        <w:t xml:space="preserve"> would allow Western Alaska Community Development Quota (CDQ) groups to </w:t>
      </w:r>
      <w:r w:rsidR="004E42F1">
        <w:rPr>
          <w:color w:val="000000" w:themeColor="text1"/>
        </w:rPr>
        <w:t xml:space="preserve">receive by transfer </w:t>
      </w:r>
      <w:r>
        <w:rPr>
          <w:color w:val="000000" w:themeColor="text1"/>
        </w:rPr>
        <w:t>halibut individual fishing quota (IFQ) in IFQ regulatory areas 4B, 4C, and 4D in years of low halibut catch limits.</w:t>
      </w:r>
      <w:r w:rsidR="00021E23">
        <w:rPr>
          <w:rStyle w:val="FootnoteReference"/>
          <w:color w:val="000000" w:themeColor="text1"/>
          <w:szCs w:val="24"/>
        </w:rPr>
        <w:footnoteReference w:id="1"/>
      </w:r>
      <w:r>
        <w:rPr>
          <w:color w:val="000000" w:themeColor="text1"/>
        </w:rPr>
        <w:t xml:space="preserve"> This action </w:t>
      </w:r>
      <w:r w:rsidR="00ED4E7B">
        <w:rPr>
          <w:color w:val="000000" w:themeColor="text1"/>
        </w:rPr>
        <w:t xml:space="preserve">is necessary to </w:t>
      </w:r>
      <w:r>
        <w:rPr>
          <w:color w:val="000000" w:themeColor="text1"/>
        </w:rPr>
        <w:t xml:space="preserve">give </w:t>
      </w:r>
      <w:r w:rsidRPr="00CB03FF">
        <w:rPr>
          <w:color w:val="000000" w:themeColor="text1"/>
        </w:rPr>
        <w:t xml:space="preserve">CDQ </w:t>
      </w:r>
      <w:r>
        <w:rPr>
          <w:color w:val="000000" w:themeColor="text1"/>
        </w:rPr>
        <w:t xml:space="preserve">community </w:t>
      </w:r>
      <w:r w:rsidRPr="00CB03FF">
        <w:rPr>
          <w:color w:val="000000" w:themeColor="text1"/>
        </w:rPr>
        <w:t xml:space="preserve">residents </w:t>
      </w:r>
      <w:r>
        <w:rPr>
          <w:color w:val="000000" w:themeColor="text1"/>
        </w:rPr>
        <w:t xml:space="preserve">more fishing opportunities in </w:t>
      </w:r>
      <w:r w:rsidRPr="00CB03FF">
        <w:rPr>
          <w:color w:val="000000" w:themeColor="text1"/>
        </w:rPr>
        <w:t xml:space="preserve">years </w:t>
      </w:r>
      <w:r>
        <w:rPr>
          <w:color w:val="000000" w:themeColor="text1"/>
        </w:rPr>
        <w:t>when</w:t>
      </w:r>
      <w:r w:rsidRPr="00CB03FF">
        <w:rPr>
          <w:color w:val="000000" w:themeColor="text1"/>
        </w:rPr>
        <w:t xml:space="preserve"> the halibut CDQ </w:t>
      </w:r>
      <w:r>
        <w:rPr>
          <w:color w:val="000000" w:themeColor="text1"/>
        </w:rPr>
        <w:t xml:space="preserve">available </w:t>
      </w:r>
      <w:r w:rsidRPr="00CB03FF">
        <w:rPr>
          <w:color w:val="000000" w:themeColor="text1"/>
        </w:rPr>
        <w:t xml:space="preserve">may not be large enough to present a viable fishery for </w:t>
      </w:r>
      <w:r w:rsidR="00A43405">
        <w:rPr>
          <w:color w:val="000000" w:themeColor="text1"/>
        </w:rPr>
        <w:t xml:space="preserve">IFQ </w:t>
      </w:r>
      <w:r w:rsidRPr="00CB03FF">
        <w:rPr>
          <w:color w:val="000000" w:themeColor="text1"/>
        </w:rPr>
        <w:t>participants</w:t>
      </w:r>
      <w:r>
        <w:rPr>
          <w:color w:val="000000" w:themeColor="text1"/>
        </w:rPr>
        <w:t xml:space="preserve">. </w:t>
      </w:r>
      <w:r w:rsidRPr="00D36DDB">
        <w:rPr>
          <w:color w:val="000000" w:themeColor="text1"/>
        </w:rPr>
        <w:t xml:space="preserve">This proposed </w:t>
      </w:r>
      <w:r w:rsidRPr="00FB75B3">
        <w:rPr>
          <w:color w:val="000000" w:themeColor="text1"/>
        </w:rPr>
        <w:t xml:space="preserve">rule is intended to promote the goals and objectives of the Magnuson-Stevens Act, the Halibut Act, </w:t>
      </w:r>
      <w:r w:rsidRPr="00FB75B3">
        <w:rPr>
          <w:rFonts w:eastAsiaTheme="minorHAnsi"/>
        </w:rPr>
        <w:t xml:space="preserve">the Fishery Management Plan for Groundfish of the Bering Sea and Aleutian Islands Management Area, </w:t>
      </w:r>
      <w:r w:rsidRPr="00FB75B3">
        <w:rPr>
          <w:color w:val="000000" w:themeColor="text1"/>
        </w:rPr>
        <w:t>and</w:t>
      </w:r>
      <w:r w:rsidRPr="00D36DDB">
        <w:rPr>
          <w:color w:val="000000" w:themeColor="text1"/>
        </w:rPr>
        <w:t xml:space="preserve"> other applicable laws</w:t>
      </w:r>
      <w:r>
        <w:rPr>
          <w:color w:val="000000" w:themeColor="text1"/>
        </w:rPr>
        <w:t xml:space="preserve">. </w:t>
      </w:r>
      <w:r w:rsidRPr="00D36DDB">
        <w:rPr>
          <w:color w:val="000000" w:themeColor="text1"/>
        </w:rPr>
        <w:t xml:space="preserve"> </w:t>
      </w:r>
    </w:p>
    <w:p w14:paraId="44D39C36" w14:textId="77777777" w:rsidR="00404B55" w:rsidRDefault="000B1560" w:rsidP="00404B55">
      <w:pPr>
        <w:rPr>
          <w:color w:val="000000" w:themeColor="text1"/>
        </w:rPr>
      </w:pPr>
      <w:r>
        <w:rPr>
          <w:color w:val="000000" w:themeColor="text1"/>
        </w:rPr>
        <w:t>This proposed rule would allow CDQ groups to lease halibut IFQ from IFQ permit holders in years of low halibut abundance. Specifically,</w:t>
      </w:r>
      <w:r w:rsidRPr="00A34931">
        <w:rPr>
          <w:color w:val="000000" w:themeColor="text1"/>
        </w:rPr>
        <w:t xml:space="preserve"> CDQ groups</w:t>
      </w:r>
      <w:r>
        <w:rPr>
          <w:color w:val="000000" w:themeColor="text1"/>
        </w:rPr>
        <w:t xml:space="preserve"> would be able</w:t>
      </w:r>
      <w:r w:rsidRPr="00A34931">
        <w:rPr>
          <w:color w:val="000000" w:themeColor="text1"/>
        </w:rPr>
        <w:t xml:space="preserve"> to lease halibut catcher vessel IFQ in </w:t>
      </w:r>
      <w:r>
        <w:rPr>
          <w:color w:val="000000" w:themeColor="text1"/>
        </w:rPr>
        <w:t>regulatory a</w:t>
      </w:r>
      <w:r w:rsidRPr="00A34931">
        <w:rPr>
          <w:color w:val="000000" w:themeColor="text1"/>
        </w:rPr>
        <w:t xml:space="preserve">reas 4B, 4C, and 4D in years of low halibut catch limits in regulatory </w:t>
      </w:r>
      <w:r w:rsidR="00402BEB">
        <w:rPr>
          <w:color w:val="000000" w:themeColor="text1"/>
        </w:rPr>
        <w:t>a</w:t>
      </w:r>
      <w:r w:rsidR="00402BEB" w:rsidRPr="00A34931">
        <w:rPr>
          <w:color w:val="000000" w:themeColor="text1"/>
        </w:rPr>
        <w:t xml:space="preserve">reas </w:t>
      </w:r>
      <w:r w:rsidRPr="00A34931">
        <w:rPr>
          <w:color w:val="000000" w:themeColor="text1"/>
        </w:rPr>
        <w:t xml:space="preserve">4B and 4CDE. </w:t>
      </w:r>
      <w:r>
        <w:rPr>
          <w:color w:val="000000" w:themeColor="text1"/>
        </w:rPr>
        <w:t xml:space="preserve">A CDQ group would only be able to lease halibut IFQ for the regulatory areas in which it holds halibut CDQ. </w:t>
      </w:r>
      <w:r w:rsidRPr="00A34931">
        <w:rPr>
          <w:color w:val="000000" w:themeColor="text1"/>
        </w:rPr>
        <w:t>Any IFQ transferred to a CDQ group under this provision would be available for use in conjunction with halibut CDQ</w:t>
      </w:r>
      <w:r>
        <w:rPr>
          <w:color w:val="000000" w:themeColor="text1"/>
        </w:rPr>
        <w:t xml:space="preserve"> and</w:t>
      </w:r>
      <w:r w:rsidRPr="00A34931">
        <w:rPr>
          <w:color w:val="000000" w:themeColor="text1"/>
        </w:rPr>
        <w:t xml:space="preserve"> intended for use by residents that have traditionally harvested halibut CDQ. This action would </w:t>
      </w:r>
      <w:r w:rsidRPr="00F52FC2">
        <w:rPr>
          <w:iCs/>
          <w:color w:val="000000" w:themeColor="text1"/>
        </w:rPr>
        <w:t>not</w:t>
      </w:r>
      <w:r w:rsidRPr="00A34931">
        <w:rPr>
          <w:i/>
          <w:iCs/>
          <w:color w:val="000000" w:themeColor="text1"/>
        </w:rPr>
        <w:t xml:space="preserve"> </w:t>
      </w:r>
      <w:r w:rsidRPr="00A34931">
        <w:rPr>
          <w:color w:val="000000" w:themeColor="text1"/>
        </w:rPr>
        <w:t xml:space="preserve">convert IFQ to CDQ. CDQ allocations would not change. </w:t>
      </w:r>
      <w:r w:rsidRPr="00BB6256">
        <w:rPr>
          <w:color w:val="000000" w:themeColor="text1"/>
        </w:rPr>
        <w:t xml:space="preserve">No vessel over 51 feet </w:t>
      </w:r>
      <w:r w:rsidR="00777924">
        <w:rPr>
          <w:color w:val="000000" w:themeColor="text1"/>
        </w:rPr>
        <w:t>length overall</w:t>
      </w:r>
      <w:r w:rsidR="00777924" w:rsidRPr="00BB6256">
        <w:rPr>
          <w:color w:val="000000" w:themeColor="text1"/>
        </w:rPr>
        <w:t xml:space="preserve"> </w:t>
      </w:r>
      <w:r w:rsidRPr="00BB6256">
        <w:rPr>
          <w:color w:val="000000" w:themeColor="text1"/>
        </w:rPr>
        <w:t>would be eligible to harvest the leased IFQ,</w:t>
      </w:r>
      <w:r w:rsidRPr="00A34931">
        <w:rPr>
          <w:color w:val="000000" w:themeColor="text1"/>
        </w:rPr>
        <w:t xml:space="preserve"> and all vessels harvesting IFQ </w:t>
      </w:r>
      <w:r>
        <w:rPr>
          <w:color w:val="000000" w:themeColor="text1"/>
        </w:rPr>
        <w:t>would need to</w:t>
      </w:r>
      <w:r w:rsidRPr="00A34931">
        <w:rPr>
          <w:color w:val="000000" w:themeColor="text1"/>
        </w:rPr>
        <w:t xml:space="preserve"> comply with IFQ use restrictions. This propos</w:t>
      </w:r>
      <w:r>
        <w:rPr>
          <w:color w:val="000000" w:themeColor="text1"/>
        </w:rPr>
        <w:t>ed rule</w:t>
      </w:r>
      <w:r w:rsidRPr="00A34931">
        <w:rPr>
          <w:color w:val="000000" w:themeColor="text1"/>
        </w:rPr>
        <w:t xml:space="preserve"> </w:t>
      </w:r>
      <w:r>
        <w:rPr>
          <w:color w:val="000000" w:themeColor="text1"/>
        </w:rPr>
        <w:t>would</w:t>
      </w:r>
      <w:r w:rsidRPr="00A34931">
        <w:rPr>
          <w:color w:val="000000" w:themeColor="text1"/>
        </w:rPr>
        <w:t xml:space="preserve"> not limit </w:t>
      </w:r>
      <w:r>
        <w:rPr>
          <w:color w:val="000000" w:themeColor="text1"/>
        </w:rPr>
        <w:t>the</w:t>
      </w:r>
      <w:r w:rsidRPr="00A34931">
        <w:rPr>
          <w:color w:val="000000" w:themeColor="text1"/>
        </w:rPr>
        <w:t xml:space="preserve"> amount of IFQ that could be leased by a CDQ group in a </w:t>
      </w:r>
      <w:r w:rsidRPr="00A34931">
        <w:rPr>
          <w:color w:val="000000" w:themeColor="text1"/>
        </w:rPr>
        <w:lastRenderedPageBreak/>
        <w:t>year.</w:t>
      </w:r>
      <w:r>
        <w:rPr>
          <w:color w:val="000000" w:themeColor="text1"/>
        </w:rPr>
        <w:t xml:space="preserve"> Additionally, under this proposed rule, CDQ groups that leased IFQ specified for IFQ regulatory area 4D would be able to harvest that IFQ in regulatory area 4E. </w:t>
      </w:r>
    </w:p>
    <w:p w14:paraId="35A6451E" w14:textId="77777777" w:rsidR="00404B55" w:rsidRDefault="000B1560" w:rsidP="00404B55">
      <w:pPr>
        <w:rPr>
          <w:color w:val="000000" w:themeColor="text1"/>
        </w:rPr>
      </w:pPr>
      <w:r>
        <w:rPr>
          <w:color w:val="000000" w:themeColor="text1"/>
        </w:rPr>
        <w:t>Under this proposed rule</w:t>
      </w:r>
      <w:r w:rsidRPr="00AF2E08">
        <w:rPr>
          <w:color w:val="000000" w:themeColor="text1"/>
        </w:rPr>
        <w:t xml:space="preserve">, </w:t>
      </w:r>
      <w:r>
        <w:rPr>
          <w:color w:val="000000" w:themeColor="text1"/>
        </w:rPr>
        <w:t xml:space="preserve">a CDQ group that wished to lease halibut IFQ would </w:t>
      </w:r>
      <w:r w:rsidR="00777924">
        <w:rPr>
          <w:color w:val="000000" w:themeColor="text1"/>
        </w:rPr>
        <w:t>arrange</w:t>
      </w:r>
      <w:r>
        <w:rPr>
          <w:color w:val="000000" w:themeColor="text1"/>
        </w:rPr>
        <w:t xml:space="preserve"> with an IFQ holder to transfer their IFQ. The CDQ group would need to complete </w:t>
      </w:r>
      <w:r w:rsidRPr="001020E5">
        <w:rPr>
          <w:color w:val="000000" w:themeColor="text1"/>
        </w:rPr>
        <w:t xml:space="preserve">an </w:t>
      </w:r>
      <w:r w:rsidR="008B5150">
        <w:rPr>
          <w:spacing w:val="-1"/>
        </w:rPr>
        <w:t xml:space="preserve">Application for Temporary Transfer of Halibut/Sablefish Individual Fishing Quota (IFQ) </w:t>
      </w:r>
      <w:r>
        <w:rPr>
          <w:color w:val="000000" w:themeColor="text1"/>
        </w:rPr>
        <w:t xml:space="preserve">and submit it to NMFS for approval. Once approved, NMFS would issue the CDQ group an IFQ permit with the pounds of halibut IFQ that would be available to be fished. A CDQ group could then determine who would fish the halibut IFQ. </w:t>
      </w:r>
    </w:p>
    <w:p w14:paraId="5CB603D8" w14:textId="77777777" w:rsidR="00404B55" w:rsidRDefault="00FE5C66">
      <w:pPr>
        <w:rPr>
          <w:b/>
          <w:szCs w:val="24"/>
        </w:rPr>
      </w:pPr>
      <w:r>
        <w:rPr>
          <w:b/>
          <w:szCs w:val="24"/>
        </w:rPr>
        <w:t xml:space="preserve">A.  </w:t>
      </w:r>
      <w:r w:rsidR="007B2C4B" w:rsidRPr="007B2C4B">
        <w:rPr>
          <w:b/>
          <w:szCs w:val="24"/>
        </w:rPr>
        <w:t>JUSTIFICATION</w:t>
      </w:r>
    </w:p>
    <w:p w14:paraId="1903BABA" w14:textId="77777777" w:rsidR="00404B55" w:rsidRDefault="009D3250" w:rsidP="00404B55">
      <w:pPr>
        <w:pStyle w:val="Heading1"/>
      </w:pPr>
      <w:r w:rsidRPr="00630DC3">
        <w:t>1.  Explain the circumstances that make the collection of information necessary.</w:t>
      </w:r>
    </w:p>
    <w:p w14:paraId="2B751129" w14:textId="77777777" w:rsidR="00404B55" w:rsidRDefault="006819AF" w:rsidP="00404B55">
      <w:r w:rsidRPr="00D36DDB">
        <w:t xml:space="preserve">NMFS issues a proposed rule </w:t>
      </w:r>
      <w:r>
        <w:t xml:space="preserve">(RIN 0648-BG94) </w:t>
      </w:r>
      <w:r w:rsidRPr="00D36DDB">
        <w:t xml:space="preserve">that would </w:t>
      </w:r>
      <w:r>
        <w:t xml:space="preserve">modify regulations governing the Halibut and Sablefish Individual Fishing Quota (IFQ) Program. </w:t>
      </w:r>
      <w:r w:rsidR="008D4CE4">
        <w:t>This action</w:t>
      </w:r>
      <w:r>
        <w:t xml:space="preserve"> would allow Western Alaska Community Development Quota (CDQ) groups to lease (to receive by transfer) halibut individual fishing quota (IFQ) in IFQ regulatory areas 4B, 4C, and 4D in years of low halibut catch limits. This action would provide additional harvest opportunities to </w:t>
      </w:r>
      <w:r w:rsidRPr="00CB03FF">
        <w:t xml:space="preserve">CDQ </w:t>
      </w:r>
      <w:r>
        <w:t xml:space="preserve">groups and provide IFQ holders with the opportunity to receive value for their IFQ when the halibut catch limits </w:t>
      </w:r>
      <w:r w:rsidRPr="00CB03FF">
        <w:t xml:space="preserve">may not be large enough to </w:t>
      </w:r>
      <w:r>
        <w:t xml:space="preserve">provide for an economically </w:t>
      </w:r>
      <w:r w:rsidRPr="00CB03FF">
        <w:t>viable fishery</w:t>
      </w:r>
      <w:r>
        <w:t xml:space="preserve"> for IFQ holders.</w:t>
      </w:r>
      <w:r w:rsidR="00FB75B3">
        <w:t xml:space="preserve"> </w:t>
      </w:r>
    </w:p>
    <w:p w14:paraId="797AB3AC" w14:textId="090C1778" w:rsidR="00404B55" w:rsidRDefault="000B1560" w:rsidP="00404B55">
      <w:pPr>
        <w:rPr>
          <w:spacing w:val="-1"/>
        </w:rPr>
      </w:pPr>
      <w:r w:rsidRPr="003E757D">
        <w:rPr>
          <w:spacing w:val="-1"/>
        </w:rPr>
        <w:t xml:space="preserve">To facilitate recordkeeping and reporting requirements for this rule, </w:t>
      </w:r>
      <w:r w:rsidRPr="00310692">
        <w:rPr>
          <w:spacing w:val="-1"/>
        </w:rPr>
        <w:t xml:space="preserve">NMFS </w:t>
      </w:r>
      <w:r w:rsidR="00096535" w:rsidRPr="00310692">
        <w:rPr>
          <w:spacing w:val="-1"/>
        </w:rPr>
        <w:t xml:space="preserve">will </w:t>
      </w:r>
      <w:r w:rsidR="007121A9">
        <w:rPr>
          <w:spacing w:val="-1"/>
        </w:rPr>
        <w:t>remove</w:t>
      </w:r>
      <w:r w:rsidRPr="00310692">
        <w:rPr>
          <w:spacing w:val="-1"/>
        </w:rPr>
        <w:t xml:space="preserve"> </w:t>
      </w:r>
      <w:r w:rsidR="002E48FD" w:rsidRPr="00310692">
        <w:rPr>
          <w:spacing w:val="-1"/>
        </w:rPr>
        <w:t>the</w:t>
      </w:r>
      <w:r w:rsidR="00826EF3" w:rsidRPr="00310692">
        <w:rPr>
          <w:spacing w:val="-1"/>
        </w:rPr>
        <w:t xml:space="preserve"> existing form</w:t>
      </w:r>
      <w:r w:rsidR="002E48FD" w:rsidRPr="00310692">
        <w:rPr>
          <w:spacing w:val="-1"/>
        </w:rPr>
        <w:t xml:space="preserve"> Application for Transfer of QS/IFQ</w:t>
      </w:r>
      <w:r w:rsidR="00826EF3" w:rsidRPr="00310692">
        <w:rPr>
          <w:spacing w:val="-1"/>
        </w:rPr>
        <w:t xml:space="preserve"> and </w:t>
      </w:r>
      <w:r w:rsidR="00096535" w:rsidRPr="00310692">
        <w:rPr>
          <w:spacing w:val="-1"/>
        </w:rPr>
        <w:t xml:space="preserve">split it into two new </w:t>
      </w:r>
      <w:r w:rsidR="00826EF3" w:rsidRPr="00310692">
        <w:rPr>
          <w:spacing w:val="-1"/>
        </w:rPr>
        <w:t>form</w:t>
      </w:r>
      <w:r w:rsidR="00096535" w:rsidRPr="00310692">
        <w:rPr>
          <w:spacing w:val="-1"/>
        </w:rPr>
        <w:t>s</w:t>
      </w:r>
      <w:r w:rsidRPr="00310692">
        <w:rPr>
          <w:spacing w:val="-1"/>
        </w:rPr>
        <w:t>. This is necessary to monitor IFQ transfers, in which this rule creates an exception</w:t>
      </w:r>
      <w:r w:rsidR="003856C4" w:rsidRPr="00310692">
        <w:rPr>
          <w:spacing w:val="-1"/>
        </w:rPr>
        <w:t xml:space="preserve"> for CDQ</w:t>
      </w:r>
      <w:r w:rsidR="003856C4" w:rsidRPr="003E757D">
        <w:rPr>
          <w:spacing w:val="-1"/>
        </w:rPr>
        <w:t xml:space="preserve"> groups.</w:t>
      </w:r>
      <w:r w:rsidR="003E757D">
        <w:rPr>
          <w:spacing w:val="-1"/>
        </w:rPr>
        <w:t xml:space="preserve"> The </w:t>
      </w:r>
      <w:r w:rsidR="00DD5CAB">
        <w:rPr>
          <w:spacing w:val="-1"/>
        </w:rPr>
        <w:t>new</w:t>
      </w:r>
      <w:r w:rsidR="002454CF">
        <w:rPr>
          <w:spacing w:val="-1"/>
        </w:rPr>
        <w:t xml:space="preserve"> </w:t>
      </w:r>
      <w:r w:rsidR="003E757D">
        <w:rPr>
          <w:spacing w:val="-1"/>
        </w:rPr>
        <w:t>form</w:t>
      </w:r>
      <w:r w:rsidR="00DD5CAB">
        <w:rPr>
          <w:spacing w:val="-1"/>
        </w:rPr>
        <w:t xml:space="preserve"> associated with this proposed rule</w:t>
      </w:r>
      <w:r w:rsidR="002454CF">
        <w:rPr>
          <w:spacing w:val="-1"/>
        </w:rPr>
        <w:t>,</w:t>
      </w:r>
      <w:r w:rsidR="003E757D">
        <w:rPr>
          <w:spacing w:val="-1"/>
        </w:rPr>
        <w:t xml:space="preserve"> Application for Temporary Transfer of </w:t>
      </w:r>
      <w:r w:rsidR="002454CF">
        <w:rPr>
          <w:spacing w:val="-1"/>
        </w:rPr>
        <w:t>Halibut/Sablefish Individual Fishing Quota (</w:t>
      </w:r>
      <w:r w:rsidR="003E757D">
        <w:rPr>
          <w:spacing w:val="-1"/>
        </w:rPr>
        <w:t>IFQ</w:t>
      </w:r>
      <w:r w:rsidR="002454CF">
        <w:rPr>
          <w:spacing w:val="-1"/>
        </w:rPr>
        <w:t>)</w:t>
      </w:r>
      <w:r w:rsidR="003E757D">
        <w:rPr>
          <w:spacing w:val="-1"/>
        </w:rPr>
        <w:t>,</w:t>
      </w:r>
      <w:r w:rsidR="00096535">
        <w:rPr>
          <w:spacing w:val="-1"/>
        </w:rPr>
        <w:t xml:space="preserve"> </w:t>
      </w:r>
      <w:r w:rsidR="002454CF">
        <w:rPr>
          <w:spacing w:val="-1"/>
        </w:rPr>
        <w:t xml:space="preserve">designates </w:t>
      </w:r>
      <w:r w:rsidR="00096535">
        <w:rPr>
          <w:spacing w:val="-1"/>
        </w:rPr>
        <w:t>a temporary transfer</w:t>
      </w:r>
      <w:r w:rsidR="003E757D">
        <w:rPr>
          <w:spacing w:val="-1"/>
        </w:rPr>
        <w:t xml:space="preserve"> valid only for the calendar year in which it is approved. </w:t>
      </w:r>
      <w:r w:rsidR="00DD5CAB">
        <w:rPr>
          <w:spacing w:val="-1"/>
        </w:rPr>
        <w:t>This form is</w:t>
      </w:r>
      <w:r w:rsidR="008B5150">
        <w:rPr>
          <w:spacing w:val="-1"/>
        </w:rPr>
        <w:t xml:space="preserve"> not specific to this exception; they are used by many QS/IFQ holders. </w:t>
      </w:r>
    </w:p>
    <w:p w14:paraId="3AD470A7" w14:textId="77777777" w:rsidR="00404B55" w:rsidRDefault="00FB75B3" w:rsidP="00404B55">
      <w:pPr>
        <w:rPr>
          <w:szCs w:val="24"/>
        </w:rPr>
      </w:pPr>
      <w:r w:rsidRPr="00FB75B3">
        <w:rPr>
          <w:szCs w:val="24"/>
        </w:rPr>
        <w:t xml:space="preserve">Additionally, a reporting requirement would be added at § 679.5(l)(10) to require the CDQ groups to submit an annual report on the criteria used to select IFQ holders to receive IFQ transfers from, the criteria used to determine who can receive transferred IFQ, and the amount and type of IFQ transferred. </w:t>
      </w:r>
    </w:p>
    <w:p w14:paraId="2DA1A848" w14:textId="77777777" w:rsidR="00404B55" w:rsidRDefault="0000100A" w:rsidP="00404B55">
      <w:pPr>
        <w:pStyle w:val="Heading1"/>
      </w:pPr>
      <w:r w:rsidRPr="0000100A">
        <w:t xml:space="preserve">2.  </w:t>
      </w:r>
      <w:r w:rsidRPr="009D3250">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0100A">
        <w:t xml:space="preserve">. </w:t>
      </w:r>
    </w:p>
    <w:p w14:paraId="4364681D" w14:textId="5CE1A939" w:rsidR="00404B55" w:rsidRDefault="009E2622" w:rsidP="00404B55">
      <w:pPr>
        <w:pStyle w:val="Header2"/>
        <w:rPr>
          <w:u w:val="single"/>
        </w:rPr>
      </w:pPr>
      <w:r w:rsidRPr="009E2622">
        <w:t xml:space="preserve">Application for Temporary Transfer of Halibut/Sablefish Individual Fishing Quota </w:t>
      </w:r>
      <w:r w:rsidRPr="00ED2FDA">
        <w:t>(IFQ) [</w:t>
      </w:r>
      <w:r w:rsidR="00ED2FDA" w:rsidRPr="00ED2FDA">
        <w:t>NEW; most of this information was collected by the Application for Transfer of QS/IFQ</w:t>
      </w:r>
      <w:r w:rsidR="00560756" w:rsidRPr="00ED2FDA">
        <w:t>]</w:t>
      </w:r>
      <w:r w:rsidR="005D0ACE" w:rsidRPr="00ED2FDA">
        <w:t xml:space="preserve"> </w:t>
      </w:r>
    </w:p>
    <w:p w14:paraId="21FF140E" w14:textId="77777777" w:rsidR="00404B55" w:rsidRDefault="00FB740C"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B740C">
        <w:rPr>
          <w:szCs w:val="24"/>
        </w:rPr>
        <w:t>IFQ</w:t>
      </w:r>
      <w:r w:rsidR="004A39E8" w:rsidRPr="00FB740C">
        <w:rPr>
          <w:szCs w:val="24"/>
        </w:rPr>
        <w:t xml:space="preserve"> is eligible </w:t>
      </w:r>
      <w:r w:rsidRPr="00FB740C">
        <w:rPr>
          <w:szCs w:val="24"/>
        </w:rPr>
        <w:t>to be temporarily transferred in limited exceptions</w:t>
      </w:r>
      <w:r w:rsidR="00021E23">
        <w:rPr>
          <w:szCs w:val="24"/>
        </w:rPr>
        <w:t xml:space="preserve">. </w:t>
      </w:r>
      <w:r w:rsidR="00021E23">
        <w:rPr>
          <w:spacing w:val="-1"/>
        </w:rPr>
        <w:t xml:space="preserve">The Application for Temporary Transfer can be used for several temporary transfers, including Category A IFQ transfer, surviving beneficiary transfer, military service transfer, and </w:t>
      </w:r>
      <w:r w:rsidR="00021E23" w:rsidRPr="00F559F7">
        <w:rPr>
          <w:spacing w:val="-1"/>
        </w:rPr>
        <w:t>the newest justification</w:t>
      </w:r>
      <w:r w:rsidR="00021E23">
        <w:rPr>
          <w:spacing w:val="-1"/>
        </w:rPr>
        <w:t xml:space="preserve">, transfers to CDQ groups in </w:t>
      </w:r>
      <w:r w:rsidR="009B54E1">
        <w:rPr>
          <w:spacing w:val="-1"/>
        </w:rPr>
        <w:t>Areas BCD</w:t>
      </w:r>
      <w:r w:rsidR="00021E23">
        <w:rPr>
          <w:spacing w:val="-1"/>
        </w:rPr>
        <w:t xml:space="preserve"> in times of low halibut abundance.</w:t>
      </w:r>
    </w:p>
    <w:p w14:paraId="1472CC58" w14:textId="77777777" w:rsidR="00404B55" w:rsidRDefault="00FB740C"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B740C">
        <w:rPr>
          <w:szCs w:val="24"/>
        </w:rPr>
        <w:t>There are specific regulatory criteria that must be met before any of these transfers are approved. A temporary IFQ transfer is valid only for the calendar year in which it is approved.</w:t>
      </w:r>
    </w:p>
    <w:p w14:paraId="503FEFB4" w14:textId="77777777" w:rsidR="00404B55"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FB740C">
        <w:rPr>
          <w:szCs w:val="24"/>
        </w:rPr>
        <w:lastRenderedPageBreak/>
        <w:t xml:space="preserve">The information required by this application is necessary to ensure that </w:t>
      </w:r>
      <w:r w:rsidR="009B54E1">
        <w:rPr>
          <w:szCs w:val="24"/>
        </w:rPr>
        <w:t>IFQ</w:t>
      </w:r>
      <w:r w:rsidRPr="00FB740C">
        <w:rPr>
          <w:szCs w:val="24"/>
        </w:rPr>
        <w:t xml:space="preserve"> are transferred in compliance with the regulations governing the buying</w:t>
      </w:r>
      <w:r w:rsidR="003453BC">
        <w:rPr>
          <w:szCs w:val="24"/>
        </w:rPr>
        <w:t xml:space="preserve">, </w:t>
      </w:r>
      <w:r w:rsidRPr="00FB740C">
        <w:rPr>
          <w:szCs w:val="24"/>
        </w:rPr>
        <w:t xml:space="preserve">selling </w:t>
      </w:r>
      <w:r w:rsidR="003453BC">
        <w:rPr>
          <w:szCs w:val="24"/>
        </w:rPr>
        <w:t xml:space="preserve">or gifting </w:t>
      </w:r>
      <w:r w:rsidRPr="00FB740C">
        <w:rPr>
          <w:szCs w:val="24"/>
        </w:rPr>
        <w:t xml:space="preserve">of </w:t>
      </w:r>
      <w:r w:rsidR="00967F0F">
        <w:rPr>
          <w:szCs w:val="24"/>
        </w:rPr>
        <w:t>IFQ</w:t>
      </w:r>
      <w:r w:rsidRPr="00FB740C">
        <w:rPr>
          <w:szCs w:val="24"/>
        </w:rPr>
        <w:t xml:space="preserve">.  </w:t>
      </w:r>
    </w:p>
    <w:p w14:paraId="68F23230" w14:textId="77777777" w:rsidR="00404B55" w:rsidRDefault="00644E6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This</w:t>
      </w:r>
      <w:r w:rsidRPr="00FB740C">
        <w:rPr>
          <w:szCs w:val="24"/>
        </w:rPr>
        <w:t xml:space="preserve"> </w:t>
      </w:r>
      <w:r w:rsidR="00BA091B" w:rsidRPr="00FB740C">
        <w:rPr>
          <w:szCs w:val="24"/>
        </w:rPr>
        <w:t xml:space="preserve">application may be submitted to NMFS by mail or delivery.  </w:t>
      </w:r>
      <w:r>
        <w:rPr>
          <w:szCs w:val="24"/>
        </w:rPr>
        <w:t>NMFS will not accept a f</w:t>
      </w:r>
      <w:r w:rsidRPr="00FB740C">
        <w:rPr>
          <w:szCs w:val="24"/>
        </w:rPr>
        <w:t xml:space="preserve">ax </w:t>
      </w:r>
      <w:r w:rsidR="00BA091B" w:rsidRPr="00FB740C">
        <w:rPr>
          <w:szCs w:val="24"/>
        </w:rPr>
        <w:t xml:space="preserve">submittal </w:t>
      </w:r>
      <w:r>
        <w:rPr>
          <w:szCs w:val="24"/>
        </w:rPr>
        <w:t>because of</w:t>
      </w:r>
      <w:r w:rsidR="00BA091B" w:rsidRPr="00FB740C">
        <w:rPr>
          <w:szCs w:val="24"/>
        </w:rPr>
        <w:t xml:space="preserve"> </w:t>
      </w:r>
      <w:r w:rsidR="003453BC">
        <w:rPr>
          <w:szCs w:val="24"/>
        </w:rPr>
        <w:t>a</w:t>
      </w:r>
      <w:r w:rsidR="003453BC" w:rsidRPr="00FB740C">
        <w:rPr>
          <w:szCs w:val="24"/>
        </w:rPr>
        <w:t xml:space="preserve"> </w:t>
      </w:r>
      <w:r w:rsidR="003453BC">
        <w:rPr>
          <w:szCs w:val="24"/>
        </w:rPr>
        <w:t>n</w:t>
      </w:r>
      <w:r w:rsidR="003453BC" w:rsidRPr="00FB740C">
        <w:rPr>
          <w:szCs w:val="24"/>
        </w:rPr>
        <w:t>otar</w:t>
      </w:r>
      <w:r w:rsidR="003453BC">
        <w:rPr>
          <w:szCs w:val="24"/>
        </w:rPr>
        <w:t>ized signature is</w:t>
      </w:r>
      <w:r w:rsidR="003453BC" w:rsidRPr="00FB740C">
        <w:rPr>
          <w:szCs w:val="24"/>
        </w:rPr>
        <w:t xml:space="preserve"> </w:t>
      </w:r>
      <w:r w:rsidR="00776D7F">
        <w:rPr>
          <w:szCs w:val="24"/>
        </w:rPr>
        <w:t>requir</w:t>
      </w:r>
      <w:r w:rsidR="003453BC" w:rsidRPr="00FB740C">
        <w:rPr>
          <w:szCs w:val="24"/>
        </w:rPr>
        <w:t>e</w:t>
      </w:r>
      <w:r w:rsidR="003453BC">
        <w:rPr>
          <w:szCs w:val="24"/>
        </w:rPr>
        <w:t>d</w:t>
      </w:r>
      <w:r w:rsidR="00BA091B" w:rsidRPr="00FB740C">
        <w:rPr>
          <w:szCs w:val="24"/>
        </w:rPr>
        <w:t>.</w:t>
      </w:r>
    </w:p>
    <w:p w14:paraId="10E86C45" w14:textId="3FDBA914" w:rsidR="00CF4DF9" w:rsidRPr="00404B55" w:rsidRDefault="00CF4DF9" w:rsidP="00404B55">
      <w:pPr>
        <w:pStyle w:val="Header2"/>
        <w:numPr>
          <w:ilvl w:val="0"/>
          <w:numId w:val="0"/>
        </w:numPr>
        <w:ind w:left="360"/>
        <w:rPr>
          <w:rStyle w:val="Strong"/>
          <w:b/>
        </w:rPr>
      </w:pPr>
      <w:r w:rsidRPr="00404B55">
        <w:rPr>
          <w:rStyle w:val="Strong"/>
          <w:b/>
        </w:rPr>
        <w:t xml:space="preserve">Application for Temporary Transfer of Halibut/Sablefish Individual Fishing Quota </w:t>
      </w:r>
    </w:p>
    <w:p w14:paraId="6A989826" w14:textId="063DE69E" w:rsidR="00BA091B" w:rsidRPr="00404B55" w:rsidRDefault="00BA091B" w:rsidP="00404B55">
      <w:pPr>
        <w:widowControl/>
        <w:autoSpaceDE/>
        <w:autoSpaceDN/>
        <w:adjustRightInd/>
        <w:spacing w:after="0"/>
        <w:rPr>
          <w:sz w:val="20"/>
          <w:u w:val="single"/>
        </w:rPr>
      </w:pPr>
      <w:r w:rsidRPr="00404B55">
        <w:rPr>
          <w:sz w:val="20"/>
          <w:u w:val="single"/>
        </w:rPr>
        <w:t>Block A –</w:t>
      </w:r>
      <w:r w:rsidR="00FB740C" w:rsidRPr="00404B55">
        <w:rPr>
          <w:sz w:val="20"/>
          <w:u w:val="single"/>
        </w:rPr>
        <w:t xml:space="preserve"> Type of Temporary IFQ Transfer Requested</w:t>
      </w:r>
    </w:p>
    <w:p w14:paraId="05C9F808" w14:textId="70B2C8C1" w:rsidR="00BA091B" w:rsidRPr="00404B55" w:rsidRDefault="00FB740C" w:rsidP="00404B55">
      <w:pPr>
        <w:widowControl/>
        <w:autoSpaceDE/>
        <w:autoSpaceDN/>
        <w:adjustRightInd/>
        <w:spacing w:after="0"/>
        <w:ind w:left="450"/>
        <w:rPr>
          <w:sz w:val="20"/>
        </w:rPr>
      </w:pPr>
      <w:r w:rsidRPr="00404B55">
        <w:rPr>
          <w:sz w:val="20"/>
        </w:rPr>
        <w:t xml:space="preserve">Please indicate the type of temporary IFQ transfer requested (Category A IFQ transfer, surviving beneficiary, temporary military service transfer, </w:t>
      </w:r>
      <w:r w:rsidR="001501C4" w:rsidRPr="00404B55">
        <w:rPr>
          <w:sz w:val="20"/>
        </w:rPr>
        <w:t>IFQ transfer to CDQ groups during year of low halibut abundance)</w:t>
      </w:r>
    </w:p>
    <w:p w14:paraId="2DFAEB0C" w14:textId="37E65E2B" w:rsidR="00FB740C" w:rsidRPr="00404B55" w:rsidRDefault="00BA091B" w:rsidP="00404B55">
      <w:pPr>
        <w:tabs>
          <w:tab w:val="left" w:pos="360"/>
          <w:tab w:val="left" w:pos="720"/>
          <w:tab w:val="left" w:pos="1080"/>
          <w:tab w:val="left" w:pos="1440"/>
        </w:tabs>
        <w:spacing w:after="0"/>
        <w:rPr>
          <w:bCs/>
          <w:iCs/>
          <w:sz w:val="20"/>
        </w:rPr>
      </w:pPr>
      <w:r w:rsidRPr="00404B55">
        <w:rPr>
          <w:sz w:val="20"/>
          <w:u w:val="single"/>
        </w:rPr>
        <w:t>Block B –</w:t>
      </w:r>
      <w:r w:rsidR="00FB740C" w:rsidRPr="00404B55">
        <w:rPr>
          <w:sz w:val="20"/>
          <w:u w:val="single"/>
        </w:rPr>
        <w:t>Transferor Information</w:t>
      </w:r>
      <w:r w:rsidR="00FB740C" w:rsidRPr="00404B55">
        <w:rPr>
          <w:b/>
          <w:bCs/>
          <w:i/>
          <w:iCs/>
          <w:sz w:val="20"/>
        </w:rPr>
        <w:t xml:space="preserve"> </w:t>
      </w:r>
    </w:p>
    <w:p w14:paraId="31592BDC" w14:textId="0E17EC8D" w:rsidR="00BA091B" w:rsidRPr="00404B55" w:rsidRDefault="00BA091B" w:rsidP="00404B55">
      <w:pPr>
        <w:tabs>
          <w:tab w:val="left" w:pos="360"/>
          <w:tab w:val="left" w:pos="720"/>
          <w:tab w:val="left" w:pos="1080"/>
          <w:tab w:val="left" w:pos="1440"/>
        </w:tabs>
        <w:spacing w:after="0"/>
        <w:rPr>
          <w:sz w:val="20"/>
        </w:rPr>
      </w:pPr>
      <w:r w:rsidRPr="00404B55">
        <w:rPr>
          <w:sz w:val="20"/>
        </w:rPr>
        <w:tab/>
      </w:r>
      <w:r w:rsidR="00587782" w:rsidRPr="00404B55">
        <w:rPr>
          <w:sz w:val="20"/>
        </w:rPr>
        <w:t>Name and NMFS Person ID</w:t>
      </w:r>
      <w:r w:rsidRPr="00404B55">
        <w:rPr>
          <w:sz w:val="20"/>
        </w:rPr>
        <w:tab/>
      </w:r>
    </w:p>
    <w:p w14:paraId="1BB772BD" w14:textId="4F57C8AA" w:rsidR="00FB740C" w:rsidRPr="00404B55" w:rsidRDefault="00FB740C" w:rsidP="00404B55">
      <w:pPr>
        <w:tabs>
          <w:tab w:val="left" w:pos="360"/>
          <w:tab w:val="left" w:pos="720"/>
          <w:tab w:val="left" w:pos="1080"/>
          <w:tab w:val="left" w:pos="1440"/>
        </w:tabs>
        <w:spacing w:after="0"/>
        <w:rPr>
          <w:sz w:val="20"/>
        </w:rPr>
      </w:pPr>
      <w:r w:rsidRPr="00404B55">
        <w:rPr>
          <w:sz w:val="20"/>
        </w:rPr>
        <w:tab/>
        <w:t>Date of Birthday</w:t>
      </w:r>
    </w:p>
    <w:p w14:paraId="44F452A4" w14:textId="77777777" w:rsidR="00BA091B" w:rsidRPr="00404B55" w:rsidRDefault="00BA091B" w:rsidP="00404B55">
      <w:pPr>
        <w:tabs>
          <w:tab w:val="left" w:pos="360"/>
          <w:tab w:val="left" w:pos="720"/>
          <w:tab w:val="left" w:pos="1080"/>
          <w:tab w:val="left" w:pos="1440"/>
        </w:tabs>
        <w:spacing w:after="0"/>
        <w:rPr>
          <w:sz w:val="20"/>
        </w:rPr>
      </w:pPr>
      <w:r w:rsidRPr="00404B55">
        <w:rPr>
          <w:sz w:val="20"/>
        </w:rPr>
        <w:tab/>
        <w:t>Business mailing address (indicate whether permanent or temporary)</w:t>
      </w:r>
    </w:p>
    <w:p w14:paraId="6C132E80" w14:textId="77777777" w:rsidR="00BA091B" w:rsidRPr="00404B55" w:rsidRDefault="00BA091B" w:rsidP="00404B55">
      <w:pPr>
        <w:tabs>
          <w:tab w:val="left" w:pos="360"/>
          <w:tab w:val="left" w:pos="720"/>
          <w:tab w:val="left" w:pos="1080"/>
          <w:tab w:val="left" w:pos="1440"/>
        </w:tabs>
        <w:spacing w:after="0"/>
        <w:rPr>
          <w:sz w:val="20"/>
        </w:rPr>
      </w:pPr>
      <w:r w:rsidRPr="00404B55">
        <w:rPr>
          <w:sz w:val="20"/>
        </w:rPr>
        <w:tab/>
        <w:t xml:space="preserve">Business telephone number, business fax number, and business e-mail address </w:t>
      </w:r>
    </w:p>
    <w:p w14:paraId="6750635D" w14:textId="1219D1A5" w:rsidR="00FB740C" w:rsidRPr="00404B55" w:rsidRDefault="00FB740C" w:rsidP="00404B55">
      <w:pPr>
        <w:tabs>
          <w:tab w:val="left" w:pos="360"/>
          <w:tab w:val="left" w:pos="720"/>
          <w:tab w:val="left" w:pos="1080"/>
          <w:tab w:val="left" w:pos="1440"/>
        </w:tabs>
        <w:spacing w:after="0"/>
        <w:rPr>
          <w:sz w:val="20"/>
        </w:rPr>
      </w:pPr>
      <w:r w:rsidRPr="00404B55">
        <w:rPr>
          <w:sz w:val="20"/>
          <w:u w:val="single"/>
        </w:rPr>
        <w:t>Block C –Transferee Information</w:t>
      </w:r>
    </w:p>
    <w:p w14:paraId="6C9C5C16" w14:textId="77777777" w:rsidR="00FB740C" w:rsidRPr="00404B55" w:rsidRDefault="00FB740C" w:rsidP="00404B55">
      <w:pPr>
        <w:tabs>
          <w:tab w:val="left" w:pos="360"/>
          <w:tab w:val="left" w:pos="720"/>
          <w:tab w:val="left" w:pos="1080"/>
          <w:tab w:val="left" w:pos="1440"/>
        </w:tabs>
        <w:spacing w:after="0"/>
        <w:ind w:left="360"/>
        <w:rPr>
          <w:sz w:val="20"/>
        </w:rPr>
      </w:pPr>
      <w:r w:rsidRPr="00404B55">
        <w:rPr>
          <w:sz w:val="20"/>
        </w:rPr>
        <w:t>Name and NMFS Person ID</w:t>
      </w:r>
      <w:r w:rsidRPr="00404B55">
        <w:rPr>
          <w:sz w:val="20"/>
        </w:rPr>
        <w:tab/>
      </w:r>
    </w:p>
    <w:p w14:paraId="4585AF94" w14:textId="77777777" w:rsidR="00FB740C" w:rsidRPr="00404B55" w:rsidRDefault="00FB740C" w:rsidP="00404B55">
      <w:pPr>
        <w:tabs>
          <w:tab w:val="left" w:pos="360"/>
          <w:tab w:val="left" w:pos="720"/>
          <w:tab w:val="left" w:pos="1080"/>
          <w:tab w:val="left" w:pos="1440"/>
        </w:tabs>
        <w:spacing w:after="0"/>
        <w:rPr>
          <w:sz w:val="20"/>
        </w:rPr>
      </w:pPr>
      <w:r w:rsidRPr="00404B55">
        <w:rPr>
          <w:sz w:val="20"/>
        </w:rPr>
        <w:tab/>
        <w:t>Date of Birthday</w:t>
      </w:r>
    </w:p>
    <w:p w14:paraId="34AD96B6" w14:textId="77777777" w:rsidR="00FB740C" w:rsidRPr="00404B55" w:rsidRDefault="00FB740C" w:rsidP="00404B55">
      <w:pPr>
        <w:tabs>
          <w:tab w:val="left" w:pos="360"/>
          <w:tab w:val="left" w:pos="720"/>
          <w:tab w:val="left" w:pos="1080"/>
          <w:tab w:val="left" w:pos="1440"/>
        </w:tabs>
        <w:spacing w:after="0"/>
        <w:rPr>
          <w:sz w:val="20"/>
        </w:rPr>
      </w:pPr>
      <w:r w:rsidRPr="00404B55">
        <w:rPr>
          <w:sz w:val="20"/>
        </w:rPr>
        <w:tab/>
        <w:t>Business mailing address (indicate whether permanent or temporary)</w:t>
      </w:r>
    </w:p>
    <w:p w14:paraId="027B84B6" w14:textId="77777777" w:rsidR="00FB740C" w:rsidRPr="00404B55" w:rsidRDefault="00FB740C" w:rsidP="00404B55">
      <w:pPr>
        <w:tabs>
          <w:tab w:val="left" w:pos="360"/>
          <w:tab w:val="left" w:pos="720"/>
          <w:tab w:val="left" w:pos="1080"/>
          <w:tab w:val="left" w:pos="1440"/>
        </w:tabs>
        <w:spacing w:after="0"/>
        <w:rPr>
          <w:sz w:val="20"/>
        </w:rPr>
      </w:pPr>
      <w:r w:rsidRPr="00404B55">
        <w:rPr>
          <w:sz w:val="20"/>
        </w:rPr>
        <w:tab/>
        <w:t xml:space="preserve">Business telephone number, business fax number, and business e-mail address </w:t>
      </w:r>
    </w:p>
    <w:p w14:paraId="36EBC4EF" w14:textId="0D4B352F" w:rsidR="00C60F47" w:rsidRPr="00404B55" w:rsidRDefault="00C60F47" w:rsidP="00404B55">
      <w:pPr>
        <w:spacing w:after="0"/>
        <w:rPr>
          <w:sz w:val="20"/>
          <w:u w:val="single"/>
        </w:rPr>
      </w:pPr>
      <w:r w:rsidRPr="00404B55">
        <w:rPr>
          <w:sz w:val="20"/>
          <w:u w:val="single"/>
        </w:rPr>
        <w:t xml:space="preserve">Block </w:t>
      </w:r>
      <w:r w:rsidR="00FB740C" w:rsidRPr="00404B55">
        <w:rPr>
          <w:sz w:val="20"/>
          <w:u w:val="single"/>
        </w:rPr>
        <w:t>D</w:t>
      </w:r>
      <w:r w:rsidRPr="00404B55">
        <w:rPr>
          <w:sz w:val="20"/>
          <w:u w:val="single"/>
        </w:rPr>
        <w:t xml:space="preserve"> –</w:t>
      </w:r>
      <w:r w:rsidR="00DA7094" w:rsidRPr="00404B55">
        <w:rPr>
          <w:sz w:val="20"/>
          <w:u w:val="single"/>
        </w:rPr>
        <w:t xml:space="preserve"> </w:t>
      </w:r>
      <w:r w:rsidR="00FB740C" w:rsidRPr="00404B55">
        <w:rPr>
          <w:sz w:val="20"/>
          <w:u w:val="single"/>
        </w:rPr>
        <w:t>Identification of IFQ to be Transferred</w:t>
      </w:r>
    </w:p>
    <w:p w14:paraId="354CE6AF" w14:textId="69447C23" w:rsidR="00C60F47" w:rsidRPr="00404B55" w:rsidRDefault="00FB740C" w:rsidP="00404B55">
      <w:pPr>
        <w:spacing w:after="0"/>
        <w:ind w:left="360"/>
        <w:rPr>
          <w:sz w:val="20"/>
        </w:rPr>
      </w:pPr>
      <w:r w:rsidRPr="00404B55">
        <w:rPr>
          <w:sz w:val="20"/>
        </w:rPr>
        <w:t>Indicate halibut or sablefish</w:t>
      </w:r>
    </w:p>
    <w:p w14:paraId="2F1F9283" w14:textId="5C1A3BCC" w:rsidR="00FB740C" w:rsidRPr="00404B55" w:rsidRDefault="00FB740C" w:rsidP="00404B55">
      <w:pPr>
        <w:spacing w:after="0"/>
        <w:ind w:left="360"/>
        <w:rPr>
          <w:sz w:val="20"/>
        </w:rPr>
      </w:pPr>
      <w:r w:rsidRPr="00404B55">
        <w:rPr>
          <w:sz w:val="20"/>
        </w:rPr>
        <w:t>Indicate IFQ Regulatory Area</w:t>
      </w:r>
    </w:p>
    <w:p w14:paraId="035B2EAC" w14:textId="21CC2DC0" w:rsidR="00FB740C" w:rsidRPr="00404B55" w:rsidRDefault="00FB740C" w:rsidP="00404B55">
      <w:pPr>
        <w:spacing w:after="0"/>
        <w:ind w:left="360"/>
        <w:rPr>
          <w:sz w:val="20"/>
        </w:rPr>
      </w:pPr>
      <w:r w:rsidRPr="00404B55">
        <w:rPr>
          <w:sz w:val="20"/>
        </w:rPr>
        <w:t>Number of IFQ Pounds</w:t>
      </w:r>
    </w:p>
    <w:p w14:paraId="7574ED9A" w14:textId="7C093CB4" w:rsidR="00FB740C" w:rsidRPr="00404B55" w:rsidRDefault="00FB740C" w:rsidP="00404B55">
      <w:pPr>
        <w:spacing w:after="0"/>
        <w:ind w:left="360"/>
        <w:rPr>
          <w:sz w:val="20"/>
        </w:rPr>
      </w:pPr>
      <w:r w:rsidRPr="00404B55">
        <w:rPr>
          <w:sz w:val="20"/>
        </w:rPr>
        <w:t>From IFQ Permit Number</w:t>
      </w:r>
    </w:p>
    <w:p w14:paraId="3103DB85" w14:textId="096AB8DC" w:rsidR="00FB740C" w:rsidRPr="00404B55" w:rsidRDefault="00FB740C" w:rsidP="00404B55">
      <w:pPr>
        <w:spacing w:after="0"/>
        <w:ind w:left="360"/>
        <w:rPr>
          <w:sz w:val="20"/>
        </w:rPr>
      </w:pPr>
      <w:r w:rsidRPr="00404B55">
        <w:rPr>
          <w:sz w:val="20"/>
        </w:rPr>
        <w:t>For Fishing Year</w:t>
      </w:r>
    </w:p>
    <w:p w14:paraId="623A9F3D" w14:textId="5DF75742" w:rsidR="00C60F47" w:rsidRPr="00404B55" w:rsidRDefault="00C60F47" w:rsidP="00404B55">
      <w:pPr>
        <w:spacing w:after="0"/>
        <w:rPr>
          <w:sz w:val="20"/>
          <w:u w:val="single"/>
        </w:rPr>
      </w:pPr>
      <w:r w:rsidRPr="00404B55">
        <w:rPr>
          <w:sz w:val="20"/>
          <w:u w:val="single"/>
        </w:rPr>
        <w:t xml:space="preserve">Block </w:t>
      </w:r>
      <w:r w:rsidR="001501C4" w:rsidRPr="00404B55">
        <w:rPr>
          <w:sz w:val="20"/>
          <w:u w:val="single"/>
        </w:rPr>
        <w:t>E</w:t>
      </w:r>
      <w:r w:rsidRPr="00404B55">
        <w:rPr>
          <w:sz w:val="20"/>
          <w:u w:val="single"/>
        </w:rPr>
        <w:t xml:space="preserve"> – </w:t>
      </w:r>
      <w:r w:rsidR="001501C4" w:rsidRPr="00404B55">
        <w:rPr>
          <w:sz w:val="20"/>
          <w:u w:val="single"/>
        </w:rPr>
        <w:t>Required Transferor Supplemental Information</w:t>
      </w:r>
    </w:p>
    <w:p w14:paraId="32261CCB" w14:textId="235F5088" w:rsidR="00C60F47" w:rsidRPr="00404B55" w:rsidRDefault="001501C4" w:rsidP="00404B55">
      <w:pPr>
        <w:spacing w:after="0"/>
        <w:ind w:left="360"/>
        <w:rPr>
          <w:sz w:val="20"/>
        </w:rPr>
      </w:pPr>
      <w:r w:rsidRPr="00404B55">
        <w:rPr>
          <w:sz w:val="20"/>
        </w:rPr>
        <w:t>Price per pound</w:t>
      </w:r>
    </w:p>
    <w:p w14:paraId="2D940A63" w14:textId="1AA13FB5" w:rsidR="001501C4" w:rsidRPr="00404B55" w:rsidRDefault="001501C4" w:rsidP="00404B55">
      <w:pPr>
        <w:spacing w:after="0"/>
        <w:ind w:left="360"/>
        <w:rPr>
          <w:sz w:val="20"/>
        </w:rPr>
      </w:pPr>
      <w:r w:rsidRPr="00404B55">
        <w:rPr>
          <w:sz w:val="20"/>
        </w:rPr>
        <w:t>Total Amount paid for IFQ in this transaction, including all fees</w:t>
      </w:r>
    </w:p>
    <w:p w14:paraId="7B2B5688" w14:textId="13F5F99D" w:rsidR="00C60F47" w:rsidRPr="00404B55" w:rsidRDefault="00C60F47" w:rsidP="00404B55">
      <w:pPr>
        <w:spacing w:after="0"/>
        <w:rPr>
          <w:sz w:val="20"/>
          <w:u w:val="single"/>
        </w:rPr>
      </w:pPr>
      <w:r w:rsidRPr="00404B55">
        <w:rPr>
          <w:sz w:val="20"/>
          <w:u w:val="single"/>
        </w:rPr>
        <w:t xml:space="preserve">Block </w:t>
      </w:r>
      <w:r w:rsidR="001501C4" w:rsidRPr="00404B55">
        <w:rPr>
          <w:sz w:val="20"/>
          <w:u w:val="single"/>
        </w:rPr>
        <w:t>F</w:t>
      </w:r>
      <w:r w:rsidRPr="00404B55">
        <w:rPr>
          <w:sz w:val="20"/>
          <w:u w:val="single"/>
        </w:rPr>
        <w:t xml:space="preserve"> – Required Transfer</w:t>
      </w:r>
      <w:r w:rsidR="001501C4" w:rsidRPr="00404B55">
        <w:rPr>
          <w:sz w:val="20"/>
          <w:u w:val="single"/>
        </w:rPr>
        <w:t>ee</w:t>
      </w:r>
      <w:r w:rsidRPr="00404B55">
        <w:rPr>
          <w:sz w:val="20"/>
          <w:u w:val="single"/>
        </w:rPr>
        <w:t xml:space="preserve"> Supplemental Information</w:t>
      </w:r>
    </w:p>
    <w:p w14:paraId="48A3A7DA" w14:textId="4B310599" w:rsidR="00C60F47" w:rsidRPr="00404B55" w:rsidRDefault="00C60F47" w:rsidP="00404B55">
      <w:pPr>
        <w:spacing w:after="0"/>
        <w:ind w:left="360"/>
        <w:rPr>
          <w:sz w:val="20"/>
        </w:rPr>
      </w:pPr>
      <w:r w:rsidRPr="00404B55">
        <w:rPr>
          <w:sz w:val="20"/>
        </w:rPr>
        <w:t>Indicate the</w:t>
      </w:r>
      <w:r w:rsidR="001501C4" w:rsidRPr="00404B55">
        <w:rPr>
          <w:sz w:val="20"/>
        </w:rPr>
        <w:t xml:space="preserve"> primary source of financing for this transfer</w:t>
      </w:r>
    </w:p>
    <w:p w14:paraId="04BC69BC" w14:textId="3A980722" w:rsidR="001501C4" w:rsidRPr="00404B55" w:rsidRDefault="001501C4" w:rsidP="00404B55">
      <w:pPr>
        <w:spacing w:after="0"/>
        <w:ind w:left="360"/>
        <w:rPr>
          <w:sz w:val="20"/>
        </w:rPr>
      </w:pPr>
      <w:r w:rsidRPr="00404B55">
        <w:rPr>
          <w:sz w:val="20"/>
        </w:rPr>
        <w:t>How was the IFQ located?</w:t>
      </w:r>
    </w:p>
    <w:p w14:paraId="32B0902E" w14:textId="7698B152" w:rsidR="001501C4" w:rsidRPr="00404B55" w:rsidRDefault="001501C4" w:rsidP="00404B55">
      <w:pPr>
        <w:spacing w:after="0"/>
        <w:ind w:left="360"/>
        <w:rPr>
          <w:sz w:val="20"/>
        </w:rPr>
      </w:pPr>
      <w:r w:rsidRPr="00404B55">
        <w:rPr>
          <w:sz w:val="20"/>
        </w:rPr>
        <w:t>What is the Transferee’s relationship to the IFQ Holder?</w:t>
      </w:r>
    </w:p>
    <w:p w14:paraId="00A6DF82" w14:textId="1247F411" w:rsidR="00C60F47" w:rsidRPr="00404B55" w:rsidRDefault="00C60F47" w:rsidP="00404B55">
      <w:pPr>
        <w:spacing w:after="0"/>
        <w:rPr>
          <w:sz w:val="20"/>
          <w:u w:val="single"/>
        </w:rPr>
      </w:pPr>
      <w:r w:rsidRPr="00404B55">
        <w:rPr>
          <w:sz w:val="20"/>
          <w:u w:val="single"/>
        </w:rPr>
        <w:t xml:space="preserve">Block </w:t>
      </w:r>
      <w:r w:rsidR="001501C4" w:rsidRPr="00404B55">
        <w:rPr>
          <w:sz w:val="20"/>
          <w:u w:val="single"/>
        </w:rPr>
        <w:t>G</w:t>
      </w:r>
      <w:r w:rsidRPr="00404B55">
        <w:rPr>
          <w:sz w:val="20"/>
          <w:u w:val="single"/>
        </w:rPr>
        <w:t xml:space="preserve"> – </w:t>
      </w:r>
      <w:r w:rsidR="001501C4" w:rsidRPr="00404B55">
        <w:rPr>
          <w:sz w:val="20"/>
          <w:u w:val="single"/>
        </w:rPr>
        <w:t>Temporary Military Transfer</w:t>
      </w:r>
    </w:p>
    <w:p w14:paraId="4385B215" w14:textId="77777777" w:rsidR="001501C4" w:rsidRPr="00404B55" w:rsidRDefault="001501C4" w:rsidP="00404B55">
      <w:pPr>
        <w:tabs>
          <w:tab w:val="left" w:pos="8675"/>
        </w:tabs>
        <w:spacing w:after="0"/>
        <w:ind w:left="360"/>
        <w:rPr>
          <w:sz w:val="20"/>
        </w:rPr>
      </w:pPr>
      <w:r w:rsidRPr="00404B55">
        <w:rPr>
          <w:sz w:val="20"/>
        </w:rPr>
        <w:t>Does the Transferor qualify to hire a master under regulatory provisions at 50 CFR 679.42(i)(1)?   See instructions for more information.</w:t>
      </w:r>
    </w:p>
    <w:p w14:paraId="002916B1" w14:textId="77777777" w:rsidR="001501C4" w:rsidRPr="00404B55" w:rsidRDefault="001501C4" w:rsidP="00404B55">
      <w:pPr>
        <w:tabs>
          <w:tab w:val="left" w:pos="8675"/>
        </w:tabs>
        <w:spacing w:after="0"/>
        <w:ind w:left="360"/>
        <w:rPr>
          <w:sz w:val="20"/>
        </w:rPr>
      </w:pPr>
      <w:r w:rsidRPr="00404B55">
        <w:rPr>
          <w:sz w:val="20"/>
        </w:rPr>
        <w:t>Is the Transferor a member of a branch of the National Guard or a member of a reserve component under a call to active service or, in the case of a member of the reserve component, been ordered to report for military service beginning on the date of the member’s receipt of the order and ending on the date on which the member reports for active duty military service?</w:t>
      </w:r>
    </w:p>
    <w:p w14:paraId="047FAF60" w14:textId="4D625C63" w:rsidR="001501C4" w:rsidRPr="00404B55" w:rsidRDefault="001501C4" w:rsidP="00404B55">
      <w:pPr>
        <w:tabs>
          <w:tab w:val="left" w:pos="8675"/>
        </w:tabs>
        <w:spacing w:after="0"/>
        <w:ind w:left="360"/>
        <w:rPr>
          <w:sz w:val="20"/>
        </w:rPr>
      </w:pPr>
      <w:r w:rsidRPr="00404B55">
        <w:rPr>
          <w:b/>
          <w:sz w:val="20"/>
        </w:rPr>
        <w:t>If YES</w:t>
      </w:r>
      <w:r w:rsidRPr="00404B55">
        <w:rPr>
          <w:sz w:val="20"/>
        </w:rPr>
        <w:t xml:space="preserve">, you must provide documentation of active military mobilization or deployment. This documentation must include the following: </w:t>
      </w:r>
    </w:p>
    <w:p w14:paraId="3177A994" w14:textId="64FBDAFF" w:rsidR="001501C4" w:rsidRPr="00404B55" w:rsidRDefault="001501C4" w:rsidP="00404B55">
      <w:pPr>
        <w:tabs>
          <w:tab w:val="left" w:pos="8675"/>
        </w:tabs>
        <w:spacing w:after="0"/>
        <w:ind w:left="810"/>
        <w:rPr>
          <w:sz w:val="20"/>
        </w:rPr>
      </w:pPr>
      <w:r w:rsidRPr="00404B55">
        <w:rPr>
          <w:sz w:val="20"/>
        </w:rPr>
        <w:t>A copy of official documentation such as valid military orders or call that direct the transferor to report to active duty military service, to mobilize for a military deployment, or to report to active service.</w:t>
      </w:r>
    </w:p>
    <w:p w14:paraId="56B152FA" w14:textId="57E37DEA" w:rsidR="001501C4" w:rsidRPr="00404B55" w:rsidRDefault="001501C4" w:rsidP="00404B55">
      <w:pPr>
        <w:tabs>
          <w:tab w:val="left" w:pos="8675"/>
        </w:tabs>
        <w:spacing w:after="0"/>
        <w:ind w:left="810"/>
        <w:rPr>
          <w:sz w:val="20"/>
        </w:rPr>
      </w:pPr>
      <w:r w:rsidRPr="00404B55">
        <w:rPr>
          <w:sz w:val="20"/>
        </w:rPr>
        <w:t>A concise description of the nature of the military deployment or active duty military service, including verification that the applicant is unable to participate in the IFQ fishery for which he or she holds IFQ permits during the IFQ season because of his/her active duty military service.</w:t>
      </w:r>
    </w:p>
    <w:p w14:paraId="43BEE42C" w14:textId="75707DCD" w:rsidR="00C60F47" w:rsidRPr="00404B55" w:rsidRDefault="00C60F47" w:rsidP="00404B55">
      <w:pPr>
        <w:spacing w:after="0"/>
        <w:rPr>
          <w:sz w:val="20"/>
          <w:u w:val="single"/>
        </w:rPr>
      </w:pPr>
      <w:r w:rsidRPr="00404B55">
        <w:rPr>
          <w:sz w:val="20"/>
          <w:u w:val="single"/>
        </w:rPr>
        <w:t xml:space="preserve">Block </w:t>
      </w:r>
      <w:r w:rsidR="001501C4" w:rsidRPr="00404B55">
        <w:rPr>
          <w:sz w:val="20"/>
          <w:u w:val="single"/>
        </w:rPr>
        <w:t>H</w:t>
      </w:r>
      <w:r w:rsidRPr="00404B55">
        <w:rPr>
          <w:sz w:val="20"/>
          <w:u w:val="single"/>
        </w:rPr>
        <w:t xml:space="preserve"> -- Certification of Transferor</w:t>
      </w:r>
    </w:p>
    <w:p w14:paraId="0D444899" w14:textId="77777777" w:rsidR="00C60F47" w:rsidRPr="00404B55" w:rsidRDefault="00C60F47" w:rsidP="00404B55">
      <w:pPr>
        <w:spacing w:after="0"/>
        <w:ind w:left="360"/>
        <w:rPr>
          <w:sz w:val="20"/>
        </w:rPr>
      </w:pPr>
      <w:r w:rsidRPr="00404B55">
        <w:rPr>
          <w:sz w:val="20"/>
        </w:rPr>
        <w:t>Printed name and signature of Transferor and date signed</w:t>
      </w:r>
    </w:p>
    <w:p w14:paraId="0FA1DC8B" w14:textId="77777777" w:rsidR="00C60F47" w:rsidRPr="00404B55" w:rsidRDefault="00C60F47" w:rsidP="00404B55">
      <w:pPr>
        <w:spacing w:after="0"/>
        <w:ind w:left="360"/>
        <w:rPr>
          <w:sz w:val="20"/>
        </w:rPr>
      </w:pPr>
      <w:r w:rsidRPr="00404B55">
        <w:rPr>
          <w:sz w:val="20"/>
        </w:rPr>
        <w:t>If authorized representative, attach authorization</w:t>
      </w:r>
    </w:p>
    <w:p w14:paraId="4F96747F" w14:textId="77777777" w:rsidR="00C60F47" w:rsidRPr="00404B55" w:rsidRDefault="00C60F47" w:rsidP="00404B55">
      <w:pPr>
        <w:spacing w:after="0"/>
        <w:ind w:left="360"/>
        <w:rPr>
          <w:sz w:val="20"/>
        </w:rPr>
      </w:pPr>
      <w:r w:rsidRPr="00404B55">
        <w:rPr>
          <w:sz w:val="20"/>
        </w:rPr>
        <w:t>Signature, commission expiration date, and stamp of notary</w:t>
      </w:r>
    </w:p>
    <w:p w14:paraId="5A000839" w14:textId="7BD41CF0" w:rsidR="00C60F47" w:rsidRPr="00404B55" w:rsidRDefault="00C60F47" w:rsidP="00404B55">
      <w:pPr>
        <w:spacing w:after="0"/>
        <w:rPr>
          <w:sz w:val="20"/>
          <w:u w:val="single"/>
        </w:rPr>
      </w:pPr>
      <w:r w:rsidRPr="00404B55">
        <w:rPr>
          <w:sz w:val="20"/>
          <w:u w:val="single"/>
        </w:rPr>
        <w:t xml:space="preserve">Block </w:t>
      </w:r>
      <w:r w:rsidR="001501C4" w:rsidRPr="00404B55">
        <w:rPr>
          <w:sz w:val="20"/>
          <w:u w:val="single"/>
        </w:rPr>
        <w:t>I</w:t>
      </w:r>
      <w:r w:rsidRPr="00404B55">
        <w:rPr>
          <w:sz w:val="20"/>
          <w:u w:val="single"/>
        </w:rPr>
        <w:t xml:space="preserve"> -- Certification of Transferee</w:t>
      </w:r>
    </w:p>
    <w:p w14:paraId="4E48559D" w14:textId="77777777" w:rsidR="00C60F47" w:rsidRPr="00404B55" w:rsidRDefault="00C60F47" w:rsidP="00404B55">
      <w:pPr>
        <w:spacing w:after="0"/>
        <w:ind w:left="360"/>
        <w:rPr>
          <w:sz w:val="20"/>
        </w:rPr>
      </w:pPr>
      <w:r w:rsidRPr="00404B55">
        <w:rPr>
          <w:sz w:val="20"/>
        </w:rPr>
        <w:t>Printed name and signature of Transferee and date signed.</w:t>
      </w:r>
    </w:p>
    <w:p w14:paraId="480938E2" w14:textId="77777777" w:rsidR="00C60F47" w:rsidRPr="00404B55" w:rsidRDefault="00C60F47" w:rsidP="00404B55">
      <w:pPr>
        <w:spacing w:after="0"/>
        <w:ind w:left="360"/>
        <w:rPr>
          <w:sz w:val="20"/>
        </w:rPr>
      </w:pPr>
      <w:r w:rsidRPr="00404B55">
        <w:rPr>
          <w:sz w:val="20"/>
        </w:rPr>
        <w:t>If authorized representative, attach authorization.</w:t>
      </w:r>
    </w:p>
    <w:p w14:paraId="734A7A74" w14:textId="77777777" w:rsidR="00404B55" w:rsidRDefault="00C60F47" w:rsidP="00404B55">
      <w:pPr>
        <w:spacing w:after="0"/>
        <w:ind w:left="360"/>
        <w:rPr>
          <w:sz w:val="20"/>
        </w:rPr>
      </w:pPr>
      <w:r w:rsidRPr="00404B55">
        <w:rPr>
          <w:sz w:val="20"/>
        </w:rPr>
        <w:t>Signature, commission expiration date, and stamp of notary</w:t>
      </w:r>
    </w:p>
    <w:p w14:paraId="23768F1A" w14:textId="77777777" w:rsidR="00404B55" w:rsidRDefault="00404B55" w:rsidP="00404B55">
      <w:pPr>
        <w:spacing w:after="0"/>
        <w:ind w:left="360"/>
        <w:rPr>
          <w:sz w:val="20"/>
        </w:rPr>
      </w:pPr>
    </w:p>
    <w:p w14:paraId="795AF93F" w14:textId="2E7C580B" w:rsidR="009C2F29" w:rsidRPr="00E00C7A" w:rsidRDefault="009C2F29" w:rsidP="00776D7F">
      <w:pPr>
        <w:pStyle w:val="BodyText"/>
        <w:ind w:right="0"/>
        <w:rPr>
          <w:sz w:val="24"/>
        </w:rPr>
      </w:pPr>
      <w:r w:rsidRPr="00E00C7A">
        <w:rPr>
          <w:spacing w:val="-1"/>
          <w:sz w:val="24"/>
        </w:rPr>
        <w:t xml:space="preserve">The number of respondents is based on </w:t>
      </w:r>
      <w:r w:rsidR="00642B0F" w:rsidRPr="00E00C7A">
        <w:rPr>
          <w:spacing w:val="-1"/>
          <w:sz w:val="24"/>
        </w:rPr>
        <w:t>IFQ</w:t>
      </w:r>
      <w:r w:rsidRPr="00E00C7A">
        <w:rPr>
          <w:spacing w:val="-1"/>
          <w:sz w:val="24"/>
        </w:rPr>
        <w:t xml:space="preserve"> transfer activity for 2017. Two people</w:t>
      </w:r>
      <w:r w:rsidR="00E00C7A">
        <w:rPr>
          <w:spacing w:val="-1"/>
          <w:sz w:val="24"/>
        </w:rPr>
        <w:t xml:space="preserve">, the transferor and the transferee, </w:t>
      </w:r>
      <w:r w:rsidRPr="00E00C7A">
        <w:rPr>
          <w:spacing w:val="-1"/>
          <w:sz w:val="24"/>
        </w:rPr>
        <w:t>complete one application for a transfer.</w:t>
      </w:r>
    </w:p>
    <w:p w14:paraId="0FDA02DF" w14:textId="77777777" w:rsidR="00BA091B" w:rsidRDefault="00BA091B" w:rsidP="00BA09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1622"/>
      </w:tblGrid>
      <w:tr w:rsidR="00BA091B" w:rsidRPr="00404B55" w14:paraId="39FF424B" w14:textId="77777777" w:rsidTr="00404B55">
        <w:trPr>
          <w:jc w:val="center"/>
        </w:trPr>
        <w:tc>
          <w:tcPr>
            <w:tcW w:w="5485" w:type="dxa"/>
            <w:gridSpan w:val="2"/>
          </w:tcPr>
          <w:p w14:paraId="39ACECA5" w14:textId="3816213A" w:rsidR="00BA091B" w:rsidRPr="00404B55" w:rsidRDefault="00CF4DF9" w:rsidP="00404B55">
            <w:pPr>
              <w:spacing w:after="0"/>
              <w:rPr>
                <w:b/>
                <w:bCs/>
                <w:sz w:val="20"/>
              </w:rPr>
            </w:pPr>
            <w:r w:rsidRPr="00404B55">
              <w:rPr>
                <w:b/>
                <w:sz w:val="20"/>
              </w:rPr>
              <w:t xml:space="preserve">Application for Temporary Transfer of Halibut/Sablefish Individual Fishing Quota, </w:t>
            </w:r>
            <w:r w:rsidR="00BA091B" w:rsidRPr="00404B55">
              <w:rPr>
                <w:b/>
                <w:bCs/>
                <w:sz w:val="20"/>
              </w:rPr>
              <w:t>Respondent</w:t>
            </w:r>
          </w:p>
        </w:tc>
      </w:tr>
      <w:tr w:rsidR="00BA091B" w:rsidRPr="00404B55" w14:paraId="6DB86BCD" w14:textId="77777777" w:rsidTr="00404B55">
        <w:trPr>
          <w:jc w:val="center"/>
        </w:trPr>
        <w:tc>
          <w:tcPr>
            <w:tcW w:w="3863" w:type="dxa"/>
          </w:tcPr>
          <w:p w14:paraId="109F149C" w14:textId="77777777" w:rsidR="00BA091B" w:rsidRPr="00404B55" w:rsidRDefault="00BA091B" w:rsidP="00404B55">
            <w:pPr>
              <w:spacing w:after="0"/>
              <w:rPr>
                <w:b/>
                <w:sz w:val="20"/>
              </w:rPr>
            </w:pPr>
            <w:r w:rsidRPr="00404B55">
              <w:rPr>
                <w:b/>
                <w:sz w:val="20"/>
              </w:rPr>
              <w:t>Estimated number of respondents</w:t>
            </w:r>
          </w:p>
          <w:p w14:paraId="41E66496" w14:textId="77777777" w:rsidR="00BA091B" w:rsidRPr="00404B55" w:rsidRDefault="00BA091B" w:rsidP="00404B55">
            <w:pPr>
              <w:spacing w:after="0"/>
              <w:rPr>
                <w:b/>
                <w:sz w:val="20"/>
              </w:rPr>
            </w:pPr>
            <w:r w:rsidRPr="00404B55">
              <w:rPr>
                <w:b/>
                <w:sz w:val="20"/>
              </w:rPr>
              <w:t xml:space="preserve">Total annual responses </w:t>
            </w:r>
          </w:p>
          <w:p w14:paraId="3EADA602" w14:textId="5A6D32D6" w:rsidR="00BA091B" w:rsidRPr="00404B55" w:rsidRDefault="00BA091B" w:rsidP="00404B55">
            <w:pPr>
              <w:spacing w:after="0"/>
              <w:rPr>
                <w:sz w:val="20"/>
              </w:rPr>
            </w:pPr>
            <w:r w:rsidRPr="00404B55">
              <w:rPr>
                <w:b/>
                <w:sz w:val="20"/>
              </w:rPr>
              <w:t xml:space="preserve">   </w:t>
            </w:r>
            <w:r w:rsidRPr="00404B55">
              <w:rPr>
                <w:sz w:val="20"/>
              </w:rPr>
              <w:t xml:space="preserve">Number of responses per year  = </w:t>
            </w:r>
            <w:r w:rsidR="00536334" w:rsidRPr="00404B55">
              <w:rPr>
                <w:sz w:val="20"/>
              </w:rPr>
              <w:t>1</w:t>
            </w:r>
          </w:p>
          <w:p w14:paraId="26C67A90" w14:textId="77777777" w:rsidR="00BA091B" w:rsidRPr="00404B55" w:rsidRDefault="00BA091B" w:rsidP="00404B55">
            <w:pPr>
              <w:spacing w:after="0"/>
              <w:rPr>
                <w:sz w:val="20"/>
              </w:rPr>
            </w:pPr>
            <w:r w:rsidRPr="00404B55">
              <w:rPr>
                <w:b/>
                <w:sz w:val="20"/>
              </w:rPr>
              <w:t>Total Time burden</w:t>
            </w:r>
            <w:r w:rsidRPr="00404B55">
              <w:rPr>
                <w:sz w:val="20"/>
              </w:rPr>
              <w:t xml:space="preserve">  </w:t>
            </w:r>
          </w:p>
          <w:p w14:paraId="2758A601" w14:textId="77777777" w:rsidR="00BA091B" w:rsidRPr="00404B55" w:rsidRDefault="00BA091B" w:rsidP="00404B55">
            <w:pPr>
              <w:spacing w:after="0"/>
              <w:rPr>
                <w:sz w:val="20"/>
              </w:rPr>
            </w:pPr>
            <w:r w:rsidRPr="00404B55">
              <w:rPr>
                <w:sz w:val="20"/>
              </w:rPr>
              <w:t xml:space="preserve">   Time per response = 2 hr</w:t>
            </w:r>
          </w:p>
          <w:p w14:paraId="0EE536FA" w14:textId="28061FBC" w:rsidR="00BA091B" w:rsidRPr="00404B55" w:rsidRDefault="00BA091B" w:rsidP="00404B55">
            <w:pPr>
              <w:spacing w:after="0"/>
              <w:rPr>
                <w:sz w:val="20"/>
              </w:rPr>
            </w:pPr>
            <w:r w:rsidRPr="00404B55">
              <w:rPr>
                <w:b/>
                <w:sz w:val="20"/>
              </w:rPr>
              <w:t>Total personnel cost</w:t>
            </w:r>
            <w:r w:rsidRPr="00404B55">
              <w:rPr>
                <w:sz w:val="20"/>
              </w:rPr>
              <w:t xml:space="preserve">  ($37/hr x </w:t>
            </w:r>
            <w:r w:rsidR="00536334" w:rsidRPr="00404B55">
              <w:rPr>
                <w:sz w:val="20"/>
              </w:rPr>
              <w:t>742</w:t>
            </w:r>
            <w:r w:rsidRPr="00404B55">
              <w:rPr>
                <w:sz w:val="20"/>
              </w:rPr>
              <w:t>)</w:t>
            </w:r>
          </w:p>
          <w:p w14:paraId="0A7ADAA8" w14:textId="2090FEDA" w:rsidR="00BA091B" w:rsidRPr="00404B55" w:rsidRDefault="00BA091B" w:rsidP="00404B55">
            <w:pPr>
              <w:spacing w:after="0"/>
              <w:rPr>
                <w:sz w:val="20"/>
              </w:rPr>
            </w:pPr>
            <w:r w:rsidRPr="00404B55">
              <w:rPr>
                <w:b/>
                <w:sz w:val="20"/>
              </w:rPr>
              <w:t>Total miscellaneous cost</w:t>
            </w:r>
            <w:r w:rsidRPr="00404B55">
              <w:rPr>
                <w:sz w:val="20"/>
              </w:rPr>
              <w:t xml:space="preserve"> (</w:t>
            </w:r>
            <w:r w:rsidR="00536334" w:rsidRPr="00404B55">
              <w:rPr>
                <w:sz w:val="20"/>
              </w:rPr>
              <w:t>2,166.64</w:t>
            </w:r>
            <w:r w:rsidRPr="00404B55">
              <w:rPr>
                <w:sz w:val="20"/>
              </w:rPr>
              <w:t>)</w:t>
            </w:r>
          </w:p>
          <w:p w14:paraId="26231D99" w14:textId="0BFC3C6D" w:rsidR="00BA091B" w:rsidRPr="00404B55" w:rsidRDefault="00BA091B" w:rsidP="00404B55">
            <w:pPr>
              <w:spacing w:after="0"/>
              <w:rPr>
                <w:sz w:val="20"/>
              </w:rPr>
            </w:pPr>
            <w:r w:rsidRPr="00404B55">
              <w:rPr>
                <w:sz w:val="20"/>
              </w:rPr>
              <w:t xml:space="preserve">   Postage (0.4</w:t>
            </w:r>
            <w:r w:rsidR="00661693" w:rsidRPr="00404B55">
              <w:rPr>
                <w:sz w:val="20"/>
              </w:rPr>
              <w:t>9</w:t>
            </w:r>
            <w:r w:rsidRPr="00404B55">
              <w:rPr>
                <w:sz w:val="20"/>
              </w:rPr>
              <w:t xml:space="preserve"> x </w:t>
            </w:r>
            <w:r w:rsidR="00536334" w:rsidRPr="00404B55">
              <w:rPr>
                <w:sz w:val="20"/>
              </w:rPr>
              <w:t xml:space="preserve">371 </w:t>
            </w:r>
            <w:r w:rsidRPr="00404B55">
              <w:rPr>
                <w:sz w:val="20"/>
              </w:rPr>
              <w:t xml:space="preserve">= </w:t>
            </w:r>
            <w:r w:rsidR="00536334" w:rsidRPr="00404B55">
              <w:rPr>
                <w:sz w:val="20"/>
              </w:rPr>
              <w:t>181.79</w:t>
            </w:r>
            <w:r w:rsidRPr="00404B55">
              <w:rPr>
                <w:sz w:val="20"/>
              </w:rPr>
              <w:t>)</w:t>
            </w:r>
          </w:p>
          <w:p w14:paraId="2C3343C2" w14:textId="7EEE1DC4" w:rsidR="00BA091B" w:rsidRPr="00404B55" w:rsidRDefault="00BA091B" w:rsidP="00404B55">
            <w:pPr>
              <w:spacing w:after="0"/>
              <w:rPr>
                <w:sz w:val="20"/>
              </w:rPr>
            </w:pPr>
            <w:r w:rsidRPr="00404B55">
              <w:rPr>
                <w:sz w:val="20"/>
              </w:rPr>
              <w:t xml:space="preserve">   Photocopy (0.05 x </w:t>
            </w:r>
            <w:r w:rsidR="00536334" w:rsidRPr="00404B55">
              <w:rPr>
                <w:sz w:val="20"/>
              </w:rPr>
              <w:t>7</w:t>
            </w:r>
            <w:r w:rsidRPr="00404B55">
              <w:rPr>
                <w:sz w:val="20"/>
              </w:rPr>
              <w:t xml:space="preserve"> pp x </w:t>
            </w:r>
            <w:r w:rsidR="00536334" w:rsidRPr="00404B55">
              <w:rPr>
                <w:sz w:val="20"/>
              </w:rPr>
              <w:t>371</w:t>
            </w:r>
            <w:r w:rsidRPr="00404B55">
              <w:rPr>
                <w:sz w:val="20"/>
              </w:rPr>
              <w:t xml:space="preserve"> = </w:t>
            </w:r>
            <w:r w:rsidR="00536334" w:rsidRPr="00404B55">
              <w:rPr>
                <w:sz w:val="20"/>
              </w:rPr>
              <w:t>129.85</w:t>
            </w:r>
            <w:r w:rsidRPr="00404B55">
              <w:rPr>
                <w:sz w:val="20"/>
              </w:rPr>
              <w:t>)</w:t>
            </w:r>
          </w:p>
          <w:p w14:paraId="45BB46C3" w14:textId="79253BFA" w:rsidR="00BA091B" w:rsidRPr="00404B55" w:rsidRDefault="00BA091B" w:rsidP="00404B55">
            <w:pPr>
              <w:spacing w:after="0"/>
              <w:rPr>
                <w:sz w:val="20"/>
              </w:rPr>
            </w:pPr>
            <w:r w:rsidRPr="00404B55">
              <w:rPr>
                <w:sz w:val="20"/>
              </w:rPr>
              <w:t xml:space="preserve">   Notary ($</w:t>
            </w:r>
            <w:r w:rsidR="00536334" w:rsidRPr="00404B55">
              <w:rPr>
                <w:sz w:val="20"/>
              </w:rPr>
              <w:t>5 x 371</w:t>
            </w:r>
            <w:r w:rsidRPr="00404B55">
              <w:rPr>
                <w:sz w:val="20"/>
              </w:rPr>
              <w:t xml:space="preserve"> = </w:t>
            </w:r>
            <w:r w:rsidR="00536334" w:rsidRPr="00404B55">
              <w:rPr>
                <w:sz w:val="20"/>
              </w:rPr>
              <w:t>1,855</w:t>
            </w:r>
            <w:r w:rsidRPr="00404B55">
              <w:rPr>
                <w:sz w:val="20"/>
              </w:rPr>
              <w:t>)</w:t>
            </w:r>
          </w:p>
        </w:tc>
        <w:tc>
          <w:tcPr>
            <w:tcW w:w="1622" w:type="dxa"/>
          </w:tcPr>
          <w:p w14:paraId="3C968626" w14:textId="3D043C8A" w:rsidR="00BA091B" w:rsidRPr="00404B55" w:rsidRDefault="0053633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742</w:t>
            </w:r>
          </w:p>
          <w:p w14:paraId="00101C26" w14:textId="0B69AD00" w:rsidR="00404B55" w:rsidRDefault="0053633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371</w:t>
            </w:r>
            <w:r w:rsidR="006662E7">
              <w:rPr>
                <w:b/>
                <w:sz w:val="20"/>
              </w:rPr>
              <w:t>*</w:t>
            </w:r>
          </w:p>
          <w:p w14:paraId="5ACD00FF" w14:textId="77777777" w:rsidR="006662E7" w:rsidRDefault="006662E7"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p>
          <w:p w14:paraId="025B1A38" w14:textId="77777777" w:rsidR="00404B55" w:rsidRDefault="0053633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742</w:t>
            </w:r>
            <w:r w:rsidR="00BA091B" w:rsidRPr="00404B55">
              <w:rPr>
                <w:b/>
                <w:sz w:val="20"/>
              </w:rPr>
              <w:t xml:space="preserve"> hr</w:t>
            </w:r>
          </w:p>
          <w:p w14:paraId="05AC14D3" w14:textId="77777777" w:rsidR="006662E7" w:rsidRDefault="006662E7"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p>
          <w:p w14:paraId="212AC60B" w14:textId="051499C0" w:rsidR="00BA091B" w:rsidRPr="00404B55" w:rsidRDefault="00BA091B"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w:t>
            </w:r>
            <w:r w:rsidR="00536334" w:rsidRPr="00404B55">
              <w:rPr>
                <w:b/>
                <w:sz w:val="20"/>
              </w:rPr>
              <w:t>27,454</w:t>
            </w:r>
          </w:p>
          <w:p w14:paraId="00FC64EC" w14:textId="1026C614" w:rsidR="00BA091B" w:rsidRPr="00404B55" w:rsidRDefault="00BA091B"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w:t>
            </w:r>
            <w:r w:rsidR="00536334" w:rsidRPr="00404B55">
              <w:rPr>
                <w:b/>
                <w:sz w:val="20"/>
              </w:rPr>
              <w:t>2,167</w:t>
            </w:r>
          </w:p>
        </w:tc>
      </w:tr>
    </w:tbl>
    <w:p w14:paraId="570C8EE9" w14:textId="37372D2E" w:rsidR="007C560D" w:rsidRDefault="006662E7" w:rsidP="00BA091B">
      <w:r>
        <w:t>* Two respondents per 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9"/>
        <w:gridCol w:w="979"/>
      </w:tblGrid>
      <w:tr w:rsidR="00BA091B" w:rsidRPr="00536334" w14:paraId="2151A396" w14:textId="77777777" w:rsidTr="00BA091B">
        <w:trPr>
          <w:jc w:val="center"/>
        </w:trPr>
        <w:tc>
          <w:tcPr>
            <w:tcW w:w="4838" w:type="dxa"/>
            <w:gridSpan w:val="2"/>
          </w:tcPr>
          <w:p w14:paraId="16698E17" w14:textId="77777777" w:rsidR="00CF4DF9" w:rsidRPr="00404B55" w:rsidRDefault="007C560D" w:rsidP="00404B55">
            <w:pPr>
              <w:spacing w:after="0"/>
              <w:rPr>
                <w:b/>
                <w:sz w:val="20"/>
              </w:rPr>
            </w:pPr>
            <w:r w:rsidRPr="00404B55">
              <w:rPr>
                <w:sz w:val="20"/>
              </w:rPr>
              <w:br w:type="page"/>
            </w:r>
            <w:r w:rsidR="00CF4DF9" w:rsidRPr="00404B55">
              <w:rPr>
                <w:b/>
                <w:sz w:val="20"/>
              </w:rPr>
              <w:t xml:space="preserve">Application for Temporary Transfer of Halibut/Sablefish Individual Fishing Quota, </w:t>
            </w:r>
          </w:p>
          <w:p w14:paraId="17D35431" w14:textId="6A7CBA41" w:rsidR="00BA091B" w:rsidRPr="00404B55" w:rsidRDefault="00BA091B" w:rsidP="00404B55">
            <w:pPr>
              <w:spacing w:after="0"/>
              <w:rPr>
                <w:b/>
                <w:bCs/>
                <w:sz w:val="20"/>
              </w:rPr>
            </w:pPr>
            <w:r w:rsidRPr="00404B55">
              <w:rPr>
                <w:b/>
                <w:bCs/>
                <w:sz w:val="20"/>
              </w:rPr>
              <w:t>Federal Government</w:t>
            </w:r>
          </w:p>
        </w:tc>
      </w:tr>
      <w:tr w:rsidR="00BA091B" w14:paraId="62EC7AB1" w14:textId="77777777" w:rsidTr="00BA091B">
        <w:trPr>
          <w:jc w:val="center"/>
        </w:trPr>
        <w:tc>
          <w:tcPr>
            <w:tcW w:w="3859" w:type="dxa"/>
          </w:tcPr>
          <w:p w14:paraId="53FD656B" w14:textId="77777777" w:rsidR="00BA091B" w:rsidRPr="00404B55" w:rsidRDefault="00BA091B" w:rsidP="00404B55">
            <w:pPr>
              <w:spacing w:after="0"/>
              <w:rPr>
                <w:sz w:val="20"/>
              </w:rPr>
            </w:pPr>
            <w:r w:rsidRPr="00404B55">
              <w:rPr>
                <w:b/>
                <w:sz w:val="20"/>
              </w:rPr>
              <w:t xml:space="preserve">Total annual responses </w:t>
            </w:r>
          </w:p>
          <w:p w14:paraId="3B288EFE" w14:textId="274665AF" w:rsidR="00BA091B" w:rsidRPr="00404B55" w:rsidRDefault="00BA091B" w:rsidP="00404B55">
            <w:pPr>
              <w:spacing w:after="0"/>
              <w:rPr>
                <w:sz w:val="20"/>
              </w:rPr>
            </w:pPr>
            <w:r w:rsidRPr="00404B55">
              <w:rPr>
                <w:b/>
                <w:sz w:val="20"/>
              </w:rPr>
              <w:t>Total Time burden</w:t>
            </w:r>
            <w:r w:rsidR="00EC6414" w:rsidRPr="00404B55">
              <w:rPr>
                <w:b/>
                <w:sz w:val="20"/>
              </w:rPr>
              <w:t xml:space="preserve"> (185.5)</w:t>
            </w:r>
            <w:r w:rsidR="00661693" w:rsidRPr="00404B55">
              <w:rPr>
                <w:sz w:val="20"/>
              </w:rPr>
              <w:t xml:space="preserve"> </w:t>
            </w:r>
            <w:r w:rsidRPr="00404B55">
              <w:rPr>
                <w:sz w:val="20"/>
              </w:rPr>
              <w:t xml:space="preserve"> </w:t>
            </w:r>
          </w:p>
          <w:p w14:paraId="1E0266F0" w14:textId="77777777" w:rsidR="00BA091B" w:rsidRPr="00404B55" w:rsidRDefault="00BA091B" w:rsidP="00404B55">
            <w:pPr>
              <w:spacing w:after="0"/>
              <w:rPr>
                <w:sz w:val="20"/>
              </w:rPr>
            </w:pPr>
            <w:r w:rsidRPr="00404B55">
              <w:rPr>
                <w:sz w:val="20"/>
              </w:rPr>
              <w:t xml:space="preserve">   Time per response  = 30 min</w:t>
            </w:r>
          </w:p>
          <w:p w14:paraId="5D33D5A9" w14:textId="0BB959C4" w:rsidR="00BA091B" w:rsidRPr="00404B55" w:rsidRDefault="00BA091B" w:rsidP="00404B55">
            <w:pPr>
              <w:spacing w:after="0"/>
              <w:rPr>
                <w:sz w:val="20"/>
              </w:rPr>
            </w:pPr>
            <w:r w:rsidRPr="00404B55">
              <w:rPr>
                <w:b/>
                <w:sz w:val="20"/>
              </w:rPr>
              <w:t>Total personnel cost</w:t>
            </w:r>
            <w:r w:rsidRPr="00404B55">
              <w:rPr>
                <w:sz w:val="20"/>
              </w:rPr>
              <w:t xml:space="preserve">  ($37/hr x </w:t>
            </w:r>
            <w:r w:rsidR="004206E7" w:rsidRPr="00404B55">
              <w:rPr>
                <w:sz w:val="20"/>
              </w:rPr>
              <w:t>186</w:t>
            </w:r>
            <w:r w:rsidRPr="00404B55">
              <w:rPr>
                <w:sz w:val="20"/>
              </w:rPr>
              <w:t>)</w:t>
            </w:r>
          </w:p>
          <w:p w14:paraId="28989162" w14:textId="77777777" w:rsidR="00BA091B" w:rsidRPr="00404B55" w:rsidRDefault="00BA091B" w:rsidP="00404B55">
            <w:pPr>
              <w:spacing w:after="0"/>
              <w:rPr>
                <w:b/>
                <w:sz w:val="20"/>
              </w:rPr>
            </w:pPr>
            <w:r w:rsidRPr="00404B55">
              <w:rPr>
                <w:b/>
                <w:sz w:val="20"/>
              </w:rPr>
              <w:t>Total miscellaneous cost</w:t>
            </w:r>
          </w:p>
        </w:tc>
        <w:tc>
          <w:tcPr>
            <w:tcW w:w="979" w:type="dxa"/>
          </w:tcPr>
          <w:p w14:paraId="000E200B" w14:textId="1778DB2E" w:rsidR="00BA091B" w:rsidRPr="00404B55" w:rsidRDefault="0053633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371</w:t>
            </w:r>
          </w:p>
          <w:p w14:paraId="1627995B" w14:textId="77777777" w:rsidR="00404B55" w:rsidRDefault="00EC641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 xml:space="preserve">186 </w:t>
            </w:r>
            <w:r w:rsidR="00BA091B" w:rsidRPr="00404B55">
              <w:rPr>
                <w:b/>
                <w:sz w:val="20"/>
              </w:rPr>
              <w:t>hr</w:t>
            </w:r>
          </w:p>
          <w:p w14:paraId="6F53A16C" w14:textId="77777777" w:rsidR="00F17504" w:rsidRDefault="00F17504"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p>
          <w:p w14:paraId="41FDF4D1" w14:textId="7C0991B4" w:rsidR="00BA091B" w:rsidRPr="00404B55" w:rsidRDefault="00BA091B"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w:t>
            </w:r>
            <w:r w:rsidR="004206E7" w:rsidRPr="00404B55">
              <w:rPr>
                <w:b/>
                <w:sz w:val="20"/>
              </w:rPr>
              <w:t>6,882</w:t>
            </w:r>
          </w:p>
          <w:p w14:paraId="46A5D516" w14:textId="77777777" w:rsidR="00BA091B" w:rsidRPr="00404B55" w:rsidRDefault="00BA091B"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0</w:t>
            </w:r>
          </w:p>
        </w:tc>
      </w:tr>
    </w:tbl>
    <w:p w14:paraId="0832ECE3" w14:textId="77777777" w:rsidR="00404B55" w:rsidRDefault="00404B55" w:rsidP="00404B55"/>
    <w:p w14:paraId="66CAF1F7" w14:textId="66398665" w:rsidR="00404B55" w:rsidRPr="00404B55" w:rsidRDefault="002A5004" w:rsidP="00404B55">
      <w:pPr>
        <w:pStyle w:val="Header2"/>
        <w:rPr>
          <w:rStyle w:val="Strong"/>
          <w:b/>
          <w:bCs/>
        </w:rPr>
      </w:pPr>
      <w:r>
        <w:t>Annual Report</w:t>
      </w:r>
      <w:r w:rsidR="00F57359">
        <w:t xml:space="preserve"> [NEW]</w:t>
      </w:r>
    </w:p>
    <w:p w14:paraId="06DE127A" w14:textId="77777777" w:rsidR="00404B55" w:rsidRDefault="000A7E88" w:rsidP="00404B55">
      <w:r w:rsidRPr="000A7E88">
        <w:rPr>
          <w:color w:val="000000" w:themeColor="text1"/>
        </w:rPr>
        <w:t xml:space="preserve">The </w:t>
      </w:r>
      <w:r w:rsidR="002A5004" w:rsidRPr="000A7E88">
        <w:rPr>
          <w:color w:val="000000" w:themeColor="text1"/>
        </w:rPr>
        <w:t xml:space="preserve">proposed rule would establish </w:t>
      </w:r>
      <w:r w:rsidRPr="000A7E88">
        <w:rPr>
          <w:color w:val="000000" w:themeColor="text1"/>
        </w:rPr>
        <w:t xml:space="preserve">new </w:t>
      </w:r>
      <w:r w:rsidR="002A5004" w:rsidRPr="000A7E88">
        <w:rPr>
          <w:color w:val="000000" w:themeColor="text1"/>
        </w:rPr>
        <w:t>reporting requirements for CDQ groups.</w:t>
      </w:r>
      <w:r w:rsidR="002A5004" w:rsidRPr="000A7E88">
        <w:t xml:space="preserve"> </w:t>
      </w:r>
      <w:r w:rsidR="009B54E1">
        <w:t xml:space="preserve">A CDQ group </w:t>
      </w:r>
      <w:r w:rsidRPr="000A7E88">
        <w:t>would be required to submit a</w:t>
      </w:r>
      <w:r w:rsidR="002A5004" w:rsidRPr="000A7E88">
        <w:t xml:space="preserve">n annual report only in years in which </w:t>
      </w:r>
      <w:r>
        <w:t xml:space="preserve">the </w:t>
      </w:r>
      <w:r w:rsidR="002A5004" w:rsidRPr="000A7E88">
        <w:t xml:space="preserve">CDQ group took advantage of the opportunity to </w:t>
      </w:r>
      <w:r w:rsidR="009B54E1">
        <w:t>receive</w:t>
      </w:r>
      <w:r w:rsidR="002A5004" w:rsidRPr="000A7E88">
        <w:t xml:space="preserve"> catcher vessel halibut IFQ</w:t>
      </w:r>
      <w:r w:rsidR="009B54E1">
        <w:t xml:space="preserve"> by transfer</w:t>
      </w:r>
      <w:r w:rsidRPr="000A7E88">
        <w:t xml:space="preserve">. The annual report </w:t>
      </w:r>
      <w:r w:rsidR="002A5004" w:rsidRPr="000A7E88">
        <w:t>would allow CDQ groups to demonstrate how this opportunity is benefiting its residents w</w:t>
      </w:r>
      <w:r w:rsidR="002A5004" w:rsidRPr="00ED4E7B">
        <w:t xml:space="preserve">ithout the Council or NMFS needing to define who is a “resident.”  </w:t>
      </w:r>
    </w:p>
    <w:p w14:paraId="5399DD30" w14:textId="77777777" w:rsidR="00404B55" w:rsidRDefault="008D4CE4" w:rsidP="00404B55">
      <w:r w:rsidRPr="008D4CE4">
        <w:t>The reporting requirement would be added at § 679.5(l)(10) to require the CDQ groups to submit an annual report on the criteria used to select IFQ holders to receive IFQ transfers from, the criteria used to determine who can receive transferred IFQ, and the amount and type of IFQ transferred.</w:t>
      </w:r>
      <w:r>
        <w:t xml:space="preserve"> </w:t>
      </w:r>
      <w:r w:rsidR="002A5004" w:rsidRPr="008D4CE4">
        <w:t>A CDQ group will not be eligible to lease halibut IFQ until a timely and complete report is submitted.</w:t>
      </w:r>
      <w:r w:rsidR="008E3003" w:rsidRPr="008D4CE4">
        <w:t xml:space="preserve"> </w:t>
      </w:r>
      <w:r w:rsidR="00137F05" w:rsidRPr="008D4CE4">
        <w:t xml:space="preserve"> The report </w:t>
      </w:r>
      <w:r w:rsidR="00500424" w:rsidRPr="008D4CE4">
        <w:t xml:space="preserve">would be </w:t>
      </w:r>
      <w:r w:rsidR="00600E28" w:rsidRPr="008D4CE4">
        <w:t>submitted</w:t>
      </w:r>
      <w:r w:rsidR="00137F05" w:rsidRPr="008D4CE4">
        <w:t xml:space="preserve"> to NMFS </w:t>
      </w:r>
      <w:r w:rsidR="00600E28" w:rsidRPr="008D4CE4">
        <w:t>and the Council through mail or email</w:t>
      </w:r>
      <w:r w:rsidRPr="008D4CE4">
        <w:t xml:space="preserve"> no later than January 31 after the transfer activity was completed</w:t>
      </w:r>
      <w:r w:rsidR="00600E28" w:rsidRPr="008D4CE4">
        <w:t xml:space="preserve">. </w:t>
      </w:r>
      <w:r w:rsidRPr="008D4CE4">
        <w:t xml:space="preserve"> A CDQ group will not be eligible to lease halibut IFQ until a timely and complete report is submitted.</w:t>
      </w:r>
    </w:p>
    <w:p w14:paraId="4393D60F" w14:textId="107780EE" w:rsidR="00EF286D" w:rsidRPr="002A5004" w:rsidRDefault="00EF286D" w:rsidP="00404B55">
      <w:pPr>
        <w:rPr>
          <w:b/>
        </w:rPr>
      </w:pPr>
      <w:r>
        <w:t xml:space="preserve">This program is voluntary and is limited to small vessels (under 51 feet </w:t>
      </w:r>
      <w:r w:rsidR="001737CA">
        <w:t>length overa</w:t>
      </w:r>
      <w:r w:rsidR="00E00C7A">
        <w:t>l</w:t>
      </w:r>
      <w:r w:rsidR="001737CA">
        <w:t>l</w:t>
      </w:r>
      <w:r>
        <w:t xml:space="preserve">). </w:t>
      </w:r>
      <w:r w:rsidR="00E00C7A">
        <w:t>The CDQ group receiving the IFQ transfer would provide the annual report to NMFS</w:t>
      </w:r>
      <w:r w:rsidR="008D4CE4">
        <w:t xml:space="preserve"> and the </w:t>
      </w:r>
      <w:r w:rsidR="003D7FF7">
        <w:t>Council</w:t>
      </w:r>
      <w:r w:rsidR="00E00C7A">
        <w:t>. There are 6 CDQ groups total.</w:t>
      </w:r>
      <w:r w:rsidR="00137F05">
        <w:t xml:space="preserve"> Since this program is implemented only in times of low abundance and not all vessels would opt to participate, NMFS anticipates </w:t>
      </w:r>
      <w:r w:rsidR="00137F05" w:rsidRPr="00561628">
        <w:t>0 responses at this time</w:t>
      </w:r>
      <w:r w:rsidR="00137F05">
        <w:t>.</w:t>
      </w:r>
    </w:p>
    <w:p w14:paraId="757E1CC6" w14:textId="77777777" w:rsidR="00B31654" w:rsidRDefault="00B31654" w:rsidP="00E366B0">
      <w:pPr>
        <w:shd w:val="clear" w:color="auto" w:fill="FFFFFF"/>
        <w:tabs>
          <w:tab w:val="left" w:pos="360"/>
          <w:tab w:val="left" w:pos="720"/>
        </w:tabs>
        <w:rPr>
          <w:szCs w:val="24"/>
        </w:rPr>
      </w:pPr>
    </w:p>
    <w:p w14:paraId="4201C0D4" w14:textId="77777777" w:rsidR="006662E7" w:rsidRDefault="006662E7" w:rsidP="00E366B0">
      <w:pPr>
        <w:shd w:val="clear" w:color="auto" w:fill="FFFFFF"/>
        <w:tabs>
          <w:tab w:val="left" w:pos="360"/>
          <w:tab w:val="left" w:pos="720"/>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990"/>
      </w:tblGrid>
      <w:tr w:rsidR="00E562F1" w:rsidRPr="00404B55" w14:paraId="1C5575F7" w14:textId="77777777" w:rsidTr="00286BC0">
        <w:trPr>
          <w:jc w:val="center"/>
        </w:trPr>
        <w:tc>
          <w:tcPr>
            <w:tcW w:w="4853" w:type="dxa"/>
            <w:gridSpan w:val="2"/>
          </w:tcPr>
          <w:p w14:paraId="155FEEB6" w14:textId="40583944" w:rsidR="00E562F1" w:rsidRPr="00404B55" w:rsidRDefault="00E562F1" w:rsidP="00404B55">
            <w:pPr>
              <w:spacing w:after="0"/>
              <w:rPr>
                <w:b/>
                <w:bCs/>
                <w:sz w:val="20"/>
              </w:rPr>
            </w:pPr>
            <w:r w:rsidRPr="00404B55">
              <w:rPr>
                <w:b/>
                <w:sz w:val="20"/>
              </w:rPr>
              <w:t xml:space="preserve">Annual Report on IFQ Transfers to CDQ Groups, </w:t>
            </w:r>
            <w:r w:rsidRPr="00404B55">
              <w:rPr>
                <w:b/>
                <w:bCs/>
                <w:sz w:val="20"/>
              </w:rPr>
              <w:t>Respondent</w:t>
            </w:r>
          </w:p>
        </w:tc>
      </w:tr>
      <w:tr w:rsidR="00E562F1" w:rsidRPr="00404B55" w14:paraId="256E2BA2" w14:textId="77777777" w:rsidTr="00286BC0">
        <w:trPr>
          <w:jc w:val="center"/>
        </w:trPr>
        <w:tc>
          <w:tcPr>
            <w:tcW w:w="3863" w:type="dxa"/>
          </w:tcPr>
          <w:p w14:paraId="159B40E7" w14:textId="77777777" w:rsidR="00E562F1" w:rsidRPr="00404B55" w:rsidRDefault="00E562F1" w:rsidP="00404B55">
            <w:pPr>
              <w:spacing w:after="0"/>
              <w:rPr>
                <w:b/>
                <w:sz w:val="20"/>
              </w:rPr>
            </w:pPr>
            <w:r w:rsidRPr="00404B55">
              <w:rPr>
                <w:b/>
                <w:sz w:val="20"/>
              </w:rPr>
              <w:t>Estimated number of respondents</w:t>
            </w:r>
          </w:p>
          <w:p w14:paraId="00158BEE" w14:textId="77777777" w:rsidR="00E562F1" w:rsidRPr="00404B55" w:rsidRDefault="00E562F1" w:rsidP="00404B55">
            <w:pPr>
              <w:spacing w:after="0"/>
              <w:rPr>
                <w:b/>
                <w:sz w:val="20"/>
              </w:rPr>
            </w:pPr>
            <w:r w:rsidRPr="00404B55">
              <w:rPr>
                <w:b/>
                <w:sz w:val="20"/>
              </w:rPr>
              <w:t xml:space="preserve">Total annual responses </w:t>
            </w:r>
          </w:p>
          <w:p w14:paraId="55A5CACE" w14:textId="391FA3DA" w:rsidR="00E562F1" w:rsidRPr="00404B55" w:rsidRDefault="00E562F1" w:rsidP="00404B55">
            <w:pPr>
              <w:spacing w:after="0"/>
              <w:rPr>
                <w:sz w:val="20"/>
              </w:rPr>
            </w:pPr>
            <w:r w:rsidRPr="00404B55">
              <w:rPr>
                <w:b/>
                <w:sz w:val="20"/>
              </w:rPr>
              <w:t xml:space="preserve">   </w:t>
            </w:r>
            <w:r w:rsidRPr="00404B55">
              <w:rPr>
                <w:sz w:val="20"/>
              </w:rPr>
              <w:t xml:space="preserve">Number of responses per year  = </w:t>
            </w:r>
            <w:r w:rsidR="006662E7">
              <w:rPr>
                <w:sz w:val="20"/>
              </w:rPr>
              <w:t>1</w:t>
            </w:r>
          </w:p>
          <w:p w14:paraId="54621428" w14:textId="77777777" w:rsidR="00E562F1" w:rsidRPr="00404B55" w:rsidRDefault="00E562F1" w:rsidP="00404B55">
            <w:pPr>
              <w:spacing w:after="0"/>
              <w:rPr>
                <w:sz w:val="20"/>
              </w:rPr>
            </w:pPr>
            <w:r w:rsidRPr="00404B55">
              <w:rPr>
                <w:b/>
                <w:sz w:val="20"/>
              </w:rPr>
              <w:t>Total Time burden</w:t>
            </w:r>
            <w:r w:rsidRPr="00404B55">
              <w:rPr>
                <w:sz w:val="20"/>
              </w:rPr>
              <w:t xml:space="preserve">  </w:t>
            </w:r>
          </w:p>
          <w:p w14:paraId="51AC2968" w14:textId="77777777" w:rsidR="00E562F1" w:rsidRPr="00404B55" w:rsidRDefault="00E562F1" w:rsidP="00404B55">
            <w:pPr>
              <w:spacing w:after="0"/>
              <w:rPr>
                <w:sz w:val="20"/>
              </w:rPr>
            </w:pPr>
            <w:r w:rsidRPr="00404B55">
              <w:rPr>
                <w:sz w:val="20"/>
              </w:rPr>
              <w:t xml:space="preserve">   Time per response = 2 hr</w:t>
            </w:r>
          </w:p>
          <w:p w14:paraId="54BD63AE" w14:textId="0FE86278" w:rsidR="00E562F1" w:rsidRPr="00404B55" w:rsidRDefault="00E562F1" w:rsidP="00404B55">
            <w:pPr>
              <w:spacing w:after="0"/>
              <w:rPr>
                <w:sz w:val="20"/>
              </w:rPr>
            </w:pPr>
            <w:r w:rsidRPr="00404B55">
              <w:rPr>
                <w:b/>
                <w:sz w:val="20"/>
              </w:rPr>
              <w:t>Total personnel cost</w:t>
            </w:r>
            <w:r w:rsidRPr="00404B55">
              <w:rPr>
                <w:sz w:val="20"/>
              </w:rPr>
              <w:t xml:space="preserve">  ($37/hr x </w:t>
            </w:r>
            <w:r w:rsidR="00137F05" w:rsidRPr="00404B55">
              <w:rPr>
                <w:sz w:val="20"/>
              </w:rPr>
              <w:t>0</w:t>
            </w:r>
            <w:r w:rsidRPr="00404B55">
              <w:rPr>
                <w:sz w:val="20"/>
              </w:rPr>
              <w:t>)</w:t>
            </w:r>
          </w:p>
          <w:p w14:paraId="00A5EF71" w14:textId="0619780D" w:rsidR="00E562F1" w:rsidRPr="00404B55" w:rsidRDefault="00E562F1" w:rsidP="00404B55">
            <w:pPr>
              <w:spacing w:after="0"/>
              <w:rPr>
                <w:sz w:val="20"/>
              </w:rPr>
            </w:pPr>
            <w:r w:rsidRPr="00404B55">
              <w:rPr>
                <w:b/>
                <w:sz w:val="20"/>
              </w:rPr>
              <w:t>Total miscellaneous cost</w:t>
            </w:r>
            <w:r w:rsidRPr="00404B55">
              <w:rPr>
                <w:sz w:val="20"/>
              </w:rPr>
              <w:t xml:space="preserve"> (</w:t>
            </w:r>
            <w:r w:rsidR="006662E7">
              <w:rPr>
                <w:sz w:val="20"/>
              </w:rPr>
              <w:t>6.69</w:t>
            </w:r>
            <w:r w:rsidRPr="00404B55">
              <w:rPr>
                <w:sz w:val="20"/>
              </w:rPr>
              <w:t>)</w:t>
            </w:r>
          </w:p>
          <w:p w14:paraId="78DF84BC" w14:textId="189B0B07" w:rsidR="00E562F1" w:rsidRPr="00404B55" w:rsidRDefault="00E562F1" w:rsidP="00404B55">
            <w:pPr>
              <w:spacing w:after="0"/>
              <w:rPr>
                <w:sz w:val="20"/>
              </w:rPr>
            </w:pPr>
            <w:r w:rsidRPr="00404B55">
              <w:rPr>
                <w:sz w:val="20"/>
              </w:rPr>
              <w:t xml:space="preserve">   Postage (0.49 x</w:t>
            </w:r>
            <w:r w:rsidR="006662E7">
              <w:rPr>
                <w:sz w:val="20"/>
              </w:rPr>
              <w:t xml:space="preserve">1 </w:t>
            </w:r>
            <w:r w:rsidRPr="00404B55">
              <w:rPr>
                <w:sz w:val="20"/>
              </w:rPr>
              <w:t xml:space="preserve">= </w:t>
            </w:r>
            <w:r w:rsidR="006662E7">
              <w:rPr>
                <w:sz w:val="20"/>
              </w:rPr>
              <w:t>0.49</w:t>
            </w:r>
          </w:p>
          <w:p w14:paraId="31F41377" w14:textId="55334A47" w:rsidR="00E562F1" w:rsidRPr="00404B55" w:rsidRDefault="00E562F1" w:rsidP="00404B55">
            <w:pPr>
              <w:spacing w:after="0"/>
              <w:rPr>
                <w:sz w:val="20"/>
              </w:rPr>
            </w:pPr>
            <w:r w:rsidRPr="00404B55">
              <w:rPr>
                <w:sz w:val="20"/>
              </w:rPr>
              <w:t xml:space="preserve">   Photocopy (0.05 x 4 pp x </w:t>
            </w:r>
            <w:r w:rsidR="006662E7">
              <w:rPr>
                <w:sz w:val="20"/>
              </w:rPr>
              <w:t>1</w:t>
            </w:r>
            <w:r w:rsidR="00A4196B" w:rsidRPr="00404B55">
              <w:rPr>
                <w:sz w:val="20"/>
              </w:rPr>
              <w:t xml:space="preserve"> </w:t>
            </w:r>
            <w:r w:rsidRPr="00404B55">
              <w:rPr>
                <w:sz w:val="20"/>
              </w:rPr>
              <w:t xml:space="preserve">= </w:t>
            </w:r>
            <w:r w:rsidR="006662E7">
              <w:rPr>
                <w:sz w:val="20"/>
              </w:rPr>
              <w:t>0.2</w:t>
            </w:r>
            <w:r w:rsidRPr="00404B55">
              <w:rPr>
                <w:sz w:val="20"/>
              </w:rPr>
              <w:t>)</w:t>
            </w:r>
          </w:p>
          <w:p w14:paraId="7B9B8249" w14:textId="1402893F" w:rsidR="00E562F1" w:rsidRPr="00404B55" w:rsidRDefault="00E562F1" w:rsidP="006662E7">
            <w:pPr>
              <w:spacing w:after="0"/>
              <w:rPr>
                <w:sz w:val="20"/>
              </w:rPr>
            </w:pPr>
            <w:r w:rsidRPr="00404B55">
              <w:rPr>
                <w:sz w:val="20"/>
              </w:rPr>
              <w:t xml:space="preserve">   Notary ($6 x </w:t>
            </w:r>
            <w:r w:rsidR="006662E7">
              <w:rPr>
                <w:sz w:val="20"/>
              </w:rPr>
              <w:t>1</w:t>
            </w:r>
            <w:r w:rsidR="00A4196B" w:rsidRPr="00404B55">
              <w:rPr>
                <w:sz w:val="20"/>
              </w:rPr>
              <w:t xml:space="preserve"> </w:t>
            </w:r>
            <w:r w:rsidRPr="00404B55">
              <w:rPr>
                <w:sz w:val="20"/>
              </w:rPr>
              <w:t>=</w:t>
            </w:r>
            <w:r w:rsidR="006662E7">
              <w:rPr>
                <w:sz w:val="20"/>
              </w:rPr>
              <w:t xml:space="preserve"> 6</w:t>
            </w:r>
            <w:r w:rsidRPr="00404B55">
              <w:rPr>
                <w:sz w:val="20"/>
              </w:rPr>
              <w:t>)</w:t>
            </w:r>
          </w:p>
        </w:tc>
        <w:tc>
          <w:tcPr>
            <w:tcW w:w="990" w:type="dxa"/>
          </w:tcPr>
          <w:p w14:paraId="17E2245B" w14:textId="638B0374" w:rsidR="00E562F1" w:rsidRPr="00404B55" w:rsidRDefault="00E00C7A"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6</w:t>
            </w:r>
          </w:p>
          <w:p w14:paraId="09CDDB69" w14:textId="7B118C51" w:rsidR="00404B55" w:rsidRDefault="006662E7"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Pr>
                <w:b/>
                <w:sz w:val="20"/>
              </w:rPr>
              <w:t>1</w:t>
            </w:r>
          </w:p>
          <w:p w14:paraId="278F6540" w14:textId="77777777" w:rsidR="006662E7" w:rsidRDefault="006662E7"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p>
          <w:p w14:paraId="3CF5A5F2" w14:textId="7669DB0A" w:rsidR="00404B55" w:rsidRDefault="00FF4055"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Pr>
                <w:b/>
                <w:sz w:val="20"/>
              </w:rPr>
              <w:t>1</w:t>
            </w:r>
            <w:r w:rsidR="006662E7">
              <w:rPr>
                <w:b/>
                <w:sz w:val="20"/>
              </w:rPr>
              <w:t>2</w:t>
            </w:r>
            <w:r w:rsidR="00E562F1" w:rsidRPr="00404B55">
              <w:rPr>
                <w:b/>
                <w:sz w:val="20"/>
              </w:rPr>
              <w:t xml:space="preserve"> hr</w:t>
            </w:r>
          </w:p>
          <w:p w14:paraId="432C205E" w14:textId="77777777" w:rsidR="006662E7" w:rsidRDefault="006662E7"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p>
          <w:p w14:paraId="172BB5D7" w14:textId="01C5A964" w:rsidR="00E562F1" w:rsidRPr="00404B55" w:rsidRDefault="006662E7"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Pr>
                <w:b/>
                <w:sz w:val="20"/>
              </w:rPr>
              <w:t>$74</w:t>
            </w:r>
          </w:p>
          <w:p w14:paraId="02EBA6E4" w14:textId="13ABD471" w:rsidR="00E562F1" w:rsidRPr="00404B55" w:rsidRDefault="006662E7"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Pr>
                <w:b/>
                <w:sz w:val="20"/>
              </w:rPr>
              <w:t>$7</w:t>
            </w:r>
          </w:p>
        </w:tc>
      </w:tr>
    </w:tbl>
    <w:p w14:paraId="416D3390" w14:textId="77777777" w:rsidR="00E562F1" w:rsidRPr="00404B55" w:rsidRDefault="00E562F1" w:rsidP="00404B55">
      <w:pPr>
        <w:shd w:val="clear" w:color="auto" w:fill="FFFFFF"/>
        <w:tabs>
          <w:tab w:val="left" w:pos="360"/>
          <w:tab w:val="left" w:pos="720"/>
        </w:tabs>
        <w:spacing w:after="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9"/>
        <w:gridCol w:w="979"/>
      </w:tblGrid>
      <w:tr w:rsidR="00E562F1" w:rsidRPr="00404B55" w14:paraId="6B6A875D" w14:textId="77777777" w:rsidTr="00286BC0">
        <w:trPr>
          <w:jc w:val="center"/>
        </w:trPr>
        <w:tc>
          <w:tcPr>
            <w:tcW w:w="4838" w:type="dxa"/>
            <w:gridSpan w:val="2"/>
          </w:tcPr>
          <w:p w14:paraId="4E297EF8" w14:textId="390C6432" w:rsidR="00E562F1" w:rsidRPr="00404B55" w:rsidRDefault="00E562F1" w:rsidP="00404B55">
            <w:pPr>
              <w:spacing w:after="0"/>
              <w:rPr>
                <w:b/>
                <w:sz w:val="20"/>
              </w:rPr>
            </w:pPr>
            <w:r w:rsidRPr="00404B55">
              <w:rPr>
                <w:sz w:val="20"/>
              </w:rPr>
              <w:br w:type="page"/>
            </w:r>
            <w:r w:rsidRPr="00404B55">
              <w:rPr>
                <w:b/>
                <w:sz w:val="20"/>
              </w:rPr>
              <w:t xml:space="preserve">Annual Report on IFQ Transfers to CDQ Groups, </w:t>
            </w:r>
          </w:p>
          <w:p w14:paraId="28F8CA02" w14:textId="584F4D52" w:rsidR="00E562F1" w:rsidRPr="00404B55" w:rsidRDefault="00E562F1" w:rsidP="00404B55">
            <w:pPr>
              <w:spacing w:after="0"/>
              <w:rPr>
                <w:b/>
                <w:bCs/>
                <w:sz w:val="20"/>
              </w:rPr>
            </w:pPr>
            <w:r w:rsidRPr="00404B55">
              <w:rPr>
                <w:b/>
                <w:bCs/>
                <w:sz w:val="20"/>
              </w:rPr>
              <w:t>Federal Government</w:t>
            </w:r>
            <w:r w:rsidR="006662E7">
              <w:rPr>
                <w:b/>
                <w:bCs/>
                <w:sz w:val="20"/>
              </w:rPr>
              <w:t xml:space="preserve"> (archiving only)</w:t>
            </w:r>
          </w:p>
        </w:tc>
      </w:tr>
      <w:tr w:rsidR="00E562F1" w:rsidRPr="00404B55" w14:paraId="6F1480C2" w14:textId="77777777" w:rsidTr="00286BC0">
        <w:trPr>
          <w:jc w:val="center"/>
        </w:trPr>
        <w:tc>
          <w:tcPr>
            <w:tcW w:w="3859" w:type="dxa"/>
          </w:tcPr>
          <w:p w14:paraId="70D7F66A" w14:textId="77777777" w:rsidR="00E562F1" w:rsidRPr="00404B55" w:rsidRDefault="00E562F1" w:rsidP="00404B55">
            <w:pPr>
              <w:spacing w:after="0"/>
              <w:rPr>
                <w:sz w:val="20"/>
              </w:rPr>
            </w:pPr>
            <w:r w:rsidRPr="00404B55">
              <w:rPr>
                <w:b/>
                <w:sz w:val="20"/>
              </w:rPr>
              <w:t xml:space="preserve">Total annual responses </w:t>
            </w:r>
          </w:p>
          <w:p w14:paraId="2815359F" w14:textId="77777777" w:rsidR="00E562F1" w:rsidRPr="00404B55" w:rsidRDefault="00E562F1" w:rsidP="00404B55">
            <w:pPr>
              <w:spacing w:after="0"/>
              <w:rPr>
                <w:sz w:val="20"/>
              </w:rPr>
            </w:pPr>
            <w:r w:rsidRPr="00404B55">
              <w:rPr>
                <w:b/>
                <w:sz w:val="20"/>
              </w:rPr>
              <w:t>Total Time burden</w:t>
            </w:r>
            <w:r w:rsidRPr="00404B55">
              <w:rPr>
                <w:sz w:val="20"/>
              </w:rPr>
              <w:t xml:space="preserve">  </w:t>
            </w:r>
          </w:p>
          <w:p w14:paraId="50B6EB01" w14:textId="68B642C2" w:rsidR="00E562F1" w:rsidRPr="00404B55" w:rsidRDefault="00E562F1" w:rsidP="00404B55">
            <w:pPr>
              <w:spacing w:after="0"/>
              <w:rPr>
                <w:sz w:val="20"/>
              </w:rPr>
            </w:pPr>
            <w:r w:rsidRPr="00404B55">
              <w:rPr>
                <w:sz w:val="20"/>
              </w:rPr>
              <w:t xml:space="preserve">   Time per response  = </w:t>
            </w:r>
            <w:r w:rsidR="00F26177" w:rsidRPr="00404B55">
              <w:rPr>
                <w:sz w:val="20"/>
              </w:rPr>
              <w:t>0</w:t>
            </w:r>
            <w:r w:rsidRPr="00404B55">
              <w:rPr>
                <w:sz w:val="20"/>
              </w:rPr>
              <w:t xml:space="preserve"> min</w:t>
            </w:r>
          </w:p>
          <w:p w14:paraId="146261D4" w14:textId="515AE823" w:rsidR="00E562F1" w:rsidRPr="00404B55" w:rsidRDefault="00E562F1" w:rsidP="00404B55">
            <w:pPr>
              <w:spacing w:after="0"/>
              <w:rPr>
                <w:sz w:val="20"/>
              </w:rPr>
            </w:pPr>
            <w:r w:rsidRPr="00404B55">
              <w:rPr>
                <w:b/>
                <w:sz w:val="20"/>
              </w:rPr>
              <w:t>Total personnel cost</w:t>
            </w:r>
            <w:r w:rsidRPr="00404B55">
              <w:rPr>
                <w:sz w:val="20"/>
              </w:rPr>
              <w:t xml:space="preserve">  ($37/hr x </w:t>
            </w:r>
            <w:r w:rsidR="00600E28" w:rsidRPr="00404B55">
              <w:rPr>
                <w:sz w:val="20"/>
              </w:rPr>
              <w:t>0</w:t>
            </w:r>
            <w:r w:rsidRPr="00404B55">
              <w:rPr>
                <w:sz w:val="20"/>
              </w:rPr>
              <w:t>)</w:t>
            </w:r>
          </w:p>
          <w:p w14:paraId="1D4FBB0A" w14:textId="77777777" w:rsidR="00E562F1" w:rsidRPr="00404B55" w:rsidRDefault="00E562F1" w:rsidP="00404B55">
            <w:pPr>
              <w:spacing w:after="0"/>
              <w:rPr>
                <w:b/>
                <w:sz w:val="20"/>
              </w:rPr>
            </w:pPr>
            <w:r w:rsidRPr="00404B55">
              <w:rPr>
                <w:b/>
                <w:sz w:val="20"/>
              </w:rPr>
              <w:t>Total miscellaneous cost</w:t>
            </w:r>
          </w:p>
        </w:tc>
        <w:tc>
          <w:tcPr>
            <w:tcW w:w="979" w:type="dxa"/>
          </w:tcPr>
          <w:p w14:paraId="16C72AE1" w14:textId="7A87AB05" w:rsidR="00E562F1" w:rsidRPr="00404B55" w:rsidRDefault="00600E28"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0</w:t>
            </w:r>
          </w:p>
          <w:p w14:paraId="190D3324" w14:textId="77777777" w:rsidR="00404B55" w:rsidRDefault="00600E28"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 xml:space="preserve">0 </w:t>
            </w:r>
            <w:r w:rsidR="00E562F1" w:rsidRPr="00404B55">
              <w:rPr>
                <w:b/>
                <w:sz w:val="20"/>
              </w:rPr>
              <w:t>hr</w:t>
            </w:r>
          </w:p>
          <w:p w14:paraId="01C05C5B" w14:textId="36EC0F21" w:rsidR="00600E28" w:rsidRPr="00404B55" w:rsidRDefault="00600E28"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0</w:t>
            </w:r>
          </w:p>
          <w:p w14:paraId="50A89978" w14:textId="77777777" w:rsidR="00E562F1" w:rsidRPr="00404B55" w:rsidRDefault="00E562F1" w:rsidP="00404B5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right"/>
              <w:rPr>
                <w:b/>
                <w:sz w:val="20"/>
              </w:rPr>
            </w:pPr>
            <w:r w:rsidRPr="00404B55">
              <w:rPr>
                <w:b/>
                <w:sz w:val="20"/>
              </w:rPr>
              <w:t>0</w:t>
            </w:r>
          </w:p>
        </w:tc>
      </w:tr>
    </w:tbl>
    <w:p w14:paraId="15FE0C45" w14:textId="77777777" w:rsidR="00E562F1" w:rsidRDefault="00E562F1" w:rsidP="00E366B0">
      <w:pPr>
        <w:shd w:val="clear" w:color="auto" w:fill="FFFFFF"/>
        <w:tabs>
          <w:tab w:val="left" w:pos="360"/>
          <w:tab w:val="left" w:pos="720"/>
        </w:tabs>
        <w:rPr>
          <w:szCs w:val="24"/>
        </w:rPr>
      </w:pPr>
    </w:p>
    <w:p w14:paraId="19E0DE63" w14:textId="77777777" w:rsidR="00404B55" w:rsidRDefault="0000100A" w:rsidP="00404B55">
      <w:pPr>
        <w:pStyle w:val="Heading1"/>
      </w:pPr>
      <w:r w:rsidRPr="0000100A">
        <w:t xml:space="preserve">3.  </w:t>
      </w:r>
      <w:r w:rsidRPr="009D3250">
        <w:t>Describe whether, and to what extent, the collection of information involves the use of automated, electronic, mechanical, or other technological techniques or other forms of information technology</w:t>
      </w:r>
      <w:r w:rsidRPr="0000100A">
        <w:t>.</w:t>
      </w:r>
    </w:p>
    <w:p w14:paraId="02E8A837" w14:textId="77777777" w:rsidR="00404B55" w:rsidRDefault="008D6FC1" w:rsidP="0000100A">
      <w:pPr>
        <w:rPr>
          <w:szCs w:val="24"/>
        </w:rPr>
      </w:pPr>
      <w:r>
        <w:rPr>
          <w:szCs w:val="24"/>
        </w:rPr>
        <w:t>The</w:t>
      </w:r>
      <w:r w:rsidR="005B7372" w:rsidRPr="005B7372">
        <w:rPr>
          <w:szCs w:val="24"/>
        </w:rPr>
        <w:t xml:space="preserve"> applications are “fillable” on the computer screen at the NMFS Alaska Region</w:t>
      </w:r>
      <w:r w:rsidR="000B1560">
        <w:rPr>
          <w:szCs w:val="24"/>
        </w:rPr>
        <w:t xml:space="preserve"> website</w:t>
      </w:r>
      <w:r w:rsidR="005B7372" w:rsidRPr="005B7372">
        <w:rPr>
          <w:szCs w:val="24"/>
        </w:rPr>
        <w:t xml:space="preserve"> at </w:t>
      </w:r>
      <w:hyperlink r:id="rId12" w:history="1">
        <w:r w:rsidR="00966A55" w:rsidRPr="003D1CFE">
          <w:rPr>
            <w:rStyle w:val="Hyperlink"/>
            <w:szCs w:val="24"/>
          </w:rPr>
          <w:t>https://alaskafisheries.noaa.gov/fisheries-applications</w:t>
        </w:r>
      </w:hyperlink>
      <w:r w:rsidR="005B7372" w:rsidRPr="005B7372">
        <w:rPr>
          <w:szCs w:val="24"/>
        </w:rPr>
        <w:t xml:space="preserve">.  </w:t>
      </w:r>
      <w:r>
        <w:rPr>
          <w:szCs w:val="24"/>
        </w:rPr>
        <w:t>The</w:t>
      </w:r>
      <w:r w:rsidR="005B7372" w:rsidRPr="005B7372">
        <w:rPr>
          <w:szCs w:val="24"/>
        </w:rPr>
        <w:t xml:space="preserve"> applications may be completed on the computer screen by the partic</w:t>
      </w:r>
      <w:r w:rsidR="00E00C7A">
        <w:rPr>
          <w:szCs w:val="24"/>
        </w:rPr>
        <w:t>ipant, downloaded, printed, and</w:t>
      </w:r>
      <w:r w:rsidR="00297FB6">
        <w:rPr>
          <w:szCs w:val="24"/>
        </w:rPr>
        <w:t xml:space="preserve"> mailed </w:t>
      </w:r>
      <w:r>
        <w:rPr>
          <w:szCs w:val="24"/>
        </w:rPr>
        <w:t xml:space="preserve">or delivered </w:t>
      </w:r>
      <w:r w:rsidR="005B7372" w:rsidRPr="005B7372">
        <w:rPr>
          <w:szCs w:val="24"/>
        </w:rPr>
        <w:t>to NMFS.</w:t>
      </w:r>
    </w:p>
    <w:p w14:paraId="74A952DA" w14:textId="77777777" w:rsidR="00404B55" w:rsidRDefault="0000100A" w:rsidP="00404B55">
      <w:pPr>
        <w:pStyle w:val="Heading1"/>
      </w:pPr>
      <w:r w:rsidRPr="0000100A">
        <w:t xml:space="preserve">4.  </w:t>
      </w:r>
      <w:r w:rsidRPr="009D3250">
        <w:t>Describe efforts to identify duplication</w:t>
      </w:r>
      <w:r w:rsidRPr="0000100A">
        <w:t>.</w:t>
      </w:r>
    </w:p>
    <w:p w14:paraId="0AEC97AB" w14:textId="77777777" w:rsidR="00404B55" w:rsidRDefault="005B7372" w:rsidP="0000100A">
      <w:pPr>
        <w:rPr>
          <w:szCs w:val="24"/>
        </w:rPr>
      </w:pPr>
      <w:r w:rsidRPr="005B7372">
        <w:rPr>
          <w:szCs w:val="24"/>
        </w:rPr>
        <w:t xml:space="preserve">None of the information collected as part of this information collection duplicates other collections.  </w:t>
      </w:r>
      <w:r w:rsidR="00AB52D6" w:rsidRPr="00AB52D6">
        <w:rPr>
          <w:szCs w:val="24"/>
        </w:rPr>
        <w:t>This information collection is part of a specialized and technical program that is not like any other.</w:t>
      </w:r>
    </w:p>
    <w:p w14:paraId="0F15A6FA" w14:textId="77777777" w:rsidR="00404B55" w:rsidRDefault="0000100A" w:rsidP="00404B55">
      <w:pPr>
        <w:pStyle w:val="Heading1"/>
      </w:pPr>
      <w:r w:rsidRPr="0000100A">
        <w:t xml:space="preserve">5.  </w:t>
      </w:r>
      <w:r w:rsidRPr="009D3250">
        <w:t xml:space="preserve">If the collection of information involves small businesses or other small entities, </w:t>
      </w:r>
      <w:r w:rsidRPr="00AB52D6">
        <w:t>describe the methods used to minimize burden.</w:t>
      </w:r>
      <w:r w:rsidRPr="0000100A">
        <w:t xml:space="preserve"> </w:t>
      </w:r>
    </w:p>
    <w:p w14:paraId="1A68C0D0" w14:textId="1247C67A" w:rsidR="00404B55" w:rsidRDefault="00BB4B80" w:rsidP="00297FB6">
      <w:pPr>
        <w:pStyle w:val="BodyText"/>
        <w:tabs>
          <w:tab w:val="clear" w:pos="8790"/>
          <w:tab w:val="left" w:pos="8550"/>
        </w:tabs>
        <w:spacing w:before="69"/>
        <w:ind w:right="0"/>
        <w:rPr>
          <w:sz w:val="24"/>
        </w:rPr>
      </w:pPr>
      <w:r w:rsidRPr="00C24E66">
        <w:rPr>
          <w:spacing w:val="-1"/>
          <w:sz w:val="24"/>
        </w:rPr>
        <w:t>NMFS</w:t>
      </w:r>
      <w:r w:rsidRPr="00C24E66">
        <w:rPr>
          <w:sz w:val="24"/>
        </w:rPr>
        <w:t xml:space="preserve"> </w:t>
      </w:r>
      <w:r w:rsidRPr="00C24E66">
        <w:rPr>
          <w:spacing w:val="-1"/>
          <w:sz w:val="24"/>
        </w:rPr>
        <w:t>has</w:t>
      </w:r>
      <w:r w:rsidRPr="00C24E66">
        <w:rPr>
          <w:sz w:val="24"/>
        </w:rPr>
        <w:t xml:space="preserve"> </w:t>
      </w:r>
      <w:r w:rsidRPr="00C24E66">
        <w:rPr>
          <w:spacing w:val="-1"/>
          <w:sz w:val="24"/>
        </w:rPr>
        <w:t>defined</w:t>
      </w:r>
      <w:r w:rsidRPr="00C24E66">
        <w:rPr>
          <w:sz w:val="24"/>
        </w:rPr>
        <w:t xml:space="preserve"> </w:t>
      </w:r>
      <w:r w:rsidRPr="00C24E66">
        <w:rPr>
          <w:spacing w:val="-1"/>
          <w:sz w:val="24"/>
        </w:rPr>
        <w:t>all</w:t>
      </w:r>
      <w:r w:rsidRPr="00C24E66">
        <w:rPr>
          <w:spacing w:val="2"/>
          <w:sz w:val="24"/>
        </w:rPr>
        <w:t xml:space="preserve"> </w:t>
      </w:r>
      <w:r w:rsidRPr="00C24E66">
        <w:rPr>
          <w:spacing w:val="-2"/>
          <w:sz w:val="24"/>
        </w:rPr>
        <w:t>IFQ</w:t>
      </w:r>
      <w:r w:rsidRPr="00C24E66">
        <w:rPr>
          <w:spacing w:val="-1"/>
          <w:sz w:val="24"/>
        </w:rPr>
        <w:t xml:space="preserve"> halibut</w:t>
      </w:r>
      <w:r w:rsidRPr="00C24E66">
        <w:rPr>
          <w:sz w:val="24"/>
        </w:rPr>
        <w:t xml:space="preserve"> </w:t>
      </w:r>
      <w:r w:rsidRPr="00C24E66">
        <w:rPr>
          <w:spacing w:val="-1"/>
          <w:sz w:val="24"/>
        </w:rPr>
        <w:t>vessels</w:t>
      </w:r>
      <w:r w:rsidRPr="00C24E66">
        <w:rPr>
          <w:sz w:val="24"/>
        </w:rPr>
        <w:t xml:space="preserve"> </w:t>
      </w:r>
      <w:r w:rsidR="00E00C7A">
        <w:rPr>
          <w:sz w:val="24"/>
        </w:rPr>
        <w:t xml:space="preserve">and CDQ groups </w:t>
      </w:r>
      <w:r w:rsidRPr="00C24E66">
        <w:rPr>
          <w:spacing w:val="-1"/>
          <w:sz w:val="24"/>
        </w:rPr>
        <w:t>as</w:t>
      </w:r>
      <w:r w:rsidRPr="00C24E66">
        <w:rPr>
          <w:sz w:val="24"/>
        </w:rPr>
        <w:t xml:space="preserve"> </w:t>
      </w:r>
      <w:r w:rsidRPr="00C24E66">
        <w:rPr>
          <w:spacing w:val="-1"/>
          <w:sz w:val="24"/>
        </w:rPr>
        <w:t>small</w:t>
      </w:r>
      <w:r w:rsidRPr="00C24E66">
        <w:rPr>
          <w:sz w:val="24"/>
        </w:rPr>
        <w:t xml:space="preserve"> </w:t>
      </w:r>
      <w:r w:rsidRPr="00C24E66">
        <w:rPr>
          <w:spacing w:val="-1"/>
          <w:sz w:val="24"/>
        </w:rPr>
        <w:t>businesses,</w:t>
      </w:r>
      <w:r w:rsidRPr="00C24E66">
        <w:rPr>
          <w:sz w:val="24"/>
        </w:rPr>
        <w:t xml:space="preserve"> </w:t>
      </w:r>
      <w:r w:rsidRPr="00C24E66">
        <w:rPr>
          <w:spacing w:val="-1"/>
          <w:sz w:val="24"/>
        </w:rPr>
        <w:t xml:space="preserve">for </w:t>
      </w:r>
      <w:r w:rsidRPr="00C24E66">
        <w:rPr>
          <w:sz w:val="24"/>
        </w:rPr>
        <w:t>the</w:t>
      </w:r>
      <w:r w:rsidRPr="00C24E66">
        <w:rPr>
          <w:spacing w:val="-1"/>
          <w:sz w:val="24"/>
        </w:rPr>
        <w:t xml:space="preserve"> </w:t>
      </w:r>
      <w:r w:rsidRPr="00C24E66">
        <w:rPr>
          <w:sz w:val="24"/>
        </w:rPr>
        <w:t>purpose</w:t>
      </w:r>
      <w:r w:rsidRPr="00C24E66">
        <w:rPr>
          <w:spacing w:val="-1"/>
          <w:sz w:val="24"/>
        </w:rPr>
        <w:t xml:space="preserve"> </w:t>
      </w:r>
      <w:r w:rsidRPr="00C24E66">
        <w:rPr>
          <w:sz w:val="24"/>
        </w:rPr>
        <w:t>of</w:t>
      </w:r>
      <w:r w:rsidRPr="00C24E66">
        <w:rPr>
          <w:spacing w:val="-1"/>
          <w:sz w:val="24"/>
        </w:rPr>
        <w:t xml:space="preserve"> </w:t>
      </w:r>
      <w:r w:rsidRPr="00C24E66">
        <w:rPr>
          <w:sz w:val="24"/>
        </w:rPr>
        <w:t xml:space="preserve">this </w:t>
      </w:r>
      <w:r w:rsidRPr="00C24E66">
        <w:rPr>
          <w:spacing w:val="-1"/>
          <w:sz w:val="24"/>
        </w:rPr>
        <w:t>analysis</w:t>
      </w:r>
      <w:r w:rsidR="00C27F19">
        <w:rPr>
          <w:spacing w:val="-1"/>
          <w:sz w:val="24"/>
        </w:rPr>
        <w:t>. T</w:t>
      </w:r>
      <w:r w:rsidRPr="00C24E66">
        <w:rPr>
          <w:spacing w:val="-1"/>
          <w:sz w:val="24"/>
        </w:rPr>
        <w:t>his</w:t>
      </w:r>
      <w:r w:rsidRPr="00C24E66">
        <w:rPr>
          <w:sz w:val="24"/>
        </w:rPr>
        <w:t xml:space="preserve"> </w:t>
      </w:r>
      <w:r w:rsidRPr="00C24E66">
        <w:rPr>
          <w:spacing w:val="-1"/>
          <w:sz w:val="24"/>
        </w:rPr>
        <w:t>collection</w:t>
      </w:r>
      <w:r w:rsidRPr="00C24E66">
        <w:rPr>
          <w:sz w:val="24"/>
        </w:rPr>
        <w:t xml:space="preserve"> of</w:t>
      </w:r>
      <w:r w:rsidRPr="00C24E66">
        <w:rPr>
          <w:spacing w:val="-1"/>
          <w:sz w:val="24"/>
        </w:rPr>
        <w:t xml:space="preserve"> information</w:t>
      </w:r>
      <w:r w:rsidRPr="00C24E66">
        <w:rPr>
          <w:sz w:val="24"/>
        </w:rPr>
        <w:t xml:space="preserve"> </w:t>
      </w:r>
      <w:r w:rsidRPr="00C24E66">
        <w:rPr>
          <w:spacing w:val="-1"/>
          <w:sz w:val="24"/>
        </w:rPr>
        <w:t>does</w:t>
      </w:r>
      <w:r w:rsidRPr="00C24E66">
        <w:rPr>
          <w:sz w:val="24"/>
        </w:rPr>
        <w:t xml:space="preserve"> not impose</w:t>
      </w:r>
      <w:r w:rsidRPr="00C24E66">
        <w:rPr>
          <w:spacing w:val="-1"/>
          <w:sz w:val="24"/>
        </w:rPr>
        <w:t xml:space="preserve"> </w:t>
      </w:r>
      <w:r w:rsidRPr="00C24E66">
        <w:rPr>
          <w:sz w:val="24"/>
        </w:rPr>
        <w:t>a</w:t>
      </w:r>
      <w:r w:rsidRPr="00C24E66">
        <w:rPr>
          <w:spacing w:val="-1"/>
          <w:sz w:val="24"/>
        </w:rPr>
        <w:t xml:space="preserve"> significant</w:t>
      </w:r>
      <w:r w:rsidRPr="00C24E66">
        <w:rPr>
          <w:sz w:val="24"/>
        </w:rPr>
        <w:t xml:space="preserve"> impact on </w:t>
      </w:r>
      <w:r w:rsidRPr="00C24E66">
        <w:rPr>
          <w:spacing w:val="-1"/>
          <w:sz w:val="24"/>
        </w:rPr>
        <w:t>small</w:t>
      </w:r>
      <w:r w:rsidRPr="00C24E66">
        <w:rPr>
          <w:sz w:val="24"/>
        </w:rPr>
        <w:t xml:space="preserve"> </w:t>
      </w:r>
      <w:r w:rsidRPr="00C24E66">
        <w:rPr>
          <w:spacing w:val="-1"/>
          <w:sz w:val="24"/>
        </w:rPr>
        <w:t>entities.</w:t>
      </w:r>
    </w:p>
    <w:p w14:paraId="504AA677" w14:textId="77777777" w:rsidR="00404B55" w:rsidRDefault="0000100A" w:rsidP="00404B55">
      <w:pPr>
        <w:pStyle w:val="Heading1"/>
      </w:pPr>
      <w:r w:rsidRPr="0000100A">
        <w:t xml:space="preserve">6.  </w:t>
      </w:r>
      <w:r w:rsidRPr="009D3250">
        <w:t>Describe the consequences to the Federal program or policy activities if the collection is not conducted or is conducted less frequently</w:t>
      </w:r>
      <w:r w:rsidRPr="0000100A">
        <w:t xml:space="preserve">. </w:t>
      </w:r>
    </w:p>
    <w:p w14:paraId="0730AC7F" w14:textId="77C78E2C" w:rsidR="00404B55" w:rsidRDefault="00297FB6" w:rsidP="005B7372">
      <w:pPr>
        <w:rPr>
          <w:szCs w:val="24"/>
        </w:rPr>
      </w:pPr>
      <w:r>
        <w:rPr>
          <w:szCs w:val="24"/>
        </w:rPr>
        <w:t xml:space="preserve">Without the specified reporting scheme described in this Supporting Statement, </w:t>
      </w:r>
      <w:r w:rsidR="00E00C7A">
        <w:rPr>
          <w:szCs w:val="24"/>
        </w:rPr>
        <w:t>the transfers of IFQ to CDQ groups</w:t>
      </w:r>
      <w:r>
        <w:rPr>
          <w:szCs w:val="24"/>
        </w:rPr>
        <w:t xml:space="preserve"> </w:t>
      </w:r>
      <w:r w:rsidRPr="00E23762">
        <w:rPr>
          <w:szCs w:val="24"/>
        </w:rPr>
        <w:t>would be unable to proceed</w:t>
      </w:r>
      <w:r>
        <w:rPr>
          <w:szCs w:val="24"/>
        </w:rPr>
        <w:t xml:space="preserve">. </w:t>
      </w:r>
      <w:r w:rsidR="008B194F">
        <w:rPr>
          <w:szCs w:val="24"/>
        </w:rPr>
        <w:t>All temporary transfers of IFQ would not be completed, resulting in delay</w:t>
      </w:r>
      <w:r w:rsidR="00240342">
        <w:rPr>
          <w:szCs w:val="24"/>
        </w:rPr>
        <w:t>s of operations for IFQ</w:t>
      </w:r>
      <w:r w:rsidR="00C27F19">
        <w:rPr>
          <w:szCs w:val="24"/>
        </w:rPr>
        <w:t>/</w:t>
      </w:r>
      <w:r w:rsidR="00240342">
        <w:rPr>
          <w:szCs w:val="24"/>
        </w:rPr>
        <w:t xml:space="preserve">QS holders. </w:t>
      </w:r>
    </w:p>
    <w:p w14:paraId="12898041" w14:textId="77777777" w:rsidR="00404B55" w:rsidRDefault="005B7372" w:rsidP="005B7372">
      <w:pPr>
        <w:rPr>
          <w:szCs w:val="24"/>
        </w:rPr>
      </w:pPr>
      <w:r w:rsidRPr="005B7372">
        <w:rPr>
          <w:szCs w:val="24"/>
        </w:rPr>
        <w:t xml:space="preserve">The lack of adequate information to manage the </w:t>
      </w:r>
      <w:r w:rsidR="000B1560">
        <w:rPr>
          <w:szCs w:val="24"/>
        </w:rPr>
        <w:t xml:space="preserve">CDQ </w:t>
      </w:r>
      <w:r w:rsidR="00E23762">
        <w:rPr>
          <w:szCs w:val="24"/>
        </w:rPr>
        <w:t xml:space="preserve">Program </w:t>
      </w:r>
      <w:r w:rsidR="000B1560">
        <w:rPr>
          <w:szCs w:val="24"/>
        </w:rPr>
        <w:t>and IFQ</w:t>
      </w:r>
      <w:r w:rsidRPr="005B7372">
        <w:rPr>
          <w:szCs w:val="24"/>
        </w:rPr>
        <w:t xml:space="preserve"> </w:t>
      </w:r>
      <w:r w:rsidR="00E23762">
        <w:rPr>
          <w:szCs w:val="24"/>
        </w:rPr>
        <w:t>P</w:t>
      </w:r>
      <w:r w:rsidR="00E23762" w:rsidRPr="005B7372">
        <w:rPr>
          <w:szCs w:val="24"/>
        </w:rPr>
        <w:t xml:space="preserve">rogram </w:t>
      </w:r>
      <w:r w:rsidRPr="005B7372">
        <w:rPr>
          <w:szCs w:val="24"/>
        </w:rPr>
        <w:t>would result in the fishery management decision-making process being less objective, more political, a</w:t>
      </w:r>
      <w:r w:rsidR="00E03A13">
        <w:rPr>
          <w:szCs w:val="24"/>
        </w:rPr>
        <w:t xml:space="preserve">nd potentially less equitable. </w:t>
      </w:r>
      <w:r w:rsidRPr="005B7372">
        <w:rPr>
          <w:szCs w:val="24"/>
        </w:rPr>
        <w:t xml:space="preserve">This would decrease the credibility of the fishery management process and result in an unnecessarily costly and </w:t>
      </w:r>
      <w:r w:rsidR="00E03A13">
        <w:rPr>
          <w:szCs w:val="24"/>
        </w:rPr>
        <w:t xml:space="preserve">ineffective management system. </w:t>
      </w:r>
      <w:r w:rsidRPr="005B7372">
        <w:rPr>
          <w:szCs w:val="24"/>
        </w:rPr>
        <w:t xml:space="preserve">The cost of making decisions based on inadequate information would adversely affect the viability of the </w:t>
      </w:r>
      <w:r w:rsidR="00305212">
        <w:rPr>
          <w:szCs w:val="24"/>
        </w:rPr>
        <w:t>CDQ</w:t>
      </w:r>
      <w:r w:rsidR="00305212" w:rsidRPr="005B7372">
        <w:rPr>
          <w:szCs w:val="24"/>
        </w:rPr>
        <w:t xml:space="preserve"> </w:t>
      </w:r>
      <w:r w:rsidR="006D1357">
        <w:rPr>
          <w:szCs w:val="24"/>
        </w:rPr>
        <w:t xml:space="preserve">Program </w:t>
      </w:r>
      <w:r w:rsidR="000B1560">
        <w:rPr>
          <w:szCs w:val="24"/>
        </w:rPr>
        <w:t xml:space="preserve">and the </w:t>
      </w:r>
      <w:r w:rsidR="00305212">
        <w:rPr>
          <w:szCs w:val="24"/>
        </w:rPr>
        <w:t xml:space="preserve">IFQ </w:t>
      </w:r>
      <w:r w:rsidR="00F664CB">
        <w:rPr>
          <w:szCs w:val="24"/>
        </w:rPr>
        <w:t>Program</w:t>
      </w:r>
      <w:r w:rsidR="000B1560">
        <w:rPr>
          <w:szCs w:val="24"/>
        </w:rPr>
        <w:t>.</w:t>
      </w:r>
      <w:r w:rsidR="009B54E1">
        <w:rPr>
          <w:szCs w:val="24"/>
        </w:rPr>
        <w:t xml:space="preserve"> The Council will use the Annual Reports to examine if this program is meeting its objectives.</w:t>
      </w:r>
    </w:p>
    <w:p w14:paraId="5ACE75DE" w14:textId="77777777" w:rsidR="00404B55" w:rsidRDefault="0000100A" w:rsidP="00404B55">
      <w:pPr>
        <w:pStyle w:val="Heading1"/>
      </w:pPr>
      <w:r w:rsidRPr="00605FC5">
        <w:t>7.</w:t>
      </w:r>
      <w:r w:rsidRPr="0000100A">
        <w:t xml:space="preserve">  </w:t>
      </w:r>
      <w:r w:rsidRPr="009D3250">
        <w:t>Explain any special circumstances that require the collection to be conducted in a manner inconsistent with OMB guidelines</w:t>
      </w:r>
      <w:r w:rsidRPr="0000100A">
        <w:t xml:space="preserve">. </w:t>
      </w:r>
    </w:p>
    <w:p w14:paraId="5947B3A1" w14:textId="77777777" w:rsidR="00404B55" w:rsidRDefault="005B7372" w:rsidP="0000100A">
      <w:pPr>
        <w:rPr>
          <w:szCs w:val="24"/>
        </w:rPr>
      </w:pPr>
      <w:r w:rsidRPr="005B7372">
        <w:rPr>
          <w:szCs w:val="24"/>
        </w:rPr>
        <w:t xml:space="preserve">Not Applicable  </w:t>
      </w:r>
    </w:p>
    <w:p w14:paraId="0C21EDA7" w14:textId="77777777" w:rsidR="00404B55" w:rsidRDefault="0000100A" w:rsidP="00404B55">
      <w:pPr>
        <w:pStyle w:val="Heading1"/>
      </w:pPr>
      <w:r w:rsidRPr="0000100A">
        <w:t xml:space="preserve">8.  </w:t>
      </w:r>
      <w:r w:rsidRPr="009D3250">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100A">
        <w:t>.</w:t>
      </w:r>
    </w:p>
    <w:p w14:paraId="7982E724" w14:textId="77777777" w:rsidR="00404B55" w:rsidRDefault="0000100A" w:rsidP="0000100A">
      <w:pPr>
        <w:rPr>
          <w:szCs w:val="24"/>
          <w:u w:val="single"/>
        </w:rPr>
      </w:pPr>
      <w:r w:rsidRPr="002316E5">
        <w:rPr>
          <w:szCs w:val="24"/>
        </w:rPr>
        <w:t>A</w:t>
      </w:r>
      <w:r w:rsidR="006B3CB1" w:rsidRPr="002316E5">
        <w:rPr>
          <w:szCs w:val="24"/>
        </w:rPr>
        <w:t xml:space="preserve"> proposed rule</w:t>
      </w:r>
      <w:r w:rsidR="00B63649" w:rsidRPr="002316E5">
        <w:rPr>
          <w:szCs w:val="24"/>
        </w:rPr>
        <w:t xml:space="preserve"> will be</w:t>
      </w:r>
      <w:r w:rsidR="006B3CB1" w:rsidRPr="002316E5">
        <w:rPr>
          <w:szCs w:val="24"/>
        </w:rPr>
        <w:t xml:space="preserve"> published in the</w:t>
      </w:r>
      <w:r w:rsidRPr="00E00C7A">
        <w:rPr>
          <w:szCs w:val="24"/>
        </w:rPr>
        <w:t xml:space="preserve"> </w:t>
      </w:r>
      <w:r w:rsidRPr="00D345C1">
        <w:rPr>
          <w:szCs w:val="24"/>
          <w:u w:val="single"/>
        </w:rPr>
        <w:t>Federal Register</w:t>
      </w:r>
      <w:r w:rsidR="000B1560" w:rsidRPr="00E00C7A">
        <w:rPr>
          <w:szCs w:val="24"/>
        </w:rPr>
        <w:t xml:space="preserve">, </w:t>
      </w:r>
      <w:r w:rsidR="00B63649" w:rsidRPr="00E00C7A">
        <w:rPr>
          <w:szCs w:val="24"/>
        </w:rPr>
        <w:t>coincident with this submission</w:t>
      </w:r>
      <w:r w:rsidR="00A55698">
        <w:rPr>
          <w:szCs w:val="24"/>
        </w:rPr>
        <w:t>, to solicit public comments</w:t>
      </w:r>
      <w:r w:rsidR="00652507" w:rsidRPr="002316E5">
        <w:rPr>
          <w:b/>
          <w:szCs w:val="24"/>
        </w:rPr>
        <w:t>.</w:t>
      </w:r>
      <w:r w:rsidR="00652507">
        <w:rPr>
          <w:b/>
          <w:szCs w:val="24"/>
        </w:rPr>
        <w:t xml:space="preserve"> </w:t>
      </w:r>
    </w:p>
    <w:p w14:paraId="10A970D2" w14:textId="77777777" w:rsidR="00404B55" w:rsidRDefault="0000100A" w:rsidP="00404B55">
      <w:pPr>
        <w:pStyle w:val="Heading1"/>
      </w:pPr>
      <w:r w:rsidRPr="0000100A">
        <w:t xml:space="preserve">9.  </w:t>
      </w:r>
      <w:r w:rsidRPr="00707774">
        <w:t>Explain any decisions to provide payments or gifts to respondents, other than remuneration of contractors or grantees</w:t>
      </w:r>
      <w:r w:rsidRPr="0000100A">
        <w:t>.</w:t>
      </w:r>
    </w:p>
    <w:p w14:paraId="46C38F31" w14:textId="77777777" w:rsidR="00404B55" w:rsidRDefault="00F27361" w:rsidP="0000100A">
      <w:pPr>
        <w:rPr>
          <w:szCs w:val="24"/>
        </w:rPr>
      </w:pPr>
      <w:r w:rsidRPr="00F27361">
        <w:rPr>
          <w:szCs w:val="24"/>
        </w:rPr>
        <w:t>No payment or gift will be provided under this program.</w:t>
      </w:r>
    </w:p>
    <w:p w14:paraId="12A01097" w14:textId="77777777" w:rsidR="00404B55" w:rsidRDefault="0000100A" w:rsidP="00404B55">
      <w:pPr>
        <w:pStyle w:val="Heading1"/>
      </w:pPr>
      <w:r w:rsidRPr="0000100A">
        <w:t xml:space="preserve">10.  </w:t>
      </w:r>
      <w:r w:rsidRPr="00707774">
        <w:t>Describe any assurance of confidentiality provided to respondents and the basis for assurance in statute, regulation, or agency policy</w:t>
      </w:r>
      <w:r w:rsidRPr="0000100A">
        <w:t>.</w:t>
      </w:r>
    </w:p>
    <w:p w14:paraId="6FB01063" w14:textId="77777777" w:rsidR="00404B55" w:rsidRDefault="00F27361" w:rsidP="00F27361">
      <w:pPr>
        <w:rPr>
          <w:szCs w:val="24"/>
        </w:rPr>
      </w:pPr>
      <w:r w:rsidRPr="00F27361">
        <w:rPr>
          <w:szCs w:val="24"/>
        </w:rPr>
        <w:t xml:space="preserve">The information collected is confidential under section 303(d) of the Magnuson-Stevens Act (16 U.S.C. 1801 et seq.); and also under </w:t>
      </w:r>
      <w:hyperlink r:id="rId13" w:history="1">
        <w:r w:rsidRPr="0042136D">
          <w:rPr>
            <w:rStyle w:val="Hyperlink"/>
            <w:szCs w:val="24"/>
          </w:rPr>
          <w:t>NOAA Administrative Order (AO) 216-100</w:t>
        </w:r>
      </w:hyperlink>
      <w:r w:rsidRPr="00F27361">
        <w:rPr>
          <w:szCs w:val="24"/>
        </w:rPr>
        <w:t>, which sets forth procedures to protect confidentiality of fishery statistics.  Assurance of confidentiality under these authorities is stated on all forms.</w:t>
      </w:r>
    </w:p>
    <w:p w14:paraId="3006D3B7" w14:textId="77777777" w:rsidR="00404B55" w:rsidRDefault="00F27361" w:rsidP="00163762">
      <w:pPr>
        <w:widowControl/>
        <w:tabs>
          <w:tab w:val="left" w:pos="-1180"/>
        </w:tabs>
        <w:rPr>
          <w:szCs w:val="24"/>
        </w:rPr>
      </w:pPr>
      <w:r w:rsidRPr="00F27361">
        <w:rPr>
          <w:szCs w:val="24"/>
        </w:rPr>
        <w:t>A Privacy Act System of Records Notice</w:t>
      </w:r>
      <w:r w:rsidR="004F58B8">
        <w:rPr>
          <w:szCs w:val="24"/>
        </w:rPr>
        <w:t xml:space="preserve"> (SORN)</w:t>
      </w:r>
      <w:r w:rsidRPr="00F27361">
        <w:rPr>
          <w:szCs w:val="24"/>
        </w:rPr>
        <w:t xml:space="preserve">, COMMERCE/NOAA System-19, Permits and Registrations for United States Federally Regulated Fisheries, was published in </w:t>
      </w:r>
      <w:r w:rsidRPr="00163762">
        <w:rPr>
          <w:szCs w:val="24"/>
        </w:rPr>
        <w:t>the</w:t>
      </w:r>
      <w:r w:rsidRPr="007C446B">
        <w:rPr>
          <w:b/>
          <w:i/>
          <w:szCs w:val="24"/>
        </w:rPr>
        <w:t xml:space="preserve"> </w:t>
      </w:r>
      <w:r w:rsidRPr="00E00C7A">
        <w:rPr>
          <w:i/>
          <w:szCs w:val="24"/>
        </w:rPr>
        <w:t>Federal Register</w:t>
      </w:r>
      <w:r w:rsidRPr="00F27361">
        <w:rPr>
          <w:szCs w:val="24"/>
        </w:rPr>
        <w:t xml:space="preserve"> </w:t>
      </w:r>
      <w:r w:rsidR="00163762">
        <w:rPr>
          <w:szCs w:val="24"/>
        </w:rPr>
        <w:t>on April 17, 2008 (73 FR 20914);</w:t>
      </w:r>
      <w:r w:rsidR="00163762" w:rsidRPr="00163762">
        <w:rPr>
          <w:szCs w:val="24"/>
        </w:rPr>
        <w:t xml:space="preserve"> an amended SORN was published August 7, 2015 (80 FR 47457)</w:t>
      </w:r>
      <w:r w:rsidR="004F58B8">
        <w:rPr>
          <w:szCs w:val="24"/>
        </w:rPr>
        <w:t>,</w:t>
      </w:r>
      <w:r w:rsidR="00BB7663">
        <w:rPr>
          <w:szCs w:val="24"/>
        </w:rPr>
        <w:t xml:space="preserve"> </w:t>
      </w:r>
      <w:r w:rsidR="00BB7663" w:rsidRPr="00BB7663">
        <w:rPr>
          <w:szCs w:val="24"/>
        </w:rPr>
        <w:t>and became effective September 15, 2015</w:t>
      </w:r>
      <w:r w:rsidR="00163762" w:rsidRPr="00163762">
        <w:rPr>
          <w:szCs w:val="24"/>
        </w:rPr>
        <w:t>.</w:t>
      </w:r>
    </w:p>
    <w:p w14:paraId="1E35E07E" w14:textId="77777777" w:rsidR="00404B55" w:rsidRDefault="0000100A" w:rsidP="00404B55">
      <w:pPr>
        <w:pStyle w:val="Heading1"/>
      </w:pPr>
      <w:r w:rsidRPr="0000100A">
        <w:t xml:space="preserve">11.  </w:t>
      </w:r>
      <w:r w:rsidRPr="00707774">
        <w:t>Provide additional justification for any questions of a sensitive nature, such as sexual behavior and attitudes, religious beliefs, and other matters that are commonly considered private</w:t>
      </w:r>
      <w:r w:rsidRPr="0000100A">
        <w:t>.</w:t>
      </w:r>
    </w:p>
    <w:p w14:paraId="443ACB58" w14:textId="77777777" w:rsidR="00404B55" w:rsidRDefault="007C446B" w:rsidP="007C446B">
      <w:pPr>
        <w:rPr>
          <w:szCs w:val="24"/>
        </w:rPr>
      </w:pPr>
      <w:r w:rsidRPr="007C446B">
        <w:rPr>
          <w:szCs w:val="24"/>
        </w:rPr>
        <w:t>This information collection does not involve information of a sensitive nature.</w:t>
      </w:r>
    </w:p>
    <w:p w14:paraId="40F9939F" w14:textId="77777777" w:rsidR="00404B55" w:rsidRDefault="0000100A" w:rsidP="00404B55">
      <w:pPr>
        <w:pStyle w:val="Heading1"/>
      </w:pPr>
      <w:r w:rsidRPr="0000100A">
        <w:t xml:space="preserve">12.  </w:t>
      </w:r>
      <w:r w:rsidRPr="00707774">
        <w:t>Provide an estimate in hours of the burden of the collection of information</w:t>
      </w:r>
      <w:r w:rsidRPr="0000100A">
        <w:t>.</w:t>
      </w:r>
    </w:p>
    <w:p w14:paraId="59922148" w14:textId="447F826F" w:rsidR="00404B55" w:rsidRDefault="007C446B" w:rsidP="007C446B">
      <w:pPr>
        <w:rPr>
          <w:szCs w:val="24"/>
        </w:rPr>
      </w:pPr>
      <w:r w:rsidRPr="008013C8">
        <w:rPr>
          <w:szCs w:val="24"/>
        </w:rPr>
        <w:t>Estimated total respondents</w:t>
      </w:r>
      <w:r w:rsidR="00B85DA8" w:rsidRPr="008013C8">
        <w:rPr>
          <w:szCs w:val="24"/>
        </w:rPr>
        <w:t>:</w:t>
      </w:r>
      <w:r w:rsidRPr="008013C8">
        <w:rPr>
          <w:szCs w:val="24"/>
        </w:rPr>
        <w:t xml:space="preserve"> </w:t>
      </w:r>
      <w:r w:rsidR="006662E7">
        <w:rPr>
          <w:szCs w:val="24"/>
        </w:rPr>
        <w:t>748</w:t>
      </w:r>
      <w:r w:rsidRPr="008013C8">
        <w:rPr>
          <w:szCs w:val="24"/>
        </w:rPr>
        <w:t xml:space="preserve">.  </w:t>
      </w:r>
      <w:r w:rsidR="00B85DA8" w:rsidRPr="008013C8">
        <w:rPr>
          <w:szCs w:val="24"/>
        </w:rPr>
        <w:t xml:space="preserve">Estimated total responses: </w:t>
      </w:r>
      <w:r w:rsidR="006662E7">
        <w:rPr>
          <w:szCs w:val="24"/>
        </w:rPr>
        <w:t>37</w:t>
      </w:r>
      <w:r w:rsidR="00FF4055">
        <w:rPr>
          <w:szCs w:val="24"/>
        </w:rPr>
        <w:t>7</w:t>
      </w:r>
      <w:r w:rsidRPr="008013C8">
        <w:rPr>
          <w:szCs w:val="24"/>
        </w:rPr>
        <w:t xml:space="preserve">. </w:t>
      </w:r>
      <w:r w:rsidR="00A74721" w:rsidRPr="008013C8">
        <w:rPr>
          <w:szCs w:val="24"/>
        </w:rPr>
        <w:t xml:space="preserve"> Estimated total burden hours: </w:t>
      </w:r>
      <w:r w:rsidR="006662E7">
        <w:rPr>
          <w:szCs w:val="24"/>
        </w:rPr>
        <w:t>7</w:t>
      </w:r>
      <w:r w:rsidR="00FF4055">
        <w:rPr>
          <w:szCs w:val="24"/>
        </w:rPr>
        <w:t>5</w:t>
      </w:r>
      <w:r w:rsidR="006662E7">
        <w:rPr>
          <w:szCs w:val="24"/>
        </w:rPr>
        <w:t>4</w:t>
      </w:r>
      <w:r w:rsidRPr="008013C8">
        <w:rPr>
          <w:szCs w:val="24"/>
        </w:rPr>
        <w:t xml:space="preserve">.  </w:t>
      </w:r>
      <w:r w:rsidR="00F17504">
        <w:rPr>
          <w:szCs w:val="24"/>
        </w:rPr>
        <w:t>Personnel cost: 27,528.</w:t>
      </w:r>
    </w:p>
    <w:p w14:paraId="6512D666" w14:textId="77777777" w:rsidR="00404B55" w:rsidRDefault="00404B55" w:rsidP="007C446B">
      <w:pPr>
        <w:rPr>
          <w:szCs w:val="24"/>
        </w:rPr>
      </w:pPr>
    </w:p>
    <w:p w14:paraId="4DCB9D80" w14:textId="77777777" w:rsidR="00404B55" w:rsidRDefault="0000100A" w:rsidP="00404B55">
      <w:pPr>
        <w:pStyle w:val="Heading1"/>
      </w:pPr>
      <w:r w:rsidRPr="0000100A">
        <w:t xml:space="preserve">13.  </w:t>
      </w:r>
      <w:r w:rsidRPr="00707774">
        <w:t>Provide an estimate of the total annual cost burden to the respondents or record-keepers resulting from the collection (excluding the value of the burden hours in Question 12 above)</w:t>
      </w:r>
      <w:r w:rsidRPr="0000100A">
        <w:t>.</w:t>
      </w:r>
    </w:p>
    <w:p w14:paraId="442F4BB2" w14:textId="6AA9F7FD" w:rsidR="00404B55" w:rsidRDefault="007C446B" w:rsidP="007C446B">
      <w:pPr>
        <w:rPr>
          <w:szCs w:val="24"/>
        </w:rPr>
      </w:pPr>
      <w:r w:rsidRPr="008013C8">
        <w:rPr>
          <w:szCs w:val="24"/>
        </w:rPr>
        <w:t>Estimated total miscellaneous costs</w:t>
      </w:r>
      <w:r w:rsidR="006079F8" w:rsidRPr="008013C8">
        <w:rPr>
          <w:szCs w:val="24"/>
        </w:rPr>
        <w:t>:</w:t>
      </w:r>
      <w:r w:rsidRPr="008013C8">
        <w:rPr>
          <w:szCs w:val="24"/>
        </w:rPr>
        <w:t xml:space="preserve"> </w:t>
      </w:r>
      <w:r w:rsidR="00252B6B" w:rsidRPr="008013C8">
        <w:rPr>
          <w:szCs w:val="24"/>
        </w:rPr>
        <w:t>$</w:t>
      </w:r>
      <w:r w:rsidR="00F17504">
        <w:rPr>
          <w:szCs w:val="24"/>
        </w:rPr>
        <w:t>2,174.</w:t>
      </w:r>
    </w:p>
    <w:p w14:paraId="404DC71C" w14:textId="77777777" w:rsidR="00404B55" w:rsidRDefault="0000100A" w:rsidP="00404B55">
      <w:pPr>
        <w:pStyle w:val="Heading1"/>
      </w:pPr>
      <w:r w:rsidRPr="0000100A">
        <w:t xml:space="preserve">14.  </w:t>
      </w:r>
      <w:r w:rsidRPr="00707774">
        <w:t>Provide estimates of annualized cost to the Federal government</w:t>
      </w:r>
      <w:r w:rsidRPr="0000100A">
        <w:t>.</w:t>
      </w:r>
    </w:p>
    <w:p w14:paraId="5BFFA8DF" w14:textId="76325845" w:rsidR="00404B55" w:rsidRDefault="00B728C4" w:rsidP="0000100A">
      <w:pPr>
        <w:rPr>
          <w:szCs w:val="24"/>
        </w:rPr>
      </w:pPr>
      <w:r w:rsidRPr="008013C8">
        <w:rPr>
          <w:szCs w:val="24"/>
        </w:rPr>
        <w:t xml:space="preserve">Estimated total responses: </w:t>
      </w:r>
      <w:r w:rsidR="006662E7">
        <w:rPr>
          <w:szCs w:val="24"/>
        </w:rPr>
        <w:t>371</w:t>
      </w:r>
      <w:r w:rsidRPr="008013C8">
        <w:rPr>
          <w:szCs w:val="24"/>
        </w:rPr>
        <w:t>.  Estimated total burden hours</w:t>
      </w:r>
      <w:r w:rsidR="00B66D10" w:rsidRPr="008013C8">
        <w:rPr>
          <w:szCs w:val="24"/>
        </w:rPr>
        <w:t xml:space="preserve">: </w:t>
      </w:r>
      <w:r w:rsidR="00F17504">
        <w:rPr>
          <w:szCs w:val="24"/>
        </w:rPr>
        <w:t>186</w:t>
      </w:r>
      <w:r w:rsidR="00B75178" w:rsidRPr="008013C8">
        <w:rPr>
          <w:szCs w:val="24"/>
        </w:rPr>
        <w:t xml:space="preserve"> </w:t>
      </w:r>
      <w:r w:rsidR="001C4DDD" w:rsidRPr="008013C8">
        <w:rPr>
          <w:szCs w:val="24"/>
        </w:rPr>
        <w:t>hr</w:t>
      </w:r>
      <w:r w:rsidRPr="008013C8">
        <w:rPr>
          <w:szCs w:val="24"/>
        </w:rPr>
        <w:t>.  Estimated total personnel costs: $</w:t>
      </w:r>
      <w:r w:rsidR="00F17504">
        <w:rPr>
          <w:szCs w:val="24"/>
        </w:rPr>
        <w:t>7,812.</w:t>
      </w:r>
      <w:r w:rsidRPr="008013C8">
        <w:rPr>
          <w:szCs w:val="24"/>
        </w:rPr>
        <w:t xml:space="preserve">  </w:t>
      </w:r>
      <w:r w:rsidRPr="00514D07">
        <w:rPr>
          <w:szCs w:val="24"/>
        </w:rPr>
        <w:t>Personnel labor costs are estimated to the average wage equivalent to a GS-</w:t>
      </w:r>
      <w:r w:rsidR="00514D07" w:rsidRPr="00514D07">
        <w:rPr>
          <w:szCs w:val="24"/>
        </w:rPr>
        <w:t xml:space="preserve">8 </w:t>
      </w:r>
      <w:r w:rsidRPr="00514D07">
        <w:rPr>
          <w:szCs w:val="24"/>
        </w:rPr>
        <w:t>employee in Alaska</w:t>
      </w:r>
      <w:r w:rsidR="009B54E1">
        <w:rPr>
          <w:szCs w:val="24"/>
        </w:rPr>
        <w:t xml:space="preserve"> </w:t>
      </w:r>
      <w:r w:rsidRPr="00514D07">
        <w:rPr>
          <w:szCs w:val="24"/>
        </w:rPr>
        <w:t>at $</w:t>
      </w:r>
      <w:r w:rsidR="00514D07" w:rsidRPr="00514D07">
        <w:rPr>
          <w:szCs w:val="24"/>
        </w:rPr>
        <w:t>42</w:t>
      </w:r>
      <w:r w:rsidRPr="00514D07">
        <w:rPr>
          <w:szCs w:val="24"/>
        </w:rPr>
        <w:t xml:space="preserve"> per hour.</w:t>
      </w:r>
      <w:r w:rsidRPr="00B728C4">
        <w:rPr>
          <w:szCs w:val="24"/>
        </w:rPr>
        <w:t xml:space="preserve">  </w:t>
      </w:r>
    </w:p>
    <w:p w14:paraId="2BB1D18E" w14:textId="77777777" w:rsidR="00404B55" w:rsidRDefault="0000100A" w:rsidP="00404B55">
      <w:pPr>
        <w:pStyle w:val="Heading1"/>
      </w:pPr>
      <w:r w:rsidRPr="0000100A">
        <w:t xml:space="preserve">15.  </w:t>
      </w:r>
      <w:r w:rsidRPr="00707774">
        <w:t>Explain the reasons for any program changes or adjustments</w:t>
      </w:r>
      <w:r w:rsidRPr="0000100A">
        <w:t>.</w:t>
      </w:r>
    </w:p>
    <w:p w14:paraId="076DF5A9" w14:textId="77777777" w:rsidR="00404B55" w:rsidRDefault="001C53AE" w:rsidP="00404B55">
      <w:pPr>
        <w:pStyle w:val="Header2"/>
        <w:numPr>
          <w:ilvl w:val="0"/>
          <w:numId w:val="0"/>
        </w:numPr>
        <w:ind w:left="360"/>
      </w:pPr>
      <w:r w:rsidRPr="002316E5">
        <w:t>Program changes</w:t>
      </w:r>
    </w:p>
    <w:p w14:paraId="6A161352" w14:textId="77777777" w:rsidR="00404B55" w:rsidRDefault="002316E5" w:rsidP="0000100A">
      <w:pPr>
        <w:rPr>
          <w:color w:val="000000" w:themeColor="text1"/>
          <w:szCs w:val="24"/>
        </w:rPr>
      </w:pPr>
      <w:r>
        <w:rPr>
          <w:color w:val="000000" w:themeColor="text1"/>
          <w:szCs w:val="24"/>
        </w:rPr>
        <w:t xml:space="preserve">The associated proposed rule would </w:t>
      </w:r>
      <w:r w:rsidR="005D0ACE" w:rsidRPr="002316E5">
        <w:rPr>
          <w:color w:val="000000" w:themeColor="text1"/>
          <w:szCs w:val="24"/>
        </w:rPr>
        <w:t xml:space="preserve">allow Western Alaska Community Development Quota (CDQ) groups to lease halibut individual fishing quota (IFQ) in IFQ regulatory areas 4B, 4C, and 4D in years of low halibut catch limits. This action would give CDQ community residents more fishing opportunities in years when the halibut </w:t>
      </w:r>
      <w:r w:rsidR="00FE1B08">
        <w:rPr>
          <w:color w:val="000000" w:themeColor="text1"/>
          <w:szCs w:val="24"/>
        </w:rPr>
        <w:t>catch limits</w:t>
      </w:r>
      <w:r w:rsidR="005D0ACE" w:rsidRPr="002316E5">
        <w:rPr>
          <w:color w:val="000000" w:themeColor="text1"/>
          <w:szCs w:val="24"/>
        </w:rPr>
        <w:t xml:space="preserve"> available may not be large enough to present a viable fishery for participants.</w:t>
      </w:r>
      <w:r>
        <w:rPr>
          <w:color w:val="000000" w:themeColor="text1"/>
          <w:szCs w:val="24"/>
        </w:rPr>
        <w:t xml:space="preserve"> </w:t>
      </w:r>
    </w:p>
    <w:p w14:paraId="769A68B4" w14:textId="77777777" w:rsidR="00404B55" w:rsidRDefault="0000100A" w:rsidP="00404B55">
      <w:pPr>
        <w:pStyle w:val="Heading1"/>
      </w:pPr>
      <w:r w:rsidRPr="0000100A">
        <w:t xml:space="preserve">16.  </w:t>
      </w:r>
      <w:r w:rsidRPr="00707774">
        <w:t>For collections whose results will be published, outline the plans for tabulation and publication</w:t>
      </w:r>
      <w:r w:rsidRPr="0000100A">
        <w:t>.</w:t>
      </w:r>
    </w:p>
    <w:p w14:paraId="1D0D3CB1" w14:textId="77777777" w:rsidR="00404B55" w:rsidRDefault="00B728C4" w:rsidP="0000100A">
      <w:pPr>
        <w:rPr>
          <w:szCs w:val="24"/>
        </w:rPr>
      </w:pPr>
      <w:r w:rsidRPr="00B728C4">
        <w:rPr>
          <w:szCs w:val="24"/>
        </w:rPr>
        <w:t>The information collected will not be published.</w:t>
      </w:r>
    </w:p>
    <w:p w14:paraId="27E8E2EB" w14:textId="77777777" w:rsidR="00404B55" w:rsidRDefault="0000100A" w:rsidP="00404B55">
      <w:pPr>
        <w:pStyle w:val="Heading1"/>
      </w:pPr>
      <w:r w:rsidRPr="0000100A">
        <w:t xml:space="preserve">17.  </w:t>
      </w:r>
      <w:r w:rsidRPr="00707774">
        <w:t>If seeking approval to not display the expiration date for OMB approval of the information collection, explain the reasons why display would be inappropriate</w:t>
      </w:r>
      <w:r w:rsidRPr="0000100A">
        <w:t>.</w:t>
      </w:r>
    </w:p>
    <w:p w14:paraId="7D690EF4" w14:textId="77777777" w:rsidR="00404B55" w:rsidRDefault="00663AB8" w:rsidP="0000100A">
      <w:pPr>
        <w:rPr>
          <w:szCs w:val="24"/>
        </w:rPr>
      </w:pPr>
      <w:r>
        <w:rPr>
          <w:szCs w:val="24"/>
        </w:rPr>
        <w:t>Not Applicable.</w:t>
      </w:r>
    </w:p>
    <w:p w14:paraId="50FE972D" w14:textId="72C967E9" w:rsidR="00404B55" w:rsidRDefault="00404B55" w:rsidP="00404B55">
      <w:pPr>
        <w:pStyle w:val="Heading1"/>
      </w:pPr>
      <w:r>
        <w:t xml:space="preserve">18. </w:t>
      </w:r>
      <w:r w:rsidR="0000100A" w:rsidRPr="00707774">
        <w:t>Explain each exception to the certification statement</w:t>
      </w:r>
      <w:r w:rsidR="0000100A" w:rsidRPr="0000100A">
        <w:t>.</w:t>
      </w:r>
    </w:p>
    <w:p w14:paraId="12AE4CC1" w14:textId="77777777" w:rsidR="00404B55" w:rsidRDefault="001A3D31" w:rsidP="0000100A">
      <w:pPr>
        <w:rPr>
          <w:szCs w:val="24"/>
        </w:rPr>
      </w:pPr>
      <w:r>
        <w:rPr>
          <w:szCs w:val="24"/>
        </w:rPr>
        <w:t>No</w:t>
      </w:r>
      <w:r w:rsidRPr="001A3D31">
        <w:rPr>
          <w:szCs w:val="24"/>
        </w:rPr>
        <w:t xml:space="preserve">t </w:t>
      </w:r>
      <w:r w:rsidR="007C560D">
        <w:rPr>
          <w:szCs w:val="24"/>
        </w:rPr>
        <w:t>A</w:t>
      </w:r>
      <w:r w:rsidRPr="001A3D31">
        <w:rPr>
          <w:szCs w:val="24"/>
        </w:rPr>
        <w:t>pplicable.</w:t>
      </w:r>
    </w:p>
    <w:p w14:paraId="374A1991" w14:textId="77777777" w:rsidR="00404B55" w:rsidRDefault="0000100A" w:rsidP="0000100A">
      <w:pPr>
        <w:rPr>
          <w:b/>
          <w:szCs w:val="24"/>
        </w:rPr>
      </w:pPr>
      <w:r w:rsidRPr="0000100A">
        <w:rPr>
          <w:b/>
          <w:szCs w:val="24"/>
        </w:rPr>
        <w:t>B.  COLLECTIONS OF INFORMATION EMPLOYING STATISTICAL METHODS</w:t>
      </w:r>
    </w:p>
    <w:p w14:paraId="012DE262" w14:textId="43C352BE" w:rsidR="002416B8" w:rsidRPr="007B2C4B" w:rsidRDefault="0000100A" w:rsidP="00110BD0">
      <w:pPr>
        <w:rPr>
          <w:szCs w:val="24"/>
        </w:rPr>
      </w:pPr>
      <w:r w:rsidRPr="0000100A">
        <w:rPr>
          <w:szCs w:val="24"/>
        </w:rPr>
        <w:t>This collection does not employ statistical methods.</w:t>
      </w:r>
      <w:r w:rsidR="00DD1971">
        <w:rPr>
          <w:sz w:val="18"/>
          <w:szCs w:val="18"/>
        </w:rPr>
        <w:tab/>
        <w:t xml:space="preserve">          </w:t>
      </w:r>
    </w:p>
    <w:sectPr w:rsidR="002416B8" w:rsidRPr="007B2C4B" w:rsidSect="003E757D">
      <w:footerReference w:type="default" r:id="rId14"/>
      <w:pgSz w:w="12240" w:h="15840"/>
      <w:pgMar w:top="1440" w:right="1440" w:bottom="1440" w:left="1440"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F4568" w14:textId="77777777" w:rsidR="009B6428" w:rsidRDefault="009B6428">
      <w:r>
        <w:separator/>
      </w:r>
    </w:p>
  </w:endnote>
  <w:endnote w:type="continuationSeparator" w:id="0">
    <w:p w14:paraId="51DC901C" w14:textId="77777777" w:rsidR="009B6428" w:rsidRDefault="009B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296287"/>
      <w:docPartObj>
        <w:docPartGallery w:val="Page Numbers (Bottom of Page)"/>
        <w:docPartUnique/>
      </w:docPartObj>
    </w:sdtPr>
    <w:sdtEndPr>
      <w:rPr>
        <w:noProof/>
      </w:rPr>
    </w:sdtEndPr>
    <w:sdtContent>
      <w:p w14:paraId="27C85FE4" w14:textId="003A48F4" w:rsidR="00286BC0" w:rsidRDefault="00286BC0">
        <w:pPr>
          <w:pStyle w:val="Footer"/>
          <w:jc w:val="center"/>
        </w:pPr>
        <w:r>
          <w:fldChar w:fldCharType="begin"/>
        </w:r>
        <w:r>
          <w:instrText xml:space="preserve"> PAGE   \* MERGEFORMAT </w:instrText>
        </w:r>
        <w:r>
          <w:fldChar w:fldCharType="separate"/>
        </w:r>
        <w:r w:rsidR="00726829">
          <w:rPr>
            <w:noProof/>
          </w:rPr>
          <w:t>1</w:t>
        </w:r>
        <w:r>
          <w:rPr>
            <w:noProof/>
          </w:rPr>
          <w:fldChar w:fldCharType="end"/>
        </w:r>
      </w:p>
    </w:sdtContent>
  </w:sdt>
  <w:p w14:paraId="60DAB27F" w14:textId="0C8ECB25" w:rsidR="00286BC0" w:rsidRPr="00F524DB" w:rsidRDefault="00286BC0" w:rsidP="00B6364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D8B7E" w14:textId="77777777" w:rsidR="009B6428" w:rsidRDefault="009B6428">
      <w:r>
        <w:separator/>
      </w:r>
    </w:p>
  </w:footnote>
  <w:footnote w:type="continuationSeparator" w:id="0">
    <w:p w14:paraId="05ED56FF" w14:textId="77777777" w:rsidR="009B6428" w:rsidRDefault="009B6428">
      <w:r>
        <w:continuationSeparator/>
      </w:r>
    </w:p>
  </w:footnote>
  <w:footnote w:id="1">
    <w:p w14:paraId="22335BA5" w14:textId="2D4788FF" w:rsidR="00021E23" w:rsidRPr="00021E23" w:rsidRDefault="00021E23">
      <w:pPr>
        <w:pStyle w:val="FootnoteText"/>
        <w:rPr>
          <w:sz w:val="18"/>
          <w:szCs w:val="18"/>
        </w:rPr>
      </w:pPr>
      <w:r w:rsidRPr="00021E23">
        <w:rPr>
          <w:rStyle w:val="FootnoteReference"/>
          <w:sz w:val="18"/>
          <w:szCs w:val="18"/>
        </w:rPr>
        <w:footnoteRef/>
      </w:r>
      <w:r w:rsidRPr="00021E23">
        <w:rPr>
          <w:sz w:val="18"/>
          <w:szCs w:val="18"/>
        </w:rPr>
        <w:t xml:space="preserve"> The </w:t>
      </w:r>
      <w:r w:rsidR="008D4CE4">
        <w:rPr>
          <w:sz w:val="18"/>
          <w:szCs w:val="18"/>
        </w:rPr>
        <w:t xml:space="preserve">North Pacific Fishery Management </w:t>
      </w:r>
      <w:r w:rsidRPr="00021E23">
        <w:rPr>
          <w:sz w:val="18"/>
          <w:szCs w:val="18"/>
        </w:rPr>
        <w:t>Council and the public frequently use the terms “IFQ lease” or “lease” to refer to the transfer of IFQ without the underlying QS.  NMFS does not commonly use the term “lease” in its regulations, and the term “lease” could imply that a transfer of IFQ is accompanied by a contract or other agreement between the lessor and the lessee.  For consistency with existing regulations and clarity, this proposed rule uses the term “transfer of IFQ.”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5DF5"/>
    <w:multiLevelType w:val="hybridMultilevel"/>
    <w:tmpl w:val="86F4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0C3080"/>
    <w:multiLevelType w:val="hybridMultilevel"/>
    <w:tmpl w:val="3A4A9C46"/>
    <w:lvl w:ilvl="0" w:tplc="D15A1C02">
      <w:start w:val="1"/>
      <w:numFmt w:val="lowerLetter"/>
      <w:pStyle w:val="Header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11D49"/>
    <w:multiLevelType w:val="hybridMultilevel"/>
    <w:tmpl w:val="328E0182"/>
    <w:lvl w:ilvl="0" w:tplc="D9F8C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3912F9F"/>
    <w:multiLevelType w:val="hybridMultilevel"/>
    <w:tmpl w:val="461C062A"/>
    <w:lvl w:ilvl="0" w:tplc="D122C1D6">
      <w:start w:val="1"/>
      <w:numFmt w:val="decimal"/>
      <w:lvlText w:val="%1."/>
      <w:lvlJc w:val="left"/>
      <w:pPr>
        <w:ind w:left="120" w:hanging="300"/>
        <w:jc w:val="right"/>
      </w:pPr>
      <w:rPr>
        <w:rFonts w:ascii="Times New Roman" w:eastAsia="Times New Roman" w:hAnsi="Times New Roman" w:hint="default"/>
        <w:b/>
        <w:bCs/>
        <w:sz w:val="24"/>
        <w:szCs w:val="24"/>
      </w:rPr>
    </w:lvl>
    <w:lvl w:ilvl="1" w:tplc="B09012F0">
      <w:start w:val="1"/>
      <w:numFmt w:val="lowerLetter"/>
      <w:lvlText w:val="%2."/>
      <w:lvlJc w:val="left"/>
      <w:pPr>
        <w:ind w:left="300" w:hanging="300"/>
      </w:pPr>
      <w:rPr>
        <w:rFonts w:ascii="Times New Roman" w:eastAsia="Times New Roman" w:hAnsi="Times New Roman" w:hint="default"/>
        <w:b/>
        <w:bCs/>
        <w:sz w:val="24"/>
        <w:szCs w:val="24"/>
      </w:rPr>
    </w:lvl>
    <w:lvl w:ilvl="2" w:tplc="DF8C99EE">
      <w:start w:val="1"/>
      <w:numFmt w:val="bullet"/>
      <w:lvlText w:val="◆"/>
      <w:lvlJc w:val="left"/>
      <w:pPr>
        <w:ind w:left="820" w:hanging="360"/>
      </w:pPr>
      <w:rPr>
        <w:rFonts w:ascii="Times New Roman" w:eastAsia="Times New Roman" w:hAnsi="Times New Roman" w:hint="default"/>
        <w:w w:val="51"/>
        <w:sz w:val="24"/>
        <w:szCs w:val="24"/>
      </w:rPr>
    </w:lvl>
    <w:lvl w:ilvl="3" w:tplc="D69CBD70">
      <w:start w:val="1"/>
      <w:numFmt w:val="bullet"/>
      <w:lvlText w:val="▪"/>
      <w:lvlJc w:val="left"/>
      <w:pPr>
        <w:ind w:left="1200" w:hanging="360"/>
      </w:pPr>
      <w:rPr>
        <w:rFonts w:ascii="Times New Roman" w:eastAsia="Times New Roman" w:hAnsi="Times New Roman" w:hint="default"/>
        <w:sz w:val="24"/>
        <w:szCs w:val="24"/>
      </w:rPr>
    </w:lvl>
    <w:lvl w:ilvl="4" w:tplc="169A9B62">
      <w:start w:val="1"/>
      <w:numFmt w:val="bullet"/>
      <w:lvlText w:val="•"/>
      <w:lvlJc w:val="left"/>
      <w:pPr>
        <w:ind w:left="840" w:hanging="360"/>
      </w:pPr>
      <w:rPr>
        <w:rFonts w:hint="default"/>
      </w:rPr>
    </w:lvl>
    <w:lvl w:ilvl="5" w:tplc="92566B6A">
      <w:start w:val="1"/>
      <w:numFmt w:val="bullet"/>
      <w:lvlText w:val="•"/>
      <w:lvlJc w:val="left"/>
      <w:pPr>
        <w:ind w:left="840" w:hanging="360"/>
      </w:pPr>
      <w:rPr>
        <w:rFonts w:hint="default"/>
      </w:rPr>
    </w:lvl>
    <w:lvl w:ilvl="6" w:tplc="2C5E6E2A">
      <w:start w:val="1"/>
      <w:numFmt w:val="bullet"/>
      <w:lvlText w:val="•"/>
      <w:lvlJc w:val="left"/>
      <w:pPr>
        <w:ind w:left="840" w:hanging="360"/>
      </w:pPr>
      <w:rPr>
        <w:rFonts w:hint="default"/>
      </w:rPr>
    </w:lvl>
    <w:lvl w:ilvl="7" w:tplc="A66C2090">
      <w:start w:val="1"/>
      <w:numFmt w:val="bullet"/>
      <w:lvlText w:val="•"/>
      <w:lvlJc w:val="left"/>
      <w:pPr>
        <w:ind w:left="1200" w:hanging="360"/>
      </w:pPr>
      <w:rPr>
        <w:rFonts w:hint="default"/>
      </w:rPr>
    </w:lvl>
    <w:lvl w:ilvl="8" w:tplc="B7E20A4C">
      <w:start w:val="1"/>
      <w:numFmt w:val="bullet"/>
      <w:lvlText w:val="•"/>
      <w:lvlJc w:val="left"/>
      <w:pPr>
        <w:ind w:left="3953"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9"/>
    <w:rsid w:val="00000B36"/>
    <w:rsid w:val="0000100A"/>
    <w:rsid w:val="00001324"/>
    <w:rsid w:val="00003ACE"/>
    <w:rsid w:val="000063D0"/>
    <w:rsid w:val="00006E95"/>
    <w:rsid w:val="00007F18"/>
    <w:rsid w:val="000101B0"/>
    <w:rsid w:val="000104DA"/>
    <w:rsid w:val="00010766"/>
    <w:rsid w:val="00010FAD"/>
    <w:rsid w:val="000111DA"/>
    <w:rsid w:val="00013191"/>
    <w:rsid w:val="00013708"/>
    <w:rsid w:val="000140C9"/>
    <w:rsid w:val="00016525"/>
    <w:rsid w:val="0001653C"/>
    <w:rsid w:val="00017A82"/>
    <w:rsid w:val="00020028"/>
    <w:rsid w:val="000203EE"/>
    <w:rsid w:val="00021E23"/>
    <w:rsid w:val="0002324E"/>
    <w:rsid w:val="00023459"/>
    <w:rsid w:val="00024578"/>
    <w:rsid w:val="000248E3"/>
    <w:rsid w:val="00024DFB"/>
    <w:rsid w:val="00027C5F"/>
    <w:rsid w:val="00030160"/>
    <w:rsid w:val="00030EDE"/>
    <w:rsid w:val="000350AC"/>
    <w:rsid w:val="000357DC"/>
    <w:rsid w:val="00037DFE"/>
    <w:rsid w:val="00040069"/>
    <w:rsid w:val="00042F0A"/>
    <w:rsid w:val="00043CE2"/>
    <w:rsid w:val="000442FA"/>
    <w:rsid w:val="00045CBD"/>
    <w:rsid w:val="00045DC3"/>
    <w:rsid w:val="00046593"/>
    <w:rsid w:val="000473FE"/>
    <w:rsid w:val="0005035C"/>
    <w:rsid w:val="00051DBC"/>
    <w:rsid w:val="00051E00"/>
    <w:rsid w:val="000523E0"/>
    <w:rsid w:val="000546DD"/>
    <w:rsid w:val="00054871"/>
    <w:rsid w:val="00054E5F"/>
    <w:rsid w:val="00055CE7"/>
    <w:rsid w:val="00056F42"/>
    <w:rsid w:val="0006441C"/>
    <w:rsid w:val="00064EB3"/>
    <w:rsid w:val="00066AC8"/>
    <w:rsid w:val="00071543"/>
    <w:rsid w:val="000725C5"/>
    <w:rsid w:val="000728F7"/>
    <w:rsid w:val="00072BBE"/>
    <w:rsid w:val="00073168"/>
    <w:rsid w:val="00073D24"/>
    <w:rsid w:val="00074EA3"/>
    <w:rsid w:val="00076883"/>
    <w:rsid w:val="0008143B"/>
    <w:rsid w:val="00081F08"/>
    <w:rsid w:val="00082576"/>
    <w:rsid w:val="000826A8"/>
    <w:rsid w:val="00082B27"/>
    <w:rsid w:val="000834F3"/>
    <w:rsid w:val="0008382C"/>
    <w:rsid w:val="00084559"/>
    <w:rsid w:val="00084C73"/>
    <w:rsid w:val="000853CB"/>
    <w:rsid w:val="000956E3"/>
    <w:rsid w:val="00096535"/>
    <w:rsid w:val="00096897"/>
    <w:rsid w:val="000972BA"/>
    <w:rsid w:val="000976F5"/>
    <w:rsid w:val="0009786E"/>
    <w:rsid w:val="000A08C5"/>
    <w:rsid w:val="000A0952"/>
    <w:rsid w:val="000A09A0"/>
    <w:rsid w:val="000A1387"/>
    <w:rsid w:val="000A1733"/>
    <w:rsid w:val="000A399E"/>
    <w:rsid w:val="000A3DD4"/>
    <w:rsid w:val="000A57B6"/>
    <w:rsid w:val="000A62E9"/>
    <w:rsid w:val="000A7E88"/>
    <w:rsid w:val="000B01C6"/>
    <w:rsid w:val="000B1560"/>
    <w:rsid w:val="000B4DBB"/>
    <w:rsid w:val="000B7E62"/>
    <w:rsid w:val="000C4619"/>
    <w:rsid w:val="000C5CF1"/>
    <w:rsid w:val="000D2C2F"/>
    <w:rsid w:val="000D325A"/>
    <w:rsid w:val="000D3BB9"/>
    <w:rsid w:val="000D5A97"/>
    <w:rsid w:val="000D5D55"/>
    <w:rsid w:val="000D688E"/>
    <w:rsid w:val="000E1B0F"/>
    <w:rsid w:val="000E5C44"/>
    <w:rsid w:val="000E7E03"/>
    <w:rsid w:val="000F0FD4"/>
    <w:rsid w:val="000F3520"/>
    <w:rsid w:val="000F5286"/>
    <w:rsid w:val="000F52FE"/>
    <w:rsid w:val="000F5659"/>
    <w:rsid w:val="000F6536"/>
    <w:rsid w:val="000F75F6"/>
    <w:rsid w:val="00100408"/>
    <w:rsid w:val="0010133A"/>
    <w:rsid w:val="0010279A"/>
    <w:rsid w:val="0010377F"/>
    <w:rsid w:val="00104D08"/>
    <w:rsid w:val="00105C4B"/>
    <w:rsid w:val="00106FAA"/>
    <w:rsid w:val="00107302"/>
    <w:rsid w:val="00107537"/>
    <w:rsid w:val="00110BD0"/>
    <w:rsid w:val="001117CE"/>
    <w:rsid w:val="00113FE6"/>
    <w:rsid w:val="00117271"/>
    <w:rsid w:val="001200A4"/>
    <w:rsid w:val="00120F88"/>
    <w:rsid w:val="001223C3"/>
    <w:rsid w:val="00125F72"/>
    <w:rsid w:val="00127AC5"/>
    <w:rsid w:val="001317C9"/>
    <w:rsid w:val="00131996"/>
    <w:rsid w:val="001327E2"/>
    <w:rsid w:val="00136651"/>
    <w:rsid w:val="00137F05"/>
    <w:rsid w:val="0014017F"/>
    <w:rsid w:val="00141626"/>
    <w:rsid w:val="00143E67"/>
    <w:rsid w:val="00145B07"/>
    <w:rsid w:val="00145E41"/>
    <w:rsid w:val="00147775"/>
    <w:rsid w:val="001501C4"/>
    <w:rsid w:val="00150DB1"/>
    <w:rsid w:val="00150DB7"/>
    <w:rsid w:val="001518C1"/>
    <w:rsid w:val="001520F7"/>
    <w:rsid w:val="00152AC1"/>
    <w:rsid w:val="00155240"/>
    <w:rsid w:val="00155C28"/>
    <w:rsid w:val="00155CDC"/>
    <w:rsid w:val="00156AD1"/>
    <w:rsid w:val="00161D95"/>
    <w:rsid w:val="00163762"/>
    <w:rsid w:val="00164CC9"/>
    <w:rsid w:val="00165341"/>
    <w:rsid w:val="00166D92"/>
    <w:rsid w:val="0016740B"/>
    <w:rsid w:val="001700DA"/>
    <w:rsid w:val="001724B4"/>
    <w:rsid w:val="001737CA"/>
    <w:rsid w:val="00173988"/>
    <w:rsid w:val="00176651"/>
    <w:rsid w:val="00177748"/>
    <w:rsid w:val="001819A0"/>
    <w:rsid w:val="001825B7"/>
    <w:rsid w:val="001931A7"/>
    <w:rsid w:val="00196AF6"/>
    <w:rsid w:val="00197EB6"/>
    <w:rsid w:val="001A1E55"/>
    <w:rsid w:val="001A2180"/>
    <w:rsid w:val="001A22A7"/>
    <w:rsid w:val="001A24E4"/>
    <w:rsid w:val="001A2812"/>
    <w:rsid w:val="001A3D31"/>
    <w:rsid w:val="001A5866"/>
    <w:rsid w:val="001A7049"/>
    <w:rsid w:val="001B02F1"/>
    <w:rsid w:val="001B32C8"/>
    <w:rsid w:val="001B339E"/>
    <w:rsid w:val="001B37D5"/>
    <w:rsid w:val="001B61C1"/>
    <w:rsid w:val="001B73DF"/>
    <w:rsid w:val="001B7793"/>
    <w:rsid w:val="001B7F75"/>
    <w:rsid w:val="001C0682"/>
    <w:rsid w:val="001C18FF"/>
    <w:rsid w:val="001C4191"/>
    <w:rsid w:val="001C4DDD"/>
    <w:rsid w:val="001C53AE"/>
    <w:rsid w:val="001C6896"/>
    <w:rsid w:val="001C6E26"/>
    <w:rsid w:val="001C6E4E"/>
    <w:rsid w:val="001D1941"/>
    <w:rsid w:val="001D244B"/>
    <w:rsid w:val="001D33A4"/>
    <w:rsid w:val="001D650C"/>
    <w:rsid w:val="001D7B92"/>
    <w:rsid w:val="001E0ACB"/>
    <w:rsid w:val="001E168D"/>
    <w:rsid w:val="001E5504"/>
    <w:rsid w:val="001E5690"/>
    <w:rsid w:val="001F05DB"/>
    <w:rsid w:val="001F23FF"/>
    <w:rsid w:val="001F2524"/>
    <w:rsid w:val="001F4749"/>
    <w:rsid w:val="001F5312"/>
    <w:rsid w:val="001F5B8E"/>
    <w:rsid w:val="001F65B6"/>
    <w:rsid w:val="001F77EB"/>
    <w:rsid w:val="002020FE"/>
    <w:rsid w:val="00203C12"/>
    <w:rsid w:val="00203F73"/>
    <w:rsid w:val="00204071"/>
    <w:rsid w:val="00205615"/>
    <w:rsid w:val="00206370"/>
    <w:rsid w:val="00206640"/>
    <w:rsid w:val="00206833"/>
    <w:rsid w:val="002068D9"/>
    <w:rsid w:val="00207112"/>
    <w:rsid w:val="0021071C"/>
    <w:rsid w:val="00210B29"/>
    <w:rsid w:val="002119FF"/>
    <w:rsid w:val="00213137"/>
    <w:rsid w:val="00213401"/>
    <w:rsid w:val="00213AAA"/>
    <w:rsid w:val="002155B0"/>
    <w:rsid w:val="00216A42"/>
    <w:rsid w:val="00220AA3"/>
    <w:rsid w:val="002214B5"/>
    <w:rsid w:val="00223B10"/>
    <w:rsid w:val="00224694"/>
    <w:rsid w:val="00225D24"/>
    <w:rsid w:val="00226336"/>
    <w:rsid w:val="002271BB"/>
    <w:rsid w:val="002301F7"/>
    <w:rsid w:val="002310FE"/>
    <w:rsid w:val="002316E5"/>
    <w:rsid w:val="00233AE4"/>
    <w:rsid w:val="00235DA0"/>
    <w:rsid w:val="00240342"/>
    <w:rsid w:val="00241568"/>
    <w:rsid w:val="002416B8"/>
    <w:rsid w:val="002430A5"/>
    <w:rsid w:val="00243843"/>
    <w:rsid w:val="00244CC1"/>
    <w:rsid w:val="002454CF"/>
    <w:rsid w:val="00251EAE"/>
    <w:rsid w:val="00252A0B"/>
    <w:rsid w:val="00252B6B"/>
    <w:rsid w:val="00254CCB"/>
    <w:rsid w:val="00255049"/>
    <w:rsid w:val="00256C17"/>
    <w:rsid w:val="002573BA"/>
    <w:rsid w:val="002574BB"/>
    <w:rsid w:val="00260841"/>
    <w:rsid w:val="00261901"/>
    <w:rsid w:val="00262722"/>
    <w:rsid w:val="00262C55"/>
    <w:rsid w:val="0026333D"/>
    <w:rsid w:val="00264726"/>
    <w:rsid w:val="002656E7"/>
    <w:rsid w:val="00265909"/>
    <w:rsid w:val="00266C44"/>
    <w:rsid w:val="00270565"/>
    <w:rsid w:val="002707D5"/>
    <w:rsid w:val="002722E3"/>
    <w:rsid w:val="00272413"/>
    <w:rsid w:val="002724DF"/>
    <w:rsid w:val="00272BA1"/>
    <w:rsid w:val="00273B5E"/>
    <w:rsid w:val="00274256"/>
    <w:rsid w:val="0027551A"/>
    <w:rsid w:val="002757CA"/>
    <w:rsid w:val="00275DFC"/>
    <w:rsid w:val="002763F3"/>
    <w:rsid w:val="0028026B"/>
    <w:rsid w:val="0028039A"/>
    <w:rsid w:val="00280A91"/>
    <w:rsid w:val="00284543"/>
    <w:rsid w:val="002868FD"/>
    <w:rsid w:val="00286BC0"/>
    <w:rsid w:val="00286F86"/>
    <w:rsid w:val="0029034B"/>
    <w:rsid w:val="002903DA"/>
    <w:rsid w:val="00291287"/>
    <w:rsid w:val="0029196E"/>
    <w:rsid w:val="00292100"/>
    <w:rsid w:val="00292FF9"/>
    <w:rsid w:val="00295E17"/>
    <w:rsid w:val="00296218"/>
    <w:rsid w:val="002965F6"/>
    <w:rsid w:val="0029668F"/>
    <w:rsid w:val="00297FB6"/>
    <w:rsid w:val="002A06EE"/>
    <w:rsid w:val="002A0A4A"/>
    <w:rsid w:val="002A30CD"/>
    <w:rsid w:val="002A3BEA"/>
    <w:rsid w:val="002A4DB6"/>
    <w:rsid w:val="002A5004"/>
    <w:rsid w:val="002A7EBC"/>
    <w:rsid w:val="002A7F5E"/>
    <w:rsid w:val="002B2812"/>
    <w:rsid w:val="002B2C1F"/>
    <w:rsid w:val="002B3C31"/>
    <w:rsid w:val="002B4990"/>
    <w:rsid w:val="002B4BD2"/>
    <w:rsid w:val="002B6B47"/>
    <w:rsid w:val="002B701E"/>
    <w:rsid w:val="002C012D"/>
    <w:rsid w:val="002C1819"/>
    <w:rsid w:val="002C30C7"/>
    <w:rsid w:val="002C31D1"/>
    <w:rsid w:val="002C346B"/>
    <w:rsid w:val="002C37B9"/>
    <w:rsid w:val="002C482F"/>
    <w:rsid w:val="002C7155"/>
    <w:rsid w:val="002C7EA2"/>
    <w:rsid w:val="002D0F7A"/>
    <w:rsid w:val="002D269D"/>
    <w:rsid w:val="002D35A7"/>
    <w:rsid w:val="002D586C"/>
    <w:rsid w:val="002D6431"/>
    <w:rsid w:val="002D7454"/>
    <w:rsid w:val="002E0376"/>
    <w:rsid w:val="002E08F2"/>
    <w:rsid w:val="002E096E"/>
    <w:rsid w:val="002E48FD"/>
    <w:rsid w:val="002E4F2A"/>
    <w:rsid w:val="002E63E4"/>
    <w:rsid w:val="002E66AA"/>
    <w:rsid w:val="002E6F39"/>
    <w:rsid w:val="002E6FE6"/>
    <w:rsid w:val="002E7823"/>
    <w:rsid w:val="002F1248"/>
    <w:rsid w:val="002F2179"/>
    <w:rsid w:val="002F2FD9"/>
    <w:rsid w:val="002F3E0F"/>
    <w:rsid w:val="002F6CE5"/>
    <w:rsid w:val="003006A8"/>
    <w:rsid w:val="00303049"/>
    <w:rsid w:val="00303A53"/>
    <w:rsid w:val="00303CE0"/>
    <w:rsid w:val="00305212"/>
    <w:rsid w:val="00305820"/>
    <w:rsid w:val="003059E8"/>
    <w:rsid w:val="00306641"/>
    <w:rsid w:val="003066D3"/>
    <w:rsid w:val="003070F5"/>
    <w:rsid w:val="00307DC6"/>
    <w:rsid w:val="00310692"/>
    <w:rsid w:val="003106F1"/>
    <w:rsid w:val="00310BF2"/>
    <w:rsid w:val="00313023"/>
    <w:rsid w:val="003158ED"/>
    <w:rsid w:val="0032047F"/>
    <w:rsid w:val="00320AB8"/>
    <w:rsid w:val="00320E70"/>
    <w:rsid w:val="00321090"/>
    <w:rsid w:val="003235E2"/>
    <w:rsid w:val="00324126"/>
    <w:rsid w:val="0032501A"/>
    <w:rsid w:val="003273BD"/>
    <w:rsid w:val="003319D7"/>
    <w:rsid w:val="00331A3C"/>
    <w:rsid w:val="00332BB9"/>
    <w:rsid w:val="00336D03"/>
    <w:rsid w:val="00337B51"/>
    <w:rsid w:val="00340369"/>
    <w:rsid w:val="00340596"/>
    <w:rsid w:val="00340D63"/>
    <w:rsid w:val="00341E6F"/>
    <w:rsid w:val="00342A63"/>
    <w:rsid w:val="00343A2B"/>
    <w:rsid w:val="00344355"/>
    <w:rsid w:val="0034454E"/>
    <w:rsid w:val="003453BC"/>
    <w:rsid w:val="00345491"/>
    <w:rsid w:val="00345F2D"/>
    <w:rsid w:val="00346110"/>
    <w:rsid w:val="00346FFC"/>
    <w:rsid w:val="00347780"/>
    <w:rsid w:val="00350917"/>
    <w:rsid w:val="00351142"/>
    <w:rsid w:val="00352885"/>
    <w:rsid w:val="003541DE"/>
    <w:rsid w:val="0035438C"/>
    <w:rsid w:val="00354509"/>
    <w:rsid w:val="00355099"/>
    <w:rsid w:val="00355B72"/>
    <w:rsid w:val="00355F92"/>
    <w:rsid w:val="00356467"/>
    <w:rsid w:val="00356697"/>
    <w:rsid w:val="00356982"/>
    <w:rsid w:val="003601CD"/>
    <w:rsid w:val="00361F31"/>
    <w:rsid w:val="0036217C"/>
    <w:rsid w:val="00364922"/>
    <w:rsid w:val="003656CA"/>
    <w:rsid w:val="00365DA7"/>
    <w:rsid w:val="00367F2A"/>
    <w:rsid w:val="00370640"/>
    <w:rsid w:val="00370DCE"/>
    <w:rsid w:val="00370E7A"/>
    <w:rsid w:val="003717DC"/>
    <w:rsid w:val="00372AE6"/>
    <w:rsid w:val="00372CE4"/>
    <w:rsid w:val="00373127"/>
    <w:rsid w:val="00373D5E"/>
    <w:rsid w:val="00374688"/>
    <w:rsid w:val="00374EB7"/>
    <w:rsid w:val="00377982"/>
    <w:rsid w:val="00381576"/>
    <w:rsid w:val="00382D52"/>
    <w:rsid w:val="00385644"/>
    <w:rsid w:val="003856C4"/>
    <w:rsid w:val="00386393"/>
    <w:rsid w:val="003873DF"/>
    <w:rsid w:val="00390278"/>
    <w:rsid w:val="00393E0E"/>
    <w:rsid w:val="0039529F"/>
    <w:rsid w:val="00397069"/>
    <w:rsid w:val="00397D1B"/>
    <w:rsid w:val="003A2B6E"/>
    <w:rsid w:val="003A308D"/>
    <w:rsid w:val="003A4501"/>
    <w:rsid w:val="003B0D1E"/>
    <w:rsid w:val="003B2577"/>
    <w:rsid w:val="003B3550"/>
    <w:rsid w:val="003B5178"/>
    <w:rsid w:val="003C2389"/>
    <w:rsid w:val="003C3016"/>
    <w:rsid w:val="003C3C82"/>
    <w:rsid w:val="003C54FC"/>
    <w:rsid w:val="003C66A1"/>
    <w:rsid w:val="003C6797"/>
    <w:rsid w:val="003C7C7C"/>
    <w:rsid w:val="003D106C"/>
    <w:rsid w:val="003D11FF"/>
    <w:rsid w:val="003D14AA"/>
    <w:rsid w:val="003D1721"/>
    <w:rsid w:val="003D20E5"/>
    <w:rsid w:val="003D3C00"/>
    <w:rsid w:val="003D57E8"/>
    <w:rsid w:val="003D721E"/>
    <w:rsid w:val="003D7FF7"/>
    <w:rsid w:val="003E2780"/>
    <w:rsid w:val="003E3AF0"/>
    <w:rsid w:val="003E3BF0"/>
    <w:rsid w:val="003E3EF8"/>
    <w:rsid w:val="003E72CE"/>
    <w:rsid w:val="003E757D"/>
    <w:rsid w:val="003E7FA5"/>
    <w:rsid w:val="003F0220"/>
    <w:rsid w:val="003F05EF"/>
    <w:rsid w:val="003F17FC"/>
    <w:rsid w:val="003F3231"/>
    <w:rsid w:val="003F45BA"/>
    <w:rsid w:val="003F61D4"/>
    <w:rsid w:val="003F796D"/>
    <w:rsid w:val="004009BE"/>
    <w:rsid w:val="00402BEB"/>
    <w:rsid w:val="004030A4"/>
    <w:rsid w:val="00403A04"/>
    <w:rsid w:val="00404B55"/>
    <w:rsid w:val="00404F3E"/>
    <w:rsid w:val="004058E7"/>
    <w:rsid w:val="00405A9D"/>
    <w:rsid w:val="00407503"/>
    <w:rsid w:val="0040793F"/>
    <w:rsid w:val="0041103E"/>
    <w:rsid w:val="004110E4"/>
    <w:rsid w:val="004127B4"/>
    <w:rsid w:val="0041399C"/>
    <w:rsid w:val="00415E67"/>
    <w:rsid w:val="00416250"/>
    <w:rsid w:val="004206E7"/>
    <w:rsid w:val="0042136D"/>
    <w:rsid w:val="0042188E"/>
    <w:rsid w:val="00423088"/>
    <w:rsid w:val="00424055"/>
    <w:rsid w:val="004258F0"/>
    <w:rsid w:val="00427164"/>
    <w:rsid w:val="004276E9"/>
    <w:rsid w:val="004305A1"/>
    <w:rsid w:val="00432EC2"/>
    <w:rsid w:val="004361F2"/>
    <w:rsid w:val="004364D6"/>
    <w:rsid w:val="004366E2"/>
    <w:rsid w:val="0043671A"/>
    <w:rsid w:val="0043727B"/>
    <w:rsid w:val="00440650"/>
    <w:rsid w:val="004413BB"/>
    <w:rsid w:val="004430F1"/>
    <w:rsid w:val="004437A7"/>
    <w:rsid w:val="00443922"/>
    <w:rsid w:val="004448F5"/>
    <w:rsid w:val="00446D83"/>
    <w:rsid w:val="00447E73"/>
    <w:rsid w:val="004500DA"/>
    <w:rsid w:val="004509D8"/>
    <w:rsid w:val="00451D0D"/>
    <w:rsid w:val="00451F60"/>
    <w:rsid w:val="004521CC"/>
    <w:rsid w:val="00455131"/>
    <w:rsid w:val="00455C09"/>
    <w:rsid w:val="00457EE6"/>
    <w:rsid w:val="00461023"/>
    <w:rsid w:val="0046431B"/>
    <w:rsid w:val="00464548"/>
    <w:rsid w:val="00464B01"/>
    <w:rsid w:val="00465F17"/>
    <w:rsid w:val="00473FCB"/>
    <w:rsid w:val="004766C7"/>
    <w:rsid w:val="00476FF2"/>
    <w:rsid w:val="004802BF"/>
    <w:rsid w:val="00481DB1"/>
    <w:rsid w:val="004820C1"/>
    <w:rsid w:val="00482EB1"/>
    <w:rsid w:val="00482F16"/>
    <w:rsid w:val="00483550"/>
    <w:rsid w:val="00483990"/>
    <w:rsid w:val="0048438B"/>
    <w:rsid w:val="0048527D"/>
    <w:rsid w:val="00490FBF"/>
    <w:rsid w:val="00491569"/>
    <w:rsid w:val="004925F8"/>
    <w:rsid w:val="00493051"/>
    <w:rsid w:val="00494A8F"/>
    <w:rsid w:val="00495E5E"/>
    <w:rsid w:val="00497319"/>
    <w:rsid w:val="004A15C1"/>
    <w:rsid w:val="004A2395"/>
    <w:rsid w:val="004A2F32"/>
    <w:rsid w:val="004A39E8"/>
    <w:rsid w:val="004A5673"/>
    <w:rsid w:val="004A5A20"/>
    <w:rsid w:val="004A5AF5"/>
    <w:rsid w:val="004A5BE7"/>
    <w:rsid w:val="004A6037"/>
    <w:rsid w:val="004C300C"/>
    <w:rsid w:val="004C3A4D"/>
    <w:rsid w:val="004C4285"/>
    <w:rsid w:val="004C42BA"/>
    <w:rsid w:val="004C52A4"/>
    <w:rsid w:val="004C7BB7"/>
    <w:rsid w:val="004D1089"/>
    <w:rsid w:val="004D2C0A"/>
    <w:rsid w:val="004D2DC3"/>
    <w:rsid w:val="004D380F"/>
    <w:rsid w:val="004D4BC6"/>
    <w:rsid w:val="004D4D29"/>
    <w:rsid w:val="004D4D8B"/>
    <w:rsid w:val="004D63C9"/>
    <w:rsid w:val="004D6802"/>
    <w:rsid w:val="004D6D89"/>
    <w:rsid w:val="004E0A91"/>
    <w:rsid w:val="004E11B8"/>
    <w:rsid w:val="004E402C"/>
    <w:rsid w:val="004E42F1"/>
    <w:rsid w:val="004E5710"/>
    <w:rsid w:val="004E7D48"/>
    <w:rsid w:val="004F2D8F"/>
    <w:rsid w:val="004F3A15"/>
    <w:rsid w:val="004F3B8E"/>
    <w:rsid w:val="004F4160"/>
    <w:rsid w:val="004F58B8"/>
    <w:rsid w:val="004F6C39"/>
    <w:rsid w:val="004F7540"/>
    <w:rsid w:val="004F7566"/>
    <w:rsid w:val="004F78FB"/>
    <w:rsid w:val="00500424"/>
    <w:rsid w:val="005026EB"/>
    <w:rsid w:val="005039DB"/>
    <w:rsid w:val="00505832"/>
    <w:rsid w:val="00506F0F"/>
    <w:rsid w:val="00507DCF"/>
    <w:rsid w:val="0051074B"/>
    <w:rsid w:val="005110C3"/>
    <w:rsid w:val="005116F6"/>
    <w:rsid w:val="005129B4"/>
    <w:rsid w:val="00513F8E"/>
    <w:rsid w:val="00514D07"/>
    <w:rsid w:val="00516967"/>
    <w:rsid w:val="00517025"/>
    <w:rsid w:val="00517BBC"/>
    <w:rsid w:val="005211FA"/>
    <w:rsid w:val="00523893"/>
    <w:rsid w:val="0052506F"/>
    <w:rsid w:val="005268B3"/>
    <w:rsid w:val="00527364"/>
    <w:rsid w:val="00530055"/>
    <w:rsid w:val="00530AF8"/>
    <w:rsid w:val="00530D45"/>
    <w:rsid w:val="00531436"/>
    <w:rsid w:val="00533549"/>
    <w:rsid w:val="00535FA2"/>
    <w:rsid w:val="00536334"/>
    <w:rsid w:val="00536493"/>
    <w:rsid w:val="00536AA9"/>
    <w:rsid w:val="005418DF"/>
    <w:rsid w:val="00541A23"/>
    <w:rsid w:val="005426DD"/>
    <w:rsid w:val="00542844"/>
    <w:rsid w:val="00542ADC"/>
    <w:rsid w:val="0054311B"/>
    <w:rsid w:val="00544FD3"/>
    <w:rsid w:val="005465EE"/>
    <w:rsid w:val="00546E1F"/>
    <w:rsid w:val="005472FC"/>
    <w:rsid w:val="005511D0"/>
    <w:rsid w:val="0055233E"/>
    <w:rsid w:val="00552AAC"/>
    <w:rsid w:val="0055313B"/>
    <w:rsid w:val="005539AF"/>
    <w:rsid w:val="00560756"/>
    <w:rsid w:val="00561628"/>
    <w:rsid w:val="005618B8"/>
    <w:rsid w:val="005619FA"/>
    <w:rsid w:val="00564710"/>
    <w:rsid w:val="00565010"/>
    <w:rsid w:val="00566F44"/>
    <w:rsid w:val="005676A6"/>
    <w:rsid w:val="005702B6"/>
    <w:rsid w:val="00570CCB"/>
    <w:rsid w:val="00570F9B"/>
    <w:rsid w:val="005718A3"/>
    <w:rsid w:val="005733A8"/>
    <w:rsid w:val="00573A3C"/>
    <w:rsid w:val="00573C7B"/>
    <w:rsid w:val="00573DDA"/>
    <w:rsid w:val="00574E9F"/>
    <w:rsid w:val="00575CE9"/>
    <w:rsid w:val="00575EFC"/>
    <w:rsid w:val="005777E2"/>
    <w:rsid w:val="005812F5"/>
    <w:rsid w:val="00587548"/>
    <w:rsid w:val="00587782"/>
    <w:rsid w:val="0059076D"/>
    <w:rsid w:val="005921A6"/>
    <w:rsid w:val="00594E0B"/>
    <w:rsid w:val="00595CDF"/>
    <w:rsid w:val="005A217E"/>
    <w:rsid w:val="005A2BB4"/>
    <w:rsid w:val="005A4CF1"/>
    <w:rsid w:val="005A6A3A"/>
    <w:rsid w:val="005B0B04"/>
    <w:rsid w:val="005B0FC6"/>
    <w:rsid w:val="005B1DA8"/>
    <w:rsid w:val="005B1E90"/>
    <w:rsid w:val="005B1F5D"/>
    <w:rsid w:val="005B20F5"/>
    <w:rsid w:val="005B3620"/>
    <w:rsid w:val="005B3F64"/>
    <w:rsid w:val="005B4F66"/>
    <w:rsid w:val="005B5E9C"/>
    <w:rsid w:val="005B66C2"/>
    <w:rsid w:val="005B7372"/>
    <w:rsid w:val="005B7EF1"/>
    <w:rsid w:val="005C2C27"/>
    <w:rsid w:val="005C315A"/>
    <w:rsid w:val="005C3340"/>
    <w:rsid w:val="005C397A"/>
    <w:rsid w:val="005C4B32"/>
    <w:rsid w:val="005C5246"/>
    <w:rsid w:val="005C608E"/>
    <w:rsid w:val="005D0ACE"/>
    <w:rsid w:val="005D0D72"/>
    <w:rsid w:val="005D17FE"/>
    <w:rsid w:val="005D2F05"/>
    <w:rsid w:val="005D3A01"/>
    <w:rsid w:val="005D4B1F"/>
    <w:rsid w:val="005D5870"/>
    <w:rsid w:val="005D59FC"/>
    <w:rsid w:val="005D613F"/>
    <w:rsid w:val="005D6187"/>
    <w:rsid w:val="005E38D6"/>
    <w:rsid w:val="005E3941"/>
    <w:rsid w:val="005E4114"/>
    <w:rsid w:val="005E50E5"/>
    <w:rsid w:val="005E7568"/>
    <w:rsid w:val="005E7DF0"/>
    <w:rsid w:val="005F0DD0"/>
    <w:rsid w:val="005F267F"/>
    <w:rsid w:val="005F2717"/>
    <w:rsid w:val="005F3D73"/>
    <w:rsid w:val="005F4419"/>
    <w:rsid w:val="005F46CD"/>
    <w:rsid w:val="005F6CE9"/>
    <w:rsid w:val="00600B2B"/>
    <w:rsid w:val="00600E28"/>
    <w:rsid w:val="00604055"/>
    <w:rsid w:val="00604E05"/>
    <w:rsid w:val="00605517"/>
    <w:rsid w:val="00605FC5"/>
    <w:rsid w:val="006079F8"/>
    <w:rsid w:val="006100C9"/>
    <w:rsid w:val="00610E76"/>
    <w:rsid w:val="00611038"/>
    <w:rsid w:val="006111E8"/>
    <w:rsid w:val="00612105"/>
    <w:rsid w:val="006143BA"/>
    <w:rsid w:val="00615FD3"/>
    <w:rsid w:val="00615FFF"/>
    <w:rsid w:val="00616493"/>
    <w:rsid w:val="0062147E"/>
    <w:rsid w:val="0062227B"/>
    <w:rsid w:val="00622C23"/>
    <w:rsid w:val="00623050"/>
    <w:rsid w:val="00624353"/>
    <w:rsid w:val="00626279"/>
    <w:rsid w:val="00626909"/>
    <w:rsid w:val="0062699D"/>
    <w:rsid w:val="006273EA"/>
    <w:rsid w:val="00631225"/>
    <w:rsid w:val="00637A81"/>
    <w:rsid w:val="00637B6D"/>
    <w:rsid w:val="00642B0F"/>
    <w:rsid w:val="00642BB8"/>
    <w:rsid w:val="00644C02"/>
    <w:rsid w:val="00644E66"/>
    <w:rsid w:val="00645FF6"/>
    <w:rsid w:val="006468CB"/>
    <w:rsid w:val="006473A0"/>
    <w:rsid w:val="00650914"/>
    <w:rsid w:val="00650E82"/>
    <w:rsid w:val="00652507"/>
    <w:rsid w:val="00652945"/>
    <w:rsid w:val="00652BEC"/>
    <w:rsid w:val="00652E92"/>
    <w:rsid w:val="00661693"/>
    <w:rsid w:val="00662878"/>
    <w:rsid w:val="00663AB8"/>
    <w:rsid w:val="00664F9C"/>
    <w:rsid w:val="00665D2C"/>
    <w:rsid w:val="006662E7"/>
    <w:rsid w:val="00666B19"/>
    <w:rsid w:val="00666BFD"/>
    <w:rsid w:val="00667263"/>
    <w:rsid w:val="00667476"/>
    <w:rsid w:val="00670775"/>
    <w:rsid w:val="00671F52"/>
    <w:rsid w:val="00671FFB"/>
    <w:rsid w:val="0067410B"/>
    <w:rsid w:val="006741B3"/>
    <w:rsid w:val="00675F68"/>
    <w:rsid w:val="00676300"/>
    <w:rsid w:val="00676754"/>
    <w:rsid w:val="00677C57"/>
    <w:rsid w:val="006819AF"/>
    <w:rsid w:val="00682A6D"/>
    <w:rsid w:val="0068634B"/>
    <w:rsid w:val="00692E1D"/>
    <w:rsid w:val="0069391A"/>
    <w:rsid w:val="00693D31"/>
    <w:rsid w:val="00694087"/>
    <w:rsid w:val="0069574B"/>
    <w:rsid w:val="00695845"/>
    <w:rsid w:val="006978AA"/>
    <w:rsid w:val="00697A95"/>
    <w:rsid w:val="006A0885"/>
    <w:rsid w:val="006A153D"/>
    <w:rsid w:val="006A1744"/>
    <w:rsid w:val="006A17FE"/>
    <w:rsid w:val="006A69A6"/>
    <w:rsid w:val="006B06F8"/>
    <w:rsid w:val="006B2428"/>
    <w:rsid w:val="006B271C"/>
    <w:rsid w:val="006B3620"/>
    <w:rsid w:val="006B3719"/>
    <w:rsid w:val="006B3CB1"/>
    <w:rsid w:val="006B4DAB"/>
    <w:rsid w:val="006B59EA"/>
    <w:rsid w:val="006B6A88"/>
    <w:rsid w:val="006C00B4"/>
    <w:rsid w:val="006C0BF0"/>
    <w:rsid w:val="006C10D4"/>
    <w:rsid w:val="006C193D"/>
    <w:rsid w:val="006C23F5"/>
    <w:rsid w:val="006C5C83"/>
    <w:rsid w:val="006C5D47"/>
    <w:rsid w:val="006C6F45"/>
    <w:rsid w:val="006D0AFC"/>
    <w:rsid w:val="006D108F"/>
    <w:rsid w:val="006D1357"/>
    <w:rsid w:val="006D2408"/>
    <w:rsid w:val="006D26BD"/>
    <w:rsid w:val="006D35E6"/>
    <w:rsid w:val="006D4027"/>
    <w:rsid w:val="006D4CFE"/>
    <w:rsid w:val="006D5911"/>
    <w:rsid w:val="006D619E"/>
    <w:rsid w:val="006D7332"/>
    <w:rsid w:val="006E5B04"/>
    <w:rsid w:val="006F2903"/>
    <w:rsid w:val="006F4AA3"/>
    <w:rsid w:val="006F57A4"/>
    <w:rsid w:val="006F5D0E"/>
    <w:rsid w:val="006F6007"/>
    <w:rsid w:val="00700B78"/>
    <w:rsid w:val="00701CF7"/>
    <w:rsid w:val="007034A4"/>
    <w:rsid w:val="00703698"/>
    <w:rsid w:val="00703DBF"/>
    <w:rsid w:val="0070510C"/>
    <w:rsid w:val="0070595B"/>
    <w:rsid w:val="00705D25"/>
    <w:rsid w:val="00705F52"/>
    <w:rsid w:val="00706C2B"/>
    <w:rsid w:val="00707774"/>
    <w:rsid w:val="007121A9"/>
    <w:rsid w:val="00712AAC"/>
    <w:rsid w:val="0071506F"/>
    <w:rsid w:val="007174D0"/>
    <w:rsid w:val="00717957"/>
    <w:rsid w:val="007211F7"/>
    <w:rsid w:val="00721EB8"/>
    <w:rsid w:val="00722E3E"/>
    <w:rsid w:val="007238C2"/>
    <w:rsid w:val="00724BDA"/>
    <w:rsid w:val="00726829"/>
    <w:rsid w:val="007279C3"/>
    <w:rsid w:val="0073022E"/>
    <w:rsid w:val="00730841"/>
    <w:rsid w:val="0073240A"/>
    <w:rsid w:val="0073484B"/>
    <w:rsid w:val="007353BD"/>
    <w:rsid w:val="0073631F"/>
    <w:rsid w:val="00736B2F"/>
    <w:rsid w:val="007402C4"/>
    <w:rsid w:val="00741BEF"/>
    <w:rsid w:val="00741F65"/>
    <w:rsid w:val="00742638"/>
    <w:rsid w:val="007446BA"/>
    <w:rsid w:val="00745F27"/>
    <w:rsid w:val="007463BD"/>
    <w:rsid w:val="00750BA7"/>
    <w:rsid w:val="007513A0"/>
    <w:rsid w:val="00752A3F"/>
    <w:rsid w:val="007560EA"/>
    <w:rsid w:val="0075644F"/>
    <w:rsid w:val="00756B4F"/>
    <w:rsid w:val="0076135B"/>
    <w:rsid w:val="007623B0"/>
    <w:rsid w:val="00762530"/>
    <w:rsid w:val="00762ABD"/>
    <w:rsid w:val="00764361"/>
    <w:rsid w:val="007661A5"/>
    <w:rsid w:val="00766754"/>
    <w:rsid w:val="00766E6D"/>
    <w:rsid w:val="00767BDA"/>
    <w:rsid w:val="007702EB"/>
    <w:rsid w:val="007705AC"/>
    <w:rsid w:val="00770A7D"/>
    <w:rsid w:val="00775C89"/>
    <w:rsid w:val="00776D7F"/>
    <w:rsid w:val="00777924"/>
    <w:rsid w:val="00780537"/>
    <w:rsid w:val="00780C78"/>
    <w:rsid w:val="00781E77"/>
    <w:rsid w:val="0078240F"/>
    <w:rsid w:val="007829DC"/>
    <w:rsid w:val="00782FCA"/>
    <w:rsid w:val="0078626D"/>
    <w:rsid w:val="00791370"/>
    <w:rsid w:val="007955FF"/>
    <w:rsid w:val="007958A4"/>
    <w:rsid w:val="00796172"/>
    <w:rsid w:val="00797AE3"/>
    <w:rsid w:val="007A1AB5"/>
    <w:rsid w:val="007A1F44"/>
    <w:rsid w:val="007A2572"/>
    <w:rsid w:val="007B01C8"/>
    <w:rsid w:val="007B1222"/>
    <w:rsid w:val="007B23CC"/>
    <w:rsid w:val="007B2C4B"/>
    <w:rsid w:val="007B3CB8"/>
    <w:rsid w:val="007B5416"/>
    <w:rsid w:val="007B6196"/>
    <w:rsid w:val="007B639A"/>
    <w:rsid w:val="007B63AF"/>
    <w:rsid w:val="007C24DA"/>
    <w:rsid w:val="007C4233"/>
    <w:rsid w:val="007C446B"/>
    <w:rsid w:val="007C4823"/>
    <w:rsid w:val="007C526C"/>
    <w:rsid w:val="007C560D"/>
    <w:rsid w:val="007C794B"/>
    <w:rsid w:val="007D256C"/>
    <w:rsid w:val="007D4C53"/>
    <w:rsid w:val="007D4F24"/>
    <w:rsid w:val="007D4F98"/>
    <w:rsid w:val="007D7B59"/>
    <w:rsid w:val="007E2E7C"/>
    <w:rsid w:val="007E3360"/>
    <w:rsid w:val="007E362E"/>
    <w:rsid w:val="007E3A6F"/>
    <w:rsid w:val="007E6C60"/>
    <w:rsid w:val="007F0548"/>
    <w:rsid w:val="007F169A"/>
    <w:rsid w:val="007F5A86"/>
    <w:rsid w:val="007F6683"/>
    <w:rsid w:val="00800C28"/>
    <w:rsid w:val="008013C8"/>
    <w:rsid w:val="00803FC2"/>
    <w:rsid w:val="00804B68"/>
    <w:rsid w:val="008057B5"/>
    <w:rsid w:val="00805DB1"/>
    <w:rsid w:val="00805F06"/>
    <w:rsid w:val="008118FC"/>
    <w:rsid w:val="0081264F"/>
    <w:rsid w:val="008127CB"/>
    <w:rsid w:val="008145F6"/>
    <w:rsid w:val="00815098"/>
    <w:rsid w:val="00815B71"/>
    <w:rsid w:val="008168E4"/>
    <w:rsid w:val="0081695B"/>
    <w:rsid w:val="008207EF"/>
    <w:rsid w:val="00821630"/>
    <w:rsid w:val="00821C48"/>
    <w:rsid w:val="008227AF"/>
    <w:rsid w:val="00823A2A"/>
    <w:rsid w:val="00824552"/>
    <w:rsid w:val="0082515A"/>
    <w:rsid w:val="00826EF3"/>
    <w:rsid w:val="00831BBF"/>
    <w:rsid w:val="00831F00"/>
    <w:rsid w:val="00833C45"/>
    <w:rsid w:val="0083443A"/>
    <w:rsid w:val="00835152"/>
    <w:rsid w:val="00836996"/>
    <w:rsid w:val="00837862"/>
    <w:rsid w:val="00840CF1"/>
    <w:rsid w:val="00841274"/>
    <w:rsid w:val="00841381"/>
    <w:rsid w:val="0084160F"/>
    <w:rsid w:val="00841E92"/>
    <w:rsid w:val="008424DC"/>
    <w:rsid w:val="00842904"/>
    <w:rsid w:val="00842FB9"/>
    <w:rsid w:val="00843065"/>
    <w:rsid w:val="00843D36"/>
    <w:rsid w:val="0085193F"/>
    <w:rsid w:val="00851999"/>
    <w:rsid w:val="00852C7E"/>
    <w:rsid w:val="0085330E"/>
    <w:rsid w:val="0085433D"/>
    <w:rsid w:val="00854AB0"/>
    <w:rsid w:val="00857215"/>
    <w:rsid w:val="00857CE8"/>
    <w:rsid w:val="0086124C"/>
    <w:rsid w:val="008614FC"/>
    <w:rsid w:val="00861D8D"/>
    <w:rsid w:val="008626B4"/>
    <w:rsid w:val="008663DD"/>
    <w:rsid w:val="00867F28"/>
    <w:rsid w:val="00871309"/>
    <w:rsid w:val="008722A4"/>
    <w:rsid w:val="00873459"/>
    <w:rsid w:val="00874169"/>
    <w:rsid w:val="00875B1A"/>
    <w:rsid w:val="00881A5B"/>
    <w:rsid w:val="00882E5C"/>
    <w:rsid w:val="00882FA7"/>
    <w:rsid w:val="00884D38"/>
    <w:rsid w:val="008862E1"/>
    <w:rsid w:val="00886FF5"/>
    <w:rsid w:val="0088753C"/>
    <w:rsid w:val="00887587"/>
    <w:rsid w:val="00891694"/>
    <w:rsid w:val="00891861"/>
    <w:rsid w:val="0089202C"/>
    <w:rsid w:val="00892BB7"/>
    <w:rsid w:val="00892D22"/>
    <w:rsid w:val="0089506B"/>
    <w:rsid w:val="0089721C"/>
    <w:rsid w:val="008A076D"/>
    <w:rsid w:val="008A1398"/>
    <w:rsid w:val="008A2A1B"/>
    <w:rsid w:val="008A302D"/>
    <w:rsid w:val="008A3C09"/>
    <w:rsid w:val="008A52A7"/>
    <w:rsid w:val="008A5530"/>
    <w:rsid w:val="008B060F"/>
    <w:rsid w:val="008B1365"/>
    <w:rsid w:val="008B194F"/>
    <w:rsid w:val="008B2B4C"/>
    <w:rsid w:val="008B2EF1"/>
    <w:rsid w:val="008B5150"/>
    <w:rsid w:val="008B5B06"/>
    <w:rsid w:val="008B70A7"/>
    <w:rsid w:val="008B7578"/>
    <w:rsid w:val="008C22BA"/>
    <w:rsid w:val="008C3977"/>
    <w:rsid w:val="008C4BD8"/>
    <w:rsid w:val="008C52B6"/>
    <w:rsid w:val="008C7676"/>
    <w:rsid w:val="008D09A1"/>
    <w:rsid w:val="008D1223"/>
    <w:rsid w:val="008D2952"/>
    <w:rsid w:val="008D2A4F"/>
    <w:rsid w:val="008D350F"/>
    <w:rsid w:val="008D4CE4"/>
    <w:rsid w:val="008D557F"/>
    <w:rsid w:val="008D6308"/>
    <w:rsid w:val="008D6B7D"/>
    <w:rsid w:val="008D6FC1"/>
    <w:rsid w:val="008D71CE"/>
    <w:rsid w:val="008E26E4"/>
    <w:rsid w:val="008E3003"/>
    <w:rsid w:val="008E47F3"/>
    <w:rsid w:val="008E673F"/>
    <w:rsid w:val="008E7E67"/>
    <w:rsid w:val="008F08D4"/>
    <w:rsid w:val="008F0942"/>
    <w:rsid w:val="008F3103"/>
    <w:rsid w:val="008F37E5"/>
    <w:rsid w:val="008F504E"/>
    <w:rsid w:val="008F54A3"/>
    <w:rsid w:val="008F641D"/>
    <w:rsid w:val="008F7AC0"/>
    <w:rsid w:val="009003AB"/>
    <w:rsid w:val="0090122C"/>
    <w:rsid w:val="00902C99"/>
    <w:rsid w:val="009041B5"/>
    <w:rsid w:val="00904B84"/>
    <w:rsid w:val="009055D3"/>
    <w:rsid w:val="009056D6"/>
    <w:rsid w:val="00906879"/>
    <w:rsid w:val="00911C34"/>
    <w:rsid w:val="009129E6"/>
    <w:rsid w:val="00912A07"/>
    <w:rsid w:val="009136EE"/>
    <w:rsid w:val="00915163"/>
    <w:rsid w:val="0091590E"/>
    <w:rsid w:val="00915A05"/>
    <w:rsid w:val="009168EA"/>
    <w:rsid w:val="00917981"/>
    <w:rsid w:val="00920412"/>
    <w:rsid w:val="00920EC5"/>
    <w:rsid w:val="00921A29"/>
    <w:rsid w:val="00930AE6"/>
    <w:rsid w:val="00930E76"/>
    <w:rsid w:val="0093258A"/>
    <w:rsid w:val="00937182"/>
    <w:rsid w:val="009406C1"/>
    <w:rsid w:val="00944870"/>
    <w:rsid w:val="00945292"/>
    <w:rsid w:val="009466F2"/>
    <w:rsid w:val="00953DC3"/>
    <w:rsid w:val="00955AEE"/>
    <w:rsid w:val="00957238"/>
    <w:rsid w:val="00957A15"/>
    <w:rsid w:val="009605C0"/>
    <w:rsid w:val="00963CAC"/>
    <w:rsid w:val="00963E87"/>
    <w:rsid w:val="00966A55"/>
    <w:rsid w:val="009676F5"/>
    <w:rsid w:val="00967F0F"/>
    <w:rsid w:val="00970089"/>
    <w:rsid w:val="0097018A"/>
    <w:rsid w:val="00971AAF"/>
    <w:rsid w:val="00972D2A"/>
    <w:rsid w:val="00973D92"/>
    <w:rsid w:val="009747E5"/>
    <w:rsid w:val="009755B4"/>
    <w:rsid w:val="00977A9F"/>
    <w:rsid w:val="009816DD"/>
    <w:rsid w:val="00986A36"/>
    <w:rsid w:val="009875CB"/>
    <w:rsid w:val="009928B6"/>
    <w:rsid w:val="00992C44"/>
    <w:rsid w:val="00993119"/>
    <w:rsid w:val="009943C8"/>
    <w:rsid w:val="00995ADC"/>
    <w:rsid w:val="0099649B"/>
    <w:rsid w:val="00997281"/>
    <w:rsid w:val="009975CB"/>
    <w:rsid w:val="009A0377"/>
    <w:rsid w:val="009A0B5E"/>
    <w:rsid w:val="009A1C5F"/>
    <w:rsid w:val="009A1D95"/>
    <w:rsid w:val="009A23DB"/>
    <w:rsid w:val="009A28BB"/>
    <w:rsid w:val="009A51BF"/>
    <w:rsid w:val="009A51E9"/>
    <w:rsid w:val="009A79D2"/>
    <w:rsid w:val="009A7DB1"/>
    <w:rsid w:val="009B08BE"/>
    <w:rsid w:val="009B2043"/>
    <w:rsid w:val="009B2BA6"/>
    <w:rsid w:val="009B54E1"/>
    <w:rsid w:val="009B6428"/>
    <w:rsid w:val="009B6543"/>
    <w:rsid w:val="009C03B2"/>
    <w:rsid w:val="009C2F29"/>
    <w:rsid w:val="009C3CAD"/>
    <w:rsid w:val="009C590B"/>
    <w:rsid w:val="009C61B1"/>
    <w:rsid w:val="009C7D4C"/>
    <w:rsid w:val="009D0400"/>
    <w:rsid w:val="009D2052"/>
    <w:rsid w:val="009D2599"/>
    <w:rsid w:val="009D3250"/>
    <w:rsid w:val="009D46B5"/>
    <w:rsid w:val="009D48B9"/>
    <w:rsid w:val="009D699B"/>
    <w:rsid w:val="009D6C03"/>
    <w:rsid w:val="009D7C4B"/>
    <w:rsid w:val="009E0506"/>
    <w:rsid w:val="009E17FB"/>
    <w:rsid w:val="009E2622"/>
    <w:rsid w:val="009E345E"/>
    <w:rsid w:val="009E3939"/>
    <w:rsid w:val="009E4F7F"/>
    <w:rsid w:val="009E5BD3"/>
    <w:rsid w:val="009F08F8"/>
    <w:rsid w:val="009F19DF"/>
    <w:rsid w:val="009F1EA2"/>
    <w:rsid w:val="009F2495"/>
    <w:rsid w:val="009F27DB"/>
    <w:rsid w:val="009F3398"/>
    <w:rsid w:val="009F3A5E"/>
    <w:rsid w:val="009F477F"/>
    <w:rsid w:val="009F72A2"/>
    <w:rsid w:val="00A00688"/>
    <w:rsid w:val="00A0089D"/>
    <w:rsid w:val="00A014D3"/>
    <w:rsid w:val="00A03E21"/>
    <w:rsid w:val="00A04498"/>
    <w:rsid w:val="00A04BA5"/>
    <w:rsid w:val="00A12148"/>
    <w:rsid w:val="00A127DE"/>
    <w:rsid w:val="00A12B27"/>
    <w:rsid w:val="00A13881"/>
    <w:rsid w:val="00A13BDB"/>
    <w:rsid w:val="00A14153"/>
    <w:rsid w:val="00A153A4"/>
    <w:rsid w:val="00A1584C"/>
    <w:rsid w:val="00A1619B"/>
    <w:rsid w:val="00A16363"/>
    <w:rsid w:val="00A1741E"/>
    <w:rsid w:val="00A200C0"/>
    <w:rsid w:val="00A20566"/>
    <w:rsid w:val="00A20F6B"/>
    <w:rsid w:val="00A217A5"/>
    <w:rsid w:val="00A22849"/>
    <w:rsid w:val="00A23034"/>
    <w:rsid w:val="00A23854"/>
    <w:rsid w:val="00A23E6A"/>
    <w:rsid w:val="00A25DC4"/>
    <w:rsid w:val="00A2754F"/>
    <w:rsid w:val="00A30408"/>
    <w:rsid w:val="00A30D5B"/>
    <w:rsid w:val="00A34811"/>
    <w:rsid w:val="00A3597B"/>
    <w:rsid w:val="00A359EC"/>
    <w:rsid w:val="00A36684"/>
    <w:rsid w:val="00A36A87"/>
    <w:rsid w:val="00A36BC1"/>
    <w:rsid w:val="00A4196B"/>
    <w:rsid w:val="00A43405"/>
    <w:rsid w:val="00A461DF"/>
    <w:rsid w:val="00A4643A"/>
    <w:rsid w:val="00A46ACF"/>
    <w:rsid w:val="00A46BCF"/>
    <w:rsid w:val="00A50659"/>
    <w:rsid w:val="00A518BD"/>
    <w:rsid w:val="00A52D03"/>
    <w:rsid w:val="00A53BE0"/>
    <w:rsid w:val="00A53D04"/>
    <w:rsid w:val="00A55698"/>
    <w:rsid w:val="00A55B4E"/>
    <w:rsid w:val="00A61FB1"/>
    <w:rsid w:val="00A63962"/>
    <w:rsid w:val="00A64168"/>
    <w:rsid w:val="00A65C32"/>
    <w:rsid w:val="00A66352"/>
    <w:rsid w:val="00A66E7B"/>
    <w:rsid w:val="00A70A40"/>
    <w:rsid w:val="00A70FA4"/>
    <w:rsid w:val="00A7162B"/>
    <w:rsid w:val="00A719CA"/>
    <w:rsid w:val="00A72557"/>
    <w:rsid w:val="00A73B1C"/>
    <w:rsid w:val="00A74721"/>
    <w:rsid w:val="00A749A3"/>
    <w:rsid w:val="00A7629B"/>
    <w:rsid w:val="00A77E9F"/>
    <w:rsid w:val="00A8028B"/>
    <w:rsid w:val="00A80B1D"/>
    <w:rsid w:val="00A81E44"/>
    <w:rsid w:val="00A84740"/>
    <w:rsid w:val="00A84FCA"/>
    <w:rsid w:val="00A85D09"/>
    <w:rsid w:val="00A864E4"/>
    <w:rsid w:val="00A90996"/>
    <w:rsid w:val="00A910AD"/>
    <w:rsid w:val="00A9268C"/>
    <w:rsid w:val="00A92D4F"/>
    <w:rsid w:val="00A967E2"/>
    <w:rsid w:val="00A97694"/>
    <w:rsid w:val="00AA11B8"/>
    <w:rsid w:val="00AA249A"/>
    <w:rsid w:val="00AA322E"/>
    <w:rsid w:val="00AA4D90"/>
    <w:rsid w:val="00AA512E"/>
    <w:rsid w:val="00AA68D1"/>
    <w:rsid w:val="00AA7F32"/>
    <w:rsid w:val="00AB114F"/>
    <w:rsid w:val="00AB1232"/>
    <w:rsid w:val="00AB1416"/>
    <w:rsid w:val="00AB29A5"/>
    <w:rsid w:val="00AB372C"/>
    <w:rsid w:val="00AB38C2"/>
    <w:rsid w:val="00AB3D98"/>
    <w:rsid w:val="00AB4BA2"/>
    <w:rsid w:val="00AB4C6B"/>
    <w:rsid w:val="00AB524A"/>
    <w:rsid w:val="00AB52D6"/>
    <w:rsid w:val="00AB573F"/>
    <w:rsid w:val="00AB5B8C"/>
    <w:rsid w:val="00AB5B98"/>
    <w:rsid w:val="00AB5D4A"/>
    <w:rsid w:val="00AB735A"/>
    <w:rsid w:val="00AC0B43"/>
    <w:rsid w:val="00AC28CF"/>
    <w:rsid w:val="00AC41E1"/>
    <w:rsid w:val="00AC4CEE"/>
    <w:rsid w:val="00AC5503"/>
    <w:rsid w:val="00AC67A0"/>
    <w:rsid w:val="00AC6BD2"/>
    <w:rsid w:val="00AC7182"/>
    <w:rsid w:val="00AC7676"/>
    <w:rsid w:val="00AC78FB"/>
    <w:rsid w:val="00AD0A28"/>
    <w:rsid w:val="00AD0F5F"/>
    <w:rsid w:val="00AD19CB"/>
    <w:rsid w:val="00AD2095"/>
    <w:rsid w:val="00AD2472"/>
    <w:rsid w:val="00AD2657"/>
    <w:rsid w:val="00AD3422"/>
    <w:rsid w:val="00AD36BA"/>
    <w:rsid w:val="00AD3937"/>
    <w:rsid w:val="00AD5778"/>
    <w:rsid w:val="00AD5F70"/>
    <w:rsid w:val="00AD622E"/>
    <w:rsid w:val="00AD680A"/>
    <w:rsid w:val="00AD6E0B"/>
    <w:rsid w:val="00AE0AF5"/>
    <w:rsid w:val="00AE28AE"/>
    <w:rsid w:val="00AE2C38"/>
    <w:rsid w:val="00AE353F"/>
    <w:rsid w:val="00AE5AE8"/>
    <w:rsid w:val="00AE7B87"/>
    <w:rsid w:val="00AF539A"/>
    <w:rsid w:val="00AF5BA2"/>
    <w:rsid w:val="00AF68FA"/>
    <w:rsid w:val="00AF6DC4"/>
    <w:rsid w:val="00AF6F7C"/>
    <w:rsid w:val="00AF71B5"/>
    <w:rsid w:val="00B002D3"/>
    <w:rsid w:val="00B009D0"/>
    <w:rsid w:val="00B02AFE"/>
    <w:rsid w:val="00B02C57"/>
    <w:rsid w:val="00B02EBE"/>
    <w:rsid w:val="00B03366"/>
    <w:rsid w:val="00B05EE8"/>
    <w:rsid w:val="00B079A8"/>
    <w:rsid w:val="00B10884"/>
    <w:rsid w:val="00B124DB"/>
    <w:rsid w:val="00B12AA0"/>
    <w:rsid w:val="00B203EC"/>
    <w:rsid w:val="00B205C3"/>
    <w:rsid w:val="00B20B5B"/>
    <w:rsid w:val="00B20FF6"/>
    <w:rsid w:val="00B23396"/>
    <w:rsid w:val="00B26B4F"/>
    <w:rsid w:val="00B27B37"/>
    <w:rsid w:val="00B303F6"/>
    <w:rsid w:val="00B30C98"/>
    <w:rsid w:val="00B30DEB"/>
    <w:rsid w:val="00B310A1"/>
    <w:rsid w:val="00B31654"/>
    <w:rsid w:val="00B32333"/>
    <w:rsid w:val="00B33104"/>
    <w:rsid w:val="00B34828"/>
    <w:rsid w:val="00B35253"/>
    <w:rsid w:val="00B36736"/>
    <w:rsid w:val="00B42C22"/>
    <w:rsid w:val="00B43591"/>
    <w:rsid w:val="00B43E29"/>
    <w:rsid w:val="00B4492A"/>
    <w:rsid w:val="00B451DE"/>
    <w:rsid w:val="00B46FB8"/>
    <w:rsid w:val="00B47C1C"/>
    <w:rsid w:val="00B5175B"/>
    <w:rsid w:val="00B51AEF"/>
    <w:rsid w:val="00B5277A"/>
    <w:rsid w:val="00B53124"/>
    <w:rsid w:val="00B55CF9"/>
    <w:rsid w:val="00B57FCF"/>
    <w:rsid w:val="00B60F78"/>
    <w:rsid w:val="00B6198F"/>
    <w:rsid w:val="00B63649"/>
    <w:rsid w:val="00B645A5"/>
    <w:rsid w:val="00B66D10"/>
    <w:rsid w:val="00B66D78"/>
    <w:rsid w:val="00B67773"/>
    <w:rsid w:val="00B70499"/>
    <w:rsid w:val="00B70F23"/>
    <w:rsid w:val="00B728C4"/>
    <w:rsid w:val="00B7354F"/>
    <w:rsid w:val="00B73A87"/>
    <w:rsid w:val="00B73F8D"/>
    <w:rsid w:val="00B74AE7"/>
    <w:rsid w:val="00B7508E"/>
    <w:rsid w:val="00B75178"/>
    <w:rsid w:val="00B80266"/>
    <w:rsid w:val="00B80681"/>
    <w:rsid w:val="00B828F3"/>
    <w:rsid w:val="00B82A7D"/>
    <w:rsid w:val="00B8310B"/>
    <w:rsid w:val="00B84F57"/>
    <w:rsid w:val="00B85DA8"/>
    <w:rsid w:val="00B86550"/>
    <w:rsid w:val="00B904FC"/>
    <w:rsid w:val="00B9056C"/>
    <w:rsid w:val="00B90CA7"/>
    <w:rsid w:val="00B91019"/>
    <w:rsid w:val="00B92B68"/>
    <w:rsid w:val="00B930BC"/>
    <w:rsid w:val="00B95F7E"/>
    <w:rsid w:val="00B9638F"/>
    <w:rsid w:val="00BA091B"/>
    <w:rsid w:val="00BA2849"/>
    <w:rsid w:val="00BA3CCD"/>
    <w:rsid w:val="00BA5748"/>
    <w:rsid w:val="00BA5D20"/>
    <w:rsid w:val="00BA6932"/>
    <w:rsid w:val="00BB4AF0"/>
    <w:rsid w:val="00BB4B80"/>
    <w:rsid w:val="00BB5CD1"/>
    <w:rsid w:val="00BB6120"/>
    <w:rsid w:val="00BB6984"/>
    <w:rsid w:val="00BB75AD"/>
    <w:rsid w:val="00BB7663"/>
    <w:rsid w:val="00BB7F1C"/>
    <w:rsid w:val="00BC29F8"/>
    <w:rsid w:val="00BC300F"/>
    <w:rsid w:val="00BC47CC"/>
    <w:rsid w:val="00BC5B1D"/>
    <w:rsid w:val="00BC78B4"/>
    <w:rsid w:val="00BD16ED"/>
    <w:rsid w:val="00BD2934"/>
    <w:rsid w:val="00BD3E76"/>
    <w:rsid w:val="00BD4277"/>
    <w:rsid w:val="00BD463D"/>
    <w:rsid w:val="00BD5B64"/>
    <w:rsid w:val="00BD6777"/>
    <w:rsid w:val="00BD77EE"/>
    <w:rsid w:val="00BD78F3"/>
    <w:rsid w:val="00BE1D12"/>
    <w:rsid w:val="00BE1E90"/>
    <w:rsid w:val="00BE3185"/>
    <w:rsid w:val="00BE45D0"/>
    <w:rsid w:val="00BE7EEA"/>
    <w:rsid w:val="00BF0813"/>
    <w:rsid w:val="00BF0BE3"/>
    <w:rsid w:val="00BF567B"/>
    <w:rsid w:val="00BF7DE0"/>
    <w:rsid w:val="00C00905"/>
    <w:rsid w:val="00C01731"/>
    <w:rsid w:val="00C042AA"/>
    <w:rsid w:val="00C04558"/>
    <w:rsid w:val="00C049EE"/>
    <w:rsid w:val="00C07056"/>
    <w:rsid w:val="00C07F30"/>
    <w:rsid w:val="00C12D89"/>
    <w:rsid w:val="00C1327D"/>
    <w:rsid w:val="00C151D3"/>
    <w:rsid w:val="00C152E4"/>
    <w:rsid w:val="00C210FF"/>
    <w:rsid w:val="00C22820"/>
    <w:rsid w:val="00C2390E"/>
    <w:rsid w:val="00C24E66"/>
    <w:rsid w:val="00C254D5"/>
    <w:rsid w:val="00C25CD6"/>
    <w:rsid w:val="00C26361"/>
    <w:rsid w:val="00C26670"/>
    <w:rsid w:val="00C27684"/>
    <w:rsid w:val="00C27F19"/>
    <w:rsid w:val="00C30337"/>
    <w:rsid w:val="00C323BE"/>
    <w:rsid w:val="00C36852"/>
    <w:rsid w:val="00C40C07"/>
    <w:rsid w:val="00C42561"/>
    <w:rsid w:val="00C437CF"/>
    <w:rsid w:val="00C442B1"/>
    <w:rsid w:val="00C44331"/>
    <w:rsid w:val="00C44C8A"/>
    <w:rsid w:val="00C5248A"/>
    <w:rsid w:val="00C53E90"/>
    <w:rsid w:val="00C5492B"/>
    <w:rsid w:val="00C564C7"/>
    <w:rsid w:val="00C56ACE"/>
    <w:rsid w:val="00C60292"/>
    <w:rsid w:val="00C60F47"/>
    <w:rsid w:val="00C614A3"/>
    <w:rsid w:val="00C6179D"/>
    <w:rsid w:val="00C63C79"/>
    <w:rsid w:val="00C64B0B"/>
    <w:rsid w:val="00C7009B"/>
    <w:rsid w:val="00C705A0"/>
    <w:rsid w:val="00C72900"/>
    <w:rsid w:val="00C733D2"/>
    <w:rsid w:val="00C738AB"/>
    <w:rsid w:val="00C73A27"/>
    <w:rsid w:val="00C74F05"/>
    <w:rsid w:val="00C74FDE"/>
    <w:rsid w:val="00C761F5"/>
    <w:rsid w:val="00C7696D"/>
    <w:rsid w:val="00C76F1D"/>
    <w:rsid w:val="00C77061"/>
    <w:rsid w:val="00C80380"/>
    <w:rsid w:val="00C812C4"/>
    <w:rsid w:val="00C81822"/>
    <w:rsid w:val="00C81E79"/>
    <w:rsid w:val="00C832E0"/>
    <w:rsid w:val="00C83A95"/>
    <w:rsid w:val="00C874E7"/>
    <w:rsid w:val="00C9071C"/>
    <w:rsid w:val="00C91677"/>
    <w:rsid w:val="00C92591"/>
    <w:rsid w:val="00C93602"/>
    <w:rsid w:val="00C95931"/>
    <w:rsid w:val="00C95B47"/>
    <w:rsid w:val="00C966BE"/>
    <w:rsid w:val="00C96822"/>
    <w:rsid w:val="00C97472"/>
    <w:rsid w:val="00C977EE"/>
    <w:rsid w:val="00C97963"/>
    <w:rsid w:val="00CA187F"/>
    <w:rsid w:val="00CA3F8C"/>
    <w:rsid w:val="00CA72FA"/>
    <w:rsid w:val="00CA7FDF"/>
    <w:rsid w:val="00CB03C8"/>
    <w:rsid w:val="00CB042C"/>
    <w:rsid w:val="00CB13CE"/>
    <w:rsid w:val="00CB15EB"/>
    <w:rsid w:val="00CB4B80"/>
    <w:rsid w:val="00CB62C7"/>
    <w:rsid w:val="00CB66DC"/>
    <w:rsid w:val="00CB79F1"/>
    <w:rsid w:val="00CC12CE"/>
    <w:rsid w:val="00CC24DB"/>
    <w:rsid w:val="00CC2624"/>
    <w:rsid w:val="00CC32CC"/>
    <w:rsid w:val="00CC400D"/>
    <w:rsid w:val="00CC7F19"/>
    <w:rsid w:val="00CD0AAE"/>
    <w:rsid w:val="00CD2C4C"/>
    <w:rsid w:val="00CD3047"/>
    <w:rsid w:val="00CD630E"/>
    <w:rsid w:val="00CD70AA"/>
    <w:rsid w:val="00CD756D"/>
    <w:rsid w:val="00CE0000"/>
    <w:rsid w:val="00CE0465"/>
    <w:rsid w:val="00CE0FFB"/>
    <w:rsid w:val="00CE1904"/>
    <w:rsid w:val="00CE31FB"/>
    <w:rsid w:val="00CE3BBB"/>
    <w:rsid w:val="00CE6156"/>
    <w:rsid w:val="00CE70D4"/>
    <w:rsid w:val="00CE7188"/>
    <w:rsid w:val="00CE777E"/>
    <w:rsid w:val="00CE7B5B"/>
    <w:rsid w:val="00CF0BF4"/>
    <w:rsid w:val="00CF3F01"/>
    <w:rsid w:val="00CF4DF9"/>
    <w:rsid w:val="00CF6900"/>
    <w:rsid w:val="00CF6F6C"/>
    <w:rsid w:val="00CF786C"/>
    <w:rsid w:val="00CF7A07"/>
    <w:rsid w:val="00D00FAC"/>
    <w:rsid w:val="00D01317"/>
    <w:rsid w:val="00D01FF5"/>
    <w:rsid w:val="00D021FF"/>
    <w:rsid w:val="00D0392F"/>
    <w:rsid w:val="00D043EB"/>
    <w:rsid w:val="00D050BD"/>
    <w:rsid w:val="00D06974"/>
    <w:rsid w:val="00D06B81"/>
    <w:rsid w:val="00D10259"/>
    <w:rsid w:val="00D1109D"/>
    <w:rsid w:val="00D113A6"/>
    <w:rsid w:val="00D12571"/>
    <w:rsid w:val="00D125F4"/>
    <w:rsid w:val="00D1274D"/>
    <w:rsid w:val="00D13072"/>
    <w:rsid w:val="00D135AB"/>
    <w:rsid w:val="00D13E04"/>
    <w:rsid w:val="00D13E82"/>
    <w:rsid w:val="00D1427C"/>
    <w:rsid w:val="00D16D06"/>
    <w:rsid w:val="00D1701C"/>
    <w:rsid w:val="00D178D4"/>
    <w:rsid w:val="00D203C2"/>
    <w:rsid w:val="00D2080E"/>
    <w:rsid w:val="00D20A09"/>
    <w:rsid w:val="00D21E69"/>
    <w:rsid w:val="00D235A4"/>
    <w:rsid w:val="00D23633"/>
    <w:rsid w:val="00D26669"/>
    <w:rsid w:val="00D2735F"/>
    <w:rsid w:val="00D30214"/>
    <w:rsid w:val="00D3160A"/>
    <w:rsid w:val="00D33310"/>
    <w:rsid w:val="00D33D2B"/>
    <w:rsid w:val="00D345C1"/>
    <w:rsid w:val="00D365C3"/>
    <w:rsid w:val="00D36FAF"/>
    <w:rsid w:val="00D4070D"/>
    <w:rsid w:val="00D40CA8"/>
    <w:rsid w:val="00D40D6A"/>
    <w:rsid w:val="00D44D77"/>
    <w:rsid w:val="00D451B2"/>
    <w:rsid w:val="00D46F29"/>
    <w:rsid w:val="00D47169"/>
    <w:rsid w:val="00D47216"/>
    <w:rsid w:val="00D473DA"/>
    <w:rsid w:val="00D507A4"/>
    <w:rsid w:val="00D51821"/>
    <w:rsid w:val="00D51AFD"/>
    <w:rsid w:val="00D5420C"/>
    <w:rsid w:val="00D55CD7"/>
    <w:rsid w:val="00D55ED4"/>
    <w:rsid w:val="00D56DA6"/>
    <w:rsid w:val="00D57137"/>
    <w:rsid w:val="00D60CE8"/>
    <w:rsid w:val="00D61B05"/>
    <w:rsid w:val="00D621EC"/>
    <w:rsid w:val="00D627E3"/>
    <w:rsid w:val="00D63465"/>
    <w:rsid w:val="00D67544"/>
    <w:rsid w:val="00D7499A"/>
    <w:rsid w:val="00D772F9"/>
    <w:rsid w:val="00D844D7"/>
    <w:rsid w:val="00D86FD6"/>
    <w:rsid w:val="00D90313"/>
    <w:rsid w:val="00D90FE4"/>
    <w:rsid w:val="00D9210C"/>
    <w:rsid w:val="00D927B5"/>
    <w:rsid w:val="00D931AB"/>
    <w:rsid w:val="00D93219"/>
    <w:rsid w:val="00D96FF5"/>
    <w:rsid w:val="00D978B5"/>
    <w:rsid w:val="00DA23E6"/>
    <w:rsid w:val="00DA5BC7"/>
    <w:rsid w:val="00DA61D0"/>
    <w:rsid w:val="00DA6FE2"/>
    <w:rsid w:val="00DA7094"/>
    <w:rsid w:val="00DA7664"/>
    <w:rsid w:val="00DA77D8"/>
    <w:rsid w:val="00DA7ADD"/>
    <w:rsid w:val="00DA7BBE"/>
    <w:rsid w:val="00DA7C91"/>
    <w:rsid w:val="00DB02B1"/>
    <w:rsid w:val="00DB0B54"/>
    <w:rsid w:val="00DB368A"/>
    <w:rsid w:val="00DB3CA5"/>
    <w:rsid w:val="00DB3F63"/>
    <w:rsid w:val="00DB41D2"/>
    <w:rsid w:val="00DB4BCE"/>
    <w:rsid w:val="00DB50EE"/>
    <w:rsid w:val="00DB5203"/>
    <w:rsid w:val="00DB717C"/>
    <w:rsid w:val="00DB7B14"/>
    <w:rsid w:val="00DC1396"/>
    <w:rsid w:val="00DC3253"/>
    <w:rsid w:val="00DC510C"/>
    <w:rsid w:val="00DD0E1A"/>
    <w:rsid w:val="00DD12E3"/>
    <w:rsid w:val="00DD1772"/>
    <w:rsid w:val="00DD1971"/>
    <w:rsid w:val="00DD1FC3"/>
    <w:rsid w:val="00DD335F"/>
    <w:rsid w:val="00DD34F5"/>
    <w:rsid w:val="00DD37AE"/>
    <w:rsid w:val="00DD4FE7"/>
    <w:rsid w:val="00DD5CAB"/>
    <w:rsid w:val="00DD61C0"/>
    <w:rsid w:val="00DD74C4"/>
    <w:rsid w:val="00DD7F06"/>
    <w:rsid w:val="00DE119C"/>
    <w:rsid w:val="00DE1E75"/>
    <w:rsid w:val="00DE3D0E"/>
    <w:rsid w:val="00DE4A74"/>
    <w:rsid w:val="00DE53DD"/>
    <w:rsid w:val="00DE79E3"/>
    <w:rsid w:val="00DE7FDC"/>
    <w:rsid w:val="00DF04FF"/>
    <w:rsid w:val="00DF1A5A"/>
    <w:rsid w:val="00DF6BD0"/>
    <w:rsid w:val="00DF7303"/>
    <w:rsid w:val="00DF7914"/>
    <w:rsid w:val="00DF7FB0"/>
    <w:rsid w:val="00E00C7A"/>
    <w:rsid w:val="00E0223C"/>
    <w:rsid w:val="00E02425"/>
    <w:rsid w:val="00E02E15"/>
    <w:rsid w:val="00E033C4"/>
    <w:rsid w:val="00E03A13"/>
    <w:rsid w:val="00E03C6C"/>
    <w:rsid w:val="00E054AB"/>
    <w:rsid w:val="00E06E00"/>
    <w:rsid w:val="00E13B00"/>
    <w:rsid w:val="00E13F42"/>
    <w:rsid w:val="00E143D8"/>
    <w:rsid w:val="00E1504D"/>
    <w:rsid w:val="00E15640"/>
    <w:rsid w:val="00E167C8"/>
    <w:rsid w:val="00E21669"/>
    <w:rsid w:val="00E22AD6"/>
    <w:rsid w:val="00E22B18"/>
    <w:rsid w:val="00E234DB"/>
    <w:rsid w:val="00E23762"/>
    <w:rsid w:val="00E242D0"/>
    <w:rsid w:val="00E25080"/>
    <w:rsid w:val="00E25F41"/>
    <w:rsid w:val="00E2606B"/>
    <w:rsid w:val="00E27424"/>
    <w:rsid w:val="00E300A0"/>
    <w:rsid w:val="00E3153C"/>
    <w:rsid w:val="00E31A28"/>
    <w:rsid w:val="00E32993"/>
    <w:rsid w:val="00E331B9"/>
    <w:rsid w:val="00E34F2C"/>
    <w:rsid w:val="00E3631A"/>
    <w:rsid w:val="00E366B0"/>
    <w:rsid w:val="00E36E0D"/>
    <w:rsid w:val="00E36F51"/>
    <w:rsid w:val="00E37A01"/>
    <w:rsid w:val="00E40536"/>
    <w:rsid w:val="00E4082C"/>
    <w:rsid w:val="00E43014"/>
    <w:rsid w:val="00E458B6"/>
    <w:rsid w:val="00E46139"/>
    <w:rsid w:val="00E47ED2"/>
    <w:rsid w:val="00E506E1"/>
    <w:rsid w:val="00E50AB4"/>
    <w:rsid w:val="00E54849"/>
    <w:rsid w:val="00E549FA"/>
    <w:rsid w:val="00E55303"/>
    <w:rsid w:val="00E562F1"/>
    <w:rsid w:val="00E57536"/>
    <w:rsid w:val="00E61DFA"/>
    <w:rsid w:val="00E64629"/>
    <w:rsid w:val="00E64A0C"/>
    <w:rsid w:val="00E666B6"/>
    <w:rsid w:val="00E67289"/>
    <w:rsid w:val="00E6751E"/>
    <w:rsid w:val="00E700FE"/>
    <w:rsid w:val="00E708B1"/>
    <w:rsid w:val="00E70AEE"/>
    <w:rsid w:val="00E711A8"/>
    <w:rsid w:val="00E72B17"/>
    <w:rsid w:val="00E73E20"/>
    <w:rsid w:val="00E74CF7"/>
    <w:rsid w:val="00E75CB2"/>
    <w:rsid w:val="00E7796C"/>
    <w:rsid w:val="00E809C8"/>
    <w:rsid w:val="00E81240"/>
    <w:rsid w:val="00E814F4"/>
    <w:rsid w:val="00E81943"/>
    <w:rsid w:val="00E81B49"/>
    <w:rsid w:val="00E825CD"/>
    <w:rsid w:val="00E82952"/>
    <w:rsid w:val="00E832C8"/>
    <w:rsid w:val="00E842F4"/>
    <w:rsid w:val="00E852F0"/>
    <w:rsid w:val="00E85BE9"/>
    <w:rsid w:val="00E85E27"/>
    <w:rsid w:val="00E85EAA"/>
    <w:rsid w:val="00E86EF0"/>
    <w:rsid w:val="00E871C4"/>
    <w:rsid w:val="00E95385"/>
    <w:rsid w:val="00E96D09"/>
    <w:rsid w:val="00E97497"/>
    <w:rsid w:val="00E97846"/>
    <w:rsid w:val="00EA18A9"/>
    <w:rsid w:val="00EA1DED"/>
    <w:rsid w:val="00EA4D24"/>
    <w:rsid w:val="00EA4F2E"/>
    <w:rsid w:val="00EB0CA7"/>
    <w:rsid w:val="00EB3159"/>
    <w:rsid w:val="00EB54B6"/>
    <w:rsid w:val="00EB5B4A"/>
    <w:rsid w:val="00EB678F"/>
    <w:rsid w:val="00EC09CC"/>
    <w:rsid w:val="00EC0E69"/>
    <w:rsid w:val="00EC3D58"/>
    <w:rsid w:val="00EC6292"/>
    <w:rsid w:val="00EC6414"/>
    <w:rsid w:val="00EC7CEF"/>
    <w:rsid w:val="00ED0DD6"/>
    <w:rsid w:val="00ED15FA"/>
    <w:rsid w:val="00ED21C0"/>
    <w:rsid w:val="00ED2885"/>
    <w:rsid w:val="00ED2FDA"/>
    <w:rsid w:val="00ED3621"/>
    <w:rsid w:val="00ED3F59"/>
    <w:rsid w:val="00ED3F7D"/>
    <w:rsid w:val="00ED4E7B"/>
    <w:rsid w:val="00ED53E4"/>
    <w:rsid w:val="00ED6B3C"/>
    <w:rsid w:val="00ED79DC"/>
    <w:rsid w:val="00EE0969"/>
    <w:rsid w:val="00EE0A63"/>
    <w:rsid w:val="00EE4152"/>
    <w:rsid w:val="00EE4AD7"/>
    <w:rsid w:val="00EE57F4"/>
    <w:rsid w:val="00EF02CC"/>
    <w:rsid w:val="00EF1C29"/>
    <w:rsid w:val="00EF286D"/>
    <w:rsid w:val="00EF5345"/>
    <w:rsid w:val="00F00269"/>
    <w:rsid w:val="00F030B1"/>
    <w:rsid w:val="00F04ED0"/>
    <w:rsid w:val="00F05685"/>
    <w:rsid w:val="00F075BA"/>
    <w:rsid w:val="00F07D5B"/>
    <w:rsid w:val="00F142E3"/>
    <w:rsid w:val="00F1446F"/>
    <w:rsid w:val="00F15AA2"/>
    <w:rsid w:val="00F1635E"/>
    <w:rsid w:val="00F16525"/>
    <w:rsid w:val="00F16F4C"/>
    <w:rsid w:val="00F17504"/>
    <w:rsid w:val="00F1769B"/>
    <w:rsid w:val="00F23A53"/>
    <w:rsid w:val="00F24E50"/>
    <w:rsid w:val="00F26177"/>
    <w:rsid w:val="00F27361"/>
    <w:rsid w:val="00F30861"/>
    <w:rsid w:val="00F30CD9"/>
    <w:rsid w:val="00F315D7"/>
    <w:rsid w:val="00F31F86"/>
    <w:rsid w:val="00F32947"/>
    <w:rsid w:val="00F35A3D"/>
    <w:rsid w:val="00F3684D"/>
    <w:rsid w:val="00F40C8F"/>
    <w:rsid w:val="00F41F49"/>
    <w:rsid w:val="00F420DE"/>
    <w:rsid w:val="00F44403"/>
    <w:rsid w:val="00F46AF4"/>
    <w:rsid w:val="00F47146"/>
    <w:rsid w:val="00F53D06"/>
    <w:rsid w:val="00F550BF"/>
    <w:rsid w:val="00F559F7"/>
    <w:rsid w:val="00F567A3"/>
    <w:rsid w:val="00F569B7"/>
    <w:rsid w:val="00F56FA0"/>
    <w:rsid w:val="00F57359"/>
    <w:rsid w:val="00F61F86"/>
    <w:rsid w:val="00F633D3"/>
    <w:rsid w:val="00F63C9C"/>
    <w:rsid w:val="00F664CB"/>
    <w:rsid w:val="00F66731"/>
    <w:rsid w:val="00F706CC"/>
    <w:rsid w:val="00F716A6"/>
    <w:rsid w:val="00F71FF7"/>
    <w:rsid w:val="00F73567"/>
    <w:rsid w:val="00F73676"/>
    <w:rsid w:val="00F73A9C"/>
    <w:rsid w:val="00F74E32"/>
    <w:rsid w:val="00F801E7"/>
    <w:rsid w:val="00F81780"/>
    <w:rsid w:val="00F82390"/>
    <w:rsid w:val="00F83E10"/>
    <w:rsid w:val="00F864AD"/>
    <w:rsid w:val="00F90070"/>
    <w:rsid w:val="00F90694"/>
    <w:rsid w:val="00F91144"/>
    <w:rsid w:val="00F920C7"/>
    <w:rsid w:val="00F931E2"/>
    <w:rsid w:val="00F9365F"/>
    <w:rsid w:val="00F94813"/>
    <w:rsid w:val="00F9499B"/>
    <w:rsid w:val="00F94E58"/>
    <w:rsid w:val="00F95953"/>
    <w:rsid w:val="00FA2BD1"/>
    <w:rsid w:val="00FA394E"/>
    <w:rsid w:val="00FA4E94"/>
    <w:rsid w:val="00FA76F8"/>
    <w:rsid w:val="00FA785F"/>
    <w:rsid w:val="00FB1683"/>
    <w:rsid w:val="00FB24C6"/>
    <w:rsid w:val="00FB2F39"/>
    <w:rsid w:val="00FB3619"/>
    <w:rsid w:val="00FB39FE"/>
    <w:rsid w:val="00FB5E7C"/>
    <w:rsid w:val="00FB61FB"/>
    <w:rsid w:val="00FB740C"/>
    <w:rsid w:val="00FB744A"/>
    <w:rsid w:val="00FB75B3"/>
    <w:rsid w:val="00FC25C1"/>
    <w:rsid w:val="00FC2DD5"/>
    <w:rsid w:val="00FC3342"/>
    <w:rsid w:val="00FC3CEB"/>
    <w:rsid w:val="00FC4117"/>
    <w:rsid w:val="00FC4C2A"/>
    <w:rsid w:val="00FC50CE"/>
    <w:rsid w:val="00FC7106"/>
    <w:rsid w:val="00FD172B"/>
    <w:rsid w:val="00FD26D5"/>
    <w:rsid w:val="00FD287F"/>
    <w:rsid w:val="00FD2D02"/>
    <w:rsid w:val="00FD415C"/>
    <w:rsid w:val="00FD4859"/>
    <w:rsid w:val="00FD51F3"/>
    <w:rsid w:val="00FD5813"/>
    <w:rsid w:val="00FD6107"/>
    <w:rsid w:val="00FD6E4E"/>
    <w:rsid w:val="00FD7DCF"/>
    <w:rsid w:val="00FD7EEB"/>
    <w:rsid w:val="00FE1B08"/>
    <w:rsid w:val="00FE25C7"/>
    <w:rsid w:val="00FE2674"/>
    <w:rsid w:val="00FE31A2"/>
    <w:rsid w:val="00FE372C"/>
    <w:rsid w:val="00FE47B7"/>
    <w:rsid w:val="00FE5647"/>
    <w:rsid w:val="00FE5A53"/>
    <w:rsid w:val="00FE5C66"/>
    <w:rsid w:val="00FE6CD6"/>
    <w:rsid w:val="00FE7D2C"/>
    <w:rsid w:val="00FF0036"/>
    <w:rsid w:val="00FF0ED1"/>
    <w:rsid w:val="00FF1DE9"/>
    <w:rsid w:val="00FF1E28"/>
    <w:rsid w:val="00FF257F"/>
    <w:rsid w:val="00FF347C"/>
    <w:rsid w:val="00FF3A4A"/>
    <w:rsid w:val="00FF4055"/>
    <w:rsid w:val="00FF4332"/>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2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B55"/>
    <w:pPr>
      <w:widowControl w:val="0"/>
      <w:autoSpaceDE w:val="0"/>
      <w:autoSpaceDN w:val="0"/>
      <w:adjustRightInd w:val="0"/>
      <w:spacing w:after="120"/>
    </w:pPr>
    <w:rPr>
      <w:sz w:val="24"/>
    </w:rPr>
  </w:style>
  <w:style w:type="paragraph" w:styleId="Heading1">
    <w:name w:val="heading 1"/>
    <w:basedOn w:val="Normal"/>
    <w:link w:val="Heading1Char"/>
    <w:autoRedefine/>
    <w:uiPriority w:val="1"/>
    <w:qFormat/>
    <w:rsid w:val="00404B55"/>
    <w:pPr>
      <w:autoSpaceDE/>
      <w:autoSpaceDN/>
      <w:adjustRightInd/>
      <w:spacing w:after="240"/>
      <w:outlineLvl w:val="0"/>
    </w:pPr>
    <w:rPr>
      <w:rFonts w:cstheme="minorBidi"/>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rsid w:val="00E73E20"/>
    <w:rPr>
      <w:sz w:val="16"/>
      <w:szCs w:val="16"/>
    </w:rPr>
  </w:style>
  <w:style w:type="paragraph" w:styleId="CommentText">
    <w:name w:val="annotation text"/>
    <w:basedOn w:val="Normal"/>
    <w:link w:val="CommentTextChar"/>
    <w:uiPriority w:val="99"/>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 w:type="paragraph" w:styleId="NoSpacing">
    <w:name w:val="No Spacing"/>
    <w:uiPriority w:val="1"/>
    <w:qFormat/>
    <w:rsid w:val="00F075BA"/>
    <w:rPr>
      <w:rFonts w:asciiTheme="minorHAnsi" w:eastAsiaTheme="minorHAnsi" w:hAnsiTheme="minorHAnsi" w:cstheme="minorBidi"/>
      <w:sz w:val="22"/>
      <w:szCs w:val="22"/>
    </w:rPr>
  </w:style>
  <w:style w:type="paragraph" w:styleId="BodyText">
    <w:name w:val="Body Text"/>
    <w:basedOn w:val="Normal"/>
    <w:link w:val="BodyTextChar"/>
    <w:rsid w:val="0059076D"/>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sz w:val="22"/>
      <w:szCs w:val="24"/>
    </w:rPr>
  </w:style>
  <w:style w:type="character" w:customStyle="1" w:styleId="BodyTextChar">
    <w:name w:val="Body Text Char"/>
    <w:basedOn w:val="DefaultParagraphFont"/>
    <w:link w:val="BodyText"/>
    <w:rsid w:val="0059076D"/>
    <w:rPr>
      <w:sz w:val="22"/>
      <w:szCs w:val="24"/>
    </w:rPr>
  </w:style>
  <w:style w:type="character" w:customStyle="1" w:styleId="CommentTextChar">
    <w:name w:val="Comment Text Char"/>
    <w:basedOn w:val="DefaultParagraphFont"/>
    <w:link w:val="CommentText"/>
    <w:uiPriority w:val="99"/>
    <w:rsid w:val="0059076D"/>
  </w:style>
  <w:style w:type="paragraph" w:styleId="ListParagraph">
    <w:name w:val="List Paragraph"/>
    <w:basedOn w:val="Normal"/>
    <w:uiPriority w:val="34"/>
    <w:qFormat/>
    <w:rsid w:val="00930E76"/>
    <w:pPr>
      <w:widowControl/>
      <w:autoSpaceDE/>
      <w:autoSpaceDN/>
      <w:adjustRightInd/>
      <w:ind w:left="720"/>
      <w:contextualSpacing/>
    </w:pPr>
    <w:rPr>
      <w:szCs w:val="24"/>
    </w:rPr>
  </w:style>
  <w:style w:type="character" w:customStyle="1" w:styleId="Heading1Char">
    <w:name w:val="Heading 1 Char"/>
    <w:basedOn w:val="DefaultParagraphFont"/>
    <w:link w:val="Heading1"/>
    <w:uiPriority w:val="1"/>
    <w:rsid w:val="00404B55"/>
    <w:rPr>
      <w:rFonts w:cstheme="minorBidi"/>
      <w:b/>
      <w:bCs/>
      <w:sz w:val="24"/>
      <w:szCs w:val="24"/>
      <w:u w:val="single"/>
    </w:rPr>
  </w:style>
  <w:style w:type="paragraph" w:customStyle="1" w:styleId="TableParagraph">
    <w:name w:val="Table Paragraph"/>
    <w:basedOn w:val="Normal"/>
    <w:uiPriority w:val="1"/>
    <w:qFormat/>
    <w:rsid w:val="003856C4"/>
    <w:pPr>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4E42F1"/>
  </w:style>
  <w:style w:type="paragraph" w:styleId="FootnoteText">
    <w:name w:val="footnote text"/>
    <w:basedOn w:val="Normal"/>
    <w:link w:val="FootnoteTextChar"/>
    <w:semiHidden/>
    <w:unhideWhenUsed/>
    <w:rsid w:val="00021E23"/>
  </w:style>
  <w:style w:type="character" w:customStyle="1" w:styleId="FootnoteTextChar">
    <w:name w:val="Footnote Text Char"/>
    <w:basedOn w:val="DefaultParagraphFont"/>
    <w:link w:val="FootnoteText"/>
    <w:semiHidden/>
    <w:rsid w:val="00021E23"/>
  </w:style>
  <w:style w:type="character" w:styleId="FootnoteReference">
    <w:name w:val="footnote reference"/>
    <w:basedOn w:val="DefaultParagraphFont"/>
    <w:semiHidden/>
    <w:unhideWhenUsed/>
    <w:rsid w:val="00021E23"/>
    <w:rPr>
      <w:vertAlign w:val="superscript"/>
    </w:rPr>
  </w:style>
  <w:style w:type="paragraph" w:styleId="NormalWeb">
    <w:name w:val="Normal (Web)"/>
    <w:basedOn w:val="Normal"/>
    <w:uiPriority w:val="99"/>
    <w:semiHidden/>
    <w:unhideWhenUsed/>
    <w:rsid w:val="00514D07"/>
    <w:pPr>
      <w:widowControl/>
      <w:autoSpaceDE/>
      <w:autoSpaceDN/>
      <w:adjustRightInd/>
      <w:spacing w:before="100" w:beforeAutospacing="1" w:after="100" w:afterAutospacing="1"/>
    </w:pPr>
    <w:rPr>
      <w:szCs w:val="24"/>
    </w:rPr>
  </w:style>
  <w:style w:type="character" w:styleId="Strong">
    <w:name w:val="Strong"/>
    <w:basedOn w:val="DefaultParagraphFont"/>
    <w:qFormat/>
    <w:rsid w:val="00404B55"/>
    <w:rPr>
      <w:b/>
      <w:bCs/>
    </w:rPr>
  </w:style>
  <w:style w:type="paragraph" w:customStyle="1" w:styleId="Header2">
    <w:name w:val="Header 2"/>
    <w:basedOn w:val="Heading1"/>
    <w:link w:val="Header2Char"/>
    <w:qFormat/>
    <w:rsid w:val="00404B55"/>
    <w:pPr>
      <w:numPr>
        <w:numId w:val="4"/>
      </w:numPr>
      <w:spacing w:after="120"/>
    </w:pPr>
    <w:rPr>
      <w:u w:val="none"/>
    </w:rPr>
  </w:style>
  <w:style w:type="character" w:customStyle="1" w:styleId="Header2Char">
    <w:name w:val="Header 2 Char"/>
    <w:basedOn w:val="Heading1Char"/>
    <w:link w:val="Header2"/>
    <w:rsid w:val="00404B55"/>
    <w:rPr>
      <w:rFonts w:cstheme="minorBidi"/>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B55"/>
    <w:pPr>
      <w:widowControl w:val="0"/>
      <w:autoSpaceDE w:val="0"/>
      <w:autoSpaceDN w:val="0"/>
      <w:adjustRightInd w:val="0"/>
      <w:spacing w:after="120"/>
    </w:pPr>
    <w:rPr>
      <w:sz w:val="24"/>
    </w:rPr>
  </w:style>
  <w:style w:type="paragraph" w:styleId="Heading1">
    <w:name w:val="heading 1"/>
    <w:basedOn w:val="Normal"/>
    <w:link w:val="Heading1Char"/>
    <w:autoRedefine/>
    <w:uiPriority w:val="1"/>
    <w:qFormat/>
    <w:rsid w:val="00404B55"/>
    <w:pPr>
      <w:autoSpaceDE/>
      <w:autoSpaceDN/>
      <w:adjustRightInd/>
      <w:spacing w:after="240"/>
      <w:outlineLvl w:val="0"/>
    </w:pPr>
    <w:rPr>
      <w:rFonts w:cstheme="minorBidi"/>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rsid w:val="00E73E20"/>
    <w:rPr>
      <w:sz w:val="16"/>
      <w:szCs w:val="16"/>
    </w:rPr>
  </w:style>
  <w:style w:type="paragraph" w:styleId="CommentText">
    <w:name w:val="annotation text"/>
    <w:basedOn w:val="Normal"/>
    <w:link w:val="CommentTextChar"/>
    <w:uiPriority w:val="99"/>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 w:type="paragraph" w:styleId="NoSpacing">
    <w:name w:val="No Spacing"/>
    <w:uiPriority w:val="1"/>
    <w:qFormat/>
    <w:rsid w:val="00F075BA"/>
    <w:rPr>
      <w:rFonts w:asciiTheme="minorHAnsi" w:eastAsiaTheme="minorHAnsi" w:hAnsiTheme="minorHAnsi" w:cstheme="minorBidi"/>
      <w:sz w:val="22"/>
      <w:szCs w:val="22"/>
    </w:rPr>
  </w:style>
  <w:style w:type="paragraph" w:styleId="BodyText">
    <w:name w:val="Body Text"/>
    <w:basedOn w:val="Normal"/>
    <w:link w:val="BodyTextChar"/>
    <w:rsid w:val="0059076D"/>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sz w:val="22"/>
      <w:szCs w:val="24"/>
    </w:rPr>
  </w:style>
  <w:style w:type="character" w:customStyle="1" w:styleId="BodyTextChar">
    <w:name w:val="Body Text Char"/>
    <w:basedOn w:val="DefaultParagraphFont"/>
    <w:link w:val="BodyText"/>
    <w:rsid w:val="0059076D"/>
    <w:rPr>
      <w:sz w:val="22"/>
      <w:szCs w:val="24"/>
    </w:rPr>
  </w:style>
  <w:style w:type="character" w:customStyle="1" w:styleId="CommentTextChar">
    <w:name w:val="Comment Text Char"/>
    <w:basedOn w:val="DefaultParagraphFont"/>
    <w:link w:val="CommentText"/>
    <w:uiPriority w:val="99"/>
    <w:rsid w:val="0059076D"/>
  </w:style>
  <w:style w:type="paragraph" w:styleId="ListParagraph">
    <w:name w:val="List Paragraph"/>
    <w:basedOn w:val="Normal"/>
    <w:uiPriority w:val="34"/>
    <w:qFormat/>
    <w:rsid w:val="00930E76"/>
    <w:pPr>
      <w:widowControl/>
      <w:autoSpaceDE/>
      <w:autoSpaceDN/>
      <w:adjustRightInd/>
      <w:ind w:left="720"/>
      <w:contextualSpacing/>
    </w:pPr>
    <w:rPr>
      <w:szCs w:val="24"/>
    </w:rPr>
  </w:style>
  <w:style w:type="character" w:customStyle="1" w:styleId="Heading1Char">
    <w:name w:val="Heading 1 Char"/>
    <w:basedOn w:val="DefaultParagraphFont"/>
    <w:link w:val="Heading1"/>
    <w:uiPriority w:val="1"/>
    <w:rsid w:val="00404B55"/>
    <w:rPr>
      <w:rFonts w:cstheme="minorBidi"/>
      <w:b/>
      <w:bCs/>
      <w:sz w:val="24"/>
      <w:szCs w:val="24"/>
      <w:u w:val="single"/>
    </w:rPr>
  </w:style>
  <w:style w:type="paragraph" w:customStyle="1" w:styleId="TableParagraph">
    <w:name w:val="Table Paragraph"/>
    <w:basedOn w:val="Normal"/>
    <w:uiPriority w:val="1"/>
    <w:qFormat/>
    <w:rsid w:val="003856C4"/>
    <w:pPr>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4E42F1"/>
  </w:style>
  <w:style w:type="paragraph" w:styleId="FootnoteText">
    <w:name w:val="footnote text"/>
    <w:basedOn w:val="Normal"/>
    <w:link w:val="FootnoteTextChar"/>
    <w:semiHidden/>
    <w:unhideWhenUsed/>
    <w:rsid w:val="00021E23"/>
  </w:style>
  <w:style w:type="character" w:customStyle="1" w:styleId="FootnoteTextChar">
    <w:name w:val="Footnote Text Char"/>
    <w:basedOn w:val="DefaultParagraphFont"/>
    <w:link w:val="FootnoteText"/>
    <w:semiHidden/>
    <w:rsid w:val="00021E23"/>
  </w:style>
  <w:style w:type="character" w:styleId="FootnoteReference">
    <w:name w:val="footnote reference"/>
    <w:basedOn w:val="DefaultParagraphFont"/>
    <w:semiHidden/>
    <w:unhideWhenUsed/>
    <w:rsid w:val="00021E23"/>
    <w:rPr>
      <w:vertAlign w:val="superscript"/>
    </w:rPr>
  </w:style>
  <w:style w:type="paragraph" w:styleId="NormalWeb">
    <w:name w:val="Normal (Web)"/>
    <w:basedOn w:val="Normal"/>
    <w:uiPriority w:val="99"/>
    <w:semiHidden/>
    <w:unhideWhenUsed/>
    <w:rsid w:val="00514D07"/>
    <w:pPr>
      <w:widowControl/>
      <w:autoSpaceDE/>
      <w:autoSpaceDN/>
      <w:adjustRightInd/>
      <w:spacing w:before="100" w:beforeAutospacing="1" w:after="100" w:afterAutospacing="1"/>
    </w:pPr>
    <w:rPr>
      <w:szCs w:val="24"/>
    </w:rPr>
  </w:style>
  <w:style w:type="character" w:styleId="Strong">
    <w:name w:val="Strong"/>
    <w:basedOn w:val="DefaultParagraphFont"/>
    <w:qFormat/>
    <w:rsid w:val="00404B55"/>
    <w:rPr>
      <w:b/>
      <w:bCs/>
    </w:rPr>
  </w:style>
  <w:style w:type="paragraph" w:customStyle="1" w:styleId="Header2">
    <w:name w:val="Header 2"/>
    <w:basedOn w:val="Heading1"/>
    <w:link w:val="Header2Char"/>
    <w:qFormat/>
    <w:rsid w:val="00404B55"/>
    <w:pPr>
      <w:numPr>
        <w:numId w:val="4"/>
      </w:numPr>
      <w:spacing w:after="120"/>
    </w:pPr>
    <w:rPr>
      <w:u w:val="none"/>
    </w:rPr>
  </w:style>
  <w:style w:type="character" w:customStyle="1" w:styleId="Header2Char">
    <w:name w:val="Header 2 Char"/>
    <w:basedOn w:val="Heading1Char"/>
    <w:link w:val="Header2"/>
    <w:rsid w:val="00404B55"/>
    <w:rPr>
      <w:rFonts w:cstheme="minorBid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2712">
      <w:bodyDiv w:val="1"/>
      <w:marLeft w:val="0"/>
      <w:marRight w:val="0"/>
      <w:marTop w:val="0"/>
      <w:marBottom w:val="0"/>
      <w:divBdr>
        <w:top w:val="none" w:sz="0" w:space="0" w:color="auto"/>
        <w:left w:val="none" w:sz="0" w:space="0" w:color="auto"/>
        <w:bottom w:val="none" w:sz="0" w:space="0" w:color="auto"/>
        <w:right w:val="none" w:sz="0" w:space="0" w:color="auto"/>
      </w:divBdr>
    </w:div>
    <w:div w:id="330256871">
      <w:bodyDiv w:val="1"/>
      <w:marLeft w:val="0"/>
      <w:marRight w:val="0"/>
      <w:marTop w:val="0"/>
      <w:marBottom w:val="0"/>
      <w:divBdr>
        <w:top w:val="none" w:sz="0" w:space="0" w:color="auto"/>
        <w:left w:val="none" w:sz="0" w:space="0" w:color="auto"/>
        <w:bottom w:val="none" w:sz="0" w:space="0" w:color="auto"/>
        <w:right w:val="none" w:sz="0" w:space="0" w:color="auto"/>
      </w:divBdr>
    </w:div>
    <w:div w:id="13487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fisheries-appli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1b6410b43d5a730b28bdc5f30957551c&amp;tpl=/ecfrbrowse/Title50/50cfr679_main_02.t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laskafisheries.noaa.gov/fisheries/regs-amds" TargetMode="External"/><Relationship Id="rId4" Type="http://schemas.microsoft.com/office/2007/relationships/stylesWithEffects" Target="stylesWithEffects.xml"/><Relationship Id="rId9" Type="http://schemas.openxmlformats.org/officeDocument/2006/relationships/hyperlink" Target="http://www.law.cornell.edu/uscode/text/16/chapter-10/subchapter-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E404-09B4-45C6-A2EC-7E5730DB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18961</CharactersWithSpaces>
  <SharedDoc>false</SharedDoc>
  <HLinks>
    <vt:vector size="30" baseType="variant">
      <vt:variant>
        <vt:i4>4915209</vt:i4>
      </vt:variant>
      <vt:variant>
        <vt:i4>30</vt:i4>
      </vt:variant>
      <vt:variant>
        <vt:i4>0</vt:i4>
      </vt:variant>
      <vt:variant>
        <vt:i4>5</vt:i4>
      </vt:variant>
      <vt:variant>
        <vt:lpwstr>http://www.alaskafisheries.noaa.gov/</vt:lpwstr>
      </vt:variant>
      <vt:variant>
        <vt:lpwstr/>
      </vt:variant>
      <vt:variant>
        <vt:i4>7405615</vt:i4>
      </vt:variant>
      <vt:variant>
        <vt:i4>15</vt:i4>
      </vt:variant>
      <vt:variant>
        <vt:i4>0</vt:i4>
      </vt:variant>
      <vt:variant>
        <vt:i4>5</vt:i4>
      </vt:variant>
      <vt:variant>
        <vt:lpwstr>http://www.alaskafisheries.noaa.gov/regs/679a5.pdf</vt:lpwstr>
      </vt:variant>
      <vt:variant>
        <vt:lpwstr/>
      </vt:variant>
      <vt:variant>
        <vt:i4>2883621</vt:i4>
      </vt:variant>
      <vt:variant>
        <vt:i4>12</vt:i4>
      </vt:variant>
      <vt:variant>
        <vt:i4>0</vt:i4>
      </vt:variant>
      <vt:variant>
        <vt:i4>5</vt:i4>
      </vt:variant>
      <vt:variant>
        <vt:lpwstr>http://www.alaskafisheries.noaa.gov/regs/679d45.pdf</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2017-09-22T18:51:00Z</cp:lastPrinted>
  <dcterms:created xsi:type="dcterms:W3CDTF">2017-10-24T18:22:00Z</dcterms:created>
  <dcterms:modified xsi:type="dcterms:W3CDTF">2017-10-24T18:22:00Z</dcterms:modified>
</cp:coreProperties>
</file>