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EA4" w:rsidRPr="00D56EA4" w:rsidRDefault="00D56EA4" w:rsidP="00D56EA4">
      <w:pPr>
        <w:pStyle w:val="Heading3"/>
        <w:spacing w:before="56"/>
        <w:ind w:left="0"/>
        <w:jc w:val="center"/>
        <w:rPr>
          <w:b w:val="0"/>
          <w:bCs w:val="0"/>
          <w:sz w:val="22"/>
          <w:u w:val="none"/>
        </w:rPr>
      </w:pPr>
      <w:bookmarkStart w:id="0" w:name="_GoBack"/>
      <w:bookmarkEnd w:id="0"/>
      <w:r>
        <w:rPr>
          <w:spacing w:val="-1"/>
          <w:u w:val="none"/>
        </w:rPr>
        <w:t>SUPPORT</w:t>
      </w:r>
      <w:r w:rsidRPr="00D56EA4">
        <w:rPr>
          <w:spacing w:val="-1"/>
          <w:sz w:val="22"/>
          <w:u w:val="none"/>
        </w:rPr>
        <w:t>ING</w:t>
      </w:r>
      <w:r w:rsidRPr="00D56EA4">
        <w:rPr>
          <w:spacing w:val="-2"/>
          <w:sz w:val="22"/>
          <w:u w:val="none"/>
        </w:rPr>
        <w:t xml:space="preserve"> </w:t>
      </w:r>
      <w:r w:rsidRPr="00D56EA4">
        <w:rPr>
          <w:spacing w:val="-1"/>
          <w:sz w:val="22"/>
          <w:u w:val="none"/>
        </w:rPr>
        <w:t>STATEMENT</w:t>
      </w:r>
    </w:p>
    <w:p w:rsidR="00D56EA4" w:rsidRPr="00D56EA4" w:rsidRDefault="00D56EA4" w:rsidP="00D56EA4">
      <w:pPr>
        <w:jc w:val="center"/>
        <w:rPr>
          <w:rFonts w:ascii="Times New Roman"/>
          <w:b/>
          <w:spacing w:val="-1"/>
        </w:rPr>
      </w:pPr>
      <w:r w:rsidRPr="00D56EA4">
        <w:rPr>
          <w:rFonts w:ascii="Times New Roman"/>
          <w:b/>
        </w:rPr>
        <w:t>GULF</w:t>
      </w:r>
      <w:r w:rsidRPr="00D56EA4">
        <w:rPr>
          <w:rFonts w:ascii="Times New Roman"/>
          <w:b/>
          <w:spacing w:val="-3"/>
        </w:rPr>
        <w:t xml:space="preserve"> </w:t>
      </w:r>
      <w:r w:rsidRPr="00D56EA4">
        <w:rPr>
          <w:rFonts w:ascii="Times New Roman"/>
          <w:b/>
          <w:spacing w:val="1"/>
        </w:rPr>
        <w:t>OF</w:t>
      </w:r>
      <w:r w:rsidRPr="00D56EA4">
        <w:rPr>
          <w:rFonts w:ascii="Times New Roman"/>
          <w:b/>
          <w:spacing w:val="-3"/>
        </w:rPr>
        <w:t xml:space="preserve"> </w:t>
      </w:r>
      <w:r w:rsidRPr="00D56EA4">
        <w:rPr>
          <w:rFonts w:ascii="Times New Roman"/>
          <w:b/>
          <w:spacing w:val="-1"/>
        </w:rPr>
        <w:t>ALASKA</w:t>
      </w:r>
      <w:r w:rsidRPr="00D56EA4">
        <w:rPr>
          <w:rFonts w:ascii="Times New Roman"/>
          <w:b/>
          <w:spacing w:val="1"/>
        </w:rPr>
        <w:t xml:space="preserve"> </w:t>
      </w:r>
      <w:r w:rsidRPr="00D56EA4">
        <w:rPr>
          <w:rFonts w:ascii="Times New Roman"/>
          <w:b/>
          <w:spacing w:val="-1"/>
        </w:rPr>
        <w:t>CATCHER VESSEL</w:t>
      </w:r>
      <w:r w:rsidRPr="00D56EA4">
        <w:rPr>
          <w:rFonts w:ascii="Times New Roman"/>
          <w:b/>
        </w:rPr>
        <w:t xml:space="preserve"> &amp;</w:t>
      </w:r>
      <w:r w:rsidRPr="00D56EA4">
        <w:rPr>
          <w:rFonts w:ascii="Times New Roman"/>
          <w:b/>
          <w:spacing w:val="-1"/>
        </w:rPr>
        <w:t xml:space="preserve"> PROCESSOR</w:t>
      </w:r>
    </w:p>
    <w:p w:rsidR="00D56EA4" w:rsidRPr="00D56EA4" w:rsidRDefault="00D56EA4" w:rsidP="00D56EA4">
      <w:pPr>
        <w:jc w:val="center"/>
        <w:rPr>
          <w:rFonts w:ascii="Times New Roman" w:eastAsia="Times New Roman" w:hAnsi="Times New Roman" w:cs="Times New Roman"/>
          <w:szCs w:val="24"/>
        </w:rPr>
      </w:pPr>
      <w:r w:rsidRPr="00D56EA4">
        <w:rPr>
          <w:rFonts w:ascii="Times New Roman"/>
          <w:b/>
          <w:spacing w:val="31"/>
        </w:rPr>
        <w:t xml:space="preserve"> </w:t>
      </w:r>
      <w:r w:rsidRPr="00D56EA4">
        <w:rPr>
          <w:rFonts w:ascii="Times New Roman"/>
          <w:b/>
          <w:spacing w:val="-1"/>
        </w:rPr>
        <w:t>TRAWL</w:t>
      </w:r>
      <w:r w:rsidRPr="00D56EA4">
        <w:rPr>
          <w:rFonts w:ascii="Times New Roman"/>
          <w:b/>
        </w:rPr>
        <w:t xml:space="preserve"> </w:t>
      </w:r>
      <w:r w:rsidRPr="00D56EA4">
        <w:rPr>
          <w:rFonts w:ascii="Times New Roman"/>
          <w:b/>
          <w:spacing w:val="-1"/>
        </w:rPr>
        <w:t>ECONOMIC DATA REPORT</w:t>
      </w:r>
    </w:p>
    <w:p w:rsidR="00D56EA4" w:rsidRPr="00D56EA4" w:rsidRDefault="00D56EA4" w:rsidP="00D56EA4">
      <w:pPr>
        <w:jc w:val="center"/>
        <w:rPr>
          <w:rFonts w:ascii="Times New Roman" w:eastAsia="Times New Roman" w:hAnsi="Times New Roman" w:cs="Times New Roman"/>
          <w:szCs w:val="24"/>
        </w:rPr>
      </w:pPr>
      <w:r w:rsidRPr="00D56EA4">
        <w:rPr>
          <w:rFonts w:ascii="Times New Roman"/>
          <w:b/>
          <w:spacing w:val="-1"/>
        </w:rPr>
        <w:t>OMB</w:t>
      </w:r>
      <w:r w:rsidRPr="00D56EA4">
        <w:rPr>
          <w:rFonts w:ascii="Times New Roman"/>
          <w:b/>
        </w:rPr>
        <w:t xml:space="preserve"> </w:t>
      </w:r>
      <w:r w:rsidRPr="00D56EA4">
        <w:rPr>
          <w:rFonts w:ascii="Times New Roman"/>
          <w:b/>
          <w:spacing w:val="-1"/>
        </w:rPr>
        <w:t>CONTROL</w:t>
      </w:r>
      <w:r w:rsidRPr="00D56EA4">
        <w:rPr>
          <w:rFonts w:ascii="Times New Roman"/>
          <w:b/>
        </w:rPr>
        <w:t xml:space="preserve"> </w:t>
      </w:r>
      <w:r w:rsidRPr="00D56EA4">
        <w:rPr>
          <w:rFonts w:ascii="Times New Roman"/>
          <w:b/>
          <w:spacing w:val="-1"/>
        </w:rPr>
        <w:t>NO.</w:t>
      </w:r>
      <w:r w:rsidRPr="00D56EA4">
        <w:rPr>
          <w:rFonts w:ascii="Times New Roman"/>
          <w:b/>
        </w:rPr>
        <w:t xml:space="preserve"> </w:t>
      </w:r>
      <w:r w:rsidRPr="00D56EA4">
        <w:rPr>
          <w:rFonts w:ascii="Times New Roman"/>
          <w:b/>
          <w:spacing w:val="-1"/>
        </w:rPr>
        <w:t>0648-0700</w:t>
      </w:r>
    </w:p>
    <w:p w:rsidR="00D56EA4" w:rsidRPr="00D56EA4" w:rsidRDefault="00D56EA4" w:rsidP="00D56EA4">
      <w:pPr>
        <w:pStyle w:val="Heading3"/>
        <w:tabs>
          <w:tab w:val="left" w:pos="441"/>
        </w:tabs>
        <w:spacing w:before="56"/>
        <w:ind w:left="360"/>
        <w:rPr>
          <w:sz w:val="22"/>
          <w:u w:val="none"/>
        </w:rPr>
      </w:pPr>
    </w:p>
    <w:p w:rsidR="00D56EA4" w:rsidRPr="00D56EA4" w:rsidRDefault="00D56EA4" w:rsidP="00D56EA4">
      <w:pPr>
        <w:pStyle w:val="Heading3"/>
        <w:tabs>
          <w:tab w:val="left" w:pos="441"/>
        </w:tabs>
        <w:spacing w:before="56"/>
        <w:ind w:left="360"/>
        <w:rPr>
          <w:sz w:val="22"/>
          <w:u w:val="none"/>
        </w:rPr>
      </w:pPr>
    </w:p>
    <w:p w:rsidR="00D56EA4" w:rsidRPr="00A70813" w:rsidRDefault="00D56EA4" w:rsidP="00D56EA4">
      <w:pPr>
        <w:pStyle w:val="Heading3"/>
        <w:tabs>
          <w:tab w:val="left" w:pos="441"/>
        </w:tabs>
        <w:spacing w:before="56"/>
        <w:ind w:left="360"/>
        <w:rPr>
          <w:rFonts w:cs="Times New Roman"/>
          <w:b w:val="0"/>
          <w:bCs w:val="0"/>
          <w:u w:val="none"/>
        </w:rPr>
      </w:pPr>
      <w:r>
        <w:rPr>
          <w:u w:val="none"/>
        </w:rPr>
        <w:t xml:space="preserve">B. </w:t>
      </w:r>
      <w:r w:rsidRPr="00A70813">
        <w:rPr>
          <w:u w:val="none"/>
        </w:rPr>
        <w:t>COLLECTIONS OF INFORMATION EMPLOYING STATISTICAL METHODS</w:t>
      </w:r>
    </w:p>
    <w:p w:rsidR="00D56EA4" w:rsidRPr="00A70813" w:rsidRDefault="00D56EA4" w:rsidP="00D56EA4">
      <w:pPr>
        <w:rPr>
          <w:rFonts w:ascii="Times New Roman" w:eastAsia="Times New Roman" w:hAnsi="Times New Roman" w:cs="Times New Roman"/>
          <w:b/>
          <w:bCs/>
          <w:sz w:val="24"/>
          <w:szCs w:val="24"/>
        </w:rPr>
      </w:pPr>
    </w:p>
    <w:p w:rsidR="00D56EA4" w:rsidRPr="00B92B61" w:rsidRDefault="00D56EA4" w:rsidP="00D56EA4">
      <w:pPr>
        <w:numPr>
          <w:ilvl w:val="1"/>
          <w:numId w:val="1"/>
        </w:numPr>
        <w:tabs>
          <w:tab w:val="left" w:pos="400"/>
        </w:tabs>
        <w:ind w:left="0" w:firstLine="0"/>
        <w:jc w:val="left"/>
        <w:rPr>
          <w:rFonts w:ascii="Times New Roman" w:eastAsia="Times New Roman" w:hAnsi="Times New Roman" w:cs="Times New Roman"/>
          <w:sz w:val="24"/>
          <w:szCs w:val="24"/>
        </w:rPr>
      </w:pPr>
      <w:r w:rsidRPr="00A70813">
        <w:rPr>
          <w:rFonts w:ascii="Times New Roman"/>
          <w:b/>
          <w:sz w:val="24"/>
        </w:rPr>
        <w:t xml:space="preserve">Describe (including a numerical estimate) the potential respondent universe and any sampling or other respondent selection method to be used. Data on the number of entities (e.g., establishments, State and local governmental units, households, or persons) in the universe and the </w:t>
      </w:r>
      <w:r w:rsidRPr="00B92B61">
        <w:rPr>
          <w:rFonts w:ascii="Times New Roman"/>
          <w:b/>
          <w:sz w:val="24"/>
        </w:rPr>
        <w:t>corresponding sample are to be provided in tabular form. The tabulation must also include expected response rates for the collection as a whole. If the collection has been conducted before, provide the actual response rate achieved.</w:t>
      </w:r>
    </w:p>
    <w:p w:rsidR="00D56EA4" w:rsidRPr="00B92B61" w:rsidRDefault="00D56EA4" w:rsidP="00D56EA4">
      <w:pPr>
        <w:spacing w:before="7"/>
        <w:rPr>
          <w:rFonts w:ascii="Times New Roman" w:eastAsia="Times New Roman" w:hAnsi="Times New Roman" w:cs="Times New Roman"/>
          <w:b/>
          <w:bCs/>
          <w:sz w:val="23"/>
          <w:szCs w:val="23"/>
        </w:rPr>
      </w:pPr>
    </w:p>
    <w:p w:rsidR="00D56EA4" w:rsidRPr="00B92B61" w:rsidRDefault="00D56EA4" w:rsidP="00D56EA4">
      <w:pPr>
        <w:pStyle w:val="BodyText"/>
        <w:ind w:left="0"/>
        <w:rPr>
          <w:rFonts w:cs="Times New Roman"/>
        </w:rPr>
      </w:pPr>
      <w:r w:rsidRPr="00B92B61">
        <w:rPr>
          <w:rFonts w:cs="Times New Roman"/>
        </w:rPr>
        <w:t xml:space="preserve">In determining the scope or “universe” of the entities to be considered, NMFS generally includes only those entities that can reasonably be expected to be </w:t>
      </w:r>
      <w:r w:rsidRPr="00B92B61">
        <w:rPr>
          <w:rFonts w:cs="Times New Roman"/>
          <w:u w:val="single" w:color="000000"/>
        </w:rPr>
        <w:t xml:space="preserve">directly regulated </w:t>
      </w:r>
      <w:r w:rsidRPr="00B92B61">
        <w:rPr>
          <w:rFonts w:cs="Times New Roman"/>
        </w:rPr>
        <w:t>by the action. Based on most recent EDR submissions, there were 120 entities impacted by this EDR collection. The number of participants fluctuates annually.</w:t>
      </w:r>
    </w:p>
    <w:p w:rsidR="00D56EA4" w:rsidRPr="00B92B61" w:rsidRDefault="00D56EA4" w:rsidP="00D56EA4">
      <w:pPr>
        <w:pStyle w:val="BodyText"/>
        <w:ind w:right="153"/>
        <w:rPr>
          <w:rFonts w:cs="Times New Roman"/>
        </w:rPr>
      </w:pPr>
    </w:p>
    <w:tbl>
      <w:tblPr>
        <w:tblW w:w="0" w:type="auto"/>
        <w:tblInd w:w="2249" w:type="dxa"/>
        <w:tblLayout w:type="fixed"/>
        <w:tblCellMar>
          <w:left w:w="0" w:type="dxa"/>
          <w:right w:w="0" w:type="dxa"/>
        </w:tblCellMar>
        <w:tblLook w:val="01E0" w:firstRow="1" w:lastRow="1" w:firstColumn="1" w:lastColumn="1" w:noHBand="0" w:noVBand="0"/>
      </w:tblPr>
      <w:tblGrid>
        <w:gridCol w:w="3518"/>
        <w:gridCol w:w="1531"/>
      </w:tblGrid>
      <w:tr w:rsidR="00D56EA4" w:rsidRPr="00B92B61" w:rsidTr="002170A2">
        <w:trPr>
          <w:trHeight w:hRule="exact" w:val="406"/>
        </w:trPr>
        <w:tc>
          <w:tcPr>
            <w:tcW w:w="3518" w:type="dxa"/>
            <w:tcBorders>
              <w:top w:val="single" w:sz="5" w:space="0" w:color="000000"/>
              <w:left w:val="single" w:sz="5" w:space="0" w:color="000000"/>
              <w:bottom w:val="single" w:sz="5" w:space="0" w:color="000000"/>
              <w:right w:val="single" w:sz="5" w:space="0" w:color="000000"/>
            </w:tcBorders>
          </w:tcPr>
          <w:p w:rsidR="00D56EA4" w:rsidRPr="00B92B61" w:rsidRDefault="00D56EA4" w:rsidP="002170A2">
            <w:pPr>
              <w:pStyle w:val="TableParagraph"/>
              <w:spacing w:before="51"/>
              <w:ind w:right="1"/>
              <w:jc w:val="center"/>
              <w:rPr>
                <w:rFonts w:ascii="Times New Roman" w:eastAsia="Times New Roman" w:hAnsi="Times New Roman" w:cs="Times New Roman"/>
                <w:sz w:val="24"/>
                <w:szCs w:val="24"/>
              </w:rPr>
            </w:pPr>
            <w:r w:rsidRPr="00B92B61">
              <w:rPr>
                <w:rFonts w:ascii="Times New Roman"/>
                <w:sz w:val="24"/>
              </w:rPr>
              <w:t>Entity</w:t>
            </w:r>
            <w:r w:rsidRPr="00B92B61">
              <w:rPr>
                <w:rFonts w:ascii="Times New Roman"/>
                <w:spacing w:val="-5"/>
                <w:sz w:val="24"/>
              </w:rPr>
              <w:t xml:space="preserve"> </w:t>
            </w:r>
            <w:r w:rsidRPr="00B92B61">
              <w:rPr>
                <w:rFonts w:ascii="Times New Roman"/>
                <w:spacing w:val="-1"/>
                <w:sz w:val="24"/>
              </w:rPr>
              <w:t>Type</w:t>
            </w:r>
          </w:p>
        </w:tc>
        <w:tc>
          <w:tcPr>
            <w:tcW w:w="1531" w:type="dxa"/>
            <w:tcBorders>
              <w:top w:val="single" w:sz="5" w:space="0" w:color="000000"/>
              <w:left w:val="single" w:sz="5" w:space="0" w:color="000000"/>
              <w:bottom w:val="single" w:sz="5" w:space="0" w:color="000000"/>
              <w:right w:val="single" w:sz="5" w:space="0" w:color="000000"/>
            </w:tcBorders>
          </w:tcPr>
          <w:p w:rsidR="00D56EA4" w:rsidRPr="00B92B61" w:rsidRDefault="00D56EA4" w:rsidP="002170A2">
            <w:pPr>
              <w:pStyle w:val="TableParagraph"/>
              <w:spacing w:before="51"/>
              <w:ind w:left="162"/>
              <w:rPr>
                <w:rFonts w:ascii="Times New Roman" w:eastAsia="Times New Roman" w:hAnsi="Times New Roman" w:cs="Times New Roman"/>
                <w:sz w:val="24"/>
                <w:szCs w:val="24"/>
              </w:rPr>
            </w:pPr>
            <w:r w:rsidRPr="00B92B61">
              <w:rPr>
                <w:rFonts w:ascii="Times New Roman"/>
                <w:spacing w:val="-1"/>
                <w:sz w:val="24"/>
              </w:rPr>
              <w:t xml:space="preserve">Sample </w:t>
            </w:r>
            <w:r w:rsidRPr="00B92B61">
              <w:rPr>
                <w:rFonts w:ascii="Times New Roman"/>
                <w:sz w:val="24"/>
              </w:rPr>
              <w:t>Size</w:t>
            </w:r>
          </w:p>
        </w:tc>
      </w:tr>
      <w:tr w:rsidR="00D56EA4" w:rsidRPr="00B92B61" w:rsidTr="002170A2">
        <w:trPr>
          <w:trHeight w:hRule="exact" w:val="286"/>
        </w:trPr>
        <w:tc>
          <w:tcPr>
            <w:tcW w:w="3518" w:type="dxa"/>
            <w:tcBorders>
              <w:top w:val="single" w:sz="5" w:space="0" w:color="000000"/>
              <w:left w:val="single" w:sz="5" w:space="0" w:color="000000"/>
              <w:bottom w:val="single" w:sz="5" w:space="0" w:color="000000"/>
              <w:right w:val="single" w:sz="5" w:space="0" w:color="000000"/>
            </w:tcBorders>
          </w:tcPr>
          <w:p w:rsidR="00D56EA4" w:rsidRPr="00B92B61" w:rsidRDefault="00D56EA4" w:rsidP="002170A2">
            <w:pPr>
              <w:pStyle w:val="TableParagraph"/>
              <w:spacing w:line="267" w:lineRule="exact"/>
              <w:ind w:left="102"/>
              <w:rPr>
                <w:rFonts w:ascii="Times New Roman" w:eastAsia="Times New Roman" w:hAnsi="Times New Roman" w:cs="Times New Roman"/>
                <w:sz w:val="24"/>
                <w:szCs w:val="24"/>
              </w:rPr>
            </w:pPr>
            <w:r w:rsidRPr="00B92B61">
              <w:rPr>
                <w:rFonts w:ascii="Times New Roman"/>
                <w:sz w:val="24"/>
              </w:rPr>
              <w:t xml:space="preserve">15 </w:t>
            </w:r>
            <w:r w:rsidRPr="00B92B61">
              <w:rPr>
                <w:rFonts w:ascii="Times New Roman"/>
                <w:spacing w:val="-1"/>
                <w:sz w:val="24"/>
              </w:rPr>
              <w:t>shoreside processors</w:t>
            </w:r>
          </w:p>
        </w:tc>
        <w:tc>
          <w:tcPr>
            <w:tcW w:w="1531" w:type="dxa"/>
            <w:tcBorders>
              <w:top w:val="single" w:sz="5" w:space="0" w:color="000000"/>
              <w:left w:val="single" w:sz="5" w:space="0" w:color="000000"/>
              <w:bottom w:val="single" w:sz="5" w:space="0" w:color="000000"/>
              <w:right w:val="single" w:sz="5" w:space="0" w:color="000000"/>
            </w:tcBorders>
          </w:tcPr>
          <w:p w:rsidR="00D56EA4" w:rsidRPr="00B92B61" w:rsidRDefault="00D56EA4" w:rsidP="002170A2">
            <w:pPr>
              <w:pStyle w:val="TableParagraph"/>
              <w:spacing w:line="267" w:lineRule="exact"/>
              <w:ind w:left="478"/>
              <w:rPr>
                <w:rFonts w:ascii="Times New Roman" w:eastAsia="Times New Roman" w:hAnsi="Times New Roman" w:cs="Times New Roman"/>
                <w:sz w:val="24"/>
                <w:szCs w:val="24"/>
              </w:rPr>
            </w:pPr>
            <w:r w:rsidRPr="00B92B61">
              <w:rPr>
                <w:rFonts w:ascii="Times New Roman"/>
                <w:sz w:val="24"/>
              </w:rPr>
              <w:t>100%</w:t>
            </w:r>
          </w:p>
        </w:tc>
      </w:tr>
      <w:tr w:rsidR="00D56EA4" w:rsidRPr="00B92B61" w:rsidTr="002170A2">
        <w:trPr>
          <w:trHeight w:hRule="exact" w:val="286"/>
        </w:trPr>
        <w:tc>
          <w:tcPr>
            <w:tcW w:w="3518" w:type="dxa"/>
            <w:tcBorders>
              <w:top w:val="single" w:sz="5" w:space="0" w:color="000000"/>
              <w:left w:val="single" w:sz="5" w:space="0" w:color="000000"/>
              <w:bottom w:val="single" w:sz="5" w:space="0" w:color="000000"/>
              <w:right w:val="single" w:sz="5" w:space="0" w:color="000000"/>
            </w:tcBorders>
          </w:tcPr>
          <w:p w:rsidR="00D56EA4" w:rsidRPr="00B92B61" w:rsidRDefault="00D56EA4" w:rsidP="002170A2">
            <w:pPr>
              <w:pStyle w:val="TableParagraph"/>
              <w:spacing w:line="267" w:lineRule="exact"/>
              <w:ind w:left="222"/>
              <w:rPr>
                <w:rFonts w:ascii="Times New Roman" w:eastAsia="Times New Roman" w:hAnsi="Times New Roman" w:cs="Times New Roman"/>
                <w:sz w:val="24"/>
                <w:szCs w:val="24"/>
              </w:rPr>
            </w:pPr>
            <w:r w:rsidRPr="00B92B61">
              <w:rPr>
                <w:rFonts w:ascii="Times New Roman"/>
                <w:sz w:val="24"/>
              </w:rPr>
              <w:t xml:space="preserve">2 </w:t>
            </w:r>
            <w:r w:rsidRPr="00B92B61">
              <w:rPr>
                <w:rFonts w:ascii="Times New Roman"/>
                <w:spacing w:val="-1"/>
                <w:sz w:val="24"/>
              </w:rPr>
              <w:t>stationary</w:t>
            </w:r>
            <w:r w:rsidRPr="00B92B61">
              <w:rPr>
                <w:rFonts w:ascii="Times New Roman"/>
                <w:spacing w:val="-3"/>
                <w:sz w:val="24"/>
              </w:rPr>
              <w:t xml:space="preserve"> </w:t>
            </w:r>
            <w:r w:rsidRPr="00B92B61">
              <w:rPr>
                <w:rFonts w:ascii="Times New Roman"/>
                <w:spacing w:val="-1"/>
                <w:sz w:val="24"/>
              </w:rPr>
              <w:t>floating</w:t>
            </w:r>
            <w:r w:rsidRPr="00B92B61">
              <w:rPr>
                <w:rFonts w:ascii="Times New Roman"/>
                <w:spacing w:val="-3"/>
                <w:sz w:val="24"/>
              </w:rPr>
              <w:t xml:space="preserve"> </w:t>
            </w:r>
            <w:r w:rsidRPr="00B92B61">
              <w:rPr>
                <w:rFonts w:ascii="Times New Roman"/>
                <w:sz w:val="24"/>
              </w:rPr>
              <w:t>processors</w:t>
            </w:r>
          </w:p>
        </w:tc>
        <w:tc>
          <w:tcPr>
            <w:tcW w:w="1531" w:type="dxa"/>
            <w:tcBorders>
              <w:top w:val="single" w:sz="5" w:space="0" w:color="000000"/>
              <w:left w:val="single" w:sz="5" w:space="0" w:color="000000"/>
              <w:bottom w:val="single" w:sz="5" w:space="0" w:color="000000"/>
              <w:right w:val="single" w:sz="5" w:space="0" w:color="000000"/>
            </w:tcBorders>
          </w:tcPr>
          <w:p w:rsidR="00D56EA4" w:rsidRPr="00B92B61" w:rsidRDefault="00D56EA4" w:rsidP="002170A2">
            <w:pPr>
              <w:pStyle w:val="TableParagraph"/>
              <w:spacing w:line="267" w:lineRule="exact"/>
              <w:ind w:left="478"/>
              <w:rPr>
                <w:rFonts w:ascii="Times New Roman" w:eastAsia="Times New Roman" w:hAnsi="Times New Roman" w:cs="Times New Roman"/>
                <w:sz w:val="24"/>
                <w:szCs w:val="24"/>
              </w:rPr>
            </w:pPr>
            <w:r w:rsidRPr="00B92B61">
              <w:rPr>
                <w:rFonts w:ascii="Times New Roman"/>
                <w:sz w:val="24"/>
              </w:rPr>
              <w:t>100%</w:t>
            </w:r>
          </w:p>
        </w:tc>
      </w:tr>
      <w:tr w:rsidR="00D56EA4" w:rsidRPr="00B92B61" w:rsidTr="002170A2">
        <w:trPr>
          <w:trHeight w:hRule="exact" w:val="288"/>
        </w:trPr>
        <w:tc>
          <w:tcPr>
            <w:tcW w:w="3518" w:type="dxa"/>
            <w:tcBorders>
              <w:top w:val="single" w:sz="5" w:space="0" w:color="000000"/>
              <w:left w:val="single" w:sz="5" w:space="0" w:color="000000"/>
              <w:bottom w:val="single" w:sz="5" w:space="0" w:color="000000"/>
              <w:right w:val="single" w:sz="5" w:space="0" w:color="000000"/>
            </w:tcBorders>
          </w:tcPr>
          <w:p w:rsidR="00D56EA4" w:rsidRPr="00B92B61" w:rsidRDefault="00D56EA4" w:rsidP="002170A2">
            <w:pPr>
              <w:pStyle w:val="TableParagraph"/>
              <w:spacing w:line="269" w:lineRule="exact"/>
              <w:ind w:left="222"/>
              <w:rPr>
                <w:rFonts w:ascii="Times New Roman" w:eastAsia="Times New Roman" w:hAnsi="Times New Roman" w:cs="Times New Roman"/>
                <w:sz w:val="24"/>
                <w:szCs w:val="24"/>
              </w:rPr>
            </w:pPr>
            <w:r w:rsidRPr="00B92B61">
              <w:rPr>
                <w:rFonts w:ascii="Times New Roman"/>
                <w:sz w:val="24"/>
              </w:rPr>
              <w:t xml:space="preserve">1 </w:t>
            </w:r>
            <w:r w:rsidRPr="00B92B61">
              <w:rPr>
                <w:rFonts w:ascii="Times New Roman"/>
                <w:spacing w:val="-1"/>
                <w:sz w:val="24"/>
              </w:rPr>
              <w:t>fish</w:t>
            </w:r>
            <w:r w:rsidRPr="00B92B61">
              <w:rPr>
                <w:rFonts w:ascii="Times New Roman"/>
                <w:sz w:val="24"/>
              </w:rPr>
              <w:t xml:space="preserve"> </w:t>
            </w:r>
            <w:r w:rsidRPr="00B92B61">
              <w:rPr>
                <w:rFonts w:ascii="Times New Roman"/>
                <w:spacing w:val="-1"/>
                <w:sz w:val="24"/>
              </w:rPr>
              <w:t>meal</w:t>
            </w:r>
            <w:r w:rsidRPr="00B92B61">
              <w:rPr>
                <w:rFonts w:ascii="Times New Roman"/>
                <w:sz w:val="24"/>
              </w:rPr>
              <w:t xml:space="preserve"> </w:t>
            </w:r>
            <w:r w:rsidRPr="00B92B61">
              <w:rPr>
                <w:rFonts w:ascii="Times New Roman"/>
                <w:spacing w:val="-1"/>
                <w:sz w:val="24"/>
              </w:rPr>
              <w:t>processor</w:t>
            </w:r>
          </w:p>
        </w:tc>
        <w:tc>
          <w:tcPr>
            <w:tcW w:w="1531" w:type="dxa"/>
            <w:tcBorders>
              <w:top w:val="single" w:sz="5" w:space="0" w:color="000000"/>
              <w:left w:val="single" w:sz="5" w:space="0" w:color="000000"/>
              <w:bottom w:val="single" w:sz="5" w:space="0" w:color="000000"/>
              <w:right w:val="single" w:sz="5" w:space="0" w:color="000000"/>
            </w:tcBorders>
          </w:tcPr>
          <w:p w:rsidR="00D56EA4" w:rsidRPr="00B92B61" w:rsidRDefault="00D56EA4" w:rsidP="002170A2">
            <w:pPr>
              <w:pStyle w:val="TableParagraph"/>
              <w:spacing w:line="269" w:lineRule="exact"/>
              <w:ind w:left="478"/>
              <w:rPr>
                <w:rFonts w:ascii="Times New Roman" w:eastAsia="Times New Roman" w:hAnsi="Times New Roman" w:cs="Times New Roman"/>
                <w:sz w:val="24"/>
                <w:szCs w:val="24"/>
              </w:rPr>
            </w:pPr>
            <w:r w:rsidRPr="00B92B61">
              <w:rPr>
                <w:rFonts w:ascii="Times New Roman"/>
                <w:sz w:val="24"/>
              </w:rPr>
              <w:t>100%</w:t>
            </w:r>
          </w:p>
        </w:tc>
      </w:tr>
      <w:tr w:rsidR="00D56EA4" w:rsidRPr="00B92B61" w:rsidTr="002170A2">
        <w:trPr>
          <w:trHeight w:hRule="exact" w:val="286"/>
        </w:trPr>
        <w:tc>
          <w:tcPr>
            <w:tcW w:w="3518" w:type="dxa"/>
            <w:tcBorders>
              <w:top w:val="single" w:sz="5" w:space="0" w:color="000000"/>
              <w:left w:val="single" w:sz="5" w:space="0" w:color="000000"/>
              <w:bottom w:val="single" w:sz="5" w:space="0" w:color="000000"/>
              <w:right w:val="single" w:sz="5" w:space="0" w:color="000000"/>
            </w:tcBorders>
          </w:tcPr>
          <w:p w:rsidR="00D56EA4" w:rsidRPr="00B92B61" w:rsidRDefault="00D56EA4" w:rsidP="002170A2">
            <w:pPr>
              <w:pStyle w:val="TableParagraph"/>
              <w:spacing w:line="267" w:lineRule="exact"/>
              <w:ind w:left="102"/>
              <w:rPr>
                <w:rFonts w:ascii="Times New Roman" w:eastAsia="Times New Roman" w:hAnsi="Times New Roman" w:cs="Times New Roman"/>
                <w:sz w:val="24"/>
                <w:szCs w:val="24"/>
              </w:rPr>
            </w:pPr>
            <w:r w:rsidRPr="00B92B61">
              <w:rPr>
                <w:rFonts w:ascii="Times New Roman"/>
                <w:sz w:val="24"/>
              </w:rPr>
              <w:t xml:space="preserve">102 </w:t>
            </w:r>
            <w:r w:rsidRPr="00B92B61">
              <w:rPr>
                <w:rFonts w:ascii="Times New Roman"/>
                <w:spacing w:val="-1"/>
                <w:sz w:val="24"/>
              </w:rPr>
              <w:t>catcher vessels</w:t>
            </w:r>
          </w:p>
        </w:tc>
        <w:tc>
          <w:tcPr>
            <w:tcW w:w="1531" w:type="dxa"/>
            <w:tcBorders>
              <w:top w:val="single" w:sz="5" w:space="0" w:color="000000"/>
              <w:left w:val="single" w:sz="5" w:space="0" w:color="000000"/>
              <w:bottom w:val="single" w:sz="5" w:space="0" w:color="000000"/>
              <w:right w:val="single" w:sz="5" w:space="0" w:color="000000"/>
            </w:tcBorders>
          </w:tcPr>
          <w:p w:rsidR="00D56EA4" w:rsidRPr="00B92B61" w:rsidRDefault="00D56EA4" w:rsidP="002170A2">
            <w:pPr>
              <w:pStyle w:val="TableParagraph"/>
              <w:spacing w:line="267" w:lineRule="exact"/>
              <w:ind w:left="478"/>
              <w:rPr>
                <w:rFonts w:ascii="Times New Roman" w:eastAsia="Times New Roman" w:hAnsi="Times New Roman" w:cs="Times New Roman"/>
                <w:sz w:val="24"/>
                <w:szCs w:val="24"/>
              </w:rPr>
            </w:pPr>
            <w:r w:rsidRPr="00B92B61">
              <w:rPr>
                <w:rFonts w:ascii="Times New Roman"/>
                <w:sz w:val="24"/>
              </w:rPr>
              <w:t>100%</w:t>
            </w:r>
          </w:p>
        </w:tc>
      </w:tr>
    </w:tbl>
    <w:p w:rsidR="00D56EA4" w:rsidRPr="00B92B61" w:rsidRDefault="00D56EA4" w:rsidP="00D56EA4">
      <w:pPr>
        <w:spacing w:before="9"/>
        <w:rPr>
          <w:rFonts w:ascii="Times New Roman" w:eastAsia="Times New Roman" w:hAnsi="Times New Roman" w:cs="Times New Roman"/>
          <w:sz w:val="17"/>
          <w:szCs w:val="17"/>
        </w:rPr>
      </w:pPr>
    </w:p>
    <w:p w:rsidR="00D56EA4" w:rsidRPr="00A70813" w:rsidRDefault="00D56EA4" w:rsidP="00D56EA4">
      <w:pPr>
        <w:pStyle w:val="BodyText"/>
        <w:spacing w:before="69"/>
        <w:ind w:left="0"/>
      </w:pPr>
      <w:r w:rsidRPr="00B92B61">
        <w:t>Groundfish harvest includes both the GOA and BSAI; therefore, groundfish activity from both areas is included.  The owner or leaseholder of a catcher vessel with an LLP license endorsed for catcher vessel operation type, and for trawl gear in the Western or Central GOA reporting area during a calendar year must submit an Annual Trawl Catcher Vessel Economic Data Report (EDR) for that calendar year.</w:t>
      </w:r>
    </w:p>
    <w:p w:rsidR="00D56EA4" w:rsidRPr="00A70813" w:rsidRDefault="00D56EA4" w:rsidP="00D56EA4">
      <w:pPr>
        <w:rPr>
          <w:rFonts w:ascii="Times New Roman" w:eastAsia="Times New Roman" w:hAnsi="Times New Roman"/>
          <w:sz w:val="24"/>
          <w:szCs w:val="24"/>
        </w:rPr>
      </w:pPr>
    </w:p>
    <w:p w:rsidR="00D56EA4" w:rsidRPr="00A70813" w:rsidRDefault="00D56EA4" w:rsidP="00D56EA4">
      <w:pPr>
        <w:pStyle w:val="BodyText"/>
        <w:ind w:left="0"/>
      </w:pPr>
      <w:r w:rsidRPr="00A70813">
        <w:t>The owner or leaseholder of a shoreside processor or stationary floating processor with a Federal Processor Permit that processes groundfish caught by vessels fishing with trawl gear in the Western and Central GOA reporting area must submit an Annual Shoreside Processor Economic Data Report (EDR) for that calendar year.</w:t>
      </w:r>
    </w:p>
    <w:p w:rsidR="00D56EA4" w:rsidRPr="00A70813" w:rsidRDefault="00D56EA4" w:rsidP="00D56EA4">
      <w:pPr>
        <w:spacing w:before="5"/>
        <w:rPr>
          <w:rFonts w:ascii="Times New Roman" w:eastAsia="Times New Roman" w:hAnsi="Times New Roman" w:cs="Times New Roman"/>
          <w:sz w:val="24"/>
          <w:szCs w:val="24"/>
        </w:rPr>
      </w:pPr>
    </w:p>
    <w:p w:rsidR="00D56EA4" w:rsidRPr="00A70813" w:rsidRDefault="00D56EA4" w:rsidP="00D56EA4">
      <w:pPr>
        <w:pStyle w:val="Heading3"/>
        <w:numPr>
          <w:ilvl w:val="1"/>
          <w:numId w:val="1"/>
        </w:numPr>
        <w:tabs>
          <w:tab w:val="left" w:pos="400"/>
        </w:tabs>
        <w:ind w:left="0" w:firstLine="0"/>
        <w:jc w:val="left"/>
        <w:rPr>
          <w:u w:val="none"/>
        </w:rPr>
      </w:pPr>
      <w:r w:rsidRPr="00A70813">
        <w:rPr>
          <w:u w:val="non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D56EA4" w:rsidRPr="00A70813" w:rsidRDefault="00D56EA4" w:rsidP="00D56EA4">
      <w:pPr>
        <w:spacing w:before="7"/>
        <w:rPr>
          <w:rFonts w:ascii="Times New Roman" w:eastAsia="Times New Roman" w:hAnsi="Times New Roman" w:cs="Times New Roman"/>
          <w:b/>
          <w:bCs/>
          <w:sz w:val="23"/>
          <w:szCs w:val="23"/>
        </w:rPr>
      </w:pPr>
    </w:p>
    <w:p w:rsidR="00D56EA4" w:rsidRPr="00B92B61" w:rsidRDefault="00D56EA4" w:rsidP="00D56EA4">
      <w:pPr>
        <w:pStyle w:val="BodyText"/>
        <w:ind w:left="0"/>
      </w:pPr>
      <w:r w:rsidRPr="00B92B61">
        <w:t xml:space="preserve">The sample selection method is an annual census of all respondents, as any other sampling methodology would produce too few observations to estimate representative levels of cost, </w:t>
      </w:r>
      <w:r w:rsidRPr="00B92B61">
        <w:lastRenderedPageBreak/>
        <w:t xml:space="preserve">earnings, and other outputs required for this collection.  As this program is a mandatory collection, and valuable fishing and processing privileges </w:t>
      </w:r>
      <w:r>
        <w:t>could</w:t>
      </w:r>
      <w:r w:rsidRPr="00B92B61">
        <w:t xml:space="preserve"> be withheld if an EDR is not submitted, we anticipate a 100 percent response rate from the respondents.</w:t>
      </w:r>
    </w:p>
    <w:p w:rsidR="00D56EA4" w:rsidRPr="00B92B61" w:rsidRDefault="00D56EA4" w:rsidP="00D56EA4">
      <w:pPr>
        <w:rPr>
          <w:rFonts w:ascii="Times New Roman" w:eastAsia="Times New Roman" w:hAnsi="Times New Roman"/>
          <w:sz w:val="24"/>
          <w:szCs w:val="24"/>
        </w:rPr>
      </w:pPr>
    </w:p>
    <w:p w:rsidR="00D56EA4" w:rsidRPr="00A70813" w:rsidRDefault="00D56EA4" w:rsidP="00D56EA4">
      <w:pPr>
        <w:pStyle w:val="BodyText"/>
        <w:ind w:left="0"/>
      </w:pPr>
      <w:r w:rsidRPr="00B92B61">
        <w:t>Given that approximately 100</w:t>
      </w:r>
      <w:r>
        <w:t xml:space="preserve"> to</w:t>
      </w:r>
      <w:r w:rsidRPr="00B92B61">
        <w:t>120 respondents each year will be participating in this fishery, it is not feasible to generate enough observations on any one of</w:t>
      </w:r>
      <w:r w:rsidRPr="00A70813">
        <w:t xml:space="preserve"> the variables without applying this collection annually. And, random sampling from this population is not a viable option for statistical reasons. Based on the degrees of freedom and number of observations required for estimating the statistical relationship among the variables in this collection, data may be separately pooled to create a time-series of cross-sectional data in order to generate sufficient observations for economic and statistical analysis. The strata </w:t>
      </w:r>
      <w:r>
        <w:t>used</w:t>
      </w:r>
      <w:r w:rsidRPr="00A70813">
        <w:t xml:space="preserve"> in preparing analyses (either deterministic or statistical) of management actions for this group will depend on the specific questions of interest.</w:t>
      </w:r>
    </w:p>
    <w:p w:rsidR="00D56EA4" w:rsidRPr="00A70813" w:rsidRDefault="00D56EA4" w:rsidP="00D56EA4">
      <w:pPr>
        <w:spacing w:before="5"/>
        <w:rPr>
          <w:rFonts w:ascii="Times New Roman" w:eastAsia="Times New Roman" w:hAnsi="Times New Roman"/>
          <w:sz w:val="24"/>
          <w:szCs w:val="24"/>
        </w:rPr>
      </w:pPr>
    </w:p>
    <w:p w:rsidR="00D56EA4" w:rsidRPr="00A70813" w:rsidRDefault="00D56EA4" w:rsidP="00D56EA4">
      <w:pPr>
        <w:pStyle w:val="Heading3"/>
        <w:numPr>
          <w:ilvl w:val="1"/>
          <w:numId w:val="1"/>
        </w:numPr>
        <w:tabs>
          <w:tab w:val="left" w:pos="420"/>
        </w:tabs>
        <w:ind w:left="0" w:firstLine="0"/>
        <w:jc w:val="left"/>
        <w:rPr>
          <w:rFonts w:cs="Times New Roman"/>
          <w:b w:val="0"/>
          <w:bCs w:val="0"/>
          <w:u w:val="none"/>
        </w:rPr>
      </w:pPr>
      <w:r w:rsidRPr="00A70813">
        <w:rPr>
          <w:u w:val="non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D56EA4" w:rsidRPr="00A70813" w:rsidRDefault="00D56EA4" w:rsidP="00D56EA4">
      <w:pPr>
        <w:spacing w:before="7"/>
        <w:rPr>
          <w:rFonts w:ascii="Times New Roman" w:eastAsia="Times New Roman" w:hAnsi="Times New Roman" w:cs="Times New Roman"/>
          <w:b/>
          <w:bCs/>
          <w:sz w:val="23"/>
          <w:szCs w:val="23"/>
        </w:rPr>
      </w:pPr>
    </w:p>
    <w:p w:rsidR="00D56EA4" w:rsidRPr="00A70813" w:rsidRDefault="00D56EA4" w:rsidP="00D56EA4">
      <w:pPr>
        <w:pStyle w:val="BodyText"/>
        <w:ind w:left="0"/>
      </w:pPr>
      <w:r w:rsidRPr="00A70813">
        <w:t xml:space="preserve">Each of the owners and leaseholders in the catcher vessel, shoreside processor, and stationary floating processor sectors is required to submit an annual EDR. Therefore, the response to mandatory data requirements should be very high. Those individuals who do not submit their EDR by the submission date will receive a follow-up phone call from Pacific States. If a solution cannot be reached at that point, their information will be referred to the </w:t>
      </w:r>
      <w:r>
        <w:t>NOAA Office of Law Enforcement</w:t>
      </w:r>
      <w:r w:rsidRPr="00A70813">
        <w:t xml:space="preserve">. Therefore, we </w:t>
      </w:r>
      <w:r>
        <w:t>anticipate</w:t>
      </w:r>
      <w:r w:rsidRPr="00A70813">
        <w:t xml:space="preserve"> response rates of 95</w:t>
      </w:r>
      <w:r>
        <w:t xml:space="preserve"> to </w:t>
      </w:r>
      <w:r w:rsidRPr="00A70813">
        <w:t>100 percent.</w:t>
      </w:r>
    </w:p>
    <w:p w:rsidR="00D56EA4" w:rsidRPr="00A70813" w:rsidRDefault="00D56EA4" w:rsidP="00D56EA4">
      <w:pPr>
        <w:rPr>
          <w:rFonts w:ascii="Times New Roman" w:eastAsia="Times New Roman" w:hAnsi="Times New Roman"/>
          <w:sz w:val="24"/>
          <w:szCs w:val="24"/>
        </w:rPr>
      </w:pPr>
    </w:p>
    <w:p w:rsidR="00D56EA4" w:rsidRPr="00A70813" w:rsidRDefault="00D56EA4" w:rsidP="00D56EA4">
      <w:pPr>
        <w:pStyle w:val="BodyText"/>
        <w:ind w:left="0"/>
      </w:pPr>
      <w:r>
        <w:t>NMFS has established different e</w:t>
      </w:r>
      <w:r w:rsidRPr="00A70813">
        <w:t xml:space="preserve">nforcement </w:t>
      </w:r>
      <w:r>
        <w:t>procedures for</w:t>
      </w:r>
      <w:r w:rsidRPr="00A70813">
        <w:t xml:space="preserve"> </w:t>
      </w:r>
      <w:r w:rsidRPr="00BC4473">
        <w:t xml:space="preserve">the </w:t>
      </w:r>
      <w:r>
        <w:t>GOA Trawl EDR P</w:t>
      </w:r>
      <w:r w:rsidRPr="00BC4473">
        <w:t>rogram</w:t>
      </w:r>
      <w:r w:rsidRPr="00A70813">
        <w:t xml:space="preserve"> </w:t>
      </w:r>
      <w:r>
        <w:t>than</w:t>
      </w:r>
      <w:r w:rsidRPr="00A70813">
        <w:t xml:space="preserve"> </w:t>
      </w:r>
      <w:r>
        <w:t>those</w:t>
      </w:r>
      <w:r w:rsidRPr="00A70813">
        <w:t xml:space="preserve"> used to ensure that accurate </w:t>
      </w:r>
      <w:r>
        <w:t xml:space="preserve">fisheries </w:t>
      </w:r>
      <w:r w:rsidRPr="00A70813">
        <w:t xml:space="preserve">landings are reported. The economic data </w:t>
      </w:r>
      <w:r>
        <w:t>are</w:t>
      </w:r>
      <w:r w:rsidRPr="00A70813">
        <w:t xml:space="preserve"> </w:t>
      </w:r>
      <w:r>
        <w:t xml:space="preserve">not </w:t>
      </w:r>
      <w:r w:rsidRPr="00A70813">
        <w:t>used for in-season management</w:t>
      </w:r>
      <w:r>
        <w:t xml:space="preserve"> as landings data are, therefore</w:t>
      </w:r>
      <w:r w:rsidRPr="00A70813">
        <w:t xml:space="preserve"> persons submitting </w:t>
      </w:r>
      <w:r>
        <w:t>EDR</w:t>
      </w:r>
      <w:r w:rsidRPr="00A70813">
        <w:t xml:space="preserve"> data are given an opportunity to correct omissions and errors before any enforcement action is taken.</w:t>
      </w:r>
    </w:p>
    <w:p w:rsidR="00D56EA4" w:rsidRPr="00A70813" w:rsidRDefault="00D56EA4" w:rsidP="00D56EA4">
      <w:pPr>
        <w:rPr>
          <w:rFonts w:ascii="Times New Roman" w:eastAsia="Times New Roman" w:hAnsi="Times New Roman"/>
          <w:sz w:val="24"/>
          <w:szCs w:val="24"/>
        </w:rPr>
      </w:pPr>
    </w:p>
    <w:p w:rsidR="00D56EA4" w:rsidRPr="00A70813" w:rsidRDefault="00D56EA4" w:rsidP="00D56EA4">
      <w:pPr>
        <w:pStyle w:val="BodyText"/>
        <w:ind w:left="0"/>
      </w:pPr>
      <w:r>
        <w:t>This approach</w:t>
      </w:r>
      <w:r w:rsidRPr="00A70813">
        <w:t xml:space="preserve"> is important to ensure that accurate </w:t>
      </w:r>
      <w:r>
        <w:t xml:space="preserve">EDR </w:t>
      </w:r>
      <w:r w:rsidRPr="00A70813">
        <w:t xml:space="preserve">data are collected without being overly burdensome on industry for unintended errors. Only if the agency and the person submitting the data cannot reach a solution </w:t>
      </w:r>
      <w:r>
        <w:t>will</w:t>
      </w:r>
      <w:r w:rsidRPr="00A70813">
        <w:t xml:space="preserve"> the enforcement agency be contacted.</w:t>
      </w:r>
    </w:p>
    <w:p w:rsidR="00D56EA4" w:rsidRPr="00A70813" w:rsidRDefault="00D56EA4" w:rsidP="00D56EA4">
      <w:pPr>
        <w:spacing w:before="5"/>
        <w:rPr>
          <w:rFonts w:ascii="Times New Roman" w:eastAsia="Times New Roman" w:hAnsi="Times New Roman" w:cs="Times New Roman"/>
          <w:sz w:val="24"/>
          <w:szCs w:val="24"/>
        </w:rPr>
      </w:pPr>
    </w:p>
    <w:p w:rsidR="00D56EA4" w:rsidRPr="00A70813" w:rsidRDefault="00D56EA4" w:rsidP="00D56EA4">
      <w:pPr>
        <w:pStyle w:val="Heading3"/>
        <w:numPr>
          <w:ilvl w:val="1"/>
          <w:numId w:val="1"/>
        </w:numPr>
        <w:tabs>
          <w:tab w:val="left" w:pos="420"/>
        </w:tabs>
        <w:ind w:left="0" w:firstLine="0"/>
        <w:jc w:val="left"/>
        <w:rPr>
          <w:rFonts w:cs="Times New Roman"/>
          <w:b w:val="0"/>
          <w:bCs w:val="0"/>
          <w:u w:val="none"/>
        </w:rPr>
      </w:pPr>
      <w:r w:rsidRPr="00A70813">
        <w:rPr>
          <w:u w:val="none"/>
        </w:rPr>
        <w:t>Describe any tests of procedures or methods to be undertaken. Tests are encouraged as effective means to refine collections, but if ten or more test respondents are involved OMB must give prior approval.</w:t>
      </w:r>
    </w:p>
    <w:p w:rsidR="00D56EA4" w:rsidRPr="00A70813" w:rsidRDefault="00D56EA4" w:rsidP="00D56EA4">
      <w:pPr>
        <w:spacing w:before="7"/>
        <w:rPr>
          <w:rFonts w:ascii="Times New Roman" w:eastAsia="Times New Roman" w:hAnsi="Times New Roman" w:cs="Times New Roman"/>
          <w:b/>
          <w:bCs/>
          <w:sz w:val="23"/>
          <w:szCs w:val="23"/>
        </w:rPr>
      </w:pPr>
    </w:p>
    <w:p w:rsidR="00D56EA4" w:rsidRDefault="00D56EA4" w:rsidP="00D56EA4">
      <w:pPr>
        <w:pStyle w:val="BodyText"/>
        <w:ind w:left="0"/>
      </w:pPr>
      <w:r>
        <w:t>There have not been tests of procedures or methods undertaken recently. The collection has only been in place since 2015, and the statistical design team will consider tests of procedure when deemed appropriate.</w:t>
      </w:r>
    </w:p>
    <w:p w:rsidR="00D56EA4" w:rsidRDefault="00D56EA4" w:rsidP="00D56EA4">
      <w:pPr>
        <w:pStyle w:val="BodyText"/>
        <w:ind w:left="0"/>
      </w:pPr>
    </w:p>
    <w:p w:rsidR="00D56EA4" w:rsidRDefault="00D56EA4" w:rsidP="00D56EA4">
      <w:pPr>
        <w:pStyle w:val="BodyText"/>
        <w:ind w:left="0"/>
      </w:pPr>
    </w:p>
    <w:p w:rsidR="00D56EA4" w:rsidRDefault="00D56EA4" w:rsidP="00D56EA4">
      <w:pPr>
        <w:pStyle w:val="BodyText"/>
        <w:ind w:left="0"/>
      </w:pPr>
    </w:p>
    <w:p w:rsidR="00D56EA4" w:rsidRDefault="00D56EA4" w:rsidP="00D56EA4">
      <w:pPr>
        <w:pStyle w:val="BodyText"/>
        <w:ind w:left="0"/>
      </w:pPr>
    </w:p>
    <w:p w:rsidR="00D56EA4" w:rsidRDefault="00D56EA4" w:rsidP="00D56EA4">
      <w:pPr>
        <w:pStyle w:val="BodyText"/>
        <w:ind w:left="0"/>
      </w:pPr>
    </w:p>
    <w:p w:rsidR="00D56EA4" w:rsidRDefault="00D56EA4" w:rsidP="00D56EA4">
      <w:pPr>
        <w:pStyle w:val="BodyText"/>
        <w:ind w:left="0"/>
      </w:pPr>
    </w:p>
    <w:p w:rsidR="00D56EA4" w:rsidRDefault="00D56EA4" w:rsidP="00D56EA4">
      <w:pPr>
        <w:pStyle w:val="BodyText"/>
        <w:ind w:left="0"/>
        <w:rPr>
          <w:rFonts w:cs="Times New Roman"/>
        </w:rPr>
      </w:pPr>
    </w:p>
    <w:p w:rsidR="00D56EA4" w:rsidRDefault="00D56EA4" w:rsidP="00D56EA4">
      <w:pPr>
        <w:pStyle w:val="BodyText"/>
        <w:ind w:left="0"/>
        <w:rPr>
          <w:rFonts w:cs="Times New Roman"/>
        </w:rPr>
      </w:pPr>
    </w:p>
    <w:p w:rsidR="00D56EA4" w:rsidRPr="00A70813" w:rsidRDefault="00D56EA4" w:rsidP="00D56EA4">
      <w:pPr>
        <w:pStyle w:val="BodyText"/>
        <w:ind w:left="0"/>
        <w:rPr>
          <w:rFonts w:cs="Times New Roman"/>
        </w:rPr>
      </w:pPr>
    </w:p>
    <w:p w:rsidR="00D56EA4" w:rsidRPr="00A70813" w:rsidRDefault="00D56EA4" w:rsidP="00D56EA4">
      <w:pPr>
        <w:spacing w:before="5"/>
        <w:rPr>
          <w:rFonts w:ascii="Times New Roman" w:eastAsia="Times New Roman" w:hAnsi="Times New Roman" w:cs="Times New Roman"/>
          <w:sz w:val="24"/>
          <w:szCs w:val="24"/>
        </w:rPr>
      </w:pPr>
    </w:p>
    <w:p w:rsidR="00D56EA4" w:rsidRPr="00A70813" w:rsidRDefault="00D56EA4" w:rsidP="00D56EA4">
      <w:pPr>
        <w:pStyle w:val="Heading3"/>
        <w:keepNext/>
        <w:numPr>
          <w:ilvl w:val="1"/>
          <w:numId w:val="1"/>
        </w:numPr>
        <w:tabs>
          <w:tab w:val="left" w:pos="420"/>
        </w:tabs>
        <w:ind w:left="0" w:firstLine="0"/>
        <w:jc w:val="left"/>
        <w:rPr>
          <w:rFonts w:cs="Times New Roman"/>
          <w:b w:val="0"/>
          <w:bCs w:val="0"/>
          <w:u w:val="none"/>
        </w:rPr>
      </w:pPr>
      <w:r w:rsidRPr="00A70813">
        <w:rPr>
          <w:u w:val="none"/>
        </w:rPr>
        <w:t>Provide the name and telephone number of individuals consulted on the statistical aspects of the design, and the name of the agency unit, contractor(s), grantee(s), or other person(s) who will actually collect and/or analyze the information for the agency.</w:t>
      </w:r>
    </w:p>
    <w:p w:rsidR="00D56EA4" w:rsidRPr="00A70813" w:rsidRDefault="00D56EA4" w:rsidP="00D56EA4">
      <w:pPr>
        <w:keepNext/>
        <w:spacing w:before="7"/>
        <w:rPr>
          <w:rFonts w:ascii="Times New Roman" w:eastAsia="Times New Roman" w:hAnsi="Times New Roman" w:cs="Times New Roman"/>
          <w:b/>
          <w:bCs/>
          <w:sz w:val="23"/>
          <w:szCs w:val="23"/>
        </w:rPr>
      </w:pPr>
    </w:p>
    <w:p w:rsidR="00D56EA4" w:rsidRPr="00A70813" w:rsidRDefault="00D56EA4" w:rsidP="00D56EA4">
      <w:pPr>
        <w:pStyle w:val="BodyText"/>
        <w:keepNext/>
        <w:ind w:left="0"/>
      </w:pPr>
      <w:r w:rsidRPr="00A70813">
        <w:t xml:space="preserve">Brian Garber-Yonts, Ph.D.  [statistical design and analysis of data] </w:t>
      </w:r>
    </w:p>
    <w:p w:rsidR="00D56EA4" w:rsidRPr="00A70813" w:rsidRDefault="00D56EA4" w:rsidP="00D56EA4">
      <w:pPr>
        <w:pStyle w:val="BodyText"/>
        <w:ind w:left="0"/>
        <w:rPr>
          <w:rFonts w:cs="Times New Roman"/>
        </w:rPr>
      </w:pPr>
      <w:r w:rsidRPr="00A70813">
        <w:t>Research Economist</w:t>
      </w:r>
    </w:p>
    <w:p w:rsidR="00D56EA4" w:rsidRPr="00A70813" w:rsidRDefault="00D56EA4" w:rsidP="00D56EA4">
      <w:pPr>
        <w:pStyle w:val="BodyText"/>
        <w:ind w:left="0"/>
      </w:pPr>
      <w:r w:rsidRPr="00A70813">
        <w:t xml:space="preserve">NOAA/NMFS, Alaska Fisheries Science Center </w:t>
      </w:r>
    </w:p>
    <w:p w:rsidR="00D56EA4" w:rsidRPr="00A70813" w:rsidRDefault="00D56EA4" w:rsidP="00D56EA4">
      <w:pPr>
        <w:pStyle w:val="BodyText"/>
        <w:ind w:left="0"/>
        <w:rPr>
          <w:rFonts w:cs="Times New Roman"/>
        </w:rPr>
      </w:pPr>
      <w:r w:rsidRPr="00A70813">
        <w:t>PH: (206) 526-6301</w:t>
      </w:r>
    </w:p>
    <w:p w:rsidR="00D56EA4" w:rsidRPr="00A70813" w:rsidRDefault="00D56EA4" w:rsidP="00D56EA4">
      <w:pPr>
        <w:pStyle w:val="BodyText"/>
        <w:ind w:left="0"/>
        <w:rPr>
          <w:rFonts w:cs="Times New Roman"/>
        </w:rPr>
      </w:pPr>
      <w:r w:rsidRPr="00A70813">
        <w:t xml:space="preserve">Email Address: </w:t>
      </w:r>
      <w:hyperlink r:id="rId9">
        <w:r w:rsidRPr="00A70813">
          <w:rPr>
            <w:color w:val="0000FF"/>
            <w:u w:val="single" w:color="0000FF"/>
          </w:rPr>
          <w:t>Brian.Garber-yonts@noaa.gov</w:t>
        </w:r>
      </w:hyperlink>
    </w:p>
    <w:p w:rsidR="00D56EA4" w:rsidRPr="00A70813" w:rsidRDefault="00D56EA4" w:rsidP="00D56EA4">
      <w:pPr>
        <w:spacing w:before="11"/>
        <w:rPr>
          <w:rFonts w:ascii="Times New Roman" w:eastAsia="Times New Roman" w:hAnsi="Times New Roman" w:cs="Times New Roman"/>
          <w:sz w:val="17"/>
          <w:szCs w:val="17"/>
        </w:rPr>
      </w:pPr>
    </w:p>
    <w:p w:rsidR="00D56EA4" w:rsidRPr="00A70813" w:rsidRDefault="00D56EA4" w:rsidP="00D56EA4">
      <w:pPr>
        <w:pStyle w:val="BodyText"/>
        <w:spacing w:before="69"/>
        <w:ind w:left="0"/>
      </w:pPr>
      <w:r w:rsidRPr="00A70813">
        <w:t xml:space="preserve">Stephanie Warpinski [specialist on EDR regulation] </w:t>
      </w:r>
    </w:p>
    <w:p w:rsidR="00D56EA4" w:rsidRPr="00A70813" w:rsidRDefault="00D56EA4" w:rsidP="00D56EA4">
      <w:pPr>
        <w:pStyle w:val="BodyText"/>
        <w:ind w:left="0"/>
        <w:rPr>
          <w:rFonts w:cs="Times New Roman"/>
        </w:rPr>
      </w:pPr>
      <w:r w:rsidRPr="00A70813">
        <w:t>NOAA/NMFS, Alaska Region</w:t>
      </w:r>
    </w:p>
    <w:p w:rsidR="00D56EA4" w:rsidRPr="00A70813" w:rsidRDefault="00D56EA4" w:rsidP="00D56EA4">
      <w:pPr>
        <w:pStyle w:val="BodyText"/>
        <w:ind w:left="0"/>
        <w:rPr>
          <w:rFonts w:cs="Times New Roman"/>
        </w:rPr>
      </w:pPr>
      <w:r w:rsidRPr="00A70813">
        <w:t>PH: (907) 586-7234</w:t>
      </w:r>
    </w:p>
    <w:p w:rsidR="00D56EA4" w:rsidRPr="00A70813" w:rsidRDefault="00D56EA4" w:rsidP="00D56EA4">
      <w:pPr>
        <w:pStyle w:val="BodyText"/>
        <w:ind w:left="0"/>
        <w:rPr>
          <w:rFonts w:cs="Times New Roman"/>
        </w:rPr>
      </w:pPr>
      <w:r w:rsidRPr="00A70813">
        <w:t xml:space="preserve">Email Address: </w:t>
      </w:r>
      <w:r w:rsidRPr="00A70813">
        <w:rPr>
          <w:color w:val="0000FF"/>
          <w:u w:val="single" w:color="0000FF"/>
        </w:rPr>
        <w:t>stephanie.warpinski@noaa.gov</w:t>
      </w:r>
    </w:p>
    <w:p w:rsidR="00D56EA4" w:rsidRPr="00A70813" w:rsidRDefault="00D56EA4" w:rsidP="00D56EA4">
      <w:pPr>
        <w:spacing w:before="11"/>
        <w:rPr>
          <w:rFonts w:ascii="Times New Roman" w:eastAsia="Times New Roman" w:hAnsi="Times New Roman" w:cs="Times New Roman"/>
          <w:sz w:val="17"/>
          <w:szCs w:val="17"/>
        </w:rPr>
      </w:pPr>
    </w:p>
    <w:p w:rsidR="00D56EA4" w:rsidRPr="00A70813" w:rsidRDefault="00D56EA4" w:rsidP="00D56EA4">
      <w:pPr>
        <w:pStyle w:val="BodyText"/>
        <w:spacing w:before="69"/>
        <w:ind w:left="0"/>
        <w:rPr>
          <w:rFonts w:cs="Times New Roman"/>
        </w:rPr>
      </w:pPr>
      <w:r w:rsidRPr="00A70813">
        <w:t>Geana Tyler [collection of data, verification of accuracy of data] Pacific States Marine Fisheries Commission</w:t>
      </w:r>
    </w:p>
    <w:p w:rsidR="00D56EA4" w:rsidRPr="00A70813" w:rsidRDefault="00D56EA4" w:rsidP="00D56EA4">
      <w:pPr>
        <w:pStyle w:val="BodyText"/>
        <w:ind w:left="0"/>
        <w:rPr>
          <w:rFonts w:cs="Times New Roman"/>
        </w:rPr>
      </w:pPr>
      <w:r w:rsidRPr="00A70813">
        <w:t>PH: (503) 595-3100</w:t>
      </w:r>
    </w:p>
    <w:p w:rsidR="00D56EA4" w:rsidRPr="00A70813" w:rsidRDefault="00D56EA4" w:rsidP="00D56EA4">
      <w:pPr>
        <w:pStyle w:val="BodyText"/>
        <w:ind w:left="0"/>
        <w:rPr>
          <w:rFonts w:cs="Times New Roman"/>
        </w:rPr>
      </w:pPr>
      <w:r w:rsidRPr="00A70813">
        <w:t xml:space="preserve">Email Address: </w:t>
      </w:r>
      <w:hyperlink r:id="rId10" w:history="1">
        <w:r w:rsidRPr="00A70813">
          <w:rPr>
            <w:rStyle w:val="Hyperlink"/>
            <w:u w:color="0000FF"/>
          </w:rPr>
          <w:t>edr@psmfc.org</w:t>
        </w:r>
      </w:hyperlink>
    </w:p>
    <w:p w:rsidR="00D56EA4" w:rsidRPr="00A70813" w:rsidRDefault="00D56EA4" w:rsidP="00D56EA4">
      <w:pPr>
        <w:spacing w:before="11"/>
        <w:rPr>
          <w:rFonts w:ascii="Times New Roman" w:eastAsia="Times New Roman" w:hAnsi="Times New Roman" w:cs="Times New Roman"/>
          <w:sz w:val="17"/>
          <w:szCs w:val="17"/>
        </w:rPr>
      </w:pPr>
    </w:p>
    <w:p w:rsidR="00D56EA4" w:rsidRPr="00A70813" w:rsidRDefault="00D56EA4" w:rsidP="00D56EA4">
      <w:pPr>
        <w:pStyle w:val="BodyText"/>
        <w:spacing w:before="69"/>
        <w:ind w:left="0"/>
      </w:pPr>
      <w:r w:rsidRPr="00A70813">
        <w:t>Tracy Buck [permits, permit data] Supervisor of Permits NOAA/NMFS, Alaska Region</w:t>
      </w:r>
    </w:p>
    <w:p w:rsidR="00D56EA4" w:rsidRPr="00A70813" w:rsidRDefault="00D56EA4" w:rsidP="00D56EA4">
      <w:pPr>
        <w:pStyle w:val="BodyText"/>
        <w:ind w:left="0"/>
        <w:rPr>
          <w:rFonts w:cs="Times New Roman"/>
        </w:rPr>
      </w:pPr>
      <w:r w:rsidRPr="00A70813">
        <w:t>PH: (907) 586-7889</w:t>
      </w:r>
    </w:p>
    <w:p w:rsidR="00D56EA4" w:rsidRPr="00A70813" w:rsidRDefault="00D56EA4" w:rsidP="00D56EA4">
      <w:pPr>
        <w:pStyle w:val="BodyText"/>
        <w:ind w:left="0"/>
        <w:rPr>
          <w:rFonts w:cs="Times New Roman"/>
        </w:rPr>
      </w:pPr>
      <w:r w:rsidRPr="00A70813">
        <w:t xml:space="preserve">Email Address: </w:t>
      </w:r>
      <w:hyperlink r:id="rId11">
        <w:r w:rsidRPr="00A70813">
          <w:rPr>
            <w:color w:val="0000FF"/>
            <w:u w:val="single" w:color="0000FF"/>
          </w:rPr>
          <w:t>tracy.buck@noaa.gov</w:t>
        </w:r>
      </w:hyperlink>
    </w:p>
    <w:p w:rsidR="00D56EA4" w:rsidRPr="00A70813" w:rsidRDefault="00D56EA4" w:rsidP="00D56EA4">
      <w:pPr>
        <w:widowControl/>
        <w:spacing w:after="160" w:line="259" w:lineRule="auto"/>
      </w:pPr>
    </w:p>
    <w:p w:rsidR="00A5195D" w:rsidRDefault="00A5195D"/>
    <w:sectPr w:rsidR="00A5195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205" w:rsidRDefault="00C90205" w:rsidP="00D56EA4">
      <w:r>
        <w:separator/>
      </w:r>
    </w:p>
  </w:endnote>
  <w:endnote w:type="continuationSeparator" w:id="0">
    <w:p w:rsidR="00C90205" w:rsidRDefault="00C90205" w:rsidP="00D56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9BA" w:rsidRDefault="00C90205">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167EFE91" wp14:editId="20F8AFCF">
              <wp:simplePos x="0" y="0"/>
              <wp:positionH relativeFrom="page">
                <wp:posOffset>3708400</wp:posOffset>
              </wp:positionH>
              <wp:positionV relativeFrom="page">
                <wp:posOffset>9603105</wp:posOffset>
              </wp:positionV>
              <wp:extent cx="203200" cy="177800"/>
              <wp:effectExtent l="3175" t="1905" r="3175" b="12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9BA" w:rsidRDefault="00C90205">
                          <w:pPr>
                            <w:pStyle w:val="BodyText"/>
                            <w:spacing w:line="265" w:lineRule="exact"/>
                            <w:ind w:left="40"/>
                            <w:rPr>
                              <w:rFonts w:cs="Times New Roman"/>
                            </w:rPr>
                          </w:pPr>
                          <w:r>
                            <w:fldChar w:fldCharType="begin"/>
                          </w:r>
                          <w:r>
                            <w:instrText xml:space="preserve"> PAGE </w:instrText>
                          </w:r>
                          <w:r>
                            <w:fldChar w:fldCharType="separate"/>
                          </w:r>
                          <w:r w:rsidR="008312A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292pt;margin-top:756.15pt;width:16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s6rAIAAKoFAAAOAAAAZHJzL2Uyb0RvYy54bWysVNtunDAQfa/Uf7D8TriEvYDCRsmyVJXS&#10;i5T0A7xgFqvGprZ3Ia367x2bZbNJVKlqywMaxuMzc2YOc3U9tBwdqNJMigyHFwFGVJSyYmKX4S8P&#10;hbfESBsiKsKloBl+pBpfr96+ueq7lEaykbyiCgGI0GnfZbgxpkt9X5cNbYm+kB0VcFhL1RIDn2rn&#10;V4r0gN5yPwqCud9LVXVKllRr8ObjIV45/LqmpflU15oaxDMMtRn3Vu69tW9/dUXSnSJdw8pjGeQv&#10;qmgJE5D0BJUTQ9BesVdQLSuV1LI2F6VsfVnXrKSOA7AJgxds7hvSUccFmqO7U5v0/4MtPx4+K8Qq&#10;mF2EkSAtzOiBDgbdygGBC/rTdzqFsPsOAs0Afoh1XHV3J8uvGgm5bojY0RulZN9QUkF9ob3pn10d&#10;cbQF2fYfZAV5yN5IBzTUqrXNg3YgQIc5PZ5mY2spwRkFlzBvjEo4CheLJdg2A0mny53S5h2VLbJG&#10;hhWM3oGTw502Y+gUYnMJWTDOwU9SLp45AHP0QGq4as9sEW6aP5Ig2Sw3y9iLo/nGi4M8926KdezN&#10;i3Axyy/z9ToPf9q8YZw2rKqosGkmZYXxn03uqPFREydtaclZZeFsSVrttmuu0IGAsgv3HBtyFuY/&#10;L8P1C7i8oBRGcXAbJV4xXy68uIhnXrIIll4QJrfJPIiTOC+eU7pjgv47JdRnOJlFs1FLv+UWuOc1&#10;N5K2zMDu4KzNMMgBHhtEUqvAjaicbQjjo33WClv+Uytg3NOgnV6tREexmmE7AIoV8VZWj6BcJUFZ&#10;IEJYeGA0Un3HqIflkWH9bU8UxYi/F6B+u2kmQ03GdjKIKOFqhg1Go7k240bad4rtGkAe/y8hb+AP&#10;qZlT71MVx/8KFoIjcVxeduOcf7uopxW7+gUAAP//AwBQSwMEFAAGAAgAAAAhAFOREe3hAAAADQEA&#10;AA8AAABkcnMvZG93bnJldi54bWxMj81OwzAQhO9IvIO1SNyonf5EbRqnqhCckBBpOHB0YjexGq9D&#10;7Lbh7dme4Lgzo9lv8t3kenYxY7AeJSQzAcxg47XFVsJn9fq0BhaiQq16j0bCjwmwK+7vcpVpf8XS&#10;XA6xZVSCIVMSuhiHjPPQdMapMPODQfKOfnQq0jm2XI/qSuWu53MhUu6URfrQqcE8d6Y5Hc5Owv4L&#10;yxf7/V5/lMfSVtVG4Ft6kvLxYdpvgUUzxb8w3PAJHQpiqv0ZdWC9hNV6SVsiGatkvgBGkTRJSapv&#10;0lIsgBc5/7+i+AUAAP//AwBQSwECLQAUAAYACAAAACEAtoM4kv4AAADhAQAAEwAAAAAAAAAAAAAA&#10;AAAAAAAAW0NvbnRlbnRfVHlwZXNdLnhtbFBLAQItABQABgAIAAAAIQA4/SH/1gAAAJQBAAALAAAA&#10;AAAAAAAAAAAAAC8BAABfcmVscy8ucmVsc1BLAQItABQABgAIAAAAIQBunks6rAIAAKoFAAAOAAAA&#10;AAAAAAAAAAAAAC4CAABkcnMvZTJvRG9jLnhtbFBLAQItABQABgAIAAAAIQBTkRHt4QAAAA0BAAAP&#10;AAAAAAAAAAAAAAAAAAYFAABkcnMvZG93bnJldi54bWxQSwUGAAAAAAQABADzAAAAFAYAAAAA&#10;" filled="f" stroked="f">
              <v:textbox inset="0,0,0,0">
                <w:txbxContent>
                  <w:p w:rsidR="008D09BA" w:rsidRDefault="00C90205">
                    <w:pPr>
                      <w:pStyle w:val="BodyText"/>
                      <w:spacing w:line="265" w:lineRule="exact"/>
                      <w:ind w:left="40"/>
                      <w:rPr>
                        <w:rFonts w:cs="Times New Roman"/>
                      </w:rPr>
                    </w:pPr>
                    <w:r>
                      <w:fldChar w:fldCharType="begin"/>
                    </w:r>
                    <w:r>
                      <w:instrText xml:space="preserve"> PAGE </w:instrText>
                    </w:r>
                    <w:r>
                      <w:fldChar w:fldCharType="separate"/>
                    </w:r>
                    <w:r w:rsidR="008312AA">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205" w:rsidRDefault="00C90205" w:rsidP="00D56EA4">
      <w:r>
        <w:separator/>
      </w:r>
    </w:p>
  </w:footnote>
  <w:footnote w:type="continuationSeparator" w:id="0">
    <w:p w:rsidR="00C90205" w:rsidRDefault="00C90205" w:rsidP="00D56E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C0AC9"/>
    <w:multiLevelType w:val="hybridMultilevel"/>
    <w:tmpl w:val="4426DF80"/>
    <w:lvl w:ilvl="0" w:tplc="03BC9F9A">
      <w:start w:val="2"/>
      <w:numFmt w:val="upperLetter"/>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59449E"/>
    <w:multiLevelType w:val="hybridMultilevel"/>
    <w:tmpl w:val="F88E0930"/>
    <w:lvl w:ilvl="0" w:tplc="C4FCAFF0">
      <w:start w:val="1"/>
      <w:numFmt w:val="upperLetter"/>
      <w:lvlText w:val="%1."/>
      <w:lvlJc w:val="left"/>
      <w:pPr>
        <w:ind w:left="472" w:hanging="353"/>
      </w:pPr>
      <w:rPr>
        <w:rFonts w:ascii="Times New Roman" w:eastAsia="Times New Roman" w:hAnsi="Times New Roman" w:hint="default"/>
        <w:b w:val="0"/>
        <w:bCs/>
        <w:spacing w:val="-1"/>
        <w:sz w:val="24"/>
        <w:szCs w:val="24"/>
      </w:rPr>
    </w:lvl>
    <w:lvl w:ilvl="1" w:tplc="7B24A8AC">
      <w:start w:val="1"/>
      <w:numFmt w:val="decimal"/>
      <w:lvlText w:val="%2."/>
      <w:lvlJc w:val="left"/>
      <w:pPr>
        <w:ind w:left="120" w:hanging="300"/>
        <w:jc w:val="right"/>
      </w:pPr>
      <w:rPr>
        <w:rFonts w:ascii="Times New Roman" w:eastAsia="Times New Roman" w:hAnsi="Times New Roman" w:hint="default"/>
        <w:b/>
        <w:bCs/>
        <w:sz w:val="24"/>
        <w:szCs w:val="24"/>
      </w:rPr>
    </w:lvl>
    <w:lvl w:ilvl="2" w:tplc="64AA238E">
      <w:start w:val="1"/>
      <w:numFmt w:val="bullet"/>
      <w:lvlText w:val="◆"/>
      <w:lvlJc w:val="left"/>
      <w:pPr>
        <w:ind w:left="840" w:hanging="360"/>
      </w:pPr>
      <w:rPr>
        <w:rFonts w:ascii="Times New Roman" w:eastAsia="Times New Roman" w:hAnsi="Times New Roman" w:hint="default"/>
        <w:w w:val="51"/>
        <w:sz w:val="24"/>
        <w:szCs w:val="24"/>
      </w:rPr>
    </w:lvl>
    <w:lvl w:ilvl="3" w:tplc="637034F0">
      <w:start w:val="1"/>
      <w:numFmt w:val="bullet"/>
      <w:lvlText w:val="•"/>
      <w:lvlJc w:val="left"/>
      <w:pPr>
        <w:ind w:left="840" w:hanging="360"/>
      </w:pPr>
      <w:rPr>
        <w:rFonts w:hint="default"/>
      </w:rPr>
    </w:lvl>
    <w:lvl w:ilvl="4" w:tplc="3E4426CC">
      <w:start w:val="1"/>
      <w:numFmt w:val="bullet"/>
      <w:lvlText w:val="•"/>
      <w:lvlJc w:val="left"/>
      <w:pPr>
        <w:ind w:left="2080" w:hanging="360"/>
      </w:pPr>
      <w:rPr>
        <w:rFonts w:hint="default"/>
      </w:rPr>
    </w:lvl>
    <w:lvl w:ilvl="5" w:tplc="A9A240E6">
      <w:start w:val="1"/>
      <w:numFmt w:val="bullet"/>
      <w:lvlText w:val="•"/>
      <w:lvlJc w:val="left"/>
      <w:pPr>
        <w:ind w:left="3320" w:hanging="360"/>
      </w:pPr>
      <w:rPr>
        <w:rFonts w:hint="default"/>
      </w:rPr>
    </w:lvl>
    <w:lvl w:ilvl="6" w:tplc="32E61D66">
      <w:start w:val="1"/>
      <w:numFmt w:val="bullet"/>
      <w:lvlText w:val="•"/>
      <w:lvlJc w:val="left"/>
      <w:pPr>
        <w:ind w:left="4560" w:hanging="360"/>
      </w:pPr>
      <w:rPr>
        <w:rFonts w:hint="default"/>
      </w:rPr>
    </w:lvl>
    <w:lvl w:ilvl="7" w:tplc="3228782A">
      <w:start w:val="1"/>
      <w:numFmt w:val="bullet"/>
      <w:lvlText w:val="•"/>
      <w:lvlJc w:val="left"/>
      <w:pPr>
        <w:ind w:left="5800" w:hanging="360"/>
      </w:pPr>
      <w:rPr>
        <w:rFonts w:hint="default"/>
      </w:rPr>
    </w:lvl>
    <w:lvl w:ilvl="8" w:tplc="599E846A">
      <w:start w:val="1"/>
      <w:numFmt w:val="bullet"/>
      <w:lvlText w:val="•"/>
      <w:lvlJc w:val="left"/>
      <w:pPr>
        <w:ind w:left="70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EA4"/>
    <w:rsid w:val="008312AA"/>
    <w:rsid w:val="00A5195D"/>
    <w:rsid w:val="00C90205"/>
    <w:rsid w:val="00D56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56EA4"/>
    <w:pPr>
      <w:widowControl w:val="0"/>
      <w:spacing w:after="0" w:line="240" w:lineRule="auto"/>
    </w:pPr>
  </w:style>
  <w:style w:type="paragraph" w:styleId="Heading3">
    <w:name w:val="heading 3"/>
    <w:basedOn w:val="Normal"/>
    <w:link w:val="Heading3Char"/>
    <w:uiPriority w:val="1"/>
    <w:qFormat/>
    <w:rsid w:val="00D56EA4"/>
    <w:pPr>
      <w:ind w:left="120"/>
      <w:outlineLvl w:val="2"/>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D56EA4"/>
    <w:rPr>
      <w:rFonts w:ascii="Times New Roman" w:eastAsia="Times New Roman" w:hAnsi="Times New Roman"/>
      <w:b/>
      <w:bCs/>
      <w:sz w:val="24"/>
      <w:szCs w:val="24"/>
      <w:u w:val="single"/>
    </w:rPr>
  </w:style>
  <w:style w:type="paragraph" w:styleId="BodyText">
    <w:name w:val="Body Text"/>
    <w:basedOn w:val="Normal"/>
    <w:link w:val="BodyTextChar"/>
    <w:uiPriority w:val="1"/>
    <w:qFormat/>
    <w:rsid w:val="00D56EA4"/>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D56EA4"/>
    <w:rPr>
      <w:rFonts w:ascii="Times New Roman" w:eastAsia="Times New Roman" w:hAnsi="Times New Roman"/>
      <w:sz w:val="24"/>
      <w:szCs w:val="24"/>
    </w:rPr>
  </w:style>
  <w:style w:type="paragraph" w:customStyle="1" w:styleId="TableParagraph">
    <w:name w:val="Table Paragraph"/>
    <w:basedOn w:val="Normal"/>
    <w:uiPriority w:val="1"/>
    <w:qFormat/>
    <w:rsid w:val="00D56EA4"/>
  </w:style>
  <w:style w:type="character" w:styleId="Hyperlink">
    <w:name w:val="Hyperlink"/>
    <w:basedOn w:val="DefaultParagraphFont"/>
    <w:uiPriority w:val="99"/>
    <w:unhideWhenUsed/>
    <w:rsid w:val="00D56EA4"/>
    <w:rPr>
      <w:color w:val="0000FF" w:themeColor="hyperlink"/>
      <w:u w:val="single"/>
    </w:rPr>
  </w:style>
  <w:style w:type="paragraph" w:styleId="Header">
    <w:name w:val="header"/>
    <w:basedOn w:val="Normal"/>
    <w:link w:val="HeaderChar"/>
    <w:uiPriority w:val="99"/>
    <w:unhideWhenUsed/>
    <w:rsid w:val="00D56EA4"/>
    <w:pPr>
      <w:tabs>
        <w:tab w:val="center" w:pos="4680"/>
        <w:tab w:val="right" w:pos="9360"/>
      </w:tabs>
    </w:pPr>
  </w:style>
  <w:style w:type="character" w:customStyle="1" w:styleId="HeaderChar">
    <w:name w:val="Header Char"/>
    <w:basedOn w:val="DefaultParagraphFont"/>
    <w:link w:val="Header"/>
    <w:uiPriority w:val="99"/>
    <w:rsid w:val="00D56EA4"/>
  </w:style>
  <w:style w:type="paragraph" w:styleId="Footer">
    <w:name w:val="footer"/>
    <w:basedOn w:val="Normal"/>
    <w:link w:val="FooterChar"/>
    <w:uiPriority w:val="99"/>
    <w:unhideWhenUsed/>
    <w:rsid w:val="00D56EA4"/>
    <w:pPr>
      <w:tabs>
        <w:tab w:val="center" w:pos="4680"/>
        <w:tab w:val="right" w:pos="9360"/>
      </w:tabs>
    </w:pPr>
  </w:style>
  <w:style w:type="character" w:customStyle="1" w:styleId="FooterChar">
    <w:name w:val="Footer Char"/>
    <w:basedOn w:val="DefaultParagraphFont"/>
    <w:link w:val="Footer"/>
    <w:uiPriority w:val="99"/>
    <w:rsid w:val="00D56E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56EA4"/>
    <w:pPr>
      <w:widowControl w:val="0"/>
      <w:spacing w:after="0" w:line="240" w:lineRule="auto"/>
    </w:pPr>
  </w:style>
  <w:style w:type="paragraph" w:styleId="Heading3">
    <w:name w:val="heading 3"/>
    <w:basedOn w:val="Normal"/>
    <w:link w:val="Heading3Char"/>
    <w:uiPriority w:val="1"/>
    <w:qFormat/>
    <w:rsid w:val="00D56EA4"/>
    <w:pPr>
      <w:ind w:left="120"/>
      <w:outlineLvl w:val="2"/>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D56EA4"/>
    <w:rPr>
      <w:rFonts w:ascii="Times New Roman" w:eastAsia="Times New Roman" w:hAnsi="Times New Roman"/>
      <w:b/>
      <w:bCs/>
      <w:sz w:val="24"/>
      <w:szCs w:val="24"/>
      <w:u w:val="single"/>
    </w:rPr>
  </w:style>
  <w:style w:type="paragraph" w:styleId="BodyText">
    <w:name w:val="Body Text"/>
    <w:basedOn w:val="Normal"/>
    <w:link w:val="BodyTextChar"/>
    <w:uiPriority w:val="1"/>
    <w:qFormat/>
    <w:rsid w:val="00D56EA4"/>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D56EA4"/>
    <w:rPr>
      <w:rFonts w:ascii="Times New Roman" w:eastAsia="Times New Roman" w:hAnsi="Times New Roman"/>
      <w:sz w:val="24"/>
      <w:szCs w:val="24"/>
    </w:rPr>
  </w:style>
  <w:style w:type="paragraph" w:customStyle="1" w:styleId="TableParagraph">
    <w:name w:val="Table Paragraph"/>
    <w:basedOn w:val="Normal"/>
    <w:uiPriority w:val="1"/>
    <w:qFormat/>
    <w:rsid w:val="00D56EA4"/>
  </w:style>
  <w:style w:type="character" w:styleId="Hyperlink">
    <w:name w:val="Hyperlink"/>
    <w:basedOn w:val="DefaultParagraphFont"/>
    <w:uiPriority w:val="99"/>
    <w:unhideWhenUsed/>
    <w:rsid w:val="00D56EA4"/>
    <w:rPr>
      <w:color w:val="0000FF" w:themeColor="hyperlink"/>
      <w:u w:val="single"/>
    </w:rPr>
  </w:style>
  <w:style w:type="paragraph" w:styleId="Header">
    <w:name w:val="header"/>
    <w:basedOn w:val="Normal"/>
    <w:link w:val="HeaderChar"/>
    <w:uiPriority w:val="99"/>
    <w:unhideWhenUsed/>
    <w:rsid w:val="00D56EA4"/>
    <w:pPr>
      <w:tabs>
        <w:tab w:val="center" w:pos="4680"/>
        <w:tab w:val="right" w:pos="9360"/>
      </w:tabs>
    </w:pPr>
  </w:style>
  <w:style w:type="character" w:customStyle="1" w:styleId="HeaderChar">
    <w:name w:val="Header Char"/>
    <w:basedOn w:val="DefaultParagraphFont"/>
    <w:link w:val="Header"/>
    <w:uiPriority w:val="99"/>
    <w:rsid w:val="00D56EA4"/>
  </w:style>
  <w:style w:type="paragraph" w:styleId="Footer">
    <w:name w:val="footer"/>
    <w:basedOn w:val="Normal"/>
    <w:link w:val="FooterChar"/>
    <w:uiPriority w:val="99"/>
    <w:unhideWhenUsed/>
    <w:rsid w:val="00D56EA4"/>
    <w:pPr>
      <w:tabs>
        <w:tab w:val="center" w:pos="4680"/>
        <w:tab w:val="right" w:pos="9360"/>
      </w:tabs>
    </w:pPr>
  </w:style>
  <w:style w:type="character" w:customStyle="1" w:styleId="FooterChar">
    <w:name w:val="Footer Char"/>
    <w:basedOn w:val="DefaultParagraphFont"/>
    <w:link w:val="Footer"/>
    <w:uiPriority w:val="99"/>
    <w:rsid w:val="00D56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cy.buck@noaa.gov" TargetMode="External"/><Relationship Id="rId5" Type="http://schemas.openxmlformats.org/officeDocument/2006/relationships/settings" Target="settings.xml"/><Relationship Id="rId10" Type="http://schemas.openxmlformats.org/officeDocument/2006/relationships/hyperlink" Target="mailto:edr@psmfc.org" TargetMode="External"/><Relationship Id="rId4" Type="http://schemas.microsoft.com/office/2007/relationships/stylesWithEffects" Target="stylesWithEffects.xml"/><Relationship Id="rId9" Type="http://schemas.openxmlformats.org/officeDocument/2006/relationships/hyperlink" Target="mailto:Brian.Garber-yonts@noa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A5DCD-E2A3-4FC5-9577-BEBB94828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971</Words>
  <Characters>5536</Characters>
  <Application>Microsoft Office Word</Application>
  <DocSecurity>0</DocSecurity>
  <Lines>46</Lines>
  <Paragraphs>12</Paragraphs>
  <ScaleCrop>false</ScaleCrop>
  <Company>NOAA</Company>
  <LinksUpToDate>false</LinksUpToDate>
  <CharactersWithSpaces>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2017-10-23T17:12:00Z</dcterms:created>
  <dcterms:modified xsi:type="dcterms:W3CDTF">2017-10-23T17:12:00Z</dcterms:modified>
</cp:coreProperties>
</file>