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ADC" w:rsidRDefault="001C0ADC">
      <w:pPr>
        <w:jc w:val="center"/>
        <w:rPr>
          <w:rFonts w:ascii="Times New Roman" w:hAnsi="Times New Roman"/>
          <w:szCs w:val="24"/>
        </w:rPr>
      </w:pPr>
      <w:bookmarkStart w:id="0" w:name="_GoBack"/>
      <w:bookmarkEnd w:id="0"/>
      <w:r>
        <w:rPr>
          <w:rFonts w:ascii="Times New Roman" w:hAnsi="Times New Roman"/>
          <w:szCs w:val="24"/>
        </w:rPr>
        <w:t>Department of Commerce</w:t>
      </w:r>
    </w:p>
    <w:p w:rsidR="001C0ADC" w:rsidRDefault="0016662A">
      <w:pPr>
        <w:jc w:val="center"/>
        <w:rPr>
          <w:rFonts w:ascii="Times New Roman" w:hAnsi="Times New Roman"/>
          <w:szCs w:val="24"/>
        </w:rPr>
      </w:pPr>
      <w:r>
        <w:rPr>
          <w:rFonts w:ascii="Times New Roman" w:hAnsi="Times New Roman"/>
          <w:szCs w:val="24"/>
        </w:rPr>
        <w:t>United States</w:t>
      </w:r>
      <w:r w:rsidR="001C0ADC">
        <w:rPr>
          <w:rFonts w:ascii="Times New Roman" w:hAnsi="Times New Roman"/>
          <w:szCs w:val="24"/>
        </w:rPr>
        <w:t xml:space="preserve"> Census Bureau</w:t>
      </w:r>
    </w:p>
    <w:p w:rsidR="0016662A" w:rsidRDefault="0016662A">
      <w:pPr>
        <w:jc w:val="center"/>
        <w:rPr>
          <w:rFonts w:ascii="Times New Roman" w:hAnsi="Times New Roman"/>
          <w:szCs w:val="24"/>
        </w:rPr>
      </w:pPr>
      <w:r>
        <w:rPr>
          <w:rFonts w:ascii="Times New Roman" w:hAnsi="Times New Roman"/>
          <w:szCs w:val="24"/>
        </w:rPr>
        <w:t>OMB Information Collection Request</w:t>
      </w:r>
    </w:p>
    <w:p w:rsidR="0016662A" w:rsidRDefault="001C0ADC" w:rsidP="0016662A">
      <w:pPr>
        <w:jc w:val="center"/>
        <w:rPr>
          <w:rFonts w:ascii="Times New Roman" w:hAnsi="Times New Roman"/>
          <w:szCs w:val="24"/>
        </w:rPr>
      </w:pPr>
      <w:r>
        <w:rPr>
          <w:rFonts w:ascii="Times New Roman" w:hAnsi="Times New Roman"/>
          <w:szCs w:val="24"/>
        </w:rPr>
        <w:t>2017 Economic Census</w:t>
      </w:r>
    </w:p>
    <w:p w:rsidR="001C0ADC" w:rsidRPr="00864F84" w:rsidRDefault="00CA5749">
      <w:pPr>
        <w:jc w:val="center"/>
        <w:rPr>
          <w:rFonts w:ascii="Times New Roman" w:hAnsi="Times New Roman"/>
          <w:szCs w:val="24"/>
        </w:rPr>
      </w:pPr>
      <w:r>
        <w:rPr>
          <w:rFonts w:ascii="Times New Roman" w:hAnsi="Times New Roman"/>
          <w:szCs w:val="24"/>
        </w:rPr>
        <w:t>OMB Control Number 0607-0998</w:t>
      </w: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pPr>
      <w:r w:rsidRPr="00864F84">
        <w:rPr>
          <w:rFonts w:ascii="Times New Roman" w:hAnsi="Times New Roman"/>
          <w:szCs w:val="24"/>
        </w:rPr>
        <w:t>Part B.  Collections of Information Employing Statistical Methods</w:t>
      </w:r>
    </w:p>
    <w:p w:rsidR="00064DC1" w:rsidRPr="00864F84" w:rsidRDefault="00064DC1" w:rsidP="00B43287">
      <w:pPr>
        <w:tabs>
          <w:tab w:val="left" w:pos="-1440"/>
        </w:tabs>
        <w:rPr>
          <w:rFonts w:ascii="Times New Roman" w:hAnsi="Times New Roman"/>
          <w:szCs w:val="24"/>
        </w:rPr>
      </w:pPr>
    </w:p>
    <w:p w:rsidR="00CA73D8" w:rsidRPr="00864F84" w:rsidRDefault="00914CFF" w:rsidP="00891FB7">
      <w:pPr>
        <w:tabs>
          <w:tab w:val="left" w:pos="-1440"/>
        </w:tabs>
        <w:ind w:left="360" w:hanging="360"/>
        <w:rPr>
          <w:rFonts w:ascii="Times New Roman" w:hAnsi="Times New Roman"/>
          <w:szCs w:val="24"/>
        </w:rPr>
      </w:pPr>
      <w:r w:rsidRPr="00864F84">
        <w:rPr>
          <w:rFonts w:ascii="Times New Roman" w:hAnsi="Times New Roman"/>
          <w:szCs w:val="24"/>
        </w:rPr>
        <w:t>1</w:t>
      </w:r>
      <w:r w:rsidR="00CA73D8" w:rsidRPr="00864F84">
        <w:rPr>
          <w:rFonts w:ascii="Times New Roman" w:hAnsi="Times New Roman"/>
          <w:szCs w:val="24"/>
        </w:rPr>
        <w:t>.</w:t>
      </w:r>
      <w:r w:rsidR="00CA73D8" w:rsidRPr="00864F84">
        <w:rPr>
          <w:rFonts w:ascii="Times New Roman" w:hAnsi="Times New Roman"/>
          <w:szCs w:val="24"/>
        </w:rPr>
        <w:tab/>
      </w:r>
      <w:r w:rsidR="000E79B3" w:rsidRPr="00864F84">
        <w:rPr>
          <w:rFonts w:ascii="Times New Roman" w:hAnsi="Times New Roman"/>
          <w:b/>
          <w:szCs w:val="24"/>
        </w:rPr>
        <w:t>Universe and Respondent Selection</w:t>
      </w:r>
      <w:r w:rsidR="00CA73D8" w:rsidRPr="00864F84">
        <w:rPr>
          <w:rFonts w:ascii="Times New Roman" w:hAnsi="Times New Roman"/>
          <w:szCs w:val="24"/>
        </w:rPr>
        <w:t xml:space="preserve"> </w:t>
      </w: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sectPr w:rsidR="00CA73D8" w:rsidRPr="00864F84" w:rsidSect="00041B4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titlePg/>
          <w:docGrid w:linePitch="326"/>
        </w:sectPr>
      </w:pPr>
    </w:p>
    <w:p w:rsidR="00214719" w:rsidRPr="0067795B" w:rsidRDefault="00CA73D8" w:rsidP="0067795B">
      <w:pPr>
        <w:ind w:left="360"/>
        <w:rPr>
          <w:rFonts w:ascii="Times New Roman" w:hAnsi="Times New Roman"/>
        </w:rPr>
      </w:pPr>
      <w:r w:rsidRPr="0067795B">
        <w:rPr>
          <w:rFonts w:ascii="Times New Roman" w:hAnsi="Times New Roman"/>
        </w:rPr>
        <w:lastRenderedPageBreak/>
        <w:t>The 20</w:t>
      </w:r>
      <w:r w:rsidR="00037E35" w:rsidRPr="0067795B">
        <w:rPr>
          <w:rFonts w:ascii="Times New Roman" w:hAnsi="Times New Roman"/>
        </w:rPr>
        <w:t>1</w:t>
      </w:r>
      <w:r w:rsidR="003834C8" w:rsidRPr="0067795B">
        <w:rPr>
          <w:rFonts w:ascii="Times New Roman" w:hAnsi="Times New Roman"/>
        </w:rPr>
        <w:t>7</w:t>
      </w:r>
      <w:r w:rsidRPr="0067795B">
        <w:rPr>
          <w:rFonts w:ascii="Times New Roman" w:hAnsi="Times New Roman"/>
        </w:rPr>
        <w:t xml:space="preserve"> Economic Census </w:t>
      </w:r>
      <w:r w:rsidR="009A7157" w:rsidRPr="0067795B">
        <w:rPr>
          <w:rFonts w:ascii="Times New Roman" w:hAnsi="Times New Roman"/>
        </w:rPr>
        <w:t>covers 18</w:t>
      </w:r>
      <w:r w:rsidR="00214719" w:rsidRPr="0067795B">
        <w:rPr>
          <w:rFonts w:ascii="Times New Roman" w:hAnsi="Times New Roman"/>
        </w:rPr>
        <w:t xml:space="preserve"> </w:t>
      </w:r>
      <w:r w:rsidR="007D1106" w:rsidRPr="0067795B">
        <w:rPr>
          <w:rFonts w:ascii="Times New Roman" w:hAnsi="Times New Roman"/>
        </w:rPr>
        <w:t>North American Industry Classification System (</w:t>
      </w:r>
      <w:r w:rsidR="00214719" w:rsidRPr="0067795B">
        <w:rPr>
          <w:rFonts w:ascii="Times New Roman" w:hAnsi="Times New Roman"/>
        </w:rPr>
        <w:t>NAICS</w:t>
      </w:r>
      <w:r w:rsidR="007D1106" w:rsidRPr="0067795B">
        <w:rPr>
          <w:rFonts w:ascii="Times New Roman" w:hAnsi="Times New Roman"/>
        </w:rPr>
        <w:t>)</w:t>
      </w:r>
      <w:r w:rsidR="00214719" w:rsidRPr="0067795B">
        <w:rPr>
          <w:rFonts w:ascii="Times New Roman" w:hAnsi="Times New Roman"/>
        </w:rPr>
        <w:t xml:space="preserve"> sectors and is a complete enumeration of </w:t>
      </w:r>
      <w:r w:rsidR="001537DB" w:rsidRPr="0067795B">
        <w:rPr>
          <w:rFonts w:ascii="Times New Roman" w:hAnsi="Times New Roman"/>
        </w:rPr>
        <w:t xml:space="preserve">business </w:t>
      </w:r>
      <w:r w:rsidR="00214719" w:rsidRPr="0067795B">
        <w:rPr>
          <w:rFonts w:ascii="Times New Roman" w:hAnsi="Times New Roman"/>
        </w:rPr>
        <w:t xml:space="preserve">establishments </w:t>
      </w:r>
      <w:r w:rsidR="005F24C4" w:rsidRPr="0067795B">
        <w:rPr>
          <w:rFonts w:ascii="Times New Roman" w:hAnsi="Times New Roman"/>
        </w:rPr>
        <w:t xml:space="preserve">located in the 50 states, </w:t>
      </w:r>
      <w:r w:rsidR="00214719" w:rsidRPr="0067795B">
        <w:rPr>
          <w:rFonts w:ascii="Times New Roman" w:hAnsi="Times New Roman"/>
        </w:rPr>
        <w:t>the District of Columbia</w:t>
      </w:r>
      <w:r w:rsidR="005F24C4" w:rsidRPr="0067795B">
        <w:rPr>
          <w:rFonts w:ascii="Times New Roman" w:hAnsi="Times New Roman"/>
        </w:rPr>
        <w:t>, and associated offshore areas</w:t>
      </w:r>
      <w:r w:rsidR="00214719" w:rsidRPr="0067795B">
        <w:rPr>
          <w:rFonts w:ascii="Times New Roman" w:hAnsi="Times New Roman"/>
        </w:rPr>
        <w:t xml:space="preserve"> with one or more paid or leased employee </w:t>
      </w:r>
      <w:r w:rsidR="009A7157" w:rsidRPr="0067795B">
        <w:rPr>
          <w:rFonts w:ascii="Times New Roman" w:hAnsi="Times New Roman"/>
        </w:rPr>
        <w:t>(based on</w:t>
      </w:r>
      <w:r w:rsidR="00214719" w:rsidRPr="0067795B">
        <w:rPr>
          <w:rFonts w:ascii="Times New Roman" w:hAnsi="Times New Roman"/>
        </w:rPr>
        <w:t xml:space="preserve"> IRS Form 941</w:t>
      </w:r>
      <w:r w:rsidR="009A7157" w:rsidRPr="0067795B">
        <w:rPr>
          <w:rFonts w:ascii="Times New Roman" w:hAnsi="Times New Roman"/>
        </w:rPr>
        <w:t xml:space="preserve"> data)</w:t>
      </w:r>
      <w:r w:rsidR="00214719" w:rsidRPr="0067795B">
        <w:rPr>
          <w:rFonts w:ascii="Times New Roman" w:hAnsi="Times New Roman"/>
        </w:rPr>
        <w:t xml:space="preserve">. Data are either collected </w:t>
      </w:r>
      <w:r w:rsidR="009A7157" w:rsidRPr="0067795B">
        <w:rPr>
          <w:rFonts w:ascii="Times New Roman" w:hAnsi="Times New Roman"/>
        </w:rPr>
        <w:t xml:space="preserve">directly </w:t>
      </w:r>
      <w:r w:rsidR="00214719" w:rsidRPr="0067795B">
        <w:rPr>
          <w:rFonts w:ascii="Times New Roman" w:hAnsi="Times New Roman"/>
        </w:rPr>
        <w:t xml:space="preserve">from the establishments or </w:t>
      </w:r>
      <w:r w:rsidR="001C57B6" w:rsidRPr="0067795B">
        <w:rPr>
          <w:rFonts w:ascii="Times New Roman" w:hAnsi="Times New Roman"/>
        </w:rPr>
        <w:t>obtained</w:t>
      </w:r>
      <w:r w:rsidR="00214719" w:rsidRPr="0067795B">
        <w:rPr>
          <w:rFonts w:ascii="Times New Roman" w:hAnsi="Times New Roman"/>
        </w:rPr>
        <w:t xml:space="preserve"> </w:t>
      </w:r>
      <w:r w:rsidR="00B51802" w:rsidRPr="0067795B">
        <w:rPr>
          <w:rFonts w:ascii="Times New Roman" w:hAnsi="Times New Roman"/>
        </w:rPr>
        <w:t>from</w:t>
      </w:r>
      <w:r w:rsidR="00214719" w:rsidRPr="0067795B">
        <w:rPr>
          <w:rFonts w:ascii="Times New Roman" w:hAnsi="Times New Roman"/>
        </w:rPr>
        <w:t xml:space="preserve"> administrative information reported to other federal agencies</w:t>
      </w:r>
      <w:r w:rsidR="00214719" w:rsidRPr="0079531C">
        <w:rPr>
          <w:rFonts w:ascii="Times New Roman" w:hAnsi="Times New Roman"/>
        </w:rPr>
        <w:t>.</w:t>
      </w:r>
      <w:r w:rsidR="00261593" w:rsidRPr="0079531C">
        <w:rPr>
          <w:rFonts w:ascii="Times New Roman" w:hAnsi="Times New Roman"/>
        </w:rPr>
        <w:t xml:space="preserve">  T</w:t>
      </w:r>
      <w:r w:rsidR="00191B57" w:rsidRPr="0079531C">
        <w:rPr>
          <w:rFonts w:ascii="Times New Roman" w:hAnsi="Times New Roman"/>
        </w:rPr>
        <w:t>able 1</w:t>
      </w:r>
      <w:r w:rsidR="00261593" w:rsidRPr="0079531C">
        <w:rPr>
          <w:rFonts w:ascii="Times New Roman" w:hAnsi="Times New Roman"/>
        </w:rPr>
        <w:t xml:space="preserve"> below</w:t>
      </w:r>
      <w:r w:rsidR="00261593" w:rsidRPr="0067795B">
        <w:rPr>
          <w:rFonts w:ascii="Times New Roman" w:hAnsi="Times New Roman"/>
        </w:rPr>
        <w:t xml:space="preserve"> shows the sectors covered, the size of the establishment universe as tabulated in the 2012 Economic Census</w:t>
      </w:r>
      <w:r w:rsidR="00B51802" w:rsidRPr="0067795B">
        <w:rPr>
          <w:rFonts w:ascii="Times New Roman" w:hAnsi="Times New Roman"/>
        </w:rPr>
        <w:t>,</w:t>
      </w:r>
      <w:r w:rsidR="00261593" w:rsidRPr="0067795B">
        <w:rPr>
          <w:rFonts w:ascii="Times New Roman" w:hAnsi="Times New Roman"/>
        </w:rPr>
        <w:t xml:space="preserve"> and the </w:t>
      </w:r>
      <w:r w:rsidR="00BA0F7C" w:rsidRPr="0067795B">
        <w:rPr>
          <w:rFonts w:ascii="Times New Roman" w:hAnsi="Times New Roman"/>
        </w:rPr>
        <w:t>estimated universe</w:t>
      </w:r>
      <w:r w:rsidR="00261593" w:rsidRPr="0067795B">
        <w:rPr>
          <w:rFonts w:ascii="Times New Roman" w:hAnsi="Times New Roman"/>
        </w:rPr>
        <w:t xml:space="preserve"> size for 2017.</w:t>
      </w:r>
    </w:p>
    <w:p w:rsidR="00261593" w:rsidRPr="00864F84" w:rsidRDefault="00261593">
      <w:pPr>
        <w:ind w:left="720"/>
        <w:rPr>
          <w:rFonts w:ascii="Times New Roman" w:hAnsi="Times New Roman"/>
          <w:sz w:val="20"/>
        </w:rPr>
      </w:pPr>
    </w:p>
    <w:p w:rsidR="006E2684" w:rsidRPr="00864F84" w:rsidRDefault="006E2684" w:rsidP="00891FB7">
      <w:pPr>
        <w:ind w:left="360"/>
        <w:rPr>
          <w:rFonts w:ascii="Times New Roman" w:hAnsi="Times New Roman"/>
          <w:b/>
          <w:sz w:val="22"/>
          <w:szCs w:val="22"/>
        </w:rPr>
      </w:pPr>
      <w:r w:rsidRPr="00864F84">
        <w:rPr>
          <w:rFonts w:ascii="Times New Roman" w:hAnsi="Times New Roman"/>
          <w:b/>
          <w:sz w:val="22"/>
          <w:szCs w:val="22"/>
        </w:rPr>
        <w:t>Table 1: Economic Census Universe Sizes (2012 Actual &amp; 2017 Estimated)</w:t>
      </w:r>
    </w:p>
    <w:tbl>
      <w:tblPr>
        <w:tblStyle w:val="TableGrid"/>
        <w:tblW w:w="9450" w:type="dxa"/>
        <w:tblInd w:w="468" w:type="dxa"/>
        <w:shd w:val="clear" w:color="auto" w:fill="F2F2F2" w:themeFill="background1" w:themeFillShade="F2"/>
        <w:tblLayout w:type="fixed"/>
        <w:tblLook w:val="04A0" w:firstRow="1" w:lastRow="0" w:firstColumn="1" w:lastColumn="0" w:noHBand="0" w:noVBand="1"/>
      </w:tblPr>
      <w:tblGrid>
        <w:gridCol w:w="1170"/>
        <w:gridCol w:w="4410"/>
        <w:gridCol w:w="1890"/>
        <w:gridCol w:w="1980"/>
      </w:tblGrid>
      <w:tr w:rsidR="00C124A0" w:rsidRPr="00C124A0" w:rsidTr="005B11B1">
        <w:tc>
          <w:tcPr>
            <w:tcW w:w="1170" w:type="dxa"/>
            <w:vMerge w:val="restart"/>
            <w:shd w:val="clear" w:color="auto" w:fill="F2F2F2" w:themeFill="background1" w:themeFillShade="F2"/>
            <w:vAlign w:val="center"/>
          </w:tcPr>
          <w:p w:rsidR="00C124A0" w:rsidRPr="00C124A0" w:rsidRDefault="00C124A0" w:rsidP="00976417">
            <w:pPr>
              <w:tabs>
                <w:tab w:val="left" w:pos="1080"/>
              </w:tabs>
              <w:rPr>
                <w:rFonts w:ascii="Times New Roman" w:hAnsi="Times New Roman"/>
                <w:b/>
                <w:sz w:val="20"/>
              </w:rPr>
            </w:pPr>
            <w:r w:rsidRPr="00C124A0">
              <w:rPr>
                <w:rFonts w:ascii="Times New Roman" w:hAnsi="Times New Roman"/>
                <w:b/>
                <w:sz w:val="20"/>
              </w:rPr>
              <w:t>Sector</w:t>
            </w:r>
          </w:p>
        </w:tc>
        <w:tc>
          <w:tcPr>
            <w:tcW w:w="4410" w:type="dxa"/>
            <w:vMerge w:val="restart"/>
            <w:shd w:val="clear" w:color="auto" w:fill="F2F2F2" w:themeFill="background1" w:themeFillShade="F2"/>
            <w:vAlign w:val="center"/>
          </w:tcPr>
          <w:p w:rsidR="00C124A0" w:rsidRPr="00C124A0" w:rsidRDefault="00DA17DE" w:rsidP="00976417">
            <w:pPr>
              <w:tabs>
                <w:tab w:val="left" w:pos="1080"/>
              </w:tabs>
              <w:rPr>
                <w:rFonts w:ascii="Times New Roman" w:hAnsi="Times New Roman"/>
                <w:b/>
                <w:sz w:val="20"/>
              </w:rPr>
            </w:pPr>
            <w:r>
              <w:rPr>
                <w:rFonts w:ascii="Times New Roman" w:hAnsi="Times New Roman"/>
                <w:b/>
                <w:sz w:val="20"/>
              </w:rPr>
              <w:t xml:space="preserve">North American Industry Classification System (NAICS) </w:t>
            </w:r>
            <w:r w:rsidR="00C124A0" w:rsidRPr="00C124A0">
              <w:rPr>
                <w:rFonts w:ascii="Times New Roman" w:hAnsi="Times New Roman"/>
                <w:b/>
                <w:sz w:val="20"/>
              </w:rPr>
              <w:t>Description 2012</w:t>
            </w:r>
          </w:p>
        </w:tc>
        <w:tc>
          <w:tcPr>
            <w:tcW w:w="3870" w:type="dxa"/>
            <w:gridSpan w:val="2"/>
            <w:tcBorders>
              <w:bottom w:val="single" w:sz="4" w:space="0" w:color="auto"/>
            </w:tcBorders>
            <w:shd w:val="clear" w:color="auto" w:fill="F2F2F2" w:themeFill="background1" w:themeFillShade="F2"/>
          </w:tcPr>
          <w:p w:rsidR="00C124A0" w:rsidRPr="00C124A0" w:rsidRDefault="00263A51" w:rsidP="00C124A0">
            <w:pPr>
              <w:tabs>
                <w:tab w:val="left" w:pos="1080"/>
              </w:tabs>
              <w:ind w:left="720" w:hanging="360"/>
              <w:rPr>
                <w:rFonts w:ascii="Times New Roman" w:hAnsi="Times New Roman"/>
                <w:b/>
                <w:sz w:val="20"/>
              </w:rPr>
            </w:pPr>
            <w:r>
              <w:rPr>
                <w:rFonts w:ascii="Times New Roman" w:hAnsi="Times New Roman"/>
                <w:b/>
                <w:sz w:val="20"/>
              </w:rPr>
              <w:t xml:space="preserve">           </w:t>
            </w:r>
            <w:r w:rsidR="00C124A0" w:rsidRPr="00C124A0">
              <w:rPr>
                <w:rFonts w:ascii="Times New Roman" w:hAnsi="Times New Roman"/>
                <w:b/>
                <w:sz w:val="20"/>
              </w:rPr>
              <w:t>Establishment Counts</w:t>
            </w:r>
          </w:p>
        </w:tc>
      </w:tr>
      <w:tr w:rsidR="00C63217" w:rsidRPr="00C124A0" w:rsidTr="005B11B1">
        <w:tc>
          <w:tcPr>
            <w:tcW w:w="1170" w:type="dxa"/>
            <w:vMerge/>
            <w:tcBorders>
              <w:bottom w:val="double" w:sz="4" w:space="0" w:color="auto"/>
            </w:tcBorders>
            <w:shd w:val="clear" w:color="auto" w:fill="F2F2F2" w:themeFill="background1" w:themeFillShade="F2"/>
          </w:tcPr>
          <w:p w:rsidR="00C124A0" w:rsidRPr="00C124A0" w:rsidRDefault="00C124A0" w:rsidP="00C124A0">
            <w:pPr>
              <w:tabs>
                <w:tab w:val="left" w:pos="1080"/>
              </w:tabs>
              <w:ind w:left="720" w:hanging="360"/>
              <w:rPr>
                <w:rFonts w:ascii="Times New Roman" w:hAnsi="Times New Roman"/>
                <w:b/>
                <w:sz w:val="20"/>
              </w:rPr>
            </w:pPr>
          </w:p>
        </w:tc>
        <w:tc>
          <w:tcPr>
            <w:tcW w:w="4410" w:type="dxa"/>
            <w:vMerge/>
            <w:tcBorders>
              <w:bottom w:val="double" w:sz="4" w:space="0" w:color="auto"/>
            </w:tcBorders>
            <w:shd w:val="clear" w:color="auto" w:fill="F2F2F2" w:themeFill="background1" w:themeFillShade="F2"/>
          </w:tcPr>
          <w:p w:rsidR="00C124A0" w:rsidRPr="00C124A0" w:rsidRDefault="00C124A0" w:rsidP="00C124A0">
            <w:pPr>
              <w:tabs>
                <w:tab w:val="left" w:pos="1080"/>
              </w:tabs>
              <w:ind w:left="720" w:hanging="360"/>
              <w:rPr>
                <w:rFonts w:ascii="Times New Roman" w:hAnsi="Times New Roman"/>
                <w:b/>
                <w:sz w:val="20"/>
              </w:rPr>
            </w:pPr>
          </w:p>
        </w:tc>
        <w:tc>
          <w:tcPr>
            <w:tcW w:w="1890" w:type="dxa"/>
            <w:tcBorders>
              <w:top w:val="single" w:sz="4" w:space="0" w:color="auto"/>
              <w:bottom w:val="double" w:sz="4" w:space="0" w:color="auto"/>
            </w:tcBorders>
            <w:shd w:val="clear" w:color="auto" w:fill="F2F2F2" w:themeFill="background1" w:themeFillShade="F2"/>
          </w:tcPr>
          <w:p w:rsidR="00C124A0" w:rsidRPr="00C124A0" w:rsidRDefault="00C124A0" w:rsidP="00C124A0">
            <w:pPr>
              <w:tabs>
                <w:tab w:val="left" w:pos="1080"/>
              </w:tabs>
              <w:ind w:left="720" w:hanging="360"/>
              <w:rPr>
                <w:rFonts w:ascii="Times New Roman" w:hAnsi="Times New Roman"/>
                <w:b/>
                <w:sz w:val="20"/>
              </w:rPr>
            </w:pPr>
            <w:r w:rsidRPr="00C124A0">
              <w:rPr>
                <w:rFonts w:ascii="Times New Roman" w:hAnsi="Times New Roman"/>
                <w:b/>
                <w:sz w:val="20"/>
              </w:rPr>
              <w:t>2012 Economic Census</w:t>
            </w:r>
          </w:p>
        </w:tc>
        <w:tc>
          <w:tcPr>
            <w:tcW w:w="1980" w:type="dxa"/>
            <w:tcBorders>
              <w:top w:val="single" w:sz="4" w:space="0" w:color="auto"/>
              <w:bottom w:val="double" w:sz="4" w:space="0" w:color="auto"/>
            </w:tcBorders>
            <w:shd w:val="clear" w:color="auto" w:fill="F2F2F2" w:themeFill="background1" w:themeFillShade="F2"/>
          </w:tcPr>
          <w:p w:rsidR="001B1737" w:rsidRDefault="001B1737" w:rsidP="001B1737">
            <w:pPr>
              <w:tabs>
                <w:tab w:val="left" w:pos="1080"/>
              </w:tabs>
              <w:ind w:left="720" w:hanging="360"/>
              <w:rPr>
                <w:rFonts w:ascii="Times New Roman" w:hAnsi="Times New Roman"/>
                <w:b/>
                <w:sz w:val="20"/>
              </w:rPr>
            </w:pPr>
            <w:r>
              <w:rPr>
                <w:rFonts w:ascii="Times New Roman" w:hAnsi="Times New Roman"/>
                <w:b/>
                <w:sz w:val="20"/>
              </w:rPr>
              <w:t xml:space="preserve">   </w:t>
            </w:r>
            <w:r w:rsidR="00C124A0" w:rsidRPr="00C124A0">
              <w:rPr>
                <w:rFonts w:ascii="Times New Roman" w:hAnsi="Times New Roman"/>
                <w:b/>
                <w:sz w:val="20"/>
              </w:rPr>
              <w:t>Estimated</w:t>
            </w:r>
          </w:p>
          <w:p w:rsidR="00C124A0" w:rsidRPr="00C124A0" w:rsidRDefault="00C124A0" w:rsidP="001B1737">
            <w:pPr>
              <w:tabs>
                <w:tab w:val="left" w:pos="1080"/>
              </w:tabs>
              <w:ind w:left="720" w:hanging="360"/>
              <w:rPr>
                <w:rFonts w:ascii="Times New Roman" w:hAnsi="Times New Roman"/>
                <w:b/>
                <w:sz w:val="20"/>
              </w:rPr>
            </w:pPr>
            <w:r w:rsidRPr="00C124A0">
              <w:rPr>
                <w:rFonts w:ascii="Times New Roman" w:hAnsi="Times New Roman"/>
                <w:b/>
                <w:sz w:val="20"/>
              </w:rPr>
              <w:t>2017 Universe</w:t>
            </w:r>
          </w:p>
        </w:tc>
      </w:tr>
      <w:tr w:rsidR="00C124A0" w:rsidRPr="00C124A0" w:rsidTr="005B11B1">
        <w:tc>
          <w:tcPr>
            <w:tcW w:w="1170" w:type="dxa"/>
            <w:tcBorders>
              <w:top w:val="double" w:sz="4" w:space="0" w:color="auto"/>
              <w:bottom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NA</w:t>
            </w:r>
          </w:p>
        </w:tc>
        <w:tc>
          <w:tcPr>
            <w:tcW w:w="4410" w:type="dxa"/>
            <w:tcBorders>
              <w:top w:val="double" w:sz="4" w:space="0" w:color="auto"/>
              <w:bottom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Unclassified </w:t>
            </w:r>
            <w:r w:rsidRPr="00C124A0">
              <w:rPr>
                <w:rFonts w:ascii="Times New Roman" w:hAnsi="Times New Roman"/>
                <w:sz w:val="20"/>
                <w:vertAlign w:val="superscript"/>
              </w:rPr>
              <w:t>(3)</w:t>
            </w:r>
            <w:r w:rsidR="00142775">
              <w:rPr>
                <w:rFonts w:ascii="Times New Roman" w:hAnsi="Times New Roman"/>
                <w:sz w:val="20"/>
                <w:vertAlign w:val="superscript"/>
              </w:rPr>
              <w:t xml:space="preserve"> (4)</w:t>
            </w:r>
          </w:p>
        </w:tc>
        <w:tc>
          <w:tcPr>
            <w:tcW w:w="1890" w:type="dxa"/>
            <w:tcBorders>
              <w:top w:val="double" w:sz="4" w:space="0" w:color="auto"/>
              <w:bottom w:val="single" w:sz="4"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w:t>
            </w:r>
          </w:p>
        </w:tc>
        <w:tc>
          <w:tcPr>
            <w:tcW w:w="1980" w:type="dxa"/>
            <w:tcBorders>
              <w:top w:val="double" w:sz="4" w:space="0" w:color="auto"/>
              <w:bottom w:val="single" w:sz="4" w:space="0" w:color="auto"/>
            </w:tcBorders>
            <w:shd w:val="clear" w:color="auto" w:fill="FFFFFF" w:themeFill="background1"/>
            <w:vAlign w:val="bottom"/>
          </w:tcPr>
          <w:p w:rsidR="00C124A0" w:rsidRPr="00C124A0" w:rsidRDefault="00B142E4" w:rsidP="00C124A0">
            <w:pPr>
              <w:tabs>
                <w:tab w:val="left" w:pos="1080"/>
              </w:tabs>
              <w:ind w:left="720" w:hanging="360"/>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25,000</w:t>
            </w:r>
          </w:p>
        </w:tc>
      </w:tr>
      <w:tr w:rsidR="00C124A0" w:rsidRPr="00C124A0" w:rsidTr="005B11B1">
        <w:tc>
          <w:tcPr>
            <w:tcW w:w="1170" w:type="dxa"/>
            <w:tcBorders>
              <w:top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21</w:t>
            </w:r>
          </w:p>
        </w:tc>
        <w:tc>
          <w:tcPr>
            <w:tcW w:w="4410" w:type="dxa"/>
            <w:tcBorders>
              <w:top w:val="single" w:sz="4"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Mining</w:t>
            </w:r>
          </w:p>
        </w:tc>
        <w:tc>
          <w:tcPr>
            <w:tcW w:w="1890" w:type="dxa"/>
            <w:tcBorders>
              <w:top w:val="single" w:sz="4"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25,417</w:t>
            </w:r>
          </w:p>
        </w:tc>
        <w:tc>
          <w:tcPr>
            <w:tcW w:w="1980" w:type="dxa"/>
            <w:tcBorders>
              <w:top w:val="single" w:sz="4" w:space="0" w:color="auto"/>
            </w:tcBorders>
            <w:shd w:val="clear" w:color="auto" w:fill="FFFFFF" w:themeFill="background1"/>
            <w:vAlign w:val="bottom"/>
          </w:tcPr>
          <w:p w:rsidR="005C4E07" w:rsidRPr="0079531C" w:rsidRDefault="005C4E07"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27,030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22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Utilities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17,595</w:t>
            </w:r>
          </w:p>
        </w:tc>
        <w:tc>
          <w:tcPr>
            <w:tcW w:w="1980" w:type="dxa"/>
            <w:shd w:val="clear" w:color="auto" w:fill="FFFFFF" w:themeFill="background1"/>
            <w:vAlign w:val="bottom"/>
          </w:tcPr>
          <w:p w:rsidR="00C124A0" w:rsidRPr="0079531C" w:rsidRDefault="005C4E07"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18,125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23</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Construction </w:t>
            </w:r>
            <w:r w:rsidRPr="00C124A0">
              <w:rPr>
                <w:rFonts w:ascii="Times New Roman" w:hAnsi="Times New Roman"/>
                <w:sz w:val="20"/>
                <w:vertAlign w:val="superscript"/>
              </w:rPr>
              <w:t>(2)</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598,065</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677,305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31-33</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Manufacturing</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297,239</w:t>
            </w:r>
          </w:p>
        </w:tc>
        <w:tc>
          <w:tcPr>
            <w:tcW w:w="1980" w:type="dxa"/>
            <w:shd w:val="clear" w:color="auto" w:fill="FFFFFF" w:themeFill="background1"/>
            <w:vAlign w:val="bottom"/>
          </w:tcPr>
          <w:p w:rsidR="00C124A0" w:rsidRPr="0079531C" w:rsidRDefault="005C4E07"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286,315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42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Wholesale Trade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419,463</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406,735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44-45</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Retail Trade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1,062,083</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1,050,620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48-49</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Transportation and Warehousing </w:t>
            </w:r>
            <w:r w:rsidRPr="00C124A0">
              <w:rPr>
                <w:rFonts w:ascii="Times New Roman" w:hAnsi="Times New Roman"/>
                <w:sz w:val="20"/>
                <w:vertAlign w:val="superscript"/>
              </w:rPr>
              <w:t>(1)</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213,809</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223,280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51</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Information</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138,341</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142,835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Finance and Insurance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468,183</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479,320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53</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Real Estate and Rental and Leasing </w:t>
            </w:r>
            <w:r w:rsidRPr="00C124A0">
              <w:rPr>
                <w:rFonts w:ascii="Times New Roman" w:hAnsi="Times New Roman"/>
                <w:sz w:val="20"/>
                <w:vertAlign w:val="superscript"/>
              </w:rPr>
              <w:t>(1)</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354,106</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399,260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54</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Professional, Scientific and Technical Services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856,463</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913,235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55</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Management of Companies and Enterprises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53,765</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70,365</w:t>
            </w:r>
          </w:p>
        </w:tc>
      </w:tr>
      <w:tr w:rsidR="00C124A0" w:rsidRPr="00C124A0" w:rsidTr="005B11B1">
        <w:tc>
          <w:tcPr>
            <w:tcW w:w="1170" w:type="dxa"/>
            <w:shd w:val="clear" w:color="auto" w:fill="FFFFFF" w:themeFill="background1"/>
          </w:tcPr>
          <w:p w:rsidR="00A706E1" w:rsidRDefault="00A706E1" w:rsidP="00A706E1">
            <w:pPr>
              <w:tabs>
                <w:tab w:val="left" w:pos="1080"/>
              </w:tabs>
              <w:rPr>
                <w:rFonts w:ascii="Times New Roman" w:hAnsi="Times New Roman"/>
                <w:sz w:val="20"/>
              </w:rPr>
            </w:pPr>
          </w:p>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56</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Administrative &amp; Support and Waste Management &amp; Remediation</w:t>
            </w:r>
          </w:p>
        </w:tc>
        <w:tc>
          <w:tcPr>
            <w:tcW w:w="1890" w:type="dxa"/>
            <w:shd w:val="clear" w:color="auto" w:fill="FFFFFF" w:themeFill="background1"/>
          </w:tcPr>
          <w:p w:rsidR="00A240B7" w:rsidRDefault="00A240B7" w:rsidP="00B142E4">
            <w:pPr>
              <w:tabs>
                <w:tab w:val="left" w:pos="1080"/>
              </w:tabs>
              <w:ind w:left="720" w:hanging="360"/>
              <w:jc w:val="both"/>
              <w:rPr>
                <w:rFonts w:ascii="Times New Roman" w:hAnsi="Times New Roman"/>
                <w:sz w:val="20"/>
              </w:rPr>
            </w:pPr>
          </w:p>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386,387</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399,155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61</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 xml:space="preserve">Education Services </w:t>
            </w:r>
            <w:r w:rsidRPr="00C124A0">
              <w:rPr>
                <w:rFonts w:ascii="Times New Roman" w:hAnsi="Times New Roman"/>
                <w:sz w:val="20"/>
                <w:vertAlign w:val="superscript"/>
              </w:rPr>
              <w:t>(1)</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67,960</w:t>
            </w:r>
          </w:p>
        </w:tc>
        <w:tc>
          <w:tcPr>
            <w:tcW w:w="1980" w:type="dxa"/>
            <w:shd w:val="clear" w:color="auto" w:fill="FFFFFF" w:themeFill="background1"/>
            <w:vAlign w:val="bottom"/>
          </w:tcPr>
          <w:p w:rsidR="005C4E07"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73,885</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62</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Health Care and Social Assistance</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831,303</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869,630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71</w:t>
            </w:r>
          </w:p>
        </w:tc>
        <w:tc>
          <w:tcPr>
            <w:tcW w:w="441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Arts, Entertainment, and Recreation</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124,591</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136,630</w:t>
            </w:r>
          </w:p>
        </w:tc>
      </w:tr>
      <w:tr w:rsidR="00C124A0" w:rsidRPr="00C124A0" w:rsidTr="005B11B1">
        <w:tc>
          <w:tcPr>
            <w:tcW w:w="1170" w:type="dxa"/>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72</w:t>
            </w:r>
          </w:p>
        </w:tc>
        <w:tc>
          <w:tcPr>
            <w:tcW w:w="4410" w:type="dxa"/>
            <w:shd w:val="clear" w:color="auto" w:fill="FFFFFF" w:themeFill="background1"/>
          </w:tcPr>
          <w:p w:rsidR="00142775" w:rsidRPr="00C124A0" w:rsidRDefault="00C124A0" w:rsidP="00A706E1">
            <w:pPr>
              <w:tabs>
                <w:tab w:val="left" w:pos="1080"/>
              </w:tabs>
              <w:rPr>
                <w:rFonts w:ascii="Times New Roman" w:hAnsi="Times New Roman"/>
                <w:sz w:val="20"/>
              </w:rPr>
            </w:pPr>
            <w:r w:rsidRPr="00C124A0">
              <w:rPr>
                <w:rFonts w:ascii="Times New Roman" w:hAnsi="Times New Roman"/>
                <w:sz w:val="20"/>
              </w:rPr>
              <w:t>Acc</w:t>
            </w:r>
            <w:r w:rsidR="00142775">
              <w:rPr>
                <w:rFonts w:ascii="Times New Roman" w:hAnsi="Times New Roman"/>
                <w:sz w:val="20"/>
              </w:rPr>
              <w:t>ommodation and Food Services</w:t>
            </w:r>
          </w:p>
        </w:tc>
        <w:tc>
          <w:tcPr>
            <w:tcW w:w="1890" w:type="dxa"/>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662,489</w:t>
            </w:r>
          </w:p>
        </w:tc>
        <w:tc>
          <w:tcPr>
            <w:tcW w:w="1980" w:type="dxa"/>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675,980</w:t>
            </w:r>
          </w:p>
        </w:tc>
      </w:tr>
      <w:tr w:rsidR="00C124A0" w:rsidRPr="00C124A0" w:rsidTr="005B11B1">
        <w:tc>
          <w:tcPr>
            <w:tcW w:w="1170" w:type="dxa"/>
            <w:tcBorders>
              <w:bottom w:val="single" w:sz="12"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81</w:t>
            </w:r>
          </w:p>
        </w:tc>
        <w:tc>
          <w:tcPr>
            <w:tcW w:w="4410" w:type="dxa"/>
            <w:tcBorders>
              <w:bottom w:val="single" w:sz="12" w:space="0" w:color="auto"/>
            </w:tcBorders>
            <w:shd w:val="clear" w:color="auto" w:fill="FFFFFF" w:themeFill="background1"/>
          </w:tcPr>
          <w:p w:rsidR="00C124A0" w:rsidRPr="00142775" w:rsidRDefault="00C124A0" w:rsidP="00A706E1">
            <w:pPr>
              <w:tabs>
                <w:tab w:val="left" w:pos="1080"/>
              </w:tabs>
              <w:rPr>
                <w:rFonts w:ascii="Times New Roman" w:hAnsi="Times New Roman"/>
                <w:sz w:val="19"/>
                <w:szCs w:val="19"/>
              </w:rPr>
            </w:pPr>
            <w:r w:rsidRPr="00142775">
              <w:rPr>
                <w:rFonts w:ascii="Times New Roman" w:hAnsi="Times New Roman"/>
                <w:sz w:val="19"/>
                <w:szCs w:val="19"/>
              </w:rPr>
              <w:t xml:space="preserve">Other Services (except Public Administration) </w:t>
            </w:r>
            <w:r w:rsidRPr="00142775">
              <w:rPr>
                <w:rFonts w:ascii="Times New Roman" w:hAnsi="Times New Roman"/>
                <w:sz w:val="19"/>
                <w:szCs w:val="19"/>
                <w:vertAlign w:val="superscript"/>
              </w:rPr>
              <w:t>(1)</w:t>
            </w:r>
          </w:p>
        </w:tc>
        <w:tc>
          <w:tcPr>
            <w:tcW w:w="1890" w:type="dxa"/>
            <w:tcBorders>
              <w:bottom w:val="single" w:sz="12"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529,691</w:t>
            </w:r>
          </w:p>
        </w:tc>
        <w:tc>
          <w:tcPr>
            <w:tcW w:w="1980" w:type="dxa"/>
            <w:tcBorders>
              <w:bottom w:val="single" w:sz="12" w:space="0" w:color="auto"/>
            </w:tcBorders>
            <w:shd w:val="clear" w:color="auto" w:fill="FFFFFF" w:themeFill="background1"/>
            <w:vAlign w:val="bottom"/>
          </w:tcPr>
          <w:p w:rsidR="00C124A0" w:rsidRPr="0079531C" w:rsidRDefault="00B142E4" w:rsidP="005C4E07">
            <w:pPr>
              <w:tabs>
                <w:tab w:val="left" w:pos="1080"/>
              </w:tabs>
              <w:ind w:left="720" w:hanging="360"/>
              <w:jc w:val="right"/>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534,245</w:t>
            </w:r>
          </w:p>
        </w:tc>
      </w:tr>
      <w:tr w:rsidR="00C124A0" w:rsidRPr="00C124A0" w:rsidTr="005B11B1">
        <w:tc>
          <w:tcPr>
            <w:tcW w:w="5580" w:type="dxa"/>
            <w:gridSpan w:val="2"/>
            <w:tcBorders>
              <w:top w:val="single" w:sz="12" w:space="0" w:color="auto"/>
            </w:tcBorders>
            <w:shd w:val="clear" w:color="auto" w:fill="FFFFFF" w:themeFill="background1"/>
          </w:tcPr>
          <w:p w:rsidR="00C124A0" w:rsidRPr="00C124A0" w:rsidRDefault="00C124A0" w:rsidP="00A706E1">
            <w:pPr>
              <w:tabs>
                <w:tab w:val="left" w:pos="1080"/>
              </w:tabs>
              <w:rPr>
                <w:rFonts w:ascii="Times New Roman" w:hAnsi="Times New Roman"/>
                <w:sz w:val="20"/>
              </w:rPr>
            </w:pPr>
            <w:r w:rsidRPr="00C124A0">
              <w:rPr>
                <w:rFonts w:ascii="Times New Roman" w:hAnsi="Times New Roman"/>
                <w:sz w:val="20"/>
              </w:rPr>
              <w:t>Totals</w:t>
            </w:r>
          </w:p>
        </w:tc>
        <w:tc>
          <w:tcPr>
            <w:tcW w:w="1890" w:type="dxa"/>
            <w:tcBorders>
              <w:top w:val="single" w:sz="12" w:space="0" w:color="auto"/>
            </w:tcBorders>
            <w:shd w:val="clear" w:color="auto" w:fill="FFFFFF" w:themeFill="background1"/>
          </w:tcPr>
          <w:p w:rsidR="00C124A0" w:rsidRPr="00C124A0" w:rsidRDefault="00B142E4" w:rsidP="00B142E4">
            <w:pPr>
              <w:tabs>
                <w:tab w:val="left" w:pos="1080"/>
              </w:tabs>
              <w:ind w:left="720" w:hanging="360"/>
              <w:jc w:val="both"/>
              <w:rPr>
                <w:rFonts w:ascii="Times New Roman" w:hAnsi="Times New Roman"/>
                <w:sz w:val="20"/>
              </w:rPr>
            </w:pPr>
            <w:r>
              <w:rPr>
                <w:rFonts w:ascii="Times New Roman" w:hAnsi="Times New Roman"/>
                <w:sz w:val="20"/>
              </w:rPr>
              <w:t xml:space="preserve">          </w:t>
            </w:r>
            <w:r w:rsidR="00C124A0" w:rsidRPr="00C124A0">
              <w:rPr>
                <w:rFonts w:ascii="Times New Roman" w:hAnsi="Times New Roman"/>
                <w:sz w:val="20"/>
              </w:rPr>
              <w:t>7,106,950</w:t>
            </w:r>
          </w:p>
        </w:tc>
        <w:tc>
          <w:tcPr>
            <w:tcW w:w="1980" w:type="dxa"/>
            <w:tcBorders>
              <w:top w:val="single" w:sz="12" w:space="0" w:color="auto"/>
            </w:tcBorders>
            <w:shd w:val="clear" w:color="auto" w:fill="FFFFFF" w:themeFill="background1"/>
          </w:tcPr>
          <w:p w:rsidR="00C124A0" w:rsidRPr="0079531C" w:rsidRDefault="00B142E4" w:rsidP="00C124A0">
            <w:pPr>
              <w:tabs>
                <w:tab w:val="left" w:pos="1080"/>
              </w:tabs>
              <w:ind w:left="720" w:hanging="360"/>
              <w:rPr>
                <w:rFonts w:ascii="Times New Roman" w:hAnsi="Times New Roman"/>
                <w:sz w:val="20"/>
                <w:highlight w:val="yellow"/>
              </w:rPr>
            </w:pPr>
            <w:r w:rsidRPr="0079531C">
              <w:rPr>
                <w:rFonts w:ascii="Times New Roman" w:hAnsi="Times New Roman"/>
                <w:sz w:val="20"/>
                <w:highlight w:val="yellow"/>
              </w:rPr>
              <w:t xml:space="preserve">            </w:t>
            </w:r>
            <w:r w:rsidR="005C4E07" w:rsidRPr="0079531C">
              <w:rPr>
                <w:rFonts w:ascii="Times New Roman" w:hAnsi="Times New Roman"/>
                <w:sz w:val="20"/>
                <w:highlight w:val="yellow"/>
              </w:rPr>
              <w:t>7,408,950</w:t>
            </w:r>
          </w:p>
        </w:tc>
      </w:tr>
    </w:tbl>
    <w:p w:rsidR="00214719" w:rsidRPr="00864F84" w:rsidRDefault="00C303E1" w:rsidP="00891FB7">
      <w:pPr>
        <w:tabs>
          <w:tab w:val="left" w:pos="1080"/>
        </w:tabs>
        <w:ind w:left="720" w:hanging="360"/>
        <w:rPr>
          <w:rFonts w:ascii="Times New Roman" w:hAnsi="Times New Roman"/>
          <w:sz w:val="20"/>
        </w:rPr>
      </w:pPr>
      <w:r w:rsidRPr="00864F84">
        <w:rPr>
          <w:rFonts w:ascii="Times New Roman" w:hAnsi="Times New Roman"/>
          <w:sz w:val="20"/>
        </w:rPr>
        <w:t xml:space="preserve">Notes: </w:t>
      </w:r>
      <w:r w:rsidRPr="00864F84">
        <w:rPr>
          <w:rFonts w:ascii="Times New Roman" w:hAnsi="Times New Roman"/>
          <w:sz w:val="20"/>
        </w:rPr>
        <w:tab/>
        <w:t>(1) Some specific industries in these sectors are out-of-scope.</w:t>
      </w:r>
    </w:p>
    <w:p w:rsidR="009A7157" w:rsidRPr="00864F84" w:rsidRDefault="009A7157" w:rsidP="00891FB7">
      <w:pPr>
        <w:tabs>
          <w:tab w:val="left" w:pos="1080"/>
        </w:tabs>
        <w:ind w:left="720" w:hanging="90"/>
        <w:rPr>
          <w:rFonts w:ascii="Times New Roman" w:hAnsi="Times New Roman"/>
          <w:sz w:val="20"/>
        </w:rPr>
      </w:pPr>
      <w:r w:rsidRPr="00864F84">
        <w:rPr>
          <w:rFonts w:ascii="Times New Roman" w:hAnsi="Times New Roman"/>
          <w:sz w:val="20"/>
        </w:rPr>
        <w:tab/>
      </w:r>
      <w:r w:rsidRPr="00864F84">
        <w:rPr>
          <w:rFonts w:ascii="Times New Roman" w:hAnsi="Times New Roman"/>
          <w:sz w:val="20"/>
        </w:rPr>
        <w:tab/>
        <w:t xml:space="preserve">(2) </w:t>
      </w:r>
      <w:r w:rsidR="00B70E59">
        <w:rPr>
          <w:rFonts w:ascii="Times New Roman" w:hAnsi="Times New Roman"/>
          <w:sz w:val="20"/>
        </w:rPr>
        <w:t>Counts for the 2012 Census of Construction are estimates based on a weighted sample.</w:t>
      </w:r>
    </w:p>
    <w:p w:rsidR="00E6221C" w:rsidRDefault="00E6221C" w:rsidP="00E6221C">
      <w:pPr>
        <w:tabs>
          <w:tab w:val="left" w:pos="1080"/>
        </w:tabs>
        <w:ind w:left="720" w:hanging="90"/>
        <w:rPr>
          <w:rFonts w:ascii="Times New Roman" w:hAnsi="Times New Roman"/>
          <w:sz w:val="20"/>
        </w:rPr>
      </w:pPr>
      <w:r w:rsidRPr="00864F84">
        <w:rPr>
          <w:rFonts w:ascii="Times New Roman" w:hAnsi="Times New Roman"/>
          <w:sz w:val="20"/>
        </w:rPr>
        <w:tab/>
      </w:r>
      <w:r w:rsidRPr="00864F84">
        <w:rPr>
          <w:rFonts w:ascii="Times New Roman" w:hAnsi="Times New Roman"/>
          <w:sz w:val="20"/>
        </w:rPr>
        <w:tab/>
        <w:t>(3) Insufficient administrative information to assign to a sector.</w:t>
      </w:r>
    </w:p>
    <w:p w:rsidR="00142775" w:rsidRPr="00864F84" w:rsidRDefault="00142775" w:rsidP="00E6221C">
      <w:pPr>
        <w:tabs>
          <w:tab w:val="left" w:pos="1080"/>
        </w:tabs>
        <w:ind w:left="720" w:hanging="90"/>
        <w:rPr>
          <w:rFonts w:ascii="Times New Roman" w:hAnsi="Times New Roman"/>
          <w:sz w:val="20"/>
        </w:rPr>
      </w:pPr>
      <w:r>
        <w:rPr>
          <w:rFonts w:ascii="Times New Roman" w:hAnsi="Times New Roman"/>
          <w:sz w:val="20"/>
        </w:rPr>
        <w:tab/>
      </w:r>
      <w:r>
        <w:rPr>
          <w:rFonts w:ascii="Times New Roman" w:hAnsi="Times New Roman"/>
          <w:sz w:val="20"/>
        </w:rPr>
        <w:tab/>
        <w:t>(4) Covered under clearance 0607-099</w:t>
      </w:r>
      <w:r w:rsidR="000837A3">
        <w:rPr>
          <w:rFonts w:ascii="Times New Roman" w:hAnsi="Times New Roman"/>
          <w:sz w:val="20"/>
        </w:rPr>
        <w:t>1,</w:t>
      </w:r>
      <w:r>
        <w:rPr>
          <w:rFonts w:ascii="Times New Roman" w:hAnsi="Times New Roman"/>
          <w:sz w:val="20"/>
        </w:rPr>
        <w:t xml:space="preserve"> 2017 Economic Census Industry Classification Report</w:t>
      </w:r>
    </w:p>
    <w:p w:rsidR="00C303E1" w:rsidRPr="00864F84" w:rsidRDefault="009A7157">
      <w:pPr>
        <w:ind w:left="720"/>
        <w:rPr>
          <w:rFonts w:ascii="Times New Roman" w:hAnsi="Times New Roman"/>
          <w:sz w:val="20"/>
        </w:rPr>
      </w:pPr>
      <w:r w:rsidRPr="00864F84">
        <w:rPr>
          <w:rFonts w:ascii="Times New Roman" w:hAnsi="Times New Roman"/>
          <w:sz w:val="20"/>
        </w:rPr>
        <w:tab/>
      </w:r>
    </w:p>
    <w:p w:rsidR="00CA73D8" w:rsidRPr="0067795B" w:rsidRDefault="00CA73D8" w:rsidP="0067795B">
      <w:pPr>
        <w:ind w:left="360"/>
        <w:rPr>
          <w:rFonts w:ascii="Times New Roman" w:hAnsi="Times New Roman"/>
        </w:rPr>
      </w:pPr>
      <w:r w:rsidRPr="0067795B">
        <w:rPr>
          <w:rFonts w:ascii="Times New Roman" w:hAnsi="Times New Roman"/>
        </w:rPr>
        <w:lastRenderedPageBreak/>
        <w:t xml:space="preserve">The U.S. Census Bureau’s Business Register provides the universe of establishments.  </w:t>
      </w:r>
      <w:r w:rsidR="00AE507B" w:rsidRPr="0067795B">
        <w:rPr>
          <w:rFonts w:ascii="Times New Roman" w:hAnsi="Times New Roman"/>
        </w:rPr>
        <w:t>As indicated above, w</w:t>
      </w:r>
      <w:r w:rsidRPr="0067795B">
        <w:rPr>
          <w:rFonts w:ascii="Times New Roman" w:hAnsi="Times New Roman"/>
        </w:rPr>
        <w:t xml:space="preserve">e estimate that the size of the universe will be approximately </w:t>
      </w:r>
      <w:r w:rsidR="0079531C" w:rsidRPr="0079531C">
        <w:rPr>
          <w:rFonts w:ascii="Times New Roman" w:hAnsi="Times New Roman"/>
          <w:highlight w:val="yellow"/>
        </w:rPr>
        <w:t>7,408,950</w:t>
      </w:r>
      <w:r w:rsidR="0079531C">
        <w:rPr>
          <w:rFonts w:ascii="Times New Roman" w:hAnsi="Times New Roman"/>
        </w:rPr>
        <w:t xml:space="preserve"> </w:t>
      </w:r>
      <w:r w:rsidR="00D4154E" w:rsidRPr="0079531C">
        <w:rPr>
          <w:rFonts w:ascii="Times New Roman" w:hAnsi="Times New Roman"/>
          <w:strike/>
          <w:highlight w:val="green"/>
        </w:rPr>
        <w:t>7,</w:t>
      </w:r>
      <w:r w:rsidR="00C82CA8" w:rsidRPr="0079531C">
        <w:rPr>
          <w:rFonts w:ascii="Times New Roman" w:hAnsi="Times New Roman"/>
          <w:strike/>
          <w:highlight w:val="green"/>
        </w:rPr>
        <w:t>489</w:t>
      </w:r>
      <w:r w:rsidR="00D4154E" w:rsidRPr="0079531C">
        <w:rPr>
          <w:rFonts w:ascii="Times New Roman" w:hAnsi="Times New Roman"/>
          <w:strike/>
          <w:highlight w:val="green"/>
        </w:rPr>
        <w:t>,</w:t>
      </w:r>
      <w:r w:rsidR="00BE26D8" w:rsidRPr="0079531C">
        <w:rPr>
          <w:rFonts w:ascii="Times New Roman" w:hAnsi="Times New Roman"/>
          <w:strike/>
          <w:highlight w:val="green"/>
        </w:rPr>
        <w:t>855</w:t>
      </w:r>
      <w:r w:rsidR="00BE26D8" w:rsidRPr="0067795B">
        <w:rPr>
          <w:rFonts w:ascii="Times New Roman" w:hAnsi="Times New Roman"/>
        </w:rPr>
        <w:t xml:space="preserve"> </w:t>
      </w:r>
      <w:r w:rsidRPr="0067795B">
        <w:rPr>
          <w:rFonts w:ascii="Times New Roman" w:hAnsi="Times New Roman"/>
        </w:rPr>
        <w:t>establishments in 20</w:t>
      </w:r>
      <w:r w:rsidR="00037E35" w:rsidRPr="0067795B">
        <w:rPr>
          <w:rFonts w:ascii="Times New Roman" w:hAnsi="Times New Roman"/>
        </w:rPr>
        <w:t>1</w:t>
      </w:r>
      <w:r w:rsidR="00EF270E" w:rsidRPr="0067795B">
        <w:rPr>
          <w:rFonts w:ascii="Times New Roman" w:hAnsi="Times New Roman"/>
        </w:rPr>
        <w:t>7</w:t>
      </w:r>
      <w:r w:rsidR="00AE507B" w:rsidRPr="0067795B">
        <w:rPr>
          <w:rFonts w:ascii="Times New Roman" w:hAnsi="Times New Roman"/>
        </w:rPr>
        <w:t>.</w:t>
      </w:r>
      <w:r w:rsidR="00D108E9" w:rsidRPr="0067795B">
        <w:rPr>
          <w:rFonts w:ascii="Times New Roman" w:hAnsi="Times New Roman"/>
        </w:rPr>
        <w:t xml:space="preserve">  While all of these establishments will be </w:t>
      </w:r>
      <w:r w:rsidR="00D25BF8" w:rsidRPr="0067795B">
        <w:rPr>
          <w:rFonts w:ascii="Times New Roman" w:hAnsi="Times New Roman"/>
        </w:rPr>
        <w:t xml:space="preserve">used </w:t>
      </w:r>
      <w:r w:rsidR="00D108E9" w:rsidRPr="0067795B">
        <w:rPr>
          <w:rFonts w:ascii="Times New Roman" w:hAnsi="Times New Roman"/>
        </w:rPr>
        <w:t xml:space="preserve">to produce </w:t>
      </w:r>
      <w:r w:rsidR="003F1074" w:rsidRPr="0067795B">
        <w:rPr>
          <w:rFonts w:ascii="Times New Roman" w:hAnsi="Times New Roman"/>
        </w:rPr>
        <w:t xml:space="preserve">certain </w:t>
      </w:r>
      <w:r w:rsidR="00D108E9" w:rsidRPr="0067795B">
        <w:rPr>
          <w:rFonts w:ascii="Times New Roman" w:hAnsi="Times New Roman"/>
        </w:rPr>
        <w:t xml:space="preserve">basic </w:t>
      </w:r>
      <w:r w:rsidR="00C55034" w:rsidRPr="0067795B">
        <w:rPr>
          <w:rFonts w:ascii="Times New Roman" w:hAnsi="Times New Roman"/>
        </w:rPr>
        <w:t>statistics</w:t>
      </w:r>
      <w:r w:rsidR="00D108E9" w:rsidRPr="0067795B">
        <w:rPr>
          <w:rFonts w:ascii="Times New Roman" w:hAnsi="Times New Roman"/>
        </w:rPr>
        <w:t xml:space="preserve"> (such as </w:t>
      </w:r>
      <w:r w:rsidR="00307718">
        <w:rPr>
          <w:rFonts w:ascii="Times New Roman" w:hAnsi="Times New Roman"/>
        </w:rPr>
        <w:t>value of shipments/</w:t>
      </w:r>
      <w:r w:rsidR="00D108E9" w:rsidRPr="0067795B">
        <w:rPr>
          <w:rFonts w:ascii="Times New Roman" w:hAnsi="Times New Roman"/>
        </w:rPr>
        <w:t>receipts</w:t>
      </w:r>
      <w:r w:rsidR="00307718">
        <w:rPr>
          <w:rFonts w:ascii="Times New Roman" w:hAnsi="Times New Roman"/>
        </w:rPr>
        <w:t>/revenue/sales</w:t>
      </w:r>
      <w:r w:rsidR="00D108E9" w:rsidRPr="0067795B">
        <w:rPr>
          <w:rFonts w:ascii="Times New Roman" w:hAnsi="Times New Roman"/>
        </w:rPr>
        <w:t xml:space="preserve"> or payroll</w:t>
      </w:r>
      <w:r w:rsidR="00C55034" w:rsidRPr="0067795B">
        <w:rPr>
          <w:rFonts w:ascii="Times New Roman" w:hAnsi="Times New Roman"/>
        </w:rPr>
        <w:t xml:space="preserve"> estimates</w:t>
      </w:r>
      <w:r w:rsidR="00D108E9" w:rsidRPr="0067795B">
        <w:rPr>
          <w:rFonts w:ascii="Times New Roman" w:hAnsi="Times New Roman"/>
        </w:rPr>
        <w:t xml:space="preserve">), other </w:t>
      </w:r>
      <w:r w:rsidR="003F1074" w:rsidRPr="0067795B">
        <w:rPr>
          <w:rFonts w:ascii="Times New Roman" w:hAnsi="Times New Roman"/>
        </w:rPr>
        <w:t xml:space="preserve">industry-specific </w:t>
      </w:r>
      <w:r w:rsidR="00D108E9" w:rsidRPr="0067795B">
        <w:rPr>
          <w:rFonts w:ascii="Times New Roman" w:hAnsi="Times New Roman"/>
        </w:rPr>
        <w:t xml:space="preserve">estimates (such as product lines, class of customer, etc.) will be based on the responses of just a sample of these establishments.  </w:t>
      </w:r>
    </w:p>
    <w:p w:rsidR="00AF4077" w:rsidRPr="00B27106" w:rsidRDefault="00AF4077">
      <w:pPr>
        <w:pStyle w:val="BodyTextIndent"/>
        <w:rPr>
          <w:rFonts w:ascii="Times New Roman" w:hAnsi="Times New Roman"/>
          <w:sz w:val="18"/>
          <w:szCs w:val="18"/>
        </w:rPr>
      </w:pPr>
    </w:p>
    <w:p w:rsidR="00CA73D8" w:rsidRPr="00864F84" w:rsidRDefault="00CA73D8" w:rsidP="00891FB7">
      <w:pPr>
        <w:spacing w:after="240"/>
        <w:ind w:left="720" w:hanging="360"/>
        <w:rPr>
          <w:rFonts w:ascii="Times New Roman" w:hAnsi="Times New Roman"/>
          <w:szCs w:val="24"/>
        </w:rPr>
      </w:pPr>
      <w:r w:rsidRPr="00864F84">
        <w:rPr>
          <w:rFonts w:ascii="Times New Roman" w:hAnsi="Times New Roman"/>
          <w:szCs w:val="24"/>
        </w:rPr>
        <w:t xml:space="preserve">a. </w:t>
      </w:r>
      <w:r w:rsidR="00891FB7" w:rsidRPr="00864F84">
        <w:rPr>
          <w:rFonts w:ascii="Times New Roman" w:hAnsi="Times New Roman"/>
          <w:szCs w:val="24"/>
        </w:rPr>
        <w:tab/>
      </w:r>
      <w:r w:rsidR="00C55034" w:rsidRPr="00864F84">
        <w:rPr>
          <w:rFonts w:ascii="Times New Roman" w:hAnsi="Times New Roman"/>
          <w:szCs w:val="24"/>
        </w:rPr>
        <w:t>Sample</w:t>
      </w:r>
      <w:r w:rsidR="00AF4077" w:rsidRPr="00864F84">
        <w:rPr>
          <w:rFonts w:ascii="Times New Roman" w:hAnsi="Times New Roman"/>
          <w:szCs w:val="24"/>
        </w:rPr>
        <w:t xml:space="preserve"> Component  </w:t>
      </w:r>
    </w:p>
    <w:p w:rsidR="00C71AC4" w:rsidRDefault="00C71AC4" w:rsidP="00AC1D3A">
      <w:pPr>
        <w:pStyle w:val="ListParagraph"/>
        <w:rPr>
          <w:rFonts w:ascii="Times New Roman" w:hAnsi="Times New Roman"/>
        </w:rPr>
      </w:pPr>
      <w:r w:rsidRPr="00AC1D3A">
        <w:rPr>
          <w:rFonts w:ascii="Times New Roman" w:hAnsi="Times New Roman"/>
        </w:rPr>
        <w:t xml:space="preserve">The sample component of the 2017 Economic Census </w:t>
      </w:r>
      <w:r w:rsidR="00671239" w:rsidRPr="00AC1D3A">
        <w:rPr>
          <w:rFonts w:ascii="Times New Roman" w:hAnsi="Times New Roman"/>
        </w:rPr>
        <w:t xml:space="preserve">will </w:t>
      </w:r>
      <w:r w:rsidRPr="00AC1D3A">
        <w:rPr>
          <w:rFonts w:ascii="Times New Roman" w:hAnsi="Times New Roman"/>
        </w:rPr>
        <w:t>consist of three parts:</w:t>
      </w:r>
    </w:p>
    <w:p w:rsidR="00AC1D3A" w:rsidRPr="00B27106" w:rsidRDefault="00AC1D3A" w:rsidP="00AC1D3A">
      <w:pPr>
        <w:pStyle w:val="ListParagraph"/>
        <w:rPr>
          <w:rFonts w:ascii="Times New Roman" w:hAnsi="Times New Roman"/>
          <w:sz w:val="18"/>
          <w:szCs w:val="18"/>
        </w:rPr>
      </w:pPr>
    </w:p>
    <w:p w:rsidR="00C71AC4" w:rsidRPr="00864F84" w:rsidRDefault="00C71AC4" w:rsidP="00891FB7">
      <w:pPr>
        <w:pStyle w:val="ListParagraph"/>
        <w:numPr>
          <w:ilvl w:val="0"/>
          <w:numId w:val="16"/>
        </w:numPr>
        <w:ind w:left="1080"/>
        <w:rPr>
          <w:rFonts w:ascii="Times New Roman" w:hAnsi="Times New Roman"/>
          <w:szCs w:val="24"/>
        </w:rPr>
      </w:pPr>
      <w:r w:rsidRPr="00864F84">
        <w:rPr>
          <w:rFonts w:ascii="Times New Roman" w:hAnsi="Times New Roman"/>
          <w:szCs w:val="24"/>
        </w:rPr>
        <w:t>all active operating establishments of multi-establishment firms,</w:t>
      </w:r>
    </w:p>
    <w:p w:rsidR="00C71AC4" w:rsidRPr="00864F84" w:rsidRDefault="00C71AC4" w:rsidP="00891FB7">
      <w:pPr>
        <w:pStyle w:val="ListParagraph"/>
        <w:numPr>
          <w:ilvl w:val="0"/>
          <w:numId w:val="16"/>
        </w:numPr>
        <w:ind w:left="1080"/>
        <w:rPr>
          <w:rFonts w:ascii="Times New Roman" w:hAnsi="Times New Roman"/>
          <w:szCs w:val="24"/>
        </w:rPr>
      </w:pPr>
      <w:r w:rsidRPr="00864F84">
        <w:rPr>
          <w:rFonts w:ascii="Times New Roman" w:hAnsi="Times New Roman"/>
          <w:szCs w:val="24"/>
        </w:rPr>
        <w:t xml:space="preserve">all </w:t>
      </w:r>
      <w:r w:rsidR="00671239" w:rsidRPr="00864F84">
        <w:rPr>
          <w:rFonts w:ascii="Times New Roman" w:hAnsi="Times New Roman"/>
          <w:szCs w:val="24"/>
        </w:rPr>
        <w:t>(</w:t>
      </w:r>
      <w:r w:rsidR="001552F9" w:rsidRPr="00864F84">
        <w:rPr>
          <w:rFonts w:ascii="Times New Roman" w:hAnsi="Times New Roman"/>
          <w:szCs w:val="24"/>
        </w:rPr>
        <w:t>“</w:t>
      </w:r>
      <w:r w:rsidRPr="00864F84">
        <w:rPr>
          <w:rFonts w:ascii="Times New Roman" w:hAnsi="Times New Roman"/>
          <w:szCs w:val="24"/>
        </w:rPr>
        <w:t>large</w:t>
      </w:r>
      <w:r w:rsidR="001552F9" w:rsidRPr="00864F84">
        <w:rPr>
          <w:rFonts w:ascii="Times New Roman" w:hAnsi="Times New Roman"/>
          <w:szCs w:val="24"/>
        </w:rPr>
        <w:t>”</w:t>
      </w:r>
      <w:r w:rsidR="00671239" w:rsidRPr="00864F84">
        <w:rPr>
          <w:rFonts w:ascii="Times New Roman" w:hAnsi="Times New Roman"/>
          <w:szCs w:val="24"/>
        </w:rPr>
        <w:t>)</w:t>
      </w:r>
      <w:r w:rsidRPr="00864F84">
        <w:rPr>
          <w:rFonts w:ascii="Times New Roman" w:hAnsi="Times New Roman"/>
          <w:szCs w:val="24"/>
        </w:rPr>
        <w:t xml:space="preserve"> single-establishment firms whose </w:t>
      </w:r>
      <w:r w:rsidR="00191B57" w:rsidRPr="00864F84">
        <w:rPr>
          <w:rFonts w:ascii="Times New Roman" w:hAnsi="Times New Roman"/>
          <w:szCs w:val="24"/>
        </w:rPr>
        <w:t>annual</w:t>
      </w:r>
      <w:r w:rsidR="005B68D6" w:rsidRPr="00864F84">
        <w:rPr>
          <w:rFonts w:ascii="Times New Roman" w:hAnsi="Times New Roman"/>
          <w:szCs w:val="24"/>
        </w:rPr>
        <w:t>ized</w:t>
      </w:r>
      <w:r w:rsidR="00191B57" w:rsidRPr="00864F84">
        <w:rPr>
          <w:rFonts w:ascii="Times New Roman" w:hAnsi="Times New Roman"/>
          <w:szCs w:val="24"/>
        </w:rPr>
        <w:t xml:space="preserve"> </w:t>
      </w:r>
      <w:r w:rsidRPr="00864F84">
        <w:rPr>
          <w:rFonts w:ascii="Times New Roman" w:hAnsi="Times New Roman"/>
          <w:szCs w:val="24"/>
        </w:rPr>
        <w:t xml:space="preserve">payroll is above an industry-specific </w:t>
      </w:r>
      <w:r w:rsidR="001537DB" w:rsidRPr="00864F84">
        <w:rPr>
          <w:rFonts w:ascii="Times New Roman" w:hAnsi="Times New Roman"/>
          <w:szCs w:val="24"/>
        </w:rPr>
        <w:t xml:space="preserve">payroll </w:t>
      </w:r>
      <w:r w:rsidR="00191B57" w:rsidRPr="00864F84">
        <w:rPr>
          <w:rFonts w:ascii="Times New Roman" w:hAnsi="Times New Roman"/>
          <w:szCs w:val="24"/>
        </w:rPr>
        <w:t>cutoff, and</w:t>
      </w:r>
    </w:p>
    <w:p w:rsidR="00C71AC4" w:rsidRPr="00864F84" w:rsidRDefault="00C71AC4" w:rsidP="00891FB7">
      <w:pPr>
        <w:pStyle w:val="ListParagraph"/>
        <w:numPr>
          <w:ilvl w:val="0"/>
          <w:numId w:val="16"/>
        </w:numPr>
        <w:ind w:left="1080"/>
        <w:rPr>
          <w:rFonts w:ascii="Times New Roman" w:hAnsi="Times New Roman"/>
          <w:szCs w:val="24"/>
        </w:rPr>
      </w:pPr>
      <w:r w:rsidRPr="00864F84">
        <w:rPr>
          <w:rFonts w:ascii="Times New Roman" w:hAnsi="Times New Roman"/>
          <w:szCs w:val="24"/>
        </w:rPr>
        <w:t xml:space="preserve">a </w:t>
      </w:r>
      <w:r w:rsidR="00191B57" w:rsidRPr="00864F84">
        <w:rPr>
          <w:rFonts w:ascii="Times New Roman" w:hAnsi="Times New Roman"/>
          <w:szCs w:val="24"/>
        </w:rPr>
        <w:t xml:space="preserve">stratified </w:t>
      </w:r>
      <w:r w:rsidRPr="00864F84">
        <w:rPr>
          <w:rFonts w:ascii="Times New Roman" w:hAnsi="Times New Roman"/>
          <w:szCs w:val="24"/>
        </w:rPr>
        <w:t xml:space="preserve">sample </w:t>
      </w:r>
      <w:r w:rsidR="00191B57" w:rsidRPr="00864F84">
        <w:rPr>
          <w:rFonts w:ascii="Times New Roman" w:hAnsi="Times New Roman"/>
          <w:szCs w:val="24"/>
        </w:rPr>
        <w:t>selected from</w:t>
      </w:r>
      <w:r w:rsidRPr="00864F84">
        <w:rPr>
          <w:rFonts w:ascii="Times New Roman" w:hAnsi="Times New Roman"/>
          <w:szCs w:val="24"/>
        </w:rPr>
        <w:t xml:space="preserve"> the remaining (</w:t>
      </w:r>
      <w:r w:rsidR="001552F9" w:rsidRPr="00864F84">
        <w:rPr>
          <w:rFonts w:ascii="Times New Roman" w:hAnsi="Times New Roman"/>
          <w:szCs w:val="24"/>
        </w:rPr>
        <w:t>“</w:t>
      </w:r>
      <w:r w:rsidRPr="00864F84">
        <w:rPr>
          <w:rFonts w:ascii="Times New Roman" w:hAnsi="Times New Roman"/>
          <w:szCs w:val="24"/>
        </w:rPr>
        <w:t>small</w:t>
      </w:r>
      <w:r w:rsidR="001552F9" w:rsidRPr="00864F84">
        <w:rPr>
          <w:rFonts w:ascii="Times New Roman" w:hAnsi="Times New Roman"/>
          <w:szCs w:val="24"/>
        </w:rPr>
        <w:t>”</w:t>
      </w:r>
      <w:r w:rsidRPr="00864F84">
        <w:rPr>
          <w:rFonts w:ascii="Times New Roman" w:hAnsi="Times New Roman"/>
          <w:szCs w:val="24"/>
        </w:rPr>
        <w:t>) single-establishment firms</w:t>
      </w:r>
      <w:r w:rsidR="00E6221C" w:rsidRPr="00864F84">
        <w:rPr>
          <w:rFonts w:ascii="Times New Roman" w:hAnsi="Times New Roman"/>
          <w:szCs w:val="24"/>
        </w:rPr>
        <w:t>.</w:t>
      </w:r>
    </w:p>
    <w:p w:rsidR="00E6221C" w:rsidRPr="00B27106" w:rsidRDefault="00E6221C" w:rsidP="00E6221C">
      <w:pPr>
        <w:pStyle w:val="ListParagraph"/>
        <w:ind w:left="1080"/>
        <w:rPr>
          <w:rFonts w:ascii="Times New Roman" w:hAnsi="Times New Roman"/>
          <w:sz w:val="18"/>
          <w:szCs w:val="18"/>
        </w:rPr>
      </w:pPr>
    </w:p>
    <w:p w:rsidR="00015D05" w:rsidRDefault="00015D05" w:rsidP="00AC1D3A">
      <w:pPr>
        <w:pStyle w:val="ListParagraph"/>
        <w:rPr>
          <w:rFonts w:ascii="Times New Roman" w:hAnsi="Times New Roman"/>
        </w:rPr>
      </w:pPr>
      <w:r w:rsidRPr="00AC1D3A">
        <w:rPr>
          <w:rFonts w:ascii="Times New Roman" w:hAnsi="Times New Roman"/>
        </w:rPr>
        <w:t xml:space="preserve">The “Sample Component” columns of </w:t>
      </w:r>
      <w:r w:rsidRPr="00B27106">
        <w:rPr>
          <w:rFonts w:ascii="Times New Roman" w:hAnsi="Times New Roman"/>
          <w:highlight w:val="yellow"/>
        </w:rPr>
        <w:t>Table 2</w:t>
      </w:r>
      <w:r w:rsidRPr="00AC1D3A">
        <w:rPr>
          <w:rFonts w:ascii="Times New Roman" w:hAnsi="Times New Roman"/>
        </w:rPr>
        <w:t xml:space="preserve"> indicate the expected size of </w:t>
      </w:r>
      <w:r w:rsidR="00931428" w:rsidRPr="00AC1D3A">
        <w:rPr>
          <w:rFonts w:ascii="Times New Roman" w:hAnsi="Times New Roman"/>
        </w:rPr>
        <w:t xml:space="preserve">each of these three components by sector.  </w:t>
      </w:r>
      <w:r w:rsidRPr="00AC1D3A">
        <w:rPr>
          <w:rFonts w:ascii="Times New Roman" w:hAnsi="Times New Roman"/>
        </w:rPr>
        <w:t xml:space="preserve">Paragraph B.2.a, below, </w:t>
      </w:r>
      <w:r w:rsidR="00125F42" w:rsidRPr="00AC1D3A">
        <w:rPr>
          <w:rFonts w:ascii="Times New Roman" w:hAnsi="Times New Roman"/>
        </w:rPr>
        <w:t>describes</w:t>
      </w:r>
      <w:r w:rsidRPr="00AC1D3A">
        <w:rPr>
          <w:rFonts w:ascii="Times New Roman" w:hAnsi="Times New Roman"/>
        </w:rPr>
        <w:t xml:space="preserve"> the selection procedures in more detail.</w:t>
      </w:r>
      <w:r w:rsidR="00C82CA8" w:rsidRPr="00AC1D3A">
        <w:rPr>
          <w:rFonts w:ascii="Times New Roman" w:hAnsi="Times New Roman"/>
        </w:rPr>
        <w:t xml:space="preserve">  Attachment B shows expected counts at the 6-digit NAICS level.</w:t>
      </w:r>
    </w:p>
    <w:p w:rsidR="00B27106" w:rsidRPr="00AC1D3A" w:rsidRDefault="00B27106" w:rsidP="00AC1D3A">
      <w:pPr>
        <w:pStyle w:val="ListParagraph"/>
        <w:rPr>
          <w:rFonts w:ascii="Times New Roman" w:hAnsi="Times New Roman"/>
        </w:rPr>
      </w:pPr>
    </w:p>
    <w:p w:rsidR="00015D05" w:rsidRPr="00864F84" w:rsidRDefault="00B27106" w:rsidP="00B27106">
      <w:pPr>
        <w:ind w:left="1080" w:hanging="360"/>
        <w:rPr>
          <w:rFonts w:ascii="Times New Roman" w:hAnsi="Times New Roman"/>
          <w:szCs w:val="24"/>
        </w:rPr>
      </w:pPr>
      <w:r>
        <w:rPr>
          <w:rFonts w:ascii="Times New Roman" w:hAnsi="Times New Roman"/>
          <w:szCs w:val="24"/>
        </w:rPr>
        <w:object w:dxaOrig="9171" w:dyaOrig="6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27.75pt" o:ole="">
            <v:imagedata r:id="rId15" o:title=""/>
          </v:shape>
          <o:OLEObject Type="Embed" ProgID="Excel.Sheet.12" ShapeID="_x0000_i1025" DrawAspect="Content" ObjectID="_1570446544" r:id="rId16"/>
        </w:object>
      </w:r>
    </w:p>
    <w:p w:rsidR="00F01317" w:rsidRPr="006116F3" w:rsidRDefault="00F01317" w:rsidP="00F01317">
      <w:pPr>
        <w:widowControl/>
        <w:spacing w:after="200" w:line="276" w:lineRule="auto"/>
        <w:ind w:left="1440" w:hanging="720"/>
        <w:rPr>
          <w:rFonts w:ascii="Times New Roman" w:eastAsiaTheme="minorHAnsi" w:hAnsi="Times New Roman"/>
          <w:snapToGrid/>
          <w:sz w:val="20"/>
        </w:rPr>
      </w:pPr>
      <w:r>
        <w:rPr>
          <w:rFonts w:ascii="Times New Roman" w:eastAsiaTheme="minorHAnsi" w:hAnsi="Times New Roman"/>
          <w:snapToGrid/>
          <w:sz w:val="20"/>
        </w:rPr>
        <w:lastRenderedPageBreak/>
        <w:t>Notes:</w:t>
      </w:r>
      <w:r>
        <w:rPr>
          <w:rFonts w:ascii="Times New Roman" w:eastAsiaTheme="minorHAnsi" w:hAnsi="Times New Roman"/>
          <w:snapToGrid/>
          <w:sz w:val="20"/>
        </w:rPr>
        <w:tab/>
        <w:t>(1) The</w:t>
      </w:r>
      <w:r w:rsidR="00E02097">
        <w:rPr>
          <w:rFonts w:ascii="Times New Roman" w:eastAsiaTheme="minorHAnsi" w:hAnsi="Times New Roman"/>
          <w:snapToGrid/>
          <w:sz w:val="20"/>
        </w:rPr>
        <w:t xml:space="preserve"> electronic questionnaire instrument</w:t>
      </w:r>
      <w:r>
        <w:rPr>
          <w:rFonts w:ascii="Times New Roman" w:eastAsiaTheme="minorHAnsi" w:hAnsi="Times New Roman"/>
          <w:snapToGrid/>
          <w:sz w:val="20"/>
        </w:rPr>
        <w:t xml:space="preserve"> paths used to collect classification information in sectors NA, 21, 23, and 31-33 are covered under clearance 0607-0991</w:t>
      </w:r>
      <w:r w:rsidR="00A07074">
        <w:rPr>
          <w:rFonts w:ascii="Times New Roman" w:eastAsiaTheme="minorHAnsi" w:hAnsi="Times New Roman"/>
          <w:snapToGrid/>
          <w:sz w:val="20"/>
        </w:rPr>
        <w:t>,</w:t>
      </w:r>
      <w:r>
        <w:rPr>
          <w:rFonts w:ascii="Times New Roman" w:eastAsiaTheme="minorHAnsi" w:hAnsi="Times New Roman"/>
          <w:snapToGrid/>
          <w:sz w:val="20"/>
        </w:rPr>
        <w:t xml:space="preserve"> 2017 Economic Census Industry Classification Report</w:t>
      </w:r>
    </w:p>
    <w:p w:rsidR="000E0E8F" w:rsidRDefault="000E0E8F" w:rsidP="00891FB7">
      <w:pPr>
        <w:ind w:left="720" w:hanging="360"/>
        <w:rPr>
          <w:rFonts w:ascii="Times New Roman" w:hAnsi="Times New Roman"/>
          <w:szCs w:val="24"/>
        </w:rPr>
      </w:pPr>
    </w:p>
    <w:p w:rsidR="00CA73D8" w:rsidRPr="00864F84" w:rsidRDefault="00CA73D8" w:rsidP="00891FB7">
      <w:pPr>
        <w:ind w:left="720" w:hanging="360"/>
        <w:rPr>
          <w:rFonts w:ascii="Times New Roman" w:hAnsi="Times New Roman"/>
          <w:szCs w:val="24"/>
        </w:rPr>
      </w:pPr>
      <w:r w:rsidRPr="00864F84">
        <w:rPr>
          <w:rFonts w:ascii="Times New Roman" w:hAnsi="Times New Roman"/>
          <w:szCs w:val="24"/>
        </w:rPr>
        <w:t xml:space="preserve">b. </w:t>
      </w:r>
      <w:r w:rsidR="00891FB7" w:rsidRPr="00864F84">
        <w:rPr>
          <w:rFonts w:ascii="Times New Roman" w:hAnsi="Times New Roman"/>
          <w:szCs w:val="24"/>
        </w:rPr>
        <w:tab/>
      </w:r>
      <w:r w:rsidR="007E0BD6" w:rsidRPr="00864F84">
        <w:rPr>
          <w:rFonts w:ascii="Times New Roman" w:hAnsi="Times New Roman"/>
          <w:szCs w:val="24"/>
        </w:rPr>
        <w:t>Non-Sample</w:t>
      </w:r>
      <w:r w:rsidRPr="00864F84">
        <w:rPr>
          <w:rFonts w:ascii="Times New Roman" w:hAnsi="Times New Roman"/>
          <w:szCs w:val="24"/>
        </w:rPr>
        <w:t xml:space="preserve"> Component </w:t>
      </w:r>
    </w:p>
    <w:p w:rsidR="00CA73D8" w:rsidRPr="00864F84" w:rsidRDefault="00CA73D8">
      <w:pPr>
        <w:rPr>
          <w:rFonts w:ascii="Times New Roman" w:hAnsi="Times New Roman"/>
          <w:szCs w:val="24"/>
        </w:rPr>
      </w:pPr>
    </w:p>
    <w:p w:rsidR="00C13C80" w:rsidRPr="00864F84" w:rsidRDefault="00805AA6" w:rsidP="00891FB7">
      <w:pPr>
        <w:ind w:left="1080" w:hanging="360"/>
        <w:rPr>
          <w:rFonts w:ascii="Times New Roman" w:hAnsi="Times New Roman"/>
          <w:szCs w:val="24"/>
        </w:rPr>
      </w:pPr>
      <w:r w:rsidRPr="00864F84">
        <w:rPr>
          <w:rFonts w:ascii="Times New Roman" w:hAnsi="Times New Roman"/>
          <w:szCs w:val="24"/>
        </w:rPr>
        <w:t>The non-sample component consists of</w:t>
      </w:r>
      <w:r w:rsidR="00C13C80" w:rsidRPr="00864F84">
        <w:rPr>
          <w:rFonts w:ascii="Times New Roman" w:hAnsi="Times New Roman"/>
          <w:szCs w:val="24"/>
        </w:rPr>
        <w:t>:</w:t>
      </w:r>
      <w:r w:rsidRPr="00864F84">
        <w:rPr>
          <w:rFonts w:ascii="Times New Roman" w:hAnsi="Times New Roman"/>
          <w:szCs w:val="24"/>
        </w:rPr>
        <w:t xml:space="preserve"> </w:t>
      </w:r>
    </w:p>
    <w:p w:rsidR="00C13C80" w:rsidRPr="00864F84" w:rsidRDefault="00805AA6" w:rsidP="00891FB7">
      <w:pPr>
        <w:pStyle w:val="ListParagraph"/>
        <w:numPr>
          <w:ilvl w:val="0"/>
          <w:numId w:val="17"/>
        </w:numPr>
        <w:ind w:left="1080"/>
        <w:rPr>
          <w:rFonts w:ascii="Times New Roman" w:hAnsi="Times New Roman"/>
          <w:szCs w:val="24"/>
        </w:rPr>
      </w:pPr>
      <w:r w:rsidRPr="00864F84">
        <w:rPr>
          <w:rFonts w:ascii="Times New Roman" w:hAnsi="Times New Roman"/>
          <w:szCs w:val="24"/>
        </w:rPr>
        <w:t>“</w:t>
      </w:r>
      <w:r w:rsidR="00B85DC0">
        <w:rPr>
          <w:rFonts w:ascii="Times New Roman" w:hAnsi="Times New Roman"/>
          <w:szCs w:val="24"/>
        </w:rPr>
        <w:t>S</w:t>
      </w:r>
      <w:r w:rsidRPr="00864F84">
        <w:rPr>
          <w:rFonts w:ascii="Times New Roman" w:hAnsi="Times New Roman"/>
          <w:szCs w:val="24"/>
        </w:rPr>
        <w:t>mall” single</w:t>
      </w:r>
      <w:r w:rsidR="008205F8" w:rsidRPr="00864F84">
        <w:rPr>
          <w:rFonts w:ascii="Times New Roman" w:hAnsi="Times New Roman"/>
          <w:szCs w:val="24"/>
        </w:rPr>
        <w:t>-</w:t>
      </w:r>
      <w:r w:rsidRPr="00864F84">
        <w:rPr>
          <w:rFonts w:ascii="Times New Roman" w:hAnsi="Times New Roman"/>
          <w:szCs w:val="24"/>
        </w:rPr>
        <w:t>establishment firms</w:t>
      </w:r>
      <w:r w:rsidR="00B85DC0">
        <w:rPr>
          <w:rFonts w:ascii="Times New Roman" w:hAnsi="Times New Roman"/>
          <w:szCs w:val="24"/>
        </w:rPr>
        <w:t xml:space="preserve"> on the Census sampling frame but</w:t>
      </w:r>
      <w:r w:rsidRPr="00864F84">
        <w:rPr>
          <w:rFonts w:ascii="Times New Roman" w:hAnsi="Times New Roman"/>
          <w:szCs w:val="24"/>
        </w:rPr>
        <w:t xml:space="preserve"> not selected into the Census sample</w:t>
      </w:r>
      <w:r w:rsidR="00C13C80" w:rsidRPr="00864F84">
        <w:rPr>
          <w:rFonts w:ascii="Times New Roman" w:hAnsi="Times New Roman"/>
          <w:szCs w:val="24"/>
        </w:rPr>
        <w:t>,</w:t>
      </w:r>
    </w:p>
    <w:p w:rsidR="00C13C80" w:rsidRPr="00864F84" w:rsidRDefault="00C13C80" w:rsidP="00891FB7">
      <w:pPr>
        <w:pStyle w:val="ListParagraph"/>
        <w:numPr>
          <w:ilvl w:val="0"/>
          <w:numId w:val="17"/>
        </w:numPr>
        <w:ind w:left="1080"/>
        <w:rPr>
          <w:rFonts w:ascii="Times New Roman" w:hAnsi="Times New Roman"/>
          <w:szCs w:val="24"/>
        </w:rPr>
      </w:pPr>
      <w:r w:rsidRPr="00864F84">
        <w:rPr>
          <w:rFonts w:ascii="Times New Roman" w:hAnsi="Times New Roman"/>
          <w:szCs w:val="24"/>
        </w:rPr>
        <w:t xml:space="preserve">Single-establishment firms with no classification information (sector </w:t>
      </w:r>
      <w:r w:rsidR="00850C11" w:rsidRPr="00864F84">
        <w:rPr>
          <w:rFonts w:ascii="Times New Roman" w:hAnsi="Times New Roman"/>
          <w:szCs w:val="24"/>
        </w:rPr>
        <w:t>NA</w:t>
      </w:r>
      <w:r w:rsidRPr="00864F84">
        <w:rPr>
          <w:rFonts w:ascii="Times New Roman" w:hAnsi="Times New Roman"/>
          <w:szCs w:val="24"/>
        </w:rPr>
        <w:t xml:space="preserve"> in the table above), and</w:t>
      </w:r>
    </w:p>
    <w:p w:rsidR="00C13C80" w:rsidRPr="00864F84" w:rsidRDefault="00C13C80" w:rsidP="00891FB7">
      <w:pPr>
        <w:pStyle w:val="ListParagraph"/>
        <w:numPr>
          <w:ilvl w:val="0"/>
          <w:numId w:val="17"/>
        </w:numPr>
        <w:ind w:left="1080"/>
        <w:rPr>
          <w:rFonts w:ascii="Times New Roman" w:hAnsi="Times New Roman"/>
          <w:szCs w:val="24"/>
        </w:rPr>
      </w:pPr>
      <w:r w:rsidRPr="00864F84">
        <w:rPr>
          <w:rFonts w:ascii="Times New Roman" w:hAnsi="Times New Roman"/>
          <w:szCs w:val="24"/>
        </w:rPr>
        <w:t>A</w:t>
      </w:r>
      <w:r w:rsidR="00805AA6" w:rsidRPr="00864F84">
        <w:rPr>
          <w:rFonts w:ascii="Times New Roman" w:hAnsi="Times New Roman"/>
          <w:szCs w:val="24"/>
        </w:rPr>
        <w:t>ny single</w:t>
      </w:r>
      <w:r w:rsidR="008205F8" w:rsidRPr="00864F84">
        <w:rPr>
          <w:rFonts w:ascii="Times New Roman" w:hAnsi="Times New Roman"/>
          <w:szCs w:val="24"/>
        </w:rPr>
        <w:t>-</w:t>
      </w:r>
      <w:r w:rsidR="00805AA6" w:rsidRPr="00864F84">
        <w:rPr>
          <w:rFonts w:ascii="Times New Roman" w:hAnsi="Times New Roman"/>
          <w:szCs w:val="24"/>
        </w:rPr>
        <w:t xml:space="preserve">establishment firms that </w:t>
      </w:r>
      <w:r w:rsidR="008205F8" w:rsidRPr="00864F84">
        <w:rPr>
          <w:rFonts w:ascii="Times New Roman" w:hAnsi="Times New Roman"/>
          <w:szCs w:val="24"/>
        </w:rPr>
        <w:t>start</w:t>
      </w:r>
      <w:r w:rsidR="00A030D6">
        <w:rPr>
          <w:rFonts w:ascii="Times New Roman" w:hAnsi="Times New Roman"/>
          <w:szCs w:val="24"/>
        </w:rPr>
        <w:t>ed</w:t>
      </w:r>
      <w:r w:rsidR="00805AA6" w:rsidRPr="00864F84">
        <w:rPr>
          <w:rFonts w:ascii="Times New Roman" w:hAnsi="Times New Roman"/>
          <w:szCs w:val="24"/>
        </w:rPr>
        <w:t xml:space="preserve"> business operations so late in 2017</w:t>
      </w:r>
      <w:r w:rsidR="00B85DC0">
        <w:rPr>
          <w:rFonts w:ascii="Times New Roman" w:hAnsi="Times New Roman"/>
          <w:szCs w:val="24"/>
        </w:rPr>
        <w:t xml:space="preserve"> (mostly in the 4</w:t>
      </w:r>
      <w:r w:rsidR="00B85DC0" w:rsidRPr="00B85DC0">
        <w:rPr>
          <w:rFonts w:ascii="Times New Roman" w:hAnsi="Times New Roman"/>
          <w:szCs w:val="24"/>
          <w:vertAlign w:val="superscript"/>
        </w:rPr>
        <w:t>th</w:t>
      </w:r>
      <w:r w:rsidR="00F92C7D">
        <w:rPr>
          <w:rFonts w:ascii="Times New Roman" w:hAnsi="Times New Roman"/>
          <w:szCs w:val="24"/>
        </w:rPr>
        <w:t xml:space="preserve"> quarter)</w:t>
      </w:r>
      <w:r w:rsidR="00805AA6" w:rsidRPr="00864F84">
        <w:rPr>
          <w:rFonts w:ascii="Times New Roman" w:hAnsi="Times New Roman"/>
          <w:szCs w:val="24"/>
        </w:rPr>
        <w:t xml:space="preserve"> </w:t>
      </w:r>
      <w:r w:rsidR="005B68D6" w:rsidRPr="00864F84">
        <w:rPr>
          <w:rFonts w:ascii="Times New Roman" w:hAnsi="Times New Roman"/>
          <w:szCs w:val="24"/>
        </w:rPr>
        <w:t>that</w:t>
      </w:r>
      <w:r w:rsidR="00805AA6" w:rsidRPr="00864F84">
        <w:rPr>
          <w:rFonts w:ascii="Times New Roman" w:hAnsi="Times New Roman"/>
          <w:szCs w:val="24"/>
        </w:rPr>
        <w:t xml:space="preserve"> their </w:t>
      </w:r>
      <w:r w:rsidR="008F1C2A" w:rsidRPr="00864F84">
        <w:rPr>
          <w:rFonts w:ascii="Times New Roman" w:hAnsi="Times New Roman"/>
          <w:szCs w:val="24"/>
        </w:rPr>
        <w:t xml:space="preserve">(2017) </w:t>
      </w:r>
      <w:r w:rsidR="005B68D6" w:rsidRPr="00864F84">
        <w:rPr>
          <w:rFonts w:ascii="Times New Roman" w:hAnsi="Times New Roman"/>
          <w:szCs w:val="24"/>
        </w:rPr>
        <w:t xml:space="preserve">administrative payroll </w:t>
      </w:r>
      <w:r w:rsidR="008205F8" w:rsidRPr="00864F84">
        <w:rPr>
          <w:rFonts w:ascii="Times New Roman" w:hAnsi="Times New Roman"/>
          <w:szCs w:val="24"/>
        </w:rPr>
        <w:t>will</w:t>
      </w:r>
      <w:r w:rsidR="005B68D6" w:rsidRPr="00864F84">
        <w:rPr>
          <w:rFonts w:ascii="Times New Roman" w:hAnsi="Times New Roman"/>
          <w:szCs w:val="24"/>
        </w:rPr>
        <w:t xml:space="preserve"> not </w:t>
      </w:r>
      <w:r w:rsidR="008205F8" w:rsidRPr="00864F84">
        <w:rPr>
          <w:rFonts w:ascii="Times New Roman" w:hAnsi="Times New Roman"/>
          <w:szCs w:val="24"/>
        </w:rPr>
        <w:t xml:space="preserve">be </w:t>
      </w:r>
      <w:r w:rsidR="00627A85" w:rsidRPr="00864F84">
        <w:rPr>
          <w:rFonts w:ascii="Times New Roman" w:hAnsi="Times New Roman"/>
          <w:szCs w:val="24"/>
        </w:rPr>
        <w:t xml:space="preserve">received </w:t>
      </w:r>
      <w:r w:rsidR="008205F8" w:rsidRPr="00864F84">
        <w:rPr>
          <w:rFonts w:ascii="Times New Roman" w:hAnsi="Times New Roman"/>
          <w:szCs w:val="24"/>
        </w:rPr>
        <w:t>b</w:t>
      </w:r>
      <w:r w:rsidR="00627A85" w:rsidRPr="00864F84">
        <w:rPr>
          <w:rFonts w:ascii="Times New Roman" w:hAnsi="Times New Roman"/>
          <w:szCs w:val="24"/>
        </w:rPr>
        <w:t>y</w:t>
      </w:r>
      <w:r w:rsidR="005B68D6" w:rsidRPr="00864F84">
        <w:rPr>
          <w:rFonts w:ascii="Times New Roman" w:hAnsi="Times New Roman"/>
          <w:szCs w:val="24"/>
        </w:rPr>
        <w:t xml:space="preserve"> the Census Bureau until after the </w:t>
      </w:r>
      <w:r w:rsidR="00674A3F" w:rsidRPr="00864F84">
        <w:rPr>
          <w:rFonts w:ascii="Times New Roman" w:hAnsi="Times New Roman"/>
          <w:szCs w:val="24"/>
        </w:rPr>
        <w:t xml:space="preserve">2017 </w:t>
      </w:r>
      <w:r w:rsidR="005B68D6" w:rsidRPr="00864F84">
        <w:rPr>
          <w:rFonts w:ascii="Times New Roman" w:hAnsi="Times New Roman"/>
          <w:szCs w:val="24"/>
        </w:rPr>
        <w:t xml:space="preserve">sample </w:t>
      </w:r>
      <w:r w:rsidR="008205F8" w:rsidRPr="00864F84">
        <w:rPr>
          <w:rFonts w:ascii="Times New Roman" w:hAnsi="Times New Roman"/>
          <w:szCs w:val="24"/>
        </w:rPr>
        <w:t>is</w:t>
      </w:r>
      <w:r w:rsidR="00AF4B36" w:rsidRPr="00864F84">
        <w:rPr>
          <w:rFonts w:ascii="Times New Roman" w:hAnsi="Times New Roman"/>
          <w:szCs w:val="24"/>
        </w:rPr>
        <w:t xml:space="preserve"> selected – roughly 2</w:t>
      </w:r>
      <w:r w:rsidR="00B85DC0">
        <w:rPr>
          <w:rFonts w:ascii="Times New Roman" w:hAnsi="Times New Roman"/>
          <w:szCs w:val="24"/>
        </w:rPr>
        <w:t>6</w:t>
      </w:r>
      <w:r w:rsidR="00AF4B36" w:rsidRPr="00864F84">
        <w:rPr>
          <w:rFonts w:ascii="Times New Roman" w:hAnsi="Times New Roman"/>
          <w:szCs w:val="24"/>
        </w:rPr>
        <w:t>0,000 firms.</w:t>
      </w:r>
      <w:r w:rsidR="00B85DC0">
        <w:rPr>
          <w:rFonts w:ascii="Times New Roman" w:hAnsi="Times New Roman"/>
          <w:szCs w:val="24"/>
        </w:rPr>
        <w:t xml:space="preserve">  These are referred to as “4</w:t>
      </w:r>
      <w:r w:rsidR="00B85DC0" w:rsidRPr="00B85DC0">
        <w:rPr>
          <w:rFonts w:ascii="Times New Roman" w:hAnsi="Times New Roman"/>
          <w:szCs w:val="24"/>
          <w:vertAlign w:val="superscript"/>
        </w:rPr>
        <w:t>th</w:t>
      </w:r>
      <w:r w:rsidR="00B85DC0">
        <w:rPr>
          <w:rFonts w:ascii="Times New Roman" w:hAnsi="Times New Roman"/>
          <w:szCs w:val="24"/>
        </w:rPr>
        <w:t xml:space="preserve"> Quarter Births” in the table above.</w:t>
      </w:r>
    </w:p>
    <w:p w:rsidR="00C13C80" w:rsidRPr="00864F84" w:rsidRDefault="00C13C80" w:rsidP="00C13C80">
      <w:pPr>
        <w:pStyle w:val="ListParagraph"/>
        <w:ind w:left="1440"/>
        <w:rPr>
          <w:rFonts w:ascii="Times New Roman" w:hAnsi="Times New Roman"/>
          <w:szCs w:val="24"/>
        </w:rPr>
      </w:pPr>
    </w:p>
    <w:p w:rsidR="0024397A" w:rsidRPr="00864F84" w:rsidRDefault="00B0337F" w:rsidP="00891FB7">
      <w:pPr>
        <w:pStyle w:val="ListParagraph"/>
        <w:rPr>
          <w:rFonts w:ascii="Times New Roman" w:hAnsi="Times New Roman"/>
          <w:szCs w:val="24"/>
        </w:rPr>
      </w:pPr>
      <w:r w:rsidRPr="00864F84">
        <w:rPr>
          <w:rFonts w:ascii="Times New Roman" w:hAnsi="Times New Roman"/>
          <w:szCs w:val="24"/>
        </w:rPr>
        <w:t>For the non-sample component, t</w:t>
      </w:r>
      <w:r w:rsidR="00CA73D8" w:rsidRPr="00864F84">
        <w:rPr>
          <w:rFonts w:ascii="Times New Roman" w:hAnsi="Times New Roman"/>
          <w:szCs w:val="24"/>
        </w:rPr>
        <w:t xml:space="preserve">he </w:t>
      </w:r>
      <w:r w:rsidR="00850C11" w:rsidRPr="00864F84">
        <w:rPr>
          <w:rFonts w:ascii="Times New Roman" w:hAnsi="Times New Roman"/>
          <w:szCs w:val="24"/>
        </w:rPr>
        <w:t>Economic C</w:t>
      </w:r>
      <w:r w:rsidR="00CA73D8" w:rsidRPr="00864F84">
        <w:rPr>
          <w:rFonts w:ascii="Times New Roman" w:hAnsi="Times New Roman"/>
          <w:szCs w:val="24"/>
        </w:rPr>
        <w:t xml:space="preserve">ensus will </w:t>
      </w:r>
      <w:r w:rsidR="007E0BD6" w:rsidRPr="00864F84">
        <w:rPr>
          <w:rFonts w:ascii="Times New Roman" w:hAnsi="Times New Roman"/>
          <w:szCs w:val="24"/>
        </w:rPr>
        <w:t xml:space="preserve">use administrative data from other Federal agencies </w:t>
      </w:r>
      <w:r w:rsidR="00850C11" w:rsidRPr="00864F84">
        <w:rPr>
          <w:rFonts w:ascii="Times New Roman" w:hAnsi="Times New Roman"/>
          <w:szCs w:val="24"/>
        </w:rPr>
        <w:t xml:space="preserve">and imputation </w:t>
      </w:r>
      <w:r w:rsidRPr="00864F84">
        <w:rPr>
          <w:rFonts w:ascii="Times New Roman" w:hAnsi="Times New Roman"/>
          <w:szCs w:val="24"/>
        </w:rPr>
        <w:t>in lieu of requiring a response from these single-establishment firms.  However, some of these establishments will receive a</w:t>
      </w:r>
      <w:r w:rsidR="00850C11" w:rsidRPr="00864F84">
        <w:rPr>
          <w:rFonts w:ascii="Times New Roman" w:hAnsi="Times New Roman"/>
          <w:szCs w:val="24"/>
        </w:rPr>
        <w:t>n Economic</w:t>
      </w:r>
      <w:r w:rsidRPr="00864F84">
        <w:rPr>
          <w:rFonts w:ascii="Times New Roman" w:hAnsi="Times New Roman"/>
          <w:szCs w:val="24"/>
        </w:rPr>
        <w:t xml:space="preserve"> </w:t>
      </w:r>
      <w:r w:rsidR="001C57B6" w:rsidRPr="00864F84">
        <w:rPr>
          <w:rFonts w:ascii="Times New Roman" w:hAnsi="Times New Roman"/>
          <w:szCs w:val="24"/>
        </w:rPr>
        <w:t xml:space="preserve">Census </w:t>
      </w:r>
      <w:r w:rsidR="00AF5C9D" w:rsidRPr="00864F84">
        <w:rPr>
          <w:rFonts w:ascii="Times New Roman" w:hAnsi="Times New Roman"/>
          <w:szCs w:val="24"/>
        </w:rPr>
        <w:t xml:space="preserve">request for </w:t>
      </w:r>
      <w:r w:rsidRPr="00864F84">
        <w:rPr>
          <w:rFonts w:ascii="Times New Roman" w:hAnsi="Times New Roman"/>
          <w:szCs w:val="24"/>
        </w:rPr>
        <w:t xml:space="preserve">industry classification information so that we can accurately tabulate the establishment’s administrative data in the correct industry.  The column, “Classification </w:t>
      </w:r>
      <w:r w:rsidR="008F1C2A" w:rsidRPr="00864F84">
        <w:rPr>
          <w:rFonts w:ascii="Times New Roman" w:hAnsi="Times New Roman"/>
          <w:szCs w:val="24"/>
        </w:rPr>
        <w:t>Information Required</w:t>
      </w:r>
      <w:r w:rsidRPr="00864F84">
        <w:rPr>
          <w:rFonts w:ascii="Times New Roman" w:hAnsi="Times New Roman"/>
          <w:szCs w:val="24"/>
        </w:rPr>
        <w:t xml:space="preserve">” </w:t>
      </w:r>
      <w:r w:rsidR="00AF5C9D" w:rsidRPr="00864F84">
        <w:rPr>
          <w:rFonts w:ascii="Times New Roman" w:hAnsi="Times New Roman"/>
          <w:szCs w:val="24"/>
        </w:rPr>
        <w:t>in</w:t>
      </w:r>
      <w:r w:rsidR="00B315A8" w:rsidRPr="00864F84">
        <w:rPr>
          <w:rFonts w:ascii="Times New Roman" w:hAnsi="Times New Roman"/>
          <w:szCs w:val="24"/>
        </w:rPr>
        <w:t xml:space="preserve"> Table 2 above </w:t>
      </w:r>
      <w:r w:rsidRPr="00864F84">
        <w:rPr>
          <w:rFonts w:ascii="Times New Roman" w:hAnsi="Times New Roman"/>
          <w:szCs w:val="24"/>
        </w:rPr>
        <w:t xml:space="preserve">indicates the </w:t>
      </w:r>
      <w:r w:rsidR="00F03536" w:rsidRPr="00864F84">
        <w:rPr>
          <w:rFonts w:ascii="Times New Roman" w:hAnsi="Times New Roman"/>
          <w:szCs w:val="24"/>
        </w:rPr>
        <w:t xml:space="preserve">expected </w:t>
      </w:r>
      <w:r w:rsidRPr="00864F84">
        <w:rPr>
          <w:rFonts w:ascii="Times New Roman" w:hAnsi="Times New Roman"/>
          <w:szCs w:val="24"/>
        </w:rPr>
        <w:t xml:space="preserve">number of </w:t>
      </w:r>
      <w:r w:rsidR="00F03536" w:rsidRPr="00864F84">
        <w:rPr>
          <w:rFonts w:ascii="Times New Roman" w:hAnsi="Times New Roman"/>
          <w:szCs w:val="24"/>
        </w:rPr>
        <w:t xml:space="preserve">single-establishment firms that will be required to provide this classification information.  </w:t>
      </w:r>
    </w:p>
    <w:p w:rsidR="005B68D6" w:rsidRPr="00864F84" w:rsidRDefault="005B68D6">
      <w:pPr>
        <w:ind w:left="1080"/>
        <w:rPr>
          <w:rFonts w:ascii="Times New Roman" w:hAnsi="Times New Roman"/>
          <w:szCs w:val="24"/>
        </w:rPr>
      </w:pPr>
    </w:p>
    <w:p w:rsidR="0024397A" w:rsidRPr="00864F84" w:rsidRDefault="00B315A8" w:rsidP="00891FB7">
      <w:pPr>
        <w:spacing w:after="240"/>
        <w:ind w:left="720" w:hanging="360"/>
        <w:rPr>
          <w:rFonts w:ascii="Times New Roman" w:hAnsi="Times New Roman"/>
          <w:szCs w:val="24"/>
        </w:rPr>
      </w:pPr>
      <w:r w:rsidRPr="00864F84">
        <w:rPr>
          <w:rFonts w:ascii="Times New Roman" w:hAnsi="Times New Roman"/>
          <w:szCs w:val="24"/>
        </w:rPr>
        <w:t xml:space="preserve">c. </w:t>
      </w:r>
      <w:r w:rsidR="00891FB7" w:rsidRPr="00864F84">
        <w:rPr>
          <w:rFonts w:ascii="Times New Roman" w:hAnsi="Times New Roman"/>
          <w:szCs w:val="24"/>
        </w:rPr>
        <w:tab/>
      </w:r>
      <w:r w:rsidRPr="00864F84">
        <w:rPr>
          <w:rFonts w:ascii="Times New Roman" w:hAnsi="Times New Roman"/>
          <w:szCs w:val="24"/>
        </w:rPr>
        <w:t xml:space="preserve">Response </w:t>
      </w:r>
      <w:r w:rsidR="00862256">
        <w:rPr>
          <w:rFonts w:ascii="Times New Roman" w:hAnsi="Times New Roman"/>
          <w:szCs w:val="24"/>
        </w:rPr>
        <w:t>Metrics</w:t>
      </w:r>
    </w:p>
    <w:p w:rsidR="00466487" w:rsidRPr="00FD52FB" w:rsidRDefault="00466487" w:rsidP="004E04CB">
      <w:pPr>
        <w:widowControl/>
        <w:spacing w:after="200" w:line="276" w:lineRule="auto"/>
        <w:ind w:firstLine="720"/>
        <w:rPr>
          <w:rFonts w:ascii="Times New Roman" w:eastAsiaTheme="minorHAnsi" w:hAnsi="Times New Roman"/>
          <w:snapToGrid/>
          <w:szCs w:val="24"/>
          <w:u w:val="single"/>
        </w:rPr>
      </w:pPr>
      <w:r w:rsidRPr="00FD52FB">
        <w:rPr>
          <w:rFonts w:ascii="Times New Roman" w:eastAsiaTheme="minorHAnsi" w:hAnsi="Times New Roman"/>
          <w:snapToGrid/>
          <w:szCs w:val="24"/>
          <w:u w:val="single"/>
        </w:rPr>
        <w:t>Definitions and Formulae</w:t>
      </w:r>
    </w:p>
    <w:p w:rsidR="00466487" w:rsidRPr="00B71354" w:rsidRDefault="00466487" w:rsidP="00B71354">
      <w:pPr>
        <w:pStyle w:val="ListParagraph"/>
        <w:rPr>
          <w:rFonts w:ascii="Times New Roman" w:eastAsiaTheme="minorHAnsi" w:hAnsi="Times New Roman"/>
          <w:snapToGrid/>
        </w:rPr>
      </w:pPr>
      <w:r w:rsidRPr="00B71354">
        <w:rPr>
          <w:rFonts w:ascii="Times New Roman" w:eastAsiaTheme="minorHAnsi" w:hAnsi="Times New Roman"/>
          <w:snapToGrid/>
        </w:rPr>
        <w:t>For the 2017 Economic Census, the Census Bureau will calculate official measures of response rates according to OMB’s standards (Office and Management and Budget Standards and Guidelines for Statistical Surveys, September, 2006).  For recent past economic censuses, the check-in rate was used to measure, monitor, and manage data collection and response.  The check-in rate is calculated as the ratio of the number of reporting units</w:t>
      </w:r>
      <w:r w:rsidRPr="00B71354">
        <w:rPr>
          <w:rFonts w:ascii="Times New Roman" w:eastAsiaTheme="minorHAnsi" w:hAnsi="Times New Roman"/>
          <w:snapToGrid/>
          <w:vertAlign w:val="superscript"/>
        </w:rPr>
        <w:footnoteReference w:id="1"/>
      </w:r>
      <w:r w:rsidRPr="00B71354">
        <w:rPr>
          <w:rFonts w:ascii="Times New Roman" w:eastAsiaTheme="minorHAnsi" w:hAnsi="Times New Roman"/>
          <w:snapToGrid/>
        </w:rPr>
        <w:t xml:space="preserve"> returning</w:t>
      </w:r>
      <w:r w:rsidRPr="00B71354">
        <w:rPr>
          <w:rFonts w:ascii="Times New Roman" w:eastAsiaTheme="minorHAnsi" w:hAnsi="Times New Roman"/>
          <w:snapToGrid/>
          <w:vertAlign w:val="superscript"/>
        </w:rPr>
        <w:footnoteReference w:id="2"/>
      </w:r>
      <w:r w:rsidRPr="00B71354">
        <w:rPr>
          <w:rFonts w:ascii="Times New Roman" w:eastAsiaTheme="minorHAnsi" w:hAnsi="Times New Roman"/>
          <w:snapToGrid/>
        </w:rPr>
        <w:t xml:space="preserve"> a questionnaire to the number of reporting units mailed a request to complete a questionnaire:</w:t>
      </w:r>
    </w:p>
    <w:p w:rsidR="00466487" w:rsidRPr="00466487" w:rsidRDefault="00466487" w:rsidP="004E04CB">
      <w:pPr>
        <w:widowControl/>
        <w:spacing w:after="200" w:line="276" w:lineRule="auto"/>
        <w:ind w:left="720" w:firstLine="720"/>
        <w:jc w:val="center"/>
        <w:rPr>
          <w:rFonts w:ascii="Times New Roman" w:eastAsiaTheme="minorEastAsia" w:hAnsi="Times New Roman"/>
          <w:snapToGrid/>
          <w:szCs w:val="24"/>
        </w:rPr>
      </w:pPr>
      <m:oMathPara>
        <m:oMath>
          <m:r>
            <w:rPr>
              <w:rFonts w:ascii="Cambria Math" w:eastAsiaTheme="minorHAnsi" w:hAnsi="Cambria Math"/>
              <w:snapToGrid/>
              <w:szCs w:val="24"/>
            </w:rPr>
            <m:t>Check-in=</m:t>
          </m:r>
          <m:f>
            <m:fPr>
              <m:ctrlPr>
                <w:rPr>
                  <w:rFonts w:ascii="Cambria Math" w:eastAsiaTheme="minorHAnsi" w:hAnsi="Cambria Math"/>
                  <w:i/>
                  <w:snapToGrid/>
                  <w:szCs w:val="24"/>
                </w:rPr>
              </m:ctrlPr>
            </m:fPr>
            <m:num>
              <m:r>
                <w:rPr>
                  <w:rFonts w:ascii="Cambria Math" w:eastAsiaTheme="minorHAnsi" w:hAnsi="Cambria Math"/>
                  <w:snapToGrid/>
                  <w:szCs w:val="24"/>
                </w:rPr>
                <m:t># of reporting units that returned a questionnaire</m:t>
              </m:r>
            </m:num>
            <m:den>
              <m:r>
                <w:rPr>
                  <w:rFonts w:ascii="Cambria Math" w:eastAsiaTheme="minorHAnsi" w:hAnsi="Cambria Math"/>
                  <w:snapToGrid/>
                  <w:szCs w:val="24"/>
                </w:rPr>
                <m:t># of reporting units mailed a request to complete a questionnaire</m:t>
              </m:r>
            </m:den>
          </m:f>
        </m:oMath>
      </m:oMathPara>
    </w:p>
    <w:p w:rsidR="00466487" w:rsidRDefault="00466487" w:rsidP="00466487">
      <w:pPr>
        <w:widowControl/>
        <w:spacing w:after="200" w:line="276" w:lineRule="auto"/>
        <w:rPr>
          <w:rFonts w:ascii="Times New Roman" w:eastAsiaTheme="minorHAnsi" w:hAnsi="Times New Roman"/>
          <w:snapToGrid/>
          <w:szCs w:val="24"/>
        </w:rPr>
      </w:pPr>
    </w:p>
    <w:p w:rsidR="00466487" w:rsidRDefault="00466487" w:rsidP="00507C35">
      <w:pPr>
        <w:pStyle w:val="ListParagraph"/>
        <w:rPr>
          <w:rFonts w:ascii="Times New Roman" w:eastAsiaTheme="minorHAnsi" w:hAnsi="Times New Roman"/>
          <w:snapToGrid/>
        </w:rPr>
      </w:pPr>
      <w:r w:rsidRPr="00507C35">
        <w:rPr>
          <w:rFonts w:ascii="Times New Roman" w:eastAsiaTheme="minorHAnsi" w:hAnsi="Times New Roman"/>
          <w:snapToGrid/>
        </w:rPr>
        <w:t xml:space="preserve">The check-in rate is readily available in “real-time” during data collection, but does not incorporate information on the quality of the response data and the ability to consider them as respondent-reported data in summary statistics.  </w:t>
      </w:r>
    </w:p>
    <w:p w:rsidR="00507C35" w:rsidRPr="00507C35" w:rsidRDefault="00507C35" w:rsidP="00507C35">
      <w:pPr>
        <w:pStyle w:val="ListParagraph"/>
        <w:rPr>
          <w:rFonts w:ascii="Times New Roman" w:eastAsiaTheme="minorHAnsi" w:hAnsi="Times New Roman"/>
          <w:snapToGrid/>
        </w:rPr>
      </w:pPr>
    </w:p>
    <w:p w:rsidR="00466487" w:rsidRDefault="00466487" w:rsidP="00507C35">
      <w:pPr>
        <w:pStyle w:val="ListParagraph"/>
        <w:rPr>
          <w:rFonts w:ascii="Times New Roman" w:eastAsiaTheme="minorHAnsi" w:hAnsi="Times New Roman"/>
          <w:snapToGrid/>
        </w:rPr>
      </w:pPr>
      <w:r w:rsidRPr="00507C35">
        <w:rPr>
          <w:rFonts w:ascii="Times New Roman" w:eastAsiaTheme="minorHAnsi" w:hAnsi="Times New Roman"/>
          <w:snapToGrid/>
        </w:rPr>
        <w:t xml:space="preserve">The OMB standards indicate that response rates must be computed using standard formulas to measure the proportion of the eligible sample that is represented by the responding units in each study, as an indicator of potential nonresponse bias.  Both unweighted and weighted response rates should be calculated.  Additionally, weighted response rates should incorporate the probability of selection or, in the case of establishment surveys, the proportion of key characteristics that is represented by the responding units. </w:t>
      </w:r>
    </w:p>
    <w:p w:rsidR="00507C35" w:rsidRPr="00507C35" w:rsidRDefault="00507C35" w:rsidP="00507C35">
      <w:pPr>
        <w:pStyle w:val="ListParagraph"/>
        <w:rPr>
          <w:rFonts w:ascii="Times New Roman" w:eastAsiaTheme="minorHAnsi" w:hAnsi="Times New Roman"/>
          <w:snapToGrid/>
        </w:rPr>
      </w:pPr>
    </w:p>
    <w:p w:rsidR="00466487" w:rsidRPr="00507C35" w:rsidRDefault="00466487" w:rsidP="00507C35">
      <w:pPr>
        <w:pStyle w:val="ListParagraph"/>
        <w:rPr>
          <w:rFonts w:ascii="Times New Roman" w:eastAsiaTheme="minorHAnsi" w:hAnsi="Times New Roman"/>
          <w:snapToGrid/>
        </w:rPr>
      </w:pPr>
      <w:r w:rsidRPr="00507C35">
        <w:rPr>
          <w:rFonts w:ascii="Times New Roman" w:eastAsiaTheme="minorHAnsi" w:hAnsi="Times New Roman"/>
          <w:snapToGrid/>
        </w:rPr>
        <w:t>The OMB Unit Response Rate (URR) calculation uses only valid responses in the numerator of the ratio, and eliminates known ineligible reporting units from the denominator:</w:t>
      </w:r>
    </w:p>
    <w:p w:rsidR="00466487" w:rsidRPr="00466487" w:rsidRDefault="00466487" w:rsidP="004E04CB">
      <w:pPr>
        <w:widowControl/>
        <w:spacing w:after="200" w:line="276" w:lineRule="auto"/>
        <w:ind w:left="720"/>
        <w:rPr>
          <w:rFonts w:ascii="Times New Roman" w:eastAsiaTheme="minorHAnsi" w:hAnsi="Times New Roman"/>
          <w:snapToGrid/>
          <w:szCs w:val="24"/>
        </w:rPr>
      </w:pPr>
    </w:p>
    <w:p w:rsidR="00466487" w:rsidRPr="00466487" w:rsidRDefault="00466487" w:rsidP="004E04CB">
      <w:pPr>
        <w:widowControl/>
        <w:spacing w:after="200" w:line="276" w:lineRule="auto"/>
        <w:ind w:left="720"/>
        <w:rPr>
          <w:rFonts w:ascii="Times New Roman" w:eastAsiaTheme="minorEastAsia" w:hAnsi="Times New Roman"/>
          <w:snapToGrid/>
          <w:szCs w:val="24"/>
        </w:rPr>
      </w:pPr>
      <m:oMathPara>
        <m:oMath>
          <m:r>
            <w:rPr>
              <w:rFonts w:ascii="Cambria Math" w:eastAsiaTheme="minorHAnsi" w:hAnsi="Cambria Math"/>
              <w:snapToGrid/>
              <w:szCs w:val="24"/>
            </w:rPr>
            <m:t xml:space="preserve">URR= </m:t>
          </m:r>
          <m:f>
            <m:fPr>
              <m:ctrlPr>
                <w:rPr>
                  <w:rFonts w:ascii="Cambria Math" w:eastAsiaTheme="minorHAnsi" w:hAnsi="Cambria Math"/>
                  <w:i/>
                  <w:snapToGrid/>
                  <w:szCs w:val="24"/>
                </w:rPr>
              </m:ctrlPr>
            </m:fPr>
            <m:num>
              <m:r>
                <w:rPr>
                  <w:rFonts w:ascii="Cambria Math" w:eastAsiaTheme="minorHAnsi" w:hAnsi="Cambria Math"/>
                  <w:snapToGrid/>
                  <w:szCs w:val="24"/>
                </w:rPr>
                <m:t># of reporting units with valid responses</m:t>
              </m:r>
            </m:num>
            <m:den>
              <m:r>
                <w:rPr>
                  <w:rFonts w:ascii="Cambria Math" w:eastAsiaTheme="minorHAnsi" w:hAnsi="Cambria Math"/>
                  <w:snapToGrid/>
                  <w:szCs w:val="24"/>
                </w:rPr>
                <m:t># of eligib</m:t>
              </m:r>
              <m:r>
                <w:rPr>
                  <w:rFonts w:ascii="Cambria Math" w:eastAsiaTheme="minorHAnsi" w:hAnsi="Cambria Math"/>
                  <w:snapToGrid/>
                  <w:szCs w:val="24"/>
                </w:rPr>
                <m:t>le reporting units+# of reporting units with unknown eligibility</m:t>
              </m:r>
            </m:den>
          </m:f>
        </m:oMath>
      </m:oMathPara>
    </w:p>
    <w:p w:rsidR="00466487" w:rsidRPr="00466487" w:rsidRDefault="00466487" w:rsidP="004E04CB">
      <w:pPr>
        <w:widowControl/>
        <w:spacing w:after="200" w:line="276" w:lineRule="auto"/>
        <w:ind w:left="720"/>
        <w:rPr>
          <w:rFonts w:ascii="Times New Roman" w:eastAsiaTheme="minorEastAsia" w:hAnsi="Times New Roman"/>
          <w:snapToGrid/>
          <w:szCs w:val="24"/>
        </w:rPr>
      </w:pPr>
    </w:p>
    <w:p w:rsidR="00466487" w:rsidRDefault="00466487" w:rsidP="009B0300">
      <w:pPr>
        <w:pStyle w:val="ListParagraph"/>
        <w:rPr>
          <w:rFonts w:ascii="Times New Roman" w:eastAsiaTheme="minorEastAsia" w:hAnsi="Times New Roman"/>
          <w:snapToGrid/>
        </w:rPr>
      </w:pPr>
      <w:r w:rsidRPr="009B0300">
        <w:rPr>
          <w:rFonts w:ascii="Times New Roman" w:eastAsiaTheme="minorEastAsia" w:hAnsi="Times New Roman"/>
          <w:snapToGrid/>
        </w:rPr>
        <w:t xml:space="preserve">The URR is the </w:t>
      </w:r>
      <w:r w:rsidR="009B26DA">
        <w:rPr>
          <w:rFonts w:ascii="Times New Roman" w:eastAsiaTheme="minorEastAsia" w:hAnsi="Times New Roman"/>
          <w:snapToGrid/>
        </w:rPr>
        <w:t xml:space="preserve">percentage of reporting units, based on unweighted counts, that provide a valid response. </w:t>
      </w:r>
      <w:r w:rsidRPr="009B0300">
        <w:rPr>
          <w:rFonts w:ascii="Times New Roman" w:eastAsiaTheme="minorEastAsia" w:hAnsi="Times New Roman"/>
          <w:snapToGrid/>
        </w:rPr>
        <w:t xml:space="preserve">For the 2017 Economic Census, a valid response is defined to be a unit that reported total </w:t>
      </w:r>
      <w:r w:rsidR="001679CF">
        <w:rPr>
          <w:rFonts w:ascii="Times New Roman" w:eastAsiaTheme="minorEastAsia" w:hAnsi="Times New Roman"/>
          <w:snapToGrid/>
        </w:rPr>
        <w:t>value of shipments/</w:t>
      </w:r>
      <w:r w:rsidRPr="009B0300">
        <w:rPr>
          <w:rFonts w:ascii="Times New Roman" w:eastAsiaTheme="minorEastAsia" w:hAnsi="Times New Roman"/>
          <w:snapToGrid/>
        </w:rPr>
        <w:t>receipts</w:t>
      </w:r>
      <w:r w:rsidR="001679CF">
        <w:rPr>
          <w:rFonts w:ascii="Times New Roman" w:eastAsiaTheme="minorEastAsia" w:hAnsi="Times New Roman"/>
          <w:snapToGrid/>
        </w:rPr>
        <w:t>/revenue/sales</w:t>
      </w:r>
      <w:r w:rsidRPr="009B0300">
        <w:rPr>
          <w:rFonts w:ascii="Times New Roman" w:eastAsiaTheme="minorEastAsia" w:hAnsi="Times New Roman"/>
          <w:snapToGrid/>
        </w:rPr>
        <w:t xml:space="preserve"> (i.e., </w:t>
      </w:r>
      <w:r w:rsidR="00E5486E">
        <w:rPr>
          <w:rFonts w:ascii="Times New Roman" w:eastAsiaTheme="minorEastAsia" w:hAnsi="Times New Roman"/>
          <w:snapToGrid/>
        </w:rPr>
        <w:t>value of shipments/</w:t>
      </w:r>
      <w:r w:rsidRPr="009B0300">
        <w:rPr>
          <w:rFonts w:ascii="Times New Roman" w:eastAsiaTheme="minorEastAsia" w:hAnsi="Times New Roman"/>
          <w:snapToGrid/>
        </w:rPr>
        <w:t>receipts</w:t>
      </w:r>
      <w:r w:rsidR="00E5486E">
        <w:rPr>
          <w:rFonts w:ascii="Times New Roman" w:eastAsiaTheme="minorEastAsia" w:hAnsi="Times New Roman"/>
          <w:snapToGrid/>
        </w:rPr>
        <w:t>/revenue/sales</w:t>
      </w:r>
      <w:r w:rsidRPr="009B0300">
        <w:rPr>
          <w:rFonts w:ascii="Times New Roman" w:eastAsiaTheme="minorEastAsia" w:hAnsi="Times New Roman"/>
          <w:snapToGrid/>
        </w:rPr>
        <w:t xml:space="preserve"> ≥ $0).</w:t>
      </w:r>
    </w:p>
    <w:p w:rsidR="009B0300" w:rsidRPr="009B0300" w:rsidRDefault="009B0300" w:rsidP="009B0300">
      <w:pPr>
        <w:pStyle w:val="ListParagraph"/>
        <w:rPr>
          <w:rFonts w:ascii="Times New Roman" w:eastAsiaTheme="minorEastAsia" w:hAnsi="Times New Roman"/>
          <w:snapToGrid/>
        </w:rPr>
      </w:pPr>
    </w:p>
    <w:p w:rsidR="00466487" w:rsidRPr="00E13CF5" w:rsidRDefault="00466487" w:rsidP="00E13CF5">
      <w:pPr>
        <w:pStyle w:val="ListParagraph"/>
        <w:rPr>
          <w:rFonts w:ascii="Times New Roman" w:eastAsiaTheme="minorEastAsia" w:hAnsi="Times New Roman"/>
          <w:snapToGrid/>
        </w:rPr>
      </w:pPr>
      <w:r w:rsidRPr="00E13CF5">
        <w:rPr>
          <w:rFonts w:ascii="Times New Roman" w:eastAsiaTheme="minorEastAsia" w:hAnsi="Times New Roman"/>
          <w:snapToGrid/>
        </w:rPr>
        <w:t>It is not possible to accurately measure the URR during data collection, because eligibility and response validity are frequently not determined until after collection is completed, during the editing phases.  To monitor and manage response during data collection, a proxy URR will be calculated, as follows:</w:t>
      </w:r>
    </w:p>
    <w:p w:rsidR="00466487" w:rsidRPr="00466487" w:rsidRDefault="00466487" w:rsidP="004E04CB">
      <w:pPr>
        <w:widowControl/>
        <w:spacing w:after="200" w:line="276" w:lineRule="auto"/>
        <w:ind w:left="720"/>
        <w:rPr>
          <w:rFonts w:ascii="Times New Roman" w:eastAsiaTheme="minorEastAsia" w:hAnsi="Times New Roman"/>
          <w:snapToGrid/>
          <w:szCs w:val="24"/>
        </w:rPr>
      </w:pPr>
    </w:p>
    <w:p w:rsidR="00466487" w:rsidRPr="00466487" w:rsidRDefault="00466487" w:rsidP="004E04CB">
      <w:pPr>
        <w:widowControl/>
        <w:spacing w:after="200" w:line="276" w:lineRule="auto"/>
        <w:ind w:left="720"/>
        <w:rPr>
          <w:rFonts w:ascii="Times New Roman" w:eastAsiaTheme="minorEastAsia" w:hAnsi="Times New Roman"/>
          <w:snapToGrid/>
          <w:szCs w:val="24"/>
        </w:rPr>
      </w:pPr>
      <m:oMathPara>
        <m:oMath>
          <m:r>
            <w:rPr>
              <w:rFonts w:ascii="Cambria Math" w:eastAsiaTheme="minorHAnsi" w:hAnsi="Cambria Math"/>
              <w:snapToGrid/>
              <w:szCs w:val="24"/>
            </w:rPr>
            <m:t>Pro</m:t>
          </m:r>
          <m:r>
            <w:rPr>
              <w:rFonts w:ascii="Cambria Math" w:eastAsiaTheme="minorHAnsi" w:hAnsi="Cambria Math"/>
              <w:snapToGrid/>
              <w:szCs w:val="24"/>
            </w:rPr>
            <m:t xml:space="preserve">xy URR= </m:t>
          </m:r>
          <m:f>
            <m:fPr>
              <m:ctrlPr>
                <w:rPr>
                  <w:rFonts w:ascii="Cambria Math" w:eastAsiaTheme="minorHAnsi" w:hAnsi="Cambria Math"/>
                  <w:i/>
                  <w:snapToGrid/>
                  <w:szCs w:val="24"/>
                </w:rPr>
              </m:ctrlPr>
            </m:fPr>
            <m:num>
              <m:r>
                <w:rPr>
                  <w:rFonts w:ascii="Cambria Math" w:eastAsiaTheme="minorHAnsi" w:hAnsi="Cambria Math"/>
                  <w:snapToGrid/>
                  <w:szCs w:val="24"/>
                </w:rPr>
                <m:t># of reporting units that returned a questionnaire with receipts ≥0</m:t>
              </m:r>
            </m:num>
            <m:den>
              <m:r>
                <w:rPr>
                  <w:rFonts w:ascii="Cambria Math" w:eastAsiaTheme="minorHAnsi" w:hAnsi="Cambria Math"/>
                  <w:snapToGrid/>
                  <w:szCs w:val="24"/>
                </w:rPr>
                <m:t># of reporting units mailed a request to complete a questionnaire</m:t>
              </m:r>
            </m:den>
          </m:f>
        </m:oMath>
      </m:oMathPara>
    </w:p>
    <w:p w:rsidR="00466487" w:rsidRDefault="00466487" w:rsidP="00B45489">
      <w:pPr>
        <w:pStyle w:val="ListParagraph"/>
        <w:rPr>
          <w:rFonts w:ascii="Times New Roman" w:eastAsiaTheme="minorEastAsia" w:hAnsi="Times New Roman"/>
          <w:snapToGrid/>
        </w:rPr>
      </w:pPr>
      <w:r w:rsidRPr="00B45489">
        <w:rPr>
          <w:rFonts w:ascii="Times New Roman" w:eastAsiaTheme="minorEastAsia" w:hAnsi="Times New Roman"/>
          <w:snapToGrid/>
        </w:rPr>
        <w:t>Research using 2012 Economic Census data has shown that the proxy URR appears to better reflect the URR than the check-in rate.</w:t>
      </w:r>
    </w:p>
    <w:p w:rsidR="00B45489" w:rsidRPr="00B45489" w:rsidRDefault="00B45489" w:rsidP="00B45489">
      <w:pPr>
        <w:pStyle w:val="ListParagraph"/>
        <w:rPr>
          <w:rFonts w:ascii="Times New Roman" w:eastAsiaTheme="minorEastAsia" w:hAnsi="Times New Roman"/>
          <w:snapToGrid/>
        </w:rPr>
      </w:pPr>
    </w:p>
    <w:p w:rsidR="00466487" w:rsidRPr="00B45489" w:rsidRDefault="00466487" w:rsidP="00B45489">
      <w:pPr>
        <w:pStyle w:val="ListParagraph"/>
        <w:rPr>
          <w:rFonts w:ascii="Times New Roman" w:eastAsiaTheme="minorEastAsia" w:hAnsi="Times New Roman"/>
          <w:snapToGrid/>
        </w:rPr>
      </w:pPr>
      <w:r w:rsidRPr="00B45489">
        <w:rPr>
          <w:rFonts w:ascii="Times New Roman" w:eastAsiaTheme="minorEastAsia" w:hAnsi="Times New Roman"/>
          <w:snapToGrid/>
        </w:rPr>
        <w:t>The OMB standards also define a weighted item response rate, where the item of interest is a quantity of primary interest for the survey.  The Census Bureau defines the Quantity and Total Quantity Response Rates (QRR and TQRR) as item-level indicators of the "quality" of each estimate.  Both are weighted response measures that take the size of the tabulating unit</w:t>
      </w:r>
      <w:r w:rsidRPr="00B45489">
        <w:rPr>
          <w:rFonts w:ascii="Times New Roman" w:eastAsiaTheme="minorEastAsia" w:hAnsi="Times New Roman"/>
          <w:i/>
          <w:snapToGrid/>
          <w:vertAlign w:val="superscript"/>
        </w:rPr>
        <w:footnoteReference w:id="3"/>
      </w:r>
      <w:r w:rsidRPr="00B45489">
        <w:rPr>
          <w:rFonts w:ascii="Times New Roman" w:eastAsiaTheme="minorEastAsia" w:hAnsi="Times New Roman"/>
          <w:snapToGrid/>
        </w:rPr>
        <w:t xml:space="preserve"> into account as well as the associated sampling parameters.  The QRR measures the weighted proportion of an estimate obtained directly from the respondent for the survey.  The TQRR expands the rate to include data substituted from secondary sources considered to be equivalent-in-quality to reported data, such as businesses’ annual reports or data provided by respondents for other Census Bureau surveys.  </w:t>
      </w:r>
    </w:p>
    <w:p w:rsidR="00466487" w:rsidRPr="00466487" w:rsidRDefault="00466487" w:rsidP="004E04CB">
      <w:pPr>
        <w:widowControl/>
        <w:spacing w:after="200" w:line="276" w:lineRule="auto"/>
        <w:ind w:left="720"/>
        <w:rPr>
          <w:rFonts w:ascii="Times New Roman" w:eastAsiaTheme="minorEastAsia" w:hAnsi="Times New Roman"/>
          <w:snapToGrid/>
          <w:szCs w:val="24"/>
        </w:rPr>
      </w:pPr>
    </w:p>
    <w:p w:rsidR="00466487" w:rsidRPr="00B45489" w:rsidRDefault="00466487" w:rsidP="00B45489">
      <w:pPr>
        <w:pStyle w:val="ListParagraph"/>
        <w:rPr>
          <w:rFonts w:ascii="Times New Roman" w:eastAsiaTheme="minorEastAsia" w:hAnsi="Times New Roman"/>
          <w:snapToGrid/>
        </w:rPr>
      </w:pPr>
      <w:r w:rsidRPr="00B45489">
        <w:rPr>
          <w:rFonts w:ascii="Times New Roman" w:eastAsiaTheme="minorEastAsia" w:hAnsi="Times New Roman"/>
          <w:snapToGrid/>
        </w:rPr>
        <w:t xml:space="preserve">For a data item </w:t>
      </w:r>
      <w:r w:rsidRPr="00B45489">
        <w:rPr>
          <w:rFonts w:ascii="Times New Roman" w:eastAsiaTheme="minorEastAsia" w:hAnsi="Times New Roman"/>
          <w:i/>
          <w:snapToGrid/>
        </w:rPr>
        <w:t>t</w:t>
      </w:r>
      <w:r w:rsidRPr="00B45489">
        <w:rPr>
          <w:rFonts w:ascii="Times New Roman" w:eastAsiaTheme="minorEastAsia" w:hAnsi="Times New Roman"/>
          <w:snapToGrid/>
        </w:rPr>
        <w:t>, the QRR and TQRR are defined below:</w:t>
      </w:r>
    </w:p>
    <w:p w:rsidR="00466487" w:rsidRPr="00466487" w:rsidRDefault="00466487" w:rsidP="004E04CB">
      <w:pPr>
        <w:widowControl/>
        <w:spacing w:after="200" w:line="276" w:lineRule="auto"/>
        <w:ind w:left="720" w:firstLine="720"/>
        <w:rPr>
          <w:rFonts w:ascii="Times New Roman" w:eastAsiaTheme="minorEastAsia" w:hAnsi="Times New Roman"/>
          <w:snapToGrid/>
          <w:szCs w:val="24"/>
        </w:rPr>
      </w:pPr>
      <m:oMathPara>
        <m:oMath>
          <m:r>
            <w:rPr>
              <w:rFonts w:ascii="Cambria Math" w:eastAsiaTheme="minorEastAsia" w:hAnsi="Cambria Math"/>
              <w:snapToGrid/>
              <w:szCs w:val="24"/>
            </w:rPr>
            <m:t>QRR(t)=</m:t>
          </m:r>
          <m:d>
            <m:dPr>
              <m:begChr m:val="["/>
              <m:endChr m:val="]"/>
              <m:ctrlPr>
                <w:rPr>
                  <w:rFonts w:ascii="Cambria Math" w:eastAsiaTheme="minorEastAsia" w:hAnsi="Cambria Math"/>
                  <w:i/>
                  <w:snapToGrid/>
                  <w:szCs w:val="24"/>
                </w:rPr>
              </m:ctrlPr>
            </m:dPr>
            <m:e>
              <m:f>
                <m:fPr>
                  <m:ctrlPr>
                    <w:rPr>
                      <w:rFonts w:ascii="Cambria Math" w:eastAsiaTheme="minorEastAsia" w:hAnsi="Cambria Math"/>
                      <w:i/>
                      <w:snapToGrid/>
                      <w:szCs w:val="24"/>
                    </w:rPr>
                  </m:ctrlPr>
                </m:fPr>
                <m:num>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d>
                        <m:dPr>
                          <m:ctrlPr>
                            <w:rPr>
                              <w:rFonts w:ascii="Cambria Math" w:eastAsiaTheme="minorEastAsia" w:hAnsi="Cambria Math"/>
                              <w:i/>
                              <w:snapToGrid/>
                              <w:szCs w:val="24"/>
                            </w:rPr>
                          </m:ctrlPr>
                        </m:dPr>
                        <m:e>
                          <m:sSub>
                            <m:sSubPr>
                              <m:ctrlPr>
                                <w:rPr>
                                  <w:rFonts w:ascii="Cambria Math" w:eastAsiaTheme="minorEastAsia" w:hAnsi="Cambria Math"/>
                                  <w:i/>
                                  <w:snapToGrid/>
                                  <w:szCs w:val="24"/>
                                </w:rPr>
                              </m:ctrlPr>
                            </m:sSubPr>
                            <m:e>
                              <m:r>
                                <w:rPr>
                                  <w:rFonts w:ascii="Cambria Math" w:eastAsiaTheme="minorEastAsia" w:hAnsi="Cambria Math"/>
                                  <w:snapToGrid/>
                                  <w:szCs w:val="24"/>
                                </w:rPr>
                                <m:t>r</m:t>
                              </m:r>
                            </m:e>
                            <m:sub>
                              <m:r>
                                <w:rPr>
                                  <w:rFonts w:ascii="Cambria Math" w:eastAsiaTheme="minorEastAsia" w:hAnsi="Cambria Math"/>
                                  <w:snapToGrid/>
                                  <w:szCs w:val="24"/>
                                </w:rPr>
                                <m:t>ti</m:t>
                              </m:r>
                            </m:sub>
                          </m:sSub>
                        </m:e>
                      </m:d>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e>
                  </m:nary>
                </m:num>
                <m:den>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e>
                  </m:nary>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den>
              </m:f>
            </m:e>
          </m:d>
          <m:r>
            <w:rPr>
              <w:rFonts w:ascii="Cambria Math" w:eastAsiaTheme="minorEastAsia" w:hAnsi="Cambria Math"/>
              <w:snapToGrid/>
              <w:szCs w:val="24"/>
            </w:rPr>
            <m:t>×100</m:t>
          </m:r>
        </m:oMath>
      </m:oMathPara>
    </w:p>
    <w:p w:rsidR="00466487" w:rsidRPr="00466487" w:rsidRDefault="00466487" w:rsidP="004E04CB">
      <w:pPr>
        <w:widowControl/>
        <w:spacing w:after="200" w:line="276" w:lineRule="auto"/>
        <w:ind w:left="720" w:firstLine="720"/>
        <w:rPr>
          <w:rFonts w:ascii="Times New Roman" w:eastAsiaTheme="minorEastAsia" w:hAnsi="Times New Roman"/>
          <w:snapToGrid/>
          <w:szCs w:val="24"/>
        </w:rPr>
      </w:pPr>
      <m:oMath>
        <m:r>
          <w:rPr>
            <w:rFonts w:ascii="Cambria Math" w:eastAsiaTheme="minorEastAsia" w:hAnsi="Cambria Math"/>
            <w:snapToGrid/>
            <w:szCs w:val="24"/>
          </w:rPr>
          <m:t>TQRR(t)=</m:t>
        </m:r>
        <m:d>
          <m:dPr>
            <m:begChr m:val="["/>
            <m:endChr m:val="]"/>
            <m:ctrlPr>
              <w:rPr>
                <w:rFonts w:ascii="Cambria Math" w:eastAsiaTheme="minorEastAsia" w:hAnsi="Cambria Math"/>
                <w:i/>
                <w:snapToGrid/>
                <w:szCs w:val="24"/>
              </w:rPr>
            </m:ctrlPr>
          </m:dPr>
          <m:e>
            <m:f>
              <m:fPr>
                <m:ctrlPr>
                  <w:rPr>
                    <w:rFonts w:ascii="Cambria Math" w:eastAsiaTheme="minorEastAsia" w:hAnsi="Cambria Math"/>
                    <w:i/>
                    <w:snapToGrid/>
                    <w:szCs w:val="24"/>
                  </w:rPr>
                </m:ctrlPr>
              </m:fPr>
              <m:num>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d>
                      <m:dPr>
                        <m:ctrlPr>
                          <w:rPr>
                            <w:rFonts w:ascii="Cambria Math" w:eastAsiaTheme="minorEastAsia" w:hAnsi="Cambria Math"/>
                            <w:i/>
                            <w:snapToGrid/>
                            <w:szCs w:val="24"/>
                          </w:rPr>
                        </m:ctrlPr>
                      </m:dPr>
                      <m:e>
                        <m:sSub>
                          <m:sSubPr>
                            <m:ctrlPr>
                              <w:rPr>
                                <w:rFonts w:ascii="Cambria Math" w:eastAsiaTheme="minorEastAsia" w:hAnsi="Cambria Math"/>
                                <w:i/>
                                <w:snapToGrid/>
                                <w:szCs w:val="24"/>
                              </w:rPr>
                            </m:ctrlPr>
                          </m:sSubPr>
                          <m:e>
                            <m:r>
                              <w:rPr>
                                <w:rFonts w:ascii="Cambria Math" w:eastAsiaTheme="minorEastAsia" w:hAnsi="Cambria Math"/>
                                <w:snapToGrid/>
                                <w:szCs w:val="24"/>
                              </w:rPr>
                              <m:t>r</m:t>
                            </m:r>
                          </m:e>
                          <m:sub>
                            <m:r>
                              <w:rPr>
                                <w:rFonts w:ascii="Cambria Math" w:eastAsiaTheme="minorEastAsia" w:hAnsi="Cambria Math"/>
                                <w:snapToGrid/>
                                <w:szCs w:val="24"/>
                              </w:rPr>
                              <m:t>ti</m:t>
                            </m:r>
                          </m:sub>
                        </m:sSub>
                        <m:r>
                          <w:rPr>
                            <w:rFonts w:ascii="Cambria Math" w:eastAsiaTheme="minorEastAsia" w:hAnsi="Cambria Math"/>
                            <w:snapToGrid/>
                            <w:szCs w:val="24"/>
                          </w:rPr>
                          <m:t>+</m:t>
                        </m:r>
                        <m:sSub>
                          <m:sSubPr>
                            <m:ctrlPr>
                              <w:rPr>
                                <w:rFonts w:ascii="Cambria Math" w:eastAsiaTheme="minorEastAsia" w:hAnsi="Cambria Math"/>
                                <w:i/>
                                <w:snapToGrid/>
                                <w:szCs w:val="24"/>
                              </w:rPr>
                            </m:ctrlPr>
                          </m:sSubPr>
                          <m:e>
                            <m:r>
                              <w:rPr>
                                <w:rFonts w:ascii="Cambria Math" w:eastAsiaTheme="minorEastAsia" w:hAnsi="Cambria Math"/>
                                <w:snapToGrid/>
                                <w:szCs w:val="24"/>
                              </w:rPr>
                              <m:t>q</m:t>
                            </m:r>
                          </m:e>
                          <m:sub>
                            <m:r>
                              <w:rPr>
                                <w:rFonts w:ascii="Cambria Math" w:eastAsiaTheme="minorEastAsia" w:hAnsi="Cambria Math"/>
                                <w:snapToGrid/>
                                <w:szCs w:val="24"/>
                              </w:rPr>
                              <m:t>ti</m:t>
                            </m:r>
                          </m:sub>
                        </m:sSub>
                      </m:e>
                    </m:d>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e>
                </m:nary>
              </m:num>
              <m:den>
                <m:nary>
                  <m:naryPr>
                    <m:chr m:val="∑"/>
                    <m:limLoc m:val="undOvr"/>
                    <m:ctrlPr>
                      <w:rPr>
                        <w:rFonts w:ascii="Cambria Math" w:eastAsiaTheme="minorEastAsia" w:hAnsi="Cambria Math"/>
                        <w:i/>
                        <w:snapToGrid/>
                        <w:szCs w:val="24"/>
                      </w:rPr>
                    </m:ctrlPr>
                  </m:naryPr>
                  <m:sub>
                    <m:r>
                      <w:rPr>
                        <w:rFonts w:ascii="Cambria Math" w:eastAsiaTheme="minorEastAsia" w:hAnsi="Cambria Math"/>
                        <w:snapToGrid/>
                        <w:szCs w:val="24"/>
                      </w:rPr>
                      <m:t>i=1</m:t>
                    </m:r>
                  </m:sub>
                  <m:sup>
                    <m:sSub>
                      <m:sSubPr>
                        <m:ctrlPr>
                          <w:rPr>
                            <w:rFonts w:ascii="Cambria Math" w:eastAsiaTheme="minorEastAsia" w:hAnsi="Cambria Math"/>
                            <w:i/>
                            <w:snapToGrid/>
                            <w:szCs w:val="24"/>
                          </w:rPr>
                        </m:ctrlPr>
                      </m:sSubPr>
                      <m:e>
                        <m:r>
                          <w:rPr>
                            <w:rFonts w:ascii="Cambria Math" w:eastAsiaTheme="minorEastAsia" w:hAnsi="Cambria Math"/>
                            <w:snapToGrid/>
                            <w:szCs w:val="24"/>
                          </w:rPr>
                          <m:t>N</m:t>
                        </m:r>
                      </m:e>
                      <m:sub>
                        <m:r>
                          <w:rPr>
                            <w:rFonts w:ascii="Cambria Math" w:eastAsiaTheme="minorEastAsia" w:hAnsi="Cambria Math"/>
                            <w:snapToGrid/>
                            <w:szCs w:val="24"/>
                          </w:rPr>
                          <m:t>T</m:t>
                        </m:r>
                      </m:sub>
                    </m:sSub>
                  </m:sup>
                  <m:e>
                    <m:sSub>
                      <m:sSubPr>
                        <m:ctrlPr>
                          <w:rPr>
                            <w:rFonts w:ascii="Cambria Math" w:eastAsiaTheme="minorEastAsia" w:hAnsi="Cambria Math"/>
                            <w:i/>
                            <w:snapToGrid/>
                            <w:szCs w:val="24"/>
                          </w:rPr>
                        </m:ctrlPr>
                      </m:sSubPr>
                      <m:e>
                        <m:r>
                          <w:rPr>
                            <w:rFonts w:ascii="Cambria Math" w:eastAsiaTheme="minorEastAsia" w:hAnsi="Cambria Math"/>
                            <w:snapToGrid/>
                            <w:szCs w:val="24"/>
                          </w:rPr>
                          <m:t>w</m:t>
                        </m:r>
                      </m:e>
                      <m:sub>
                        <m:r>
                          <w:rPr>
                            <w:rFonts w:ascii="Cambria Math" w:eastAsiaTheme="minorEastAsia" w:hAnsi="Cambria Math"/>
                            <w:snapToGrid/>
                            <w:szCs w:val="24"/>
                          </w:rPr>
                          <m:t>i</m:t>
                        </m:r>
                      </m:sub>
                    </m:sSub>
                  </m:e>
                </m:nary>
                <m:sSub>
                  <m:sSubPr>
                    <m:ctrlPr>
                      <w:rPr>
                        <w:rFonts w:ascii="Cambria Math" w:eastAsiaTheme="minorEastAsia" w:hAnsi="Cambria Math"/>
                        <w:i/>
                        <w:snapToGrid/>
                        <w:szCs w:val="24"/>
                      </w:rPr>
                    </m:ctrlPr>
                  </m:sSubPr>
                  <m:e>
                    <m:r>
                      <w:rPr>
                        <w:rFonts w:ascii="Cambria Math" w:eastAsiaTheme="minorEastAsia" w:hAnsi="Cambria Math"/>
                        <w:snapToGrid/>
                        <w:szCs w:val="24"/>
                      </w:rPr>
                      <m:t>t</m:t>
                    </m:r>
                  </m:e>
                  <m:sub>
                    <m:r>
                      <w:rPr>
                        <w:rFonts w:ascii="Cambria Math" w:eastAsiaTheme="minorEastAsia" w:hAnsi="Cambria Math"/>
                        <w:snapToGrid/>
                        <w:szCs w:val="24"/>
                      </w:rPr>
                      <m:t>i</m:t>
                    </m:r>
                  </m:sub>
                </m:sSub>
              </m:den>
            </m:f>
          </m:e>
        </m:d>
        <m:r>
          <w:rPr>
            <w:rFonts w:ascii="Cambria Math" w:eastAsiaTheme="minorEastAsia" w:hAnsi="Cambria Math"/>
            <w:snapToGrid/>
            <w:szCs w:val="24"/>
          </w:rPr>
          <m:t>×100</m:t>
        </m:r>
      </m:oMath>
      <w:r w:rsidRPr="00466487">
        <w:rPr>
          <w:rFonts w:ascii="Times New Roman" w:eastAsiaTheme="minorEastAsia" w:hAnsi="Times New Roman"/>
          <w:snapToGrid/>
          <w:szCs w:val="24"/>
        </w:rPr>
        <w:t>,</w:t>
      </w:r>
    </w:p>
    <w:p w:rsidR="00466487" w:rsidRPr="009E1CB5" w:rsidRDefault="00466487" w:rsidP="009E1CB5">
      <w:pPr>
        <w:pStyle w:val="ListParagraph"/>
        <w:rPr>
          <w:rFonts w:ascii="Times New Roman" w:eastAsiaTheme="minorEastAsia" w:hAnsi="Times New Roman"/>
          <w:snapToGrid/>
        </w:rPr>
      </w:pPr>
      <w:r w:rsidRPr="009E1CB5">
        <w:rPr>
          <w:rFonts w:ascii="Times New Roman" w:eastAsiaTheme="minorEastAsia" w:hAnsi="Times New Roman"/>
          <w:snapToGrid/>
        </w:rPr>
        <w:t>where</w:t>
      </w:r>
    </w:p>
    <w:p w:rsidR="00466487" w:rsidRDefault="00466487" w:rsidP="00B45489">
      <w:pPr>
        <w:pStyle w:val="ListParagraph"/>
        <w:ind w:firstLine="720"/>
        <w:rPr>
          <w:rFonts w:ascii="Times New Roman" w:eastAsiaTheme="minorEastAsia" w:hAnsi="Times New Roman"/>
          <w:snapToGrid/>
        </w:rPr>
      </w:pPr>
      <w:r w:rsidRPr="00B45489">
        <w:rPr>
          <w:rFonts w:ascii="Times New Roman" w:eastAsiaTheme="minorEastAsia" w:hAnsi="Times New Roman"/>
          <w:i/>
          <w:snapToGrid/>
        </w:rPr>
        <w:t>w</w:t>
      </w:r>
      <w:r w:rsidRPr="00B45489">
        <w:rPr>
          <w:rFonts w:ascii="Times New Roman" w:eastAsiaTheme="minorEastAsia" w:hAnsi="Times New Roman"/>
          <w:i/>
          <w:snapToGrid/>
          <w:vertAlign w:val="subscript"/>
        </w:rPr>
        <w:t>i</w:t>
      </w:r>
      <w:r w:rsidRPr="00B45489">
        <w:rPr>
          <w:rFonts w:ascii="Times New Roman" w:eastAsiaTheme="minorEastAsia" w:hAnsi="Times New Roman"/>
          <w:snapToGrid/>
        </w:rPr>
        <w:t xml:space="preserve"> is the design weight of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xml:space="preserve">, </w:t>
      </w:r>
    </w:p>
    <w:p w:rsidR="00B45489" w:rsidRPr="00B45489" w:rsidRDefault="00B45489" w:rsidP="00B45489">
      <w:pPr>
        <w:pStyle w:val="ListParagraph"/>
        <w:ind w:firstLine="72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r</w:t>
      </w:r>
      <w:r w:rsidRPr="00B45489">
        <w:rPr>
          <w:rFonts w:ascii="Times New Roman" w:eastAsiaTheme="minorEastAsia" w:hAnsi="Times New Roman"/>
          <w:i/>
          <w:snapToGrid/>
          <w:vertAlign w:val="subscript"/>
        </w:rPr>
        <w:t>ti</w:t>
      </w:r>
      <w:r w:rsidRPr="00B45489">
        <w:rPr>
          <w:rFonts w:ascii="Times New Roman" w:eastAsiaTheme="minorEastAsia" w:hAnsi="Times New Roman"/>
          <w:snapToGrid/>
        </w:rPr>
        <w:t xml:space="preserve"> is the indicator variable for reported data for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xml:space="preserve"> and data item </w:t>
      </w:r>
      <w:r w:rsidRPr="00B45489">
        <w:rPr>
          <w:rFonts w:ascii="Times New Roman" w:eastAsiaTheme="minorEastAsia" w:hAnsi="Times New Roman"/>
          <w:i/>
          <w:snapToGrid/>
        </w:rPr>
        <w:t>t</w:t>
      </w:r>
      <w:r w:rsidRPr="00B45489">
        <w:rPr>
          <w:rFonts w:ascii="Times New Roman" w:eastAsiaTheme="minorEastAsia" w:hAnsi="Times New Roman"/>
          <w:snapToGrid/>
        </w:rPr>
        <w:t xml:space="preserve">, </w:t>
      </w:r>
    </w:p>
    <w:p w:rsidR="00B45489" w:rsidRPr="00B45489" w:rsidRDefault="00B45489" w:rsidP="00B45489">
      <w:pPr>
        <w:pStyle w:val="ListParagraph"/>
        <w:ind w:left="144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q</w:t>
      </w:r>
      <w:r w:rsidRPr="00B45489">
        <w:rPr>
          <w:rFonts w:ascii="Times New Roman" w:eastAsiaTheme="minorEastAsia" w:hAnsi="Times New Roman"/>
          <w:i/>
          <w:snapToGrid/>
          <w:vertAlign w:val="subscript"/>
        </w:rPr>
        <w:t xml:space="preserve">ti </w:t>
      </w:r>
      <w:r w:rsidRPr="00B45489">
        <w:rPr>
          <w:rFonts w:ascii="Times New Roman" w:eastAsiaTheme="minorEastAsia" w:hAnsi="Times New Roman"/>
          <w:snapToGrid/>
        </w:rPr>
        <w:t xml:space="preserve">is the indicator variable for equivalent quality data sources for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xml:space="preserve"> and item </w:t>
      </w:r>
      <w:r w:rsidRPr="00B45489">
        <w:rPr>
          <w:rFonts w:ascii="Times New Roman" w:eastAsiaTheme="minorEastAsia" w:hAnsi="Times New Roman"/>
          <w:i/>
          <w:snapToGrid/>
        </w:rPr>
        <w:t>t</w:t>
      </w:r>
      <w:r w:rsidRPr="00B45489">
        <w:rPr>
          <w:rFonts w:ascii="Times New Roman" w:eastAsiaTheme="minorEastAsia" w:hAnsi="Times New Roman"/>
          <w:snapToGrid/>
        </w:rPr>
        <w:t>,</w:t>
      </w:r>
    </w:p>
    <w:p w:rsidR="00B45489" w:rsidRPr="00B45489" w:rsidRDefault="00B45489" w:rsidP="00B45489">
      <w:pPr>
        <w:pStyle w:val="ListParagraph"/>
        <w:ind w:left="144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t</w:t>
      </w:r>
      <w:r w:rsidRPr="00B45489">
        <w:rPr>
          <w:rFonts w:ascii="Times New Roman" w:eastAsiaTheme="minorEastAsia" w:hAnsi="Times New Roman"/>
          <w:i/>
          <w:snapToGrid/>
          <w:vertAlign w:val="subscript"/>
        </w:rPr>
        <w:t>i</w:t>
      </w:r>
      <w:r w:rsidRPr="00B45489">
        <w:rPr>
          <w:rFonts w:ascii="Times New Roman" w:eastAsiaTheme="minorEastAsia" w:hAnsi="Times New Roman"/>
          <w:snapToGrid/>
        </w:rPr>
        <w:t xml:space="preserve"> is the data value for tabulating unit </w:t>
      </w:r>
      <w:r w:rsidRPr="00B45489">
        <w:rPr>
          <w:rFonts w:ascii="Times New Roman" w:eastAsiaTheme="minorEastAsia" w:hAnsi="Times New Roman"/>
          <w:i/>
          <w:snapToGrid/>
        </w:rPr>
        <w:t>i</w:t>
      </w:r>
      <w:r w:rsidRPr="00B45489">
        <w:rPr>
          <w:rFonts w:ascii="Times New Roman" w:eastAsiaTheme="minorEastAsia" w:hAnsi="Times New Roman"/>
          <w:snapToGrid/>
        </w:rPr>
        <w:t>, and</w:t>
      </w:r>
    </w:p>
    <w:p w:rsidR="00B45489" w:rsidRPr="00B45489" w:rsidRDefault="00B45489" w:rsidP="00B45489">
      <w:pPr>
        <w:pStyle w:val="ListParagraph"/>
        <w:ind w:left="1440"/>
        <w:rPr>
          <w:rFonts w:ascii="Times New Roman" w:eastAsiaTheme="minorEastAsia" w:hAnsi="Times New Roman"/>
          <w:snapToGrid/>
        </w:rPr>
      </w:pPr>
    </w:p>
    <w:p w:rsidR="00466487" w:rsidRDefault="00466487" w:rsidP="00B45489">
      <w:pPr>
        <w:pStyle w:val="ListParagraph"/>
        <w:ind w:left="1440"/>
        <w:rPr>
          <w:rFonts w:ascii="Times New Roman" w:eastAsiaTheme="minorEastAsia" w:hAnsi="Times New Roman"/>
          <w:snapToGrid/>
        </w:rPr>
      </w:pPr>
      <w:r w:rsidRPr="00B45489">
        <w:rPr>
          <w:rFonts w:ascii="Times New Roman" w:eastAsiaTheme="minorEastAsia" w:hAnsi="Times New Roman"/>
          <w:i/>
          <w:snapToGrid/>
        </w:rPr>
        <w:t>N</w:t>
      </w:r>
      <w:r w:rsidRPr="00B45489">
        <w:rPr>
          <w:rFonts w:ascii="Times New Roman" w:eastAsiaTheme="minorEastAsia" w:hAnsi="Times New Roman"/>
          <w:i/>
          <w:snapToGrid/>
          <w:vertAlign w:val="subscript"/>
        </w:rPr>
        <w:t>T</w:t>
      </w:r>
      <w:r w:rsidRPr="00B45489">
        <w:rPr>
          <w:rFonts w:ascii="Times New Roman" w:eastAsiaTheme="minorEastAsia" w:hAnsi="Times New Roman"/>
          <w:snapToGrid/>
        </w:rPr>
        <w:t xml:space="preserve"> is the total number of eligible tabulating units.</w:t>
      </w:r>
    </w:p>
    <w:p w:rsidR="00B45489" w:rsidRPr="00B45489" w:rsidRDefault="00B45489" w:rsidP="00B45489">
      <w:pPr>
        <w:pStyle w:val="ListParagraph"/>
        <w:ind w:left="1440"/>
        <w:rPr>
          <w:rFonts w:ascii="Times New Roman" w:eastAsiaTheme="minorEastAsia" w:hAnsi="Times New Roman"/>
          <w:snapToGrid/>
        </w:rPr>
      </w:pPr>
    </w:p>
    <w:p w:rsidR="00466487" w:rsidRDefault="004F41C0" w:rsidP="00B45489">
      <w:pPr>
        <w:pStyle w:val="ListParagraph"/>
        <w:rPr>
          <w:rFonts w:ascii="Times New Roman" w:eastAsiaTheme="minorEastAsia" w:hAnsi="Times New Roman"/>
          <w:snapToGrid/>
        </w:rPr>
      </w:pPr>
      <w:r>
        <w:rPr>
          <w:rFonts w:ascii="Times New Roman" w:eastAsiaTheme="minorEastAsia" w:hAnsi="Times New Roman"/>
          <w:snapToGrid/>
        </w:rPr>
        <w:t xml:space="preserve">The TQRR(t) and QRR(t) are </w:t>
      </w:r>
      <w:r w:rsidR="00466487" w:rsidRPr="00B45489">
        <w:rPr>
          <w:rFonts w:ascii="Times New Roman" w:eastAsiaTheme="minorEastAsia" w:hAnsi="Times New Roman"/>
          <w:snapToGrid/>
        </w:rPr>
        <w:t xml:space="preserve">weighted item response rates for data item t.  QRRs and TQRRs will be calculated post-collection for the following data items:  </w:t>
      </w:r>
      <w:r w:rsidR="00677560">
        <w:rPr>
          <w:rFonts w:ascii="Times New Roman" w:eastAsiaTheme="minorEastAsia" w:hAnsi="Times New Roman"/>
          <w:snapToGrid/>
        </w:rPr>
        <w:t>value of shipments/</w:t>
      </w:r>
      <w:r w:rsidR="00466487" w:rsidRPr="00B45489">
        <w:rPr>
          <w:rFonts w:ascii="Times New Roman" w:eastAsiaTheme="minorEastAsia" w:hAnsi="Times New Roman"/>
          <w:snapToGrid/>
        </w:rPr>
        <w:t>receipts</w:t>
      </w:r>
      <w:r w:rsidR="00677560">
        <w:rPr>
          <w:rFonts w:ascii="Times New Roman" w:eastAsiaTheme="minorEastAsia" w:hAnsi="Times New Roman"/>
          <w:snapToGrid/>
        </w:rPr>
        <w:t>/revenue/sales</w:t>
      </w:r>
      <w:r w:rsidR="00466487" w:rsidRPr="00B45489">
        <w:rPr>
          <w:rFonts w:ascii="Times New Roman" w:eastAsiaTheme="minorEastAsia" w:hAnsi="Times New Roman"/>
          <w:snapToGrid/>
        </w:rPr>
        <w:t xml:space="preserve">, payroll, and number of employees. </w:t>
      </w:r>
    </w:p>
    <w:p w:rsidR="00832987" w:rsidRPr="00B45489" w:rsidRDefault="00832987" w:rsidP="00B45489">
      <w:pPr>
        <w:pStyle w:val="ListParagraph"/>
        <w:rPr>
          <w:rFonts w:ascii="Times New Roman" w:eastAsiaTheme="minorEastAsia" w:hAnsi="Times New Roman"/>
          <w:snapToGrid/>
        </w:rPr>
      </w:pPr>
    </w:p>
    <w:p w:rsidR="00466487" w:rsidRDefault="00466487" w:rsidP="009E1CB5">
      <w:pPr>
        <w:pStyle w:val="ListParagraph"/>
        <w:rPr>
          <w:rFonts w:ascii="Times New Roman" w:eastAsiaTheme="minorEastAsia" w:hAnsi="Times New Roman"/>
          <w:snapToGrid/>
        </w:rPr>
      </w:pPr>
      <w:r w:rsidRPr="009E1CB5">
        <w:rPr>
          <w:rFonts w:ascii="Times New Roman" w:eastAsiaTheme="minorEastAsia" w:hAnsi="Times New Roman"/>
          <w:snapToGrid/>
        </w:rPr>
        <w:t xml:space="preserve">As with the URR, quantity response measures cannot be calculated during data collection, because the final source of the tabulated data is not determined until after collection is completed, during the post-collection processing.  Additionally, quantity response measures are based on tabulating units instead of reporting units.  Therefore, proxy QRR and TQRR metrics that use an appropriate measure of size characteristic, such as administrative annual payroll, will be calculated periodically during data collection to monitor the proportion of total administrative payroll represented by respondents, defined according to the same criteria used for the Proxy URR. </w:t>
      </w:r>
    </w:p>
    <w:p w:rsidR="009E1CB5" w:rsidRPr="009E1CB5" w:rsidRDefault="009E1CB5" w:rsidP="009E1CB5">
      <w:pPr>
        <w:pStyle w:val="ListParagraph"/>
        <w:rPr>
          <w:rFonts w:ascii="Times New Roman" w:eastAsiaTheme="minorHAnsi" w:hAnsi="Times New Roman"/>
          <w:snapToGrid/>
        </w:rPr>
      </w:pPr>
    </w:p>
    <w:p w:rsidR="00466487" w:rsidRDefault="00466487" w:rsidP="009E1CB5">
      <w:pPr>
        <w:pStyle w:val="ListParagraph"/>
        <w:rPr>
          <w:rFonts w:ascii="Times New Roman" w:eastAsiaTheme="minorHAnsi" w:hAnsi="Times New Roman"/>
          <w:snapToGrid/>
        </w:rPr>
      </w:pPr>
      <w:r w:rsidRPr="009E1CB5">
        <w:rPr>
          <w:rFonts w:ascii="Times New Roman" w:eastAsiaTheme="minorHAnsi" w:hAnsi="Times New Roman"/>
          <w:snapToGrid/>
        </w:rPr>
        <w:t>Projections for the 2017 Economic Census</w:t>
      </w:r>
    </w:p>
    <w:p w:rsidR="009E1CB5" w:rsidRPr="009E1CB5" w:rsidRDefault="009E1CB5" w:rsidP="009E1CB5">
      <w:pPr>
        <w:pStyle w:val="ListParagraph"/>
        <w:rPr>
          <w:rFonts w:ascii="Times New Roman" w:eastAsiaTheme="minorHAnsi" w:hAnsi="Times New Roman"/>
          <w:snapToGrid/>
        </w:rPr>
      </w:pPr>
    </w:p>
    <w:p w:rsidR="00466487" w:rsidRDefault="00466487" w:rsidP="009E1CB5">
      <w:pPr>
        <w:pStyle w:val="ListParagraph"/>
        <w:rPr>
          <w:rFonts w:ascii="Times New Roman" w:eastAsiaTheme="minorHAnsi" w:hAnsi="Times New Roman"/>
          <w:snapToGrid/>
        </w:rPr>
      </w:pPr>
      <w:r w:rsidRPr="009E1CB5">
        <w:rPr>
          <w:rFonts w:ascii="Times New Roman" w:eastAsiaTheme="minorHAnsi" w:hAnsi="Times New Roman"/>
          <w:snapToGrid/>
        </w:rPr>
        <w:t xml:space="preserve">Due to major changes in data collection procedures – e.g., all-electronic Web-based collection – and the implementation of these new response metrics, it is difficult to confidently project URR and TQRRs for the 2017 Economic Census.  </w:t>
      </w:r>
    </w:p>
    <w:p w:rsidR="009E1CB5" w:rsidRPr="009E1CB5" w:rsidRDefault="009E1CB5" w:rsidP="009E1CB5">
      <w:pPr>
        <w:pStyle w:val="ListParagraph"/>
        <w:rPr>
          <w:rFonts w:ascii="Times New Roman" w:eastAsiaTheme="minorHAnsi" w:hAnsi="Times New Roman"/>
          <w:snapToGrid/>
        </w:rPr>
      </w:pPr>
    </w:p>
    <w:p w:rsidR="00466487" w:rsidRDefault="00466487" w:rsidP="009E1CB5">
      <w:pPr>
        <w:pStyle w:val="ListParagraph"/>
        <w:rPr>
          <w:rFonts w:ascii="Times New Roman" w:eastAsiaTheme="minorHAnsi" w:hAnsi="Times New Roman"/>
          <w:snapToGrid/>
        </w:rPr>
      </w:pPr>
      <w:r w:rsidRPr="009E1CB5">
        <w:rPr>
          <w:rFonts w:ascii="Times New Roman" w:eastAsiaTheme="minorEastAsia" w:hAnsi="Times New Roman"/>
          <w:snapToGrid/>
        </w:rPr>
        <w:t xml:space="preserve">The 2012 Economic Census used multiple data collection modes, offering both paper questionnaires and electronic reporting options.  </w:t>
      </w:r>
      <w:r w:rsidRPr="009E1CB5">
        <w:rPr>
          <w:rFonts w:ascii="Times New Roman" w:eastAsiaTheme="minorHAnsi" w:hAnsi="Times New Roman"/>
          <w:snapToGrid/>
        </w:rPr>
        <w:t>Research using 2012 Economic Census data show preliminary estimates of response metrics, as follows:</w:t>
      </w:r>
    </w:p>
    <w:p w:rsidR="009E1CB5" w:rsidRPr="009E1CB5" w:rsidRDefault="009E1CB5" w:rsidP="009E1CB5">
      <w:pPr>
        <w:pStyle w:val="ListParagraph"/>
        <w:rPr>
          <w:rFonts w:ascii="Times New Roman" w:eastAsiaTheme="minorEastAsia" w:hAnsi="Times New Roman"/>
          <w:snapToGrid/>
        </w:rPr>
      </w:pPr>
    </w:p>
    <w:p w:rsidR="00466487" w:rsidRPr="00466487" w:rsidRDefault="00466487" w:rsidP="00EC245C">
      <w:pPr>
        <w:widowControl/>
        <w:spacing w:after="200" w:line="276" w:lineRule="auto"/>
        <w:ind w:left="720"/>
        <w:rPr>
          <w:rFonts w:ascii="Times New Roman" w:eastAsiaTheme="minorHAnsi" w:hAnsi="Times New Roman"/>
          <w:snapToGrid/>
          <w:szCs w:val="24"/>
        </w:rPr>
      </w:pPr>
      <w:r w:rsidRPr="00466487">
        <w:rPr>
          <w:rFonts w:ascii="Times New Roman" w:eastAsiaTheme="minorHAnsi" w:hAnsi="Times New Roman"/>
          <w:snapToGrid/>
          <w:szCs w:val="24"/>
        </w:rPr>
        <w:tab/>
        <w:t>Check-In Rate = 83.7%</w:t>
      </w:r>
    </w:p>
    <w:p w:rsidR="00466487" w:rsidRPr="00466487" w:rsidRDefault="00466487" w:rsidP="00EC245C">
      <w:pPr>
        <w:widowControl/>
        <w:spacing w:after="200" w:line="276" w:lineRule="auto"/>
        <w:ind w:left="720"/>
        <w:rPr>
          <w:rFonts w:ascii="Times New Roman" w:eastAsiaTheme="minorHAnsi" w:hAnsi="Times New Roman"/>
          <w:snapToGrid/>
          <w:szCs w:val="24"/>
        </w:rPr>
      </w:pPr>
      <w:r w:rsidRPr="00466487">
        <w:rPr>
          <w:rFonts w:ascii="Times New Roman" w:eastAsiaTheme="minorHAnsi" w:hAnsi="Times New Roman"/>
          <w:snapToGrid/>
          <w:szCs w:val="24"/>
        </w:rPr>
        <w:tab/>
        <w:t>Proxy URR = 77.8%</w:t>
      </w:r>
    </w:p>
    <w:p w:rsidR="00466487" w:rsidRPr="00466487" w:rsidRDefault="00466487" w:rsidP="00EC245C">
      <w:pPr>
        <w:widowControl/>
        <w:spacing w:after="200" w:line="276" w:lineRule="auto"/>
        <w:ind w:left="720"/>
        <w:rPr>
          <w:rFonts w:ascii="Times New Roman" w:eastAsiaTheme="minorHAnsi" w:hAnsi="Times New Roman"/>
          <w:snapToGrid/>
          <w:szCs w:val="24"/>
        </w:rPr>
      </w:pPr>
      <w:r w:rsidRPr="00466487">
        <w:rPr>
          <w:rFonts w:ascii="Times New Roman" w:eastAsiaTheme="minorHAnsi" w:hAnsi="Times New Roman"/>
          <w:snapToGrid/>
          <w:szCs w:val="24"/>
        </w:rPr>
        <w:tab/>
        <w:t>URR = 78.7%</w:t>
      </w:r>
    </w:p>
    <w:p w:rsidR="00466487" w:rsidRDefault="00466487" w:rsidP="00BE5897">
      <w:pPr>
        <w:pStyle w:val="ListParagraph"/>
        <w:rPr>
          <w:rFonts w:ascii="Times New Roman" w:eastAsiaTheme="minorEastAsia" w:hAnsi="Times New Roman"/>
          <w:snapToGrid/>
        </w:rPr>
      </w:pPr>
      <w:r w:rsidRPr="00BE5897">
        <w:rPr>
          <w:rFonts w:ascii="Times New Roman" w:eastAsiaTheme="minorEastAsia" w:hAnsi="Times New Roman"/>
          <w:snapToGrid/>
        </w:rPr>
        <w:t xml:space="preserve">Of those mailed a request to complete the 2012 Economic Census, nearly 48% reported electronically, and approximately 34% returned a paper questionnaire.  Preliminary research using the 2012 data shows a URR based only on electronic submissions to be several percentage points higher than a URR based only on paper returns.  This suggests that electronic collection and submission may provide more returns satisfying unit response criteria and improved data quality.  </w:t>
      </w:r>
    </w:p>
    <w:p w:rsidR="00BE5897" w:rsidRPr="00BE5897" w:rsidRDefault="00BE5897" w:rsidP="00BE5897">
      <w:pPr>
        <w:pStyle w:val="ListParagraph"/>
        <w:rPr>
          <w:rFonts w:ascii="Times New Roman" w:eastAsiaTheme="minorEastAsia" w:hAnsi="Times New Roman"/>
          <w:snapToGrid/>
        </w:rPr>
      </w:pPr>
    </w:p>
    <w:p w:rsidR="00466487" w:rsidRPr="00BE5897" w:rsidRDefault="00466487" w:rsidP="00BE5897">
      <w:pPr>
        <w:pStyle w:val="ListParagraph"/>
        <w:rPr>
          <w:rFonts w:ascii="Times New Roman" w:eastAsiaTheme="minorEastAsia" w:hAnsi="Times New Roman"/>
          <w:snapToGrid/>
        </w:rPr>
      </w:pPr>
      <w:r w:rsidRPr="00BE5897">
        <w:rPr>
          <w:rFonts w:ascii="Times New Roman" w:eastAsiaTheme="minorEastAsia" w:hAnsi="Times New Roman"/>
          <w:snapToGrid/>
        </w:rPr>
        <w:t>Thus, the Census Bureau projects a URR of approximately 80% for the 2017 Economic Census, and will manage data collection activities to achieve this goal.</w:t>
      </w:r>
    </w:p>
    <w:p w:rsidR="00CA73D8" w:rsidRPr="00864F84" w:rsidRDefault="00CA73D8">
      <w:pPr>
        <w:ind w:left="1080"/>
        <w:rPr>
          <w:rFonts w:ascii="Times New Roman" w:hAnsi="Times New Roman"/>
          <w:szCs w:val="24"/>
        </w:rPr>
      </w:pPr>
    </w:p>
    <w:p w:rsidR="00A3145E" w:rsidRDefault="00A3145E" w:rsidP="00E55313">
      <w:pPr>
        <w:tabs>
          <w:tab w:val="left" w:pos="-1440"/>
        </w:tabs>
        <w:ind w:left="360" w:hanging="360"/>
        <w:rPr>
          <w:rFonts w:ascii="Times New Roman" w:hAnsi="Times New Roman"/>
          <w:szCs w:val="24"/>
        </w:rPr>
      </w:pPr>
    </w:p>
    <w:p w:rsidR="00CA73D8" w:rsidRPr="00864F84" w:rsidRDefault="00914CFF" w:rsidP="00E55313">
      <w:pPr>
        <w:tabs>
          <w:tab w:val="left" w:pos="-1440"/>
        </w:tabs>
        <w:ind w:left="360" w:hanging="360"/>
        <w:rPr>
          <w:rFonts w:ascii="Times New Roman" w:hAnsi="Times New Roman"/>
          <w:szCs w:val="24"/>
        </w:rPr>
      </w:pPr>
      <w:r w:rsidRPr="00864F84">
        <w:rPr>
          <w:rFonts w:ascii="Times New Roman" w:hAnsi="Times New Roman"/>
          <w:szCs w:val="24"/>
        </w:rPr>
        <w:t>2</w:t>
      </w:r>
      <w:r w:rsidR="00CA73D8" w:rsidRPr="00864F84">
        <w:rPr>
          <w:rFonts w:ascii="Times New Roman" w:hAnsi="Times New Roman"/>
          <w:szCs w:val="24"/>
        </w:rPr>
        <w:t>.</w:t>
      </w:r>
      <w:r w:rsidR="00CA73D8" w:rsidRPr="00864F84">
        <w:rPr>
          <w:rFonts w:ascii="Times New Roman" w:hAnsi="Times New Roman"/>
          <w:szCs w:val="24"/>
        </w:rPr>
        <w:tab/>
      </w:r>
      <w:r w:rsidR="00CA73D8" w:rsidRPr="00864F84">
        <w:rPr>
          <w:rFonts w:ascii="Times New Roman" w:hAnsi="Times New Roman"/>
          <w:b/>
          <w:szCs w:val="24"/>
        </w:rPr>
        <w:t>Sampling Methodology and Estimation Procedures</w:t>
      </w:r>
    </w:p>
    <w:p w:rsidR="00CA73D8" w:rsidRPr="00864F84" w:rsidRDefault="00CA73D8">
      <w:pPr>
        <w:rPr>
          <w:rFonts w:ascii="Times New Roman" w:hAnsi="Times New Roman"/>
          <w:szCs w:val="24"/>
        </w:rPr>
      </w:pPr>
    </w:p>
    <w:p w:rsidR="00CA73D8" w:rsidRPr="00864F84" w:rsidRDefault="00CA73D8" w:rsidP="00E55313">
      <w:pPr>
        <w:tabs>
          <w:tab w:val="left" w:pos="-1440"/>
        </w:tabs>
        <w:ind w:left="720" w:hanging="360"/>
        <w:rPr>
          <w:rFonts w:ascii="Times New Roman" w:hAnsi="Times New Roman"/>
          <w:szCs w:val="24"/>
        </w:rPr>
      </w:pPr>
      <w:r w:rsidRPr="00864F84">
        <w:rPr>
          <w:rFonts w:ascii="Times New Roman" w:hAnsi="Times New Roman"/>
          <w:szCs w:val="24"/>
        </w:rPr>
        <w:t>a.</w:t>
      </w:r>
      <w:r w:rsidRPr="00864F84">
        <w:rPr>
          <w:rFonts w:ascii="Times New Roman" w:hAnsi="Times New Roman"/>
          <w:szCs w:val="24"/>
        </w:rPr>
        <w:tab/>
      </w:r>
      <w:r w:rsidR="007133CA" w:rsidRPr="00864F84">
        <w:rPr>
          <w:rFonts w:ascii="Times New Roman" w:hAnsi="Times New Roman"/>
          <w:szCs w:val="24"/>
        </w:rPr>
        <w:t>Sample</w:t>
      </w:r>
      <w:r w:rsidRPr="00864F84">
        <w:rPr>
          <w:rFonts w:ascii="Times New Roman" w:hAnsi="Times New Roman"/>
          <w:szCs w:val="24"/>
        </w:rPr>
        <w:t xml:space="preserve"> Selection Procedures</w:t>
      </w:r>
    </w:p>
    <w:p w:rsidR="00CA73D8" w:rsidRPr="00864F84" w:rsidRDefault="00CA73D8">
      <w:pPr>
        <w:ind w:left="1440"/>
        <w:rPr>
          <w:rFonts w:ascii="Times New Roman" w:hAnsi="Times New Roman"/>
          <w:szCs w:val="24"/>
        </w:rPr>
      </w:pPr>
    </w:p>
    <w:p w:rsidR="0035650B" w:rsidRPr="00864F84" w:rsidRDefault="005A7575" w:rsidP="0035650B">
      <w:pPr>
        <w:spacing w:after="240"/>
        <w:ind w:left="720"/>
        <w:rPr>
          <w:rFonts w:ascii="Times New Roman" w:hAnsi="Times New Roman"/>
          <w:szCs w:val="24"/>
        </w:rPr>
      </w:pPr>
      <w:r w:rsidRPr="00864F84">
        <w:rPr>
          <w:rFonts w:ascii="Times New Roman" w:hAnsi="Times New Roman"/>
          <w:szCs w:val="24"/>
        </w:rPr>
        <w:t>The Economic C</w:t>
      </w:r>
      <w:r w:rsidR="00CA73D8" w:rsidRPr="00864F84">
        <w:rPr>
          <w:rFonts w:ascii="Times New Roman" w:hAnsi="Times New Roman"/>
          <w:szCs w:val="24"/>
        </w:rPr>
        <w:t xml:space="preserve">ensus will select </w:t>
      </w:r>
      <w:r w:rsidR="008F1C2A" w:rsidRPr="00864F84">
        <w:rPr>
          <w:rFonts w:ascii="Times New Roman" w:hAnsi="Times New Roman"/>
          <w:szCs w:val="24"/>
        </w:rPr>
        <w:t>establishments</w:t>
      </w:r>
      <w:r w:rsidR="00CA73D8" w:rsidRPr="00864F84">
        <w:rPr>
          <w:rFonts w:ascii="Times New Roman" w:hAnsi="Times New Roman"/>
          <w:szCs w:val="24"/>
        </w:rPr>
        <w:t xml:space="preserve"> for its </w:t>
      </w:r>
      <w:r w:rsidR="00E6221C" w:rsidRPr="00864F84">
        <w:rPr>
          <w:rFonts w:ascii="Times New Roman" w:hAnsi="Times New Roman"/>
          <w:szCs w:val="24"/>
        </w:rPr>
        <w:t>sample</w:t>
      </w:r>
      <w:r w:rsidR="00CA73D8" w:rsidRPr="00864F84">
        <w:rPr>
          <w:rFonts w:ascii="Times New Roman" w:hAnsi="Times New Roman"/>
          <w:szCs w:val="24"/>
        </w:rPr>
        <w:t xml:space="preserve"> from a frame obtai</w:t>
      </w:r>
      <w:r w:rsidR="00383C14" w:rsidRPr="00864F84">
        <w:rPr>
          <w:rFonts w:ascii="Times New Roman" w:hAnsi="Times New Roman"/>
          <w:szCs w:val="24"/>
        </w:rPr>
        <w:t>ned from the U.S. Census Bureau’</w:t>
      </w:r>
      <w:r w:rsidR="00CA73D8" w:rsidRPr="00864F84">
        <w:rPr>
          <w:rFonts w:ascii="Times New Roman" w:hAnsi="Times New Roman"/>
          <w:szCs w:val="24"/>
        </w:rPr>
        <w:t xml:space="preserve">s Business Register. </w:t>
      </w:r>
      <w:r w:rsidR="0035650B" w:rsidRPr="00864F84">
        <w:rPr>
          <w:rFonts w:ascii="Times New Roman" w:hAnsi="Times New Roman"/>
          <w:szCs w:val="24"/>
        </w:rPr>
        <w:t xml:space="preserve"> The Business Register contains information on the physical location of establishment</w:t>
      </w:r>
      <w:r w:rsidR="00125F42" w:rsidRPr="00864F84">
        <w:rPr>
          <w:rFonts w:ascii="Times New Roman" w:hAnsi="Times New Roman"/>
          <w:szCs w:val="24"/>
        </w:rPr>
        <w:t>s</w:t>
      </w:r>
      <w:r w:rsidR="0035650B" w:rsidRPr="00864F84">
        <w:rPr>
          <w:rFonts w:ascii="Times New Roman" w:hAnsi="Times New Roman"/>
          <w:szCs w:val="24"/>
        </w:rPr>
        <w:t xml:space="preserve">, </w:t>
      </w:r>
      <w:r w:rsidR="007A753F">
        <w:rPr>
          <w:rFonts w:ascii="Times New Roman" w:hAnsi="Times New Roman"/>
          <w:szCs w:val="24"/>
        </w:rPr>
        <w:t xml:space="preserve">as well as payroll, employment, </w:t>
      </w:r>
      <w:r w:rsidR="007A753F">
        <w:rPr>
          <w:rFonts w:ascii="Times New Roman" w:eastAsiaTheme="minorEastAsia" w:hAnsi="Times New Roman"/>
          <w:snapToGrid/>
        </w:rPr>
        <w:t>value of shipments/</w:t>
      </w:r>
      <w:r w:rsidR="007A753F" w:rsidRPr="009B0300">
        <w:rPr>
          <w:rFonts w:ascii="Times New Roman" w:eastAsiaTheme="minorEastAsia" w:hAnsi="Times New Roman"/>
          <w:snapToGrid/>
        </w:rPr>
        <w:t>receipts</w:t>
      </w:r>
      <w:r w:rsidR="007A753F">
        <w:rPr>
          <w:rFonts w:ascii="Times New Roman" w:eastAsiaTheme="minorEastAsia" w:hAnsi="Times New Roman"/>
          <w:snapToGrid/>
        </w:rPr>
        <w:t>/revenue/sales</w:t>
      </w:r>
      <w:r w:rsidR="0035650B" w:rsidRPr="00864F84">
        <w:rPr>
          <w:rFonts w:ascii="Times New Roman" w:hAnsi="Times New Roman"/>
          <w:szCs w:val="24"/>
        </w:rPr>
        <w:t xml:space="preserve">, and industry classification </w:t>
      </w:r>
      <w:r w:rsidR="00125F42" w:rsidRPr="00864F84">
        <w:rPr>
          <w:rFonts w:ascii="Times New Roman" w:hAnsi="Times New Roman"/>
          <w:szCs w:val="24"/>
        </w:rPr>
        <w:t xml:space="preserve">data </w:t>
      </w:r>
      <w:r w:rsidR="0035650B" w:rsidRPr="00864F84">
        <w:rPr>
          <w:rFonts w:ascii="Times New Roman" w:hAnsi="Times New Roman"/>
          <w:szCs w:val="24"/>
        </w:rPr>
        <w:t xml:space="preserve">obtained from prior censuses and surveys or obtained from the administrative records of the IRS and SSA under special arrangements which safeguard the confidentiality of both tax and census records.  Information from the Bureau of Labor Statistics on industry classifications are also used to supplement the classification information from </w:t>
      </w:r>
      <w:r w:rsidR="00125F42" w:rsidRPr="00864F84">
        <w:rPr>
          <w:rFonts w:ascii="Times New Roman" w:hAnsi="Times New Roman"/>
          <w:szCs w:val="24"/>
        </w:rPr>
        <w:t xml:space="preserve">the </w:t>
      </w:r>
      <w:r w:rsidR="0035650B" w:rsidRPr="00864F84">
        <w:rPr>
          <w:rFonts w:ascii="Times New Roman" w:hAnsi="Times New Roman"/>
          <w:szCs w:val="24"/>
        </w:rPr>
        <w:t xml:space="preserve">IRS and SSA.  </w:t>
      </w:r>
    </w:p>
    <w:p w:rsidR="00E373F1" w:rsidRPr="00864F84" w:rsidRDefault="00CA73D8" w:rsidP="0035650B">
      <w:pPr>
        <w:spacing w:after="240"/>
        <w:ind w:left="720"/>
        <w:rPr>
          <w:rFonts w:ascii="Times New Roman" w:hAnsi="Times New Roman"/>
          <w:szCs w:val="24"/>
        </w:rPr>
      </w:pPr>
      <w:r w:rsidRPr="00864F84">
        <w:rPr>
          <w:rFonts w:ascii="Times New Roman" w:hAnsi="Times New Roman"/>
          <w:szCs w:val="24"/>
        </w:rPr>
        <w:t>To be eligible for selection</w:t>
      </w:r>
      <w:r w:rsidR="00125F42" w:rsidRPr="00864F84">
        <w:rPr>
          <w:rFonts w:ascii="Times New Roman" w:hAnsi="Times New Roman"/>
          <w:szCs w:val="24"/>
        </w:rPr>
        <w:t xml:space="preserve"> into the sample</w:t>
      </w:r>
      <w:r w:rsidRPr="00864F84">
        <w:rPr>
          <w:rFonts w:ascii="Times New Roman" w:hAnsi="Times New Roman"/>
          <w:szCs w:val="24"/>
        </w:rPr>
        <w:t xml:space="preserve">, an establishment will be required to satisfy the following conditions: </w:t>
      </w:r>
    </w:p>
    <w:p w:rsidR="00E373F1" w:rsidRPr="00864F84" w:rsidRDefault="00CA73D8" w:rsidP="00E55313">
      <w:pPr>
        <w:pStyle w:val="ListParagraph"/>
        <w:numPr>
          <w:ilvl w:val="0"/>
          <w:numId w:val="19"/>
        </w:numPr>
        <w:ind w:left="1080" w:hanging="360"/>
        <w:rPr>
          <w:rFonts w:ascii="Times New Roman" w:hAnsi="Times New Roman"/>
          <w:szCs w:val="24"/>
        </w:rPr>
      </w:pPr>
      <w:r w:rsidRPr="00864F84">
        <w:rPr>
          <w:rFonts w:ascii="Times New Roman" w:hAnsi="Times New Roman"/>
          <w:szCs w:val="24"/>
        </w:rPr>
        <w:t>it must be classified in</w:t>
      </w:r>
      <w:r w:rsidR="008632AE" w:rsidRPr="00864F84">
        <w:rPr>
          <w:rFonts w:ascii="Times New Roman" w:hAnsi="Times New Roman"/>
          <w:szCs w:val="24"/>
        </w:rPr>
        <w:t>to an in-scope industry</w:t>
      </w:r>
      <w:r w:rsidRPr="00864F84">
        <w:rPr>
          <w:rFonts w:ascii="Times New Roman" w:hAnsi="Times New Roman"/>
          <w:szCs w:val="24"/>
        </w:rPr>
        <w:t xml:space="preserve">; </w:t>
      </w:r>
    </w:p>
    <w:p w:rsidR="00E373F1" w:rsidRPr="00864F84" w:rsidRDefault="00CA73D8" w:rsidP="00E55313">
      <w:pPr>
        <w:pStyle w:val="ListParagraph"/>
        <w:numPr>
          <w:ilvl w:val="0"/>
          <w:numId w:val="19"/>
        </w:numPr>
        <w:ind w:left="1080" w:hanging="360"/>
        <w:rPr>
          <w:rFonts w:ascii="Times New Roman" w:hAnsi="Times New Roman"/>
          <w:szCs w:val="24"/>
        </w:rPr>
      </w:pPr>
      <w:r w:rsidRPr="00864F84">
        <w:rPr>
          <w:rFonts w:ascii="Times New Roman" w:hAnsi="Times New Roman"/>
          <w:szCs w:val="24"/>
        </w:rPr>
        <w:t xml:space="preserve">it must be an active establishment of a multi-establishment firm, or it must be a single-establishment firm with </w:t>
      </w:r>
      <w:r w:rsidR="00383C14" w:rsidRPr="00864F84">
        <w:rPr>
          <w:rFonts w:ascii="Times New Roman" w:hAnsi="Times New Roman"/>
          <w:szCs w:val="24"/>
        </w:rPr>
        <w:t xml:space="preserve">at least one quarter of </w:t>
      </w:r>
      <w:r w:rsidR="008632AE" w:rsidRPr="00864F84">
        <w:rPr>
          <w:rFonts w:ascii="Times New Roman" w:hAnsi="Times New Roman"/>
          <w:szCs w:val="24"/>
        </w:rPr>
        <w:t xml:space="preserve">2017 administrative </w:t>
      </w:r>
      <w:r w:rsidRPr="00864F84">
        <w:rPr>
          <w:rFonts w:ascii="Times New Roman" w:hAnsi="Times New Roman"/>
          <w:szCs w:val="24"/>
        </w:rPr>
        <w:t xml:space="preserve">payroll; and </w:t>
      </w:r>
    </w:p>
    <w:p w:rsidR="00E373F1" w:rsidRPr="00864F84" w:rsidRDefault="00245558" w:rsidP="00E55313">
      <w:pPr>
        <w:pStyle w:val="ListParagraph"/>
        <w:numPr>
          <w:ilvl w:val="0"/>
          <w:numId w:val="19"/>
        </w:numPr>
        <w:ind w:left="1080" w:hanging="360"/>
        <w:rPr>
          <w:rFonts w:ascii="Times New Roman" w:hAnsi="Times New Roman"/>
          <w:szCs w:val="24"/>
        </w:rPr>
      </w:pPr>
      <w:r>
        <w:rPr>
          <w:rFonts w:ascii="Times New Roman" w:hAnsi="Times New Roman"/>
          <w:szCs w:val="24"/>
        </w:rPr>
        <w:t xml:space="preserve"> </w:t>
      </w:r>
      <w:r w:rsidR="00CA73D8" w:rsidRPr="00864F84">
        <w:rPr>
          <w:rFonts w:ascii="Times New Roman" w:hAnsi="Times New Roman"/>
          <w:szCs w:val="24"/>
        </w:rPr>
        <w:t>it must be located in one of the 50 states</w:t>
      </w:r>
      <w:r w:rsidR="00B76F21" w:rsidRPr="00864F84">
        <w:rPr>
          <w:rFonts w:ascii="Times New Roman" w:hAnsi="Times New Roman"/>
          <w:szCs w:val="24"/>
        </w:rPr>
        <w:t xml:space="preserve">, </w:t>
      </w:r>
      <w:r w:rsidR="008632AE" w:rsidRPr="00864F84">
        <w:rPr>
          <w:rFonts w:ascii="Times New Roman" w:hAnsi="Times New Roman"/>
          <w:szCs w:val="24"/>
        </w:rPr>
        <w:t xml:space="preserve">associated </w:t>
      </w:r>
      <w:r w:rsidR="00B76F21" w:rsidRPr="00864F84">
        <w:rPr>
          <w:rFonts w:ascii="Times New Roman" w:hAnsi="Times New Roman"/>
          <w:szCs w:val="24"/>
        </w:rPr>
        <w:t>offshore areas,</w:t>
      </w:r>
      <w:r w:rsidR="00CA73D8" w:rsidRPr="00864F84">
        <w:rPr>
          <w:rFonts w:ascii="Times New Roman" w:hAnsi="Times New Roman"/>
          <w:szCs w:val="24"/>
        </w:rPr>
        <w:t xml:space="preserve"> or the District of Columbia.  </w:t>
      </w:r>
    </w:p>
    <w:p w:rsidR="00E373F1" w:rsidRPr="00864F84" w:rsidRDefault="00E373F1" w:rsidP="00E55313">
      <w:pPr>
        <w:ind w:left="720"/>
        <w:rPr>
          <w:rFonts w:ascii="Times New Roman" w:hAnsi="Times New Roman"/>
          <w:szCs w:val="24"/>
        </w:rPr>
      </w:pPr>
    </w:p>
    <w:p w:rsidR="00CA73D8" w:rsidRPr="00864F84" w:rsidRDefault="00E373F1" w:rsidP="00E55313">
      <w:pPr>
        <w:ind w:left="720"/>
        <w:rPr>
          <w:rFonts w:ascii="Times New Roman" w:hAnsi="Times New Roman"/>
          <w:color w:val="000000" w:themeColor="text1"/>
          <w:szCs w:val="24"/>
        </w:rPr>
      </w:pPr>
      <w:r w:rsidRPr="00864F84">
        <w:rPr>
          <w:rFonts w:ascii="Times New Roman" w:hAnsi="Times New Roman"/>
          <w:color w:val="000000" w:themeColor="text1"/>
          <w:szCs w:val="24"/>
        </w:rPr>
        <w:t>S</w:t>
      </w:r>
      <w:r w:rsidR="00CA73D8" w:rsidRPr="00864F84">
        <w:rPr>
          <w:rFonts w:ascii="Times New Roman" w:hAnsi="Times New Roman"/>
          <w:color w:val="000000" w:themeColor="text1"/>
          <w:szCs w:val="24"/>
        </w:rPr>
        <w:t xml:space="preserve">election procedures </w:t>
      </w:r>
      <w:r w:rsidR="003C4E68" w:rsidRPr="00864F84">
        <w:rPr>
          <w:rFonts w:ascii="Times New Roman" w:hAnsi="Times New Roman"/>
          <w:color w:val="000000" w:themeColor="text1"/>
          <w:szCs w:val="24"/>
        </w:rPr>
        <w:t>differ between multi- and single-establishment firms.</w:t>
      </w:r>
      <w:r w:rsidR="00CA73D8" w:rsidRPr="00864F84">
        <w:rPr>
          <w:rFonts w:ascii="Times New Roman" w:hAnsi="Times New Roman"/>
          <w:color w:val="000000" w:themeColor="text1"/>
          <w:szCs w:val="24"/>
        </w:rPr>
        <w:t xml:space="preserve">  </w:t>
      </w:r>
    </w:p>
    <w:p w:rsidR="00CA73D8" w:rsidRPr="00864F84" w:rsidRDefault="00CA73D8" w:rsidP="00E55313">
      <w:pPr>
        <w:ind w:left="720"/>
        <w:rPr>
          <w:rFonts w:ascii="Times New Roman" w:hAnsi="Times New Roman"/>
          <w:szCs w:val="24"/>
        </w:rPr>
      </w:pPr>
    </w:p>
    <w:p w:rsidR="00CA73D8" w:rsidRPr="00864F84" w:rsidRDefault="00CA73D8" w:rsidP="00E55313">
      <w:pPr>
        <w:spacing w:after="240"/>
        <w:ind w:left="1080" w:hanging="360"/>
        <w:rPr>
          <w:rFonts w:ascii="Times New Roman" w:hAnsi="Times New Roman"/>
          <w:szCs w:val="24"/>
        </w:rPr>
      </w:pPr>
      <w:r w:rsidRPr="00864F84">
        <w:rPr>
          <w:rFonts w:ascii="Times New Roman" w:hAnsi="Times New Roman"/>
          <w:szCs w:val="24"/>
        </w:rPr>
        <w:t>(1)</w:t>
      </w:r>
      <w:r w:rsidRPr="00864F84">
        <w:rPr>
          <w:rFonts w:ascii="Times New Roman" w:hAnsi="Times New Roman"/>
          <w:szCs w:val="24"/>
        </w:rPr>
        <w:tab/>
        <w:t xml:space="preserve">Multi-Establishment Firms  </w:t>
      </w:r>
    </w:p>
    <w:p w:rsidR="00CA73D8" w:rsidRPr="00864F84" w:rsidRDefault="00EA38C4" w:rsidP="008910B2">
      <w:pPr>
        <w:ind w:left="1080"/>
        <w:rPr>
          <w:rFonts w:ascii="Times New Roman" w:hAnsi="Times New Roman"/>
          <w:szCs w:val="24"/>
        </w:rPr>
      </w:pPr>
      <w:r w:rsidRPr="00864F84">
        <w:rPr>
          <w:rFonts w:ascii="Times New Roman" w:hAnsi="Times New Roman"/>
          <w:szCs w:val="24"/>
        </w:rPr>
        <w:t xml:space="preserve">Any firm with more than one active establishment is included in the Economic Census with certainty and </w:t>
      </w:r>
      <w:r w:rsidR="00353C41" w:rsidRPr="00864F84">
        <w:rPr>
          <w:rFonts w:ascii="Times New Roman" w:hAnsi="Times New Roman"/>
          <w:szCs w:val="24"/>
        </w:rPr>
        <w:t xml:space="preserve">is </w:t>
      </w:r>
      <w:r w:rsidRPr="00864F84">
        <w:rPr>
          <w:rFonts w:ascii="Times New Roman" w:hAnsi="Times New Roman"/>
          <w:szCs w:val="24"/>
        </w:rPr>
        <w:t xml:space="preserve">generally expected to report for all of </w:t>
      </w:r>
      <w:r w:rsidR="00383C14" w:rsidRPr="00864F84">
        <w:rPr>
          <w:rFonts w:ascii="Times New Roman" w:hAnsi="Times New Roman"/>
          <w:szCs w:val="24"/>
        </w:rPr>
        <w:t>its</w:t>
      </w:r>
      <w:r w:rsidRPr="00864F84">
        <w:rPr>
          <w:rFonts w:ascii="Times New Roman" w:hAnsi="Times New Roman"/>
          <w:szCs w:val="24"/>
        </w:rPr>
        <w:t xml:space="preserve"> establishments.</w:t>
      </w:r>
      <w:r w:rsidR="000B1C98" w:rsidRPr="00864F84">
        <w:rPr>
          <w:rFonts w:ascii="Times New Roman" w:hAnsi="Times New Roman"/>
          <w:szCs w:val="24"/>
        </w:rPr>
        <w:t xml:space="preserve">  Each establishment is included with certainty and assigned a sample weight of 1.</w:t>
      </w:r>
    </w:p>
    <w:p w:rsidR="00EA38C4" w:rsidRPr="00864F84" w:rsidRDefault="00EA38C4" w:rsidP="00E55313">
      <w:pPr>
        <w:ind w:left="2160" w:hanging="360"/>
        <w:rPr>
          <w:rFonts w:ascii="Times New Roman" w:hAnsi="Times New Roman"/>
          <w:szCs w:val="24"/>
        </w:rPr>
      </w:pPr>
    </w:p>
    <w:p w:rsidR="007133CA" w:rsidRPr="00864F84" w:rsidRDefault="00353C41" w:rsidP="008910B2">
      <w:pPr>
        <w:pStyle w:val="ListParagraph"/>
        <w:numPr>
          <w:ilvl w:val="0"/>
          <w:numId w:val="18"/>
        </w:numPr>
        <w:spacing w:after="240"/>
        <w:ind w:left="1440" w:hanging="360"/>
        <w:rPr>
          <w:rFonts w:ascii="Times New Roman" w:hAnsi="Times New Roman"/>
          <w:szCs w:val="24"/>
        </w:rPr>
      </w:pPr>
      <w:r w:rsidRPr="00864F84">
        <w:rPr>
          <w:rFonts w:ascii="Times New Roman" w:hAnsi="Times New Roman"/>
          <w:szCs w:val="24"/>
        </w:rPr>
        <w:t>Establishment</w:t>
      </w:r>
      <w:r w:rsidR="0068568F" w:rsidRPr="00864F84">
        <w:rPr>
          <w:rFonts w:ascii="Times New Roman" w:hAnsi="Times New Roman"/>
          <w:szCs w:val="24"/>
        </w:rPr>
        <w:t xml:space="preserve"> R</w:t>
      </w:r>
      <w:r w:rsidR="007133CA" w:rsidRPr="00864F84">
        <w:rPr>
          <w:rFonts w:ascii="Times New Roman" w:hAnsi="Times New Roman"/>
          <w:szCs w:val="24"/>
        </w:rPr>
        <w:t>eporting</w:t>
      </w:r>
      <w:r w:rsidR="008632AE" w:rsidRPr="00864F84">
        <w:rPr>
          <w:rFonts w:ascii="Times New Roman" w:hAnsi="Times New Roman"/>
          <w:szCs w:val="24"/>
        </w:rPr>
        <w:t xml:space="preserve"> Units</w:t>
      </w:r>
    </w:p>
    <w:p w:rsidR="007133CA" w:rsidRPr="00864F84" w:rsidRDefault="007133CA" w:rsidP="008910B2">
      <w:pPr>
        <w:tabs>
          <w:tab w:val="left" w:pos="1440"/>
        </w:tabs>
        <w:ind w:left="1440"/>
        <w:rPr>
          <w:rFonts w:ascii="Times New Roman" w:hAnsi="Times New Roman"/>
          <w:szCs w:val="24"/>
        </w:rPr>
      </w:pPr>
      <w:r w:rsidRPr="00864F84">
        <w:rPr>
          <w:rFonts w:ascii="Times New Roman" w:hAnsi="Times New Roman"/>
          <w:szCs w:val="24"/>
        </w:rPr>
        <w:t>In most industries, multi-establishment firms are required to complete a</w:t>
      </w:r>
      <w:r w:rsidR="00AC32E0" w:rsidRPr="00864F84">
        <w:rPr>
          <w:rFonts w:ascii="Times New Roman" w:hAnsi="Times New Roman"/>
          <w:szCs w:val="24"/>
        </w:rPr>
        <w:t>n industry-specific</w:t>
      </w:r>
      <w:r w:rsidRPr="00864F84">
        <w:rPr>
          <w:rFonts w:ascii="Times New Roman" w:hAnsi="Times New Roman"/>
          <w:szCs w:val="24"/>
        </w:rPr>
        <w:t xml:space="preserve"> questionnaire f</w:t>
      </w:r>
      <w:r w:rsidR="00EA38C4" w:rsidRPr="00864F84">
        <w:rPr>
          <w:rFonts w:ascii="Times New Roman" w:hAnsi="Times New Roman"/>
          <w:szCs w:val="24"/>
        </w:rPr>
        <w:t>or each of th</w:t>
      </w:r>
      <w:r w:rsidR="001C57B6" w:rsidRPr="00864F84">
        <w:rPr>
          <w:rFonts w:ascii="Times New Roman" w:hAnsi="Times New Roman"/>
          <w:szCs w:val="24"/>
        </w:rPr>
        <w:t>e</w:t>
      </w:r>
      <w:r w:rsidR="00EA38C4" w:rsidRPr="00864F84">
        <w:rPr>
          <w:rFonts w:ascii="Times New Roman" w:hAnsi="Times New Roman"/>
          <w:szCs w:val="24"/>
        </w:rPr>
        <w:t xml:space="preserve"> establishments in their firm.</w:t>
      </w:r>
    </w:p>
    <w:p w:rsidR="00CA73D8" w:rsidRPr="00864F84" w:rsidRDefault="00CA73D8" w:rsidP="008910B2">
      <w:pPr>
        <w:pStyle w:val="ListParagraph"/>
        <w:numPr>
          <w:ilvl w:val="0"/>
          <w:numId w:val="18"/>
        </w:numPr>
        <w:spacing w:before="240"/>
        <w:ind w:left="1440" w:hanging="360"/>
        <w:rPr>
          <w:rFonts w:ascii="Times New Roman" w:hAnsi="Times New Roman"/>
          <w:szCs w:val="24"/>
        </w:rPr>
      </w:pPr>
      <w:r w:rsidRPr="00864F84">
        <w:rPr>
          <w:rFonts w:ascii="Times New Roman" w:hAnsi="Times New Roman"/>
          <w:szCs w:val="24"/>
        </w:rPr>
        <w:t xml:space="preserve">Alternative Reporting Units </w:t>
      </w:r>
      <w:r w:rsidR="002B769E">
        <w:rPr>
          <w:rFonts w:ascii="Times New Roman" w:hAnsi="Times New Roman"/>
          <w:szCs w:val="24"/>
        </w:rPr>
        <w:t xml:space="preserve">(ARU) </w:t>
      </w:r>
      <w:r w:rsidRPr="00864F84">
        <w:rPr>
          <w:rFonts w:ascii="Times New Roman" w:hAnsi="Times New Roman"/>
          <w:szCs w:val="24"/>
        </w:rPr>
        <w:t>for Selected Industries</w:t>
      </w:r>
    </w:p>
    <w:p w:rsidR="00CA73D8" w:rsidRPr="00864F84" w:rsidRDefault="00CA73D8">
      <w:pPr>
        <w:ind w:left="1440"/>
        <w:rPr>
          <w:rFonts w:ascii="Times New Roman" w:hAnsi="Times New Roman"/>
          <w:szCs w:val="24"/>
        </w:rPr>
      </w:pPr>
      <w:r w:rsidRPr="00864F84">
        <w:rPr>
          <w:rFonts w:ascii="Times New Roman" w:hAnsi="Times New Roman"/>
          <w:szCs w:val="24"/>
        </w:rPr>
        <w:tab/>
      </w:r>
      <w:r w:rsidRPr="00864F84">
        <w:rPr>
          <w:rFonts w:ascii="Times New Roman" w:hAnsi="Times New Roman"/>
          <w:szCs w:val="24"/>
        </w:rPr>
        <w:tab/>
      </w:r>
    </w:p>
    <w:p w:rsidR="0068568F" w:rsidRDefault="00B56724" w:rsidP="008910B2">
      <w:pPr>
        <w:widowControl/>
        <w:autoSpaceDE w:val="0"/>
        <w:autoSpaceDN w:val="0"/>
        <w:adjustRightInd w:val="0"/>
        <w:ind w:left="1440"/>
        <w:rPr>
          <w:rFonts w:ascii="Times New Roman" w:hAnsi="Times New Roman"/>
          <w:szCs w:val="24"/>
        </w:rPr>
      </w:pPr>
      <w:r w:rsidRPr="00864F84">
        <w:rPr>
          <w:rFonts w:ascii="Times New Roman" w:hAnsi="Times New Roman"/>
          <w:szCs w:val="24"/>
        </w:rPr>
        <w:t xml:space="preserve">In </w:t>
      </w:r>
      <w:r w:rsidR="005A7575" w:rsidRPr="00864F84">
        <w:rPr>
          <w:rFonts w:ascii="Times New Roman" w:hAnsi="Times New Roman"/>
          <w:szCs w:val="24"/>
        </w:rPr>
        <w:t>selected</w:t>
      </w:r>
      <w:r w:rsidR="00EA38C4" w:rsidRPr="00864F84">
        <w:rPr>
          <w:rFonts w:ascii="Times New Roman" w:hAnsi="Times New Roman"/>
          <w:szCs w:val="24"/>
        </w:rPr>
        <w:t xml:space="preserve"> </w:t>
      </w:r>
      <w:r w:rsidRPr="00864F84">
        <w:rPr>
          <w:rFonts w:ascii="Times New Roman" w:hAnsi="Times New Roman"/>
          <w:szCs w:val="24"/>
        </w:rPr>
        <w:t>industries,</w:t>
      </w:r>
      <w:r w:rsidR="00EA38C4" w:rsidRPr="00864F84">
        <w:rPr>
          <w:rFonts w:ascii="Times New Roman" w:hAnsi="Times New Roman"/>
          <w:szCs w:val="24"/>
        </w:rPr>
        <w:t xml:space="preserve"> </w:t>
      </w:r>
      <w:r w:rsidRPr="00864F84">
        <w:rPr>
          <w:rFonts w:ascii="Times New Roman" w:hAnsi="Times New Roman"/>
          <w:szCs w:val="24"/>
        </w:rPr>
        <w:t>firms</w:t>
      </w:r>
      <w:r w:rsidR="00EA38C4" w:rsidRPr="00864F84">
        <w:rPr>
          <w:rFonts w:ascii="Times New Roman" w:hAnsi="Times New Roman"/>
          <w:szCs w:val="24"/>
        </w:rPr>
        <w:t xml:space="preserve"> have difficulty reporting </w:t>
      </w:r>
      <w:r w:rsidR="00A61EEE">
        <w:rPr>
          <w:rFonts w:ascii="Times New Roman" w:hAnsi="Times New Roman"/>
          <w:szCs w:val="24"/>
        </w:rPr>
        <w:t>value of shipments/receipts/</w:t>
      </w:r>
      <w:r w:rsidR="00EA38C4" w:rsidRPr="00864F84">
        <w:rPr>
          <w:rFonts w:ascii="Times New Roman" w:hAnsi="Times New Roman"/>
          <w:szCs w:val="24"/>
        </w:rPr>
        <w:t>revenue</w:t>
      </w:r>
      <w:r w:rsidR="00A61EEE">
        <w:rPr>
          <w:rFonts w:ascii="Times New Roman" w:hAnsi="Times New Roman"/>
          <w:szCs w:val="24"/>
        </w:rPr>
        <w:t>/sales</w:t>
      </w:r>
      <w:r w:rsidR="00EA38C4" w:rsidRPr="00864F84">
        <w:rPr>
          <w:rFonts w:ascii="Times New Roman" w:hAnsi="Times New Roman"/>
          <w:szCs w:val="24"/>
        </w:rPr>
        <w:t xml:space="preserve"> and related data for each of their business locations</w:t>
      </w:r>
      <w:r w:rsidR="008E5F17" w:rsidRPr="00864F84">
        <w:rPr>
          <w:rFonts w:ascii="Times New Roman" w:hAnsi="Times New Roman"/>
          <w:szCs w:val="24"/>
        </w:rPr>
        <w:t xml:space="preserve"> (establishments)</w:t>
      </w:r>
      <w:r w:rsidR="00EA38C4" w:rsidRPr="00864F84">
        <w:rPr>
          <w:rFonts w:ascii="Times New Roman" w:hAnsi="Times New Roman"/>
          <w:szCs w:val="24"/>
        </w:rPr>
        <w:t xml:space="preserve">.  However, they can </w:t>
      </w:r>
      <w:r w:rsidRPr="00864F84">
        <w:rPr>
          <w:rFonts w:ascii="Times New Roman" w:hAnsi="Times New Roman"/>
          <w:szCs w:val="24"/>
        </w:rPr>
        <w:t xml:space="preserve">provide firm-level industry totals </w:t>
      </w:r>
      <w:r w:rsidR="008E5F17" w:rsidRPr="00864F84">
        <w:rPr>
          <w:rFonts w:ascii="Times New Roman" w:hAnsi="Times New Roman"/>
          <w:szCs w:val="24"/>
        </w:rPr>
        <w:t>with relative ease</w:t>
      </w:r>
      <w:r w:rsidR="00EA38C4" w:rsidRPr="00864F84">
        <w:rPr>
          <w:rFonts w:ascii="Times New Roman" w:hAnsi="Times New Roman"/>
          <w:szCs w:val="24"/>
        </w:rPr>
        <w:t xml:space="preserve"> and they can report separate payroll and employment information for each </w:t>
      </w:r>
      <w:r w:rsidR="008E5F17" w:rsidRPr="00864F84">
        <w:rPr>
          <w:rFonts w:ascii="Times New Roman" w:hAnsi="Times New Roman"/>
          <w:szCs w:val="24"/>
        </w:rPr>
        <w:t>business location</w:t>
      </w:r>
      <w:r w:rsidR="0068568F" w:rsidRPr="00864F84">
        <w:rPr>
          <w:rFonts w:ascii="Times New Roman" w:hAnsi="Times New Roman"/>
          <w:szCs w:val="24"/>
        </w:rPr>
        <w:t xml:space="preserve"> within the industry.  </w:t>
      </w:r>
      <w:r w:rsidR="00B65032" w:rsidRPr="00864F84">
        <w:rPr>
          <w:rFonts w:ascii="Times New Roman" w:hAnsi="Times New Roman"/>
          <w:szCs w:val="24"/>
        </w:rPr>
        <w:t xml:space="preserve">Table 3 below shows the industries for which an alternative </w:t>
      </w:r>
      <w:r w:rsidR="00AC32E0" w:rsidRPr="00864F84">
        <w:rPr>
          <w:rFonts w:ascii="Times New Roman" w:hAnsi="Times New Roman"/>
          <w:szCs w:val="24"/>
        </w:rPr>
        <w:t>questionnaire</w:t>
      </w:r>
      <w:r w:rsidR="00B65032" w:rsidRPr="00864F84">
        <w:rPr>
          <w:rFonts w:ascii="Times New Roman" w:hAnsi="Times New Roman"/>
          <w:szCs w:val="24"/>
        </w:rPr>
        <w:t xml:space="preserve"> will be used and the expected number of affected firms</w:t>
      </w:r>
      <w:r w:rsidR="00353C41" w:rsidRPr="00864F84">
        <w:rPr>
          <w:rFonts w:ascii="Times New Roman" w:hAnsi="Times New Roman"/>
          <w:szCs w:val="24"/>
        </w:rPr>
        <w:t>.</w:t>
      </w:r>
    </w:p>
    <w:p w:rsidR="00B27106" w:rsidRPr="00864F84" w:rsidRDefault="00B27106" w:rsidP="008910B2">
      <w:pPr>
        <w:widowControl/>
        <w:autoSpaceDE w:val="0"/>
        <w:autoSpaceDN w:val="0"/>
        <w:adjustRightInd w:val="0"/>
        <w:ind w:left="1440"/>
        <w:rPr>
          <w:rFonts w:ascii="Times New Roman" w:hAnsi="Times New Roman"/>
          <w:szCs w:val="24"/>
        </w:rPr>
      </w:pPr>
    </w:p>
    <w:p w:rsidR="00353C41" w:rsidRPr="00864F84" w:rsidRDefault="00353C41" w:rsidP="008910B2">
      <w:pPr>
        <w:ind w:left="1440"/>
        <w:rPr>
          <w:rFonts w:ascii="Times New Roman" w:hAnsi="Times New Roman"/>
          <w:szCs w:val="24"/>
        </w:rPr>
      </w:pPr>
      <w:r w:rsidRPr="00864F84">
        <w:rPr>
          <w:rFonts w:ascii="Times New Roman" w:hAnsi="Times New Roman"/>
          <w:szCs w:val="24"/>
        </w:rPr>
        <w:t xml:space="preserve">If a firm has more than </w:t>
      </w:r>
      <w:r w:rsidR="003415EF">
        <w:rPr>
          <w:rFonts w:ascii="Times New Roman" w:hAnsi="Times New Roman"/>
          <w:szCs w:val="24"/>
        </w:rPr>
        <w:t>two</w:t>
      </w:r>
      <w:r w:rsidRPr="00864F84">
        <w:rPr>
          <w:rFonts w:ascii="Times New Roman" w:hAnsi="Times New Roman"/>
          <w:szCs w:val="24"/>
        </w:rPr>
        <w:t xml:space="preserve"> establishment</w:t>
      </w:r>
      <w:r w:rsidR="003415EF">
        <w:rPr>
          <w:rFonts w:ascii="Times New Roman" w:hAnsi="Times New Roman"/>
          <w:szCs w:val="24"/>
        </w:rPr>
        <w:t>s</w:t>
      </w:r>
      <w:r w:rsidRPr="00864F84">
        <w:rPr>
          <w:rFonts w:ascii="Times New Roman" w:hAnsi="Times New Roman"/>
          <w:szCs w:val="24"/>
        </w:rPr>
        <w:t xml:space="preserve"> in an industr</w:t>
      </w:r>
      <w:r w:rsidR="00383C14" w:rsidRPr="00864F84">
        <w:rPr>
          <w:rFonts w:ascii="Times New Roman" w:hAnsi="Times New Roman"/>
          <w:szCs w:val="24"/>
        </w:rPr>
        <w:t>y</w:t>
      </w:r>
      <w:r w:rsidRPr="00864F84">
        <w:rPr>
          <w:rFonts w:ascii="Times New Roman" w:hAnsi="Times New Roman"/>
          <w:szCs w:val="24"/>
        </w:rPr>
        <w:t xml:space="preserve"> listed below, the firm will receive one questionnaire for each of those industries.  Each questionnaire will collect consolidated</w:t>
      </w:r>
      <w:r w:rsidR="003C4E68" w:rsidRPr="00864F84">
        <w:rPr>
          <w:rFonts w:ascii="Times New Roman" w:hAnsi="Times New Roman"/>
          <w:szCs w:val="24"/>
        </w:rPr>
        <w:t>, firm-level</w:t>
      </w:r>
      <w:r w:rsidRPr="00864F84">
        <w:rPr>
          <w:rFonts w:ascii="Times New Roman" w:hAnsi="Times New Roman"/>
          <w:szCs w:val="24"/>
        </w:rPr>
        <w:t xml:space="preserve"> data for </w:t>
      </w:r>
      <w:r w:rsidR="00A61EEE">
        <w:rPr>
          <w:rFonts w:ascii="Times New Roman" w:hAnsi="Times New Roman"/>
          <w:szCs w:val="24"/>
        </w:rPr>
        <w:t>value of shipments/receipts/</w:t>
      </w:r>
      <w:r w:rsidRPr="00864F84">
        <w:rPr>
          <w:rFonts w:ascii="Times New Roman" w:hAnsi="Times New Roman"/>
          <w:szCs w:val="24"/>
        </w:rPr>
        <w:t>revenue</w:t>
      </w:r>
      <w:r w:rsidR="00A61EEE">
        <w:rPr>
          <w:rFonts w:ascii="Times New Roman" w:hAnsi="Times New Roman"/>
          <w:szCs w:val="24"/>
        </w:rPr>
        <w:t>/sales</w:t>
      </w:r>
      <w:r w:rsidRPr="00864F84">
        <w:rPr>
          <w:rFonts w:ascii="Times New Roman" w:hAnsi="Times New Roman"/>
          <w:szCs w:val="24"/>
        </w:rPr>
        <w:t xml:space="preserve"> and related measures </w:t>
      </w:r>
      <w:r w:rsidR="00383C14" w:rsidRPr="00864F84">
        <w:rPr>
          <w:rFonts w:ascii="Times New Roman" w:hAnsi="Times New Roman"/>
          <w:szCs w:val="24"/>
        </w:rPr>
        <w:t>covering the firm’s</w:t>
      </w:r>
      <w:r w:rsidRPr="00864F84">
        <w:rPr>
          <w:rFonts w:ascii="Times New Roman" w:hAnsi="Times New Roman"/>
          <w:szCs w:val="24"/>
        </w:rPr>
        <w:t xml:space="preserve"> nationwide operations.  </w:t>
      </w:r>
      <w:r w:rsidR="00383C14" w:rsidRPr="00864F84">
        <w:rPr>
          <w:rFonts w:ascii="Times New Roman" w:hAnsi="Times New Roman"/>
          <w:szCs w:val="24"/>
        </w:rPr>
        <w:t>A</w:t>
      </w:r>
      <w:r w:rsidRPr="00864F84">
        <w:rPr>
          <w:rFonts w:ascii="Times New Roman" w:hAnsi="Times New Roman"/>
          <w:szCs w:val="24"/>
        </w:rPr>
        <w:t xml:space="preserve"> supplementary </w:t>
      </w:r>
      <w:r w:rsidR="005A7575" w:rsidRPr="00864F84">
        <w:rPr>
          <w:rFonts w:ascii="Times New Roman" w:hAnsi="Times New Roman"/>
          <w:szCs w:val="24"/>
        </w:rPr>
        <w:t>questionnaire</w:t>
      </w:r>
      <w:r w:rsidRPr="00864F84">
        <w:rPr>
          <w:rFonts w:ascii="Times New Roman" w:hAnsi="Times New Roman"/>
          <w:szCs w:val="24"/>
        </w:rPr>
        <w:t xml:space="preserve"> will enumerate the firm’s establishments in the industry and </w:t>
      </w:r>
      <w:r w:rsidR="005A7575" w:rsidRPr="00864F84">
        <w:rPr>
          <w:rFonts w:ascii="Times New Roman" w:hAnsi="Times New Roman"/>
          <w:szCs w:val="24"/>
        </w:rPr>
        <w:t>request</w:t>
      </w:r>
      <w:r w:rsidRPr="00864F84">
        <w:rPr>
          <w:rFonts w:ascii="Times New Roman" w:hAnsi="Times New Roman"/>
          <w:szCs w:val="24"/>
        </w:rPr>
        <w:t xml:space="preserve"> payroll and employment information for each of them.</w:t>
      </w:r>
    </w:p>
    <w:p w:rsidR="00353C41" w:rsidRPr="00864F84" w:rsidRDefault="00353C41" w:rsidP="007B6925">
      <w:pPr>
        <w:widowControl/>
        <w:autoSpaceDE w:val="0"/>
        <w:autoSpaceDN w:val="0"/>
        <w:adjustRightInd w:val="0"/>
        <w:ind w:left="1800"/>
        <w:rPr>
          <w:rFonts w:ascii="Times New Roman" w:hAnsi="Times New Roman"/>
          <w:sz w:val="20"/>
        </w:rPr>
      </w:pPr>
    </w:p>
    <w:p w:rsidR="008E5F17" w:rsidRPr="00864F84" w:rsidRDefault="008E5F17" w:rsidP="008910B2">
      <w:pPr>
        <w:widowControl/>
        <w:autoSpaceDE w:val="0"/>
        <w:autoSpaceDN w:val="0"/>
        <w:adjustRightInd w:val="0"/>
        <w:ind w:left="1800" w:hanging="360"/>
        <w:rPr>
          <w:rFonts w:ascii="Times New Roman" w:hAnsi="Times New Roman"/>
          <w:b/>
          <w:sz w:val="22"/>
          <w:szCs w:val="22"/>
        </w:rPr>
      </w:pPr>
      <w:r w:rsidRPr="00864F84">
        <w:rPr>
          <w:rFonts w:ascii="Times New Roman" w:hAnsi="Times New Roman"/>
          <w:b/>
          <w:sz w:val="22"/>
          <w:szCs w:val="22"/>
        </w:rPr>
        <w:t>Table 3: Alternative Reporting Industries and Counts</w:t>
      </w:r>
    </w:p>
    <w:tbl>
      <w:tblPr>
        <w:tblStyle w:val="TableGrid"/>
        <w:tblW w:w="0" w:type="auto"/>
        <w:tblInd w:w="1548" w:type="dxa"/>
        <w:tblLayout w:type="fixed"/>
        <w:tblLook w:val="04A0" w:firstRow="1" w:lastRow="0" w:firstColumn="1" w:lastColumn="0" w:noHBand="0" w:noVBand="1"/>
      </w:tblPr>
      <w:tblGrid>
        <w:gridCol w:w="1080"/>
        <w:gridCol w:w="4140"/>
        <w:gridCol w:w="1080"/>
        <w:gridCol w:w="1620"/>
      </w:tblGrid>
      <w:tr w:rsidR="00A7085A" w:rsidRPr="00864F84" w:rsidTr="00D95603">
        <w:trPr>
          <w:tblHeader/>
        </w:trPr>
        <w:tc>
          <w:tcPr>
            <w:tcW w:w="108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NAICS</w:t>
            </w:r>
          </w:p>
        </w:tc>
        <w:tc>
          <w:tcPr>
            <w:tcW w:w="414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NAICS Description</w:t>
            </w:r>
          </w:p>
        </w:tc>
        <w:tc>
          <w:tcPr>
            <w:tcW w:w="108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Expected</w:t>
            </w:r>
          </w:p>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Number of Firms</w:t>
            </w:r>
          </w:p>
        </w:tc>
        <w:tc>
          <w:tcPr>
            <w:tcW w:w="1620" w:type="dxa"/>
            <w:tcBorders>
              <w:bottom w:val="double" w:sz="4" w:space="0" w:color="auto"/>
            </w:tcBorders>
            <w:shd w:val="clear" w:color="auto" w:fill="F2F2F2" w:themeFill="background1" w:themeFillShade="F2"/>
            <w:vAlign w:val="center"/>
          </w:tcPr>
          <w:p w:rsidR="00A7085A" w:rsidRPr="00864F84" w:rsidRDefault="00A7085A" w:rsidP="00D95603">
            <w:pPr>
              <w:widowControl/>
              <w:autoSpaceDE w:val="0"/>
              <w:autoSpaceDN w:val="0"/>
              <w:adjustRightInd w:val="0"/>
              <w:jc w:val="center"/>
              <w:rPr>
                <w:rFonts w:ascii="Times New Roman" w:hAnsi="Times New Roman"/>
                <w:b/>
                <w:sz w:val="20"/>
              </w:rPr>
            </w:pPr>
            <w:r w:rsidRPr="00864F84">
              <w:rPr>
                <w:rFonts w:ascii="Times New Roman" w:hAnsi="Times New Roman"/>
                <w:b/>
                <w:sz w:val="20"/>
              </w:rPr>
              <w:t>Number of Affected Establishments</w:t>
            </w:r>
          </w:p>
        </w:tc>
      </w:tr>
      <w:tr w:rsidR="00A7085A" w:rsidRPr="00864F84" w:rsidTr="00D95603">
        <w:tc>
          <w:tcPr>
            <w:tcW w:w="1080" w:type="dxa"/>
            <w:tcBorders>
              <w:top w:val="doub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213111</w:t>
            </w:r>
          </w:p>
        </w:tc>
        <w:tc>
          <w:tcPr>
            <w:tcW w:w="4140" w:type="dxa"/>
            <w:tcBorders>
              <w:top w:val="doub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Drilling Oil and Gas Wells  </w:t>
            </w:r>
          </w:p>
        </w:tc>
        <w:tc>
          <w:tcPr>
            <w:tcW w:w="1080" w:type="dxa"/>
            <w:tcBorders>
              <w:top w:val="doub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53</w:t>
            </w:r>
          </w:p>
        </w:tc>
        <w:tc>
          <w:tcPr>
            <w:tcW w:w="1620" w:type="dxa"/>
            <w:tcBorders>
              <w:top w:val="doub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420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213112</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Oil and Gas Operations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169</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2,370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213113</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Coal Mining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10</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90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213114</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Metal Mining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90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213115</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Support Activities for Nonmetallic Minerals (except Fuels) Mining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221111</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Hydroelectric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315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221112</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Fossil fuel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1,365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221113</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Nuclear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sidRPr="00864F84">
              <w:rPr>
                <w:rFonts w:ascii="Times New Roman" w:hAnsi="Times New Roman"/>
                <w:sz w:val="20"/>
              </w:rPr>
              <w:t>1</w:t>
            </w:r>
            <w:r>
              <w:rPr>
                <w:rFonts w:ascii="Times New Roman" w:hAnsi="Times New Roman"/>
                <w:sz w:val="20"/>
              </w:rPr>
              <w:t>1</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140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221114</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Solar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221115</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Wind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221116</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Geothermal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sidRPr="00864F84">
              <w:rPr>
                <w:rFonts w:ascii="Times New Roman" w:hAnsi="Times New Roman"/>
                <w:sz w:val="20"/>
              </w:rPr>
              <w:t>4</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221117</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Biomass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221118</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Other electric power generation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13</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240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221121</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Electric bulk power transmission and control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210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221122</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Electric power distribution</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309</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6,590</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221210</w:t>
            </w:r>
          </w:p>
        </w:tc>
        <w:tc>
          <w:tcPr>
            <w:tcW w:w="414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Natural gas distribution</w:t>
            </w:r>
          </w:p>
        </w:tc>
        <w:tc>
          <w:tcPr>
            <w:tcW w:w="1080" w:type="dxa"/>
          </w:tcPr>
          <w:p w:rsidR="00A7085A" w:rsidRPr="0015693C" w:rsidRDefault="00A7085A" w:rsidP="00D95603">
            <w:pPr>
              <w:widowControl/>
              <w:autoSpaceDE w:val="0"/>
              <w:autoSpaceDN w:val="0"/>
              <w:adjustRightInd w:val="0"/>
              <w:jc w:val="right"/>
              <w:rPr>
                <w:rFonts w:ascii="Times New Roman" w:hAnsi="Times New Roman"/>
                <w:sz w:val="20"/>
              </w:rPr>
            </w:pPr>
            <w:r w:rsidRPr="0015693C">
              <w:rPr>
                <w:rFonts w:ascii="Times New Roman" w:hAnsi="Times New Roman"/>
                <w:sz w:val="20"/>
              </w:rPr>
              <w:t>72</w:t>
            </w:r>
          </w:p>
        </w:tc>
        <w:tc>
          <w:tcPr>
            <w:tcW w:w="1620" w:type="dxa"/>
          </w:tcPr>
          <w:p w:rsidR="00A7085A" w:rsidRPr="0015693C" w:rsidRDefault="00A7085A" w:rsidP="00D95603">
            <w:pPr>
              <w:widowControl/>
              <w:autoSpaceDE w:val="0"/>
              <w:autoSpaceDN w:val="0"/>
              <w:adjustRightInd w:val="0"/>
              <w:jc w:val="right"/>
              <w:rPr>
                <w:rFonts w:ascii="Times New Roman" w:hAnsi="Times New Roman"/>
                <w:sz w:val="20"/>
              </w:rPr>
            </w:pPr>
            <w:r w:rsidRPr="0015693C">
              <w:rPr>
                <w:rFonts w:ascii="Times New Roman" w:hAnsi="Times New Roman"/>
                <w:sz w:val="20"/>
              </w:rPr>
              <w:t>2,190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221310</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Water supply and irrigation systems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40</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720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221320</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Sewage treatment facilities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12</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330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221330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z w:val="20"/>
              </w:rPr>
              <w:t xml:space="preserve">Steam and air-conditioning supply </w:t>
            </w:r>
            <w:r w:rsidRPr="00864F84">
              <w:rPr>
                <w:rFonts w:ascii="Times New Roman" w:hAnsi="Times New Roman"/>
                <w:snapToGrid/>
                <w:sz w:val="20"/>
              </w:rPr>
              <w:t xml:space="preserve">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65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512110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 xml:space="preserve">Motion picture and video production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48</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495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512120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 xml:space="preserve">Motion picture and video distribution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0</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512220</w:t>
            </w:r>
          </w:p>
        </w:tc>
        <w:tc>
          <w:tcPr>
            <w:tcW w:w="4140" w:type="dxa"/>
          </w:tcPr>
          <w:p w:rsidR="00A7085A" w:rsidRPr="00864F84" w:rsidRDefault="00A7085A" w:rsidP="00D95603">
            <w:pPr>
              <w:widowControl/>
              <w:autoSpaceDE w:val="0"/>
              <w:autoSpaceDN w:val="0"/>
              <w:adjustRightInd w:val="0"/>
              <w:rPr>
                <w:rFonts w:ascii="Times New Roman" w:hAnsi="Times New Roman"/>
                <w:snapToGrid/>
                <w:sz w:val="20"/>
              </w:rPr>
            </w:pPr>
            <w:r w:rsidRPr="00864F84">
              <w:rPr>
                <w:rFonts w:ascii="Times New Roman" w:hAnsi="Times New Roman"/>
                <w:snapToGrid/>
                <w:sz w:val="20"/>
              </w:rPr>
              <w:t xml:space="preserve">Integrated record production/distribution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4</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100</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51711010</w:t>
            </w:r>
          </w:p>
        </w:tc>
        <w:tc>
          <w:tcPr>
            <w:tcW w:w="414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Wired telecommunications distribution</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181</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25,085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51711020</w:t>
            </w:r>
          </w:p>
        </w:tc>
        <w:tc>
          <w:tcPr>
            <w:tcW w:w="414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Cable and other program distribution</w:t>
            </w:r>
          </w:p>
        </w:tc>
        <w:tc>
          <w:tcPr>
            <w:tcW w:w="1080" w:type="dxa"/>
          </w:tcPr>
          <w:p w:rsidR="00A7085A"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52</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6,875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51721010</w:t>
            </w:r>
          </w:p>
        </w:tc>
        <w:tc>
          <w:tcPr>
            <w:tcW w:w="414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napToGrid/>
                <w:sz w:val="20"/>
              </w:rPr>
              <w:t>Paging</w:t>
            </w:r>
            <w:r w:rsidRPr="003A65FB">
              <w:rPr>
                <w:rFonts w:ascii="Times New Roman" w:hAnsi="Times New Roman"/>
                <w:sz w:val="20"/>
              </w:rPr>
              <w:t xml:space="preserve"> </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8</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95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51721020</w:t>
            </w:r>
          </w:p>
        </w:tc>
        <w:tc>
          <w:tcPr>
            <w:tcW w:w="4140" w:type="dxa"/>
          </w:tcPr>
          <w:p w:rsidR="00A7085A" w:rsidRPr="003A65FB" w:rsidRDefault="00A7085A" w:rsidP="00D95603">
            <w:pPr>
              <w:widowControl/>
              <w:autoSpaceDE w:val="0"/>
              <w:autoSpaceDN w:val="0"/>
              <w:adjustRightInd w:val="0"/>
              <w:rPr>
                <w:rFonts w:ascii="Times New Roman" w:hAnsi="Times New Roman"/>
                <w:snapToGrid/>
                <w:sz w:val="20"/>
              </w:rPr>
            </w:pPr>
            <w:r w:rsidRPr="003A65FB">
              <w:rPr>
                <w:rFonts w:ascii="Times New Roman" w:hAnsi="Times New Roman"/>
                <w:snapToGrid/>
                <w:sz w:val="20"/>
              </w:rPr>
              <w:t>Cellular and other wireless telecommunications</w:t>
            </w:r>
          </w:p>
        </w:tc>
        <w:tc>
          <w:tcPr>
            <w:tcW w:w="108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101</w:t>
            </w:r>
          </w:p>
        </w:tc>
        <w:tc>
          <w:tcPr>
            <w:tcW w:w="1620" w:type="dxa"/>
          </w:tcPr>
          <w:p w:rsidR="00A7085A" w:rsidRPr="00864F84" w:rsidRDefault="00A7085A" w:rsidP="00D95603">
            <w:pPr>
              <w:widowControl/>
              <w:autoSpaceDE w:val="0"/>
              <w:autoSpaceDN w:val="0"/>
              <w:adjustRightInd w:val="0"/>
              <w:jc w:val="right"/>
              <w:rPr>
                <w:rFonts w:ascii="Times New Roman" w:hAnsi="Times New Roman"/>
                <w:snapToGrid/>
                <w:sz w:val="20"/>
              </w:rPr>
            </w:pPr>
            <w:r>
              <w:rPr>
                <w:rFonts w:ascii="Times New Roman" w:hAnsi="Times New Roman"/>
                <w:snapToGrid/>
                <w:sz w:val="20"/>
              </w:rPr>
              <w:t>11,125</w:t>
            </w:r>
          </w:p>
        </w:tc>
      </w:tr>
      <w:tr w:rsidR="00A7085A" w:rsidRPr="00864F84" w:rsidTr="00D95603">
        <w:tc>
          <w:tcPr>
            <w:tcW w:w="108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522110</w:t>
            </w:r>
          </w:p>
        </w:tc>
        <w:tc>
          <w:tcPr>
            <w:tcW w:w="4140" w:type="dxa"/>
          </w:tcPr>
          <w:p w:rsidR="00A7085A" w:rsidRPr="003A65FB" w:rsidRDefault="00A7085A" w:rsidP="00D95603">
            <w:pPr>
              <w:widowControl/>
              <w:autoSpaceDE w:val="0"/>
              <w:autoSpaceDN w:val="0"/>
              <w:adjustRightInd w:val="0"/>
              <w:rPr>
                <w:rFonts w:ascii="Times New Roman" w:hAnsi="Times New Roman"/>
                <w:sz w:val="20"/>
              </w:rPr>
            </w:pPr>
            <w:r w:rsidRPr="003A65FB">
              <w:rPr>
                <w:rFonts w:ascii="Times New Roman" w:hAnsi="Times New Roman"/>
                <w:sz w:val="20"/>
              </w:rPr>
              <w:t>Commercial banking</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3,235</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88,495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522120</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Savings institutions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594</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8,505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524113</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life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79</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7,845</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524114</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health and medical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108</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4,520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524126</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property and casualty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212</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11,640</w:t>
            </w:r>
          </w:p>
        </w:tc>
      </w:tr>
      <w:tr w:rsidR="00A7085A" w:rsidRPr="00864F84" w:rsidTr="00D95603">
        <w:tc>
          <w:tcPr>
            <w:tcW w:w="108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524127</w:t>
            </w:r>
          </w:p>
        </w:tc>
        <w:tc>
          <w:tcPr>
            <w:tcW w:w="4140" w:type="dxa"/>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Direct title insurance carriers  </w:t>
            </w:r>
          </w:p>
        </w:tc>
        <w:tc>
          <w:tcPr>
            <w:tcW w:w="108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42</w:t>
            </w:r>
          </w:p>
        </w:tc>
        <w:tc>
          <w:tcPr>
            <w:tcW w:w="1620" w:type="dxa"/>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3,085</w:t>
            </w:r>
          </w:p>
        </w:tc>
      </w:tr>
      <w:tr w:rsidR="00A7085A" w:rsidRPr="00864F84" w:rsidTr="00D95603">
        <w:tc>
          <w:tcPr>
            <w:tcW w:w="1080" w:type="dxa"/>
            <w:tcBorders>
              <w:bottom w:val="sing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524128</w:t>
            </w:r>
          </w:p>
        </w:tc>
        <w:tc>
          <w:tcPr>
            <w:tcW w:w="4140" w:type="dxa"/>
            <w:tcBorders>
              <w:bottom w:val="single" w:sz="4"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Other direct insurance (except life, health, and medical) carriers </w:t>
            </w:r>
          </w:p>
        </w:tc>
        <w:tc>
          <w:tcPr>
            <w:tcW w:w="1080" w:type="dxa"/>
            <w:tcBorders>
              <w:bottom w:val="sing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14</w:t>
            </w:r>
          </w:p>
        </w:tc>
        <w:tc>
          <w:tcPr>
            <w:tcW w:w="1620" w:type="dxa"/>
            <w:tcBorders>
              <w:bottom w:val="single" w:sz="4"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160</w:t>
            </w:r>
          </w:p>
        </w:tc>
      </w:tr>
      <w:tr w:rsidR="00A7085A" w:rsidRPr="00864F84" w:rsidTr="00D95603">
        <w:tc>
          <w:tcPr>
            <w:tcW w:w="1080" w:type="dxa"/>
            <w:tcBorders>
              <w:bottom w:val="single" w:sz="12"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524130</w:t>
            </w:r>
          </w:p>
        </w:tc>
        <w:tc>
          <w:tcPr>
            <w:tcW w:w="4140" w:type="dxa"/>
            <w:tcBorders>
              <w:bottom w:val="single" w:sz="12"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 xml:space="preserve">Reinsurance carriers </w:t>
            </w:r>
          </w:p>
        </w:tc>
        <w:tc>
          <w:tcPr>
            <w:tcW w:w="1080" w:type="dxa"/>
            <w:tcBorders>
              <w:bottom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22</w:t>
            </w:r>
          </w:p>
        </w:tc>
        <w:tc>
          <w:tcPr>
            <w:tcW w:w="1620" w:type="dxa"/>
            <w:tcBorders>
              <w:bottom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315</w:t>
            </w:r>
          </w:p>
        </w:tc>
      </w:tr>
      <w:tr w:rsidR="00A7085A" w:rsidRPr="00864F84" w:rsidTr="00D95603">
        <w:tc>
          <w:tcPr>
            <w:tcW w:w="5220" w:type="dxa"/>
            <w:gridSpan w:val="2"/>
            <w:tcBorders>
              <w:top w:val="single" w:sz="12" w:space="0" w:color="auto"/>
            </w:tcBorders>
          </w:tcPr>
          <w:p w:rsidR="00A7085A" w:rsidRPr="00864F84" w:rsidRDefault="00A7085A" w:rsidP="00D95603">
            <w:pPr>
              <w:widowControl/>
              <w:autoSpaceDE w:val="0"/>
              <w:autoSpaceDN w:val="0"/>
              <w:adjustRightInd w:val="0"/>
              <w:rPr>
                <w:rFonts w:ascii="Times New Roman" w:hAnsi="Times New Roman"/>
                <w:sz w:val="20"/>
              </w:rPr>
            </w:pPr>
            <w:r w:rsidRPr="00864F84">
              <w:rPr>
                <w:rFonts w:ascii="Times New Roman" w:hAnsi="Times New Roman"/>
                <w:sz w:val="20"/>
              </w:rPr>
              <w:t>Total</w:t>
            </w:r>
          </w:p>
        </w:tc>
        <w:tc>
          <w:tcPr>
            <w:tcW w:w="1080" w:type="dxa"/>
            <w:tcBorders>
              <w:top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5,560</w:t>
            </w:r>
          </w:p>
        </w:tc>
        <w:tc>
          <w:tcPr>
            <w:tcW w:w="1620" w:type="dxa"/>
            <w:tcBorders>
              <w:top w:val="single" w:sz="12" w:space="0" w:color="auto"/>
            </w:tcBorders>
          </w:tcPr>
          <w:p w:rsidR="00A7085A" w:rsidRPr="00864F84" w:rsidRDefault="00A7085A" w:rsidP="00D95603">
            <w:pPr>
              <w:widowControl/>
              <w:autoSpaceDE w:val="0"/>
              <w:autoSpaceDN w:val="0"/>
              <w:adjustRightInd w:val="0"/>
              <w:jc w:val="right"/>
              <w:rPr>
                <w:rFonts w:ascii="Times New Roman" w:hAnsi="Times New Roman"/>
                <w:sz w:val="20"/>
              </w:rPr>
            </w:pPr>
            <w:r>
              <w:rPr>
                <w:rFonts w:ascii="Times New Roman" w:hAnsi="Times New Roman"/>
                <w:sz w:val="20"/>
              </w:rPr>
              <w:t>183,775</w:t>
            </w:r>
          </w:p>
        </w:tc>
      </w:tr>
    </w:tbl>
    <w:p w:rsidR="00CA73D8" w:rsidRPr="00864F84" w:rsidRDefault="00CA73D8">
      <w:pPr>
        <w:ind w:left="2880"/>
        <w:rPr>
          <w:rFonts w:ascii="Times New Roman" w:hAnsi="Times New Roman"/>
          <w:sz w:val="20"/>
        </w:rPr>
      </w:pPr>
    </w:p>
    <w:p w:rsidR="00CA73D8" w:rsidRPr="00864F84" w:rsidRDefault="00CA73D8">
      <w:pPr>
        <w:rPr>
          <w:rFonts w:ascii="Times New Roman" w:hAnsi="Times New Roman"/>
          <w:sz w:val="20"/>
        </w:rPr>
      </w:pPr>
    </w:p>
    <w:p w:rsidR="00CA73D8" w:rsidRPr="00864F84" w:rsidRDefault="00CA73D8" w:rsidP="008910B2">
      <w:pPr>
        <w:ind w:left="1080" w:hanging="360"/>
        <w:rPr>
          <w:rFonts w:ascii="Times New Roman" w:hAnsi="Times New Roman"/>
          <w:szCs w:val="24"/>
        </w:rPr>
      </w:pPr>
      <w:r w:rsidRPr="00864F84">
        <w:rPr>
          <w:rFonts w:ascii="Times New Roman" w:hAnsi="Times New Roman"/>
          <w:szCs w:val="24"/>
        </w:rPr>
        <w:t>(2)</w:t>
      </w:r>
      <w:r w:rsidRPr="00864F84">
        <w:rPr>
          <w:rFonts w:ascii="Times New Roman" w:hAnsi="Times New Roman"/>
          <w:szCs w:val="24"/>
        </w:rPr>
        <w:tab/>
        <w:t xml:space="preserve">Single Establishment Firms with </w:t>
      </w:r>
      <w:r w:rsidR="00E55313" w:rsidRPr="00864F84">
        <w:rPr>
          <w:rFonts w:ascii="Times New Roman" w:hAnsi="Times New Roman"/>
          <w:szCs w:val="24"/>
        </w:rPr>
        <w:t xml:space="preserve">2017 </w:t>
      </w:r>
      <w:r w:rsidRPr="00864F84">
        <w:rPr>
          <w:rFonts w:ascii="Times New Roman" w:hAnsi="Times New Roman"/>
          <w:szCs w:val="24"/>
        </w:rPr>
        <w:t xml:space="preserve">Payroll  </w:t>
      </w:r>
    </w:p>
    <w:p w:rsidR="00CA73D8" w:rsidRPr="00864F84" w:rsidRDefault="00CA73D8">
      <w:pPr>
        <w:ind w:left="1440"/>
        <w:rPr>
          <w:rFonts w:ascii="Times New Roman" w:hAnsi="Times New Roman"/>
          <w:szCs w:val="24"/>
        </w:rPr>
      </w:pPr>
    </w:p>
    <w:p w:rsidR="004D36F3" w:rsidRPr="00864F84" w:rsidRDefault="00125F42" w:rsidP="008910B2">
      <w:pPr>
        <w:ind w:left="1080"/>
        <w:rPr>
          <w:rFonts w:ascii="Times New Roman" w:hAnsi="Times New Roman"/>
          <w:szCs w:val="24"/>
        </w:rPr>
      </w:pPr>
      <w:r w:rsidRPr="00864F84">
        <w:rPr>
          <w:rFonts w:ascii="Times New Roman" w:hAnsi="Times New Roman"/>
          <w:szCs w:val="24"/>
        </w:rPr>
        <w:t>The sample design for single-establishment firms</w:t>
      </w:r>
      <w:r w:rsidR="000E40FA" w:rsidRPr="00864F84">
        <w:rPr>
          <w:rFonts w:ascii="Times New Roman" w:hAnsi="Times New Roman"/>
          <w:szCs w:val="24"/>
        </w:rPr>
        <w:t xml:space="preserve"> begins with</w:t>
      </w:r>
      <w:r w:rsidR="00CA73D8" w:rsidRPr="00864F84">
        <w:rPr>
          <w:rFonts w:ascii="Times New Roman" w:hAnsi="Times New Roman"/>
          <w:szCs w:val="24"/>
        </w:rPr>
        <w:t xml:space="preserve"> a study of the potential respondent universe.  This study will produce a set of industry-specific payroll cutoffs that we will use to distinguish large </w:t>
      </w:r>
      <w:r w:rsidR="000E40FA" w:rsidRPr="00864F84">
        <w:rPr>
          <w:rFonts w:ascii="Times New Roman" w:hAnsi="Times New Roman"/>
          <w:szCs w:val="24"/>
        </w:rPr>
        <w:t>from</w:t>
      </w:r>
      <w:r w:rsidR="00CA73D8" w:rsidRPr="00864F84">
        <w:rPr>
          <w:rFonts w:ascii="Times New Roman" w:hAnsi="Times New Roman"/>
          <w:szCs w:val="24"/>
        </w:rPr>
        <w:t xml:space="preserve"> small single-establishment firms within each </w:t>
      </w:r>
      <w:r w:rsidR="000B1C98" w:rsidRPr="00864F84">
        <w:rPr>
          <w:rFonts w:ascii="Times New Roman" w:hAnsi="Times New Roman"/>
          <w:szCs w:val="24"/>
        </w:rPr>
        <w:t>industry</w:t>
      </w:r>
      <w:r w:rsidR="00CA73D8" w:rsidRPr="00864F84">
        <w:rPr>
          <w:rFonts w:ascii="Times New Roman" w:hAnsi="Times New Roman"/>
          <w:szCs w:val="24"/>
        </w:rPr>
        <w:t xml:space="preserve">.  </w:t>
      </w:r>
      <w:r w:rsidR="007D6B9D" w:rsidRPr="00864F84">
        <w:rPr>
          <w:rFonts w:ascii="Times New Roman" w:hAnsi="Times New Roman"/>
          <w:szCs w:val="24"/>
        </w:rPr>
        <w:t xml:space="preserve">In general, these cutoffs are chosen so that </w:t>
      </w:r>
      <w:r w:rsidR="008B21CC" w:rsidRPr="00864F84">
        <w:rPr>
          <w:rFonts w:ascii="Times New Roman" w:hAnsi="Times New Roman"/>
          <w:szCs w:val="24"/>
        </w:rPr>
        <w:t xml:space="preserve">the sum of the payroll of </w:t>
      </w:r>
      <w:r w:rsidR="000E40FA" w:rsidRPr="00864F84">
        <w:rPr>
          <w:rFonts w:ascii="Times New Roman" w:hAnsi="Times New Roman"/>
          <w:szCs w:val="24"/>
        </w:rPr>
        <w:t xml:space="preserve">the </w:t>
      </w:r>
      <w:r w:rsidR="008B21CC" w:rsidRPr="00864F84">
        <w:rPr>
          <w:rFonts w:ascii="Times New Roman" w:hAnsi="Times New Roman"/>
          <w:szCs w:val="24"/>
        </w:rPr>
        <w:t>multi-establishment firms plus the payroll of the single-establishment firms above the cutoff equal</w:t>
      </w:r>
      <w:r w:rsidR="00735455" w:rsidRPr="00864F84">
        <w:rPr>
          <w:rFonts w:ascii="Times New Roman" w:hAnsi="Times New Roman"/>
          <w:szCs w:val="24"/>
        </w:rPr>
        <w:t>s</w:t>
      </w:r>
      <w:r w:rsidR="008B21CC" w:rsidRPr="00864F84">
        <w:rPr>
          <w:rFonts w:ascii="Times New Roman" w:hAnsi="Times New Roman"/>
          <w:szCs w:val="24"/>
        </w:rPr>
        <w:t xml:space="preserve"> </w:t>
      </w:r>
      <w:r w:rsidR="007D6B9D" w:rsidRPr="00864F84">
        <w:rPr>
          <w:rFonts w:ascii="Times New Roman" w:hAnsi="Times New Roman"/>
          <w:szCs w:val="24"/>
        </w:rPr>
        <w:t>75 – 9</w:t>
      </w:r>
      <w:r w:rsidR="008B21CC" w:rsidRPr="00864F84">
        <w:rPr>
          <w:rFonts w:ascii="Times New Roman" w:hAnsi="Times New Roman"/>
          <w:szCs w:val="24"/>
        </w:rPr>
        <w:t>5</w:t>
      </w:r>
      <w:r w:rsidR="007D6B9D" w:rsidRPr="00864F84">
        <w:rPr>
          <w:rFonts w:ascii="Times New Roman" w:hAnsi="Times New Roman"/>
          <w:szCs w:val="24"/>
        </w:rPr>
        <w:t>% of the total payroll in an industry</w:t>
      </w:r>
      <w:r w:rsidR="000E40FA" w:rsidRPr="00864F84">
        <w:rPr>
          <w:rFonts w:ascii="Times New Roman" w:hAnsi="Times New Roman"/>
          <w:szCs w:val="24"/>
        </w:rPr>
        <w:t xml:space="preserve"> – </w:t>
      </w:r>
      <w:r w:rsidR="008B21CC" w:rsidRPr="00864F84">
        <w:rPr>
          <w:rFonts w:ascii="Times New Roman" w:hAnsi="Times New Roman"/>
          <w:szCs w:val="24"/>
        </w:rPr>
        <w:t>though there are many exceptions.</w:t>
      </w:r>
      <w:r w:rsidR="00FA309F" w:rsidRPr="00864F84">
        <w:rPr>
          <w:rFonts w:ascii="Times New Roman" w:hAnsi="Times New Roman"/>
          <w:szCs w:val="24"/>
        </w:rPr>
        <w:t xml:space="preserve">  In the example in Table 4 below, a payroll cutoff of $229,000</w:t>
      </w:r>
      <w:r w:rsidR="007E7EFD" w:rsidRPr="00864F84">
        <w:rPr>
          <w:rFonts w:ascii="Times New Roman" w:hAnsi="Times New Roman"/>
          <w:szCs w:val="24"/>
        </w:rPr>
        <w:t xml:space="preserve"> for Used Car Dealers will result in 80% of total industry payroll (32.6% + 47.4%) being contained within the 6,</w:t>
      </w:r>
      <w:r w:rsidR="00FA57EF" w:rsidRPr="00864F84">
        <w:rPr>
          <w:rFonts w:ascii="Times New Roman" w:hAnsi="Times New Roman"/>
          <w:szCs w:val="24"/>
        </w:rPr>
        <w:t xml:space="preserve">655 </w:t>
      </w:r>
      <w:r w:rsidR="007E7EFD" w:rsidRPr="00864F84">
        <w:rPr>
          <w:rFonts w:ascii="Times New Roman" w:hAnsi="Times New Roman"/>
          <w:szCs w:val="24"/>
        </w:rPr>
        <w:t xml:space="preserve">establishments </w:t>
      </w:r>
      <w:r w:rsidR="00FA57EF" w:rsidRPr="00864F84">
        <w:rPr>
          <w:rFonts w:ascii="Times New Roman" w:hAnsi="Times New Roman"/>
          <w:szCs w:val="24"/>
        </w:rPr>
        <w:t xml:space="preserve">(2,508 + 4,147) </w:t>
      </w:r>
      <w:r w:rsidR="007E7EFD" w:rsidRPr="00864F84">
        <w:rPr>
          <w:rFonts w:ascii="Times New Roman" w:hAnsi="Times New Roman"/>
          <w:szCs w:val="24"/>
        </w:rPr>
        <w:t>selected with certainty.</w:t>
      </w:r>
    </w:p>
    <w:p w:rsidR="00FA309F" w:rsidRPr="00864F84" w:rsidRDefault="00FA309F" w:rsidP="008910B2">
      <w:pPr>
        <w:ind w:left="1080"/>
        <w:rPr>
          <w:rFonts w:ascii="Times New Roman" w:hAnsi="Times New Roman"/>
          <w:sz w:val="20"/>
        </w:rPr>
      </w:pPr>
    </w:p>
    <w:p w:rsidR="004D36F3" w:rsidRPr="00864F84" w:rsidRDefault="00FA309F" w:rsidP="008910B2">
      <w:pPr>
        <w:ind w:left="1080"/>
        <w:rPr>
          <w:rFonts w:ascii="Times New Roman" w:hAnsi="Times New Roman"/>
          <w:b/>
          <w:sz w:val="22"/>
          <w:szCs w:val="22"/>
        </w:rPr>
      </w:pPr>
      <w:r w:rsidRPr="00864F84">
        <w:rPr>
          <w:rFonts w:ascii="Times New Roman" w:hAnsi="Times New Roman"/>
          <w:b/>
          <w:sz w:val="22"/>
          <w:szCs w:val="22"/>
        </w:rPr>
        <w:t>Table 4: Example of Certainty Payroll Cutoff: Used Car Dealers (NAICS 441120</w:t>
      </w:r>
      <w:r w:rsidR="002B769E">
        <w:rPr>
          <w:rFonts w:ascii="Times New Roman" w:hAnsi="Times New Roman"/>
          <w:b/>
          <w:sz w:val="22"/>
          <w:szCs w:val="22"/>
        </w:rPr>
        <w:t>00</w:t>
      </w:r>
      <w:r w:rsidRPr="00864F84">
        <w:rPr>
          <w:rFonts w:ascii="Times New Roman" w:hAnsi="Times New Roman"/>
          <w:b/>
          <w:sz w:val="22"/>
          <w:szCs w:val="22"/>
        </w:rPr>
        <w:t>)</w:t>
      </w:r>
    </w:p>
    <w:tbl>
      <w:tblPr>
        <w:tblStyle w:val="TableGrid"/>
        <w:tblW w:w="8190" w:type="dxa"/>
        <w:tblInd w:w="1188" w:type="dxa"/>
        <w:tblLook w:val="04A0" w:firstRow="1" w:lastRow="0" w:firstColumn="1" w:lastColumn="0" w:noHBand="0" w:noVBand="1"/>
      </w:tblPr>
      <w:tblGrid>
        <w:gridCol w:w="4339"/>
        <w:gridCol w:w="1517"/>
        <w:gridCol w:w="1257"/>
        <w:gridCol w:w="1077"/>
      </w:tblGrid>
      <w:tr w:rsidR="004D36F3" w:rsidRPr="00864F84" w:rsidTr="00FA309F">
        <w:tc>
          <w:tcPr>
            <w:tcW w:w="4376"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Establishment Type</w:t>
            </w:r>
          </w:p>
        </w:tc>
        <w:tc>
          <w:tcPr>
            <w:tcW w:w="1474"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Number of Establishments</w:t>
            </w:r>
          </w:p>
        </w:tc>
        <w:tc>
          <w:tcPr>
            <w:tcW w:w="1260"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Payroll</w:t>
            </w:r>
            <w:r w:rsidR="004C1280" w:rsidRPr="00864F84">
              <w:rPr>
                <w:rFonts w:ascii="Times New Roman" w:hAnsi="Times New Roman"/>
                <w:b/>
                <w:sz w:val="20"/>
              </w:rPr>
              <w:t xml:space="preserve"> ($000)</w:t>
            </w:r>
          </w:p>
        </w:tc>
        <w:tc>
          <w:tcPr>
            <w:tcW w:w="1080" w:type="dxa"/>
            <w:tcBorders>
              <w:bottom w:val="double" w:sz="4" w:space="0" w:color="auto"/>
            </w:tcBorders>
            <w:shd w:val="clear" w:color="auto" w:fill="F2F2F2" w:themeFill="background1" w:themeFillShade="F2"/>
            <w:vAlign w:val="center"/>
          </w:tcPr>
          <w:p w:rsidR="004D36F3" w:rsidRPr="00864F84" w:rsidRDefault="004D36F3" w:rsidP="00BC4750">
            <w:pPr>
              <w:jc w:val="center"/>
              <w:rPr>
                <w:rFonts w:ascii="Times New Roman" w:hAnsi="Times New Roman"/>
                <w:b/>
                <w:sz w:val="20"/>
              </w:rPr>
            </w:pPr>
            <w:r w:rsidRPr="00864F84">
              <w:rPr>
                <w:rFonts w:ascii="Times New Roman" w:hAnsi="Times New Roman"/>
                <w:b/>
                <w:sz w:val="20"/>
              </w:rPr>
              <w:t>% of Total Payroll</w:t>
            </w:r>
          </w:p>
        </w:tc>
      </w:tr>
      <w:tr w:rsidR="004D36F3" w:rsidRPr="00864F84" w:rsidTr="00FA309F">
        <w:tc>
          <w:tcPr>
            <w:tcW w:w="4376" w:type="dxa"/>
            <w:tcBorders>
              <w:top w:val="double" w:sz="4" w:space="0" w:color="auto"/>
            </w:tcBorders>
          </w:tcPr>
          <w:p w:rsidR="004D36F3" w:rsidRPr="00864F84" w:rsidRDefault="004D36F3" w:rsidP="008910B2">
            <w:pPr>
              <w:rPr>
                <w:rFonts w:ascii="Times New Roman" w:hAnsi="Times New Roman"/>
                <w:sz w:val="20"/>
              </w:rPr>
            </w:pPr>
            <w:r w:rsidRPr="00864F84">
              <w:rPr>
                <w:rFonts w:ascii="Times New Roman" w:hAnsi="Times New Roman"/>
                <w:sz w:val="20"/>
              </w:rPr>
              <w:t>Establishments of Multi-Establishment Firms</w:t>
            </w:r>
          </w:p>
        </w:tc>
        <w:tc>
          <w:tcPr>
            <w:tcW w:w="1474" w:type="dxa"/>
            <w:tcBorders>
              <w:top w:val="double" w:sz="4" w:space="0" w:color="auto"/>
            </w:tcBorders>
          </w:tcPr>
          <w:p w:rsidR="004D36F3" w:rsidRPr="00864F84" w:rsidRDefault="00BC4750" w:rsidP="00BC4750">
            <w:pPr>
              <w:jc w:val="right"/>
              <w:rPr>
                <w:rFonts w:ascii="Times New Roman" w:hAnsi="Times New Roman"/>
                <w:sz w:val="20"/>
              </w:rPr>
            </w:pPr>
            <w:r w:rsidRPr="00864F84">
              <w:rPr>
                <w:rFonts w:ascii="Times New Roman" w:hAnsi="Times New Roman"/>
                <w:sz w:val="20"/>
              </w:rPr>
              <w:t>2,508</w:t>
            </w:r>
          </w:p>
        </w:tc>
        <w:tc>
          <w:tcPr>
            <w:tcW w:w="1260" w:type="dxa"/>
            <w:tcBorders>
              <w:top w:val="double" w:sz="4"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1</w:t>
            </w:r>
            <w:r w:rsidR="00FA309F" w:rsidRPr="00864F84">
              <w:rPr>
                <w:rFonts w:ascii="Times New Roman" w:hAnsi="Times New Roman"/>
                <w:sz w:val="20"/>
              </w:rPr>
              <w:t>,</w:t>
            </w:r>
            <w:r w:rsidRPr="00864F84">
              <w:rPr>
                <w:rFonts w:ascii="Times New Roman" w:hAnsi="Times New Roman"/>
                <w:sz w:val="20"/>
              </w:rPr>
              <w:t>475</w:t>
            </w:r>
            <w:r w:rsidR="00FA309F" w:rsidRPr="00864F84">
              <w:rPr>
                <w:rFonts w:ascii="Times New Roman" w:hAnsi="Times New Roman"/>
                <w:sz w:val="20"/>
              </w:rPr>
              <w:t>,</w:t>
            </w:r>
            <w:r w:rsidRPr="00864F84">
              <w:rPr>
                <w:rFonts w:ascii="Times New Roman" w:hAnsi="Times New Roman"/>
                <w:sz w:val="20"/>
              </w:rPr>
              <w:t>097</w:t>
            </w:r>
          </w:p>
        </w:tc>
        <w:tc>
          <w:tcPr>
            <w:tcW w:w="1080" w:type="dxa"/>
            <w:tcBorders>
              <w:top w:val="double" w:sz="4" w:space="0" w:color="auto"/>
            </w:tcBorders>
          </w:tcPr>
          <w:p w:rsidR="004D36F3" w:rsidRPr="00864F84" w:rsidRDefault="00BC4750" w:rsidP="00BC4750">
            <w:pPr>
              <w:jc w:val="right"/>
              <w:rPr>
                <w:rFonts w:ascii="Times New Roman" w:hAnsi="Times New Roman"/>
                <w:sz w:val="20"/>
              </w:rPr>
            </w:pPr>
            <w:r w:rsidRPr="00864F84">
              <w:rPr>
                <w:rFonts w:ascii="Times New Roman" w:hAnsi="Times New Roman"/>
                <w:sz w:val="20"/>
              </w:rPr>
              <w:t>32.6</w:t>
            </w:r>
            <w:r w:rsidR="004D36F3" w:rsidRPr="00864F84">
              <w:rPr>
                <w:rFonts w:ascii="Times New Roman" w:hAnsi="Times New Roman"/>
                <w:sz w:val="20"/>
              </w:rPr>
              <w:t>%</w:t>
            </w:r>
          </w:p>
        </w:tc>
      </w:tr>
      <w:tr w:rsidR="004D36F3" w:rsidRPr="00864F84" w:rsidTr="00FA309F">
        <w:tc>
          <w:tcPr>
            <w:tcW w:w="4376" w:type="dxa"/>
            <w:tcBorders>
              <w:bottom w:val="single" w:sz="4" w:space="0" w:color="auto"/>
            </w:tcBorders>
          </w:tcPr>
          <w:p w:rsidR="004D36F3" w:rsidRPr="00864F84" w:rsidRDefault="004D36F3" w:rsidP="004C1280">
            <w:pPr>
              <w:rPr>
                <w:rFonts w:ascii="Times New Roman" w:hAnsi="Times New Roman"/>
                <w:sz w:val="20"/>
              </w:rPr>
            </w:pPr>
            <w:r w:rsidRPr="00864F84">
              <w:rPr>
                <w:rFonts w:ascii="Times New Roman" w:hAnsi="Times New Roman"/>
                <w:sz w:val="20"/>
              </w:rPr>
              <w:t>Single-establishment firms with payroll ≥ $</w:t>
            </w:r>
            <w:r w:rsidR="004C1280" w:rsidRPr="00864F84">
              <w:rPr>
                <w:rFonts w:ascii="Times New Roman" w:hAnsi="Times New Roman"/>
                <w:sz w:val="20"/>
              </w:rPr>
              <w:t>229</w:t>
            </w:r>
            <w:r w:rsidRPr="00864F84">
              <w:rPr>
                <w:rFonts w:ascii="Times New Roman" w:hAnsi="Times New Roman"/>
                <w:sz w:val="20"/>
              </w:rPr>
              <w:t>,000</w:t>
            </w:r>
          </w:p>
        </w:tc>
        <w:tc>
          <w:tcPr>
            <w:tcW w:w="1474" w:type="dxa"/>
            <w:tcBorders>
              <w:bottom w:val="single" w:sz="4"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4,147</w:t>
            </w:r>
          </w:p>
        </w:tc>
        <w:tc>
          <w:tcPr>
            <w:tcW w:w="1260" w:type="dxa"/>
            <w:tcBorders>
              <w:bottom w:val="single" w:sz="4" w:space="0" w:color="auto"/>
            </w:tcBorders>
          </w:tcPr>
          <w:p w:rsidR="004D36F3" w:rsidRPr="00864F84" w:rsidRDefault="00FA309F" w:rsidP="00BC4750">
            <w:pPr>
              <w:jc w:val="right"/>
              <w:rPr>
                <w:rFonts w:ascii="Times New Roman" w:hAnsi="Times New Roman"/>
                <w:sz w:val="20"/>
              </w:rPr>
            </w:pPr>
            <w:r w:rsidRPr="00864F84">
              <w:rPr>
                <w:rFonts w:ascii="Times New Roman" w:hAnsi="Times New Roman"/>
                <w:sz w:val="20"/>
              </w:rPr>
              <w:t>2,144,773</w:t>
            </w:r>
          </w:p>
        </w:tc>
        <w:tc>
          <w:tcPr>
            <w:tcW w:w="1080" w:type="dxa"/>
            <w:tcBorders>
              <w:bottom w:val="single" w:sz="4"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47.4</w:t>
            </w:r>
            <w:r w:rsidR="004D36F3" w:rsidRPr="00864F84">
              <w:rPr>
                <w:rFonts w:ascii="Times New Roman" w:hAnsi="Times New Roman"/>
                <w:sz w:val="20"/>
              </w:rPr>
              <w:t>%</w:t>
            </w:r>
          </w:p>
        </w:tc>
      </w:tr>
      <w:tr w:rsidR="004D36F3" w:rsidRPr="00864F84" w:rsidTr="00FA309F">
        <w:tc>
          <w:tcPr>
            <w:tcW w:w="4376" w:type="dxa"/>
            <w:tcBorders>
              <w:bottom w:val="single" w:sz="12" w:space="0" w:color="auto"/>
            </w:tcBorders>
          </w:tcPr>
          <w:p w:rsidR="004D36F3" w:rsidRPr="00864F84" w:rsidRDefault="00BC4750" w:rsidP="008910B2">
            <w:pPr>
              <w:rPr>
                <w:rFonts w:ascii="Times New Roman" w:hAnsi="Times New Roman"/>
                <w:sz w:val="20"/>
              </w:rPr>
            </w:pPr>
            <w:r w:rsidRPr="00864F84">
              <w:rPr>
                <w:rFonts w:ascii="Times New Roman" w:hAnsi="Times New Roman"/>
                <w:sz w:val="20"/>
              </w:rPr>
              <w:t>Remaining “small” single-establishment firms</w:t>
            </w:r>
          </w:p>
        </w:tc>
        <w:tc>
          <w:tcPr>
            <w:tcW w:w="1474" w:type="dxa"/>
            <w:tcBorders>
              <w:bottom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17,934</w:t>
            </w:r>
          </w:p>
        </w:tc>
        <w:tc>
          <w:tcPr>
            <w:tcW w:w="1260" w:type="dxa"/>
            <w:tcBorders>
              <w:bottom w:val="single" w:sz="12" w:space="0" w:color="auto"/>
            </w:tcBorders>
          </w:tcPr>
          <w:p w:rsidR="004D36F3" w:rsidRPr="00864F84" w:rsidRDefault="00FA309F" w:rsidP="00BC4750">
            <w:pPr>
              <w:jc w:val="right"/>
              <w:rPr>
                <w:rFonts w:ascii="Times New Roman" w:hAnsi="Times New Roman"/>
                <w:sz w:val="20"/>
              </w:rPr>
            </w:pPr>
            <w:r w:rsidRPr="00864F84">
              <w:rPr>
                <w:rFonts w:ascii="Times New Roman" w:hAnsi="Times New Roman"/>
                <w:sz w:val="20"/>
              </w:rPr>
              <w:t>904,968</w:t>
            </w:r>
          </w:p>
        </w:tc>
        <w:tc>
          <w:tcPr>
            <w:tcW w:w="1080" w:type="dxa"/>
            <w:tcBorders>
              <w:bottom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2</w:t>
            </w:r>
            <w:r w:rsidR="00BC4750" w:rsidRPr="00864F84">
              <w:rPr>
                <w:rFonts w:ascii="Times New Roman" w:hAnsi="Times New Roman"/>
                <w:sz w:val="20"/>
              </w:rPr>
              <w:t>0.0%</w:t>
            </w:r>
          </w:p>
        </w:tc>
      </w:tr>
      <w:tr w:rsidR="004D36F3" w:rsidRPr="00864F84" w:rsidTr="00FA309F">
        <w:tc>
          <w:tcPr>
            <w:tcW w:w="4376" w:type="dxa"/>
            <w:tcBorders>
              <w:top w:val="single" w:sz="12" w:space="0" w:color="auto"/>
            </w:tcBorders>
          </w:tcPr>
          <w:p w:rsidR="004D36F3" w:rsidRPr="00864F84" w:rsidRDefault="00BC4750" w:rsidP="008910B2">
            <w:pPr>
              <w:rPr>
                <w:rFonts w:ascii="Times New Roman" w:hAnsi="Times New Roman"/>
                <w:sz w:val="20"/>
              </w:rPr>
            </w:pPr>
            <w:r w:rsidRPr="00864F84">
              <w:rPr>
                <w:rFonts w:ascii="Times New Roman" w:hAnsi="Times New Roman"/>
                <w:sz w:val="20"/>
              </w:rPr>
              <w:t>Totals</w:t>
            </w:r>
          </w:p>
        </w:tc>
        <w:tc>
          <w:tcPr>
            <w:tcW w:w="1474" w:type="dxa"/>
            <w:tcBorders>
              <w:top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24,589</w:t>
            </w:r>
          </w:p>
        </w:tc>
        <w:tc>
          <w:tcPr>
            <w:tcW w:w="1260" w:type="dxa"/>
            <w:tcBorders>
              <w:top w:val="single" w:sz="12" w:space="0" w:color="auto"/>
            </w:tcBorders>
          </w:tcPr>
          <w:p w:rsidR="004D36F3" w:rsidRPr="00864F84" w:rsidRDefault="004C1280" w:rsidP="00BC4750">
            <w:pPr>
              <w:jc w:val="right"/>
              <w:rPr>
                <w:rFonts w:ascii="Times New Roman" w:hAnsi="Times New Roman"/>
                <w:sz w:val="20"/>
              </w:rPr>
            </w:pPr>
            <w:r w:rsidRPr="00864F84">
              <w:rPr>
                <w:rFonts w:ascii="Times New Roman" w:hAnsi="Times New Roman"/>
                <w:sz w:val="20"/>
              </w:rPr>
              <w:t>4,524,838</w:t>
            </w:r>
          </w:p>
        </w:tc>
        <w:tc>
          <w:tcPr>
            <w:tcW w:w="1080" w:type="dxa"/>
            <w:tcBorders>
              <w:top w:val="single" w:sz="12" w:space="0" w:color="auto"/>
            </w:tcBorders>
          </w:tcPr>
          <w:p w:rsidR="004D36F3" w:rsidRPr="00864F84" w:rsidRDefault="00BC4750" w:rsidP="00BC4750">
            <w:pPr>
              <w:jc w:val="right"/>
              <w:rPr>
                <w:rFonts w:ascii="Times New Roman" w:hAnsi="Times New Roman"/>
                <w:sz w:val="20"/>
              </w:rPr>
            </w:pPr>
            <w:r w:rsidRPr="00864F84">
              <w:rPr>
                <w:rFonts w:ascii="Times New Roman" w:hAnsi="Times New Roman"/>
                <w:sz w:val="20"/>
              </w:rPr>
              <w:t>100.0%</w:t>
            </w:r>
          </w:p>
        </w:tc>
      </w:tr>
    </w:tbl>
    <w:p w:rsidR="004D36F3" w:rsidRPr="00864F84" w:rsidRDefault="004D36F3" w:rsidP="008910B2">
      <w:pPr>
        <w:ind w:left="1080"/>
        <w:rPr>
          <w:rFonts w:ascii="Times New Roman" w:hAnsi="Times New Roman"/>
          <w:sz w:val="20"/>
        </w:rPr>
      </w:pPr>
    </w:p>
    <w:p w:rsidR="00CA73D8" w:rsidRPr="00864F84" w:rsidRDefault="00125F42" w:rsidP="008910B2">
      <w:pPr>
        <w:ind w:left="1080"/>
        <w:rPr>
          <w:rFonts w:ascii="Times New Roman" w:hAnsi="Times New Roman"/>
          <w:szCs w:val="24"/>
        </w:rPr>
      </w:pPr>
      <w:r w:rsidRPr="00864F84">
        <w:rPr>
          <w:rFonts w:ascii="Times New Roman" w:hAnsi="Times New Roman"/>
          <w:szCs w:val="24"/>
        </w:rPr>
        <w:t>The single-establishment firm sample selection has three phases: (1) identifying the “large” single-establishment firms, (2) selecting a sample of the “small” single-establishment firms, and (3) determining if we need additional classification information from the non-selected single-establishment firms.</w:t>
      </w:r>
    </w:p>
    <w:p w:rsidR="00CA73D8" w:rsidRPr="00864F84" w:rsidRDefault="00CA73D8">
      <w:pPr>
        <w:rPr>
          <w:rFonts w:ascii="Times New Roman" w:hAnsi="Times New Roman"/>
          <w:szCs w:val="24"/>
        </w:rPr>
      </w:pPr>
    </w:p>
    <w:p w:rsidR="00CA73D8" w:rsidRPr="00864F84" w:rsidRDefault="00CA73D8" w:rsidP="008910B2">
      <w:pPr>
        <w:ind w:left="1440" w:hanging="360"/>
        <w:rPr>
          <w:rFonts w:ascii="Times New Roman" w:hAnsi="Times New Roman"/>
          <w:szCs w:val="24"/>
        </w:rPr>
      </w:pPr>
      <w:bookmarkStart w:id="1" w:name="OLE_LINK1"/>
      <w:r w:rsidRPr="00864F84">
        <w:rPr>
          <w:rFonts w:ascii="Times New Roman" w:hAnsi="Times New Roman"/>
          <w:szCs w:val="24"/>
        </w:rPr>
        <w:t>(a)</w:t>
      </w:r>
      <w:r w:rsidRPr="00864F84">
        <w:rPr>
          <w:rFonts w:ascii="Times New Roman" w:hAnsi="Times New Roman"/>
          <w:szCs w:val="24"/>
        </w:rPr>
        <w:tab/>
      </w:r>
      <w:r w:rsidR="00375C09" w:rsidRPr="00864F84">
        <w:rPr>
          <w:rFonts w:ascii="Times New Roman" w:hAnsi="Times New Roman"/>
          <w:szCs w:val="24"/>
        </w:rPr>
        <w:t xml:space="preserve">Identifying </w:t>
      </w:r>
      <w:r w:rsidR="004E004A" w:rsidRPr="00864F84">
        <w:rPr>
          <w:rFonts w:ascii="Times New Roman" w:hAnsi="Times New Roman"/>
          <w:szCs w:val="24"/>
        </w:rPr>
        <w:t>“</w:t>
      </w:r>
      <w:r w:rsidRPr="00864F84">
        <w:rPr>
          <w:rFonts w:ascii="Times New Roman" w:hAnsi="Times New Roman"/>
          <w:szCs w:val="24"/>
        </w:rPr>
        <w:t>Large</w:t>
      </w:r>
      <w:r w:rsidR="004E004A" w:rsidRPr="00864F84">
        <w:rPr>
          <w:rFonts w:ascii="Times New Roman" w:hAnsi="Times New Roman"/>
          <w:szCs w:val="24"/>
        </w:rPr>
        <w:t>”</w:t>
      </w:r>
      <w:r w:rsidRPr="00864F84">
        <w:rPr>
          <w:rFonts w:ascii="Times New Roman" w:hAnsi="Times New Roman"/>
          <w:szCs w:val="24"/>
        </w:rPr>
        <w:t xml:space="preserve"> Single-Establishment Firms</w:t>
      </w:r>
      <w:bookmarkEnd w:id="1"/>
    </w:p>
    <w:p w:rsidR="00CA73D8" w:rsidRPr="00864F84" w:rsidRDefault="00CA73D8">
      <w:pPr>
        <w:ind w:left="2160"/>
        <w:rPr>
          <w:rFonts w:ascii="Times New Roman" w:hAnsi="Times New Roman"/>
          <w:szCs w:val="24"/>
        </w:rPr>
      </w:pPr>
    </w:p>
    <w:p w:rsidR="00CA73D8" w:rsidRPr="00864F84" w:rsidRDefault="000B1C98" w:rsidP="008910B2">
      <w:pPr>
        <w:ind w:left="1440"/>
        <w:rPr>
          <w:rFonts w:ascii="Times New Roman" w:hAnsi="Times New Roman"/>
          <w:szCs w:val="24"/>
        </w:rPr>
      </w:pPr>
      <w:r w:rsidRPr="00864F84">
        <w:rPr>
          <w:rFonts w:ascii="Times New Roman" w:hAnsi="Times New Roman"/>
          <w:szCs w:val="24"/>
        </w:rPr>
        <w:t>All</w:t>
      </w:r>
      <w:r w:rsidR="00CA73D8" w:rsidRPr="00864F84">
        <w:rPr>
          <w:rFonts w:ascii="Times New Roman" w:hAnsi="Times New Roman"/>
          <w:szCs w:val="24"/>
        </w:rPr>
        <w:t xml:space="preserve"> single-establishment firms </w:t>
      </w:r>
      <w:r w:rsidRPr="00864F84">
        <w:rPr>
          <w:rFonts w:ascii="Times New Roman" w:hAnsi="Times New Roman"/>
          <w:szCs w:val="24"/>
        </w:rPr>
        <w:t>with</w:t>
      </w:r>
      <w:r w:rsidR="00CA73D8" w:rsidRPr="00864F84">
        <w:rPr>
          <w:rFonts w:ascii="Times New Roman" w:hAnsi="Times New Roman"/>
          <w:szCs w:val="24"/>
        </w:rPr>
        <w:t xml:space="preserve"> annual</w:t>
      </w:r>
      <w:r w:rsidRPr="00864F84">
        <w:rPr>
          <w:rFonts w:ascii="Times New Roman" w:hAnsi="Times New Roman"/>
          <w:szCs w:val="24"/>
        </w:rPr>
        <w:t>ized</w:t>
      </w:r>
      <w:r w:rsidR="00CA73D8" w:rsidRPr="00864F84">
        <w:rPr>
          <w:rFonts w:ascii="Times New Roman" w:hAnsi="Times New Roman"/>
          <w:szCs w:val="24"/>
        </w:rPr>
        <w:t xml:space="preserve"> </w:t>
      </w:r>
      <w:r w:rsidR="004E004A" w:rsidRPr="00864F84">
        <w:rPr>
          <w:rFonts w:ascii="Times New Roman" w:hAnsi="Times New Roman"/>
          <w:szCs w:val="24"/>
        </w:rPr>
        <w:t xml:space="preserve">administrative </w:t>
      </w:r>
      <w:r w:rsidR="00CA73D8" w:rsidRPr="00864F84">
        <w:rPr>
          <w:rFonts w:ascii="Times New Roman" w:hAnsi="Times New Roman"/>
          <w:szCs w:val="24"/>
        </w:rPr>
        <w:t xml:space="preserve">payroll that equals or exceeds the </w:t>
      </w:r>
      <w:r w:rsidR="004E004A" w:rsidRPr="00864F84">
        <w:rPr>
          <w:rFonts w:ascii="Times New Roman" w:hAnsi="Times New Roman"/>
          <w:szCs w:val="24"/>
        </w:rPr>
        <w:t xml:space="preserve">certainty payroll </w:t>
      </w:r>
      <w:r w:rsidR="00CA73D8" w:rsidRPr="00864F84">
        <w:rPr>
          <w:rFonts w:ascii="Times New Roman" w:hAnsi="Times New Roman"/>
          <w:szCs w:val="24"/>
        </w:rPr>
        <w:t xml:space="preserve">cutoff for their industry </w:t>
      </w:r>
      <w:r w:rsidR="004E004A" w:rsidRPr="00864F84">
        <w:rPr>
          <w:rFonts w:ascii="Times New Roman" w:hAnsi="Times New Roman"/>
          <w:szCs w:val="24"/>
        </w:rPr>
        <w:t>are</w:t>
      </w:r>
      <w:r w:rsidRPr="00864F84">
        <w:rPr>
          <w:rFonts w:ascii="Times New Roman" w:hAnsi="Times New Roman"/>
          <w:szCs w:val="24"/>
        </w:rPr>
        <w:t xml:space="preserve"> included in</w:t>
      </w:r>
      <w:r w:rsidR="00CA73D8" w:rsidRPr="00864F84">
        <w:rPr>
          <w:rFonts w:ascii="Times New Roman" w:hAnsi="Times New Roman"/>
          <w:szCs w:val="24"/>
        </w:rPr>
        <w:t xml:space="preserve"> the </w:t>
      </w:r>
      <w:r w:rsidRPr="00864F84">
        <w:rPr>
          <w:rFonts w:ascii="Times New Roman" w:hAnsi="Times New Roman"/>
          <w:szCs w:val="24"/>
        </w:rPr>
        <w:t>sample</w:t>
      </w:r>
      <w:r w:rsidR="00CA73D8" w:rsidRPr="00864F84">
        <w:rPr>
          <w:rFonts w:ascii="Times New Roman" w:hAnsi="Times New Roman"/>
          <w:szCs w:val="24"/>
        </w:rPr>
        <w:t xml:space="preserve"> component of the </w:t>
      </w:r>
      <w:r w:rsidRPr="00864F84">
        <w:rPr>
          <w:rFonts w:ascii="Times New Roman" w:hAnsi="Times New Roman"/>
          <w:szCs w:val="24"/>
        </w:rPr>
        <w:t>Economic Census</w:t>
      </w:r>
      <w:r w:rsidR="00CA73D8" w:rsidRPr="00864F84">
        <w:rPr>
          <w:rFonts w:ascii="Times New Roman" w:hAnsi="Times New Roman"/>
          <w:szCs w:val="24"/>
        </w:rPr>
        <w:t xml:space="preserve"> </w:t>
      </w:r>
      <w:r w:rsidR="008B21CC" w:rsidRPr="00864F84">
        <w:rPr>
          <w:rFonts w:ascii="Times New Roman" w:hAnsi="Times New Roman"/>
          <w:szCs w:val="24"/>
        </w:rPr>
        <w:t>with</w:t>
      </w:r>
      <w:r w:rsidR="00CA73D8" w:rsidRPr="00864F84">
        <w:rPr>
          <w:rFonts w:ascii="Times New Roman" w:hAnsi="Times New Roman"/>
          <w:szCs w:val="24"/>
        </w:rPr>
        <w:t xml:space="preserve"> certainty.  Each will have a probability </w:t>
      </w:r>
      <w:r w:rsidR="005A7575" w:rsidRPr="00864F84">
        <w:rPr>
          <w:rFonts w:ascii="Times New Roman" w:hAnsi="Times New Roman"/>
          <w:szCs w:val="24"/>
        </w:rPr>
        <w:t xml:space="preserve">of </w:t>
      </w:r>
      <w:r w:rsidR="00CA73D8" w:rsidRPr="00864F84">
        <w:rPr>
          <w:rFonts w:ascii="Times New Roman" w:hAnsi="Times New Roman"/>
          <w:szCs w:val="24"/>
        </w:rPr>
        <w:t xml:space="preserve">selection of 1, and a </w:t>
      </w:r>
      <w:r w:rsidRPr="00864F84">
        <w:rPr>
          <w:rFonts w:ascii="Times New Roman" w:hAnsi="Times New Roman"/>
          <w:szCs w:val="24"/>
        </w:rPr>
        <w:t xml:space="preserve">sample </w:t>
      </w:r>
      <w:r w:rsidR="00CA73D8" w:rsidRPr="00864F84">
        <w:rPr>
          <w:rFonts w:ascii="Times New Roman" w:hAnsi="Times New Roman"/>
          <w:szCs w:val="24"/>
        </w:rPr>
        <w:t>weight of 1, which</w:t>
      </w:r>
      <w:r w:rsidRPr="00864F84">
        <w:rPr>
          <w:rFonts w:ascii="Times New Roman" w:hAnsi="Times New Roman"/>
          <w:szCs w:val="24"/>
        </w:rPr>
        <w:t xml:space="preserve"> will apply only for producing industry-specific </w:t>
      </w:r>
      <w:r w:rsidR="00CA73D8" w:rsidRPr="00864F84">
        <w:rPr>
          <w:rFonts w:ascii="Times New Roman" w:hAnsi="Times New Roman"/>
          <w:szCs w:val="24"/>
        </w:rPr>
        <w:t xml:space="preserve">statistics </w:t>
      </w:r>
      <w:r w:rsidR="004E004A" w:rsidRPr="00864F84">
        <w:rPr>
          <w:rFonts w:ascii="Times New Roman" w:hAnsi="Times New Roman"/>
          <w:szCs w:val="24"/>
        </w:rPr>
        <w:t>where data are not</w:t>
      </w:r>
      <w:r w:rsidR="00CA73D8" w:rsidRPr="00864F84">
        <w:rPr>
          <w:rFonts w:ascii="Times New Roman" w:hAnsi="Times New Roman"/>
          <w:szCs w:val="24"/>
        </w:rPr>
        <w:t xml:space="preserve"> available from administrative records.  </w:t>
      </w:r>
      <w:r w:rsidRPr="00864F84">
        <w:rPr>
          <w:rFonts w:ascii="Times New Roman" w:hAnsi="Times New Roman"/>
          <w:szCs w:val="24"/>
        </w:rPr>
        <w:t xml:space="preserve">As shown in Table 2, we estimate that </w:t>
      </w:r>
      <w:r w:rsidR="00CA73D8" w:rsidRPr="00864F84">
        <w:rPr>
          <w:rFonts w:ascii="Times New Roman" w:hAnsi="Times New Roman"/>
          <w:szCs w:val="24"/>
        </w:rPr>
        <w:t xml:space="preserve">approximately </w:t>
      </w:r>
      <w:r w:rsidR="00BF4E16" w:rsidRPr="00BF4E16">
        <w:rPr>
          <w:rFonts w:ascii="Times New Roman" w:hAnsi="Times New Roman"/>
          <w:szCs w:val="24"/>
          <w:highlight w:val="yellow"/>
        </w:rPr>
        <w:t>1,117,965</w:t>
      </w:r>
      <w:r w:rsidR="00BF4E16">
        <w:rPr>
          <w:rFonts w:ascii="Times New Roman" w:hAnsi="Times New Roman"/>
          <w:szCs w:val="24"/>
        </w:rPr>
        <w:t xml:space="preserve"> </w:t>
      </w:r>
      <w:r w:rsidR="002B769E" w:rsidRPr="00BF4E16">
        <w:rPr>
          <w:rFonts w:ascii="Times New Roman" w:hAnsi="Times New Roman"/>
          <w:strike/>
          <w:szCs w:val="24"/>
          <w:highlight w:val="green"/>
        </w:rPr>
        <w:t>1,507</w:t>
      </w:r>
      <w:r w:rsidR="00FA2AFA" w:rsidRPr="00BF4E16">
        <w:rPr>
          <w:rFonts w:ascii="Times New Roman" w:hAnsi="Times New Roman"/>
          <w:strike/>
          <w:szCs w:val="24"/>
          <w:highlight w:val="green"/>
        </w:rPr>
        <w:t>,</w:t>
      </w:r>
      <w:r w:rsidR="002B769E" w:rsidRPr="00BF4E16">
        <w:rPr>
          <w:rFonts w:ascii="Times New Roman" w:hAnsi="Times New Roman"/>
          <w:strike/>
          <w:szCs w:val="24"/>
          <w:highlight w:val="green"/>
        </w:rPr>
        <w:t>610</w:t>
      </w:r>
      <w:r w:rsidR="005F2934" w:rsidRPr="00864F84">
        <w:rPr>
          <w:rFonts w:ascii="Times New Roman" w:hAnsi="Times New Roman"/>
          <w:szCs w:val="24"/>
        </w:rPr>
        <w:t xml:space="preserve"> </w:t>
      </w:r>
      <w:r w:rsidR="004E004A" w:rsidRPr="00864F84">
        <w:rPr>
          <w:rFonts w:ascii="Times New Roman" w:hAnsi="Times New Roman"/>
          <w:szCs w:val="24"/>
        </w:rPr>
        <w:t xml:space="preserve">“large” </w:t>
      </w:r>
      <w:r w:rsidRPr="00864F84">
        <w:rPr>
          <w:rFonts w:ascii="Times New Roman" w:hAnsi="Times New Roman"/>
          <w:szCs w:val="24"/>
        </w:rPr>
        <w:t>single-establishment firms will be selected with certainty.</w:t>
      </w:r>
    </w:p>
    <w:p w:rsidR="004E004A" w:rsidRPr="00864F84" w:rsidRDefault="004E004A" w:rsidP="008910B2">
      <w:pPr>
        <w:ind w:left="1440"/>
        <w:rPr>
          <w:rFonts w:ascii="Times New Roman" w:hAnsi="Times New Roman"/>
          <w:szCs w:val="24"/>
        </w:rPr>
      </w:pPr>
    </w:p>
    <w:p w:rsidR="004E004A" w:rsidRPr="00864F84" w:rsidRDefault="004E004A" w:rsidP="008910B2">
      <w:pPr>
        <w:ind w:left="1980" w:hanging="540"/>
        <w:rPr>
          <w:rFonts w:ascii="Times New Roman" w:hAnsi="Times New Roman"/>
          <w:szCs w:val="24"/>
        </w:rPr>
      </w:pPr>
      <w:r w:rsidRPr="00864F84">
        <w:rPr>
          <w:rFonts w:ascii="Times New Roman" w:hAnsi="Times New Roman"/>
          <w:szCs w:val="24"/>
        </w:rPr>
        <w:t>Note: “Large” is relative.  In some industries, this payroll cutoff is zero and all establishment</w:t>
      </w:r>
      <w:r w:rsidR="008B21CC" w:rsidRPr="00864F84">
        <w:rPr>
          <w:rFonts w:ascii="Times New Roman" w:hAnsi="Times New Roman"/>
          <w:szCs w:val="24"/>
        </w:rPr>
        <w:t>s are selected into the sample.</w:t>
      </w:r>
    </w:p>
    <w:p w:rsidR="00CA73D8" w:rsidRPr="00864F84" w:rsidRDefault="00CA73D8">
      <w:pPr>
        <w:rPr>
          <w:rFonts w:ascii="Times New Roman" w:hAnsi="Times New Roman"/>
          <w:szCs w:val="24"/>
        </w:rPr>
      </w:pPr>
    </w:p>
    <w:p w:rsidR="00CA73D8" w:rsidRPr="00864F84" w:rsidRDefault="00CA73D8" w:rsidP="008910B2">
      <w:pPr>
        <w:ind w:left="1440" w:hanging="36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r>
      <w:r w:rsidR="005A7575" w:rsidRPr="00864F84">
        <w:rPr>
          <w:rFonts w:ascii="Times New Roman" w:hAnsi="Times New Roman"/>
          <w:szCs w:val="24"/>
        </w:rPr>
        <w:t>Sampling</w:t>
      </w:r>
      <w:r w:rsidR="00375C09" w:rsidRPr="00864F84">
        <w:rPr>
          <w:rFonts w:ascii="Times New Roman" w:hAnsi="Times New Roman"/>
          <w:szCs w:val="24"/>
        </w:rPr>
        <w:t xml:space="preserve"> </w:t>
      </w:r>
      <w:r w:rsidR="00A50C57" w:rsidRPr="00864F84">
        <w:rPr>
          <w:rFonts w:ascii="Times New Roman" w:hAnsi="Times New Roman"/>
          <w:szCs w:val="24"/>
        </w:rPr>
        <w:t>“</w:t>
      </w:r>
      <w:r w:rsidRPr="00864F84">
        <w:rPr>
          <w:rFonts w:ascii="Times New Roman" w:hAnsi="Times New Roman"/>
          <w:szCs w:val="24"/>
        </w:rPr>
        <w:t>Small</w:t>
      </w:r>
      <w:r w:rsidR="00A50C57" w:rsidRPr="00864F84">
        <w:rPr>
          <w:rFonts w:ascii="Times New Roman" w:hAnsi="Times New Roman"/>
          <w:szCs w:val="24"/>
        </w:rPr>
        <w:t>”</w:t>
      </w:r>
      <w:r w:rsidRPr="00864F84">
        <w:rPr>
          <w:rFonts w:ascii="Times New Roman" w:hAnsi="Times New Roman"/>
          <w:szCs w:val="24"/>
        </w:rPr>
        <w:t xml:space="preserve"> Single-Establishment Firms</w:t>
      </w:r>
    </w:p>
    <w:p w:rsidR="00CA73D8" w:rsidRPr="00864F84" w:rsidRDefault="00CA73D8">
      <w:pPr>
        <w:ind w:left="2340"/>
        <w:rPr>
          <w:rFonts w:ascii="Times New Roman" w:hAnsi="Times New Roman"/>
          <w:szCs w:val="24"/>
        </w:rPr>
      </w:pPr>
    </w:p>
    <w:p w:rsidR="00F21D61" w:rsidRPr="00864F84" w:rsidRDefault="00BD6785" w:rsidP="008910B2">
      <w:pPr>
        <w:ind w:left="1440"/>
        <w:rPr>
          <w:rFonts w:ascii="Times New Roman" w:hAnsi="Times New Roman"/>
          <w:szCs w:val="24"/>
        </w:rPr>
      </w:pPr>
      <w:r w:rsidRPr="00864F84">
        <w:rPr>
          <w:rFonts w:ascii="Times New Roman" w:hAnsi="Times New Roman"/>
          <w:szCs w:val="24"/>
        </w:rPr>
        <w:t>The remaining</w:t>
      </w:r>
      <w:r w:rsidR="00CA73D8" w:rsidRPr="00864F84">
        <w:rPr>
          <w:rFonts w:ascii="Times New Roman" w:hAnsi="Times New Roman"/>
          <w:szCs w:val="24"/>
        </w:rPr>
        <w:t xml:space="preserve"> single-establishment firms </w:t>
      </w:r>
      <w:r w:rsidR="007D6B9D" w:rsidRPr="00864F84">
        <w:rPr>
          <w:rFonts w:ascii="Times New Roman" w:hAnsi="Times New Roman"/>
          <w:szCs w:val="24"/>
        </w:rPr>
        <w:t xml:space="preserve">(those </w:t>
      </w:r>
      <w:r w:rsidRPr="00864F84">
        <w:rPr>
          <w:rFonts w:ascii="Times New Roman" w:hAnsi="Times New Roman"/>
          <w:szCs w:val="24"/>
        </w:rPr>
        <w:t>with</w:t>
      </w:r>
      <w:r w:rsidR="00CA73D8" w:rsidRPr="00864F84">
        <w:rPr>
          <w:rFonts w:ascii="Times New Roman" w:hAnsi="Times New Roman"/>
          <w:szCs w:val="24"/>
        </w:rPr>
        <w:t xml:space="preserve"> annual</w:t>
      </w:r>
      <w:r w:rsidRPr="00864F84">
        <w:rPr>
          <w:rFonts w:ascii="Times New Roman" w:hAnsi="Times New Roman"/>
          <w:szCs w:val="24"/>
        </w:rPr>
        <w:t>ized</w:t>
      </w:r>
      <w:r w:rsidR="00CA73D8" w:rsidRPr="00864F84">
        <w:rPr>
          <w:rFonts w:ascii="Times New Roman" w:hAnsi="Times New Roman"/>
          <w:szCs w:val="24"/>
        </w:rPr>
        <w:t xml:space="preserve"> payroll below the cutoff for their industry</w:t>
      </w:r>
      <w:r w:rsidR="007D6B9D" w:rsidRPr="00864F84">
        <w:rPr>
          <w:rFonts w:ascii="Times New Roman" w:hAnsi="Times New Roman"/>
          <w:szCs w:val="24"/>
        </w:rPr>
        <w:t>) are s</w:t>
      </w:r>
      <w:r w:rsidR="00842B2C" w:rsidRPr="00864F84">
        <w:rPr>
          <w:rFonts w:ascii="Times New Roman" w:hAnsi="Times New Roman"/>
          <w:szCs w:val="24"/>
        </w:rPr>
        <w:t>tratified by industry and state and selected using a strata-specific probability of selection.</w:t>
      </w:r>
      <w:r w:rsidR="00CA73D8" w:rsidRPr="00864F84">
        <w:rPr>
          <w:rFonts w:ascii="Times New Roman" w:hAnsi="Times New Roman"/>
          <w:szCs w:val="24"/>
        </w:rPr>
        <w:t xml:space="preserve"> </w:t>
      </w:r>
    </w:p>
    <w:p w:rsidR="00F21D61" w:rsidRPr="00864F84" w:rsidRDefault="00F21D61" w:rsidP="008910B2">
      <w:pPr>
        <w:ind w:left="1440"/>
        <w:rPr>
          <w:rFonts w:ascii="Times New Roman" w:hAnsi="Times New Roman"/>
          <w:szCs w:val="24"/>
        </w:rPr>
      </w:pPr>
    </w:p>
    <w:p w:rsidR="00CA73D8" w:rsidRPr="00864F84" w:rsidRDefault="000E40FA" w:rsidP="008910B2">
      <w:pPr>
        <w:ind w:left="1440"/>
        <w:rPr>
          <w:rFonts w:ascii="Times New Roman" w:hAnsi="Times New Roman"/>
          <w:szCs w:val="24"/>
        </w:rPr>
      </w:pPr>
      <w:r w:rsidRPr="00864F84">
        <w:rPr>
          <w:rFonts w:ascii="Times New Roman" w:hAnsi="Times New Roman"/>
          <w:szCs w:val="24"/>
        </w:rPr>
        <w:t>The</w:t>
      </w:r>
      <w:r w:rsidR="00CA73D8" w:rsidRPr="00864F84">
        <w:rPr>
          <w:rFonts w:ascii="Times New Roman" w:hAnsi="Times New Roman"/>
          <w:szCs w:val="24"/>
        </w:rPr>
        <w:t xml:space="preserve"> probabilities of selection </w:t>
      </w:r>
      <w:r w:rsidRPr="00864F84">
        <w:rPr>
          <w:rFonts w:ascii="Times New Roman" w:hAnsi="Times New Roman"/>
          <w:szCs w:val="24"/>
        </w:rPr>
        <w:t xml:space="preserve">for these strata </w:t>
      </w:r>
      <w:r w:rsidR="00CA73D8" w:rsidRPr="00864F84">
        <w:rPr>
          <w:rFonts w:ascii="Times New Roman" w:hAnsi="Times New Roman"/>
          <w:szCs w:val="24"/>
        </w:rPr>
        <w:t xml:space="preserve">will be determined by a study of the potential respondent universe conducted shortly before </w:t>
      </w:r>
      <w:r w:rsidRPr="00864F84">
        <w:rPr>
          <w:rFonts w:ascii="Times New Roman" w:hAnsi="Times New Roman"/>
          <w:szCs w:val="24"/>
        </w:rPr>
        <w:t>sample</w:t>
      </w:r>
      <w:r w:rsidR="00CA73D8" w:rsidRPr="00864F84">
        <w:rPr>
          <w:rFonts w:ascii="Times New Roman" w:hAnsi="Times New Roman"/>
          <w:szCs w:val="24"/>
        </w:rPr>
        <w:t xml:space="preserve"> selection operations begin.  Selected small single-establishment firms will be included in the </w:t>
      </w:r>
      <w:r w:rsidRPr="00864F84">
        <w:rPr>
          <w:rFonts w:ascii="Times New Roman" w:hAnsi="Times New Roman"/>
          <w:szCs w:val="24"/>
        </w:rPr>
        <w:t>sample</w:t>
      </w:r>
      <w:r w:rsidR="00CA73D8" w:rsidRPr="00864F84">
        <w:rPr>
          <w:rFonts w:ascii="Times New Roman" w:hAnsi="Times New Roman"/>
          <w:szCs w:val="24"/>
        </w:rPr>
        <w:t xml:space="preserve"> as non</w:t>
      </w:r>
      <w:r w:rsidRPr="00864F84">
        <w:rPr>
          <w:rFonts w:ascii="Times New Roman" w:hAnsi="Times New Roman"/>
          <w:szCs w:val="24"/>
        </w:rPr>
        <w:t>-</w:t>
      </w:r>
      <w:r w:rsidR="00CA73D8" w:rsidRPr="00864F84">
        <w:rPr>
          <w:rFonts w:ascii="Times New Roman" w:hAnsi="Times New Roman"/>
          <w:szCs w:val="24"/>
        </w:rPr>
        <w:t xml:space="preserve">certainty cases.  Each will have a probability of selection that is less than 1, and each will have a </w:t>
      </w:r>
      <w:r w:rsidR="000E0B31" w:rsidRPr="00864F84">
        <w:rPr>
          <w:rFonts w:ascii="Times New Roman" w:hAnsi="Times New Roman"/>
          <w:szCs w:val="24"/>
        </w:rPr>
        <w:t xml:space="preserve">sample </w:t>
      </w:r>
      <w:r w:rsidR="00CA73D8" w:rsidRPr="00864F84">
        <w:rPr>
          <w:rFonts w:ascii="Times New Roman" w:hAnsi="Times New Roman"/>
          <w:szCs w:val="24"/>
        </w:rPr>
        <w:t>weight greater than 1</w:t>
      </w:r>
      <w:r w:rsidRPr="00864F84">
        <w:rPr>
          <w:rFonts w:ascii="Times New Roman" w:hAnsi="Times New Roman"/>
          <w:szCs w:val="24"/>
        </w:rPr>
        <w:t xml:space="preserve"> </w:t>
      </w:r>
      <w:r w:rsidR="00CA73D8" w:rsidRPr="00864F84">
        <w:rPr>
          <w:rFonts w:ascii="Times New Roman" w:hAnsi="Times New Roman"/>
          <w:szCs w:val="24"/>
        </w:rPr>
        <w:t xml:space="preserve">(calculated as the </w:t>
      </w:r>
      <w:r w:rsidR="005A7575" w:rsidRPr="00864F84">
        <w:rPr>
          <w:rFonts w:ascii="Times New Roman" w:hAnsi="Times New Roman"/>
          <w:szCs w:val="24"/>
        </w:rPr>
        <w:t>reciprocal</w:t>
      </w:r>
      <w:r w:rsidR="00CA73D8" w:rsidRPr="00864F84">
        <w:rPr>
          <w:rFonts w:ascii="Times New Roman" w:hAnsi="Times New Roman"/>
          <w:szCs w:val="24"/>
        </w:rPr>
        <w:t xml:space="preserve"> of the probability of selection), which will apply </w:t>
      </w:r>
      <w:r w:rsidRPr="00864F84">
        <w:rPr>
          <w:rFonts w:ascii="Times New Roman" w:hAnsi="Times New Roman"/>
          <w:szCs w:val="24"/>
        </w:rPr>
        <w:t xml:space="preserve">only for producing industry-specific statistics where data are not available from administrative records. </w:t>
      </w:r>
      <w:r w:rsidR="00CA73D8" w:rsidRPr="00864F84">
        <w:rPr>
          <w:rFonts w:ascii="Times New Roman" w:hAnsi="Times New Roman"/>
          <w:szCs w:val="24"/>
        </w:rPr>
        <w:t xml:space="preserve">  We estimate that approximately </w:t>
      </w:r>
      <w:r w:rsidR="00BF4E16" w:rsidRPr="00BF4E16">
        <w:rPr>
          <w:rFonts w:ascii="Times New Roman" w:hAnsi="Times New Roman"/>
          <w:szCs w:val="24"/>
          <w:highlight w:val="yellow"/>
        </w:rPr>
        <w:t>523,790</w:t>
      </w:r>
      <w:r w:rsidR="00BF4E16">
        <w:rPr>
          <w:rFonts w:ascii="Times New Roman" w:hAnsi="Times New Roman"/>
          <w:szCs w:val="24"/>
        </w:rPr>
        <w:t xml:space="preserve"> </w:t>
      </w:r>
      <w:r w:rsidR="002B769E" w:rsidRPr="00BF4E16">
        <w:rPr>
          <w:rFonts w:ascii="Times New Roman" w:hAnsi="Times New Roman"/>
          <w:strike/>
          <w:szCs w:val="24"/>
          <w:highlight w:val="green"/>
        </w:rPr>
        <w:t>478</w:t>
      </w:r>
      <w:r w:rsidRPr="00BF4E16">
        <w:rPr>
          <w:rFonts w:ascii="Times New Roman" w:hAnsi="Times New Roman"/>
          <w:strike/>
          <w:szCs w:val="24"/>
          <w:highlight w:val="green"/>
        </w:rPr>
        <w:t>,</w:t>
      </w:r>
      <w:r w:rsidR="002B769E" w:rsidRPr="00BF4E16">
        <w:rPr>
          <w:rFonts w:ascii="Times New Roman" w:hAnsi="Times New Roman"/>
          <w:strike/>
          <w:szCs w:val="24"/>
          <w:highlight w:val="green"/>
        </w:rPr>
        <w:t>735</w:t>
      </w:r>
      <w:r w:rsidRPr="00864F84">
        <w:rPr>
          <w:rFonts w:ascii="Times New Roman" w:hAnsi="Times New Roman"/>
          <w:szCs w:val="24"/>
        </w:rPr>
        <w:t xml:space="preserve"> “</w:t>
      </w:r>
      <w:r w:rsidR="00CA73D8" w:rsidRPr="00864F84">
        <w:rPr>
          <w:rFonts w:ascii="Times New Roman" w:hAnsi="Times New Roman"/>
          <w:szCs w:val="24"/>
        </w:rPr>
        <w:t>small</w:t>
      </w:r>
      <w:r w:rsidRPr="00864F84">
        <w:rPr>
          <w:rFonts w:ascii="Times New Roman" w:hAnsi="Times New Roman"/>
          <w:szCs w:val="24"/>
        </w:rPr>
        <w:t>”</w:t>
      </w:r>
      <w:r w:rsidR="00CA73D8" w:rsidRPr="00864F84">
        <w:rPr>
          <w:rFonts w:ascii="Times New Roman" w:hAnsi="Times New Roman"/>
          <w:szCs w:val="24"/>
        </w:rPr>
        <w:t xml:space="preserve"> single-establishment </w:t>
      </w:r>
      <w:r w:rsidR="00FA2AFA" w:rsidRPr="00864F84">
        <w:rPr>
          <w:rFonts w:ascii="Times New Roman" w:hAnsi="Times New Roman"/>
          <w:szCs w:val="24"/>
        </w:rPr>
        <w:t>firms</w:t>
      </w:r>
      <w:r w:rsidR="000E0B31" w:rsidRPr="00864F84">
        <w:rPr>
          <w:rFonts w:ascii="Times New Roman" w:hAnsi="Times New Roman"/>
          <w:szCs w:val="24"/>
        </w:rPr>
        <w:t xml:space="preserve"> will be </w:t>
      </w:r>
      <w:r w:rsidR="00CA73D8" w:rsidRPr="00864F84">
        <w:rPr>
          <w:rFonts w:ascii="Times New Roman" w:hAnsi="Times New Roman"/>
          <w:szCs w:val="24"/>
        </w:rPr>
        <w:t xml:space="preserve">selected </w:t>
      </w:r>
      <w:r w:rsidR="000E0B31" w:rsidRPr="00864F84">
        <w:rPr>
          <w:rFonts w:ascii="Times New Roman" w:hAnsi="Times New Roman"/>
          <w:szCs w:val="24"/>
        </w:rPr>
        <w:t>for</w:t>
      </w:r>
      <w:r w:rsidR="00CA73D8" w:rsidRPr="00864F84">
        <w:rPr>
          <w:rFonts w:ascii="Times New Roman" w:hAnsi="Times New Roman"/>
          <w:szCs w:val="24"/>
        </w:rPr>
        <w:t xml:space="preserve"> this sample.</w:t>
      </w:r>
    </w:p>
    <w:p w:rsidR="00842B2C" w:rsidRPr="00864F84" w:rsidRDefault="00842B2C" w:rsidP="008910B2">
      <w:pPr>
        <w:ind w:left="1440"/>
        <w:rPr>
          <w:rFonts w:ascii="Times New Roman" w:hAnsi="Times New Roman"/>
          <w:szCs w:val="24"/>
        </w:rPr>
      </w:pPr>
    </w:p>
    <w:p w:rsidR="00DE1C54" w:rsidRPr="00864F84" w:rsidRDefault="00375C09" w:rsidP="00842B2C">
      <w:pPr>
        <w:pStyle w:val="ListParagraph"/>
        <w:numPr>
          <w:ilvl w:val="0"/>
          <w:numId w:val="18"/>
        </w:numPr>
        <w:spacing w:after="240"/>
        <w:ind w:left="1440" w:hanging="360"/>
        <w:rPr>
          <w:rFonts w:ascii="Times New Roman" w:hAnsi="Times New Roman"/>
          <w:szCs w:val="24"/>
        </w:rPr>
      </w:pPr>
      <w:r w:rsidRPr="00864F84">
        <w:rPr>
          <w:rFonts w:ascii="Times New Roman" w:hAnsi="Times New Roman"/>
          <w:szCs w:val="24"/>
        </w:rPr>
        <w:t>Determining Which</w:t>
      </w:r>
      <w:r w:rsidR="00842B2C" w:rsidRPr="00864F84">
        <w:rPr>
          <w:rFonts w:ascii="Times New Roman" w:hAnsi="Times New Roman"/>
          <w:szCs w:val="24"/>
        </w:rPr>
        <w:t xml:space="preserve"> Establishments Need Classification Information</w:t>
      </w:r>
    </w:p>
    <w:p w:rsidR="00135C11" w:rsidRPr="00864F84" w:rsidRDefault="00CA73D8" w:rsidP="008910B2">
      <w:pPr>
        <w:ind w:left="1440"/>
        <w:rPr>
          <w:rFonts w:ascii="Times New Roman" w:hAnsi="Times New Roman"/>
          <w:szCs w:val="24"/>
        </w:rPr>
      </w:pPr>
      <w:r w:rsidRPr="00864F84">
        <w:rPr>
          <w:rFonts w:ascii="Times New Roman" w:hAnsi="Times New Roman"/>
          <w:szCs w:val="24"/>
        </w:rPr>
        <w:t xml:space="preserve">All remaining </w:t>
      </w:r>
      <w:r w:rsidR="00B634B2" w:rsidRPr="00864F84">
        <w:rPr>
          <w:rFonts w:ascii="Times New Roman" w:hAnsi="Times New Roman"/>
          <w:szCs w:val="24"/>
        </w:rPr>
        <w:t xml:space="preserve">(non-sampled) </w:t>
      </w:r>
      <w:r w:rsidRPr="00864F84">
        <w:rPr>
          <w:rFonts w:ascii="Times New Roman" w:hAnsi="Times New Roman"/>
          <w:szCs w:val="24"/>
        </w:rPr>
        <w:t xml:space="preserve">single-establishment firms with payroll will be represented in the </w:t>
      </w:r>
      <w:r w:rsidR="005A7575" w:rsidRPr="00864F84">
        <w:rPr>
          <w:rFonts w:ascii="Times New Roman" w:hAnsi="Times New Roman"/>
          <w:szCs w:val="24"/>
        </w:rPr>
        <w:t>Economic C</w:t>
      </w:r>
      <w:r w:rsidRPr="00864F84">
        <w:rPr>
          <w:rFonts w:ascii="Times New Roman" w:hAnsi="Times New Roman"/>
          <w:szCs w:val="24"/>
        </w:rPr>
        <w:t>ensus by data from Federal administrative records</w:t>
      </w:r>
      <w:r w:rsidR="00B634B2" w:rsidRPr="00864F84">
        <w:rPr>
          <w:rFonts w:ascii="Times New Roman" w:hAnsi="Times New Roman"/>
          <w:szCs w:val="24"/>
        </w:rPr>
        <w:t xml:space="preserve"> and will not usually be required to</w:t>
      </w:r>
      <w:r w:rsidR="008020A1">
        <w:rPr>
          <w:rFonts w:ascii="Times New Roman" w:hAnsi="Times New Roman"/>
          <w:szCs w:val="24"/>
        </w:rPr>
        <w:t xml:space="preserve"> </w:t>
      </w:r>
      <w:r w:rsidR="00B634B2" w:rsidRPr="00864F84">
        <w:rPr>
          <w:rFonts w:ascii="Times New Roman" w:hAnsi="Times New Roman"/>
          <w:szCs w:val="24"/>
        </w:rPr>
        <w:t xml:space="preserve">report.  </w:t>
      </w:r>
      <w:r w:rsidRPr="00864F84">
        <w:rPr>
          <w:rFonts w:ascii="Times New Roman" w:hAnsi="Times New Roman"/>
          <w:szCs w:val="24"/>
        </w:rPr>
        <w:t xml:space="preserve">However, </w:t>
      </w:r>
      <w:r w:rsidR="00886FB4" w:rsidRPr="00864F84">
        <w:rPr>
          <w:rFonts w:ascii="Times New Roman" w:hAnsi="Times New Roman"/>
          <w:szCs w:val="24"/>
        </w:rPr>
        <w:t xml:space="preserve">in some cases, the </w:t>
      </w:r>
      <w:r w:rsidR="00825C9E" w:rsidRPr="00864F84">
        <w:rPr>
          <w:rFonts w:ascii="Times New Roman" w:hAnsi="Times New Roman"/>
          <w:szCs w:val="24"/>
        </w:rPr>
        <w:t xml:space="preserve">industry classification information on the Business Register – used to tabulate the </w:t>
      </w:r>
      <w:r w:rsidR="00842B2C" w:rsidRPr="00864F84">
        <w:rPr>
          <w:rFonts w:ascii="Times New Roman" w:hAnsi="Times New Roman"/>
          <w:szCs w:val="24"/>
        </w:rPr>
        <w:t xml:space="preserve">(quantitative) </w:t>
      </w:r>
      <w:r w:rsidR="00825C9E" w:rsidRPr="00864F84">
        <w:rPr>
          <w:rFonts w:ascii="Times New Roman" w:hAnsi="Times New Roman"/>
          <w:szCs w:val="24"/>
        </w:rPr>
        <w:t>administrati</w:t>
      </w:r>
      <w:r w:rsidR="00375C09" w:rsidRPr="00864F84">
        <w:rPr>
          <w:rFonts w:ascii="Times New Roman" w:hAnsi="Times New Roman"/>
          <w:szCs w:val="24"/>
        </w:rPr>
        <w:t>ve data in the correct industry</w:t>
      </w:r>
      <w:r w:rsidR="00825C9E" w:rsidRPr="00864F84">
        <w:rPr>
          <w:rFonts w:ascii="Times New Roman" w:hAnsi="Times New Roman"/>
          <w:szCs w:val="24"/>
        </w:rPr>
        <w:t xml:space="preserve"> </w:t>
      </w:r>
      <w:r w:rsidR="00135C11" w:rsidRPr="00864F84">
        <w:rPr>
          <w:rFonts w:ascii="Times New Roman" w:hAnsi="Times New Roman"/>
          <w:szCs w:val="24"/>
        </w:rPr>
        <w:t>– is inadequate</w:t>
      </w:r>
      <w:r w:rsidR="00842B2C" w:rsidRPr="00864F84">
        <w:rPr>
          <w:rFonts w:ascii="Times New Roman" w:hAnsi="Times New Roman"/>
          <w:szCs w:val="24"/>
        </w:rPr>
        <w:t xml:space="preserve"> or outdated</w:t>
      </w:r>
      <w:r w:rsidR="00135C11" w:rsidRPr="00864F84">
        <w:rPr>
          <w:rFonts w:ascii="Times New Roman" w:hAnsi="Times New Roman"/>
          <w:szCs w:val="24"/>
        </w:rPr>
        <w:t>.  The most common reasons for a deficient classification are:</w:t>
      </w:r>
    </w:p>
    <w:p w:rsidR="00135C11" w:rsidRPr="00F66FBA" w:rsidRDefault="00135C11" w:rsidP="003B12ED">
      <w:pPr>
        <w:pStyle w:val="ListParagraph"/>
        <w:numPr>
          <w:ilvl w:val="0"/>
          <w:numId w:val="20"/>
        </w:numPr>
        <w:ind w:left="1800" w:hanging="360"/>
        <w:rPr>
          <w:rFonts w:ascii="Times New Roman" w:hAnsi="Times New Roman"/>
          <w:szCs w:val="24"/>
          <w:highlight w:val="yellow"/>
        </w:rPr>
      </w:pPr>
      <w:r w:rsidRPr="00864F84">
        <w:rPr>
          <w:rFonts w:ascii="Times New Roman" w:hAnsi="Times New Roman"/>
          <w:szCs w:val="24"/>
        </w:rPr>
        <w:t>A</w:t>
      </w:r>
      <w:r w:rsidR="00CA73D8" w:rsidRPr="00864F84">
        <w:rPr>
          <w:rFonts w:ascii="Times New Roman" w:hAnsi="Times New Roman"/>
          <w:szCs w:val="24"/>
        </w:rPr>
        <w:t xml:space="preserve">dministrative </w:t>
      </w:r>
      <w:r w:rsidR="00C12D9A" w:rsidRPr="00864F84">
        <w:rPr>
          <w:rFonts w:ascii="Times New Roman" w:hAnsi="Times New Roman"/>
          <w:szCs w:val="24"/>
        </w:rPr>
        <w:t xml:space="preserve">classification </w:t>
      </w:r>
      <w:r w:rsidR="00886FB4" w:rsidRPr="00864F84">
        <w:rPr>
          <w:rFonts w:ascii="Times New Roman" w:hAnsi="Times New Roman"/>
          <w:szCs w:val="24"/>
        </w:rPr>
        <w:t xml:space="preserve">data provided to the Census Bureau </w:t>
      </w:r>
      <w:r w:rsidR="00B634B2" w:rsidRPr="00864F84">
        <w:rPr>
          <w:rFonts w:ascii="Times New Roman" w:hAnsi="Times New Roman"/>
          <w:szCs w:val="24"/>
        </w:rPr>
        <w:t xml:space="preserve">lack sufficient </w:t>
      </w:r>
      <w:r w:rsidR="00886FB4" w:rsidRPr="00864F84">
        <w:rPr>
          <w:rFonts w:ascii="Times New Roman" w:hAnsi="Times New Roman"/>
          <w:szCs w:val="24"/>
        </w:rPr>
        <w:t>detail</w:t>
      </w:r>
      <w:r w:rsidR="00B634B2" w:rsidRPr="00864F84">
        <w:rPr>
          <w:rFonts w:ascii="Times New Roman" w:hAnsi="Times New Roman"/>
          <w:szCs w:val="24"/>
        </w:rPr>
        <w:t xml:space="preserve"> to </w:t>
      </w:r>
      <w:r w:rsidR="00C12D9A" w:rsidRPr="00864F84">
        <w:rPr>
          <w:rFonts w:ascii="Times New Roman" w:hAnsi="Times New Roman"/>
          <w:szCs w:val="24"/>
        </w:rPr>
        <w:t>assign</w:t>
      </w:r>
      <w:r w:rsidR="00B634B2" w:rsidRPr="00864F84">
        <w:rPr>
          <w:rFonts w:ascii="Times New Roman" w:hAnsi="Times New Roman"/>
          <w:szCs w:val="24"/>
        </w:rPr>
        <w:t xml:space="preserve"> an establishment to an 8-digit NAICS </w:t>
      </w:r>
      <w:r w:rsidR="00886FB4" w:rsidRPr="00864F84">
        <w:rPr>
          <w:rFonts w:ascii="Times New Roman" w:hAnsi="Times New Roman"/>
          <w:szCs w:val="24"/>
        </w:rPr>
        <w:t>industr</w:t>
      </w:r>
      <w:r w:rsidR="00886FB4" w:rsidRPr="00F66FBA">
        <w:rPr>
          <w:rFonts w:ascii="Times New Roman" w:hAnsi="Times New Roman"/>
          <w:szCs w:val="24"/>
        </w:rPr>
        <w:t>y</w:t>
      </w:r>
      <w:r w:rsidR="00CA56AE" w:rsidRPr="00F66FBA">
        <w:rPr>
          <w:rStyle w:val="FootnoteReference"/>
          <w:rFonts w:ascii="Times New Roman" w:hAnsi="Times New Roman"/>
          <w:szCs w:val="24"/>
          <w:vertAlign w:val="superscript"/>
        </w:rPr>
        <w:footnoteReference w:id="4"/>
      </w:r>
      <w:r w:rsidR="00886FB4" w:rsidRPr="00F66FBA">
        <w:rPr>
          <w:rFonts w:ascii="Times New Roman" w:hAnsi="Times New Roman"/>
          <w:szCs w:val="24"/>
        </w:rPr>
        <w:t xml:space="preserve"> </w:t>
      </w:r>
      <w:r w:rsidR="00F66FBA" w:rsidRPr="00F66FBA">
        <w:rPr>
          <w:rFonts w:ascii="Times New Roman" w:hAnsi="Times New Roman"/>
          <w:szCs w:val="24"/>
          <w:highlight w:val="yellow"/>
        </w:rPr>
        <w:t>in certain industries where this level of detail is required for other programs</w:t>
      </w:r>
    </w:p>
    <w:p w:rsidR="00135C11" w:rsidRPr="00864F84" w:rsidRDefault="00135C11" w:rsidP="003B12ED">
      <w:pPr>
        <w:pStyle w:val="ListParagraph"/>
        <w:numPr>
          <w:ilvl w:val="0"/>
          <w:numId w:val="20"/>
        </w:numPr>
        <w:ind w:left="1800" w:hanging="360"/>
        <w:rPr>
          <w:rFonts w:ascii="Times New Roman" w:hAnsi="Times New Roman"/>
          <w:szCs w:val="24"/>
        </w:rPr>
      </w:pPr>
      <w:r w:rsidRPr="00864F84">
        <w:rPr>
          <w:rFonts w:ascii="Times New Roman" w:hAnsi="Times New Roman"/>
          <w:szCs w:val="24"/>
        </w:rPr>
        <w:t xml:space="preserve">The </w:t>
      </w:r>
      <w:r w:rsidR="00886FB4" w:rsidRPr="00864F84">
        <w:rPr>
          <w:rFonts w:ascii="Times New Roman" w:hAnsi="Times New Roman"/>
          <w:szCs w:val="24"/>
        </w:rPr>
        <w:t>administrative data are not in agreement regarding an establishment’s classification</w:t>
      </w:r>
    </w:p>
    <w:p w:rsidR="00135C11" w:rsidRPr="00864F84" w:rsidRDefault="00135C11" w:rsidP="003B12ED">
      <w:pPr>
        <w:pStyle w:val="ListParagraph"/>
        <w:numPr>
          <w:ilvl w:val="0"/>
          <w:numId w:val="20"/>
        </w:numPr>
        <w:ind w:left="1800" w:hanging="360"/>
        <w:rPr>
          <w:rFonts w:ascii="Times New Roman" w:hAnsi="Times New Roman"/>
          <w:szCs w:val="24"/>
        </w:rPr>
      </w:pPr>
      <w:r w:rsidRPr="00864F84">
        <w:rPr>
          <w:rFonts w:ascii="Times New Roman" w:hAnsi="Times New Roman"/>
          <w:szCs w:val="24"/>
        </w:rPr>
        <w:t xml:space="preserve">The date the establishment was last </w:t>
      </w:r>
      <w:r w:rsidR="00635048" w:rsidRPr="00864F84">
        <w:rPr>
          <w:rFonts w:ascii="Times New Roman" w:hAnsi="Times New Roman"/>
          <w:szCs w:val="24"/>
        </w:rPr>
        <w:t xml:space="preserve">fully </w:t>
      </w:r>
      <w:r w:rsidRPr="00864F84">
        <w:rPr>
          <w:rFonts w:ascii="Times New Roman" w:hAnsi="Times New Roman"/>
          <w:szCs w:val="24"/>
        </w:rPr>
        <w:t xml:space="preserve">classified </w:t>
      </w:r>
      <w:r w:rsidR="008240EC" w:rsidRPr="00864F84">
        <w:rPr>
          <w:rFonts w:ascii="Times New Roman" w:hAnsi="Times New Roman"/>
          <w:szCs w:val="24"/>
        </w:rPr>
        <w:t>i</w:t>
      </w:r>
      <w:r w:rsidRPr="00864F84">
        <w:rPr>
          <w:rFonts w:ascii="Times New Roman" w:hAnsi="Times New Roman"/>
          <w:szCs w:val="24"/>
        </w:rPr>
        <w:t xml:space="preserve">s over 15 years </w:t>
      </w:r>
      <w:r w:rsidR="00842B2C" w:rsidRPr="00864F84">
        <w:rPr>
          <w:rFonts w:ascii="Times New Roman" w:hAnsi="Times New Roman"/>
          <w:szCs w:val="24"/>
        </w:rPr>
        <w:t>ago.</w:t>
      </w:r>
    </w:p>
    <w:p w:rsidR="00CA73D8" w:rsidRPr="00E577B6" w:rsidRDefault="00886FB4" w:rsidP="00135C11">
      <w:pPr>
        <w:spacing w:before="240"/>
        <w:ind w:left="1440"/>
        <w:rPr>
          <w:rFonts w:ascii="Times New Roman" w:hAnsi="Times New Roman"/>
          <w:color w:val="FF0000"/>
          <w:szCs w:val="24"/>
        </w:rPr>
      </w:pPr>
      <w:r w:rsidRPr="00864F84">
        <w:rPr>
          <w:rFonts w:ascii="Times New Roman" w:hAnsi="Times New Roman"/>
          <w:szCs w:val="24"/>
        </w:rPr>
        <w:t>In these cases</w:t>
      </w:r>
      <w:r w:rsidR="00CA73D8" w:rsidRPr="00864F84">
        <w:rPr>
          <w:rFonts w:ascii="Times New Roman" w:hAnsi="Times New Roman"/>
          <w:szCs w:val="24"/>
        </w:rPr>
        <w:t xml:space="preserve">, we will </w:t>
      </w:r>
      <w:r w:rsidRPr="00864F84">
        <w:rPr>
          <w:rFonts w:ascii="Times New Roman" w:hAnsi="Times New Roman"/>
          <w:szCs w:val="24"/>
        </w:rPr>
        <w:t xml:space="preserve">require the </w:t>
      </w:r>
      <w:r w:rsidR="00CA73D8" w:rsidRPr="00864F84">
        <w:rPr>
          <w:rFonts w:ascii="Times New Roman" w:hAnsi="Times New Roman"/>
          <w:szCs w:val="24"/>
        </w:rPr>
        <w:t xml:space="preserve">firm </w:t>
      </w:r>
      <w:r w:rsidRPr="00864F84">
        <w:rPr>
          <w:rFonts w:ascii="Times New Roman" w:hAnsi="Times New Roman"/>
          <w:szCs w:val="24"/>
        </w:rPr>
        <w:t xml:space="preserve">to respond to </w:t>
      </w:r>
      <w:r w:rsidR="00CA73D8" w:rsidRPr="00864F84">
        <w:rPr>
          <w:rFonts w:ascii="Times New Roman" w:hAnsi="Times New Roman"/>
          <w:szCs w:val="24"/>
        </w:rPr>
        <w:t>a</w:t>
      </w:r>
      <w:r w:rsidR="00EF7A2C" w:rsidRPr="00864F84">
        <w:rPr>
          <w:rFonts w:ascii="Times New Roman" w:hAnsi="Times New Roman"/>
          <w:szCs w:val="24"/>
        </w:rPr>
        <w:t>n Economic C</w:t>
      </w:r>
      <w:r w:rsidR="00CA73D8" w:rsidRPr="00864F84">
        <w:rPr>
          <w:rFonts w:ascii="Times New Roman" w:hAnsi="Times New Roman"/>
          <w:szCs w:val="24"/>
        </w:rPr>
        <w:t xml:space="preserve">ensus </w:t>
      </w:r>
      <w:r w:rsidR="00F11E1A" w:rsidRPr="00864F84">
        <w:rPr>
          <w:rFonts w:ascii="Times New Roman" w:hAnsi="Times New Roman"/>
          <w:szCs w:val="24"/>
        </w:rPr>
        <w:t>classification</w:t>
      </w:r>
      <w:r w:rsidRPr="00864F84">
        <w:rPr>
          <w:rFonts w:ascii="Times New Roman" w:hAnsi="Times New Roman"/>
          <w:szCs w:val="24"/>
        </w:rPr>
        <w:t xml:space="preserve"> questionnaire </w:t>
      </w:r>
      <w:r w:rsidR="00C12D9A" w:rsidRPr="00864F84">
        <w:rPr>
          <w:rFonts w:ascii="Times New Roman" w:hAnsi="Times New Roman"/>
          <w:szCs w:val="24"/>
        </w:rPr>
        <w:t>that</w:t>
      </w:r>
      <w:r w:rsidR="00CA73D8" w:rsidRPr="00864F84">
        <w:rPr>
          <w:rFonts w:ascii="Times New Roman" w:hAnsi="Times New Roman"/>
          <w:szCs w:val="24"/>
        </w:rPr>
        <w:t xml:space="preserve"> collect</w:t>
      </w:r>
      <w:r w:rsidR="00C12D9A" w:rsidRPr="00864F84">
        <w:rPr>
          <w:rFonts w:ascii="Times New Roman" w:hAnsi="Times New Roman"/>
          <w:szCs w:val="24"/>
        </w:rPr>
        <w:t>s the</w:t>
      </w:r>
      <w:r w:rsidR="00CA73D8" w:rsidRPr="00864F84">
        <w:rPr>
          <w:rFonts w:ascii="Times New Roman" w:hAnsi="Times New Roman"/>
          <w:szCs w:val="24"/>
        </w:rPr>
        <w:t xml:space="preserve"> basic information needed to </w:t>
      </w:r>
      <w:r w:rsidRPr="00864F84">
        <w:rPr>
          <w:rFonts w:ascii="Times New Roman" w:hAnsi="Times New Roman"/>
          <w:szCs w:val="24"/>
        </w:rPr>
        <w:t>fully classify the establishment</w:t>
      </w:r>
      <w:r w:rsidR="00635048" w:rsidRPr="00864F84">
        <w:rPr>
          <w:rFonts w:ascii="Times New Roman" w:hAnsi="Times New Roman"/>
          <w:szCs w:val="24"/>
        </w:rPr>
        <w:t xml:space="preserve"> into a NAICS industry</w:t>
      </w:r>
      <w:r w:rsidR="00C12D9A" w:rsidRPr="00864F84">
        <w:rPr>
          <w:rFonts w:ascii="Times New Roman" w:hAnsi="Times New Roman"/>
          <w:szCs w:val="24"/>
        </w:rPr>
        <w:t xml:space="preserve">.  </w:t>
      </w:r>
      <w:r w:rsidR="00C12D9A" w:rsidRPr="00E577B6">
        <w:rPr>
          <w:rFonts w:ascii="Times New Roman" w:hAnsi="Times New Roman"/>
          <w:szCs w:val="24"/>
        </w:rPr>
        <w:t xml:space="preserve">We estimate that </w:t>
      </w:r>
      <w:r w:rsidR="00CA73D8" w:rsidRPr="00E577B6">
        <w:rPr>
          <w:rFonts w:ascii="Times New Roman" w:hAnsi="Times New Roman"/>
          <w:szCs w:val="24"/>
        </w:rPr>
        <w:t xml:space="preserve">approximately </w:t>
      </w:r>
      <w:r w:rsidR="00BF4E16" w:rsidRPr="00BF4E16">
        <w:rPr>
          <w:rFonts w:ascii="Times New Roman" w:hAnsi="Times New Roman"/>
          <w:szCs w:val="24"/>
          <w:highlight w:val="yellow"/>
        </w:rPr>
        <w:t>336,595</w:t>
      </w:r>
      <w:r w:rsidR="00BF4E16">
        <w:rPr>
          <w:rFonts w:ascii="Times New Roman" w:hAnsi="Times New Roman"/>
          <w:szCs w:val="24"/>
        </w:rPr>
        <w:t xml:space="preserve"> </w:t>
      </w:r>
      <w:r w:rsidR="002B769E" w:rsidRPr="00BF4E16">
        <w:rPr>
          <w:rFonts w:ascii="Times New Roman" w:hAnsi="Times New Roman"/>
          <w:strike/>
          <w:szCs w:val="24"/>
          <w:highlight w:val="green"/>
        </w:rPr>
        <w:t>573,54</w:t>
      </w:r>
      <w:r w:rsidR="00FA2AFA" w:rsidRPr="00BF4E16">
        <w:rPr>
          <w:rFonts w:ascii="Times New Roman" w:hAnsi="Times New Roman"/>
          <w:strike/>
          <w:szCs w:val="24"/>
          <w:highlight w:val="green"/>
        </w:rPr>
        <w:t>0</w:t>
      </w:r>
      <w:r w:rsidR="00233CDD" w:rsidRPr="00E577B6">
        <w:rPr>
          <w:rFonts w:ascii="Times New Roman" w:hAnsi="Times New Roman"/>
          <w:szCs w:val="24"/>
        </w:rPr>
        <w:t xml:space="preserve"> </w:t>
      </w:r>
      <w:r w:rsidR="00CA73D8" w:rsidRPr="00E577B6">
        <w:rPr>
          <w:rFonts w:ascii="Times New Roman" w:hAnsi="Times New Roman"/>
          <w:szCs w:val="24"/>
        </w:rPr>
        <w:t xml:space="preserve">single-establishment firms </w:t>
      </w:r>
      <w:r w:rsidR="004F53B4" w:rsidRPr="00E577B6">
        <w:rPr>
          <w:rFonts w:ascii="Times New Roman" w:hAnsi="Times New Roman"/>
          <w:szCs w:val="24"/>
        </w:rPr>
        <w:t>will</w:t>
      </w:r>
      <w:r w:rsidR="00CA73D8" w:rsidRPr="00E577B6">
        <w:rPr>
          <w:rFonts w:ascii="Times New Roman" w:hAnsi="Times New Roman"/>
          <w:szCs w:val="24"/>
        </w:rPr>
        <w:t xml:space="preserve"> receive these </w:t>
      </w:r>
      <w:r w:rsidR="00233CDD" w:rsidRPr="00E577B6">
        <w:rPr>
          <w:rFonts w:ascii="Times New Roman" w:hAnsi="Times New Roman"/>
          <w:szCs w:val="24"/>
        </w:rPr>
        <w:t>classification questionnaires</w:t>
      </w:r>
      <w:r w:rsidR="00E577B6" w:rsidRPr="00E577B6">
        <w:rPr>
          <w:rFonts w:ascii="Times New Roman" w:hAnsi="Times New Roman"/>
          <w:szCs w:val="24"/>
          <w:vertAlign w:val="superscript"/>
        </w:rPr>
        <w:t>5</w:t>
      </w:r>
      <w:r w:rsidR="00233CDD" w:rsidRPr="00E577B6">
        <w:rPr>
          <w:rFonts w:ascii="Times New Roman" w:hAnsi="Times New Roman"/>
          <w:szCs w:val="24"/>
        </w:rPr>
        <w:t>.</w:t>
      </w:r>
      <w:r w:rsidR="00E577B6" w:rsidRPr="00E577B6">
        <w:rPr>
          <w:rFonts w:ascii="Times New Roman" w:hAnsi="Times New Roman"/>
          <w:szCs w:val="24"/>
        </w:rPr>
        <w:t xml:space="preserve"> </w:t>
      </w:r>
    </w:p>
    <w:p w:rsidR="00CA73D8" w:rsidRPr="00864F84" w:rsidRDefault="00CA73D8">
      <w:pPr>
        <w:ind w:firstLine="720"/>
        <w:rPr>
          <w:rFonts w:ascii="Times New Roman" w:hAnsi="Times New Roman"/>
          <w:szCs w:val="24"/>
        </w:rPr>
      </w:pPr>
      <w:r w:rsidRPr="00864F84">
        <w:rPr>
          <w:rFonts w:ascii="Times New Roman" w:hAnsi="Times New Roman"/>
          <w:szCs w:val="24"/>
        </w:rPr>
        <w:tab/>
      </w:r>
      <w:r w:rsidRPr="00864F84">
        <w:rPr>
          <w:rFonts w:ascii="Times New Roman" w:hAnsi="Times New Roman"/>
          <w:szCs w:val="24"/>
        </w:rPr>
        <w:tab/>
      </w:r>
    </w:p>
    <w:p w:rsidR="00A3145E" w:rsidRDefault="00A3145E" w:rsidP="008910B2">
      <w:pPr>
        <w:ind w:left="720" w:hanging="360"/>
        <w:rPr>
          <w:rFonts w:ascii="Times New Roman" w:hAnsi="Times New Roman"/>
          <w:szCs w:val="24"/>
        </w:rPr>
      </w:pPr>
    </w:p>
    <w:p w:rsidR="00CA73D8" w:rsidRPr="00864F84" w:rsidRDefault="00CA73D8" w:rsidP="008910B2">
      <w:pPr>
        <w:ind w:left="720" w:hanging="36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t>Estimation Procedures</w:t>
      </w:r>
    </w:p>
    <w:p w:rsidR="00CA73D8" w:rsidRPr="00864F84" w:rsidRDefault="00CA73D8">
      <w:pPr>
        <w:rPr>
          <w:rFonts w:ascii="Times New Roman" w:hAnsi="Times New Roman"/>
          <w:szCs w:val="24"/>
        </w:rPr>
      </w:pPr>
    </w:p>
    <w:p w:rsidR="00CA73D8" w:rsidRPr="00864F84" w:rsidRDefault="00CA73D8" w:rsidP="008910B2">
      <w:pPr>
        <w:tabs>
          <w:tab w:val="left" w:pos="-1440"/>
        </w:tabs>
        <w:ind w:left="1080" w:hanging="360"/>
        <w:rPr>
          <w:rFonts w:ascii="Times New Roman" w:hAnsi="Times New Roman"/>
          <w:szCs w:val="24"/>
        </w:rPr>
      </w:pPr>
      <w:r w:rsidRPr="00864F84">
        <w:rPr>
          <w:rFonts w:ascii="Times New Roman" w:hAnsi="Times New Roman"/>
          <w:szCs w:val="24"/>
        </w:rPr>
        <w:t>(1)</w:t>
      </w:r>
      <w:r w:rsidRPr="00864F84">
        <w:rPr>
          <w:rFonts w:ascii="Times New Roman" w:hAnsi="Times New Roman"/>
          <w:szCs w:val="24"/>
        </w:rPr>
        <w:tab/>
        <w:t>Basic Statistics</w:t>
      </w:r>
    </w:p>
    <w:p w:rsidR="00CA73D8" w:rsidRPr="00864F84" w:rsidRDefault="00CA73D8">
      <w:pPr>
        <w:rPr>
          <w:rFonts w:ascii="Times New Roman" w:hAnsi="Times New Roman"/>
          <w:szCs w:val="24"/>
        </w:rPr>
      </w:pPr>
    </w:p>
    <w:p w:rsidR="00CA73D8" w:rsidRPr="00864F84" w:rsidRDefault="00EF7A2C" w:rsidP="008910B2">
      <w:pPr>
        <w:ind w:left="1080"/>
        <w:rPr>
          <w:rFonts w:ascii="Times New Roman" w:hAnsi="Times New Roman"/>
          <w:szCs w:val="24"/>
        </w:rPr>
      </w:pPr>
      <w:r w:rsidRPr="00864F84">
        <w:rPr>
          <w:rFonts w:ascii="Times New Roman" w:hAnsi="Times New Roman"/>
          <w:szCs w:val="24"/>
        </w:rPr>
        <w:t xml:space="preserve">Economic </w:t>
      </w:r>
      <w:r w:rsidR="00CA73D8" w:rsidRPr="00864F84">
        <w:rPr>
          <w:rFonts w:ascii="Times New Roman" w:hAnsi="Times New Roman"/>
          <w:szCs w:val="24"/>
        </w:rPr>
        <w:t xml:space="preserve">Census tabulations for basic statistics </w:t>
      </w:r>
      <w:r w:rsidR="00635048" w:rsidRPr="00864F84">
        <w:rPr>
          <w:rFonts w:ascii="Times New Roman" w:hAnsi="Times New Roman"/>
          <w:szCs w:val="24"/>
        </w:rPr>
        <w:t>(</w:t>
      </w:r>
      <w:r w:rsidR="00677560">
        <w:rPr>
          <w:rFonts w:ascii="Times New Roman" w:hAnsi="Times New Roman"/>
          <w:szCs w:val="24"/>
        </w:rPr>
        <w:t>value of shipments/</w:t>
      </w:r>
      <w:r w:rsidR="00635048" w:rsidRPr="00864F84">
        <w:rPr>
          <w:rFonts w:ascii="Times New Roman" w:hAnsi="Times New Roman"/>
          <w:szCs w:val="24"/>
        </w:rPr>
        <w:t>receipts</w:t>
      </w:r>
      <w:r w:rsidR="00677560">
        <w:rPr>
          <w:rFonts w:ascii="Times New Roman" w:hAnsi="Times New Roman"/>
          <w:szCs w:val="24"/>
        </w:rPr>
        <w:t>/revenue/sales</w:t>
      </w:r>
      <w:r w:rsidR="00635048" w:rsidRPr="00864F84">
        <w:rPr>
          <w:rFonts w:ascii="Times New Roman" w:hAnsi="Times New Roman"/>
          <w:szCs w:val="24"/>
        </w:rPr>
        <w:t xml:space="preserve">, payroll, employment, etc.) </w:t>
      </w:r>
      <w:r w:rsidR="00CA73D8" w:rsidRPr="00864F84">
        <w:rPr>
          <w:rFonts w:ascii="Times New Roman" w:hAnsi="Times New Roman"/>
          <w:szCs w:val="24"/>
        </w:rPr>
        <w:t xml:space="preserve">are simple summations of data from </w:t>
      </w:r>
      <w:r w:rsidR="00635048" w:rsidRPr="00864F84">
        <w:rPr>
          <w:rFonts w:ascii="Times New Roman" w:hAnsi="Times New Roman"/>
          <w:szCs w:val="24"/>
        </w:rPr>
        <w:t>all in-scope establishments</w:t>
      </w:r>
      <w:r w:rsidR="00E620F2" w:rsidRPr="00864F84">
        <w:rPr>
          <w:rFonts w:ascii="Times New Roman" w:hAnsi="Times New Roman"/>
          <w:szCs w:val="24"/>
        </w:rPr>
        <w:t xml:space="preserve"> </w:t>
      </w:r>
      <w:r w:rsidR="00635048" w:rsidRPr="00864F84">
        <w:rPr>
          <w:rFonts w:ascii="Times New Roman" w:hAnsi="Times New Roman"/>
          <w:szCs w:val="24"/>
        </w:rPr>
        <w:t>using</w:t>
      </w:r>
      <w:r w:rsidR="00E620F2" w:rsidRPr="00864F84">
        <w:rPr>
          <w:rFonts w:ascii="Times New Roman" w:hAnsi="Times New Roman"/>
          <w:szCs w:val="24"/>
        </w:rPr>
        <w:t xml:space="preserve"> reported data collected from the Economic Census, plus imputed data for non-respondents and single-unit establishments that were </w:t>
      </w:r>
      <w:r w:rsidR="009E7979" w:rsidRPr="00864F84">
        <w:rPr>
          <w:rFonts w:ascii="Times New Roman" w:hAnsi="Times New Roman"/>
          <w:szCs w:val="24"/>
        </w:rPr>
        <w:t xml:space="preserve">not </w:t>
      </w:r>
      <w:r w:rsidR="00635048" w:rsidRPr="00864F84">
        <w:rPr>
          <w:rFonts w:ascii="Times New Roman" w:hAnsi="Times New Roman"/>
          <w:szCs w:val="24"/>
        </w:rPr>
        <w:t xml:space="preserve">selected into the </w:t>
      </w:r>
      <w:r w:rsidRPr="00864F84">
        <w:rPr>
          <w:rFonts w:ascii="Times New Roman" w:hAnsi="Times New Roman"/>
          <w:szCs w:val="24"/>
        </w:rPr>
        <w:t xml:space="preserve">Economic </w:t>
      </w:r>
      <w:r w:rsidR="00635048" w:rsidRPr="00864F84">
        <w:rPr>
          <w:rFonts w:ascii="Times New Roman" w:hAnsi="Times New Roman"/>
          <w:szCs w:val="24"/>
        </w:rPr>
        <w:t>Census sample</w:t>
      </w:r>
      <w:r w:rsidR="00E620F2" w:rsidRPr="00864F84">
        <w:rPr>
          <w:rFonts w:ascii="Times New Roman" w:hAnsi="Times New Roman"/>
          <w:szCs w:val="24"/>
        </w:rPr>
        <w:t>.</w:t>
      </w:r>
      <w:r w:rsidR="00CA73D8" w:rsidRPr="00864F84">
        <w:rPr>
          <w:rFonts w:ascii="Times New Roman" w:hAnsi="Times New Roman"/>
          <w:szCs w:val="24"/>
        </w:rPr>
        <w:t xml:space="preserve">  </w:t>
      </w:r>
      <w:r w:rsidR="00635048" w:rsidRPr="00864F84">
        <w:rPr>
          <w:rFonts w:ascii="Times New Roman" w:hAnsi="Times New Roman"/>
          <w:szCs w:val="24"/>
        </w:rPr>
        <w:t xml:space="preserve">The most common source of imputed data is administrative data from </w:t>
      </w:r>
      <w:r w:rsidR="00375C09" w:rsidRPr="00864F84">
        <w:rPr>
          <w:rFonts w:ascii="Times New Roman" w:hAnsi="Times New Roman"/>
          <w:szCs w:val="24"/>
        </w:rPr>
        <w:t>the IRS.</w:t>
      </w:r>
      <w:r w:rsidR="001A546B" w:rsidRPr="00864F84">
        <w:rPr>
          <w:rFonts w:ascii="Times New Roman" w:hAnsi="Times New Roman"/>
          <w:szCs w:val="24"/>
        </w:rPr>
        <w:t xml:space="preserve">  For multi-establishment firms in alternative reporting industries (see Section B.2.a.(b) above)</w:t>
      </w:r>
      <w:r w:rsidR="001826F9" w:rsidRPr="00864F84">
        <w:rPr>
          <w:rFonts w:ascii="Times New Roman" w:hAnsi="Times New Roman"/>
          <w:szCs w:val="24"/>
        </w:rPr>
        <w:t>,</w:t>
      </w:r>
      <w:r w:rsidR="001A546B" w:rsidRPr="00864F84">
        <w:rPr>
          <w:rFonts w:ascii="Times New Roman" w:hAnsi="Times New Roman"/>
          <w:szCs w:val="24"/>
        </w:rPr>
        <w:t xml:space="preserve"> the consolidated firm level </w:t>
      </w:r>
      <w:r w:rsidR="00C34EDE">
        <w:rPr>
          <w:rFonts w:ascii="Times New Roman" w:hAnsi="Times New Roman"/>
          <w:szCs w:val="24"/>
        </w:rPr>
        <w:t>value of shipments/</w:t>
      </w:r>
      <w:r w:rsidR="001826F9" w:rsidRPr="00864F84">
        <w:rPr>
          <w:rFonts w:ascii="Times New Roman" w:hAnsi="Times New Roman"/>
          <w:szCs w:val="24"/>
        </w:rPr>
        <w:t>receipts</w:t>
      </w:r>
      <w:r w:rsidR="00C34EDE">
        <w:rPr>
          <w:rFonts w:ascii="Times New Roman" w:hAnsi="Times New Roman"/>
          <w:szCs w:val="24"/>
        </w:rPr>
        <w:t>/revenue/sales</w:t>
      </w:r>
      <w:r w:rsidR="001826F9" w:rsidRPr="00864F84">
        <w:rPr>
          <w:rFonts w:ascii="Times New Roman" w:hAnsi="Times New Roman"/>
          <w:szCs w:val="24"/>
        </w:rPr>
        <w:t xml:space="preserve"> </w:t>
      </w:r>
      <w:r w:rsidR="001A546B" w:rsidRPr="00864F84">
        <w:rPr>
          <w:rFonts w:ascii="Times New Roman" w:hAnsi="Times New Roman"/>
          <w:szCs w:val="24"/>
        </w:rPr>
        <w:t>data is first allocated to the individual establishments of the firm in the industry.</w:t>
      </w:r>
    </w:p>
    <w:p w:rsidR="00F136D1" w:rsidRPr="00864F84" w:rsidRDefault="00F136D1" w:rsidP="008910B2">
      <w:pPr>
        <w:ind w:left="1080"/>
        <w:rPr>
          <w:rFonts w:ascii="Times New Roman" w:hAnsi="Times New Roman"/>
          <w:szCs w:val="24"/>
        </w:rPr>
      </w:pPr>
    </w:p>
    <w:p w:rsidR="00CA73D8" w:rsidRPr="00864F84" w:rsidRDefault="00CA73D8" w:rsidP="008910B2">
      <w:pPr>
        <w:tabs>
          <w:tab w:val="left" w:pos="-1440"/>
        </w:tabs>
        <w:ind w:left="1080" w:hanging="360"/>
        <w:rPr>
          <w:rFonts w:ascii="Times New Roman" w:hAnsi="Times New Roman"/>
          <w:szCs w:val="24"/>
        </w:rPr>
      </w:pPr>
      <w:r w:rsidRPr="00864F84">
        <w:rPr>
          <w:rFonts w:ascii="Times New Roman" w:hAnsi="Times New Roman"/>
          <w:szCs w:val="24"/>
        </w:rPr>
        <w:t>(2)</w:t>
      </w:r>
      <w:r w:rsidRPr="00864F84">
        <w:rPr>
          <w:rFonts w:ascii="Times New Roman" w:hAnsi="Times New Roman"/>
          <w:szCs w:val="24"/>
        </w:rPr>
        <w:tab/>
      </w:r>
      <w:r w:rsidR="00EF7A2C" w:rsidRPr="00864F84">
        <w:rPr>
          <w:rFonts w:ascii="Times New Roman" w:hAnsi="Times New Roman"/>
          <w:szCs w:val="24"/>
        </w:rPr>
        <w:t>Industry-Specific</w:t>
      </w:r>
      <w:r w:rsidRPr="00864F84">
        <w:rPr>
          <w:rFonts w:ascii="Times New Roman" w:hAnsi="Times New Roman"/>
          <w:szCs w:val="24"/>
        </w:rPr>
        <w:t xml:space="preserve"> Statistics</w:t>
      </w:r>
    </w:p>
    <w:p w:rsidR="00CA73D8" w:rsidRPr="00864F84" w:rsidRDefault="00CA73D8">
      <w:pPr>
        <w:rPr>
          <w:rFonts w:ascii="Times New Roman" w:hAnsi="Times New Roman"/>
          <w:szCs w:val="24"/>
        </w:rPr>
      </w:pPr>
    </w:p>
    <w:p w:rsidR="00CA73D8" w:rsidRPr="00864F84" w:rsidRDefault="00EF7A2C" w:rsidP="00375C09">
      <w:pPr>
        <w:ind w:left="1080"/>
        <w:rPr>
          <w:rFonts w:ascii="Times New Roman" w:hAnsi="Times New Roman"/>
          <w:szCs w:val="24"/>
        </w:rPr>
      </w:pPr>
      <w:r w:rsidRPr="00864F84">
        <w:rPr>
          <w:rFonts w:ascii="Times New Roman" w:hAnsi="Times New Roman"/>
          <w:szCs w:val="24"/>
        </w:rPr>
        <w:t xml:space="preserve">Economic </w:t>
      </w:r>
      <w:r w:rsidR="00CA73D8" w:rsidRPr="00864F84">
        <w:rPr>
          <w:rFonts w:ascii="Times New Roman" w:hAnsi="Times New Roman"/>
          <w:szCs w:val="24"/>
        </w:rPr>
        <w:t xml:space="preserve">Census </w:t>
      </w:r>
      <w:r w:rsidR="00D770D3" w:rsidRPr="00864F84">
        <w:rPr>
          <w:rFonts w:ascii="Times New Roman" w:hAnsi="Times New Roman"/>
          <w:szCs w:val="24"/>
        </w:rPr>
        <w:t>estimates</w:t>
      </w:r>
      <w:r w:rsidR="00CA73D8" w:rsidRPr="00864F84">
        <w:rPr>
          <w:rFonts w:ascii="Times New Roman" w:hAnsi="Times New Roman"/>
          <w:szCs w:val="24"/>
        </w:rPr>
        <w:t xml:space="preserve"> for </w:t>
      </w:r>
      <w:r w:rsidRPr="00864F84">
        <w:rPr>
          <w:rFonts w:ascii="Times New Roman" w:hAnsi="Times New Roman"/>
          <w:szCs w:val="24"/>
        </w:rPr>
        <w:t>industry-specific</w:t>
      </w:r>
      <w:r w:rsidR="00CA73D8" w:rsidRPr="00864F84">
        <w:rPr>
          <w:rFonts w:ascii="Times New Roman" w:hAnsi="Times New Roman"/>
          <w:szCs w:val="24"/>
        </w:rPr>
        <w:t xml:space="preserve"> statistics, such as product line revenue and </w:t>
      </w:r>
      <w:r w:rsidR="00635048" w:rsidRPr="00864F84">
        <w:rPr>
          <w:rFonts w:ascii="Times New Roman" w:hAnsi="Times New Roman"/>
          <w:szCs w:val="24"/>
        </w:rPr>
        <w:t xml:space="preserve">other </w:t>
      </w:r>
      <w:r w:rsidR="00CA73D8" w:rsidRPr="00864F84">
        <w:rPr>
          <w:rFonts w:ascii="Times New Roman" w:hAnsi="Times New Roman"/>
          <w:szCs w:val="24"/>
        </w:rPr>
        <w:t>industry-specific special inquiries, are derived by summing weighted data, where each certainty establishment (</w:t>
      </w:r>
      <w:r w:rsidR="00D770D3" w:rsidRPr="00864F84">
        <w:rPr>
          <w:rFonts w:ascii="Times New Roman" w:hAnsi="Times New Roman"/>
          <w:szCs w:val="24"/>
        </w:rPr>
        <w:t>establishments of multi-establishment firms and “large” single-establishment firms</w:t>
      </w:r>
      <w:r w:rsidR="00CA73D8" w:rsidRPr="00864F84">
        <w:rPr>
          <w:rFonts w:ascii="Times New Roman" w:hAnsi="Times New Roman"/>
          <w:szCs w:val="24"/>
        </w:rPr>
        <w:t>) has a weight of 1, and each non</w:t>
      </w:r>
      <w:r w:rsidR="00D770D3" w:rsidRPr="00864F84">
        <w:rPr>
          <w:rFonts w:ascii="Times New Roman" w:hAnsi="Times New Roman"/>
          <w:szCs w:val="24"/>
        </w:rPr>
        <w:t>-</w:t>
      </w:r>
      <w:r w:rsidR="00CA73D8" w:rsidRPr="00864F84">
        <w:rPr>
          <w:rFonts w:ascii="Times New Roman" w:hAnsi="Times New Roman"/>
          <w:szCs w:val="24"/>
        </w:rPr>
        <w:t xml:space="preserve">certainty establishment has </w:t>
      </w:r>
      <w:r w:rsidR="00D770D3" w:rsidRPr="00864F84">
        <w:rPr>
          <w:rFonts w:ascii="Times New Roman" w:hAnsi="Times New Roman"/>
          <w:szCs w:val="24"/>
        </w:rPr>
        <w:t>the</w:t>
      </w:r>
      <w:r w:rsidR="00CA73D8" w:rsidRPr="00864F84">
        <w:rPr>
          <w:rFonts w:ascii="Times New Roman" w:hAnsi="Times New Roman"/>
          <w:szCs w:val="24"/>
        </w:rPr>
        <w:t xml:space="preserve"> </w:t>
      </w:r>
      <w:r w:rsidR="00D770D3" w:rsidRPr="00864F84">
        <w:rPr>
          <w:rFonts w:ascii="Times New Roman" w:hAnsi="Times New Roman"/>
          <w:szCs w:val="24"/>
        </w:rPr>
        <w:t xml:space="preserve">sample </w:t>
      </w:r>
      <w:r w:rsidR="00CA73D8" w:rsidRPr="00864F84">
        <w:rPr>
          <w:rFonts w:ascii="Times New Roman" w:hAnsi="Times New Roman"/>
          <w:szCs w:val="24"/>
        </w:rPr>
        <w:t xml:space="preserve">weight </w:t>
      </w:r>
      <w:r w:rsidR="00D770D3" w:rsidRPr="00864F84">
        <w:rPr>
          <w:rFonts w:ascii="Times New Roman" w:hAnsi="Times New Roman"/>
          <w:szCs w:val="24"/>
        </w:rPr>
        <w:t>assigned during the sample selection process (see B.2.a.(2)(b) above)</w:t>
      </w:r>
      <w:r w:rsidR="00CA73D8" w:rsidRPr="00864F84">
        <w:rPr>
          <w:rFonts w:ascii="Times New Roman" w:hAnsi="Times New Roman"/>
          <w:szCs w:val="24"/>
        </w:rPr>
        <w:t xml:space="preserve">.  </w:t>
      </w:r>
      <w:r w:rsidR="00D770D3" w:rsidRPr="00864F84">
        <w:rPr>
          <w:rFonts w:ascii="Times New Roman" w:hAnsi="Times New Roman"/>
          <w:szCs w:val="24"/>
        </w:rPr>
        <w:t xml:space="preserve">Frequently these initial weighted estimates are further adjusted to ensure that </w:t>
      </w:r>
      <w:r w:rsidR="0026277E" w:rsidRPr="00864F84">
        <w:rPr>
          <w:rFonts w:ascii="Times New Roman" w:hAnsi="Times New Roman"/>
          <w:szCs w:val="24"/>
        </w:rPr>
        <w:t xml:space="preserve">these detailed estimates sum to a basic statistics total.  For example, the </w:t>
      </w:r>
      <w:r w:rsidR="00DD12EA">
        <w:rPr>
          <w:rFonts w:ascii="Times New Roman" w:hAnsi="Times New Roman"/>
          <w:szCs w:val="24"/>
        </w:rPr>
        <w:t>value of shipments/receipts/revenue/</w:t>
      </w:r>
      <w:r w:rsidR="0026277E" w:rsidRPr="00864F84">
        <w:rPr>
          <w:rFonts w:ascii="Times New Roman" w:hAnsi="Times New Roman"/>
          <w:szCs w:val="24"/>
        </w:rPr>
        <w:t xml:space="preserve">sales of products within an industry (estimated from the sample) should sum to the total industry </w:t>
      </w:r>
      <w:r w:rsidR="00505B8B">
        <w:rPr>
          <w:rFonts w:ascii="Times New Roman" w:hAnsi="Times New Roman"/>
          <w:szCs w:val="24"/>
        </w:rPr>
        <w:t>value of shipments/</w:t>
      </w:r>
      <w:r w:rsidR="0026277E" w:rsidRPr="00864F84">
        <w:rPr>
          <w:rFonts w:ascii="Times New Roman" w:hAnsi="Times New Roman"/>
          <w:szCs w:val="24"/>
        </w:rPr>
        <w:t>receipts</w:t>
      </w:r>
      <w:r w:rsidR="00505B8B">
        <w:rPr>
          <w:rFonts w:ascii="Times New Roman" w:hAnsi="Times New Roman"/>
          <w:szCs w:val="24"/>
        </w:rPr>
        <w:t>/revenue/sales</w:t>
      </w:r>
      <w:r w:rsidR="0026277E" w:rsidRPr="00864F84">
        <w:rPr>
          <w:rFonts w:ascii="Times New Roman" w:hAnsi="Times New Roman"/>
          <w:szCs w:val="24"/>
        </w:rPr>
        <w:t xml:space="preserve"> (computed from all establishments).</w:t>
      </w:r>
    </w:p>
    <w:p w:rsidR="00963ADB" w:rsidRPr="00864F84" w:rsidRDefault="00963ADB">
      <w:pPr>
        <w:ind w:left="2160"/>
        <w:rPr>
          <w:rFonts w:ascii="Times New Roman" w:hAnsi="Times New Roman"/>
          <w:szCs w:val="24"/>
        </w:rPr>
      </w:pPr>
    </w:p>
    <w:p w:rsidR="00CA73D8" w:rsidRPr="00864F84" w:rsidRDefault="00CA73D8" w:rsidP="008910B2">
      <w:pPr>
        <w:tabs>
          <w:tab w:val="left" w:pos="-1440"/>
        </w:tabs>
        <w:ind w:left="720" w:hanging="360"/>
        <w:rPr>
          <w:rFonts w:ascii="Times New Roman" w:hAnsi="Times New Roman"/>
          <w:szCs w:val="24"/>
        </w:rPr>
      </w:pPr>
      <w:r w:rsidRPr="00864F84">
        <w:rPr>
          <w:rFonts w:ascii="Times New Roman" w:hAnsi="Times New Roman"/>
          <w:szCs w:val="24"/>
        </w:rPr>
        <w:t>c.</w:t>
      </w:r>
      <w:r w:rsidR="008910B2" w:rsidRPr="00864F84">
        <w:rPr>
          <w:rFonts w:ascii="Times New Roman" w:hAnsi="Times New Roman"/>
          <w:szCs w:val="24"/>
        </w:rPr>
        <w:tab/>
      </w:r>
      <w:r w:rsidRPr="00864F84">
        <w:rPr>
          <w:rFonts w:ascii="Times New Roman" w:hAnsi="Times New Roman"/>
          <w:szCs w:val="24"/>
        </w:rPr>
        <w:t>Required Accuracy</w:t>
      </w:r>
    </w:p>
    <w:p w:rsidR="00CA73D8" w:rsidRPr="00864F84" w:rsidRDefault="00CA73D8">
      <w:pPr>
        <w:rPr>
          <w:rFonts w:ascii="Times New Roman" w:hAnsi="Times New Roman"/>
          <w:szCs w:val="24"/>
        </w:rPr>
      </w:pPr>
    </w:p>
    <w:p w:rsidR="00CA73D8" w:rsidRPr="00864F84" w:rsidRDefault="00CA73D8" w:rsidP="008910B2">
      <w:pPr>
        <w:ind w:left="1080" w:hanging="360"/>
        <w:rPr>
          <w:rFonts w:ascii="Times New Roman" w:hAnsi="Times New Roman"/>
          <w:szCs w:val="24"/>
        </w:rPr>
      </w:pPr>
      <w:r w:rsidRPr="00864F84">
        <w:rPr>
          <w:rFonts w:ascii="Times New Roman" w:hAnsi="Times New Roman"/>
          <w:szCs w:val="24"/>
        </w:rPr>
        <w:t xml:space="preserve">(1) </w:t>
      </w:r>
      <w:r w:rsidR="008910B2" w:rsidRPr="00864F84">
        <w:rPr>
          <w:rFonts w:ascii="Times New Roman" w:hAnsi="Times New Roman"/>
          <w:szCs w:val="24"/>
        </w:rPr>
        <w:tab/>
      </w:r>
      <w:r w:rsidRPr="00864F84">
        <w:rPr>
          <w:rFonts w:ascii="Times New Roman" w:hAnsi="Times New Roman"/>
          <w:szCs w:val="24"/>
        </w:rPr>
        <w:t>Sampling Error</w:t>
      </w:r>
    </w:p>
    <w:p w:rsidR="00CA73D8" w:rsidRPr="00864F84" w:rsidRDefault="00CA73D8">
      <w:pPr>
        <w:rPr>
          <w:rFonts w:ascii="Times New Roman" w:hAnsi="Times New Roman"/>
          <w:szCs w:val="24"/>
        </w:rPr>
      </w:pPr>
    </w:p>
    <w:p w:rsidR="00CA73D8" w:rsidRPr="00864F84" w:rsidRDefault="00CA73D8" w:rsidP="008910B2">
      <w:pPr>
        <w:tabs>
          <w:tab w:val="left" w:pos="-1440"/>
        </w:tabs>
        <w:ind w:left="1440" w:hanging="360"/>
        <w:rPr>
          <w:rFonts w:ascii="Times New Roman" w:hAnsi="Times New Roman"/>
          <w:szCs w:val="24"/>
        </w:rPr>
      </w:pPr>
      <w:r w:rsidRPr="00864F84">
        <w:rPr>
          <w:rFonts w:ascii="Times New Roman" w:hAnsi="Times New Roman"/>
          <w:szCs w:val="24"/>
        </w:rPr>
        <w:t>(a)</w:t>
      </w:r>
      <w:r w:rsidRPr="00864F84">
        <w:rPr>
          <w:rFonts w:ascii="Times New Roman" w:hAnsi="Times New Roman"/>
          <w:szCs w:val="24"/>
        </w:rPr>
        <w:tab/>
        <w:t>Basic Statistics</w:t>
      </w:r>
    </w:p>
    <w:p w:rsidR="00CA73D8" w:rsidRPr="00864F84" w:rsidRDefault="00CA73D8">
      <w:pPr>
        <w:rPr>
          <w:rFonts w:ascii="Times New Roman" w:hAnsi="Times New Roman"/>
          <w:szCs w:val="24"/>
        </w:rPr>
      </w:pPr>
    </w:p>
    <w:p w:rsidR="00CA73D8" w:rsidRPr="00864F84" w:rsidRDefault="00CA73D8" w:rsidP="008910B2">
      <w:pPr>
        <w:ind w:left="1440"/>
        <w:rPr>
          <w:rFonts w:ascii="Times New Roman" w:hAnsi="Times New Roman"/>
          <w:szCs w:val="24"/>
        </w:rPr>
      </w:pPr>
      <w:r w:rsidRPr="00864F84">
        <w:rPr>
          <w:rFonts w:ascii="Times New Roman" w:hAnsi="Times New Roman"/>
          <w:szCs w:val="24"/>
        </w:rPr>
        <w:t xml:space="preserve">The accuracy of basic statistics from the </w:t>
      </w:r>
      <w:r w:rsidR="00EF7A2C" w:rsidRPr="00864F84">
        <w:rPr>
          <w:rFonts w:ascii="Times New Roman" w:hAnsi="Times New Roman"/>
          <w:szCs w:val="24"/>
        </w:rPr>
        <w:t>Economic C</w:t>
      </w:r>
      <w:r w:rsidRPr="00864F84">
        <w:rPr>
          <w:rFonts w:ascii="Times New Roman" w:hAnsi="Times New Roman"/>
          <w:szCs w:val="24"/>
        </w:rPr>
        <w:t xml:space="preserve">ensus is not affected by sampling error, since these </w:t>
      </w:r>
      <w:r w:rsidR="00813A4A" w:rsidRPr="00864F84">
        <w:rPr>
          <w:rFonts w:ascii="Times New Roman" w:hAnsi="Times New Roman"/>
          <w:szCs w:val="24"/>
        </w:rPr>
        <w:t>statistics</w:t>
      </w:r>
      <w:r w:rsidRPr="00864F84">
        <w:rPr>
          <w:rFonts w:ascii="Times New Roman" w:hAnsi="Times New Roman"/>
          <w:szCs w:val="24"/>
        </w:rPr>
        <w:t xml:space="preserve"> are based on a complete enumeration of the establishment universe.  A high degree of accuracy and statistical reliability is required, because the basic statistics provide benchmarks for the national accounts; the U.S. Census Bureau</w:t>
      </w:r>
      <w:r w:rsidR="00375C09" w:rsidRPr="00864F84">
        <w:rPr>
          <w:rFonts w:ascii="Times New Roman" w:hAnsi="Times New Roman"/>
          <w:szCs w:val="24"/>
        </w:rPr>
        <w:t>’</w:t>
      </w:r>
      <w:r w:rsidRPr="00864F84">
        <w:rPr>
          <w:rFonts w:ascii="Times New Roman" w:hAnsi="Times New Roman"/>
          <w:szCs w:val="24"/>
        </w:rPr>
        <w:t>s current economic surveys; and other surveys conducted by trade groups, businesses, and researchers.</w:t>
      </w:r>
    </w:p>
    <w:p w:rsidR="00CA73D8" w:rsidRPr="00864F84" w:rsidRDefault="00CA73D8">
      <w:pPr>
        <w:rPr>
          <w:rFonts w:ascii="Times New Roman" w:hAnsi="Times New Roman"/>
          <w:szCs w:val="24"/>
        </w:rPr>
      </w:pPr>
    </w:p>
    <w:p w:rsidR="00CA73D8" w:rsidRPr="00864F84" w:rsidRDefault="00CA73D8" w:rsidP="008910B2">
      <w:pPr>
        <w:tabs>
          <w:tab w:val="left" w:pos="-1440"/>
        </w:tabs>
        <w:ind w:left="1440" w:hanging="36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r>
      <w:r w:rsidR="00EF7A2C" w:rsidRPr="00864F84">
        <w:rPr>
          <w:rFonts w:ascii="Times New Roman" w:hAnsi="Times New Roman"/>
          <w:szCs w:val="24"/>
        </w:rPr>
        <w:t>Industry-Specific</w:t>
      </w:r>
      <w:r w:rsidRPr="00864F84">
        <w:rPr>
          <w:rFonts w:ascii="Times New Roman" w:hAnsi="Times New Roman"/>
          <w:szCs w:val="24"/>
        </w:rPr>
        <w:t xml:space="preserve"> Statistics</w:t>
      </w:r>
    </w:p>
    <w:p w:rsidR="00CA73D8" w:rsidRPr="00864F84" w:rsidRDefault="00CA73D8">
      <w:pPr>
        <w:ind w:left="2880"/>
        <w:rPr>
          <w:rFonts w:ascii="Times New Roman" w:hAnsi="Times New Roman"/>
          <w:szCs w:val="24"/>
        </w:rPr>
      </w:pPr>
    </w:p>
    <w:p w:rsidR="003B12ED" w:rsidRPr="00864F84" w:rsidRDefault="003B12ED" w:rsidP="008910B2">
      <w:pPr>
        <w:ind w:left="1440"/>
        <w:rPr>
          <w:rFonts w:ascii="Times New Roman" w:hAnsi="Times New Roman"/>
          <w:szCs w:val="24"/>
        </w:rPr>
      </w:pPr>
      <w:r w:rsidRPr="00864F84">
        <w:rPr>
          <w:rFonts w:ascii="Times New Roman" w:hAnsi="Times New Roman"/>
          <w:szCs w:val="24"/>
        </w:rPr>
        <w:t xml:space="preserve">We minimize the sampling error of the </w:t>
      </w:r>
      <w:r w:rsidR="00EF7A2C" w:rsidRPr="00864F84">
        <w:rPr>
          <w:rFonts w:ascii="Times New Roman" w:hAnsi="Times New Roman"/>
          <w:szCs w:val="24"/>
        </w:rPr>
        <w:t>industry-specific</w:t>
      </w:r>
      <w:r w:rsidRPr="00864F84">
        <w:rPr>
          <w:rFonts w:ascii="Times New Roman" w:hAnsi="Times New Roman"/>
          <w:szCs w:val="24"/>
        </w:rPr>
        <w:t xml:space="preserve"> (sample-based) statistics in two ways.</w:t>
      </w:r>
    </w:p>
    <w:p w:rsidR="003B12ED" w:rsidRPr="00864F84" w:rsidRDefault="003B12ED" w:rsidP="003B12ED">
      <w:pPr>
        <w:pStyle w:val="ListParagraph"/>
        <w:numPr>
          <w:ilvl w:val="0"/>
          <w:numId w:val="21"/>
        </w:numPr>
        <w:ind w:left="1800" w:hanging="360"/>
        <w:rPr>
          <w:rFonts w:ascii="Times New Roman" w:hAnsi="Times New Roman"/>
          <w:szCs w:val="24"/>
        </w:rPr>
      </w:pPr>
      <w:r w:rsidRPr="00864F84">
        <w:rPr>
          <w:rFonts w:ascii="Times New Roman" w:hAnsi="Times New Roman"/>
          <w:szCs w:val="24"/>
        </w:rPr>
        <w:t xml:space="preserve">Designing the non-certainty portion of the sample </w:t>
      </w:r>
      <w:r w:rsidR="00B5758E" w:rsidRPr="00864F84">
        <w:rPr>
          <w:rFonts w:ascii="Times New Roman" w:hAnsi="Times New Roman"/>
          <w:szCs w:val="24"/>
        </w:rPr>
        <w:t>at the same level as</w:t>
      </w:r>
      <w:r w:rsidRPr="00864F84">
        <w:rPr>
          <w:rFonts w:ascii="Times New Roman" w:hAnsi="Times New Roman"/>
          <w:szCs w:val="24"/>
        </w:rPr>
        <w:t xml:space="preserve"> the most detailed levels used for any </w:t>
      </w:r>
      <w:r w:rsidR="00EF7A2C" w:rsidRPr="00864F84">
        <w:rPr>
          <w:rFonts w:ascii="Times New Roman" w:hAnsi="Times New Roman"/>
          <w:szCs w:val="24"/>
        </w:rPr>
        <w:t>industry-specific</w:t>
      </w:r>
      <w:r w:rsidRPr="00864F84">
        <w:rPr>
          <w:rFonts w:ascii="Times New Roman" w:hAnsi="Times New Roman"/>
          <w:szCs w:val="24"/>
        </w:rPr>
        <w:t xml:space="preserve"> series publication (</w:t>
      </w:r>
      <w:r w:rsidR="00842B2C" w:rsidRPr="00864F84">
        <w:rPr>
          <w:rFonts w:ascii="Times New Roman" w:hAnsi="Times New Roman"/>
          <w:szCs w:val="24"/>
        </w:rPr>
        <w:t xml:space="preserve">8-digit </w:t>
      </w:r>
      <w:r w:rsidRPr="00864F84">
        <w:rPr>
          <w:rFonts w:ascii="Times New Roman" w:hAnsi="Times New Roman"/>
          <w:szCs w:val="24"/>
        </w:rPr>
        <w:t xml:space="preserve">NAICS </w:t>
      </w:r>
      <w:r w:rsidR="00A45355">
        <w:rPr>
          <w:rFonts w:ascii="Times New Roman" w:hAnsi="Times New Roman"/>
          <w:szCs w:val="24"/>
        </w:rPr>
        <w:t>by</w:t>
      </w:r>
      <w:r w:rsidRPr="00864F84">
        <w:rPr>
          <w:rFonts w:ascii="Times New Roman" w:hAnsi="Times New Roman"/>
          <w:szCs w:val="24"/>
        </w:rPr>
        <w:t xml:space="preserve"> state)</w:t>
      </w:r>
    </w:p>
    <w:p w:rsidR="003B12ED" w:rsidRPr="00864F84" w:rsidRDefault="00F136D1" w:rsidP="003B12ED">
      <w:pPr>
        <w:pStyle w:val="ListParagraph"/>
        <w:numPr>
          <w:ilvl w:val="0"/>
          <w:numId w:val="21"/>
        </w:numPr>
        <w:ind w:left="1800" w:hanging="360"/>
        <w:rPr>
          <w:rFonts w:ascii="Times New Roman" w:hAnsi="Times New Roman"/>
          <w:szCs w:val="24"/>
        </w:rPr>
      </w:pPr>
      <w:r w:rsidRPr="00864F84">
        <w:rPr>
          <w:rFonts w:ascii="Times New Roman" w:hAnsi="Times New Roman"/>
          <w:szCs w:val="24"/>
        </w:rPr>
        <w:t>Selecting the</w:t>
      </w:r>
      <w:r w:rsidR="003B12ED" w:rsidRPr="00864F84">
        <w:rPr>
          <w:rFonts w:ascii="Times New Roman" w:hAnsi="Times New Roman"/>
          <w:szCs w:val="24"/>
        </w:rPr>
        <w:t xml:space="preserve"> largest establishments with certainty.  T</w:t>
      </w:r>
      <w:r w:rsidR="008125CF" w:rsidRPr="00864F84">
        <w:rPr>
          <w:rFonts w:ascii="Times New Roman" w:hAnsi="Times New Roman"/>
          <w:szCs w:val="24"/>
        </w:rPr>
        <w:t xml:space="preserve">he largest establishments in the industry produce a </w:t>
      </w:r>
      <w:r w:rsidR="00B5758E" w:rsidRPr="00864F84">
        <w:rPr>
          <w:rFonts w:ascii="Times New Roman" w:hAnsi="Times New Roman"/>
          <w:szCs w:val="24"/>
        </w:rPr>
        <w:t xml:space="preserve">disproportionately </w:t>
      </w:r>
      <w:r w:rsidR="008125CF" w:rsidRPr="00864F84">
        <w:rPr>
          <w:rFonts w:ascii="Times New Roman" w:hAnsi="Times New Roman"/>
          <w:szCs w:val="24"/>
        </w:rPr>
        <w:t xml:space="preserve">large </w:t>
      </w:r>
      <w:r w:rsidR="00EF0E07">
        <w:rPr>
          <w:rFonts w:ascii="Times New Roman" w:hAnsi="Times New Roman"/>
          <w:szCs w:val="24"/>
        </w:rPr>
        <w:t>percent</w:t>
      </w:r>
      <w:r w:rsidR="008125CF" w:rsidRPr="00864F84">
        <w:rPr>
          <w:rFonts w:ascii="Times New Roman" w:hAnsi="Times New Roman"/>
          <w:szCs w:val="24"/>
        </w:rPr>
        <w:t xml:space="preserve"> of the economic activity in the industry.    </w:t>
      </w:r>
    </w:p>
    <w:p w:rsidR="003B12ED" w:rsidRPr="00864F84" w:rsidRDefault="003B12ED" w:rsidP="008910B2">
      <w:pPr>
        <w:ind w:left="1440"/>
        <w:rPr>
          <w:rFonts w:ascii="Times New Roman" w:hAnsi="Times New Roman"/>
          <w:szCs w:val="24"/>
        </w:rPr>
      </w:pPr>
    </w:p>
    <w:p w:rsidR="00B5758E" w:rsidRPr="00864F84" w:rsidRDefault="00B5758E" w:rsidP="008910B2">
      <w:pPr>
        <w:ind w:left="1440"/>
        <w:rPr>
          <w:rFonts w:ascii="Times New Roman" w:hAnsi="Times New Roman"/>
          <w:szCs w:val="24"/>
        </w:rPr>
      </w:pPr>
      <w:r w:rsidRPr="00864F84">
        <w:rPr>
          <w:rFonts w:ascii="Times New Roman" w:hAnsi="Times New Roman"/>
          <w:szCs w:val="24"/>
        </w:rPr>
        <w:t>Nonetheless, t</w:t>
      </w:r>
      <w:r w:rsidR="00CA73D8" w:rsidRPr="00864F84">
        <w:rPr>
          <w:rFonts w:ascii="Times New Roman" w:hAnsi="Times New Roman"/>
          <w:szCs w:val="24"/>
        </w:rPr>
        <w:t xml:space="preserve">he accuracy </w:t>
      </w:r>
      <w:r w:rsidR="00EF7A2C" w:rsidRPr="00864F84">
        <w:rPr>
          <w:rFonts w:ascii="Times New Roman" w:hAnsi="Times New Roman"/>
          <w:szCs w:val="24"/>
        </w:rPr>
        <w:t>of subject statistics from the Economic C</w:t>
      </w:r>
      <w:r w:rsidR="00CA73D8" w:rsidRPr="00864F84">
        <w:rPr>
          <w:rFonts w:ascii="Times New Roman" w:hAnsi="Times New Roman"/>
          <w:szCs w:val="24"/>
        </w:rPr>
        <w:t xml:space="preserve">ensus is affected by sampling error.  Sampling variability occurs because subject statistics are based, in part, on estimates from a sample of establishments and not on measurement of the entire universe.  </w:t>
      </w:r>
    </w:p>
    <w:p w:rsidR="00CA73D8" w:rsidRPr="00864F84" w:rsidRDefault="00CA73D8">
      <w:pPr>
        <w:rPr>
          <w:rFonts w:ascii="Times New Roman" w:hAnsi="Times New Roman"/>
          <w:szCs w:val="24"/>
        </w:rPr>
      </w:pPr>
    </w:p>
    <w:p w:rsidR="00CA73D8" w:rsidRPr="00864F84" w:rsidRDefault="00CA73D8" w:rsidP="00734A5B">
      <w:pPr>
        <w:tabs>
          <w:tab w:val="left" w:pos="-1440"/>
        </w:tabs>
        <w:ind w:left="1080" w:hanging="360"/>
        <w:rPr>
          <w:rFonts w:ascii="Times New Roman" w:hAnsi="Times New Roman"/>
          <w:szCs w:val="24"/>
        </w:rPr>
      </w:pPr>
      <w:r w:rsidRPr="00864F84">
        <w:rPr>
          <w:rFonts w:ascii="Times New Roman" w:hAnsi="Times New Roman"/>
          <w:szCs w:val="24"/>
        </w:rPr>
        <w:t>(2)</w:t>
      </w:r>
      <w:r w:rsidRPr="00864F84">
        <w:rPr>
          <w:rFonts w:ascii="Times New Roman" w:hAnsi="Times New Roman"/>
          <w:szCs w:val="24"/>
        </w:rPr>
        <w:tab/>
        <w:t>Nonsampling Error</w:t>
      </w:r>
    </w:p>
    <w:p w:rsidR="00CA73D8" w:rsidRPr="00864F84" w:rsidRDefault="00CA73D8">
      <w:pPr>
        <w:ind w:left="1440"/>
        <w:rPr>
          <w:rFonts w:ascii="Times New Roman" w:hAnsi="Times New Roman"/>
          <w:szCs w:val="24"/>
        </w:rPr>
      </w:pPr>
    </w:p>
    <w:p w:rsidR="00CA73D8" w:rsidRPr="00864F84" w:rsidRDefault="00CA73D8" w:rsidP="00734A5B">
      <w:pPr>
        <w:ind w:left="1080"/>
        <w:rPr>
          <w:rFonts w:ascii="Times New Roman" w:hAnsi="Times New Roman"/>
          <w:szCs w:val="24"/>
        </w:rPr>
      </w:pPr>
      <w:r w:rsidRPr="00864F84">
        <w:rPr>
          <w:rFonts w:ascii="Times New Roman" w:hAnsi="Times New Roman"/>
          <w:szCs w:val="24"/>
        </w:rPr>
        <w:t xml:space="preserve">The accuracy of all </w:t>
      </w:r>
      <w:r w:rsidR="00EF7A2C" w:rsidRPr="00864F84">
        <w:rPr>
          <w:rFonts w:ascii="Times New Roman" w:hAnsi="Times New Roman"/>
          <w:szCs w:val="24"/>
        </w:rPr>
        <w:t>Economic C</w:t>
      </w:r>
      <w:r w:rsidRPr="00864F84">
        <w:rPr>
          <w:rFonts w:ascii="Times New Roman" w:hAnsi="Times New Roman"/>
          <w:szCs w:val="24"/>
        </w:rPr>
        <w:t xml:space="preserve">ensus </w:t>
      </w:r>
      <w:r w:rsidR="00EF7A2C" w:rsidRPr="00864F84">
        <w:rPr>
          <w:rFonts w:ascii="Times New Roman" w:hAnsi="Times New Roman"/>
          <w:szCs w:val="24"/>
        </w:rPr>
        <w:t>statistics</w:t>
      </w:r>
      <w:r w:rsidRPr="00864F84">
        <w:rPr>
          <w:rFonts w:ascii="Times New Roman" w:hAnsi="Times New Roman"/>
          <w:szCs w:val="24"/>
        </w:rPr>
        <w:t xml:space="preserve"> is influenced by nonsampling errors, such as those affecting coverage, administrative records, questionnaire design, reporting, processing, and tabulation.  Although we make no direct measurement of nonsampling errors, we take precautionary steps in all phases of planning, </w:t>
      </w:r>
      <w:r w:rsidR="00EF7A2C" w:rsidRPr="00864F84">
        <w:rPr>
          <w:rFonts w:ascii="Times New Roman" w:hAnsi="Times New Roman"/>
          <w:szCs w:val="24"/>
        </w:rPr>
        <w:t>questionnaire</w:t>
      </w:r>
      <w:r w:rsidRPr="00864F84">
        <w:rPr>
          <w:rFonts w:ascii="Times New Roman" w:hAnsi="Times New Roman"/>
          <w:szCs w:val="24"/>
        </w:rPr>
        <w:t xml:space="preserve"> development, data collection, processing, and tabulation to minimize their influence.</w:t>
      </w:r>
    </w:p>
    <w:p w:rsidR="00F67577" w:rsidRPr="00864F84" w:rsidRDefault="00F67577" w:rsidP="00734A5B">
      <w:pPr>
        <w:ind w:left="1080"/>
        <w:rPr>
          <w:rFonts w:ascii="Times New Roman" w:hAnsi="Times New Roman"/>
          <w:szCs w:val="24"/>
        </w:rPr>
      </w:pPr>
    </w:p>
    <w:p w:rsidR="00F67577" w:rsidRDefault="00F67577" w:rsidP="00F67577">
      <w:pPr>
        <w:ind w:left="1440" w:hanging="360"/>
        <w:rPr>
          <w:rFonts w:ascii="Times New Roman" w:hAnsi="Times New Roman"/>
          <w:szCs w:val="24"/>
        </w:rPr>
      </w:pPr>
      <w:r w:rsidRPr="00864F84">
        <w:rPr>
          <w:rFonts w:ascii="Times New Roman" w:hAnsi="Times New Roman"/>
          <w:szCs w:val="24"/>
        </w:rPr>
        <w:t xml:space="preserve">Nonsampling errors that specifically </w:t>
      </w:r>
      <w:r w:rsidR="00031BC1" w:rsidRPr="00864F84">
        <w:rPr>
          <w:rFonts w:ascii="Times New Roman" w:hAnsi="Times New Roman"/>
          <w:szCs w:val="24"/>
        </w:rPr>
        <w:t>affect</w:t>
      </w:r>
      <w:r w:rsidRPr="00864F84">
        <w:rPr>
          <w:rFonts w:ascii="Times New Roman" w:hAnsi="Times New Roman"/>
          <w:szCs w:val="24"/>
        </w:rPr>
        <w:t xml:space="preserve"> the sample </w:t>
      </w:r>
      <w:r w:rsidR="00A72232" w:rsidRPr="00864F84">
        <w:rPr>
          <w:rFonts w:ascii="Times New Roman" w:hAnsi="Times New Roman"/>
          <w:szCs w:val="24"/>
        </w:rPr>
        <w:t>selection</w:t>
      </w:r>
      <w:r w:rsidRPr="00864F84">
        <w:rPr>
          <w:rFonts w:ascii="Times New Roman" w:hAnsi="Times New Roman"/>
          <w:szCs w:val="24"/>
        </w:rPr>
        <w:t xml:space="preserve"> </w:t>
      </w:r>
      <w:r w:rsidR="008E256A" w:rsidRPr="00864F84">
        <w:rPr>
          <w:rFonts w:ascii="Times New Roman" w:hAnsi="Times New Roman"/>
          <w:szCs w:val="24"/>
        </w:rPr>
        <w:t xml:space="preserve">and estimation </w:t>
      </w:r>
      <w:r w:rsidRPr="00864F84">
        <w:rPr>
          <w:rFonts w:ascii="Times New Roman" w:hAnsi="Times New Roman"/>
          <w:szCs w:val="24"/>
        </w:rPr>
        <w:t>are:</w:t>
      </w:r>
    </w:p>
    <w:p w:rsidR="00A03959" w:rsidRPr="00864F84" w:rsidRDefault="00A03959" w:rsidP="00F67577">
      <w:pPr>
        <w:ind w:left="1440" w:hanging="360"/>
        <w:rPr>
          <w:rFonts w:ascii="Times New Roman" w:hAnsi="Times New Roman"/>
          <w:szCs w:val="24"/>
        </w:rPr>
      </w:pPr>
    </w:p>
    <w:p w:rsidR="00F67577" w:rsidRPr="00DE13F6" w:rsidRDefault="00F67577"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The sample is designed, and the establishments selected, based on the industry classification of the establishments at the time the sample is selected.  For 15% - 25% of the single-establishment firms, this is not the industry in which they will eventually be tabulated.</w:t>
      </w:r>
      <w:r w:rsidR="00DE13F6">
        <w:rPr>
          <w:rFonts w:ascii="Times New Roman" w:hAnsi="Times New Roman"/>
          <w:szCs w:val="24"/>
        </w:rPr>
        <w:t xml:space="preserve">  </w:t>
      </w:r>
      <w:r w:rsidR="00DE13F6" w:rsidRPr="00DE13F6">
        <w:rPr>
          <w:rFonts w:ascii="Times New Roman" w:hAnsi="Times New Roman"/>
          <w:color w:val="000000"/>
        </w:rPr>
        <w:t>The sample is designed, and the establishments selected, based primarily on the industry classification (i.e., NAICS) of the establishments at the time the sample is selected.  For various reasons, this classification may be incomplete or inaccurate.  Many establishments are births since the last Economic Census or failed to respond in the prior Economic Census, so their industry classification is based solely on administrative data.  Sometimes the administrative data is not adequate to assign a complete NAICS code.  In these cases, Business Register processes impute the remaining digits of the code, but these additional digits may turn out to be incorrect.  In other cases, the administrative NAICS code assigned is simply incorrect.  In addition, a business may have changed its primary industry since the last Economic Census (for example, a new car dealer in 2012 changed to a used car dealer in 2017).  Generally, these errors in industry classification will remain unknown until an Economic Census response is received and these establishments can be fully and correctly classified.  An evaluation of the 2012 Economic Census revealed that roughly 15% - 25% of the sampled single-establishment businesses were eventually tabulated in an industry different from that in which they were originally sampled (results varied by industry). </w:t>
      </w:r>
    </w:p>
    <w:p w:rsidR="00375C09" w:rsidRPr="00864F84" w:rsidRDefault="00375C09"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The sample is designed using payroll</w:t>
      </w:r>
      <w:r w:rsidR="008877BE" w:rsidRPr="00864F84">
        <w:rPr>
          <w:rFonts w:ascii="Times New Roman" w:hAnsi="Times New Roman"/>
          <w:szCs w:val="24"/>
        </w:rPr>
        <w:t>.  This may or may not result in a good design for any of the many specific quantities actually estimated from the sample</w:t>
      </w:r>
      <w:r w:rsidR="008E256A" w:rsidRPr="00864F84">
        <w:rPr>
          <w:rFonts w:ascii="Times New Roman" w:hAnsi="Times New Roman"/>
          <w:szCs w:val="24"/>
        </w:rPr>
        <w:t xml:space="preserve">.  </w:t>
      </w:r>
      <w:r w:rsidR="00031BC1" w:rsidRPr="00864F84">
        <w:rPr>
          <w:rFonts w:ascii="Times New Roman" w:hAnsi="Times New Roman"/>
          <w:szCs w:val="24"/>
        </w:rPr>
        <w:t xml:space="preserve">(Payroll </w:t>
      </w:r>
      <w:r w:rsidR="00544963" w:rsidRPr="00864F84">
        <w:rPr>
          <w:rFonts w:ascii="Times New Roman" w:hAnsi="Times New Roman"/>
          <w:szCs w:val="24"/>
        </w:rPr>
        <w:t xml:space="preserve">itself </w:t>
      </w:r>
      <w:r w:rsidR="00031BC1" w:rsidRPr="00864F84">
        <w:rPr>
          <w:rFonts w:ascii="Times New Roman" w:hAnsi="Times New Roman"/>
          <w:szCs w:val="24"/>
        </w:rPr>
        <w:t xml:space="preserve">is a basic statistic and is calculated using all establishments, not just the sample </w:t>
      </w:r>
      <w:r w:rsidR="001826F9" w:rsidRPr="00864F84">
        <w:rPr>
          <w:rFonts w:ascii="Times New Roman" w:hAnsi="Times New Roman"/>
          <w:szCs w:val="24"/>
        </w:rPr>
        <w:t>establishments</w:t>
      </w:r>
      <w:r w:rsidR="00031BC1" w:rsidRPr="00864F84">
        <w:rPr>
          <w:rFonts w:ascii="Times New Roman" w:hAnsi="Times New Roman"/>
          <w:szCs w:val="24"/>
        </w:rPr>
        <w:t>.)</w:t>
      </w:r>
      <w:r w:rsidR="008E256A" w:rsidRPr="00864F84">
        <w:rPr>
          <w:rFonts w:ascii="Times New Roman" w:hAnsi="Times New Roman"/>
          <w:szCs w:val="24"/>
        </w:rPr>
        <w:t>.</w:t>
      </w:r>
    </w:p>
    <w:p w:rsidR="00F67577" w:rsidRPr="00864F84" w:rsidRDefault="00F67577"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 xml:space="preserve">The payroll </w:t>
      </w:r>
      <w:r w:rsidR="00DB7DB6" w:rsidRPr="00864F84">
        <w:rPr>
          <w:rFonts w:ascii="Times New Roman" w:hAnsi="Times New Roman"/>
          <w:szCs w:val="24"/>
        </w:rPr>
        <w:t xml:space="preserve">measure </w:t>
      </w:r>
      <w:r w:rsidRPr="00864F84">
        <w:rPr>
          <w:rFonts w:ascii="Times New Roman" w:hAnsi="Times New Roman"/>
          <w:szCs w:val="24"/>
        </w:rPr>
        <w:t xml:space="preserve">of an establishment is </w:t>
      </w:r>
      <w:r w:rsidR="00DB7DB6" w:rsidRPr="00864F84">
        <w:rPr>
          <w:rFonts w:ascii="Times New Roman" w:hAnsi="Times New Roman"/>
          <w:szCs w:val="24"/>
        </w:rPr>
        <w:t>computed</w:t>
      </w:r>
      <w:r w:rsidRPr="00864F84">
        <w:rPr>
          <w:rFonts w:ascii="Times New Roman" w:hAnsi="Times New Roman"/>
          <w:szCs w:val="24"/>
        </w:rPr>
        <w:t xml:space="preserve"> (for sampling purposes) before all 2017 administrative payroll is </w:t>
      </w:r>
      <w:r w:rsidR="00EC7E33" w:rsidRPr="00864F84">
        <w:rPr>
          <w:rFonts w:ascii="Times New Roman" w:hAnsi="Times New Roman"/>
          <w:szCs w:val="24"/>
        </w:rPr>
        <w:t>available</w:t>
      </w:r>
      <w:r w:rsidRPr="00864F84">
        <w:rPr>
          <w:rFonts w:ascii="Times New Roman" w:hAnsi="Times New Roman"/>
          <w:szCs w:val="24"/>
        </w:rPr>
        <w:t xml:space="preserve"> to the Census Bureau.  Therefore, we may miss-categorize a “large” single-establishment firm as “small” or vice versa.</w:t>
      </w:r>
    </w:p>
    <w:p w:rsidR="00F67577" w:rsidRPr="00864F84" w:rsidRDefault="00F67577" w:rsidP="00F67577">
      <w:pPr>
        <w:pStyle w:val="ListParagraph"/>
        <w:numPr>
          <w:ilvl w:val="0"/>
          <w:numId w:val="22"/>
        </w:numPr>
        <w:ind w:left="1440" w:hanging="360"/>
        <w:rPr>
          <w:rFonts w:ascii="Times New Roman" w:hAnsi="Times New Roman"/>
          <w:szCs w:val="24"/>
        </w:rPr>
      </w:pPr>
      <w:r w:rsidRPr="00864F84">
        <w:rPr>
          <w:rFonts w:ascii="Times New Roman" w:hAnsi="Times New Roman"/>
          <w:szCs w:val="24"/>
        </w:rPr>
        <w:t xml:space="preserve">For some single-establishment firms, the 2017 administrative payroll data </w:t>
      </w:r>
      <w:r w:rsidR="00CF10A7" w:rsidRPr="00864F84">
        <w:rPr>
          <w:rFonts w:ascii="Times New Roman" w:hAnsi="Times New Roman"/>
          <w:szCs w:val="24"/>
        </w:rPr>
        <w:t xml:space="preserve">will </w:t>
      </w:r>
      <w:r w:rsidRPr="00864F84">
        <w:rPr>
          <w:rFonts w:ascii="Times New Roman" w:hAnsi="Times New Roman"/>
          <w:szCs w:val="24"/>
        </w:rPr>
        <w:t>arrive too l</w:t>
      </w:r>
      <w:r w:rsidR="00CF10A7" w:rsidRPr="00864F84">
        <w:rPr>
          <w:rFonts w:ascii="Times New Roman" w:hAnsi="Times New Roman"/>
          <w:szCs w:val="24"/>
        </w:rPr>
        <w:t>ate for the es</w:t>
      </w:r>
      <w:r w:rsidR="00031BC1" w:rsidRPr="00864F84">
        <w:rPr>
          <w:rFonts w:ascii="Times New Roman" w:hAnsi="Times New Roman"/>
          <w:szCs w:val="24"/>
        </w:rPr>
        <w:t>tablishment to have a chance of being selected</w:t>
      </w:r>
      <w:r w:rsidR="00CF10A7" w:rsidRPr="00864F84">
        <w:rPr>
          <w:rFonts w:ascii="Times New Roman" w:hAnsi="Times New Roman"/>
          <w:szCs w:val="24"/>
        </w:rPr>
        <w:t xml:space="preserve"> into the </w:t>
      </w:r>
      <w:r w:rsidRPr="00864F84">
        <w:rPr>
          <w:rFonts w:ascii="Times New Roman" w:hAnsi="Times New Roman"/>
          <w:szCs w:val="24"/>
        </w:rPr>
        <w:t>sample</w:t>
      </w:r>
      <w:r w:rsidR="00544963" w:rsidRPr="00864F84">
        <w:rPr>
          <w:rFonts w:ascii="Times New Roman" w:hAnsi="Times New Roman"/>
          <w:szCs w:val="24"/>
        </w:rPr>
        <w:t xml:space="preserve"> (though its administrative data will be included in calculation of basic statistics).</w:t>
      </w:r>
    </w:p>
    <w:p w:rsidR="00F67577" w:rsidRPr="00864F84" w:rsidRDefault="00F67577" w:rsidP="00734A5B">
      <w:pPr>
        <w:ind w:left="1080"/>
        <w:rPr>
          <w:rFonts w:ascii="Times New Roman" w:hAnsi="Times New Roman"/>
          <w:szCs w:val="24"/>
        </w:rPr>
      </w:pPr>
    </w:p>
    <w:p w:rsidR="00CA73D8" w:rsidRPr="00864F84" w:rsidRDefault="00CA73D8" w:rsidP="00734A5B">
      <w:pPr>
        <w:tabs>
          <w:tab w:val="left" w:pos="-1440"/>
        </w:tabs>
        <w:ind w:left="720" w:hanging="360"/>
        <w:rPr>
          <w:rFonts w:ascii="Times New Roman" w:hAnsi="Times New Roman"/>
          <w:szCs w:val="24"/>
        </w:rPr>
      </w:pPr>
      <w:r w:rsidRPr="00864F84">
        <w:rPr>
          <w:rFonts w:ascii="Times New Roman" w:hAnsi="Times New Roman"/>
          <w:szCs w:val="24"/>
        </w:rPr>
        <w:t>d.</w:t>
      </w:r>
      <w:r w:rsidRPr="00864F84">
        <w:rPr>
          <w:rFonts w:ascii="Times New Roman" w:hAnsi="Times New Roman"/>
          <w:szCs w:val="24"/>
        </w:rPr>
        <w:tab/>
        <w:t>Problems Requiring Specialized Sampling Procedures</w:t>
      </w:r>
    </w:p>
    <w:p w:rsidR="00CA73D8" w:rsidRPr="00864F84" w:rsidRDefault="00CA73D8">
      <w:pPr>
        <w:rPr>
          <w:rFonts w:ascii="Times New Roman" w:hAnsi="Times New Roman"/>
          <w:szCs w:val="24"/>
        </w:rPr>
      </w:pPr>
    </w:p>
    <w:p w:rsidR="00CA73D8" w:rsidRPr="00864F84" w:rsidRDefault="00CA73D8" w:rsidP="00734A5B">
      <w:pPr>
        <w:ind w:left="720"/>
        <w:rPr>
          <w:rFonts w:ascii="Times New Roman" w:hAnsi="Times New Roman"/>
          <w:szCs w:val="24"/>
        </w:rPr>
      </w:pPr>
      <w:r w:rsidRPr="00864F84">
        <w:rPr>
          <w:rFonts w:ascii="Times New Roman" w:hAnsi="Times New Roman"/>
          <w:szCs w:val="24"/>
        </w:rPr>
        <w:t>There are no known problems that will require specialized sampling procedures for the 20</w:t>
      </w:r>
      <w:r w:rsidR="00E00851" w:rsidRPr="00864F84">
        <w:rPr>
          <w:rFonts w:ascii="Times New Roman" w:hAnsi="Times New Roman"/>
          <w:szCs w:val="24"/>
        </w:rPr>
        <w:t>1</w:t>
      </w:r>
      <w:r w:rsidR="005F2934" w:rsidRPr="00864F84">
        <w:rPr>
          <w:rFonts w:ascii="Times New Roman" w:hAnsi="Times New Roman"/>
          <w:szCs w:val="24"/>
        </w:rPr>
        <w:t>7</w:t>
      </w:r>
      <w:r w:rsidR="00EC7E33" w:rsidRPr="00864F84">
        <w:rPr>
          <w:rFonts w:ascii="Times New Roman" w:hAnsi="Times New Roman"/>
          <w:szCs w:val="24"/>
        </w:rPr>
        <w:t xml:space="preserve"> Economic C</w:t>
      </w:r>
      <w:r w:rsidRPr="00864F84">
        <w:rPr>
          <w:rFonts w:ascii="Times New Roman" w:hAnsi="Times New Roman"/>
          <w:szCs w:val="24"/>
        </w:rPr>
        <w:t>ensus.</w:t>
      </w:r>
    </w:p>
    <w:p w:rsidR="00CA73D8" w:rsidRPr="00864F84" w:rsidRDefault="00CA73D8">
      <w:pPr>
        <w:ind w:left="2160"/>
        <w:rPr>
          <w:rFonts w:ascii="Times New Roman" w:hAnsi="Times New Roman"/>
          <w:szCs w:val="24"/>
        </w:rPr>
      </w:pPr>
    </w:p>
    <w:p w:rsidR="00CA73D8" w:rsidRPr="00864F84" w:rsidRDefault="00CA73D8" w:rsidP="00734A5B">
      <w:pPr>
        <w:tabs>
          <w:tab w:val="left" w:pos="-1440"/>
        </w:tabs>
        <w:ind w:left="720" w:hanging="360"/>
        <w:rPr>
          <w:rFonts w:ascii="Times New Roman" w:hAnsi="Times New Roman"/>
          <w:szCs w:val="24"/>
        </w:rPr>
      </w:pPr>
      <w:r w:rsidRPr="00864F84">
        <w:rPr>
          <w:rFonts w:ascii="Times New Roman" w:hAnsi="Times New Roman"/>
          <w:szCs w:val="24"/>
        </w:rPr>
        <w:t>e.</w:t>
      </w:r>
      <w:r w:rsidRPr="00864F84">
        <w:rPr>
          <w:rFonts w:ascii="Times New Roman" w:hAnsi="Times New Roman"/>
          <w:szCs w:val="24"/>
        </w:rPr>
        <w:tab/>
        <w:t>Use of Periodic Data Collection to Reduce Burden</w:t>
      </w:r>
    </w:p>
    <w:p w:rsidR="00CA73D8" w:rsidRPr="00864F84" w:rsidRDefault="00CA73D8">
      <w:pPr>
        <w:rPr>
          <w:rFonts w:ascii="Times New Roman" w:hAnsi="Times New Roman"/>
          <w:szCs w:val="24"/>
        </w:rPr>
      </w:pPr>
    </w:p>
    <w:p w:rsidR="00CA73D8" w:rsidRPr="00864F84" w:rsidRDefault="00CA73D8">
      <w:pPr>
        <w:rPr>
          <w:rFonts w:ascii="Times New Roman" w:hAnsi="Times New Roman"/>
          <w:szCs w:val="24"/>
        </w:rPr>
        <w:sectPr w:rsidR="00CA73D8" w:rsidRPr="00864F84" w:rsidSect="002052FE">
          <w:endnotePr>
            <w:numFmt w:val="decimal"/>
          </w:endnotePr>
          <w:type w:val="continuous"/>
          <w:pgSz w:w="12240" w:h="15840"/>
          <w:pgMar w:top="1440" w:right="1440" w:bottom="1260" w:left="1440" w:header="1440" w:footer="1440" w:gutter="0"/>
          <w:cols w:space="720"/>
          <w:noEndnote/>
        </w:sectPr>
      </w:pPr>
    </w:p>
    <w:p w:rsidR="00CA73D8" w:rsidRPr="00864F84" w:rsidRDefault="00CA73D8" w:rsidP="00734A5B">
      <w:pPr>
        <w:ind w:left="720"/>
        <w:rPr>
          <w:rFonts w:ascii="Times New Roman" w:hAnsi="Times New Roman"/>
          <w:szCs w:val="24"/>
        </w:rPr>
      </w:pPr>
      <w:r w:rsidRPr="00864F84">
        <w:rPr>
          <w:rFonts w:ascii="Times New Roman" w:hAnsi="Times New Roman"/>
          <w:szCs w:val="24"/>
        </w:rPr>
        <w:t xml:space="preserve">The </w:t>
      </w:r>
      <w:r w:rsidR="00EC7E33" w:rsidRPr="00864F84">
        <w:rPr>
          <w:rFonts w:ascii="Times New Roman" w:hAnsi="Times New Roman"/>
          <w:szCs w:val="24"/>
        </w:rPr>
        <w:t>Economic C</w:t>
      </w:r>
      <w:r w:rsidRPr="00864F84">
        <w:rPr>
          <w:rFonts w:ascii="Times New Roman" w:hAnsi="Times New Roman"/>
          <w:szCs w:val="24"/>
        </w:rPr>
        <w:t>ensus uses periodic (5-year) data collection, as required by Title 13 USC, Section 131.</w:t>
      </w:r>
    </w:p>
    <w:p w:rsidR="00CA73D8" w:rsidRPr="00864F84" w:rsidRDefault="00CA73D8">
      <w:pPr>
        <w:rPr>
          <w:rFonts w:ascii="Times New Roman" w:hAnsi="Times New Roman"/>
          <w:szCs w:val="24"/>
        </w:rPr>
      </w:pPr>
    </w:p>
    <w:p w:rsidR="00EF52D0" w:rsidRPr="00864F84" w:rsidRDefault="00EF52D0">
      <w:pPr>
        <w:pStyle w:val="BodyText"/>
        <w:ind w:left="720"/>
        <w:rPr>
          <w:rFonts w:ascii="Times New Roman" w:hAnsi="Times New Roman"/>
          <w:sz w:val="24"/>
          <w:szCs w:val="24"/>
        </w:rPr>
      </w:pPr>
    </w:p>
    <w:p w:rsidR="00914CFF" w:rsidRPr="00864F84" w:rsidRDefault="00914CFF" w:rsidP="00914CFF">
      <w:pPr>
        <w:tabs>
          <w:tab w:val="left" w:pos="-1440"/>
        </w:tabs>
        <w:ind w:left="360" w:hanging="360"/>
        <w:rPr>
          <w:rFonts w:ascii="Times New Roman" w:hAnsi="Times New Roman"/>
          <w:szCs w:val="24"/>
        </w:rPr>
      </w:pPr>
      <w:r w:rsidRPr="00864F84">
        <w:rPr>
          <w:rFonts w:ascii="Times New Roman" w:hAnsi="Times New Roman"/>
          <w:szCs w:val="24"/>
        </w:rPr>
        <w:t>3.</w:t>
      </w:r>
      <w:r w:rsidRPr="00864F84">
        <w:rPr>
          <w:rFonts w:ascii="Times New Roman" w:hAnsi="Times New Roman"/>
          <w:szCs w:val="24"/>
        </w:rPr>
        <w:tab/>
      </w:r>
      <w:r w:rsidRPr="00864F84">
        <w:rPr>
          <w:rFonts w:ascii="Times New Roman" w:hAnsi="Times New Roman"/>
          <w:b/>
          <w:szCs w:val="24"/>
        </w:rPr>
        <w:t>Efforts to Maximize Response</w:t>
      </w:r>
    </w:p>
    <w:p w:rsidR="00914CFF" w:rsidRPr="00864F84" w:rsidRDefault="00914CFF" w:rsidP="00914CFF">
      <w:pPr>
        <w:rPr>
          <w:rFonts w:ascii="Times New Roman" w:hAnsi="Times New Roman"/>
          <w:szCs w:val="24"/>
        </w:rPr>
      </w:pPr>
    </w:p>
    <w:p w:rsidR="00914CFF" w:rsidRPr="00864F84" w:rsidRDefault="00914CFF" w:rsidP="00914CFF">
      <w:pPr>
        <w:pStyle w:val="BodyText"/>
        <w:ind w:left="720" w:hanging="360"/>
        <w:rPr>
          <w:rFonts w:ascii="Times New Roman" w:hAnsi="Times New Roman"/>
          <w:sz w:val="24"/>
          <w:szCs w:val="24"/>
        </w:rPr>
      </w:pPr>
      <w:r w:rsidRPr="00864F84">
        <w:rPr>
          <w:rFonts w:ascii="Times New Roman" w:hAnsi="Times New Roman"/>
          <w:sz w:val="24"/>
          <w:szCs w:val="24"/>
        </w:rPr>
        <w:t xml:space="preserve">This information collection will maximize response through the following means: </w:t>
      </w:r>
    </w:p>
    <w:p w:rsidR="00914CFF" w:rsidRPr="00864F84" w:rsidRDefault="00914CFF" w:rsidP="00914CFF">
      <w:pPr>
        <w:pStyle w:val="BodyText"/>
        <w:ind w:left="720"/>
        <w:rPr>
          <w:rFonts w:ascii="Times New Roman" w:hAnsi="Times New Roman"/>
          <w:sz w:val="24"/>
          <w:szCs w:val="24"/>
        </w:rPr>
      </w:pP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Redesigned collection instruments with standard formats and terminology that </w:t>
      </w:r>
      <w:r w:rsidR="004070F9">
        <w:rPr>
          <w:rFonts w:ascii="Times New Roman" w:hAnsi="Times New Roman"/>
          <w:sz w:val="24"/>
          <w:szCs w:val="24"/>
        </w:rPr>
        <w:t>attempt</w:t>
      </w:r>
      <w:r w:rsidRPr="00864F84">
        <w:rPr>
          <w:rFonts w:ascii="Times New Roman" w:hAnsi="Times New Roman"/>
          <w:sz w:val="24"/>
          <w:szCs w:val="24"/>
        </w:rPr>
        <w:t xml:space="preserve"> to </w:t>
      </w:r>
      <w:r w:rsidR="009918FB">
        <w:rPr>
          <w:rFonts w:ascii="Times New Roman" w:hAnsi="Times New Roman"/>
          <w:sz w:val="24"/>
          <w:szCs w:val="24"/>
        </w:rPr>
        <w:t>s</w:t>
      </w:r>
      <w:r w:rsidRPr="00864F84">
        <w:rPr>
          <w:rFonts w:ascii="Times New Roman" w:hAnsi="Times New Roman"/>
          <w:sz w:val="24"/>
          <w:szCs w:val="24"/>
        </w:rPr>
        <w:t>implify reporting and minimize response burden;</w:t>
      </w:r>
    </w:p>
    <w:p w:rsidR="00914CFF" w:rsidRPr="00864F84" w:rsidRDefault="004070F9"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Web</w:t>
      </w:r>
      <w:r w:rsidR="00914CFF" w:rsidRPr="00864F84">
        <w:rPr>
          <w:rFonts w:ascii="Times New Roman" w:hAnsi="Times New Roman"/>
          <w:sz w:val="24"/>
          <w:szCs w:val="24"/>
        </w:rPr>
        <w:t xml:space="preserve"> based reporting for both multi-establishment and single-establishment firms.  Multi-establishment firms will no l</w:t>
      </w:r>
      <w:r>
        <w:rPr>
          <w:rFonts w:ascii="Times New Roman" w:hAnsi="Times New Roman"/>
          <w:sz w:val="24"/>
          <w:szCs w:val="24"/>
        </w:rPr>
        <w:t>onger use downloadable software;</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Public awareness campaign to assist businesses and the public in understanding the importance of the 2017 Economic Census by providing news stories through trade and professional associations, chambers of commerce, and business and general media; </w:t>
      </w:r>
    </w:p>
    <w:p w:rsidR="00914CFF" w:rsidRPr="00864F84" w:rsidRDefault="00314E78"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Account m</w:t>
      </w:r>
      <w:r w:rsidR="00914CFF" w:rsidRPr="00864F84">
        <w:rPr>
          <w:rFonts w:ascii="Times New Roman" w:hAnsi="Times New Roman"/>
          <w:sz w:val="24"/>
          <w:szCs w:val="24"/>
        </w:rPr>
        <w:t>anagers</w:t>
      </w:r>
      <w:r>
        <w:rPr>
          <w:rFonts w:ascii="Times New Roman" w:hAnsi="Times New Roman"/>
          <w:sz w:val="24"/>
          <w:szCs w:val="24"/>
        </w:rPr>
        <w:t xml:space="preserve"> assigned</w:t>
      </w:r>
      <w:r w:rsidR="00914CFF" w:rsidRPr="00864F84">
        <w:rPr>
          <w:rFonts w:ascii="Times New Roman" w:hAnsi="Times New Roman"/>
          <w:sz w:val="24"/>
          <w:szCs w:val="24"/>
        </w:rPr>
        <w:t xml:space="preserve"> to very large businesses to provide personalized assistance; </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Mailing materials that emphasize the mandatory and confidential nature of Economic Census reports, as provided by Title 13 USC;</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Toll-free assistance and a web-based help desk for any business that has questions </w:t>
      </w:r>
      <w:r w:rsidR="00AA64C8">
        <w:rPr>
          <w:rFonts w:ascii="Times New Roman" w:hAnsi="Times New Roman"/>
          <w:sz w:val="24"/>
          <w:szCs w:val="24"/>
        </w:rPr>
        <w:t xml:space="preserve">  </w:t>
      </w:r>
      <w:r w:rsidRPr="00864F84">
        <w:rPr>
          <w:rFonts w:ascii="Times New Roman" w:hAnsi="Times New Roman"/>
          <w:sz w:val="24"/>
          <w:szCs w:val="24"/>
        </w:rPr>
        <w:t xml:space="preserve">about responding to the Economic Census; </w:t>
      </w:r>
    </w:p>
    <w:p w:rsidR="00914CFF" w:rsidRPr="00864F84" w:rsidRDefault="00914CFF" w:rsidP="00FF33A4">
      <w:pPr>
        <w:pStyle w:val="BodyText"/>
        <w:numPr>
          <w:ilvl w:val="0"/>
          <w:numId w:val="5"/>
        </w:numPr>
        <w:ind w:left="1080" w:hanging="540"/>
        <w:rPr>
          <w:rFonts w:ascii="Times New Roman" w:hAnsi="Times New Roman"/>
          <w:sz w:val="24"/>
          <w:szCs w:val="24"/>
        </w:rPr>
      </w:pPr>
      <w:r w:rsidRPr="00864F84">
        <w:rPr>
          <w:rFonts w:ascii="Times New Roman" w:hAnsi="Times New Roman"/>
          <w:sz w:val="24"/>
          <w:szCs w:val="24"/>
        </w:rPr>
        <w:t xml:space="preserve">Systematic mail follow-up for nonresponse, supplemented by telephone follow-up for selected firms; </w:t>
      </w:r>
    </w:p>
    <w:p w:rsidR="00914CFF" w:rsidRPr="00864F84" w:rsidRDefault="00314E78"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Due</w:t>
      </w:r>
      <w:r w:rsidR="00914CFF" w:rsidRPr="00864F84">
        <w:rPr>
          <w:rFonts w:ascii="Times New Roman" w:hAnsi="Times New Roman"/>
          <w:sz w:val="24"/>
          <w:szCs w:val="24"/>
        </w:rPr>
        <w:t xml:space="preserve"> date reminder and optimized timing of mailings based on research conducted with the 2014 Annual Retail Trade Survey</w:t>
      </w:r>
      <w:r>
        <w:rPr>
          <w:rFonts w:ascii="Times New Roman" w:hAnsi="Times New Roman"/>
          <w:sz w:val="24"/>
          <w:szCs w:val="24"/>
        </w:rPr>
        <w:t>;</w:t>
      </w:r>
      <w:r w:rsidR="00914CFF" w:rsidRPr="00864F84">
        <w:rPr>
          <w:rFonts w:ascii="Times New Roman" w:hAnsi="Times New Roman"/>
          <w:sz w:val="24"/>
          <w:szCs w:val="24"/>
        </w:rPr>
        <w:t xml:space="preserve"> and  </w:t>
      </w:r>
    </w:p>
    <w:p w:rsidR="00914CFF" w:rsidRDefault="00314E78" w:rsidP="00FF33A4">
      <w:pPr>
        <w:pStyle w:val="BodyText"/>
        <w:numPr>
          <w:ilvl w:val="0"/>
          <w:numId w:val="5"/>
        </w:numPr>
        <w:ind w:left="1080" w:hanging="540"/>
        <w:rPr>
          <w:rFonts w:ascii="Times New Roman" w:hAnsi="Times New Roman"/>
          <w:sz w:val="24"/>
          <w:szCs w:val="24"/>
        </w:rPr>
      </w:pPr>
      <w:r>
        <w:rPr>
          <w:rFonts w:ascii="Times New Roman" w:hAnsi="Times New Roman"/>
          <w:sz w:val="24"/>
          <w:szCs w:val="24"/>
        </w:rPr>
        <w:t>R</w:t>
      </w:r>
      <w:r w:rsidR="00914CFF" w:rsidRPr="00864F84">
        <w:rPr>
          <w:rFonts w:ascii="Times New Roman" w:hAnsi="Times New Roman"/>
          <w:sz w:val="24"/>
          <w:szCs w:val="24"/>
        </w:rPr>
        <w:t xml:space="preserve">espondent portal where </w:t>
      </w:r>
      <w:r>
        <w:rPr>
          <w:rFonts w:ascii="Times New Roman" w:hAnsi="Times New Roman"/>
          <w:sz w:val="24"/>
          <w:szCs w:val="24"/>
        </w:rPr>
        <w:t xml:space="preserve">respondents </w:t>
      </w:r>
      <w:r w:rsidR="00914CFF" w:rsidRPr="00864F84">
        <w:rPr>
          <w:rFonts w:ascii="Times New Roman" w:hAnsi="Times New Roman"/>
          <w:sz w:val="24"/>
          <w:szCs w:val="24"/>
        </w:rPr>
        <w:t xml:space="preserve">can </w:t>
      </w:r>
      <w:r>
        <w:rPr>
          <w:rFonts w:ascii="Times New Roman" w:hAnsi="Times New Roman"/>
          <w:sz w:val="24"/>
          <w:szCs w:val="24"/>
        </w:rPr>
        <w:t>obtain</w:t>
      </w:r>
      <w:r w:rsidR="00914CFF" w:rsidRPr="00864F84">
        <w:rPr>
          <w:rFonts w:ascii="Times New Roman" w:hAnsi="Times New Roman"/>
          <w:sz w:val="24"/>
          <w:szCs w:val="24"/>
        </w:rPr>
        <w:t xml:space="preserve"> answers to frequently asked questions, send secure emails to Census Bureau staff, report electronically and perform other self-service options without having to pick up the phone.</w:t>
      </w:r>
    </w:p>
    <w:p w:rsidR="00F73212" w:rsidRDefault="00F73212" w:rsidP="00F73212">
      <w:pPr>
        <w:pStyle w:val="BodyText"/>
        <w:ind w:left="360"/>
        <w:rPr>
          <w:rFonts w:ascii="Times New Roman" w:hAnsi="Times New Roman"/>
          <w:sz w:val="24"/>
          <w:szCs w:val="24"/>
        </w:rPr>
      </w:pPr>
    </w:p>
    <w:p w:rsidR="00F73212" w:rsidRPr="00864F84" w:rsidRDefault="00F73212" w:rsidP="00284E81">
      <w:pPr>
        <w:pStyle w:val="BodyText"/>
        <w:ind w:left="360"/>
        <w:rPr>
          <w:rFonts w:ascii="Times New Roman" w:hAnsi="Times New Roman"/>
          <w:sz w:val="24"/>
          <w:szCs w:val="24"/>
        </w:rPr>
      </w:pPr>
      <w:r w:rsidRPr="00864F84">
        <w:rPr>
          <w:rFonts w:ascii="Times New Roman" w:hAnsi="Times New Roman"/>
          <w:sz w:val="24"/>
          <w:szCs w:val="24"/>
        </w:rPr>
        <w:t xml:space="preserve">Through these and other response improvement strategies, we expect to maintain or improve the 83.6 percent response rate obtained by the 2012 Economic Census. This level of response will yield accuracy and reliability that are adequate for intended uses of Economic Census data.  </w:t>
      </w:r>
    </w:p>
    <w:p w:rsidR="00F20B7F" w:rsidRPr="00864F84" w:rsidRDefault="00F20B7F" w:rsidP="00FF04A1">
      <w:pPr>
        <w:ind w:left="720"/>
        <w:rPr>
          <w:rFonts w:ascii="Times New Roman" w:hAnsi="Times New Roman"/>
          <w:szCs w:val="24"/>
        </w:rPr>
      </w:pPr>
    </w:p>
    <w:p w:rsidR="00F20B7F" w:rsidRPr="00864F84" w:rsidRDefault="00F20B7F" w:rsidP="00284E81">
      <w:pPr>
        <w:ind w:firstLine="360"/>
        <w:rPr>
          <w:rFonts w:ascii="Times New Roman" w:hAnsi="Times New Roman"/>
          <w:szCs w:val="24"/>
          <w:u w:val="single"/>
        </w:rPr>
      </w:pPr>
      <w:r w:rsidRPr="00864F84">
        <w:rPr>
          <w:rFonts w:ascii="Times New Roman" w:hAnsi="Times New Roman"/>
          <w:szCs w:val="24"/>
          <w:u w:val="single"/>
        </w:rPr>
        <w:t>Online Reporting</w:t>
      </w:r>
    </w:p>
    <w:p w:rsidR="00F20B7F" w:rsidRPr="00864F84" w:rsidRDefault="00F20B7F" w:rsidP="00FF04A1">
      <w:pPr>
        <w:ind w:left="360"/>
        <w:rPr>
          <w:rFonts w:ascii="Times New Roman" w:hAnsi="Times New Roman"/>
          <w:szCs w:val="24"/>
        </w:rPr>
      </w:pPr>
    </w:p>
    <w:p w:rsidR="00F20B7F" w:rsidRPr="00864F84" w:rsidRDefault="00F20B7F" w:rsidP="00284E81">
      <w:pPr>
        <w:ind w:left="360"/>
        <w:rPr>
          <w:rFonts w:ascii="Times New Roman" w:hAnsi="Times New Roman"/>
          <w:szCs w:val="24"/>
        </w:rPr>
      </w:pPr>
      <w:r w:rsidRPr="00864F84">
        <w:rPr>
          <w:rFonts w:ascii="Times New Roman" w:hAnsi="Times New Roman"/>
          <w:szCs w:val="24"/>
        </w:rPr>
        <w:t xml:space="preserve">For the first time, data will be collected entirely online for the 2017 Economic Census.  Past economic census data collections were multi-mode – mail-out/mail-back paper questionnaires along with </w:t>
      </w:r>
      <w:r w:rsidR="00B11207" w:rsidRPr="00864F84">
        <w:rPr>
          <w:rFonts w:ascii="Times New Roman" w:hAnsi="Times New Roman"/>
          <w:szCs w:val="24"/>
        </w:rPr>
        <w:t xml:space="preserve">one of </w:t>
      </w:r>
      <w:r w:rsidRPr="00864F84">
        <w:rPr>
          <w:rFonts w:ascii="Times New Roman" w:hAnsi="Times New Roman"/>
          <w:szCs w:val="24"/>
        </w:rPr>
        <w:t xml:space="preserve">two </w:t>
      </w:r>
      <w:r w:rsidR="00B11207" w:rsidRPr="00864F84">
        <w:rPr>
          <w:rFonts w:ascii="Times New Roman" w:hAnsi="Times New Roman"/>
          <w:szCs w:val="24"/>
        </w:rPr>
        <w:t>electronic reporting options</w:t>
      </w:r>
      <w:r w:rsidRPr="00864F84">
        <w:rPr>
          <w:rFonts w:ascii="Times New Roman" w:hAnsi="Times New Roman"/>
          <w:szCs w:val="24"/>
        </w:rPr>
        <w:t xml:space="preserve">.  While all businesses in the 2012 Economic Census were offered the capability to report electronically, only one of these instruments was available online and was </w:t>
      </w:r>
      <w:r w:rsidR="00B11207" w:rsidRPr="00864F84">
        <w:rPr>
          <w:rFonts w:ascii="Times New Roman" w:hAnsi="Times New Roman"/>
          <w:szCs w:val="24"/>
        </w:rPr>
        <w:t xml:space="preserve">used only for </w:t>
      </w:r>
      <w:r w:rsidRPr="00864F84">
        <w:rPr>
          <w:rFonts w:ascii="Times New Roman" w:hAnsi="Times New Roman"/>
          <w:szCs w:val="24"/>
        </w:rPr>
        <w:t xml:space="preserve">businesses with </w:t>
      </w:r>
      <w:r w:rsidR="00B11207" w:rsidRPr="00864F84">
        <w:rPr>
          <w:rFonts w:ascii="Times New Roman" w:hAnsi="Times New Roman"/>
          <w:szCs w:val="24"/>
        </w:rPr>
        <w:t>one location</w:t>
      </w:r>
      <w:r w:rsidRPr="00864F84">
        <w:rPr>
          <w:rFonts w:ascii="Times New Roman" w:hAnsi="Times New Roman"/>
          <w:szCs w:val="24"/>
        </w:rPr>
        <w:t>.  To report electronically, large multi-unit companies were offered, and encouraged to use, a software application, called Surveyor, which had to be downloaded and installed onto the business’ personal computers.  While this software offered several burden-reducing features, such as spreadsheets, to aid reporting by businesses with many locations, a number of companies had to overcome IT security restrictions in order to download the Surveyor software application onto PCs inside their firewalls.  This additional effort inhibited, and may have discouraged, response.</w:t>
      </w:r>
    </w:p>
    <w:p w:rsidR="00F20B7F" w:rsidRPr="00864F84" w:rsidRDefault="00F20B7F" w:rsidP="00FF04A1">
      <w:pPr>
        <w:ind w:left="360"/>
        <w:rPr>
          <w:rFonts w:ascii="Times New Roman" w:hAnsi="Times New Roman"/>
          <w:szCs w:val="24"/>
        </w:rPr>
      </w:pPr>
    </w:p>
    <w:p w:rsidR="00F20B7F" w:rsidRDefault="00F20B7F" w:rsidP="00FF04A1">
      <w:pPr>
        <w:ind w:left="360"/>
        <w:rPr>
          <w:rFonts w:ascii="Times New Roman" w:hAnsi="Times New Roman"/>
          <w:szCs w:val="24"/>
        </w:rPr>
      </w:pPr>
      <w:r w:rsidRPr="00864F84">
        <w:rPr>
          <w:rFonts w:ascii="Times New Roman" w:hAnsi="Times New Roman"/>
          <w:szCs w:val="24"/>
        </w:rPr>
        <w:t xml:space="preserve">The Census Bureau has undertaken a major re-engineering effort for the 2017 Economic Census to eliminate paper reporting altogether, and provide online data collection to all businesses, regardless of size, industry, or number of establishments required to report.  The new Web instrument, built in the Census Bureau’s current corporate Web reporting software called Centurion, features design options tailored for differing needs of businesses of different sizes, types, and organizational structures.  In addition, without the limitations associated with paper questionnaires, the Web instrument permits the customizing of question series according to 4- or 6-digit NAICS industries, ensuring the relevance of each data inquiry for each respondent.  </w:t>
      </w:r>
      <w:r w:rsidR="006C6627">
        <w:rPr>
          <w:rFonts w:ascii="Times New Roman" w:hAnsi="Times New Roman"/>
          <w:szCs w:val="24"/>
        </w:rPr>
        <w:t xml:space="preserve">It is well documented in general survey research literature and texts that when respondents find survey questions pertinent to themselves, they are more likely to respond. </w:t>
      </w:r>
    </w:p>
    <w:p w:rsidR="006C6627" w:rsidRPr="00864F84" w:rsidRDefault="006C6627"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 xml:space="preserve">Single location businesses or those with very few locations will be directed within Centurion to online questionnaires designed to be driven by respondents’ answers.  </w:t>
      </w:r>
      <w:r w:rsidR="00B11207" w:rsidRPr="00864F84">
        <w:rPr>
          <w:rFonts w:ascii="Times New Roman" w:hAnsi="Times New Roman"/>
          <w:szCs w:val="24"/>
        </w:rPr>
        <w:t>This</w:t>
      </w:r>
      <w:r w:rsidRPr="00864F84">
        <w:rPr>
          <w:rFonts w:ascii="Times New Roman" w:hAnsi="Times New Roman"/>
          <w:szCs w:val="24"/>
        </w:rPr>
        <w:t xml:space="preserve"> “response-driven design” utilizes automated skip patterns directing respondents to successive questions based on their answers to previous questions.  As a result, respondents will only be asked questions relevant to their business, and questions that are not relevant will not be displayed.  This burden-reducing feature serves to engage respondents and encourage their response.</w:t>
      </w:r>
    </w:p>
    <w:p w:rsidR="00F20B7F" w:rsidRPr="00864F84" w:rsidRDefault="00F20B7F"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The new online data collection instrument offers tailored design options for companies with multiple locations, along with a number of automated tools to aid reporting.  Popular, useful features and tools from the Surveyor software have been recreated within the Centurion Web instrument.  These include the ability to update lists and locations of establishments, download and upload spreadsheets for use in recording and reporting data, toggle between spreadsheets and views/windows that provide full question text and instructions, automated error checking and notifications as they occur along with a summary list prior to submission.  Research and feedback from multi-unit business respondents has repeatedly indicated that spreadsheets aid gathering, recording and reporting data for the economic census.  They permit “copy and paste” or populating data from other internal spreadsheet sources, and facilitate the ability to select and extract sections of the spreadsheet to gather data from other people and sources dispersed throughout the company, and so on.  These and other automated features integrate well with businesses’ day-to-day processes, further easing burden and encouraging response.</w:t>
      </w:r>
    </w:p>
    <w:p w:rsidR="00F20B7F" w:rsidRPr="00864F84" w:rsidRDefault="00F20B7F"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Feedback from business respondents indicates their need to be able to review specific individual questions and instructions either online or offline before and during their activities to gather the requested data.  This need will be met through provision of Question Preview Worksheets that may be accessed online and downloaded as electronic documents.  These Worksheets aid work processes, further encouraging response.</w:t>
      </w:r>
    </w:p>
    <w:p w:rsidR="00F20B7F" w:rsidRPr="00864F84" w:rsidRDefault="00F20B7F" w:rsidP="00FF04A1">
      <w:pPr>
        <w:ind w:left="360"/>
        <w:rPr>
          <w:rFonts w:ascii="Times New Roman" w:hAnsi="Times New Roman"/>
          <w:szCs w:val="24"/>
        </w:rPr>
      </w:pPr>
    </w:p>
    <w:p w:rsidR="00F20B7F" w:rsidRPr="00864F84" w:rsidRDefault="00F20B7F" w:rsidP="00721659">
      <w:pPr>
        <w:ind w:left="360"/>
        <w:rPr>
          <w:rFonts w:ascii="Times New Roman" w:hAnsi="Times New Roman"/>
          <w:szCs w:val="24"/>
        </w:rPr>
      </w:pPr>
      <w:r w:rsidRPr="00864F84">
        <w:rPr>
          <w:rFonts w:ascii="Times New Roman" w:hAnsi="Times New Roman"/>
          <w:szCs w:val="24"/>
        </w:rPr>
        <w:t xml:space="preserve">Both single-unit and multi-unit companies will enter the online electronic reporting system through </w:t>
      </w:r>
      <w:r w:rsidR="00B11207" w:rsidRPr="00864F84">
        <w:rPr>
          <w:rFonts w:ascii="Times New Roman" w:hAnsi="Times New Roman"/>
          <w:szCs w:val="24"/>
        </w:rPr>
        <w:t>the new Respondent</w:t>
      </w:r>
      <w:r w:rsidRPr="00864F84">
        <w:rPr>
          <w:rFonts w:ascii="Times New Roman" w:hAnsi="Times New Roman"/>
          <w:szCs w:val="24"/>
        </w:rPr>
        <w:t xml:space="preserve"> Portal</w:t>
      </w:r>
      <w:r w:rsidR="00B11207" w:rsidRPr="00864F84">
        <w:rPr>
          <w:rFonts w:ascii="Times New Roman" w:hAnsi="Times New Roman"/>
          <w:szCs w:val="24"/>
        </w:rPr>
        <w:t xml:space="preserve">.  This portal will </w:t>
      </w:r>
      <w:r w:rsidR="00C029F4" w:rsidRPr="00864F84">
        <w:rPr>
          <w:rFonts w:ascii="Times New Roman" w:hAnsi="Times New Roman"/>
          <w:szCs w:val="24"/>
        </w:rPr>
        <w:t>allow respondents to access econom</w:t>
      </w:r>
      <w:r w:rsidR="00B11207" w:rsidRPr="00864F84">
        <w:rPr>
          <w:rFonts w:ascii="Times New Roman" w:hAnsi="Times New Roman"/>
          <w:szCs w:val="24"/>
        </w:rPr>
        <w:t>ic surveys that they have been asked to complete.</w:t>
      </w:r>
      <w:r w:rsidRPr="00864F84">
        <w:rPr>
          <w:rFonts w:ascii="Times New Roman" w:hAnsi="Times New Roman"/>
          <w:szCs w:val="24"/>
        </w:rPr>
        <w:t xml:space="preserve"> This includes the 2017 Economic Ce</w:t>
      </w:r>
      <w:r w:rsidR="00B11207" w:rsidRPr="00864F84">
        <w:rPr>
          <w:rFonts w:ascii="Times New Roman" w:hAnsi="Times New Roman"/>
          <w:szCs w:val="24"/>
        </w:rPr>
        <w:t xml:space="preserve">nsus.  Initial login requires an authentication Code </w:t>
      </w:r>
      <w:r w:rsidRPr="00864F84">
        <w:rPr>
          <w:rFonts w:ascii="Times New Roman" w:hAnsi="Times New Roman"/>
          <w:szCs w:val="24"/>
        </w:rPr>
        <w:t xml:space="preserve">unique to the company, which will be provided by the Census Bureau during initial mail-out.  This state-of-the-art secure </w:t>
      </w:r>
      <w:r w:rsidR="00AE58BD">
        <w:rPr>
          <w:rFonts w:ascii="Times New Roman" w:hAnsi="Times New Roman"/>
          <w:szCs w:val="24"/>
        </w:rPr>
        <w:t>information</w:t>
      </w:r>
      <w:r w:rsidRPr="00864F84">
        <w:rPr>
          <w:rFonts w:ascii="Times New Roman" w:hAnsi="Times New Roman"/>
          <w:szCs w:val="24"/>
        </w:rPr>
        <w:t xml:space="preserve"> technology requires the respondent to create their own password and select their own security questions.  It also permits subsequent secure delegation of survey access to others, as specified by the respondent.  The enhanced security reassures respondents of Census Bureau safeguards for their data, while the delegation function offers respondents internal control of data gathering.  Both features support efforts to maximize response to the 2017 Economic Census.</w:t>
      </w:r>
    </w:p>
    <w:p w:rsidR="00F20B7F" w:rsidRPr="00864F84" w:rsidRDefault="00F20B7F" w:rsidP="00FF04A1">
      <w:pPr>
        <w:ind w:left="720"/>
        <w:rPr>
          <w:rFonts w:ascii="Times New Roman" w:hAnsi="Times New Roman"/>
          <w:szCs w:val="24"/>
        </w:rPr>
      </w:pPr>
    </w:p>
    <w:p w:rsidR="00F20B7F" w:rsidRPr="00864F84" w:rsidRDefault="00F20B7F" w:rsidP="00721659">
      <w:pPr>
        <w:ind w:firstLine="360"/>
        <w:rPr>
          <w:rFonts w:ascii="Times New Roman" w:hAnsi="Times New Roman"/>
          <w:szCs w:val="24"/>
          <w:u w:val="single"/>
        </w:rPr>
      </w:pPr>
      <w:r w:rsidRPr="00864F84">
        <w:rPr>
          <w:rFonts w:ascii="Times New Roman" w:hAnsi="Times New Roman"/>
          <w:szCs w:val="24"/>
          <w:u w:val="single"/>
        </w:rPr>
        <w:t>Contact Strategies</w:t>
      </w:r>
    </w:p>
    <w:p w:rsidR="00F20B7F" w:rsidRPr="00864F84" w:rsidRDefault="00F20B7F" w:rsidP="00FF04A1">
      <w:pPr>
        <w:ind w:left="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 xml:space="preserve">The contact strategies utilized for the 2017 Economic Census have been developed based on feedback gathered from focus groups and cognitive testing of respondents, results from controlled experiments testing different contact strategies, and lessons learned from the 2012 Economic Census and other economic surveys. The contact strategies will include an initial mailing, due date reminder as the due date approaches, and systematic mail follow-up for nonresponse, supplemented by telephone follow-up for selected firms. The timing of mailings has been optimized based on research conducted with the 2014 Annual Retail Trade Survey and analysis of response data from several annual economic surveys. </w:t>
      </w:r>
    </w:p>
    <w:p w:rsidR="007A08D2" w:rsidRPr="00864F84" w:rsidRDefault="007A08D2" w:rsidP="00FF04A1">
      <w:pPr>
        <w:ind w:left="360" w:firstLine="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Focus groups, cognitive testing, and experiments conducted during the 20</w:t>
      </w:r>
      <w:r w:rsidR="00551968">
        <w:rPr>
          <w:rFonts w:ascii="Times New Roman" w:hAnsi="Times New Roman"/>
          <w:szCs w:val="24"/>
        </w:rPr>
        <w:t>14 Annual Survey of Manufacture</w:t>
      </w:r>
      <w:r w:rsidRPr="00864F84">
        <w:rPr>
          <w:rFonts w:ascii="Times New Roman" w:hAnsi="Times New Roman"/>
          <w:szCs w:val="24"/>
        </w:rPr>
        <w:t>s, 2014 Annual Wholesale Trade Survey, and 2015 Service Annual Survey have examined several aspects of the messaging used in mailing materials. As a result, mailing materials will emphasize the mandatory and confidential nature of Economic Census reports (as provided by Title 13 USC), electronic reporting, and the purpose and uses of the data collected.</w:t>
      </w:r>
    </w:p>
    <w:p w:rsidR="007A08D2" w:rsidRPr="00864F84" w:rsidRDefault="007A08D2" w:rsidP="00FF04A1">
      <w:pPr>
        <w:ind w:left="360"/>
        <w:rPr>
          <w:rFonts w:ascii="Times New Roman" w:hAnsi="Times New Roman"/>
          <w:szCs w:val="24"/>
        </w:rPr>
      </w:pPr>
    </w:p>
    <w:p w:rsidR="007A08D2" w:rsidRPr="00864F84" w:rsidRDefault="000663FF" w:rsidP="00721659">
      <w:pPr>
        <w:ind w:left="360"/>
        <w:rPr>
          <w:rFonts w:ascii="Times New Roman" w:hAnsi="Times New Roman"/>
          <w:szCs w:val="24"/>
        </w:rPr>
      </w:pPr>
      <w:r w:rsidRPr="00864F84">
        <w:rPr>
          <w:rFonts w:ascii="Times New Roman" w:hAnsi="Times New Roman"/>
          <w:color w:val="000000"/>
          <w:szCs w:val="24"/>
        </w:rPr>
        <w:t>Focus groups suggested that a later mailout and due date would ease the response burden. Respondents perceive the request to be less burdensome because the request is not coming during a time of year when they have other fiscal reporting responsibilities. Further, a later due date would mean the response is due after they have prepared financial statements containing the type of data being requested. This strategy was utilized for collecting the 2015 Annual Survey of Manufactures and Company Organization Survey (ASM/COS), consisting of a January mailout for all units, a May due date for large multi-units, and a March due date for all others. The check-in rates were tracking above the previous collection years in terms of days past mailout. However, in terms of calendar day, the responses were coming in later for the large multi-units that had the May due date. Therefore, the 2016 ASM/COS used a January mailout and a March due date for all units.</w:t>
      </w:r>
    </w:p>
    <w:p w:rsidR="000663FF" w:rsidRPr="00864F84" w:rsidRDefault="000663FF" w:rsidP="00FF04A1">
      <w:pPr>
        <w:ind w:left="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The due date reminder experiment conducted during the 2014 Annual Retail Trade Survey found that the use of a due date reminder increased timeliness of response and reduced the need for more costly follow-up. The due date reminder reinforced the due date. Further, this second mailing appears to have reinforced the legitimacy of the survey request. Research on advance mailings have also suggested that two contacts can improve response, however a due date reminder after the initial mailing has the benefit of allowing the respondent to take action with both contacts. Based on this experiment, the due date reminder was added to several of the other annual economic surveys the following year.</w:t>
      </w:r>
    </w:p>
    <w:p w:rsidR="007A08D2" w:rsidRPr="00864F84" w:rsidRDefault="007A08D2" w:rsidP="00FF04A1">
      <w:pPr>
        <w:ind w:left="72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Follow-up efforts for nonrespondents begin with the least expensive methods and increase intensity as time elapses past the due date. The most expensive mail contact used is a certified mailing. The certified follow-up appears to communicate the legitimacy and importance of the data collection effort. The certified follow-up experiment conducted during the 2012 Economic Census found that the certified follow-up increased response more than a standard follow-up and that it was more cost effective to use certified in later follow-ups. Therefore, certified follow-up has been used as the last mail follow-up in several of the annual economic surveys.</w:t>
      </w:r>
    </w:p>
    <w:p w:rsidR="007A08D2" w:rsidRPr="00864F84" w:rsidRDefault="007A08D2" w:rsidP="00FF04A1">
      <w:pPr>
        <w:ind w:left="360"/>
        <w:rPr>
          <w:rFonts w:ascii="Times New Roman" w:hAnsi="Times New Roman"/>
          <w:szCs w:val="24"/>
        </w:rPr>
      </w:pPr>
    </w:p>
    <w:p w:rsidR="007A08D2" w:rsidRPr="00864F84" w:rsidRDefault="007A08D2" w:rsidP="00721659">
      <w:pPr>
        <w:ind w:left="360"/>
        <w:rPr>
          <w:rFonts w:ascii="Times New Roman" w:hAnsi="Times New Roman"/>
          <w:szCs w:val="24"/>
        </w:rPr>
      </w:pPr>
      <w:r w:rsidRPr="00864F84">
        <w:rPr>
          <w:rFonts w:ascii="Times New Roman" w:hAnsi="Times New Roman"/>
          <w:szCs w:val="24"/>
        </w:rPr>
        <w:t xml:space="preserve">Telephone follow-up is the most expensive contact </w:t>
      </w:r>
      <w:r w:rsidR="00C94B22" w:rsidRPr="00864F84">
        <w:rPr>
          <w:rFonts w:ascii="Times New Roman" w:hAnsi="Times New Roman"/>
          <w:szCs w:val="24"/>
        </w:rPr>
        <w:t>method;</w:t>
      </w:r>
      <w:r w:rsidRPr="00864F84">
        <w:rPr>
          <w:rFonts w:ascii="Times New Roman" w:hAnsi="Times New Roman"/>
          <w:szCs w:val="24"/>
        </w:rPr>
        <w:t xml:space="preserve"> </w:t>
      </w:r>
      <w:r w:rsidR="00C94B22" w:rsidRPr="00864F84">
        <w:rPr>
          <w:rFonts w:ascii="Times New Roman" w:hAnsi="Times New Roman"/>
          <w:szCs w:val="24"/>
        </w:rPr>
        <w:t>therefore,</w:t>
      </w:r>
      <w:r w:rsidRPr="00864F84">
        <w:rPr>
          <w:rFonts w:ascii="Times New Roman" w:hAnsi="Times New Roman"/>
          <w:szCs w:val="24"/>
        </w:rPr>
        <w:t xml:space="preserve"> it has been reserved for the most reluctant respondents where other methods have not obtained response. An adaptive design is utilized for telephone follow-up where response monitoring data is used to target and prioritize efforts to the lowest responding groups and respondents with the most impact on data products.</w:t>
      </w:r>
    </w:p>
    <w:p w:rsidR="007A08D2" w:rsidRPr="00864F84" w:rsidRDefault="007A08D2" w:rsidP="00FF04A1">
      <w:pPr>
        <w:ind w:left="720"/>
        <w:rPr>
          <w:rFonts w:ascii="Times New Roman" w:hAnsi="Times New Roman"/>
          <w:szCs w:val="24"/>
        </w:rPr>
      </w:pPr>
    </w:p>
    <w:p w:rsidR="00322323" w:rsidRPr="00864F84" w:rsidRDefault="007A08D2" w:rsidP="00721659">
      <w:pPr>
        <w:ind w:left="360"/>
        <w:rPr>
          <w:rFonts w:ascii="Times New Roman" w:hAnsi="Times New Roman"/>
          <w:szCs w:val="24"/>
        </w:rPr>
      </w:pPr>
      <w:r w:rsidRPr="00864F84">
        <w:rPr>
          <w:rFonts w:ascii="Times New Roman" w:hAnsi="Times New Roman"/>
          <w:szCs w:val="24"/>
        </w:rPr>
        <w:t>The contact strategies research conducted over the past few years has provided invaluable information to improve our methods and make data-driven decisions to implement cost effective strategies to maximize response for the 2017 Economic Census. Further, we will continue to implement successful strategies across other economic programs, as appropriate.</w:t>
      </w:r>
    </w:p>
    <w:p w:rsidR="00F20B7F" w:rsidRPr="00864F84" w:rsidRDefault="00F20B7F" w:rsidP="00FF04A1">
      <w:pPr>
        <w:ind w:left="360"/>
        <w:rPr>
          <w:rStyle w:val="Emphasis"/>
          <w:i w:val="0"/>
          <w:color w:val="000000"/>
        </w:rPr>
      </w:pPr>
    </w:p>
    <w:p w:rsidR="00F20B7F" w:rsidRPr="00864F84" w:rsidRDefault="00F20B7F" w:rsidP="00721659">
      <w:pPr>
        <w:pStyle w:val="NormalWeb"/>
        <w:shd w:val="clear" w:color="auto" w:fill="FFFFFF"/>
        <w:spacing w:before="0" w:beforeAutospacing="0" w:after="200" w:afterAutospacing="0"/>
        <w:ind w:firstLine="360"/>
        <w:textAlignment w:val="center"/>
        <w:rPr>
          <w:rStyle w:val="Emphasis"/>
          <w:i w:val="0"/>
          <w:color w:val="000000"/>
          <w:u w:val="single"/>
        </w:rPr>
      </w:pPr>
      <w:r w:rsidRPr="00864F84">
        <w:rPr>
          <w:rStyle w:val="Emphasis"/>
          <w:i w:val="0"/>
          <w:color w:val="000000"/>
          <w:u w:val="single"/>
        </w:rPr>
        <w:t>Outreach</w:t>
      </w:r>
    </w:p>
    <w:p w:rsidR="00322323" w:rsidRPr="00864F84" w:rsidRDefault="00F20B7F" w:rsidP="00721659">
      <w:pPr>
        <w:pStyle w:val="NormalWeb"/>
        <w:shd w:val="clear" w:color="auto" w:fill="FFFFFF"/>
        <w:spacing w:before="0" w:beforeAutospacing="0" w:after="200" w:afterAutospacing="0"/>
        <w:ind w:left="360"/>
        <w:textAlignment w:val="center"/>
        <w:rPr>
          <w:i/>
          <w:color w:val="000000"/>
        </w:rPr>
      </w:pPr>
      <w:r w:rsidRPr="00864F84">
        <w:rPr>
          <w:rStyle w:val="Emphasis"/>
          <w:i w:val="0"/>
          <w:color w:val="000000"/>
        </w:rPr>
        <w:t>The Census Bureau is</w:t>
      </w:r>
      <w:r w:rsidR="00322323" w:rsidRPr="00864F84">
        <w:rPr>
          <w:rStyle w:val="Emphasis"/>
          <w:i w:val="0"/>
          <w:color w:val="000000"/>
        </w:rPr>
        <w:t xml:space="preserve"> planning for a direct outreach effort to as many as 2,000 large companies.  Economic Directorate staff will contact companies via phone to offer response assistance, beginning before initial mailout and continuing throughout the data collection timeframe.</w:t>
      </w:r>
    </w:p>
    <w:p w:rsidR="00DE000A" w:rsidRDefault="00322323" w:rsidP="00060427">
      <w:pPr>
        <w:pStyle w:val="NormalWeb"/>
        <w:shd w:val="clear" w:color="auto" w:fill="FFFFFF"/>
        <w:spacing w:before="0" w:beforeAutospacing="0" w:after="200" w:afterAutospacing="0"/>
        <w:ind w:left="360"/>
        <w:textAlignment w:val="center"/>
        <w:rPr>
          <w:rStyle w:val="Emphasis"/>
          <w:i w:val="0"/>
          <w:color w:val="000000"/>
        </w:rPr>
      </w:pPr>
      <w:r w:rsidRPr="00864F84">
        <w:rPr>
          <w:rStyle w:val="Emphasis"/>
          <w:i w:val="0"/>
          <w:color w:val="000000"/>
        </w:rPr>
        <w:t>For respondents outside the scope of this effort, we are planning for indirect outreach by providing messaging to intermediaries, such as trade associations, chambers of commerce and state and local governments.  We will demonstrate the value of response to these organizations and ask them to pass along messaging to their constituents and membership, many of whom will be economic census respondents.</w:t>
      </w:r>
    </w:p>
    <w:p w:rsidR="00060427" w:rsidRDefault="00060427" w:rsidP="00060427">
      <w:pPr>
        <w:rPr>
          <w:rStyle w:val="Emphasis"/>
          <w:i w:val="0"/>
          <w:color w:val="000000"/>
        </w:rPr>
      </w:pPr>
    </w:p>
    <w:p w:rsidR="009C6F54" w:rsidRPr="00864F84" w:rsidRDefault="00F20B7F" w:rsidP="00721659">
      <w:pPr>
        <w:pStyle w:val="NormalWeb"/>
        <w:shd w:val="clear" w:color="auto" w:fill="FFFFFF"/>
        <w:spacing w:before="0" w:beforeAutospacing="0" w:after="200" w:afterAutospacing="0"/>
        <w:ind w:firstLine="360"/>
        <w:textAlignment w:val="center"/>
        <w:rPr>
          <w:rStyle w:val="Emphasis"/>
          <w:i w:val="0"/>
          <w:color w:val="000000"/>
          <w:u w:val="single"/>
        </w:rPr>
      </w:pPr>
      <w:r w:rsidRPr="00864F84">
        <w:rPr>
          <w:rStyle w:val="Emphasis"/>
          <w:i w:val="0"/>
          <w:color w:val="000000"/>
          <w:u w:val="single"/>
        </w:rPr>
        <w:t>Adaptive Design</w:t>
      </w:r>
    </w:p>
    <w:p w:rsidR="004253A6" w:rsidRPr="004253A6" w:rsidRDefault="004253A6" w:rsidP="004253A6">
      <w:pPr>
        <w:pStyle w:val="NormalWeb"/>
        <w:shd w:val="clear" w:color="auto" w:fill="FFFFFF"/>
        <w:spacing w:before="0" w:beforeAutospacing="0" w:after="200" w:afterAutospacing="0"/>
        <w:ind w:left="360"/>
        <w:textAlignment w:val="center"/>
        <w:rPr>
          <w:i/>
        </w:rPr>
      </w:pPr>
      <w:r w:rsidRPr="004253A6">
        <w:t xml:space="preserve">The U.S. Census Bureau is investigating adaptive nonresponse follow-up (NRFU) strategies for sampled single unit establishments in the 2017 Economic Census. One considered approach is the selection of a probability subsample of businesses for NRFU. An alternative approach continues NRFU for </w:t>
      </w:r>
      <w:r w:rsidRPr="004253A6">
        <w:rPr>
          <w:i/>
        </w:rPr>
        <w:t xml:space="preserve">all </w:t>
      </w:r>
      <w:r w:rsidRPr="004253A6">
        <w:t>originally sampled units, but targets the more expensive procedures to a probability subsample of businesses (instead of all nonresponders). The key difference between the two adaptive design approaches is that the first restricts NRFU to the subsampled units, whereas the second does not. Either reduces the overall cost. However, our objective is to improve – or at least maintain – estimate quality by reducing nonresponse bias without overly increasing sampling variance. We conducted a split panel field test in the 2015 Annual Survey of Manufactures that implements these adaptive collection designs and our research demonstrates that full NRFU with a targeted subsample of nonrespondents receiving the more expensive collection procedure reduces cost with no significant or practical reduction in response rates and no degradation of data quality in any studied variables.</w:t>
      </w:r>
    </w:p>
    <w:p w:rsidR="004253A6" w:rsidRPr="00240EA4" w:rsidRDefault="004253A6" w:rsidP="004253A6">
      <w:pPr>
        <w:pStyle w:val="NormalWeb"/>
        <w:shd w:val="clear" w:color="auto" w:fill="FFFFFF"/>
        <w:spacing w:before="0" w:beforeAutospacing="0" w:after="200" w:afterAutospacing="0"/>
        <w:ind w:left="360"/>
        <w:textAlignment w:val="center"/>
        <w:rPr>
          <w:i/>
        </w:rPr>
      </w:pPr>
      <w:r w:rsidRPr="004253A6">
        <w:t>The targeted nonresponse follow-up requires a probability subsample of nonrespondents at a predetermined point in the data collection cycle</w:t>
      </w:r>
      <w:r w:rsidRPr="004253A6">
        <w:rPr>
          <w:i/>
        </w:rPr>
        <w:t>,</w:t>
      </w:r>
      <w:r w:rsidRPr="004253A6">
        <w:t xml:space="preserve"> with paradata (specifically current response status) determining the sampling frame (nonrespondents) and frame data (e.g., unit measure of size and industry classification) informing the sample design. Allocation approaches have been developed for the probability subsampling that utilize information on respondent sample composition and current check in rates with the objective of simultaneously selecting high proportions of sample in domains that indicate potential nonresponse bias while equalizing response rates across domains.</w:t>
      </w:r>
      <w:r w:rsidRPr="00240EA4">
        <w:t xml:space="preserve"> </w:t>
      </w:r>
    </w:p>
    <w:p w:rsidR="00322323" w:rsidRPr="00864F84" w:rsidRDefault="00322323" w:rsidP="00914CFF">
      <w:pPr>
        <w:pStyle w:val="BodyText"/>
        <w:ind w:left="360"/>
        <w:rPr>
          <w:rFonts w:ascii="Times New Roman" w:hAnsi="Times New Roman"/>
          <w:sz w:val="24"/>
          <w:szCs w:val="24"/>
        </w:rPr>
      </w:pPr>
    </w:p>
    <w:p w:rsidR="00115DCE" w:rsidRPr="00864F84" w:rsidRDefault="00115DCE" w:rsidP="00914CFF">
      <w:pPr>
        <w:pStyle w:val="BodyText"/>
        <w:ind w:left="360"/>
        <w:rPr>
          <w:rFonts w:ascii="Times New Roman" w:hAnsi="Times New Roman"/>
          <w:sz w:val="24"/>
          <w:szCs w:val="24"/>
        </w:rPr>
      </w:pPr>
    </w:p>
    <w:p w:rsidR="00CA73D8" w:rsidRPr="00AF272B" w:rsidRDefault="00CA73D8" w:rsidP="00B634B2">
      <w:pPr>
        <w:tabs>
          <w:tab w:val="left" w:pos="-1440"/>
        </w:tabs>
        <w:ind w:left="360" w:hanging="360"/>
        <w:rPr>
          <w:rFonts w:ascii="Times New Roman" w:hAnsi="Times New Roman"/>
          <w:szCs w:val="24"/>
        </w:rPr>
      </w:pPr>
      <w:r w:rsidRPr="00864F84">
        <w:rPr>
          <w:rFonts w:ascii="Times New Roman" w:hAnsi="Times New Roman"/>
          <w:szCs w:val="24"/>
        </w:rPr>
        <w:t>4.</w:t>
      </w:r>
      <w:r w:rsidRPr="00864F84">
        <w:rPr>
          <w:rFonts w:ascii="Times New Roman" w:hAnsi="Times New Roman"/>
          <w:szCs w:val="24"/>
        </w:rPr>
        <w:tab/>
      </w:r>
      <w:r w:rsidRPr="00AF272B">
        <w:rPr>
          <w:rFonts w:ascii="Times New Roman" w:hAnsi="Times New Roman"/>
          <w:b/>
          <w:szCs w:val="24"/>
        </w:rPr>
        <w:t>Tests of Procedures or Methods</w:t>
      </w:r>
    </w:p>
    <w:p w:rsidR="00CA73D8" w:rsidRPr="00DE000A" w:rsidRDefault="00CA73D8">
      <w:pPr>
        <w:rPr>
          <w:rFonts w:ascii="Times New Roman" w:hAnsi="Times New Roman"/>
          <w:szCs w:val="24"/>
          <w:highlight w:val="yellow"/>
        </w:rPr>
      </w:pPr>
    </w:p>
    <w:p w:rsidR="00AF272B" w:rsidRPr="001C0A0C" w:rsidRDefault="00AF272B" w:rsidP="00FF04A1">
      <w:pPr>
        <w:ind w:left="360"/>
        <w:rPr>
          <w:rFonts w:ascii="Times New Roman" w:hAnsi="Times New Roman"/>
          <w:szCs w:val="24"/>
          <w:u w:val="single"/>
        </w:rPr>
      </w:pPr>
      <w:r w:rsidRPr="001C0A0C">
        <w:rPr>
          <w:rFonts w:ascii="Times New Roman" w:hAnsi="Times New Roman"/>
          <w:szCs w:val="24"/>
          <w:u w:val="single"/>
        </w:rPr>
        <w:t>Instrument Development and Design</w:t>
      </w:r>
    </w:p>
    <w:p w:rsidR="00AF272B" w:rsidRPr="00AF272B" w:rsidRDefault="00AF272B" w:rsidP="00FF04A1">
      <w:pPr>
        <w:ind w:left="360"/>
        <w:rPr>
          <w:rFonts w:ascii="Times New Roman" w:hAnsi="Times New Roman"/>
          <w:szCs w:val="24"/>
        </w:rPr>
      </w:pPr>
    </w:p>
    <w:p w:rsidR="000D622E" w:rsidRDefault="00AF272B" w:rsidP="00FF04A1">
      <w:pPr>
        <w:ind w:left="360"/>
        <w:rPr>
          <w:rFonts w:ascii="Times New Roman" w:hAnsi="Times New Roman"/>
          <w:szCs w:val="24"/>
        </w:rPr>
      </w:pPr>
      <w:r w:rsidRPr="00AF272B">
        <w:rPr>
          <w:rFonts w:ascii="Times New Roman" w:hAnsi="Times New Roman"/>
          <w:szCs w:val="24"/>
        </w:rPr>
        <w:t>The 2017 Economic Census will be collected completely online, using the Census Bureau’s current corporate Web reporting software called Centurion.  This required eliminating paper questionnaires</w:t>
      </w:r>
      <w:r w:rsidR="000D40CA">
        <w:rPr>
          <w:rFonts w:ascii="Times New Roman" w:hAnsi="Times New Roman"/>
          <w:szCs w:val="24"/>
        </w:rPr>
        <w:t xml:space="preserve"> and discontinuing the use of the</w:t>
      </w:r>
      <w:r w:rsidRPr="00AF272B">
        <w:rPr>
          <w:rFonts w:ascii="Times New Roman" w:hAnsi="Times New Roman"/>
          <w:szCs w:val="24"/>
        </w:rPr>
        <w:t xml:space="preserve"> legacy Census Surveyor software application that required being downloaded and installed on respondents’ PCs.  Re-engineering economic census data collection instruments for full implementation via the Web required a substantial multi-year, multi-method program of research, development, testing and evaluation.  </w:t>
      </w:r>
    </w:p>
    <w:p w:rsidR="002D4100" w:rsidRDefault="002D4100" w:rsidP="00FF04A1">
      <w:pPr>
        <w:ind w:left="360"/>
        <w:rPr>
          <w:rFonts w:ascii="Times New Roman" w:hAnsi="Times New Roman"/>
          <w:szCs w:val="24"/>
        </w:rPr>
      </w:pPr>
    </w:p>
    <w:p w:rsidR="00AF272B" w:rsidRDefault="00AF272B" w:rsidP="00FF04A1">
      <w:pPr>
        <w:ind w:left="360"/>
        <w:rPr>
          <w:rFonts w:ascii="Times New Roman" w:hAnsi="Times New Roman"/>
          <w:szCs w:val="24"/>
        </w:rPr>
      </w:pPr>
      <w:r w:rsidRPr="00AF272B">
        <w:rPr>
          <w:rFonts w:ascii="Times New Roman" w:hAnsi="Times New Roman"/>
          <w:szCs w:val="24"/>
        </w:rPr>
        <w:t>Activities included task analyses, record-keeping studies, exploratory early stage scoping interviews, cognitive testing, usability testing, analyses of electronic paradata, respondent debriefings, and field tests, along with early implementation of designs within other Census Bureau establishment surveys, such as the annual Company Organization Survey (</w:t>
      </w:r>
      <w:r w:rsidR="00FC4BF7">
        <w:rPr>
          <w:rFonts w:ascii="Times New Roman" w:hAnsi="Times New Roman"/>
          <w:szCs w:val="24"/>
        </w:rPr>
        <w:t xml:space="preserve">COS </w:t>
      </w:r>
      <w:r w:rsidRPr="00AF272B">
        <w:rPr>
          <w:rFonts w:ascii="Times New Roman" w:hAnsi="Times New Roman"/>
          <w:szCs w:val="24"/>
        </w:rPr>
        <w:t>aka Report of Organization) and the Annual Survey of Manufactures</w:t>
      </w:r>
      <w:r w:rsidR="00FC4BF7">
        <w:rPr>
          <w:rFonts w:ascii="Times New Roman" w:hAnsi="Times New Roman"/>
          <w:szCs w:val="24"/>
        </w:rPr>
        <w:t xml:space="preserve"> (ASM)</w:t>
      </w:r>
      <w:r w:rsidRPr="00AF272B">
        <w:rPr>
          <w:rFonts w:ascii="Times New Roman" w:hAnsi="Times New Roman"/>
          <w:szCs w:val="24"/>
        </w:rPr>
        <w:t xml:space="preserve">.  Different research components, in turn, focused on different subpopulations, different instrument components, or different question(naire) content, and results and recommendations were used to aid design decisions.  </w:t>
      </w:r>
    </w:p>
    <w:p w:rsidR="00FC4BF7" w:rsidRDefault="00FC4BF7" w:rsidP="00FF04A1">
      <w:pPr>
        <w:ind w:left="360"/>
        <w:rPr>
          <w:rFonts w:ascii="Times New Roman" w:hAnsi="Times New Roman"/>
          <w:szCs w:val="24"/>
        </w:rPr>
      </w:pPr>
    </w:p>
    <w:p w:rsidR="00FC4BF7" w:rsidRDefault="00FC4BF7" w:rsidP="00FC4BF7">
      <w:pPr>
        <w:ind w:left="360"/>
        <w:rPr>
          <w:rFonts w:ascii="Times New Roman" w:hAnsi="Times New Roman"/>
          <w:szCs w:val="24"/>
        </w:rPr>
      </w:pPr>
      <w:r w:rsidRPr="00FC4BF7">
        <w:rPr>
          <w:rFonts w:ascii="Times New Roman" w:hAnsi="Times New Roman"/>
          <w:szCs w:val="24"/>
        </w:rPr>
        <w:t xml:space="preserve">Of particular note is the use of the annual ASM/COS as a testing and proving ground for many new techniques planned for the Economic Census, as these two surveys collect data at the establishment level like the Economic Census.  This began by conducting debriefing interviews with 2014 ASM/COS MU respondents to identify strengths and weaknesses of the legacy Surveyor software used for electronic reporting to aid development of initial requirements for the online Centurion instrument. </w:t>
      </w:r>
    </w:p>
    <w:p w:rsidR="00A6125C" w:rsidRPr="00FC4BF7" w:rsidRDefault="00A6125C" w:rsidP="00FC4BF7">
      <w:pPr>
        <w:ind w:left="360"/>
        <w:rPr>
          <w:rFonts w:ascii="Times New Roman" w:hAnsi="Times New Roman"/>
          <w:szCs w:val="24"/>
        </w:rPr>
      </w:pPr>
    </w:p>
    <w:p w:rsidR="00FC4BF7" w:rsidRPr="00FC4BF7" w:rsidRDefault="00FC4BF7" w:rsidP="00FC4BF7">
      <w:pPr>
        <w:ind w:left="360"/>
        <w:rPr>
          <w:rFonts w:ascii="Times New Roman" w:hAnsi="Times New Roman"/>
          <w:szCs w:val="24"/>
        </w:rPr>
      </w:pPr>
      <w:r w:rsidRPr="00FC4BF7">
        <w:rPr>
          <w:rFonts w:ascii="Times New Roman" w:hAnsi="Times New Roman"/>
          <w:szCs w:val="24"/>
        </w:rPr>
        <w:t>The 2015 ASM provided a full-scale pilot of the new online Centurion collection instrument for SUs using the response-driven design being built for the 2017 Economic Census</w:t>
      </w:r>
      <w:r w:rsidR="00AA35F3">
        <w:rPr>
          <w:rFonts w:ascii="Times New Roman" w:hAnsi="Times New Roman"/>
          <w:szCs w:val="24"/>
        </w:rPr>
        <w:t xml:space="preserve">.  Since paper questionnaires were not available, more than </w:t>
      </w:r>
      <w:r w:rsidR="000063AB" w:rsidRPr="000063AB">
        <w:rPr>
          <w:rFonts w:ascii="Times New Roman" w:hAnsi="Times New Roman"/>
          <w:szCs w:val="24"/>
        </w:rPr>
        <w:t>95</w:t>
      </w:r>
      <w:r w:rsidRPr="000063AB">
        <w:rPr>
          <w:rFonts w:ascii="Times New Roman" w:hAnsi="Times New Roman"/>
          <w:szCs w:val="24"/>
        </w:rPr>
        <w:t>%</w:t>
      </w:r>
      <w:r w:rsidRPr="00FC4BF7">
        <w:rPr>
          <w:rFonts w:ascii="Times New Roman" w:hAnsi="Times New Roman"/>
          <w:szCs w:val="24"/>
        </w:rPr>
        <w:t xml:space="preserve"> of SU respondents reported online</w:t>
      </w:r>
      <w:r w:rsidR="00AA35F3">
        <w:rPr>
          <w:rFonts w:ascii="Times New Roman" w:hAnsi="Times New Roman"/>
          <w:szCs w:val="24"/>
        </w:rPr>
        <w:t>, while only a few reported their data by some other method, such as telephone</w:t>
      </w:r>
      <w:r w:rsidRPr="00FC4BF7">
        <w:rPr>
          <w:rFonts w:ascii="Times New Roman" w:hAnsi="Times New Roman"/>
          <w:szCs w:val="24"/>
        </w:rPr>
        <w:t>.  Additionally, respondent debriefings were conducted and Web paradata were analyzed to further evaluate the response-driven instrument and to recommend improvements.</w:t>
      </w:r>
    </w:p>
    <w:p w:rsidR="00FC4BF7" w:rsidRPr="00FC4BF7" w:rsidRDefault="00FC4BF7" w:rsidP="00FC4BF7">
      <w:pPr>
        <w:ind w:left="360"/>
        <w:rPr>
          <w:rFonts w:ascii="Times New Roman" w:hAnsi="Times New Roman"/>
          <w:szCs w:val="24"/>
        </w:rPr>
      </w:pPr>
      <w:r w:rsidRPr="00FC4BF7">
        <w:rPr>
          <w:rFonts w:ascii="Times New Roman" w:hAnsi="Times New Roman"/>
          <w:szCs w:val="24"/>
        </w:rPr>
        <w:t>The 2015 ASM also integrated research testing the value and effectiveness of targeted subsampling, to provide evidence for decisions about implementing an adaptive design approach in the 2017 Economic Census.  (See Section 3.)</w:t>
      </w:r>
    </w:p>
    <w:p w:rsidR="00FC4BF7" w:rsidRPr="00FC4BF7" w:rsidRDefault="00FC4BF7" w:rsidP="00FC4BF7">
      <w:pPr>
        <w:ind w:left="360"/>
        <w:rPr>
          <w:rFonts w:ascii="Times New Roman" w:hAnsi="Times New Roman"/>
          <w:szCs w:val="24"/>
        </w:rPr>
      </w:pPr>
    </w:p>
    <w:p w:rsidR="00FC4BF7" w:rsidRDefault="00FC4BF7" w:rsidP="00FC4BF7">
      <w:pPr>
        <w:ind w:left="360"/>
        <w:rPr>
          <w:rFonts w:ascii="Times New Roman" w:hAnsi="Times New Roman"/>
          <w:szCs w:val="24"/>
        </w:rPr>
      </w:pPr>
      <w:r w:rsidRPr="00FC4BF7">
        <w:rPr>
          <w:rFonts w:ascii="Times New Roman" w:hAnsi="Times New Roman"/>
          <w:szCs w:val="24"/>
        </w:rPr>
        <w:t>Finally, MUs in the 2016 ASM/COS are using the new online Centurion collection instrument, which features much of the functionality developed for the 2017 Economic Census, such as importing/exporting spreadsheets, the ability to toggle between “form” views and spreadsheet views of the questions, and questionnaire preview worksheets to aid data gathering.  Respondent debriefings and Web paradata analysis will be conducted to further evaluate the instrument prior to conducting the 2017 Economic Census.</w:t>
      </w:r>
      <w:r>
        <w:rPr>
          <w:rFonts w:ascii="Times New Roman" w:hAnsi="Times New Roman"/>
          <w:szCs w:val="24"/>
        </w:rPr>
        <w:t xml:space="preserve">  </w:t>
      </w:r>
    </w:p>
    <w:p w:rsidR="00AF272B" w:rsidRPr="00AF272B" w:rsidRDefault="00AF272B" w:rsidP="00FC4BF7">
      <w:pPr>
        <w:rPr>
          <w:rFonts w:ascii="Times New Roman" w:hAnsi="Times New Roman"/>
          <w:szCs w:val="24"/>
        </w:rPr>
      </w:pPr>
    </w:p>
    <w:p w:rsidR="00AF272B" w:rsidRPr="00AF272B" w:rsidRDefault="00AF272B" w:rsidP="00FF04A1">
      <w:pPr>
        <w:ind w:left="360"/>
        <w:rPr>
          <w:rFonts w:ascii="Times New Roman" w:hAnsi="Times New Roman"/>
          <w:szCs w:val="24"/>
        </w:rPr>
      </w:pPr>
      <w:r w:rsidRPr="00AF272B">
        <w:rPr>
          <w:rFonts w:ascii="Times New Roman" w:hAnsi="Times New Roman"/>
          <w:szCs w:val="24"/>
        </w:rPr>
        <w:t>Results and recommendations from each component and testing activity were provided to subject matter specialists, managers and developers of data collection procedures, and software developers and programmers.  Recommendations were prioritized, negotiated, and revised, as necessary, to facilitate implementation.  Nevertheless, some recommendations were not fully adopted due to resource and technical limitations.</w:t>
      </w:r>
    </w:p>
    <w:p w:rsidR="00AF272B" w:rsidRPr="00AF272B" w:rsidRDefault="00AF272B" w:rsidP="00FF04A1">
      <w:pPr>
        <w:ind w:left="360"/>
        <w:rPr>
          <w:rFonts w:ascii="Times New Roman" w:hAnsi="Times New Roman"/>
          <w:szCs w:val="24"/>
        </w:rPr>
      </w:pPr>
    </w:p>
    <w:p w:rsidR="00AF272B" w:rsidRPr="00AF272B" w:rsidRDefault="00AF272B" w:rsidP="00FF04A1">
      <w:pPr>
        <w:ind w:left="360"/>
        <w:rPr>
          <w:rFonts w:ascii="Times New Roman" w:hAnsi="Times New Roman"/>
          <w:szCs w:val="24"/>
        </w:rPr>
      </w:pPr>
      <w:r w:rsidRPr="00AF272B">
        <w:rPr>
          <w:rFonts w:ascii="Times New Roman" w:hAnsi="Times New Roman"/>
          <w:szCs w:val="24"/>
        </w:rPr>
        <w:t xml:space="preserve">All studies are documented in internal Census Bureau reports; a few of the studies are also reported publicly in conference papers or presentations. </w:t>
      </w:r>
    </w:p>
    <w:p w:rsidR="00AF272B" w:rsidRPr="00AF272B" w:rsidRDefault="00AF272B" w:rsidP="00FF04A1">
      <w:pPr>
        <w:ind w:left="360"/>
        <w:rPr>
          <w:rFonts w:ascii="Times New Roman" w:hAnsi="Times New Roman"/>
          <w:szCs w:val="24"/>
        </w:rPr>
      </w:pPr>
    </w:p>
    <w:p w:rsidR="00AF272B" w:rsidRDefault="00AF272B" w:rsidP="00FF04A1">
      <w:pPr>
        <w:ind w:left="360"/>
        <w:rPr>
          <w:rFonts w:ascii="Times New Roman" w:hAnsi="Times New Roman"/>
          <w:szCs w:val="24"/>
        </w:rPr>
      </w:pPr>
      <w:r w:rsidRPr="00AF272B">
        <w:rPr>
          <w:rFonts w:ascii="Times New Roman" w:hAnsi="Times New Roman"/>
          <w:szCs w:val="24"/>
        </w:rPr>
        <w:t>Components of the research and testing, along with selected highlights</w:t>
      </w:r>
      <w:r w:rsidR="00395ADE">
        <w:rPr>
          <w:rFonts w:ascii="Times New Roman" w:hAnsi="Times New Roman"/>
          <w:szCs w:val="24"/>
        </w:rPr>
        <w:t xml:space="preserve"> are summarized in Attachment K.</w:t>
      </w:r>
    </w:p>
    <w:p w:rsidR="00AF272B" w:rsidRDefault="00AF272B" w:rsidP="00FF04A1">
      <w:pPr>
        <w:ind w:left="360"/>
        <w:rPr>
          <w:rFonts w:ascii="Times New Roman" w:hAnsi="Times New Roman"/>
          <w:szCs w:val="24"/>
        </w:rPr>
      </w:pPr>
    </w:p>
    <w:p w:rsidR="003C4E66" w:rsidRPr="003C4E66" w:rsidRDefault="003C4E66" w:rsidP="00FF04A1">
      <w:pPr>
        <w:ind w:left="360"/>
        <w:rPr>
          <w:rFonts w:ascii="Times New Roman" w:hAnsi="Times New Roman"/>
          <w:i/>
        </w:rPr>
      </w:pPr>
      <w:r w:rsidRPr="003C4E66">
        <w:rPr>
          <w:rFonts w:ascii="Times New Roman" w:hAnsi="Times New Roman"/>
          <w:i/>
        </w:rPr>
        <w:t>Testing of Contact Strategies</w:t>
      </w:r>
    </w:p>
    <w:p w:rsidR="003C4E66" w:rsidRPr="003C4E66" w:rsidRDefault="003C4E66" w:rsidP="00FF04A1">
      <w:pPr>
        <w:ind w:left="360"/>
        <w:rPr>
          <w:rFonts w:ascii="Times New Roman" w:hAnsi="Times New Roman"/>
        </w:rPr>
      </w:pPr>
    </w:p>
    <w:p w:rsidR="003C4E66" w:rsidRPr="003C4E66" w:rsidRDefault="003C4E66" w:rsidP="00FF04A1">
      <w:pPr>
        <w:ind w:left="360"/>
        <w:rPr>
          <w:rFonts w:ascii="Times New Roman" w:hAnsi="Times New Roman"/>
        </w:rPr>
      </w:pPr>
      <w:r w:rsidRPr="003C4E66">
        <w:rPr>
          <w:rFonts w:ascii="Times New Roman" w:hAnsi="Times New Roman"/>
        </w:rPr>
        <w:t xml:space="preserve">To aid evidence-based decisions for data collection and response improvement contact strategies, several techniques were field-tested using statistical experimental designs embedded in the 2012 Economic Census and in several of the Census Bureau’s annual or quarterly economic surveys during the past three years.  Another strategy evaluating alternative due dates was applied to selected units during a production survey.  Evaluation of the strategies considered the effect on response rates or check-in rates, improved timeliness of </w:t>
      </w:r>
      <w:r w:rsidR="006531DC">
        <w:rPr>
          <w:rFonts w:ascii="Times New Roman" w:hAnsi="Times New Roman"/>
        </w:rPr>
        <w:t>value of shipments/</w:t>
      </w:r>
      <w:r w:rsidRPr="003C4E66">
        <w:rPr>
          <w:rFonts w:ascii="Times New Roman" w:hAnsi="Times New Roman"/>
        </w:rPr>
        <w:t>receipts</w:t>
      </w:r>
      <w:r w:rsidR="006531DC">
        <w:rPr>
          <w:rFonts w:ascii="Times New Roman" w:hAnsi="Times New Roman"/>
        </w:rPr>
        <w:t>/revenue/sales</w:t>
      </w:r>
      <w:r w:rsidRPr="003C4E66">
        <w:rPr>
          <w:rFonts w:ascii="Times New Roman" w:hAnsi="Times New Roman"/>
        </w:rPr>
        <w:t>, and/or potential for cost savings.</w:t>
      </w:r>
    </w:p>
    <w:p w:rsidR="003C4E66" w:rsidRPr="003C4E66" w:rsidRDefault="003C4E66" w:rsidP="003C4E66">
      <w:pPr>
        <w:rPr>
          <w:rFonts w:ascii="Times New Roman" w:hAnsi="Times New Roman"/>
        </w:rPr>
      </w:pPr>
    </w:p>
    <w:p w:rsidR="003C4E66" w:rsidRPr="003C4E66" w:rsidRDefault="003C4E66" w:rsidP="00B71354">
      <w:pPr>
        <w:ind w:left="360"/>
        <w:rPr>
          <w:rFonts w:ascii="Times New Roman" w:hAnsi="Times New Roman"/>
          <w:szCs w:val="24"/>
        </w:rPr>
      </w:pPr>
      <w:r w:rsidRPr="003C4E66">
        <w:rPr>
          <w:rFonts w:ascii="Times New Roman" w:hAnsi="Times New Roman"/>
          <w:szCs w:val="24"/>
        </w:rPr>
        <w:t xml:space="preserve">All studies are documented in internal Census Bureau reports; a few of the studies are also reported publicly in conference papers or presentations, as noted. </w:t>
      </w:r>
    </w:p>
    <w:p w:rsidR="003C4E66" w:rsidRPr="003C4E66" w:rsidRDefault="003C4E66" w:rsidP="00B71354">
      <w:pPr>
        <w:ind w:left="360"/>
        <w:rPr>
          <w:rFonts w:ascii="Times New Roman" w:hAnsi="Times New Roman"/>
        </w:rPr>
      </w:pPr>
    </w:p>
    <w:p w:rsidR="003C4E66" w:rsidRDefault="003C4E66" w:rsidP="00B71354">
      <w:pPr>
        <w:ind w:left="360"/>
        <w:rPr>
          <w:rFonts w:ascii="Times New Roman" w:hAnsi="Times New Roman"/>
        </w:rPr>
      </w:pPr>
      <w:r w:rsidRPr="003C4E66">
        <w:rPr>
          <w:rFonts w:ascii="Times New Roman" w:hAnsi="Times New Roman"/>
        </w:rPr>
        <w:t xml:space="preserve">These field-tests and/or experiments, their outcomes, and implementation decisions are summarized </w:t>
      </w:r>
      <w:r w:rsidR="00395ADE">
        <w:rPr>
          <w:rFonts w:ascii="Times New Roman" w:hAnsi="Times New Roman"/>
        </w:rPr>
        <w:t>in Attachment L</w:t>
      </w:r>
      <w:r w:rsidRPr="003C4E66">
        <w:rPr>
          <w:rFonts w:ascii="Times New Roman" w:hAnsi="Times New Roman"/>
        </w:rPr>
        <w:t>.</w:t>
      </w:r>
    </w:p>
    <w:p w:rsidR="00E174CA" w:rsidRDefault="00E174CA" w:rsidP="00B71354">
      <w:pPr>
        <w:ind w:left="360"/>
        <w:rPr>
          <w:rFonts w:ascii="Times New Roman" w:hAnsi="Times New Roman"/>
        </w:rPr>
      </w:pPr>
    </w:p>
    <w:p w:rsidR="00E174CA" w:rsidRDefault="00E174CA" w:rsidP="00B71354">
      <w:pPr>
        <w:ind w:left="360"/>
        <w:rPr>
          <w:rFonts w:ascii="Times New Roman" w:hAnsi="Times New Roman"/>
        </w:rPr>
      </w:pPr>
    </w:p>
    <w:p w:rsidR="00E174CA" w:rsidRDefault="00E174CA" w:rsidP="00316115">
      <w:pPr>
        <w:rPr>
          <w:rFonts w:ascii="Times New Roman" w:hAnsi="Times New Roman"/>
        </w:rPr>
      </w:pPr>
      <w:r w:rsidRPr="00E174CA">
        <w:rPr>
          <w:rFonts w:ascii="Times New Roman" w:hAnsi="Times New Roman"/>
        </w:rPr>
        <w:t>5.</w:t>
      </w:r>
      <w:r w:rsidR="00316115">
        <w:rPr>
          <w:rFonts w:ascii="Times New Roman" w:hAnsi="Times New Roman"/>
          <w:b/>
        </w:rPr>
        <w:t xml:space="preserve">   </w:t>
      </w:r>
      <w:r w:rsidRPr="00E174CA">
        <w:rPr>
          <w:rFonts w:ascii="Times New Roman" w:hAnsi="Times New Roman"/>
          <w:b/>
        </w:rPr>
        <w:t>Contacts for Statistical Aspects and Data Collection</w:t>
      </w:r>
    </w:p>
    <w:p w:rsidR="00E174CA" w:rsidRDefault="00E174CA" w:rsidP="00B71354">
      <w:pPr>
        <w:ind w:left="360"/>
        <w:rPr>
          <w:rFonts w:ascii="Times New Roman" w:hAnsi="Times New Roman"/>
        </w:rPr>
      </w:pPr>
      <w:r>
        <w:rPr>
          <w:rFonts w:ascii="Times New Roman" w:hAnsi="Times New Roman"/>
        </w:rPr>
        <w:tab/>
      </w:r>
    </w:p>
    <w:p w:rsidR="00E174CA" w:rsidRDefault="00E174CA" w:rsidP="00316115">
      <w:pPr>
        <w:ind w:left="360"/>
        <w:rPr>
          <w:rFonts w:ascii="Times New Roman" w:hAnsi="Times New Roman"/>
          <w:szCs w:val="24"/>
        </w:rPr>
      </w:pPr>
      <w:r w:rsidRPr="00E174CA">
        <w:rPr>
          <w:rFonts w:ascii="Times New Roman" w:hAnsi="Times New Roman"/>
          <w:szCs w:val="24"/>
        </w:rPr>
        <w:t>The table below lists the names of the individuals responsible for the collection, analysis, and statistical methodology aspects of the 2017 Economic Census.</w:t>
      </w:r>
    </w:p>
    <w:p w:rsidR="00E174CA" w:rsidRDefault="00E174CA" w:rsidP="00E174CA">
      <w:pPr>
        <w:ind w:left="720"/>
        <w:rPr>
          <w:rFonts w:ascii="Times New Roman" w:hAnsi="Times New Roman"/>
          <w:szCs w:val="24"/>
        </w:rPr>
      </w:pPr>
    </w:p>
    <w:p w:rsidR="00E174CA" w:rsidRPr="00A35611" w:rsidRDefault="00E174CA" w:rsidP="00E174CA">
      <w:pPr>
        <w:ind w:firstLine="360"/>
        <w:rPr>
          <w:rFonts w:ascii="Calibri" w:hAnsi="Calibri"/>
          <w:b/>
          <w:sz w:val="22"/>
          <w:szCs w:val="22"/>
        </w:rPr>
      </w:pPr>
      <w:r w:rsidRPr="00544963">
        <w:rPr>
          <w:rFonts w:ascii="Calibri" w:hAnsi="Calibri"/>
          <w:b/>
          <w:sz w:val="22"/>
          <w:szCs w:val="22"/>
        </w:rPr>
        <w:t>Table 5: Census Bureau Contacts for the 2017 Economic Census</w:t>
      </w:r>
    </w:p>
    <w:tbl>
      <w:tblPr>
        <w:tblStyle w:val="TableGrid"/>
        <w:tblW w:w="9180" w:type="dxa"/>
        <w:tblInd w:w="468" w:type="dxa"/>
        <w:tblLook w:val="04A0" w:firstRow="1" w:lastRow="0" w:firstColumn="1" w:lastColumn="0" w:noHBand="0" w:noVBand="1"/>
      </w:tblPr>
      <w:tblGrid>
        <w:gridCol w:w="1620"/>
        <w:gridCol w:w="3960"/>
        <w:gridCol w:w="1440"/>
        <w:gridCol w:w="2160"/>
      </w:tblGrid>
      <w:tr w:rsidR="00E174CA" w:rsidTr="008F2FBA">
        <w:tc>
          <w:tcPr>
            <w:tcW w:w="162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Contact</w:t>
            </w:r>
          </w:p>
        </w:tc>
        <w:tc>
          <w:tcPr>
            <w:tcW w:w="396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Position</w:t>
            </w:r>
          </w:p>
        </w:tc>
        <w:tc>
          <w:tcPr>
            <w:tcW w:w="144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Phone</w:t>
            </w:r>
          </w:p>
        </w:tc>
        <w:tc>
          <w:tcPr>
            <w:tcW w:w="2160" w:type="dxa"/>
            <w:tcBorders>
              <w:bottom w:val="double" w:sz="4" w:space="0" w:color="auto"/>
            </w:tcBorders>
            <w:shd w:val="clear" w:color="auto" w:fill="F2F2F2" w:themeFill="background1" w:themeFillShade="F2"/>
          </w:tcPr>
          <w:p w:rsidR="00E174CA" w:rsidRPr="00CC29CA" w:rsidRDefault="00E174CA" w:rsidP="008F2FBA">
            <w:pPr>
              <w:jc w:val="center"/>
              <w:rPr>
                <w:rFonts w:ascii="Calibri" w:hAnsi="Calibri"/>
                <w:b/>
                <w:sz w:val="20"/>
              </w:rPr>
            </w:pPr>
            <w:r w:rsidRPr="00CC29CA">
              <w:rPr>
                <w:rFonts w:ascii="Calibri" w:hAnsi="Calibri"/>
                <w:b/>
                <w:sz w:val="20"/>
              </w:rPr>
              <w:t>Responsibility</w:t>
            </w:r>
          </w:p>
        </w:tc>
      </w:tr>
      <w:tr w:rsidR="00E174CA" w:rsidTr="008F2FBA">
        <w:tc>
          <w:tcPr>
            <w:tcW w:w="1620" w:type="dxa"/>
            <w:tcBorders>
              <w:top w:val="double" w:sz="4" w:space="0" w:color="auto"/>
            </w:tcBorders>
          </w:tcPr>
          <w:p w:rsidR="00E174CA" w:rsidRDefault="00E174CA" w:rsidP="008F2FBA">
            <w:pPr>
              <w:rPr>
                <w:rFonts w:ascii="Calibri" w:hAnsi="Calibri"/>
                <w:sz w:val="20"/>
              </w:rPr>
            </w:pPr>
            <w:r>
              <w:rPr>
                <w:rFonts w:ascii="Calibri" w:hAnsi="Calibri"/>
                <w:sz w:val="20"/>
              </w:rPr>
              <w:t>William C. Davie, Jr</w:t>
            </w:r>
          </w:p>
        </w:tc>
        <w:tc>
          <w:tcPr>
            <w:tcW w:w="3960" w:type="dxa"/>
            <w:tcBorders>
              <w:top w:val="double" w:sz="4" w:space="0" w:color="auto"/>
            </w:tcBorders>
          </w:tcPr>
          <w:p w:rsidR="00E174CA" w:rsidRDefault="00E174CA" w:rsidP="008F2FBA">
            <w:pPr>
              <w:rPr>
                <w:rFonts w:ascii="Calibri" w:hAnsi="Calibri"/>
                <w:sz w:val="20"/>
              </w:rPr>
            </w:pPr>
            <w:r>
              <w:rPr>
                <w:rFonts w:ascii="Calibri" w:hAnsi="Calibri"/>
                <w:sz w:val="20"/>
              </w:rPr>
              <w:t>Methodology Director for the Business Register, Economic Census &amp; Related Surveys</w:t>
            </w:r>
            <w:r w:rsidRPr="00FD6067">
              <w:rPr>
                <w:rFonts w:ascii="Calibri" w:hAnsi="Calibri"/>
                <w:sz w:val="20"/>
              </w:rPr>
              <w:t xml:space="preserve">, </w:t>
            </w:r>
            <w:r>
              <w:rPr>
                <w:rFonts w:ascii="Calibri" w:hAnsi="Calibri"/>
                <w:sz w:val="20"/>
              </w:rPr>
              <w:t>Economic Statistical Methods</w:t>
            </w:r>
            <w:r w:rsidRPr="00FD6067">
              <w:rPr>
                <w:rFonts w:ascii="Calibri" w:hAnsi="Calibri"/>
                <w:sz w:val="20"/>
              </w:rPr>
              <w:t xml:space="preserve"> Division</w:t>
            </w:r>
          </w:p>
        </w:tc>
        <w:tc>
          <w:tcPr>
            <w:tcW w:w="1440" w:type="dxa"/>
            <w:tcBorders>
              <w:top w:val="double" w:sz="4" w:space="0" w:color="auto"/>
            </w:tcBorders>
          </w:tcPr>
          <w:p w:rsidR="00E174CA" w:rsidRDefault="00E174CA" w:rsidP="008F2FBA">
            <w:pPr>
              <w:rPr>
                <w:rFonts w:ascii="Calibri" w:hAnsi="Calibri"/>
                <w:sz w:val="20"/>
              </w:rPr>
            </w:pPr>
            <w:r w:rsidRPr="00FD6067">
              <w:rPr>
                <w:rFonts w:ascii="Calibri" w:hAnsi="Calibri"/>
                <w:sz w:val="20"/>
              </w:rPr>
              <w:t>301-763-7182</w:t>
            </w:r>
          </w:p>
        </w:tc>
        <w:tc>
          <w:tcPr>
            <w:tcW w:w="2160" w:type="dxa"/>
            <w:tcBorders>
              <w:top w:val="double" w:sz="4" w:space="0" w:color="auto"/>
            </w:tcBorders>
          </w:tcPr>
          <w:p w:rsidR="00E174CA" w:rsidRDefault="00E174CA" w:rsidP="008F2FBA">
            <w:pPr>
              <w:rPr>
                <w:rFonts w:ascii="Calibri" w:hAnsi="Calibri"/>
                <w:sz w:val="20"/>
              </w:rPr>
            </w:pPr>
            <w:r>
              <w:rPr>
                <w:rFonts w:ascii="Calibri" w:hAnsi="Calibri"/>
                <w:sz w:val="20"/>
              </w:rPr>
              <w:t>Development of statistical methodology</w:t>
            </w:r>
          </w:p>
        </w:tc>
      </w:tr>
      <w:tr w:rsidR="00E174CA" w:rsidTr="008F2FBA">
        <w:tc>
          <w:tcPr>
            <w:tcW w:w="1620" w:type="dxa"/>
          </w:tcPr>
          <w:p w:rsidR="00E174CA" w:rsidRDefault="00E174CA" w:rsidP="008F2FBA">
            <w:pPr>
              <w:rPr>
                <w:rFonts w:ascii="Calibri" w:hAnsi="Calibri"/>
                <w:sz w:val="20"/>
              </w:rPr>
            </w:pPr>
            <w:r>
              <w:rPr>
                <w:rFonts w:ascii="Calibri" w:hAnsi="Calibri"/>
                <w:sz w:val="20"/>
              </w:rPr>
              <w:t>Diane Willimack</w:t>
            </w:r>
          </w:p>
        </w:tc>
        <w:tc>
          <w:tcPr>
            <w:tcW w:w="3960" w:type="dxa"/>
          </w:tcPr>
          <w:p w:rsidR="00E174CA" w:rsidRPr="00FD6067" w:rsidRDefault="00E174CA" w:rsidP="008F2FBA">
            <w:pPr>
              <w:rPr>
                <w:rFonts w:ascii="Calibri" w:hAnsi="Calibri"/>
                <w:sz w:val="20"/>
              </w:rPr>
            </w:pPr>
            <w:r>
              <w:rPr>
                <w:rFonts w:ascii="Calibri" w:hAnsi="Calibri"/>
                <w:sz w:val="20"/>
              </w:rPr>
              <w:t>Methodology Director for Methodology and Response Improvement for Economic Programs, Economic Statistical Methods Division</w:t>
            </w:r>
          </w:p>
        </w:tc>
        <w:tc>
          <w:tcPr>
            <w:tcW w:w="1440" w:type="dxa"/>
          </w:tcPr>
          <w:p w:rsidR="00E174CA" w:rsidRDefault="00E174CA" w:rsidP="008F2FBA">
            <w:pPr>
              <w:rPr>
                <w:rFonts w:ascii="Calibri" w:hAnsi="Calibri"/>
                <w:sz w:val="20"/>
              </w:rPr>
            </w:pPr>
            <w:r>
              <w:rPr>
                <w:rFonts w:ascii="Calibri" w:hAnsi="Calibri"/>
                <w:sz w:val="20"/>
              </w:rPr>
              <w:t>301-763-3538</w:t>
            </w:r>
          </w:p>
        </w:tc>
        <w:tc>
          <w:tcPr>
            <w:tcW w:w="2160" w:type="dxa"/>
          </w:tcPr>
          <w:p w:rsidR="00E174CA" w:rsidRDefault="00E174CA" w:rsidP="008F2FBA">
            <w:pPr>
              <w:rPr>
                <w:rFonts w:ascii="Calibri" w:hAnsi="Calibri"/>
                <w:sz w:val="20"/>
              </w:rPr>
            </w:pPr>
            <w:r>
              <w:rPr>
                <w:rFonts w:ascii="Calibri" w:hAnsi="Calibri"/>
                <w:sz w:val="20"/>
              </w:rPr>
              <w:t>Pretesting of data collection instruments and methods</w:t>
            </w:r>
          </w:p>
        </w:tc>
      </w:tr>
      <w:tr w:rsidR="00E174CA" w:rsidTr="008F2FBA">
        <w:tc>
          <w:tcPr>
            <w:tcW w:w="1620" w:type="dxa"/>
          </w:tcPr>
          <w:p w:rsidR="00E174CA" w:rsidRDefault="00913374" w:rsidP="008F2FBA">
            <w:pPr>
              <w:rPr>
                <w:rFonts w:ascii="Calibri" w:hAnsi="Calibri"/>
                <w:sz w:val="20"/>
              </w:rPr>
            </w:pPr>
            <w:r>
              <w:rPr>
                <w:rFonts w:ascii="Calibri" w:hAnsi="Calibri"/>
                <w:sz w:val="20"/>
              </w:rPr>
              <w:t>William Samples</w:t>
            </w:r>
          </w:p>
        </w:tc>
        <w:tc>
          <w:tcPr>
            <w:tcW w:w="3960" w:type="dxa"/>
          </w:tcPr>
          <w:p w:rsidR="00E174CA" w:rsidRDefault="00E174CA" w:rsidP="008F2FBA">
            <w:pPr>
              <w:rPr>
                <w:rFonts w:ascii="Calibri" w:hAnsi="Calibri"/>
                <w:sz w:val="20"/>
              </w:rPr>
            </w:pPr>
            <w:r w:rsidRPr="00FD6067">
              <w:rPr>
                <w:rFonts w:ascii="Calibri" w:hAnsi="Calibri"/>
                <w:sz w:val="20"/>
              </w:rPr>
              <w:t xml:space="preserve">Assistant </w:t>
            </w:r>
            <w:r>
              <w:rPr>
                <w:rFonts w:ascii="Calibri" w:hAnsi="Calibri"/>
                <w:sz w:val="20"/>
              </w:rPr>
              <w:t>Survey Director for the Economic Census</w:t>
            </w:r>
            <w:r w:rsidRPr="00FD6067">
              <w:rPr>
                <w:rFonts w:ascii="Calibri" w:hAnsi="Calibri"/>
                <w:sz w:val="20"/>
              </w:rPr>
              <w:t>, Economy-Wide Statistics Division</w:t>
            </w:r>
          </w:p>
        </w:tc>
        <w:tc>
          <w:tcPr>
            <w:tcW w:w="1440" w:type="dxa"/>
          </w:tcPr>
          <w:p w:rsidR="00E174CA" w:rsidRDefault="00316115" w:rsidP="008F2FBA">
            <w:pPr>
              <w:rPr>
                <w:rFonts w:ascii="Calibri" w:hAnsi="Calibri"/>
                <w:sz w:val="20"/>
              </w:rPr>
            </w:pPr>
            <w:r>
              <w:rPr>
                <w:rFonts w:ascii="Calibri" w:hAnsi="Calibri"/>
                <w:sz w:val="20"/>
              </w:rPr>
              <w:t>301-763-</w:t>
            </w:r>
            <w:r w:rsidR="00913374" w:rsidRPr="00913374">
              <w:rPr>
                <w:rFonts w:ascii="Calibri" w:hAnsi="Calibri"/>
                <w:sz w:val="20"/>
              </w:rPr>
              <w:t>7175</w:t>
            </w:r>
          </w:p>
        </w:tc>
        <w:tc>
          <w:tcPr>
            <w:tcW w:w="2160" w:type="dxa"/>
          </w:tcPr>
          <w:p w:rsidR="00E174CA" w:rsidRDefault="00E174CA" w:rsidP="008F2FBA">
            <w:pPr>
              <w:rPr>
                <w:rFonts w:ascii="Calibri" w:hAnsi="Calibri"/>
                <w:sz w:val="20"/>
              </w:rPr>
            </w:pPr>
            <w:r>
              <w:rPr>
                <w:rFonts w:ascii="Calibri" w:hAnsi="Calibri"/>
                <w:sz w:val="20"/>
              </w:rPr>
              <w:t>Overall supervision</w:t>
            </w:r>
          </w:p>
        </w:tc>
      </w:tr>
    </w:tbl>
    <w:p w:rsidR="00E174CA" w:rsidRPr="00E174CA" w:rsidRDefault="00E174CA" w:rsidP="00E174CA">
      <w:pPr>
        <w:ind w:left="720"/>
        <w:rPr>
          <w:rFonts w:ascii="Times New Roman" w:hAnsi="Times New Roman"/>
          <w:szCs w:val="24"/>
        </w:rPr>
      </w:pPr>
    </w:p>
    <w:p w:rsidR="00E174CA" w:rsidRDefault="00E174CA" w:rsidP="00B71354">
      <w:pPr>
        <w:ind w:left="360"/>
        <w:rPr>
          <w:rFonts w:ascii="Times New Roman" w:hAnsi="Times New Roman"/>
        </w:rPr>
      </w:pPr>
    </w:p>
    <w:p w:rsidR="00E174CA" w:rsidRDefault="00E174CA" w:rsidP="00B71354">
      <w:pPr>
        <w:ind w:left="360"/>
        <w:rPr>
          <w:rFonts w:ascii="Times New Roman" w:hAnsi="Times New Roman"/>
        </w:rPr>
      </w:pPr>
      <w:r>
        <w:rPr>
          <w:rFonts w:ascii="Times New Roman" w:hAnsi="Times New Roman"/>
        </w:rPr>
        <w:tab/>
      </w:r>
    </w:p>
    <w:p w:rsidR="005E5BB1" w:rsidRDefault="005E5BB1" w:rsidP="003C4E66">
      <w:pPr>
        <w:rPr>
          <w:rFonts w:ascii="Times New Roman" w:hAnsi="Times New Roman"/>
        </w:rPr>
      </w:pPr>
    </w:p>
    <w:p w:rsidR="00CC29CA" w:rsidRPr="00864F84" w:rsidRDefault="00E174CA">
      <w:pPr>
        <w:rPr>
          <w:rFonts w:ascii="Times New Roman" w:hAnsi="Times New Roman"/>
          <w:sz w:val="20"/>
        </w:rPr>
        <w:sectPr w:rsidR="00CC29CA" w:rsidRPr="00864F84">
          <w:endnotePr>
            <w:numFmt w:val="decimal"/>
          </w:endnotePr>
          <w:type w:val="continuous"/>
          <w:pgSz w:w="12240" w:h="15840"/>
          <w:pgMar w:top="1440" w:right="1440" w:bottom="1440" w:left="1440" w:header="1440" w:footer="1440" w:gutter="0"/>
          <w:cols w:space="720"/>
          <w:noEndnote/>
        </w:sectPr>
      </w:pPr>
      <w:r>
        <w:rPr>
          <w:rFonts w:ascii="Times New Roman" w:hAnsi="Times New Roman"/>
          <w:sz w:val="20"/>
        </w:rPr>
        <w:tab/>
      </w:r>
    </w:p>
    <w:p w:rsidR="00CA73D8" w:rsidRPr="00864F84" w:rsidRDefault="00CA73D8">
      <w:pPr>
        <w:jc w:val="center"/>
        <w:rPr>
          <w:rFonts w:ascii="Times New Roman" w:hAnsi="Times New Roman"/>
          <w:szCs w:val="24"/>
        </w:rPr>
      </w:pPr>
      <w:r w:rsidRPr="00864F84">
        <w:rPr>
          <w:rFonts w:ascii="Times New Roman" w:hAnsi="Times New Roman"/>
          <w:szCs w:val="24"/>
        </w:rPr>
        <w:t>Attachments</w:t>
      </w:r>
    </w:p>
    <w:p w:rsidR="00CA73D8" w:rsidRPr="00864F84" w:rsidRDefault="00CA73D8">
      <w:pPr>
        <w:jc w:val="center"/>
        <w:rPr>
          <w:rFonts w:ascii="Times New Roman" w:hAnsi="Times New Roman"/>
          <w:sz w:val="20"/>
        </w:rPr>
      </w:pPr>
    </w:p>
    <w:p w:rsidR="00864F84" w:rsidRP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A.</w:t>
      </w:r>
      <w:r w:rsidRPr="00864F84">
        <w:rPr>
          <w:rFonts w:ascii="Times New Roman" w:hAnsi="Times New Roman"/>
          <w:szCs w:val="24"/>
        </w:rPr>
        <w:tab/>
        <w:t>Electronic</w:t>
      </w:r>
      <w:r w:rsidR="00BD2581">
        <w:rPr>
          <w:rFonts w:ascii="Times New Roman" w:hAnsi="Times New Roman"/>
          <w:szCs w:val="24"/>
        </w:rPr>
        <w:t xml:space="preserve"> Questionnaire Instrument</w:t>
      </w:r>
      <w:r w:rsidRPr="00864F84">
        <w:rPr>
          <w:rFonts w:ascii="Times New Roman" w:hAnsi="Times New Roman"/>
          <w:szCs w:val="24"/>
        </w:rPr>
        <w:t xml:space="preserve"> Path Numbers, Titles, and Associa</w:t>
      </w:r>
      <w:r w:rsidR="006B42A0">
        <w:rPr>
          <w:rFonts w:ascii="Times New Roman" w:hAnsi="Times New Roman"/>
          <w:szCs w:val="24"/>
        </w:rPr>
        <w:t xml:space="preserve">ted Burden Estimates </w:t>
      </w:r>
    </w:p>
    <w:p w:rsidR="00864F84" w:rsidRPr="00864F84" w:rsidRDefault="00864F84" w:rsidP="00864F84">
      <w:pPr>
        <w:rPr>
          <w:rFonts w:ascii="Times New Roman" w:hAnsi="Times New Roman"/>
          <w:szCs w:val="24"/>
        </w:rPr>
      </w:pPr>
    </w:p>
    <w:p w:rsidR="00864F84" w:rsidRP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B.</w:t>
      </w:r>
      <w:r w:rsidRPr="00864F84">
        <w:rPr>
          <w:rFonts w:ascii="Times New Roman" w:hAnsi="Times New Roman"/>
          <w:szCs w:val="24"/>
        </w:rPr>
        <w:tab/>
        <w:t>Composition of the Establishment Universe and Estimated Mail Counts for the 2017 Economic Census</w:t>
      </w:r>
    </w:p>
    <w:p w:rsidR="00864F84" w:rsidRPr="00864F84" w:rsidRDefault="00864F84" w:rsidP="00864F84">
      <w:pPr>
        <w:rPr>
          <w:rFonts w:ascii="Times New Roman" w:hAnsi="Times New Roman"/>
          <w:szCs w:val="24"/>
        </w:rPr>
      </w:pPr>
    </w:p>
    <w:p w:rsid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C.</w:t>
      </w:r>
      <w:r w:rsidRPr="00864F84">
        <w:rPr>
          <w:rFonts w:ascii="Times New Roman" w:hAnsi="Times New Roman"/>
          <w:szCs w:val="24"/>
        </w:rPr>
        <w:tab/>
      </w:r>
      <w:r w:rsidR="00D94E72">
        <w:rPr>
          <w:rFonts w:ascii="Times New Roman" w:hAnsi="Times New Roman"/>
          <w:szCs w:val="24"/>
        </w:rPr>
        <w:t xml:space="preserve">Drafts of </w:t>
      </w:r>
      <w:r w:rsidRPr="00864F84">
        <w:rPr>
          <w:rFonts w:ascii="Times New Roman" w:hAnsi="Times New Roman"/>
          <w:szCs w:val="24"/>
        </w:rPr>
        <w:t>Initial Contact and Follow-up Letters</w:t>
      </w:r>
    </w:p>
    <w:p w:rsidR="00C76418" w:rsidRPr="00864F84" w:rsidRDefault="00962A3F" w:rsidP="00B44DC7">
      <w:pPr>
        <w:pStyle w:val="NoSpacing"/>
        <w:rPr>
          <w:rFonts w:ascii="Times New Roman" w:hAnsi="Times New Roman"/>
          <w:szCs w:val="24"/>
        </w:rPr>
      </w:pPr>
      <w:r>
        <w:rPr>
          <w:rFonts w:ascii="Times New Roman" w:hAnsi="Times New Roman"/>
          <w:szCs w:val="24"/>
        </w:rPr>
        <w:tab/>
      </w:r>
    </w:p>
    <w:p w:rsidR="00864F84" w:rsidRDefault="00CC7BFC" w:rsidP="00864F84">
      <w:pPr>
        <w:tabs>
          <w:tab w:val="left" w:pos="-1440"/>
        </w:tabs>
        <w:ind w:left="720" w:hanging="720"/>
        <w:rPr>
          <w:rFonts w:ascii="Times New Roman" w:hAnsi="Times New Roman"/>
          <w:szCs w:val="24"/>
        </w:rPr>
      </w:pPr>
      <w:r>
        <w:rPr>
          <w:rFonts w:ascii="Times New Roman" w:hAnsi="Times New Roman"/>
          <w:szCs w:val="24"/>
        </w:rPr>
        <w:t>D.</w:t>
      </w:r>
      <w:r>
        <w:rPr>
          <w:rFonts w:ascii="Times New Roman" w:hAnsi="Times New Roman"/>
          <w:szCs w:val="24"/>
        </w:rPr>
        <w:tab/>
      </w:r>
      <w:r w:rsidR="009E5BED">
        <w:rPr>
          <w:rFonts w:ascii="Times New Roman" w:hAnsi="Times New Roman"/>
          <w:szCs w:val="24"/>
        </w:rPr>
        <w:t xml:space="preserve">Draft </w:t>
      </w:r>
      <w:r>
        <w:rPr>
          <w:rFonts w:ascii="Times New Roman" w:hAnsi="Times New Roman"/>
          <w:szCs w:val="24"/>
        </w:rPr>
        <w:t xml:space="preserve">Previews of Standard, </w:t>
      </w:r>
      <w:r w:rsidR="00864F84" w:rsidRPr="00864F84">
        <w:rPr>
          <w:rFonts w:ascii="Times New Roman" w:hAnsi="Times New Roman"/>
          <w:szCs w:val="24"/>
        </w:rPr>
        <w:t>Consolidated</w:t>
      </w:r>
      <w:r>
        <w:rPr>
          <w:rFonts w:ascii="Times New Roman" w:hAnsi="Times New Roman"/>
          <w:szCs w:val="24"/>
        </w:rPr>
        <w:t>, and Classification</w:t>
      </w:r>
      <w:r w:rsidR="00864F84" w:rsidRPr="00864F84">
        <w:rPr>
          <w:rFonts w:ascii="Times New Roman" w:hAnsi="Times New Roman"/>
          <w:szCs w:val="24"/>
        </w:rPr>
        <w:t xml:space="preserve"> Questionnaires</w:t>
      </w:r>
    </w:p>
    <w:p w:rsidR="00864F84" w:rsidRPr="00864F84" w:rsidRDefault="00611F13" w:rsidP="00864F84">
      <w:pPr>
        <w:tabs>
          <w:tab w:val="left" w:pos="-1440"/>
        </w:tabs>
        <w:ind w:left="720" w:hanging="720"/>
        <w:rPr>
          <w:rFonts w:ascii="Times New Roman" w:hAnsi="Times New Roman"/>
          <w:szCs w:val="24"/>
        </w:rPr>
      </w:pPr>
      <w:r>
        <w:rPr>
          <w:rFonts w:ascii="Times New Roman" w:hAnsi="Times New Roman"/>
          <w:szCs w:val="24"/>
        </w:rPr>
        <w:tab/>
      </w:r>
      <w:r w:rsidR="00864F84" w:rsidRPr="00864F84">
        <w:rPr>
          <w:rFonts w:ascii="Times New Roman" w:hAnsi="Times New Roman"/>
          <w:szCs w:val="24"/>
        </w:rPr>
        <w:tab/>
      </w:r>
    </w:p>
    <w:p w:rsidR="00864F84" w:rsidRDefault="00864F84" w:rsidP="00864F84">
      <w:pPr>
        <w:tabs>
          <w:tab w:val="left" w:pos="-1440"/>
        </w:tabs>
        <w:ind w:left="720" w:hanging="720"/>
        <w:rPr>
          <w:rFonts w:ascii="Times New Roman" w:hAnsi="Times New Roman"/>
          <w:szCs w:val="24"/>
        </w:rPr>
      </w:pPr>
      <w:r w:rsidRPr="00864F84">
        <w:rPr>
          <w:rFonts w:ascii="Times New Roman" w:hAnsi="Times New Roman"/>
          <w:szCs w:val="24"/>
        </w:rPr>
        <w:t>E.</w:t>
      </w:r>
      <w:r w:rsidRPr="00864F84">
        <w:rPr>
          <w:rFonts w:ascii="Times New Roman" w:hAnsi="Times New Roman"/>
          <w:szCs w:val="24"/>
        </w:rPr>
        <w:tab/>
      </w:r>
      <w:r w:rsidR="00B462C0">
        <w:rPr>
          <w:rFonts w:ascii="Times New Roman" w:hAnsi="Times New Roman"/>
          <w:szCs w:val="24"/>
        </w:rPr>
        <w:t xml:space="preserve">Questionnaire </w:t>
      </w:r>
      <w:r w:rsidR="00C76418">
        <w:rPr>
          <w:rFonts w:ascii="Times New Roman" w:hAnsi="Times New Roman"/>
          <w:szCs w:val="24"/>
        </w:rPr>
        <w:t>Information Sheets</w:t>
      </w:r>
      <w:r w:rsidRPr="00864F84">
        <w:rPr>
          <w:rFonts w:ascii="Times New Roman" w:hAnsi="Times New Roman"/>
          <w:szCs w:val="24"/>
        </w:rPr>
        <w:t xml:space="preserve"> </w:t>
      </w:r>
    </w:p>
    <w:p w:rsidR="00864F84" w:rsidRPr="00864F84" w:rsidRDefault="00962A3F" w:rsidP="00B462C0">
      <w:pPr>
        <w:pStyle w:val="NoSpacing"/>
        <w:rPr>
          <w:rFonts w:ascii="Times New Roman" w:hAnsi="Times New Roman"/>
          <w:szCs w:val="24"/>
        </w:rPr>
      </w:pPr>
      <w:r>
        <w:rPr>
          <w:rFonts w:ascii="Times New Roman" w:hAnsi="Times New Roman"/>
          <w:szCs w:val="24"/>
        </w:rPr>
        <w:tab/>
      </w:r>
    </w:p>
    <w:p w:rsidR="00864F84" w:rsidRPr="00864F84" w:rsidRDefault="00CC7BFC" w:rsidP="00864F84">
      <w:pPr>
        <w:tabs>
          <w:tab w:val="left" w:pos="-1440"/>
        </w:tabs>
        <w:ind w:left="720" w:hanging="720"/>
        <w:rPr>
          <w:rFonts w:ascii="Times New Roman" w:hAnsi="Times New Roman"/>
          <w:szCs w:val="24"/>
        </w:rPr>
      </w:pPr>
      <w:r>
        <w:rPr>
          <w:rFonts w:ascii="Times New Roman" w:hAnsi="Times New Roman"/>
          <w:szCs w:val="24"/>
        </w:rPr>
        <w:t>F</w:t>
      </w:r>
      <w:r w:rsidR="00864F84" w:rsidRPr="00864F84">
        <w:rPr>
          <w:rFonts w:ascii="Times New Roman" w:hAnsi="Times New Roman"/>
          <w:szCs w:val="24"/>
        </w:rPr>
        <w:t>.</w:t>
      </w:r>
      <w:r w:rsidR="00864F84" w:rsidRPr="00864F84">
        <w:rPr>
          <w:rFonts w:ascii="Times New Roman" w:hAnsi="Times New Roman"/>
          <w:szCs w:val="24"/>
        </w:rPr>
        <w:tab/>
        <w:t xml:space="preserve">Electronic </w:t>
      </w:r>
      <w:r w:rsidR="00282065">
        <w:rPr>
          <w:rFonts w:ascii="Times New Roman" w:hAnsi="Times New Roman"/>
          <w:szCs w:val="24"/>
        </w:rPr>
        <w:t>Instrument</w:t>
      </w:r>
      <w:r w:rsidR="00864F84" w:rsidRPr="00864F84">
        <w:rPr>
          <w:rFonts w:ascii="Times New Roman" w:hAnsi="Times New Roman"/>
          <w:szCs w:val="24"/>
        </w:rPr>
        <w:t xml:space="preserve"> Selected Screen Shots</w:t>
      </w:r>
    </w:p>
    <w:p w:rsidR="00864F84" w:rsidRPr="00864F84" w:rsidRDefault="00962A3F" w:rsidP="00FC2EEE">
      <w:pPr>
        <w:tabs>
          <w:tab w:val="left" w:pos="-1440"/>
        </w:tabs>
        <w:ind w:left="720" w:hanging="720"/>
        <w:rPr>
          <w:rFonts w:ascii="Times New Roman" w:hAnsi="Times New Roman"/>
          <w:szCs w:val="24"/>
        </w:rPr>
      </w:pPr>
      <w:r>
        <w:rPr>
          <w:rFonts w:ascii="Times New Roman" w:hAnsi="Times New Roman"/>
          <w:szCs w:val="24"/>
        </w:rPr>
        <w:tab/>
      </w:r>
      <w:r w:rsidR="001C0ADC">
        <w:rPr>
          <w:rFonts w:ascii="Times New Roman" w:hAnsi="Times New Roman"/>
          <w:szCs w:val="24"/>
        </w:rPr>
        <w:tab/>
      </w:r>
    </w:p>
    <w:p w:rsidR="000E644F" w:rsidRDefault="00CC7BFC" w:rsidP="00864F84">
      <w:pPr>
        <w:pStyle w:val="BodyTextIndent2"/>
        <w:rPr>
          <w:rFonts w:ascii="Times New Roman" w:hAnsi="Times New Roman"/>
          <w:sz w:val="24"/>
          <w:szCs w:val="24"/>
        </w:rPr>
      </w:pPr>
      <w:r>
        <w:rPr>
          <w:rFonts w:ascii="Times New Roman" w:hAnsi="Times New Roman"/>
          <w:sz w:val="24"/>
          <w:szCs w:val="24"/>
        </w:rPr>
        <w:t>G</w:t>
      </w:r>
      <w:r w:rsidR="00864F84" w:rsidRPr="00864F84">
        <w:rPr>
          <w:rFonts w:ascii="Times New Roman" w:hAnsi="Times New Roman"/>
          <w:sz w:val="24"/>
          <w:szCs w:val="24"/>
        </w:rPr>
        <w:t>.</w:t>
      </w:r>
      <w:r w:rsidR="00864F84" w:rsidRPr="00864F84">
        <w:rPr>
          <w:rFonts w:ascii="Times New Roman" w:hAnsi="Times New Roman"/>
          <w:sz w:val="24"/>
          <w:szCs w:val="24"/>
        </w:rPr>
        <w:tab/>
        <w:t>Consultations with Federal Agencies, Trade Groups, and Trade Publications</w:t>
      </w:r>
    </w:p>
    <w:p w:rsidR="00B2442C" w:rsidRDefault="00B2442C" w:rsidP="00864F84">
      <w:pPr>
        <w:pStyle w:val="BodyTextIndent2"/>
        <w:rPr>
          <w:rFonts w:ascii="Times New Roman" w:hAnsi="Times New Roman"/>
          <w:sz w:val="24"/>
          <w:szCs w:val="24"/>
        </w:rPr>
      </w:pPr>
      <w:r>
        <w:rPr>
          <w:rFonts w:ascii="Times New Roman" w:hAnsi="Times New Roman"/>
          <w:sz w:val="24"/>
          <w:szCs w:val="24"/>
        </w:rPr>
        <w:tab/>
        <w:t>G-1</w:t>
      </w:r>
      <w:r>
        <w:rPr>
          <w:rFonts w:ascii="Times New Roman" w:hAnsi="Times New Roman"/>
          <w:sz w:val="24"/>
          <w:szCs w:val="24"/>
        </w:rPr>
        <w:tab/>
        <w:t>Letter to Persons and Organizations</w:t>
      </w:r>
    </w:p>
    <w:p w:rsidR="00B2442C" w:rsidRPr="00864F84" w:rsidRDefault="00B2442C" w:rsidP="00864F84">
      <w:pPr>
        <w:pStyle w:val="BodyTextIndent2"/>
        <w:rPr>
          <w:rFonts w:ascii="Times New Roman" w:hAnsi="Times New Roman"/>
          <w:sz w:val="24"/>
          <w:szCs w:val="24"/>
        </w:rPr>
      </w:pPr>
      <w:r>
        <w:rPr>
          <w:rFonts w:ascii="Times New Roman" w:hAnsi="Times New Roman"/>
          <w:sz w:val="24"/>
          <w:szCs w:val="24"/>
        </w:rPr>
        <w:tab/>
        <w:t>G-2</w:t>
      </w:r>
      <w:r>
        <w:rPr>
          <w:rFonts w:ascii="Times New Roman" w:hAnsi="Times New Roman"/>
          <w:sz w:val="24"/>
          <w:szCs w:val="24"/>
        </w:rPr>
        <w:tab/>
        <w:t>Persons and Organizations Contacted</w:t>
      </w:r>
    </w:p>
    <w:p w:rsidR="00864F84" w:rsidRPr="00864F84" w:rsidRDefault="00864F84" w:rsidP="00864F84">
      <w:pPr>
        <w:tabs>
          <w:tab w:val="left" w:pos="-1440"/>
        </w:tabs>
        <w:jc w:val="both"/>
        <w:rPr>
          <w:rFonts w:ascii="Times New Roman" w:hAnsi="Times New Roman"/>
          <w:szCs w:val="24"/>
        </w:rPr>
      </w:pPr>
    </w:p>
    <w:p w:rsidR="00864F84" w:rsidRPr="00864F84" w:rsidRDefault="00CC7BFC" w:rsidP="00864F84">
      <w:pPr>
        <w:pStyle w:val="BodyTextIndent2"/>
        <w:rPr>
          <w:rFonts w:ascii="Times New Roman" w:hAnsi="Times New Roman"/>
          <w:sz w:val="24"/>
          <w:szCs w:val="24"/>
        </w:rPr>
      </w:pPr>
      <w:r>
        <w:rPr>
          <w:rFonts w:ascii="Times New Roman" w:hAnsi="Times New Roman"/>
          <w:sz w:val="24"/>
          <w:szCs w:val="24"/>
        </w:rPr>
        <w:t>H</w:t>
      </w:r>
      <w:r w:rsidR="00864F84" w:rsidRPr="00864F84">
        <w:rPr>
          <w:rFonts w:ascii="Times New Roman" w:hAnsi="Times New Roman"/>
          <w:sz w:val="24"/>
          <w:szCs w:val="24"/>
        </w:rPr>
        <w:t>.</w:t>
      </w:r>
      <w:r w:rsidR="00864F84" w:rsidRPr="00864F84">
        <w:rPr>
          <w:rFonts w:ascii="Times New Roman" w:hAnsi="Times New Roman"/>
          <w:sz w:val="24"/>
          <w:szCs w:val="24"/>
        </w:rPr>
        <w:tab/>
        <w:t xml:space="preserve">Consultations with Federal Agencies, Trade Groups, and Trade Publications:  Selected Correspondence </w:t>
      </w:r>
    </w:p>
    <w:p w:rsidR="00864F84" w:rsidRPr="00864F84" w:rsidRDefault="00864F84" w:rsidP="00864F84">
      <w:pPr>
        <w:rPr>
          <w:rFonts w:ascii="Times New Roman" w:hAnsi="Times New Roman"/>
          <w:szCs w:val="24"/>
        </w:rPr>
      </w:pPr>
    </w:p>
    <w:p w:rsidR="00864F84" w:rsidRDefault="00CC7BFC" w:rsidP="00864F84">
      <w:pPr>
        <w:rPr>
          <w:rFonts w:ascii="Times New Roman" w:hAnsi="Times New Roman"/>
          <w:szCs w:val="24"/>
        </w:rPr>
      </w:pPr>
      <w:r>
        <w:rPr>
          <w:rFonts w:ascii="Times New Roman" w:hAnsi="Times New Roman"/>
          <w:szCs w:val="24"/>
        </w:rPr>
        <w:t>I</w:t>
      </w:r>
      <w:r w:rsidR="00864F84" w:rsidRPr="00864F84">
        <w:rPr>
          <w:rFonts w:ascii="Times New Roman" w:hAnsi="Times New Roman"/>
          <w:szCs w:val="24"/>
        </w:rPr>
        <w:t>.</w:t>
      </w:r>
      <w:r w:rsidR="00864F84" w:rsidRPr="00864F84">
        <w:rPr>
          <w:rFonts w:ascii="Times New Roman" w:hAnsi="Times New Roman"/>
          <w:szCs w:val="24"/>
        </w:rPr>
        <w:tab/>
      </w:r>
      <w:r w:rsidR="009769B9">
        <w:rPr>
          <w:rFonts w:ascii="Times New Roman" w:hAnsi="Times New Roman"/>
          <w:szCs w:val="24"/>
        </w:rPr>
        <w:t>Federal Register Comments received regarding the 2017 Economic Census</w:t>
      </w:r>
    </w:p>
    <w:p w:rsidR="009769B9" w:rsidRDefault="009769B9" w:rsidP="00864F84">
      <w:pPr>
        <w:rPr>
          <w:rFonts w:ascii="Times New Roman" w:hAnsi="Times New Roman"/>
          <w:szCs w:val="24"/>
        </w:rPr>
      </w:pPr>
    </w:p>
    <w:p w:rsidR="009769B9" w:rsidRDefault="00CC7BFC" w:rsidP="00864F84">
      <w:pPr>
        <w:rPr>
          <w:rFonts w:ascii="Times New Roman" w:hAnsi="Times New Roman"/>
          <w:szCs w:val="24"/>
        </w:rPr>
      </w:pPr>
      <w:r>
        <w:rPr>
          <w:rFonts w:ascii="Times New Roman" w:hAnsi="Times New Roman"/>
          <w:szCs w:val="24"/>
        </w:rPr>
        <w:t>J</w:t>
      </w:r>
      <w:r w:rsidR="009769B9">
        <w:rPr>
          <w:rFonts w:ascii="Times New Roman" w:hAnsi="Times New Roman"/>
          <w:szCs w:val="24"/>
        </w:rPr>
        <w:t>.</w:t>
      </w:r>
      <w:r w:rsidR="009769B9">
        <w:rPr>
          <w:rFonts w:ascii="Times New Roman" w:hAnsi="Times New Roman"/>
          <w:szCs w:val="24"/>
        </w:rPr>
        <w:tab/>
        <w:t>Summary of Changes to Sta</w:t>
      </w:r>
      <w:r w:rsidR="00035D65">
        <w:rPr>
          <w:rFonts w:ascii="Times New Roman" w:hAnsi="Times New Roman"/>
          <w:szCs w:val="24"/>
        </w:rPr>
        <w:t>ndard,</w:t>
      </w:r>
      <w:r w:rsidR="009769B9">
        <w:rPr>
          <w:rFonts w:ascii="Times New Roman" w:hAnsi="Times New Roman"/>
          <w:szCs w:val="24"/>
        </w:rPr>
        <w:t xml:space="preserve"> Consolidated</w:t>
      </w:r>
      <w:r w:rsidR="007D47EF">
        <w:rPr>
          <w:rFonts w:ascii="Times New Roman" w:hAnsi="Times New Roman"/>
          <w:szCs w:val="24"/>
        </w:rPr>
        <w:t>, and Classification</w:t>
      </w:r>
      <w:r w:rsidR="009769B9">
        <w:rPr>
          <w:rFonts w:ascii="Times New Roman" w:hAnsi="Times New Roman"/>
          <w:szCs w:val="24"/>
        </w:rPr>
        <w:t xml:space="preserve"> Questionnaires</w:t>
      </w:r>
    </w:p>
    <w:p w:rsidR="005824C8" w:rsidRDefault="005824C8" w:rsidP="00864F84">
      <w:pPr>
        <w:rPr>
          <w:rFonts w:ascii="Times New Roman" w:hAnsi="Times New Roman"/>
          <w:szCs w:val="24"/>
        </w:rPr>
      </w:pPr>
    </w:p>
    <w:p w:rsidR="005824C8" w:rsidRDefault="005824C8" w:rsidP="00864F84">
      <w:pPr>
        <w:rPr>
          <w:rFonts w:ascii="Times New Roman" w:hAnsi="Times New Roman"/>
          <w:szCs w:val="24"/>
        </w:rPr>
      </w:pPr>
      <w:r>
        <w:rPr>
          <w:rFonts w:ascii="Times New Roman" w:hAnsi="Times New Roman"/>
          <w:szCs w:val="24"/>
        </w:rPr>
        <w:t>K.</w:t>
      </w:r>
      <w:r>
        <w:rPr>
          <w:rFonts w:ascii="Times New Roman" w:hAnsi="Times New Roman"/>
          <w:szCs w:val="24"/>
        </w:rPr>
        <w:tab/>
        <w:t>Instrument Development and Design Research and Testing</w:t>
      </w:r>
      <w:r w:rsidR="00874AA0">
        <w:rPr>
          <w:rFonts w:ascii="Times New Roman" w:hAnsi="Times New Roman"/>
          <w:szCs w:val="24"/>
        </w:rPr>
        <w:t xml:space="preserve"> H</w:t>
      </w:r>
      <w:r w:rsidR="00CA23CC">
        <w:rPr>
          <w:rFonts w:ascii="Times New Roman" w:hAnsi="Times New Roman"/>
          <w:szCs w:val="24"/>
        </w:rPr>
        <w:t>ighlights</w:t>
      </w:r>
    </w:p>
    <w:p w:rsidR="00CA23CC" w:rsidRDefault="00CA23CC" w:rsidP="00864F84">
      <w:pPr>
        <w:rPr>
          <w:rFonts w:ascii="Times New Roman" w:hAnsi="Times New Roman"/>
          <w:szCs w:val="24"/>
        </w:rPr>
      </w:pPr>
    </w:p>
    <w:p w:rsidR="00CA23CC" w:rsidRPr="00864F84" w:rsidRDefault="00CA23CC" w:rsidP="00864F84">
      <w:pPr>
        <w:rPr>
          <w:rFonts w:ascii="Times New Roman" w:hAnsi="Times New Roman"/>
          <w:szCs w:val="24"/>
        </w:rPr>
      </w:pPr>
      <w:r>
        <w:rPr>
          <w:rFonts w:ascii="Times New Roman" w:hAnsi="Times New Roman"/>
          <w:szCs w:val="24"/>
        </w:rPr>
        <w:t>L.</w:t>
      </w:r>
      <w:r>
        <w:rPr>
          <w:rFonts w:ascii="Times New Roman" w:hAnsi="Times New Roman"/>
          <w:szCs w:val="24"/>
        </w:rPr>
        <w:tab/>
        <w:t>Contact Strategies Testing</w:t>
      </w:r>
    </w:p>
    <w:p w:rsidR="00864F84" w:rsidRPr="00864F84" w:rsidRDefault="00864F84" w:rsidP="00864F84">
      <w:pPr>
        <w:rPr>
          <w:rFonts w:ascii="Times New Roman" w:hAnsi="Times New Roman"/>
          <w:szCs w:val="24"/>
        </w:rPr>
      </w:pPr>
    </w:p>
    <w:p w:rsidR="000E5C6D" w:rsidRPr="00864F84" w:rsidRDefault="000E5C6D">
      <w:pPr>
        <w:tabs>
          <w:tab w:val="left" w:pos="-1440"/>
        </w:tabs>
        <w:ind w:left="720" w:hanging="720"/>
        <w:rPr>
          <w:rFonts w:ascii="Times New Roman" w:hAnsi="Times New Roman"/>
          <w:sz w:val="20"/>
        </w:rPr>
      </w:pPr>
    </w:p>
    <w:p w:rsidR="000E5C6D" w:rsidRPr="00864F84" w:rsidRDefault="000E5C6D">
      <w:pPr>
        <w:tabs>
          <w:tab w:val="left" w:pos="-1440"/>
        </w:tabs>
        <w:ind w:left="720" w:hanging="720"/>
        <w:rPr>
          <w:rFonts w:ascii="Times New Roman" w:hAnsi="Times New Roman"/>
          <w:sz w:val="20"/>
        </w:rPr>
      </w:pPr>
    </w:p>
    <w:sectPr w:rsidR="000E5C6D" w:rsidRPr="00864F84">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106" w:rsidRDefault="00B27106">
      <w:r>
        <w:separator/>
      </w:r>
    </w:p>
  </w:endnote>
  <w:endnote w:type="continuationSeparator" w:id="0">
    <w:p w:rsidR="00B27106" w:rsidRDefault="00B2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06" w:rsidRDefault="00B27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06" w:rsidRDefault="00B271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06" w:rsidRDefault="00B27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106" w:rsidRDefault="00B27106">
      <w:r>
        <w:separator/>
      </w:r>
    </w:p>
  </w:footnote>
  <w:footnote w:type="continuationSeparator" w:id="0">
    <w:p w:rsidR="00B27106" w:rsidRDefault="00B27106">
      <w:r>
        <w:continuationSeparator/>
      </w:r>
    </w:p>
  </w:footnote>
  <w:footnote w:id="1">
    <w:p w:rsidR="00B27106" w:rsidRPr="00387620" w:rsidRDefault="00B27106" w:rsidP="00466487">
      <w:pPr>
        <w:pStyle w:val="FootnoteText"/>
        <w:rPr>
          <w:rFonts w:asciiTheme="minorHAnsi" w:hAnsiTheme="minorHAnsi"/>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A </w:t>
      </w:r>
      <w:r w:rsidRPr="00387620">
        <w:rPr>
          <w:rFonts w:asciiTheme="minorHAnsi" w:hAnsiTheme="minorHAnsi"/>
          <w:b/>
          <w:bCs/>
          <w:sz w:val="16"/>
          <w:szCs w:val="16"/>
        </w:rPr>
        <w:t>reporting unit</w:t>
      </w:r>
      <w:r w:rsidRPr="00387620">
        <w:rPr>
          <w:rFonts w:asciiTheme="minorHAnsi" w:hAnsiTheme="minorHAnsi"/>
          <w:sz w:val="16"/>
          <w:szCs w:val="16"/>
        </w:rPr>
        <w:t xml:space="preserve"> is an entity from which data are collected.  The economic census uses two types of reporting units.  The first is the establishment, which is an economic unit usually at a single, physical location where business is conducted or where services or industrial operations are performed.  Most businesses report data for the economic census at the establishment level.  The second type of reporting unit employed by respondents to answer the economic census is referred to as an “Alternative Reporting Unit (ARU).”  ARUs are generally a consolidation of establishments owned by the same company. ARUs are typically used by firms engaged in networked industries such as finance, insurance, or utilities to facilitate reporting of revenue and expense data.    </w:t>
      </w:r>
    </w:p>
    <w:p w:rsidR="00B27106" w:rsidRPr="00387620" w:rsidRDefault="00B27106" w:rsidP="00466487">
      <w:pPr>
        <w:pStyle w:val="FootnoteText"/>
        <w:rPr>
          <w:rFonts w:asciiTheme="minorHAnsi" w:hAnsiTheme="minorHAnsi"/>
          <w:sz w:val="16"/>
          <w:szCs w:val="16"/>
        </w:rPr>
      </w:pPr>
    </w:p>
  </w:footnote>
  <w:footnote w:id="2">
    <w:p w:rsidR="00B27106" w:rsidRPr="00387620" w:rsidRDefault="00B27106" w:rsidP="00466487">
      <w:pPr>
        <w:pStyle w:val="FootnoteText"/>
        <w:rPr>
          <w:rFonts w:asciiTheme="minorHAnsi" w:hAnsiTheme="minorHAnsi"/>
          <w:sz w:val="16"/>
          <w:szCs w:val="16"/>
          <w:lang w:bidi="en-US"/>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lang w:bidi="en-US"/>
        </w:rPr>
        <w:t xml:space="preserve">A </w:t>
      </w:r>
      <w:r w:rsidRPr="00387620">
        <w:rPr>
          <w:rFonts w:asciiTheme="minorHAnsi" w:hAnsiTheme="minorHAnsi"/>
          <w:b/>
          <w:sz w:val="16"/>
          <w:szCs w:val="16"/>
          <w:lang w:bidi="en-US"/>
        </w:rPr>
        <w:t>returned</w:t>
      </w:r>
      <w:r w:rsidRPr="00387620">
        <w:rPr>
          <w:rFonts w:asciiTheme="minorHAnsi" w:hAnsiTheme="minorHAnsi"/>
          <w:sz w:val="16"/>
          <w:szCs w:val="16"/>
          <w:lang w:bidi="en-US"/>
        </w:rPr>
        <w:t xml:space="preserve"> questionnaire includes receipt of an electronic submission authorized by the respondent, receipt of an acceptable response during targeted telephone follow-up calls, or, under special circumstances, respondent-authorized submission by some other means.</w:t>
      </w:r>
    </w:p>
  </w:footnote>
  <w:footnote w:id="3">
    <w:p w:rsidR="00B27106" w:rsidRPr="00387620" w:rsidRDefault="00B27106" w:rsidP="00466487">
      <w:pPr>
        <w:pStyle w:val="FootnoteText"/>
        <w:rPr>
          <w:rFonts w:asciiTheme="minorHAnsi" w:hAnsiTheme="minorHAnsi"/>
          <w:sz w:val="16"/>
          <w:szCs w:val="16"/>
        </w:rPr>
      </w:pPr>
      <w:r w:rsidRPr="00387620">
        <w:rPr>
          <w:rStyle w:val="FootnoteReference"/>
          <w:rFonts w:asciiTheme="minorHAnsi" w:hAnsiTheme="minorHAnsi"/>
          <w:vertAlign w:val="superscript"/>
        </w:rPr>
        <w:footnoteRef/>
      </w:r>
      <w:r w:rsidRPr="00387620">
        <w:rPr>
          <w:rFonts w:asciiTheme="minorHAnsi" w:hAnsiTheme="minorHAnsi"/>
          <w:vertAlign w:val="superscript"/>
        </w:rPr>
        <w:t xml:space="preserve"> </w:t>
      </w:r>
      <w:r w:rsidRPr="00387620">
        <w:rPr>
          <w:rFonts w:asciiTheme="minorHAnsi" w:hAnsiTheme="minorHAnsi"/>
          <w:sz w:val="16"/>
          <w:szCs w:val="16"/>
        </w:rPr>
        <w:t xml:space="preserve">The </w:t>
      </w:r>
      <w:r w:rsidRPr="00387620">
        <w:rPr>
          <w:rFonts w:asciiTheme="minorHAnsi" w:hAnsiTheme="minorHAnsi"/>
          <w:b/>
          <w:sz w:val="16"/>
          <w:szCs w:val="16"/>
        </w:rPr>
        <w:t>tabulating unit</w:t>
      </w:r>
      <w:r w:rsidRPr="00387620">
        <w:rPr>
          <w:rFonts w:asciiTheme="minorHAnsi" w:hAnsiTheme="minorHAnsi"/>
          <w:sz w:val="16"/>
          <w:szCs w:val="16"/>
        </w:rPr>
        <w:t xml:space="preserve"> houses the data for estimation and tabulation.  For the economic census, the tabulating unit is the establishment.</w:t>
      </w:r>
    </w:p>
    <w:p w:rsidR="00B27106" w:rsidRPr="00D80DFC" w:rsidRDefault="00B27106" w:rsidP="00466487">
      <w:pPr>
        <w:pStyle w:val="FootnoteText"/>
        <w:rPr>
          <w:sz w:val="16"/>
          <w:szCs w:val="16"/>
        </w:rPr>
      </w:pPr>
    </w:p>
  </w:footnote>
  <w:footnote w:id="4">
    <w:p w:rsidR="00B27106" w:rsidRPr="00387620" w:rsidRDefault="00B27106" w:rsidP="00550313">
      <w:pPr>
        <w:pStyle w:val="FootnoteText"/>
        <w:ind w:left="270" w:hanging="270"/>
        <w:rPr>
          <w:rFonts w:asciiTheme="minorHAnsi" w:hAnsiTheme="minorHAnsi"/>
          <w:color w:val="000000"/>
          <w:sz w:val="16"/>
          <w:szCs w:val="16"/>
        </w:rPr>
      </w:pPr>
      <w:r w:rsidRPr="00387620">
        <w:rPr>
          <w:rStyle w:val="FootnoteReference"/>
          <w:rFonts w:asciiTheme="minorHAnsi" w:hAnsiTheme="minorHAnsi"/>
          <w:sz w:val="16"/>
          <w:szCs w:val="16"/>
          <w:vertAlign w:val="superscript"/>
        </w:rPr>
        <w:footnoteRef/>
      </w:r>
      <w:r w:rsidRPr="00387620">
        <w:rPr>
          <w:rFonts w:asciiTheme="minorHAnsi" w:hAnsiTheme="minorHAnsi"/>
          <w:sz w:val="16"/>
          <w:szCs w:val="16"/>
        </w:rPr>
        <w:t xml:space="preserve"> </w:t>
      </w:r>
      <w:r w:rsidRPr="00387620">
        <w:rPr>
          <w:rFonts w:asciiTheme="minorHAnsi" w:hAnsiTheme="minorHAnsi"/>
          <w:sz w:val="16"/>
          <w:szCs w:val="16"/>
        </w:rPr>
        <w:tab/>
        <w:t xml:space="preserve">From the 2012 NAICS Manual (page 24), </w:t>
      </w:r>
      <w:r w:rsidRPr="00387620">
        <w:rPr>
          <w:rFonts w:asciiTheme="minorHAnsi" w:hAnsiTheme="minorHAnsi"/>
          <w:color w:val="000000"/>
          <w:sz w:val="16"/>
          <w:szCs w:val="16"/>
        </w:rPr>
        <w:t>"NAICS agreements permit each country to designate detailed industries, below the level of a NAICS industry, to meet national needs.  The United States has such industry detail in many places in the classification system..."  The Census Bureau uses two additional digits to specify more detail in some industries.</w:t>
      </w:r>
    </w:p>
    <w:p w:rsidR="00B27106" w:rsidRPr="00553079" w:rsidRDefault="00B27106" w:rsidP="00550313">
      <w:pPr>
        <w:pStyle w:val="FootnoteText"/>
        <w:ind w:left="270" w:hanging="270"/>
        <w:rPr>
          <w:rFonts w:asciiTheme="minorHAnsi" w:hAnsiTheme="minorHAnsi"/>
          <w:sz w:val="16"/>
          <w:szCs w:val="16"/>
        </w:rPr>
      </w:pPr>
      <w:r w:rsidRPr="00387620">
        <w:rPr>
          <w:rFonts w:asciiTheme="minorHAnsi" w:hAnsiTheme="minorHAnsi"/>
          <w:color w:val="000000"/>
          <w:sz w:val="16"/>
          <w:szCs w:val="16"/>
          <w:vertAlign w:val="superscript"/>
        </w:rPr>
        <w:t>5</w:t>
      </w:r>
      <w:r w:rsidRPr="00387620">
        <w:rPr>
          <w:rFonts w:asciiTheme="minorHAnsi" w:hAnsiTheme="minorHAnsi"/>
          <w:color w:val="000000"/>
          <w:sz w:val="16"/>
          <w:szCs w:val="16"/>
        </w:rPr>
        <w:tab/>
        <w:t xml:space="preserve">For approximately 130,395 of these establishments (those which are unclassified or in sectors </w:t>
      </w:r>
      <w:r w:rsidRPr="00387620">
        <w:rPr>
          <w:rFonts w:asciiTheme="minorHAnsi" w:hAnsiTheme="minorHAnsi"/>
          <w:sz w:val="16"/>
          <w:szCs w:val="16"/>
        </w:rPr>
        <w:t xml:space="preserve">21, 23, or 31-33), this classification information will be collected using </w:t>
      </w:r>
      <w:r>
        <w:rPr>
          <w:rFonts w:asciiTheme="minorHAnsi" w:hAnsiTheme="minorHAnsi"/>
          <w:sz w:val="16"/>
          <w:szCs w:val="16"/>
        </w:rPr>
        <w:t xml:space="preserve">electronic questionnaire instrument </w:t>
      </w:r>
      <w:r w:rsidRPr="00387620">
        <w:rPr>
          <w:rFonts w:asciiTheme="minorHAnsi" w:hAnsiTheme="minorHAnsi"/>
          <w:sz w:val="16"/>
          <w:szCs w:val="16"/>
        </w:rPr>
        <w:t>paths 99023 and 99026 which are covered under clearance 0607-0991, 2017 Economic Census Industry Classification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06" w:rsidRDefault="00B271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06" w:rsidRDefault="00B27106">
    <w:pPr>
      <w:framePr w:w="9361" w:wrap="notBeside" w:vAnchor="text" w:hAnchor="text" w:x="1" w:y="1"/>
      <w:jc w:val="right"/>
    </w:pPr>
    <w:r>
      <w:fldChar w:fldCharType="begin"/>
    </w:r>
    <w:r>
      <w:instrText xml:space="preserve">PAGE </w:instrText>
    </w:r>
    <w:r>
      <w:fldChar w:fldCharType="separate"/>
    </w:r>
    <w:r w:rsidR="00616B9B">
      <w:rPr>
        <w:noProof/>
      </w:rPr>
      <w:t>2</w:t>
    </w:r>
    <w:r>
      <w:fldChar w:fldCharType="end"/>
    </w:r>
  </w:p>
  <w:p w:rsidR="00B27106" w:rsidRDefault="00B27106"/>
  <w:p w:rsidR="00B27106" w:rsidRDefault="00B27106">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106" w:rsidRDefault="00B271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872B8"/>
    <w:multiLevelType w:val="hybridMultilevel"/>
    <w:tmpl w:val="9A90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76A31"/>
    <w:multiLevelType w:val="hybridMultilevel"/>
    <w:tmpl w:val="4A72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75805"/>
    <w:multiLevelType w:val="hybridMultilevel"/>
    <w:tmpl w:val="7178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80295"/>
    <w:multiLevelType w:val="hybridMultilevel"/>
    <w:tmpl w:val="B6DEE0B2"/>
    <w:lvl w:ilvl="0" w:tplc="7ADCBE70">
      <w:start w:val="491"/>
      <w:numFmt w:val="decimal"/>
      <w:lvlText w:val="%1"/>
      <w:lvlJc w:val="left"/>
      <w:pPr>
        <w:tabs>
          <w:tab w:val="num" w:pos="2880"/>
        </w:tabs>
        <w:ind w:left="2880" w:hanging="2160"/>
      </w:pPr>
      <w:rPr>
        <w:rFonts w:hint="default"/>
      </w:rPr>
    </w:lvl>
    <w:lvl w:ilvl="1" w:tplc="8E828800">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FB11992"/>
    <w:multiLevelType w:val="hybridMultilevel"/>
    <w:tmpl w:val="7DF8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B23B2C"/>
    <w:multiLevelType w:val="hybridMultilevel"/>
    <w:tmpl w:val="B06C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E83AF8"/>
    <w:multiLevelType w:val="hybridMultilevel"/>
    <w:tmpl w:val="275EA9B0"/>
    <w:lvl w:ilvl="0" w:tplc="385A6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CDB2D7C"/>
    <w:multiLevelType w:val="hybridMultilevel"/>
    <w:tmpl w:val="46A81B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5599C"/>
    <w:multiLevelType w:val="hybridMultilevel"/>
    <w:tmpl w:val="2E782808"/>
    <w:lvl w:ilvl="0" w:tplc="4746D52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1365471"/>
    <w:multiLevelType w:val="hybridMultilevel"/>
    <w:tmpl w:val="A7B0A72E"/>
    <w:lvl w:ilvl="0" w:tplc="7C121E4C">
      <w:start w:val="48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DC64811"/>
    <w:multiLevelType w:val="hybridMultilevel"/>
    <w:tmpl w:val="964458C8"/>
    <w:lvl w:ilvl="0" w:tplc="1C4E54A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2F635E6"/>
    <w:multiLevelType w:val="hybridMultilevel"/>
    <w:tmpl w:val="2C343C9A"/>
    <w:lvl w:ilvl="0" w:tplc="CC9AA722">
      <w:start w:val="49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3BB3D73"/>
    <w:multiLevelType w:val="hybridMultilevel"/>
    <w:tmpl w:val="7DD273E6"/>
    <w:lvl w:ilvl="0" w:tplc="FEAC8FDC">
      <w:start w:val="22"/>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44F7FAD"/>
    <w:multiLevelType w:val="hybridMultilevel"/>
    <w:tmpl w:val="644AE37E"/>
    <w:lvl w:ilvl="0" w:tplc="4CA23A1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632496F"/>
    <w:multiLevelType w:val="hybridMultilevel"/>
    <w:tmpl w:val="DA00D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25612"/>
    <w:multiLevelType w:val="hybridMultilevel"/>
    <w:tmpl w:val="37CE3B08"/>
    <w:lvl w:ilvl="0" w:tplc="7804CBDC">
      <w:start w:val="521"/>
      <w:numFmt w:val="decimal"/>
      <w:lvlText w:val="%1"/>
      <w:lvlJc w:val="left"/>
      <w:pPr>
        <w:tabs>
          <w:tab w:val="num" w:pos="2880"/>
        </w:tabs>
        <w:ind w:left="2880" w:hanging="2160"/>
      </w:pPr>
      <w:rPr>
        <w:rFonts w:hint="default"/>
      </w:rPr>
    </w:lvl>
    <w:lvl w:ilvl="1" w:tplc="EF6CA13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9F420C6">
      <w:start w:val="1"/>
      <w:numFmt w:val="upperRoman"/>
      <w:lvlText w:val="%5."/>
      <w:lvlJc w:val="left"/>
      <w:pPr>
        <w:tabs>
          <w:tab w:val="num" w:pos="4320"/>
        </w:tabs>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5C72437"/>
    <w:multiLevelType w:val="hybridMultilevel"/>
    <w:tmpl w:val="1B26C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570668"/>
    <w:multiLevelType w:val="hybridMultilevel"/>
    <w:tmpl w:val="E220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05774A"/>
    <w:multiLevelType w:val="hybridMultilevel"/>
    <w:tmpl w:val="E536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E50222"/>
    <w:multiLevelType w:val="hybridMultilevel"/>
    <w:tmpl w:val="1372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A7DDE"/>
    <w:multiLevelType w:val="hybridMultilevel"/>
    <w:tmpl w:val="2D7A0BE0"/>
    <w:lvl w:ilvl="0" w:tplc="969086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FDA374F"/>
    <w:multiLevelType w:val="hybridMultilevel"/>
    <w:tmpl w:val="36E69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822886"/>
    <w:multiLevelType w:val="hybridMultilevel"/>
    <w:tmpl w:val="321C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BA1ED7"/>
    <w:multiLevelType w:val="hybridMultilevel"/>
    <w:tmpl w:val="8B0E2D0A"/>
    <w:lvl w:ilvl="0" w:tplc="8C8406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CE32A2"/>
    <w:multiLevelType w:val="hybridMultilevel"/>
    <w:tmpl w:val="5DB2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2C634F"/>
    <w:multiLevelType w:val="singleLevel"/>
    <w:tmpl w:val="04090017"/>
    <w:lvl w:ilvl="0">
      <w:start w:val="1"/>
      <w:numFmt w:val="lowerLetter"/>
      <w:lvlText w:val="%1)"/>
      <w:lvlJc w:val="left"/>
      <w:pPr>
        <w:ind w:left="360" w:hanging="360"/>
      </w:pPr>
      <w:rPr>
        <w:rFonts w:hint="default"/>
      </w:rPr>
    </w:lvl>
  </w:abstractNum>
  <w:abstractNum w:abstractNumId="27">
    <w:nsid w:val="5C323F6B"/>
    <w:multiLevelType w:val="hybridMultilevel"/>
    <w:tmpl w:val="0AEC4C34"/>
    <w:lvl w:ilvl="0" w:tplc="1DDA74D8">
      <w:start w:val="425"/>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C684B34"/>
    <w:multiLevelType w:val="hybridMultilevel"/>
    <w:tmpl w:val="542A2CEE"/>
    <w:lvl w:ilvl="0" w:tplc="34368CEA">
      <w:start w:val="52"/>
      <w:numFmt w:val="decimal"/>
      <w:lvlText w:val="%1"/>
      <w:lvlJc w:val="left"/>
      <w:pPr>
        <w:tabs>
          <w:tab w:val="num" w:pos="2880"/>
        </w:tabs>
        <w:ind w:left="2880" w:hanging="2160"/>
      </w:pPr>
      <w:rPr>
        <w:rFonts w:hint="default"/>
      </w:rPr>
    </w:lvl>
    <w:lvl w:ilvl="1" w:tplc="CB60AA0C">
      <w:start w:val="1"/>
      <w:numFmt w:val="lowerLetter"/>
      <w:lvlText w:val="%2."/>
      <w:lvlJc w:val="left"/>
      <w:pPr>
        <w:tabs>
          <w:tab w:val="num" w:pos="1920"/>
        </w:tabs>
        <w:ind w:left="1920" w:hanging="480"/>
      </w:pPr>
      <w:rPr>
        <w:rFonts w:hint="default"/>
      </w:rPr>
    </w:lvl>
    <w:lvl w:ilvl="2" w:tplc="F7EA901A">
      <w:start w:val="2"/>
      <w:numFmt w:val="lowerLetter"/>
      <w:lvlText w:val="(%3)"/>
      <w:lvlJc w:val="left"/>
      <w:pPr>
        <w:tabs>
          <w:tab w:val="num" w:pos="3060"/>
        </w:tabs>
        <w:ind w:left="3060" w:hanging="720"/>
      </w:pPr>
      <w:rPr>
        <w:rFonts w:hint="default"/>
      </w:rPr>
    </w:lvl>
    <w:lvl w:ilvl="3" w:tplc="13C4AD92">
      <w:start w:val="7"/>
      <w:numFmt w:val="upp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D3F02D6"/>
    <w:multiLevelType w:val="hybridMultilevel"/>
    <w:tmpl w:val="FFAA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B351F1"/>
    <w:multiLevelType w:val="hybridMultilevel"/>
    <w:tmpl w:val="D698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1511C7"/>
    <w:multiLevelType w:val="singleLevel"/>
    <w:tmpl w:val="6116242A"/>
    <w:lvl w:ilvl="0">
      <w:start w:val="1"/>
      <w:numFmt w:val="decimal"/>
      <w:lvlText w:val="(%1)"/>
      <w:lvlJc w:val="left"/>
      <w:pPr>
        <w:tabs>
          <w:tab w:val="num" w:pos="2160"/>
        </w:tabs>
        <w:ind w:left="2160" w:hanging="720"/>
      </w:pPr>
      <w:rPr>
        <w:rFonts w:hint="default"/>
      </w:rPr>
    </w:lvl>
  </w:abstractNum>
  <w:abstractNum w:abstractNumId="32">
    <w:nsid w:val="66812B6F"/>
    <w:multiLevelType w:val="hybridMultilevel"/>
    <w:tmpl w:val="1744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CC7D62"/>
    <w:multiLevelType w:val="multilevel"/>
    <w:tmpl w:val="E61676AC"/>
    <w:lvl w:ilvl="0">
      <w:start w:val="48"/>
      <w:numFmt w:val="decimal"/>
      <w:lvlText w:val="%1"/>
      <w:lvlJc w:val="left"/>
      <w:pPr>
        <w:tabs>
          <w:tab w:val="num" w:pos="2160"/>
        </w:tabs>
        <w:ind w:left="2160" w:hanging="2160"/>
      </w:pPr>
      <w:rPr>
        <w:rFonts w:hint="default"/>
      </w:rPr>
    </w:lvl>
    <w:lvl w:ilvl="1">
      <w:start w:val="49"/>
      <w:numFmt w:val="decimal"/>
      <w:lvlText w:val="%1-%2"/>
      <w:lvlJc w:val="left"/>
      <w:pPr>
        <w:tabs>
          <w:tab w:val="num" w:pos="2880"/>
        </w:tabs>
        <w:ind w:left="2880" w:hanging="2160"/>
      </w:pPr>
      <w:rPr>
        <w:rFonts w:hint="default"/>
      </w:rPr>
    </w:lvl>
    <w:lvl w:ilvl="2">
      <w:start w:val="1"/>
      <w:numFmt w:val="decimal"/>
      <w:lvlText w:val="%1-%2.%3"/>
      <w:lvlJc w:val="left"/>
      <w:pPr>
        <w:tabs>
          <w:tab w:val="num" w:pos="3600"/>
        </w:tabs>
        <w:ind w:left="3600" w:hanging="2160"/>
      </w:pPr>
      <w:rPr>
        <w:rFonts w:hint="default"/>
      </w:rPr>
    </w:lvl>
    <w:lvl w:ilvl="3">
      <w:start w:val="1"/>
      <w:numFmt w:val="decimal"/>
      <w:lvlText w:val="%1-%2.%3.%4"/>
      <w:lvlJc w:val="left"/>
      <w:pPr>
        <w:tabs>
          <w:tab w:val="num" w:pos="4320"/>
        </w:tabs>
        <w:ind w:left="4320" w:hanging="2160"/>
      </w:pPr>
      <w:rPr>
        <w:rFonts w:hint="default"/>
      </w:rPr>
    </w:lvl>
    <w:lvl w:ilvl="4">
      <w:start w:val="1"/>
      <w:numFmt w:val="decimal"/>
      <w:lvlText w:val="%1-%2.%3.%4.%5"/>
      <w:lvlJc w:val="left"/>
      <w:pPr>
        <w:tabs>
          <w:tab w:val="num" w:pos="5040"/>
        </w:tabs>
        <w:ind w:left="5040" w:hanging="216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4">
    <w:nsid w:val="67BF4AFA"/>
    <w:multiLevelType w:val="singleLevel"/>
    <w:tmpl w:val="248EE29A"/>
    <w:lvl w:ilvl="0">
      <w:start w:val="3"/>
      <w:numFmt w:val="lowerLetter"/>
      <w:lvlText w:val="(%1)"/>
      <w:lvlJc w:val="left"/>
      <w:pPr>
        <w:tabs>
          <w:tab w:val="num" w:pos="2880"/>
        </w:tabs>
        <w:ind w:left="2880" w:hanging="720"/>
      </w:pPr>
      <w:rPr>
        <w:rFonts w:hint="default"/>
      </w:rPr>
    </w:lvl>
  </w:abstractNum>
  <w:abstractNum w:abstractNumId="35">
    <w:nsid w:val="67D40422"/>
    <w:multiLevelType w:val="hybridMultilevel"/>
    <w:tmpl w:val="A77E37CE"/>
    <w:lvl w:ilvl="0" w:tplc="CC8252AA">
      <w:start w:val="531"/>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86D7B5D"/>
    <w:multiLevelType w:val="hybridMultilevel"/>
    <w:tmpl w:val="E290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C34AFB"/>
    <w:multiLevelType w:val="hybridMultilevel"/>
    <w:tmpl w:val="784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CF106C"/>
    <w:multiLevelType w:val="hybridMultilevel"/>
    <w:tmpl w:val="50F0A1CA"/>
    <w:lvl w:ilvl="0" w:tplc="64A819F4">
      <w:start w:val="1"/>
      <w:numFmt w:val="lowerLetter"/>
      <w:lvlText w:val="(%1)"/>
      <w:lvlJc w:val="left"/>
      <w:pPr>
        <w:ind w:left="2160" w:hanging="720"/>
      </w:pPr>
      <w:rPr>
        <w:rFonts w:ascii="Calibri" w:eastAsia="Times New Roman" w:hAnsi="Calibri"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FC35568"/>
    <w:multiLevelType w:val="singleLevel"/>
    <w:tmpl w:val="7B9EC11C"/>
    <w:lvl w:ilvl="0">
      <w:start w:val="2"/>
      <w:numFmt w:val="decimal"/>
      <w:lvlText w:val="(%1)"/>
      <w:lvlJc w:val="left"/>
      <w:pPr>
        <w:tabs>
          <w:tab w:val="num" w:pos="2160"/>
        </w:tabs>
        <w:ind w:left="2160" w:hanging="720"/>
      </w:pPr>
      <w:rPr>
        <w:rFonts w:hint="default"/>
      </w:rPr>
    </w:lvl>
  </w:abstractNum>
  <w:abstractNum w:abstractNumId="40">
    <w:nsid w:val="73985F9A"/>
    <w:multiLevelType w:val="hybridMultilevel"/>
    <w:tmpl w:val="66765348"/>
    <w:lvl w:ilvl="0" w:tplc="C9EE5258">
      <w:start w:val="484"/>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6915F9E"/>
    <w:multiLevelType w:val="hybridMultilevel"/>
    <w:tmpl w:val="DE0E7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abstractNumId w:val="39"/>
  </w:num>
  <w:num w:numId="3">
    <w:abstractNumId w:val="31"/>
  </w:num>
  <w:num w:numId="4">
    <w:abstractNumId w:val="34"/>
  </w:num>
  <w:num w:numId="5">
    <w:abstractNumId w:val="26"/>
  </w:num>
  <w:num w:numId="6">
    <w:abstractNumId w:val="27"/>
  </w:num>
  <w:num w:numId="7">
    <w:abstractNumId w:val="13"/>
  </w:num>
  <w:num w:numId="8">
    <w:abstractNumId w:val="33"/>
  </w:num>
  <w:num w:numId="9">
    <w:abstractNumId w:val="10"/>
  </w:num>
  <w:num w:numId="10">
    <w:abstractNumId w:val="4"/>
  </w:num>
  <w:num w:numId="11">
    <w:abstractNumId w:val="28"/>
  </w:num>
  <w:num w:numId="12">
    <w:abstractNumId w:val="16"/>
  </w:num>
  <w:num w:numId="13">
    <w:abstractNumId w:val="35"/>
  </w:num>
  <w:num w:numId="14">
    <w:abstractNumId w:val="40"/>
  </w:num>
  <w:num w:numId="15">
    <w:abstractNumId w:val="12"/>
  </w:num>
  <w:num w:numId="16">
    <w:abstractNumId w:val="7"/>
  </w:num>
  <w:num w:numId="17">
    <w:abstractNumId w:val="24"/>
  </w:num>
  <w:num w:numId="18">
    <w:abstractNumId w:val="9"/>
  </w:num>
  <w:num w:numId="19">
    <w:abstractNumId w:val="14"/>
  </w:num>
  <w:num w:numId="20">
    <w:abstractNumId w:val="21"/>
  </w:num>
  <w:num w:numId="21">
    <w:abstractNumId w:val="11"/>
  </w:num>
  <w:num w:numId="22">
    <w:abstractNumId w:val="38"/>
  </w:num>
  <w:num w:numId="23">
    <w:abstractNumId w:val="19"/>
  </w:num>
  <w:num w:numId="24">
    <w:abstractNumId w:val="22"/>
  </w:num>
  <w:num w:numId="25">
    <w:abstractNumId w:val="41"/>
  </w:num>
  <w:num w:numId="26">
    <w:abstractNumId w:val="2"/>
  </w:num>
  <w:num w:numId="27">
    <w:abstractNumId w:val="32"/>
  </w:num>
  <w:num w:numId="28">
    <w:abstractNumId w:val="17"/>
  </w:num>
  <w:num w:numId="29">
    <w:abstractNumId w:val="37"/>
  </w:num>
  <w:num w:numId="30">
    <w:abstractNumId w:val="3"/>
  </w:num>
  <w:num w:numId="31">
    <w:abstractNumId w:val="36"/>
  </w:num>
  <w:num w:numId="32">
    <w:abstractNumId w:val="15"/>
  </w:num>
  <w:num w:numId="33">
    <w:abstractNumId w:val="23"/>
  </w:num>
  <w:num w:numId="34">
    <w:abstractNumId w:val="6"/>
  </w:num>
  <w:num w:numId="35">
    <w:abstractNumId w:val="30"/>
  </w:num>
  <w:num w:numId="36">
    <w:abstractNumId w:val="18"/>
  </w:num>
  <w:num w:numId="37">
    <w:abstractNumId w:val="25"/>
  </w:num>
  <w:num w:numId="38">
    <w:abstractNumId w:val="1"/>
  </w:num>
  <w:num w:numId="39">
    <w:abstractNumId w:val="5"/>
  </w:num>
  <w:num w:numId="40">
    <w:abstractNumId w:val="8"/>
  </w:num>
  <w:num w:numId="41">
    <w:abstractNumId w:val="20"/>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XmlVersion" w:val="Empty"/>
  </w:docVars>
  <w:rsids>
    <w:rsidRoot w:val="002A794F"/>
    <w:rsid w:val="000033AD"/>
    <w:rsid w:val="000063AB"/>
    <w:rsid w:val="00015D05"/>
    <w:rsid w:val="0001741F"/>
    <w:rsid w:val="0002259E"/>
    <w:rsid w:val="00027BB2"/>
    <w:rsid w:val="00031BC1"/>
    <w:rsid w:val="000320ED"/>
    <w:rsid w:val="00035D65"/>
    <w:rsid w:val="0003793E"/>
    <w:rsid w:val="00037E35"/>
    <w:rsid w:val="00041B4B"/>
    <w:rsid w:val="00055A82"/>
    <w:rsid w:val="00060427"/>
    <w:rsid w:val="00064DC1"/>
    <w:rsid w:val="000663FF"/>
    <w:rsid w:val="000837A3"/>
    <w:rsid w:val="00087B6D"/>
    <w:rsid w:val="000A24DD"/>
    <w:rsid w:val="000B1C98"/>
    <w:rsid w:val="000C2CFB"/>
    <w:rsid w:val="000D1AF5"/>
    <w:rsid w:val="000D40CA"/>
    <w:rsid w:val="000D565B"/>
    <w:rsid w:val="000D5C11"/>
    <w:rsid w:val="000D622E"/>
    <w:rsid w:val="000E0B31"/>
    <w:rsid w:val="000E0E8F"/>
    <w:rsid w:val="000E40FA"/>
    <w:rsid w:val="000E5C6D"/>
    <w:rsid w:val="000E644F"/>
    <w:rsid w:val="000E79B3"/>
    <w:rsid w:val="001103DF"/>
    <w:rsid w:val="0011554E"/>
    <w:rsid w:val="00115DCE"/>
    <w:rsid w:val="00125F42"/>
    <w:rsid w:val="00126EAC"/>
    <w:rsid w:val="00134CC9"/>
    <w:rsid w:val="00135044"/>
    <w:rsid w:val="00135C11"/>
    <w:rsid w:val="00142775"/>
    <w:rsid w:val="001537DB"/>
    <w:rsid w:val="001552F9"/>
    <w:rsid w:val="0016299C"/>
    <w:rsid w:val="0016331F"/>
    <w:rsid w:val="0016662A"/>
    <w:rsid w:val="001679CF"/>
    <w:rsid w:val="00175D81"/>
    <w:rsid w:val="001826F9"/>
    <w:rsid w:val="00191B57"/>
    <w:rsid w:val="001969AB"/>
    <w:rsid w:val="001A4B64"/>
    <w:rsid w:val="001A546B"/>
    <w:rsid w:val="001B1737"/>
    <w:rsid w:val="001C0A0C"/>
    <w:rsid w:val="001C0ADC"/>
    <w:rsid w:val="001C57B6"/>
    <w:rsid w:val="001E3EA8"/>
    <w:rsid w:val="00200A37"/>
    <w:rsid w:val="002052FE"/>
    <w:rsid w:val="00206399"/>
    <w:rsid w:val="0020640E"/>
    <w:rsid w:val="002070B8"/>
    <w:rsid w:val="00214719"/>
    <w:rsid w:val="00214D29"/>
    <w:rsid w:val="002176BF"/>
    <w:rsid w:val="0022465D"/>
    <w:rsid w:val="00227EF4"/>
    <w:rsid w:val="002323D4"/>
    <w:rsid w:val="00233CDD"/>
    <w:rsid w:val="0024397A"/>
    <w:rsid w:val="00245558"/>
    <w:rsid w:val="00261593"/>
    <w:rsid w:val="0026277E"/>
    <w:rsid w:val="00263A51"/>
    <w:rsid w:val="00282065"/>
    <w:rsid w:val="00284E81"/>
    <w:rsid w:val="002935E3"/>
    <w:rsid w:val="002A3D4B"/>
    <w:rsid w:val="002A794F"/>
    <w:rsid w:val="002B769E"/>
    <w:rsid w:val="002D004B"/>
    <w:rsid w:val="002D4100"/>
    <w:rsid w:val="002D6398"/>
    <w:rsid w:val="002E4AC3"/>
    <w:rsid w:val="00307718"/>
    <w:rsid w:val="00314E78"/>
    <w:rsid w:val="00316115"/>
    <w:rsid w:val="00321F3B"/>
    <w:rsid w:val="00322323"/>
    <w:rsid w:val="0032367F"/>
    <w:rsid w:val="00323FDB"/>
    <w:rsid w:val="0033009F"/>
    <w:rsid w:val="00340D00"/>
    <w:rsid w:val="003411C8"/>
    <w:rsid w:val="003415EF"/>
    <w:rsid w:val="003521E4"/>
    <w:rsid w:val="00353C41"/>
    <w:rsid w:val="0035650B"/>
    <w:rsid w:val="003570A6"/>
    <w:rsid w:val="0036237B"/>
    <w:rsid w:val="0036651F"/>
    <w:rsid w:val="00367ED1"/>
    <w:rsid w:val="00375C09"/>
    <w:rsid w:val="00381ABA"/>
    <w:rsid w:val="003834C8"/>
    <w:rsid w:val="00383C14"/>
    <w:rsid w:val="00387620"/>
    <w:rsid w:val="00390A0D"/>
    <w:rsid w:val="00395ADE"/>
    <w:rsid w:val="003B12ED"/>
    <w:rsid w:val="003B36FC"/>
    <w:rsid w:val="003C4E66"/>
    <w:rsid w:val="003C4E68"/>
    <w:rsid w:val="003D1367"/>
    <w:rsid w:val="003D422B"/>
    <w:rsid w:val="003E0728"/>
    <w:rsid w:val="003E432D"/>
    <w:rsid w:val="003F1074"/>
    <w:rsid w:val="003F552F"/>
    <w:rsid w:val="003F5A47"/>
    <w:rsid w:val="003F6D57"/>
    <w:rsid w:val="004022E7"/>
    <w:rsid w:val="004070F9"/>
    <w:rsid w:val="00422870"/>
    <w:rsid w:val="004228A9"/>
    <w:rsid w:val="00423A20"/>
    <w:rsid w:val="004253A6"/>
    <w:rsid w:val="00441DF7"/>
    <w:rsid w:val="004423E7"/>
    <w:rsid w:val="00466487"/>
    <w:rsid w:val="00473383"/>
    <w:rsid w:val="004856DA"/>
    <w:rsid w:val="004C1280"/>
    <w:rsid w:val="004C68E1"/>
    <w:rsid w:val="004D36F3"/>
    <w:rsid w:val="004E004A"/>
    <w:rsid w:val="004E04CB"/>
    <w:rsid w:val="004E1301"/>
    <w:rsid w:val="004F41C0"/>
    <w:rsid w:val="004F53B4"/>
    <w:rsid w:val="004F54BF"/>
    <w:rsid w:val="004F621F"/>
    <w:rsid w:val="00505B8B"/>
    <w:rsid w:val="00507C35"/>
    <w:rsid w:val="005115E4"/>
    <w:rsid w:val="00540C76"/>
    <w:rsid w:val="00544963"/>
    <w:rsid w:val="005469D7"/>
    <w:rsid w:val="00550313"/>
    <w:rsid w:val="00551968"/>
    <w:rsid w:val="00553079"/>
    <w:rsid w:val="00567DF6"/>
    <w:rsid w:val="0058170D"/>
    <w:rsid w:val="005824C8"/>
    <w:rsid w:val="00597B7E"/>
    <w:rsid w:val="005A038E"/>
    <w:rsid w:val="005A74EA"/>
    <w:rsid w:val="005A7575"/>
    <w:rsid w:val="005A7BB7"/>
    <w:rsid w:val="005B11B1"/>
    <w:rsid w:val="005B68D6"/>
    <w:rsid w:val="005C4588"/>
    <w:rsid w:val="005C4E07"/>
    <w:rsid w:val="005E5BB1"/>
    <w:rsid w:val="005F24C4"/>
    <w:rsid w:val="005F2730"/>
    <w:rsid w:val="005F2934"/>
    <w:rsid w:val="005F7F74"/>
    <w:rsid w:val="006101FC"/>
    <w:rsid w:val="00610B33"/>
    <w:rsid w:val="006116F3"/>
    <w:rsid w:val="00611F13"/>
    <w:rsid w:val="00616B9B"/>
    <w:rsid w:val="00617230"/>
    <w:rsid w:val="00620D43"/>
    <w:rsid w:val="0062759A"/>
    <w:rsid w:val="00627A85"/>
    <w:rsid w:val="00635048"/>
    <w:rsid w:val="006531DC"/>
    <w:rsid w:val="006535F2"/>
    <w:rsid w:val="006551AF"/>
    <w:rsid w:val="00671239"/>
    <w:rsid w:val="00674A3F"/>
    <w:rsid w:val="00677560"/>
    <w:rsid w:val="0067795B"/>
    <w:rsid w:val="00681779"/>
    <w:rsid w:val="0068568F"/>
    <w:rsid w:val="00697E8D"/>
    <w:rsid w:val="006B42A0"/>
    <w:rsid w:val="006B77B8"/>
    <w:rsid w:val="006C6627"/>
    <w:rsid w:val="006D5CFE"/>
    <w:rsid w:val="006E2684"/>
    <w:rsid w:val="00711D98"/>
    <w:rsid w:val="007133CA"/>
    <w:rsid w:val="00721659"/>
    <w:rsid w:val="00734A5B"/>
    <w:rsid w:val="00735455"/>
    <w:rsid w:val="0075353E"/>
    <w:rsid w:val="00753BE3"/>
    <w:rsid w:val="007560C2"/>
    <w:rsid w:val="007824C2"/>
    <w:rsid w:val="00792D3F"/>
    <w:rsid w:val="0079531C"/>
    <w:rsid w:val="007A08D2"/>
    <w:rsid w:val="007A753F"/>
    <w:rsid w:val="007B66CF"/>
    <w:rsid w:val="007B6925"/>
    <w:rsid w:val="007C3EB2"/>
    <w:rsid w:val="007C4EC1"/>
    <w:rsid w:val="007D1106"/>
    <w:rsid w:val="007D3475"/>
    <w:rsid w:val="007D34F2"/>
    <w:rsid w:val="007D47EF"/>
    <w:rsid w:val="007D6B9D"/>
    <w:rsid w:val="007E0BD6"/>
    <w:rsid w:val="007E4E28"/>
    <w:rsid w:val="007E7EFD"/>
    <w:rsid w:val="008019E9"/>
    <w:rsid w:val="008020A1"/>
    <w:rsid w:val="00805AA6"/>
    <w:rsid w:val="008069EA"/>
    <w:rsid w:val="008125CF"/>
    <w:rsid w:val="00813A4A"/>
    <w:rsid w:val="0082049F"/>
    <w:rsid w:val="008205F8"/>
    <w:rsid w:val="008240EC"/>
    <w:rsid w:val="00825C9E"/>
    <w:rsid w:val="00832987"/>
    <w:rsid w:val="008340D6"/>
    <w:rsid w:val="00842B2C"/>
    <w:rsid w:val="00850C11"/>
    <w:rsid w:val="00862256"/>
    <w:rsid w:val="008632AE"/>
    <w:rsid w:val="00864F84"/>
    <w:rsid w:val="00874AA0"/>
    <w:rsid w:val="00876DF5"/>
    <w:rsid w:val="00883144"/>
    <w:rsid w:val="00884A53"/>
    <w:rsid w:val="00886FB4"/>
    <w:rsid w:val="008877BE"/>
    <w:rsid w:val="00890773"/>
    <w:rsid w:val="008910B2"/>
    <w:rsid w:val="00891FB7"/>
    <w:rsid w:val="008B05CC"/>
    <w:rsid w:val="008B21CC"/>
    <w:rsid w:val="008C5EBD"/>
    <w:rsid w:val="008D2D5B"/>
    <w:rsid w:val="008E256A"/>
    <w:rsid w:val="008E5F17"/>
    <w:rsid w:val="008F1C2A"/>
    <w:rsid w:val="008F2FBA"/>
    <w:rsid w:val="009033C9"/>
    <w:rsid w:val="00913374"/>
    <w:rsid w:val="00913DA1"/>
    <w:rsid w:val="00914CFF"/>
    <w:rsid w:val="009206A9"/>
    <w:rsid w:val="00921E00"/>
    <w:rsid w:val="00922E5E"/>
    <w:rsid w:val="00927FB4"/>
    <w:rsid w:val="00931428"/>
    <w:rsid w:val="00962A3F"/>
    <w:rsid w:val="00963ADB"/>
    <w:rsid w:val="00974750"/>
    <w:rsid w:val="00976417"/>
    <w:rsid w:val="009769B9"/>
    <w:rsid w:val="00982FAA"/>
    <w:rsid w:val="009902E2"/>
    <w:rsid w:val="009918FB"/>
    <w:rsid w:val="009A7157"/>
    <w:rsid w:val="009B0300"/>
    <w:rsid w:val="009B26DA"/>
    <w:rsid w:val="009C6F54"/>
    <w:rsid w:val="009C72C2"/>
    <w:rsid w:val="009D7FAD"/>
    <w:rsid w:val="009E1CB5"/>
    <w:rsid w:val="009E5BED"/>
    <w:rsid w:val="009E7979"/>
    <w:rsid w:val="009F079C"/>
    <w:rsid w:val="009F33F4"/>
    <w:rsid w:val="009F5A13"/>
    <w:rsid w:val="00A030D6"/>
    <w:rsid w:val="00A03959"/>
    <w:rsid w:val="00A07074"/>
    <w:rsid w:val="00A240B7"/>
    <w:rsid w:val="00A3145E"/>
    <w:rsid w:val="00A32540"/>
    <w:rsid w:val="00A35611"/>
    <w:rsid w:val="00A4416C"/>
    <w:rsid w:val="00A45355"/>
    <w:rsid w:val="00A50C57"/>
    <w:rsid w:val="00A6125C"/>
    <w:rsid w:val="00A61EEE"/>
    <w:rsid w:val="00A700C9"/>
    <w:rsid w:val="00A706E1"/>
    <w:rsid w:val="00A7085A"/>
    <w:rsid w:val="00A72232"/>
    <w:rsid w:val="00AA00EB"/>
    <w:rsid w:val="00AA35F3"/>
    <w:rsid w:val="00AA64C8"/>
    <w:rsid w:val="00AC1D3A"/>
    <w:rsid w:val="00AC32E0"/>
    <w:rsid w:val="00AD5E02"/>
    <w:rsid w:val="00AE3437"/>
    <w:rsid w:val="00AE507B"/>
    <w:rsid w:val="00AE58BD"/>
    <w:rsid w:val="00AF272B"/>
    <w:rsid w:val="00AF4077"/>
    <w:rsid w:val="00AF4B36"/>
    <w:rsid w:val="00AF5C9D"/>
    <w:rsid w:val="00AF7502"/>
    <w:rsid w:val="00B0337F"/>
    <w:rsid w:val="00B06753"/>
    <w:rsid w:val="00B11207"/>
    <w:rsid w:val="00B142E4"/>
    <w:rsid w:val="00B2126D"/>
    <w:rsid w:val="00B22F2B"/>
    <w:rsid w:val="00B2442C"/>
    <w:rsid w:val="00B27106"/>
    <w:rsid w:val="00B315A8"/>
    <w:rsid w:val="00B32657"/>
    <w:rsid w:val="00B41B93"/>
    <w:rsid w:val="00B43287"/>
    <w:rsid w:val="00B44DC7"/>
    <w:rsid w:val="00B45489"/>
    <w:rsid w:val="00B462C0"/>
    <w:rsid w:val="00B51802"/>
    <w:rsid w:val="00B56724"/>
    <w:rsid w:val="00B5758E"/>
    <w:rsid w:val="00B634B2"/>
    <w:rsid w:val="00B65032"/>
    <w:rsid w:val="00B700B7"/>
    <w:rsid w:val="00B70E59"/>
    <w:rsid w:val="00B71354"/>
    <w:rsid w:val="00B72A70"/>
    <w:rsid w:val="00B74435"/>
    <w:rsid w:val="00B758F3"/>
    <w:rsid w:val="00B76F21"/>
    <w:rsid w:val="00B77FC1"/>
    <w:rsid w:val="00B85DC0"/>
    <w:rsid w:val="00BA0F7C"/>
    <w:rsid w:val="00BA240C"/>
    <w:rsid w:val="00BA4B9F"/>
    <w:rsid w:val="00BC4750"/>
    <w:rsid w:val="00BD2581"/>
    <w:rsid w:val="00BD3307"/>
    <w:rsid w:val="00BD6785"/>
    <w:rsid w:val="00BE26D8"/>
    <w:rsid w:val="00BE392D"/>
    <w:rsid w:val="00BE5897"/>
    <w:rsid w:val="00BE6D80"/>
    <w:rsid w:val="00BF229F"/>
    <w:rsid w:val="00BF4E16"/>
    <w:rsid w:val="00C029F4"/>
    <w:rsid w:val="00C044D7"/>
    <w:rsid w:val="00C121A8"/>
    <w:rsid w:val="00C124A0"/>
    <w:rsid w:val="00C12D9A"/>
    <w:rsid w:val="00C13C80"/>
    <w:rsid w:val="00C1473E"/>
    <w:rsid w:val="00C1536A"/>
    <w:rsid w:val="00C26873"/>
    <w:rsid w:val="00C26C99"/>
    <w:rsid w:val="00C30245"/>
    <w:rsid w:val="00C303E1"/>
    <w:rsid w:val="00C34EDE"/>
    <w:rsid w:val="00C45499"/>
    <w:rsid w:val="00C51E39"/>
    <w:rsid w:val="00C55034"/>
    <w:rsid w:val="00C63217"/>
    <w:rsid w:val="00C71AC4"/>
    <w:rsid w:val="00C76418"/>
    <w:rsid w:val="00C82CA8"/>
    <w:rsid w:val="00C8348C"/>
    <w:rsid w:val="00C85297"/>
    <w:rsid w:val="00C91C6F"/>
    <w:rsid w:val="00C94B22"/>
    <w:rsid w:val="00CA23CC"/>
    <w:rsid w:val="00CA5148"/>
    <w:rsid w:val="00CA56AE"/>
    <w:rsid w:val="00CA5749"/>
    <w:rsid w:val="00CA73D8"/>
    <w:rsid w:val="00CB1600"/>
    <w:rsid w:val="00CC29CA"/>
    <w:rsid w:val="00CC71F5"/>
    <w:rsid w:val="00CC7BFC"/>
    <w:rsid w:val="00CD0932"/>
    <w:rsid w:val="00CD0935"/>
    <w:rsid w:val="00CF10A7"/>
    <w:rsid w:val="00D108E9"/>
    <w:rsid w:val="00D1193D"/>
    <w:rsid w:val="00D15682"/>
    <w:rsid w:val="00D24D88"/>
    <w:rsid w:val="00D25BF8"/>
    <w:rsid w:val="00D371FA"/>
    <w:rsid w:val="00D4154E"/>
    <w:rsid w:val="00D4780B"/>
    <w:rsid w:val="00D5353A"/>
    <w:rsid w:val="00D770D3"/>
    <w:rsid w:val="00D80DFC"/>
    <w:rsid w:val="00D82C40"/>
    <w:rsid w:val="00D94E72"/>
    <w:rsid w:val="00D95603"/>
    <w:rsid w:val="00DA17DE"/>
    <w:rsid w:val="00DB7DB6"/>
    <w:rsid w:val="00DC1FE4"/>
    <w:rsid w:val="00DD12EA"/>
    <w:rsid w:val="00DE000A"/>
    <w:rsid w:val="00DE13F6"/>
    <w:rsid w:val="00DE1C54"/>
    <w:rsid w:val="00DE30BE"/>
    <w:rsid w:val="00E00851"/>
    <w:rsid w:val="00E02097"/>
    <w:rsid w:val="00E13CF5"/>
    <w:rsid w:val="00E174CA"/>
    <w:rsid w:val="00E36459"/>
    <w:rsid w:val="00E372B0"/>
    <w:rsid w:val="00E373F1"/>
    <w:rsid w:val="00E376BC"/>
    <w:rsid w:val="00E43BE2"/>
    <w:rsid w:val="00E457D1"/>
    <w:rsid w:val="00E50F1A"/>
    <w:rsid w:val="00E5486E"/>
    <w:rsid w:val="00E55313"/>
    <w:rsid w:val="00E577B6"/>
    <w:rsid w:val="00E620F2"/>
    <w:rsid w:val="00E6221C"/>
    <w:rsid w:val="00E835FD"/>
    <w:rsid w:val="00E903DD"/>
    <w:rsid w:val="00EA38C4"/>
    <w:rsid w:val="00EA7466"/>
    <w:rsid w:val="00EB7C92"/>
    <w:rsid w:val="00EC245C"/>
    <w:rsid w:val="00EC7E33"/>
    <w:rsid w:val="00EF0B20"/>
    <w:rsid w:val="00EF0E07"/>
    <w:rsid w:val="00EF270E"/>
    <w:rsid w:val="00EF52D0"/>
    <w:rsid w:val="00EF7A2C"/>
    <w:rsid w:val="00F01317"/>
    <w:rsid w:val="00F03536"/>
    <w:rsid w:val="00F071E1"/>
    <w:rsid w:val="00F11E1A"/>
    <w:rsid w:val="00F136D1"/>
    <w:rsid w:val="00F20B7F"/>
    <w:rsid w:val="00F21D61"/>
    <w:rsid w:val="00F22D70"/>
    <w:rsid w:val="00F256A2"/>
    <w:rsid w:val="00F371BC"/>
    <w:rsid w:val="00F466AE"/>
    <w:rsid w:val="00F548AD"/>
    <w:rsid w:val="00F5606C"/>
    <w:rsid w:val="00F662C4"/>
    <w:rsid w:val="00F66FBA"/>
    <w:rsid w:val="00F67577"/>
    <w:rsid w:val="00F708FB"/>
    <w:rsid w:val="00F73212"/>
    <w:rsid w:val="00F77BDD"/>
    <w:rsid w:val="00F8266B"/>
    <w:rsid w:val="00F82883"/>
    <w:rsid w:val="00F83034"/>
    <w:rsid w:val="00F92C7D"/>
    <w:rsid w:val="00F93FB8"/>
    <w:rsid w:val="00FA1740"/>
    <w:rsid w:val="00FA2AFA"/>
    <w:rsid w:val="00FA309F"/>
    <w:rsid w:val="00FA57EF"/>
    <w:rsid w:val="00FB1847"/>
    <w:rsid w:val="00FC2EEE"/>
    <w:rsid w:val="00FC4BF7"/>
    <w:rsid w:val="00FD52FB"/>
    <w:rsid w:val="00FD6067"/>
    <w:rsid w:val="00FE49FC"/>
    <w:rsid w:val="00FE67B3"/>
    <w:rsid w:val="00FF0486"/>
    <w:rsid w:val="00FF04A1"/>
    <w:rsid w:val="00FF33A4"/>
    <w:rsid w:val="00FF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ind w:left="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odyText">
    <w:name w:val="Body Text"/>
    <w:basedOn w:val="Normal"/>
    <w:semiHidden/>
    <w:pPr>
      <w:spacing w:line="240" w:lineRule="atLeast"/>
    </w:pPr>
    <w:rPr>
      <w:sz w:val="20"/>
    </w:rPr>
  </w:style>
  <w:style w:type="paragraph" w:styleId="BodyTextIndent">
    <w:name w:val="Body Text Indent"/>
    <w:basedOn w:val="Normal"/>
    <w:semiHidden/>
    <w:pPr>
      <w:ind w:left="720"/>
    </w:pPr>
    <w:rPr>
      <w:sz w:val="20"/>
    </w:rPr>
  </w:style>
  <w:style w:type="character" w:styleId="Hyperlink">
    <w:name w:val="Hyperlink"/>
    <w:semiHidden/>
    <w:rPr>
      <w:color w:val="0000FF"/>
      <w:u w:val="single"/>
    </w:rPr>
  </w:style>
  <w:style w:type="paragraph" w:styleId="BodyTextIndent2">
    <w:name w:val="Body Text Indent 2"/>
    <w:basedOn w:val="Normal"/>
    <w:semiHidden/>
    <w:pPr>
      <w:tabs>
        <w:tab w:val="left" w:pos="-1440"/>
      </w:tabs>
      <w:ind w:left="720" w:hanging="720"/>
    </w:pPr>
    <w:rPr>
      <w:sz w:val="20"/>
    </w:rPr>
  </w:style>
  <w:style w:type="paragraph" w:styleId="Header">
    <w:name w:val="header"/>
    <w:basedOn w:val="Normal"/>
    <w:link w:val="HeaderChar"/>
    <w:uiPriority w:val="99"/>
    <w:semiHidden/>
    <w:unhideWhenUsed/>
    <w:rsid w:val="00041B4B"/>
    <w:pPr>
      <w:tabs>
        <w:tab w:val="center" w:pos="4680"/>
        <w:tab w:val="right" w:pos="9360"/>
      </w:tabs>
    </w:pPr>
  </w:style>
  <w:style w:type="character" w:customStyle="1" w:styleId="HeaderChar">
    <w:name w:val="Header Char"/>
    <w:link w:val="Header"/>
    <w:uiPriority w:val="99"/>
    <w:semiHidden/>
    <w:rsid w:val="00041B4B"/>
    <w:rPr>
      <w:rFonts w:ascii="Courier New" w:hAnsi="Courier New"/>
      <w:snapToGrid w:val="0"/>
      <w:sz w:val="24"/>
    </w:rPr>
  </w:style>
  <w:style w:type="paragraph" w:styleId="Footer">
    <w:name w:val="footer"/>
    <w:basedOn w:val="Normal"/>
    <w:link w:val="FooterChar"/>
    <w:uiPriority w:val="99"/>
    <w:semiHidden/>
    <w:unhideWhenUsed/>
    <w:rsid w:val="00041B4B"/>
    <w:pPr>
      <w:tabs>
        <w:tab w:val="center" w:pos="4680"/>
        <w:tab w:val="right" w:pos="9360"/>
      </w:tabs>
    </w:pPr>
  </w:style>
  <w:style w:type="character" w:customStyle="1" w:styleId="FooterChar">
    <w:name w:val="Footer Char"/>
    <w:link w:val="Footer"/>
    <w:uiPriority w:val="99"/>
    <w:semiHidden/>
    <w:rsid w:val="00041B4B"/>
    <w:rPr>
      <w:rFonts w:ascii="Courier New" w:hAnsi="Courier New"/>
      <w:snapToGrid w:val="0"/>
      <w:sz w:val="24"/>
    </w:rPr>
  </w:style>
  <w:style w:type="table" w:styleId="TableGrid">
    <w:name w:val="Table Grid"/>
    <w:basedOn w:val="TableNormal"/>
    <w:uiPriority w:val="59"/>
    <w:rsid w:val="00022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C4"/>
    <w:pPr>
      <w:ind w:left="720"/>
      <w:contextualSpacing/>
    </w:pPr>
  </w:style>
  <w:style w:type="paragraph" w:styleId="BalloonText">
    <w:name w:val="Balloon Text"/>
    <w:basedOn w:val="Normal"/>
    <w:link w:val="BalloonTextChar"/>
    <w:uiPriority w:val="99"/>
    <w:semiHidden/>
    <w:unhideWhenUsed/>
    <w:rsid w:val="00125F42"/>
    <w:rPr>
      <w:rFonts w:ascii="Tahoma" w:hAnsi="Tahoma" w:cs="Tahoma"/>
      <w:sz w:val="16"/>
      <w:szCs w:val="16"/>
    </w:rPr>
  </w:style>
  <w:style w:type="character" w:customStyle="1" w:styleId="BalloonTextChar">
    <w:name w:val="Balloon Text Char"/>
    <w:basedOn w:val="DefaultParagraphFont"/>
    <w:link w:val="BalloonText"/>
    <w:uiPriority w:val="99"/>
    <w:semiHidden/>
    <w:rsid w:val="00125F42"/>
    <w:rPr>
      <w:rFonts w:ascii="Tahoma" w:hAnsi="Tahoma" w:cs="Tahoma"/>
      <w:snapToGrid w:val="0"/>
      <w:sz w:val="16"/>
      <w:szCs w:val="16"/>
    </w:rPr>
  </w:style>
  <w:style w:type="paragraph" w:styleId="FootnoteText">
    <w:name w:val="footnote text"/>
    <w:basedOn w:val="Normal"/>
    <w:link w:val="FootnoteTextChar"/>
    <w:uiPriority w:val="99"/>
    <w:semiHidden/>
    <w:unhideWhenUsed/>
    <w:rsid w:val="00CA56AE"/>
    <w:rPr>
      <w:sz w:val="20"/>
    </w:rPr>
  </w:style>
  <w:style w:type="character" w:customStyle="1" w:styleId="FootnoteTextChar">
    <w:name w:val="Footnote Text Char"/>
    <w:basedOn w:val="DefaultParagraphFont"/>
    <w:link w:val="FootnoteText"/>
    <w:uiPriority w:val="99"/>
    <w:semiHidden/>
    <w:rsid w:val="00CA56AE"/>
    <w:rPr>
      <w:rFonts w:ascii="Courier New" w:hAnsi="Courier New"/>
      <w:snapToGrid w:val="0"/>
    </w:rPr>
  </w:style>
  <w:style w:type="paragraph" w:styleId="NormalWeb">
    <w:name w:val="Normal (Web)"/>
    <w:basedOn w:val="Normal"/>
    <w:uiPriority w:val="99"/>
    <w:unhideWhenUsed/>
    <w:rsid w:val="0032232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322323"/>
    <w:rPr>
      <w:i/>
      <w:iCs/>
    </w:rPr>
  </w:style>
  <w:style w:type="character" w:styleId="CommentReference">
    <w:name w:val="annotation reference"/>
    <w:basedOn w:val="DefaultParagraphFont"/>
    <w:uiPriority w:val="99"/>
    <w:semiHidden/>
    <w:unhideWhenUsed/>
    <w:rsid w:val="00466487"/>
    <w:rPr>
      <w:sz w:val="16"/>
      <w:szCs w:val="16"/>
    </w:rPr>
  </w:style>
  <w:style w:type="paragraph" w:styleId="CommentText">
    <w:name w:val="annotation text"/>
    <w:basedOn w:val="Normal"/>
    <w:link w:val="CommentTextChar"/>
    <w:uiPriority w:val="99"/>
    <w:semiHidden/>
    <w:unhideWhenUsed/>
    <w:rsid w:val="00466487"/>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466487"/>
    <w:rPr>
      <w:rFonts w:asciiTheme="minorHAnsi" w:eastAsiaTheme="minorHAnsi" w:hAnsiTheme="minorHAnsi" w:cstheme="minorBidi"/>
    </w:rPr>
  </w:style>
  <w:style w:type="table" w:styleId="MediumShading1">
    <w:name w:val="Medium Shading 1"/>
    <w:basedOn w:val="TableNormal"/>
    <w:uiPriority w:val="63"/>
    <w:rsid w:val="00AF27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4E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962A3F"/>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ind w:left="720"/>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odyText">
    <w:name w:val="Body Text"/>
    <w:basedOn w:val="Normal"/>
    <w:semiHidden/>
    <w:pPr>
      <w:spacing w:line="240" w:lineRule="atLeast"/>
    </w:pPr>
    <w:rPr>
      <w:sz w:val="20"/>
    </w:rPr>
  </w:style>
  <w:style w:type="paragraph" w:styleId="BodyTextIndent">
    <w:name w:val="Body Text Indent"/>
    <w:basedOn w:val="Normal"/>
    <w:semiHidden/>
    <w:pPr>
      <w:ind w:left="720"/>
    </w:pPr>
    <w:rPr>
      <w:sz w:val="20"/>
    </w:rPr>
  </w:style>
  <w:style w:type="character" w:styleId="Hyperlink">
    <w:name w:val="Hyperlink"/>
    <w:semiHidden/>
    <w:rPr>
      <w:color w:val="0000FF"/>
      <w:u w:val="single"/>
    </w:rPr>
  </w:style>
  <w:style w:type="paragraph" w:styleId="BodyTextIndent2">
    <w:name w:val="Body Text Indent 2"/>
    <w:basedOn w:val="Normal"/>
    <w:semiHidden/>
    <w:pPr>
      <w:tabs>
        <w:tab w:val="left" w:pos="-1440"/>
      </w:tabs>
      <w:ind w:left="720" w:hanging="720"/>
    </w:pPr>
    <w:rPr>
      <w:sz w:val="20"/>
    </w:rPr>
  </w:style>
  <w:style w:type="paragraph" w:styleId="Header">
    <w:name w:val="header"/>
    <w:basedOn w:val="Normal"/>
    <w:link w:val="HeaderChar"/>
    <w:uiPriority w:val="99"/>
    <w:semiHidden/>
    <w:unhideWhenUsed/>
    <w:rsid w:val="00041B4B"/>
    <w:pPr>
      <w:tabs>
        <w:tab w:val="center" w:pos="4680"/>
        <w:tab w:val="right" w:pos="9360"/>
      </w:tabs>
    </w:pPr>
  </w:style>
  <w:style w:type="character" w:customStyle="1" w:styleId="HeaderChar">
    <w:name w:val="Header Char"/>
    <w:link w:val="Header"/>
    <w:uiPriority w:val="99"/>
    <w:semiHidden/>
    <w:rsid w:val="00041B4B"/>
    <w:rPr>
      <w:rFonts w:ascii="Courier New" w:hAnsi="Courier New"/>
      <w:snapToGrid w:val="0"/>
      <w:sz w:val="24"/>
    </w:rPr>
  </w:style>
  <w:style w:type="paragraph" w:styleId="Footer">
    <w:name w:val="footer"/>
    <w:basedOn w:val="Normal"/>
    <w:link w:val="FooterChar"/>
    <w:uiPriority w:val="99"/>
    <w:semiHidden/>
    <w:unhideWhenUsed/>
    <w:rsid w:val="00041B4B"/>
    <w:pPr>
      <w:tabs>
        <w:tab w:val="center" w:pos="4680"/>
        <w:tab w:val="right" w:pos="9360"/>
      </w:tabs>
    </w:pPr>
  </w:style>
  <w:style w:type="character" w:customStyle="1" w:styleId="FooterChar">
    <w:name w:val="Footer Char"/>
    <w:link w:val="Footer"/>
    <w:uiPriority w:val="99"/>
    <w:semiHidden/>
    <w:rsid w:val="00041B4B"/>
    <w:rPr>
      <w:rFonts w:ascii="Courier New" w:hAnsi="Courier New"/>
      <w:snapToGrid w:val="0"/>
      <w:sz w:val="24"/>
    </w:rPr>
  </w:style>
  <w:style w:type="table" w:styleId="TableGrid">
    <w:name w:val="Table Grid"/>
    <w:basedOn w:val="TableNormal"/>
    <w:uiPriority w:val="59"/>
    <w:rsid w:val="00022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C4"/>
    <w:pPr>
      <w:ind w:left="720"/>
      <w:contextualSpacing/>
    </w:pPr>
  </w:style>
  <w:style w:type="paragraph" w:styleId="BalloonText">
    <w:name w:val="Balloon Text"/>
    <w:basedOn w:val="Normal"/>
    <w:link w:val="BalloonTextChar"/>
    <w:uiPriority w:val="99"/>
    <w:semiHidden/>
    <w:unhideWhenUsed/>
    <w:rsid w:val="00125F42"/>
    <w:rPr>
      <w:rFonts w:ascii="Tahoma" w:hAnsi="Tahoma" w:cs="Tahoma"/>
      <w:sz w:val="16"/>
      <w:szCs w:val="16"/>
    </w:rPr>
  </w:style>
  <w:style w:type="character" w:customStyle="1" w:styleId="BalloonTextChar">
    <w:name w:val="Balloon Text Char"/>
    <w:basedOn w:val="DefaultParagraphFont"/>
    <w:link w:val="BalloonText"/>
    <w:uiPriority w:val="99"/>
    <w:semiHidden/>
    <w:rsid w:val="00125F42"/>
    <w:rPr>
      <w:rFonts w:ascii="Tahoma" w:hAnsi="Tahoma" w:cs="Tahoma"/>
      <w:snapToGrid w:val="0"/>
      <w:sz w:val="16"/>
      <w:szCs w:val="16"/>
    </w:rPr>
  </w:style>
  <w:style w:type="paragraph" w:styleId="FootnoteText">
    <w:name w:val="footnote text"/>
    <w:basedOn w:val="Normal"/>
    <w:link w:val="FootnoteTextChar"/>
    <w:uiPriority w:val="99"/>
    <w:semiHidden/>
    <w:unhideWhenUsed/>
    <w:rsid w:val="00CA56AE"/>
    <w:rPr>
      <w:sz w:val="20"/>
    </w:rPr>
  </w:style>
  <w:style w:type="character" w:customStyle="1" w:styleId="FootnoteTextChar">
    <w:name w:val="Footnote Text Char"/>
    <w:basedOn w:val="DefaultParagraphFont"/>
    <w:link w:val="FootnoteText"/>
    <w:uiPriority w:val="99"/>
    <w:semiHidden/>
    <w:rsid w:val="00CA56AE"/>
    <w:rPr>
      <w:rFonts w:ascii="Courier New" w:hAnsi="Courier New"/>
      <w:snapToGrid w:val="0"/>
    </w:rPr>
  </w:style>
  <w:style w:type="paragraph" w:styleId="NormalWeb">
    <w:name w:val="Normal (Web)"/>
    <w:basedOn w:val="Normal"/>
    <w:uiPriority w:val="99"/>
    <w:unhideWhenUsed/>
    <w:rsid w:val="00322323"/>
    <w:pPr>
      <w:widowControl/>
      <w:spacing w:before="100" w:beforeAutospacing="1" w:after="100" w:afterAutospacing="1"/>
    </w:pPr>
    <w:rPr>
      <w:rFonts w:ascii="Times New Roman" w:hAnsi="Times New Roman"/>
      <w:snapToGrid/>
      <w:szCs w:val="24"/>
    </w:rPr>
  </w:style>
  <w:style w:type="character" w:styleId="Emphasis">
    <w:name w:val="Emphasis"/>
    <w:basedOn w:val="DefaultParagraphFont"/>
    <w:uiPriority w:val="20"/>
    <w:qFormat/>
    <w:rsid w:val="00322323"/>
    <w:rPr>
      <w:i/>
      <w:iCs/>
    </w:rPr>
  </w:style>
  <w:style w:type="character" w:styleId="CommentReference">
    <w:name w:val="annotation reference"/>
    <w:basedOn w:val="DefaultParagraphFont"/>
    <w:uiPriority w:val="99"/>
    <w:semiHidden/>
    <w:unhideWhenUsed/>
    <w:rsid w:val="00466487"/>
    <w:rPr>
      <w:sz w:val="16"/>
      <w:szCs w:val="16"/>
    </w:rPr>
  </w:style>
  <w:style w:type="paragraph" w:styleId="CommentText">
    <w:name w:val="annotation text"/>
    <w:basedOn w:val="Normal"/>
    <w:link w:val="CommentTextChar"/>
    <w:uiPriority w:val="99"/>
    <w:semiHidden/>
    <w:unhideWhenUsed/>
    <w:rsid w:val="00466487"/>
    <w:pPr>
      <w:widowControl/>
      <w:spacing w:after="20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semiHidden/>
    <w:rsid w:val="00466487"/>
    <w:rPr>
      <w:rFonts w:asciiTheme="minorHAnsi" w:eastAsiaTheme="minorHAnsi" w:hAnsiTheme="minorHAnsi" w:cstheme="minorBidi"/>
    </w:rPr>
  </w:style>
  <w:style w:type="table" w:styleId="MediumShading1">
    <w:name w:val="Medium Shading 1"/>
    <w:basedOn w:val="TableNormal"/>
    <w:uiPriority w:val="63"/>
    <w:rsid w:val="00AF27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4E6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962A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28344">
      <w:bodyDiv w:val="1"/>
      <w:marLeft w:val="0"/>
      <w:marRight w:val="0"/>
      <w:marTop w:val="0"/>
      <w:marBottom w:val="0"/>
      <w:divBdr>
        <w:top w:val="none" w:sz="0" w:space="0" w:color="auto"/>
        <w:left w:val="none" w:sz="0" w:space="0" w:color="auto"/>
        <w:bottom w:val="none" w:sz="0" w:space="0" w:color="auto"/>
        <w:right w:val="none" w:sz="0" w:space="0" w:color="auto"/>
      </w:divBdr>
    </w:div>
    <w:div w:id="216866893">
      <w:bodyDiv w:val="1"/>
      <w:marLeft w:val="0"/>
      <w:marRight w:val="0"/>
      <w:marTop w:val="0"/>
      <w:marBottom w:val="0"/>
      <w:divBdr>
        <w:top w:val="none" w:sz="0" w:space="0" w:color="auto"/>
        <w:left w:val="none" w:sz="0" w:space="0" w:color="auto"/>
        <w:bottom w:val="none" w:sz="0" w:space="0" w:color="auto"/>
        <w:right w:val="none" w:sz="0" w:space="0" w:color="auto"/>
      </w:divBdr>
    </w:div>
    <w:div w:id="464155966">
      <w:bodyDiv w:val="1"/>
      <w:marLeft w:val="0"/>
      <w:marRight w:val="0"/>
      <w:marTop w:val="0"/>
      <w:marBottom w:val="0"/>
      <w:divBdr>
        <w:top w:val="none" w:sz="0" w:space="0" w:color="auto"/>
        <w:left w:val="none" w:sz="0" w:space="0" w:color="auto"/>
        <w:bottom w:val="none" w:sz="0" w:space="0" w:color="auto"/>
        <w:right w:val="none" w:sz="0" w:space="0" w:color="auto"/>
      </w:divBdr>
    </w:div>
    <w:div w:id="1024592944">
      <w:bodyDiv w:val="1"/>
      <w:marLeft w:val="0"/>
      <w:marRight w:val="0"/>
      <w:marTop w:val="0"/>
      <w:marBottom w:val="0"/>
      <w:divBdr>
        <w:top w:val="none" w:sz="0" w:space="0" w:color="auto"/>
        <w:left w:val="none" w:sz="0" w:space="0" w:color="auto"/>
        <w:bottom w:val="none" w:sz="0" w:space="0" w:color="auto"/>
        <w:right w:val="none" w:sz="0" w:space="0" w:color="auto"/>
      </w:divBdr>
    </w:div>
    <w:div w:id="1865971851">
      <w:bodyDiv w:val="1"/>
      <w:marLeft w:val="0"/>
      <w:marRight w:val="0"/>
      <w:marTop w:val="0"/>
      <w:marBottom w:val="0"/>
      <w:divBdr>
        <w:top w:val="none" w:sz="0" w:space="0" w:color="auto"/>
        <w:left w:val="none" w:sz="0" w:space="0" w:color="auto"/>
        <w:bottom w:val="none" w:sz="0" w:space="0" w:color="auto"/>
        <w:right w:val="none" w:sz="0" w:space="0" w:color="auto"/>
      </w:divBdr>
    </w:div>
    <w:div w:id="1938516316">
      <w:bodyDiv w:val="1"/>
      <w:marLeft w:val="0"/>
      <w:marRight w:val="0"/>
      <w:marTop w:val="0"/>
      <w:marBottom w:val="0"/>
      <w:divBdr>
        <w:top w:val="none" w:sz="0" w:space="0" w:color="auto"/>
        <w:left w:val="none" w:sz="0" w:space="0" w:color="auto"/>
        <w:bottom w:val="none" w:sz="0" w:space="0" w:color="auto"/>
        <w:right w:val="none" w:sz="0" w:space="0" w:color="auto"/>
      </w:divBdr>
      <w:divsChild>
        <w:div w:id="336660170">
          <w:marLeft w:val="0"/>
          <w:marRight w:val="0"/>
          <w:marTop w:val="0"/>
          <w:marBottom w:val="0"/>
          <w:divBdr>
            <w:top w:val="none" w:sz="0" w:space="0" w:color="auto"/>
            <w:left w:val="none" w:sz="0" w:space="0" w:color="auto"/>
            <w:bottom w:val="none" w:sz="0" w:space="0" w:color="auto"/>
            <w:right w:val="none" w:sz="0" w:space="0" w:color="auto"/>
          </w:divBdr>
          <w:divsChild>
            <w:div w:id="2041121720">
              <w:marLeft w:val="0"/>
              <w:marRight w:val="0"/>
              <w:marTop w:val="0"/>
              <w:marBottom w:val="0"/>
              <w:divBdr>
                <w:top w:val="none" w:sz="0" w:space="0" w:color="auto"/>
                <w:left w:val="none" w:sz="0" w:space="0" w:color="auto"/>
                <w:bottom w:val="none" w:sz="0" w:space="0" w:color="auto"/>
                <w:right w:val="none" w:sz="0" w:space="0" w:color="auto"/>
              </w:divBdr>
              <w:divsChild>
                <w:div w:id="502623096">
                  <w:marLeft w:val="0"/>
                  <w:marRight w:val="0"/>
                  <w:marTop w:val="0"/>
                  <w:marBottom w:val="0"/>
                  <w:divBdr>
                    <w:top w:val="none" w:sz="0" w:space="0" w:color="auto"/>
                    <w:left w:val="none" w:sz="0" w:space="0" w:color="auto"/>
                    <w:bottom w:val="none" w:sz="0" w:space="0" w:color="auto"/>
                    <w:right w:val="none" w:sz="0" w:space="0" w:color="auto"/>
                  </w:divBdr>
                  <w:divsChild>
                    <w:div w:id="971668396">
                      <w:marLeft w:val="0"/>
                      <w:marRight w:val="0"/>
                      <w:marTop w:val="0"/>
                      <w:marBottom w:val="0"/>
                      <w:divBdr>
                        <w:top w:val="none" w:sz="0" w:space="0" w:color="auto"/>
                        <w:left w:val="none" w:sz="0" w:space="0" w:color="auto"/>
                        <w:bottom w:val="none" w:sz="0" w:space="0" w:color="auto"/>
                        <w:right w:val="none" w:sz="0" w:space="0" w:color="auto"/>
                      </w:divBdr>
                      <w:divsChild>
                        <w:div w:id="1968199207">
                          <w:marLeft w:val="0"/>
                          <w:marRight w:val="0"/>
                          <w:marTop w:val="0"/>
                          <w:marBottom w:val="0"/>
                          <w:divBdr>
                            <w:top w:val="none" w:sz="0" w:space="0" w:color="auto"/>
                            <w:left w:val="none" w:sz="0" w:space="0" w:color="auto"/>
                            <w:bottom w:val="none" w:sz="0" w:space="0" w:color="auto"/>
                            <w:right w:val="none" w:sz="0" w:space="0" w:color="auto"/>
                          </w:divBdr>
                          <w:divsChild>
                            <w:div w:id="2057898815">
                              <w:marLeft w:val="0"/>
                              <w:marRight w:val="0"/>
                              <w:marTop w:val="0"/>
                              <w:marBottom w:val="0"/>
                              <w:divBdr>
                                <w:top w:val="single" w:sz="6" w:space="0" w:color="auto"/>
                                <w:left w:val="single" w:sz="6" w:space="0" w:color="auto"/>
                                <w:bottom w:val="single" w:sz="6" w:space="0" w:color="auto"/>
                                <w:right w:val="single" w:sz="6" w:space="0" w:color="auto"/>
                              </w:divBdr>
                              <w:divsChild>
                                <w:div w:id="1605304880">
                                  <w:marLeft w:val="0"/>
                                  <w:marRight w:val="195"/>
                                  <w:marTop w:val="0"/>
                                  <w:marBottom w:val="0"/>
                                  <w:divBdr>
                                    <w:top w:val="none" w:sz="0" w:space="0" w:color="auto"/>
                                    <w:left w:val="none" w:sz="0" w:space="0" w:color="auto"/>
                                    <w:bottom w:val="none" w:sz="0" w:space="0" w:color="auto"/>
                                    <w:right w:val="none" w:sz="0" w:space="0" w:color="auto"/>
                                  </w:divBdr>
                                  <w:divsChild>
                                    <w:div w:id="121047750">
                                      <w:marLeft w:val="0"/>
                                      <w:marRight w:val="0"/>
                                      <w:marTop w:val="0"/>
                                      <w:marBottom w:val="0"/>
                                      <w:divBdr>
                                        <w:top w:val="none" w:sz="0" w:space="0" w:color="auto"/>
                                        <w:left w:val="none" w:sz="0" w:space="0" w:color="auto"/>
                                        <w:bottom w:val="none" w:sz="0" w:space="0" w:color="auto"/>
                                        <w:right w:val="none" w:sz="0" w:space="0" w:color="auto"/>
                                      </w:divBdr>
                                      <w:divsChild>
                                        <w:div w:id="768701131">
                                          <w:marLeft w:val="0"/>
                                          <w:marRight w:val="195"/>
                                          <w:marTop w:val="0"/>
                                          <w:marBottom w:val="0"/>
                                          <w:divBdr>
                                            <w:top w:val="none" w:sz="0" w:space="0" w:color="auto"/>
                                            <w:left w:val="none" w:sz="0" w:space="0" w:color="auto"/>
                                            <w:bottom w:val="none" w:sz="0" w:space="0" w:color="auto"/>
                                            <w:right w:val="none" w:sz="0" w:space="0" w:color="auto"/>
                                          </w:divBdr>
                                          <w:divsChild>
                                            <w:div w:id="1945071571">
                                              <w:marLeft w:val="0"/>
                                              <w:marRight w:val="0"/>
                                              <w:marTop w:val="0"/>
                                              <w:marBottom w:val="0"/>
                                              <w:divBdr>
                                                <w:top w:val="none" w:sz="0" w:space="0" w:color="auto"/>
                                                <w:left w:val="none" w:sz="0" w:space="0" w:color="auto"/>
                                                <w:bottom w:val="none" w:sz="0" w:space="0" w:color="auto"/>
                                                <w:right w:val="none" w:sz="0" w:space="0" w:color="auto"/>
                                              </w:divBdr>
                                              <w:divsChild>
                                                <w:div w:id="1512722804">
                                                  <w:marLeft w:val="0"/>
                                                  <w:marRight w:val="0"/>
                                                  <w:marTop w:val="0"/>
                                                  <w:marBottom w:val="0"/>
                                                  <w:divBdr>
                                                    <w:top w:val="none" w:sz="0" w:space="0" w:color="auto"/>
                                                    <w:left w:val="none" w:sz="0" w:space="0" w:color="auto"/>
                                                    <w:bottom w:val="none" w:sz="0" w:space="0" w:color="auto"/>
                                                    <w:right w:val="none" w:sz="0" w:space="0" w:color="auto"/>
                                                  </w:divBdr>
                                                  <w:divsChild>
                                                    <w:div w:id="1761945325">
                                                      <w:marLeft w:val="0"/>
                                                      <w:marRight w:val="0"/>
                                                      <w:marTop w:val="0"/>
                                                      <w:marBottom w:val="0"/>
                                                      <w:divBdr>
                                                        <w:top w:val="none" w:sz="0" w:space="0" w:color="auto"/>
                                                        <w:left w:val="none" w:sz="0" w:space="0" w:color="auto"/>
                                                        <w:bottom w:val="none" w:sz="0" w:space="0" w:color="auto"/>
                                                        <w:right w:val="none" w:sz="0" w:space="0" w:color="auto"/>
                                                      </w:divBdr>
                                                      <w:divsChild>
                                                        <w:div w:id="1416441705">
                                                          <w:marLeft w:val="0"/>
                                                          <w:marRight w:val="0"/>
                                                          <w:marTop w:val="0"/>
                                                          <w:marBottom w:val="0"/>
                                                          <w:divBdr>
                                                            <w:top w:val="none" w:sz="0" w:space="0" w:color="auto"/>
                                                            <w:left w:val="none" w:sz="0" w:space="0" w:color="auto"/>
                                                            <w:bottom w:val="none" w:sz="0" w:space="0" w:color="auto"/>
                                                            <w:right w:val="none" w:sz="0" w:space="0" w:color="auto"/>
                                                          </w:divBdr>
                                                          <w:divsChild>
                                                            <w:div w:id="1153109359">
                                                              <w:marLeft w:val="0"/>
                                                              <w:marRight w:val="0"/>
                                                              <w:marTop w:val="0"/>
                                                              <w:marBottom w:val="0"/>
                                                              <w:divBdr>
                                                                <w:top w:val="none" w:sz="0" w:space="0" w:color="auto"/>
                                                                <w:left w:val="none" w:sz="0" w:space="0" w:color="auto"/>
                                                                <w:bottom w:val="none" w:sz="0" w:space="0" w:color="auto"/>
                                                                <w:right w:val="none" w:sz="0" w:space="0" w:color="auto"/>
                                                              </w:divBdr>
                                                              <w:divsChild>
                                                                <w:div w:id="1757705626">
                                                                  <w:marLeft w:val="405"/>
                                                                  <w:marRight w:val="0"/>
                                                                  <w:marTop w:val="0"/>
                                                                  <w:marBottom w:val="0"/>
                                                                  <w:divBdr>
                                                                    <w:top w:val="none" w:sz="0" w:space="0" w:color="auto"/>
                                                                    <w:left w:val="none" w:sz="0" w:space="0" w:color="auto"/>
                                                                    <w:bottom w:val="none" w:sz="0" w:space="0" w:color="auto"/>
                                                                    <w:right w:val="none" w:sz="0" w:space="0" w:color="auto"/>
                                                                  </w:divBdr>
                                                                  <w:divsChild>
                                                                    <w:div w:id="290131174">
                                                                      <w:marLeft w:val="0"/>
                                                                      <w:marRight w:val="0"/>
                                                                      <w:marTop w:val="0"/>
                                                                      <w:marBottom w:val="0"/>
                                                                      <w:divBdr>
                                                                        <w:top w:val="none" w:sz="0" w:space="0" w:color="auto"/>
                                                                        <w:left w:val="none" w:sz="0" w:space="0" w:color="auto"/>
                                                                        <w:bottom w:val="none" w:sz="0" w:space="0" w:color="auto"/>
                                                                        <w:right w:val="none" w:sz="0" w:space="0" w:color="auto"/>
                                                                      </w:divBdr>
                                                                      <w:divsChild>
                                                                        <w:div w:id="1756903722">
                                                                          <w:marLeft w:val="0"/>
                                                                          <w:marRight w:val="0"/>
                                                                          <w:marTop w:val="0"/>
                                                                          <w:marBottom w:val="0"/>
                                                                          <w:divBdr>
                                                                            <w:top w:val="none" w:sz="0" w:space="0" w:color="auto"/>
                                                                            <w:left w:val="none" w:sz="0" w:space="0" w:color="auto"/>
                                                                            <w:bottom w:val="none" w:sz="0" w:space="0" w:color="auto"/>
                                                                            <w:right w:val="none" w:sz="0" w:space="0" w:color="auto"/>
                                                                          </w:divBdr>
                                                                          <w:divsChild>
                                                                            <w:div w:id="1135639723">
                                                                              <w:marLeft w:val="0"/>
                                                                              <w:marRight w:val="0"/>
                                                                              <w:marTop w:val="60"/>
                                                                              <w:marBottom w:val="0"/>
                                                                              <w:divBdr>
                                                                                <w:top w:val="none" w:sz="0" w:space="0" w:color="auto"/>
                                                                                <w:left w:val="none" w:sz="0" w:space="0" w:color="auto"/>
                                                                                <w:bottom w:val="none" w:sz="0" w:space="0" w:color="auto"/>
                                                                                <w:right w:val="none" w:sz="0" w:space="0" w:color="auto"/>
                                                                              </w:divBdr>
                                                                              <w:divsChild>
                                                                                <w:div w:id="373894219">
                                                                                  <w:marLeft w:val="0"/>
                                                                                  <w:marRight w:val="0"/>
                                                                                  <w:marTop w:val="0"/>
                                                                                  <w:marBottom w:val="0"/>
                                                                                  <w:divBdr>
                                                                                    <w:top w:val="none" w:sz="0" w:space="0" w:color="auto"/>
                                                                                    <w:left w:val="none" w:sz="0" w:space="0" w:color="auto"/>
                                                                                    <w:bottom w:val="none" w:sz="0" w:space="0" w:color="auto"/>
                                                                                    <w:right w:val="none" w:sz="0" w:space="0" w:color="auto"/>
                                                                                  </w:divBdr>
                                                                                  <w:divsChild>
                                                                                    <w:div w:id="793405448">
                                                                                      <w:marLeft w:val="0"/>
                                                                                      <w:marRight w:val="0"/>
                                                                                      <w:marTop w:val="0"/>
                                                                                      <w:marBottom w:val="0"/>
                                                                                      <w:divBdr>
                                                                                        <w:top w:val="none" w:sz="0" w:space="0" w:color="auto"/>
                                                                                        <w:left w:val="none" w:sz="0" w:space="0" w:color="auto"/>
                                                                                        <w:bottom w:val="none" w:sz="0" w:space="0" w:color="auto"/>
                                                                                        <w:right w:val="none" w:sz="0" w:space="0" w:color="auto"/>
                                                                                      </w:divBdr>
                                                                                      <w:divsChild>
                                                                                        <w:div w:id="1151020073">
                                                                                          <w:marLeft w:val="0"/>
                                                                                          <w:marRight w:val="0"/>
                                                                                          <w:marTop w:val="0"/>
                                                                                          <w:marBottom w:val="0"/>
                                                                                          <w:divBdr>
                                                                                            <w:top w:val="none" w:sz="0" w:space="0" w:color="auto"/>
                                                                                            <w:left w:val="none" w:sz="0" w:space="0" w:color="auto"/>
                                                                                            <w:bottom w:val="none" w:sz="0" w:space="0" w:color="auto"/>
                                                                                            <w:right w:val="none" w:sz="0" w:space="0" w:color="auto"/>
                                                                                          </w:divBdr>
                                                                                          <w:divsChild>
                                                                                            <w:div w:id="565337903">
                                                                                              <w:marLeft w:val="0"/>
                                                                                              <w:marRight w:val="0"/>
                                                                                              <w:marTop w:val="0"/>
                                                                                              <w:marBottom w:val="0"/>
                                                                                              <w:divBdr>
                                                                                                <w:top w:val="none" w:sz="0" w:space="0" w:color="auto"/>
                                                                                                <w:left w:val="none" w:sz="0" w:space="0" w:color="auto"/>
                                                                                                <w:bottom w:val="none" w:sz="0" w:space="0" w:color="auto"/>
                                                                                                <w:right w:val="none" w:sz="0" w:space="0" w:color="auto"/>
                                                                                              </w:divBdr>
                                                                                              <w:divsChild>
                                                                                                <w:div w:id="1378892018">
                                                                                                  <w:marLeft w:val="0"/>
                                                                                                  <w:marRight w:val="0"/>
                                                                                                  <w:marTop w:val="0"/>
                                                                                                  <w:marBottom w:val="0"/>
                                                                                                  <w:divBdr>
                                                                                                    <w:top w:val="none" w:sz="0" w:space="0" w:color="auto"/>
                                                                                                    <w:left w:val="none" w:sz="0" w:space="0" w:color="auto"/>
                                                                                                    <w:bottom w:val="none" w:sz="0" w:space="0" w:color="auto"/>
                                                                                                    <w:right w:val="none" w:sz="0" w:space="0" w:color="auto"/>
                                                                                                  </w:divBdr>
                                                                                                  <w:divsChild>
                                                                                                    <w:div w:id="647904269">
                                                                                                      <w:marLeft w:val="0"/>
                                                                                                      <w:marRight w:val="0"/>
                                                                                                      <w:marTop w:val="0"/>
                                                                                                      <w:marBottom w:val="0"/>
                                                                                                      <w:divBdr>
                                                                                                        <w:top w:val="none" w:sz="0" w:space="0" w:color="auto"/>
                                                                                                        <w:left w:val="none" w:sz="0" w:space="0" w:color="auto"/>
                                                                                                        <w:bottom w:val="none" w:sz="0" w:space="0" w:color="auto"/>
                                                                                                        <w:right w:val="none" w:sz="0" w:space="0" w:color="auto"/>
                                                                                                      </w:divBdr>
                                                                                                      <w:divsChild>
                                                                                                        <w:div w:id="1865435179">
                                                                                                          <w:marLeft w:val="0"/>
                                                                                                          <w:marRight w:val="0"/>
                                                                                                          <w:marTop w:val="0"/>
                                                                                                          <w:marBottom w:val="0"/>
                                                                                                          <w:divBdr>
                                                                                                            <w:top w:val="none" w:sz="0" w:space="0" w:color="auto"/>
                                                                                                            <w:left w:val="none" w:sz="0" w:space="0" w:color="auto"/>
                                                                                                            <w:bottom w:val="none" w:sz="0" w:space="0" w:color="auto"/>
                                                                                                            <w:right w:val="none" w:sz="0" w:space="0" w:color="auto"/>
                                                                                                          </w:divBdr>
                                                                                                          <w:divsChild>
                                                                                                            <w:div w:id="6425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2FB9-86BF-4D4A-8E5D-2DD99BD3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7053</Words>
  <Characters>40207</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47166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Jennifer Sekely</dc:creator>
  <cp:lastModifiedBy>SYSTEM</cp:lastModifiedBy>
  <cp:revision>2</cp:revision>
  <cp:lastPrinted>2017-01-09T13:20:00Z</cp:lastPrinted>
  <dcterms:created xsi:type="dcterms:W3CDTF">2017-10-25T18:23:00Z</dcterms:created>
  <dcterms:modified xsi:type="dcterms:W3CDTF">2017-10-25T18:23:00Z</dcterms:modified>
</cp:coreProperties>
</file>