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D880D" w14:textId="77777777" w:rsidR="00A83A70" w:rsidRPr="00F87E0B" w:rsidRDefault="00A83A70" w:rsidP="00A83A70">
      <w:pPr>
        <w:jc w:val="center"/>
      </w:pPr>
      <w:r w:rsidRPr="00B262DE">
        <w:t>Department of Commerce</w:t>
      </w:r>
    </w:p>
    <w:p w14:paraId="33593550" w14:textId="77777777" w:rsidR="00A83A70" w:rsidRPr="009B0620" w:rsidRDefault="00A83A70" w:rsidP="00A83A70">
      <w:pPr>
        <w:jc w:val="center"/>
      </w:pPr>
      <w:r w:rsidRPr="009B0620">
        <w:t>United States Census Bureau</w:t>
      </w:r>
    </w:p>
    <w:p w14:paraId="0C96A057" w14:textId="319F67A4" w:rsidR="0098074E" w:rsidRPr="0082541D" w:rsidRDefault="00A83A70">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pPr>
      <w:r w:rsidRPr="009B0620">
        <w:t>OMB Information Collection Request</w:t>
      </w:r>
    </w:p>
    <w:p w14:paraId="0991E28E" w14:textId="77777777" w:rsidR="0098074E" w:rsidRPr="0082541D" w:rsidRDefault="00327441" w:rsidP="0098074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pPr>
      <w:r w:rsidRPr="0082541D">
        <w:t>2017</w:t>
      </w:r>
      <w:r w:rsidR="0098074E" w:rsidRPr="0082541D">
        <w:t xml:space="preserve"> Economic Census of Puerto Rico, the U.S. Virgin Islands, Guam, </w:t>
      </w:r>
    </w:p>
    <w:p w14:paraId="3CAD16DC" w14:textId="77777777" w:rsidR="0098074E" w:rsidRPr="0082541D" w:rsidRDefault="0098074E" w:rsidP="0098074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pPr>
      <w:r w:rsidRPr="0082541D">
        <w:t>Commonwealth of the Northern Mariana Islands, and American Samoa—</w:t>
      </w:r>
    </w:p>
    <w:p w14:paraId="5752D561" w14:textId="77777777" w:rsidR="0098074E" w:rsidRPr="0082541D" w:rsidRDefault="0098074E" w:rsidP="0098074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pPr>
      <w:r w:rsidRPr="0082541D">
        <w:t>Collectively Referred to as Island Areas</w:t>
      </w:r>
      <w:r w:rsidRPr="0082541D">
        <w:rPr>
          <w:rStyle w:val="FootnoteReference"/>
          <w:vertAlign w:val="superscript"/>
        </w:rPr>
        <w:footnoteReference w:id="1"/>
      </w:r>
    </w:p>
    <w:p w14:paraId="1FD0D3D1" w14:textId="5A5A1C39" w:rsidR="0098074E" w:rsidRPr="0082541D" w:rsidRDefault="0098074E" w:rsidP="0098074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pPr>
      <w:r w:rsidRPr="0082541D">
        <w:t>OMB:</w:t>
      </w:r>
      <w:r w:rsidRPr="00F87E0B">
        <w:t xml:space="preserve"> 0607-</w:t>
      </w:r>
      <w:r w:rsidR="00C946A6">
        <w:t>0937</w:t>
      </w:r>
    </w:p>
    <w:p w14:paraId="295AA9C8" w14:textId="77777777" w:rsidR="0098074E" w:rsidRPr="00B262DE" w:rsidRDefault="0098074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pPr>
    </w:p>
    <w:p w14:paraId="1630219E" w14:textId="77777777" w:rsidR="0098074E" w:rsidRPr="00B262DE" w:rsidRDefault="0098074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pPr>
    </w:p>
    <w:p w14:paraId="4F867A92" w14:textId="77777777" w:rsidR="00631E34" w:rsidRPr="00B262DE" w:rsidRDefault="00E42E51">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outlineLvl w:val="0"/>
      </w:pPr>
      <w:r w:rsidRPr="00B262DE">
        <w:t xml:space="preserve">Part B.  Collections of Information </w:t>
      </w:r>
      <w:r w:rsidR="00C56EE1" w:rsidRPr="00B262DE">
        <w:t xml:space="preserve">Employing </w:t>
      </w:r>
      <w:r w:rsidRPr="00B262DE">
        <w:t>Statistical Methods</w:t>
      </w:r>
    </w:p>
    <w:p w14:paraId="75191A83" w14:textId="77777777" w:rsidR="00631E34" w:rsidRPr="00B262DE" w:rsidRDefault="00631E34">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5F1B0DDF" w14:textId="77777777" w:rsidR="00631E34" w:rsidRPr="00490341" w:rsidRDefault="00E42E51">
      <w:pPr>
        <w:pStyle w:val="Footer"/>
        <w:widowControl/>
        <w:tabs>
          <w:tab w:val="clear" w:pos="4320"/>
          <w:tab w:val="clear" w:pos="8640"/>
          <w:tab w:val="left" w:pos="-1440"/>
          <w:tab w:val="left" w:pos="-720"/>
          <w:tab w:val="left" w:pos="0"/>
          <w:tab w:val="left" w:pos="90"/>
          <w:tab w:val="left" w:pos="540"/>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490341">
        <w:rPr>
          <w:rFonts w:ascii="Times New Roman" w:hAnsi="Times New Roman"/>
          <w:b/>
        </w:rPr>
        <w:t xml:space="preserve"> 1.</w:t>
      </w:r>
      <w:r w:rsidRPr="00490341">
        <w:rPr>
          <w:rFonts w:ascii="Times New Roman" w:hAnsi="Times New Roman"/>
          <w:b/>
        </w:rPr>
        <w:tab/>
      </w:r>
      <w:r w:rsidR="00764872" w:rsidRPr="00490341">
        <w:rPr>
          <w:rFonts w:ascii="Times New Roman" w:hAnsi="Times New Roman"/>
          <w:b/>
        </w:rPr>
        <w:t>Universe and Respondent Selection</w:t>
      </w:r>
    </w:p>
    <w:p w14:paraId="2BF00EA3" w14:textId="77777777" w:rsidR="00631E34" w:rsidRPr="00B262DE" w:rsidRDefault="00631E34">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336E48E6" w14:textId="182D0DAF" w:rsidR="00631E34" w:rsidRPr="00B262DE" w:rsidRDefault="00E42E51">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540"/>
      </w:pPr>
      <w:r w:rsidRPr="00B262DE">
        <w:t xml:space="preserve">The </w:t>
      </w:r>
      <w:r w:rsidR="00327441" w:rsidRPr="00B262DE">
        <w:t>2017</w:t>
      </w:r>
      <w:r w:rsidR="0037408F">
        <w:t xml:space="preserve"> Economic Census</w:t>
      </w:r>
      <w:r w:rsidR="00AF2606" w:rsidRPr="00B262DE">
        <w:t xml:space="preserve"> </w:t>
      </w:r>
      <w:r w:rsidR="0037408F">
        <w:t xml:space="preserve">of Island Areas </w:t>
      </w:r>
      <w:r w:rsidRPr="00B262DE">
        <w:t>is a complete enumeration of est</w:t>
      </w:r>
      <w:r w:rsidR="00855282" w:rsidRPr="00B262DE">
        <w:t xml:space="preserve">ablishments with payroll in </w:t>
      </w:r>
      <w:r w:rsidR="00327441" w:rsidRPr="00B262DE">
        <w:t>2017</w:t>
      </w:r>
      <w:r w:rsidRPr="00B262DE">
        <w:t xml:space="preserve"> </w:t>
      </w:r>
      <w:r w:rsidR="00764872" w:rsidRPr="00B262DE">
        <w:t xml:space="preserve">located </w:t>
      </w:r>
      <w:r w:rsidRPr="00B262DE">
        <w:t xml:space="preserve">in Puerto Rico, the </w:t>
      </w:r>
      <w:r w:rsidR="0098074E" w:rsidRPr="00B262DE">
        <w:t xml:space="preserve">U.S. </w:t>
      </w:r>
      <w:r w:rsidRPr="00B262DE">
        <w:t xml:space="preserve">Virgin Islands, Guam, </w:t>
      </w:r>
      <w:r w:rsidR="0098074E" w:rsidRPr="00B262DE">
        <w:t xml:space="preserve">the </w:t>
      </w:r>
      <w:r w:rsidR="00B101B5" w:rsidRPr="00B262DE">
        <w:t>Commonwealth</w:t>
      </w:r>
      <w:r w:rsidR="00EB62B7" w:rsidRPr="00B262DE">
        <w:t xml:space="preserve"> of the Northern Mariana Islands</w:t>
      </w:r>
      <w:r w:rsidRPr="00B262DE">
        <w:t>, and American Samoa.</w:t>
      </w:r>
    </w:p>
    <w:p w14:paraId="28EF768C" w14:textId="77777777" w:rsidR="00631E34" w:rsidRPr="00B262DE" w:rsidRDefault="00631E34">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540"/>
      </w:pPr>
    </w:p>
    <w:p w14:paraId="05A3AE48" w14:textId="58D80A44" w:rsidR="00631E34" w:rsidRPr="00B262DE" w:rsidRDefault="00E42E51">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540"/>
      </w:pPr>
      <w:r w:rsidRPr="00B262DE">
        <w:t>Th</w:t>
      </w:r>
      <w:r w:rsidR="00031FC8">
        <w:t xml:space="preserve">e universe of establishments is </w:t>
      </w:r>
      <w:r w:rsidR="00764872" w:rsidRPr="00B262DE">
        <w:t>obtained from</w:t>
      </w:r>
      <w:r w:rsidRPr="00B262DE">
        <w:t xml:space="preserve"> the U.S. Census Bureau's Business Register.  To be included in the </w:t>
      </w:r>
      <w:r w:rsidR="00764872" w:rsidRPr="00B262DE">
        <w:t xml:space="preserve">Economic Census of </w:t>
      </w:r>
      <w:r w:rsidRPr="00B262DE">
        <w:t xml:space="preserve">Island Areas, an establishment </w:t>
      </w:r>
      <w:r w:rsidR="00764872" w:rsidRPr="00B262DE">
        <w:t>must be:</w:t>
      </w:r>
      <w:r w:rsidRPr="00B262DE">
        <w:t xml:space="preserve"> (i) classified in </w:t>
      </w:r>
      <w:r w:rsidR="00764872" w:rsidRPr="00B262DE">
        <w:t>an industry in</w:t>
      </w:r>
      <w:r w:rsidR="00A83A70" w:rsidRPr="00B262DE">
        <w:t>-</w:t>
      </w:r>
      <w:r w:rsidR="00764872" w:rsidRPr="00B262DE">
        <w:t xml:space="preserve">scope to the </w:t>
      </w:r>
      <w:r w:rsidR="000D506F">
        <w:t>Economic Census</w:t>
      </w:r>
      <w:r w:rsidR="00764872" w:rsidRPr="00B262DE">
        <w:t xml:space="preserve"> of </w:t>
      </w:r>
      <w:r w:rsidR="000D506F">
        <w:t>Island Areas</w:t>
      </w:r>
      <w:r w:rsidRPr="00B262DE">
        <w:t xml:space="preserve">; (ii) active </w:t>
      </w:r>
      <w:r w:rsidR="008C58D8" w:rsidRPr="00B262DE">
        <w:t xml:space="preserve">with payroll in </w:t>
      </w:r>
      <w:r w:rsidR="00327441" w:rsidRPr="00B262DE">
        <w:t>2017</w:t>
      </w:r>
      <w:r w:rsidRPr="00B262DE">
        <w:t xml:space="preserve">; and (iii) located in Puerto Rico, the </w:t>
      </w:r>
      <w:r w:rsidR="0098074E" w:rsidRPr="00B262DE">
        <w:t xml:space="preserve">U.S. </w:t>
      </w:r>
      <w:r w:rsidRPr="00B262DE">
        <w:t>Virgin Islands, Guam,</w:t>
      </w:r>
      <w:r w:rsidR="009F30F7">
        <w:t xml:space="preserve"> the</w:t>
      </w:r>
      <w:r w:rsidRPr="00B262DE">
        <w:t xml:space="preserve"> </w:t>
      </w:r>
      <w:r w:rsidR="00B101B5" w:rsidRPr="00B262DE">
        <w:t>Commonwealth</w:t>
      </w:r>
      <w:r w:rsidR="00EB62B7" w:rsidRPr="00B262DE">
        <w:t xml:space="preserve"> of the Northern Mariana Islands</w:t>
      </w:r>
      <w:r w:rsidRPr="00B262DE">
        <w:t xml:space="preserve"> or American Samoa.</w:t>
      </w:r>
    </w:p>
    <w:p w14:paraId="7361B654" w14:textId="77777777" w:rsidR="00631E34" w:rsidRPr="00B262DE" w:rsidRDefault="00631E34" w:rsidP="00700E0F">
      <w:pPr>
        <w:tabs>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pPr>
    </w:p>
    <w:p w14:paraId="069C9ADF" w14:textId="5C7E4139" w:rsidR="00C5354C" w:rsidRPr="00B262DE" w:rsidRDefault="003504BF">
      <w:pPr>
        <w:tabs>
          <w:tab w:val="left" w:pos="-1080"/>
          <w:tab w:val="left" w:pos="-720"/>
          <w:tab w:val="left" w:pos="0"/>
          <w:tab w:val="left" w:pos="374"/>
          <w:tab w:val="left" w:pos="540"/>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 w:val="left" w:pos="7454"/>
          <w:tab w:val="left" w:pos="7713"/>
          <w:tab w:val="left" w:pos="7972"/>
          <w:tab w:val="left" w:pos="8231"/>
          <w:tab w:val="left" w:pos="8490"/>
          <w:tab w:val="left" w:pos="8749"/>
          <w:tab w:val="left" w:pos="9008"/>
          <w:tab w:val="left" w:pos="9267"/>
        </w:tabs>
        <w:ind w:left="540"/>
      </w:pPr>
      <w:r w:rsidRPr="00B262DE">
        <w:t>The estimated</w:t>
      </w:r>
      <w:r w:rsidR="00E42E51" w:rsidRPr="00B262DE">
        <w:t xml:space="preserve"> size of the universe for the </w:t>
      </w:r>
      <w:r w:rsidRPr="00B262DE">
        <w:t xml:space="preserve">2017 </w:t>
      </w:r>
      <w:r w:rsidR="000D506F">
        <w:t>Economic Census</w:t>
      </w:r>
      <w:r w:rsidRPr="00B262DE">
        <w:t xml:space="preserve"> of </w:t>
      </w:r>
      <w:r w:rsidR="00E42E51" w:rsidRPr="00B262DE">
        <w:t xml:space="preserve">Island </w:t>
      </w:r>
      <w:r w:rsidR="008C58D8" w:rsidRPr="00B262DE">
        <w:t xml:space="preserve">Areas </w:t>
      </w:r>
      <w:r w:rsidRPr="00B262DE">
        <w:t>is</w:t>
      </w:r>
      <w:r w:rsidR="008C58D8" w:rsidRPr="00B262DE">
        <w:t xml:space="preserve"> approximately 5</w:t>
      </w:r>
      <w:r w:rsidR="00C5354C" w:rsidRPr="00B262DE">
        <w:t>1</w:t>
      </w:r>
      <w:r w:rsidR="008C58D8" w:rsidRPr="00B262DE">
        <w:t>,</w:t>
      </w:r>
      <w:r w:rsidR="009B0620">
        <w:t>1</w:t>
      </w:r>
      <w:r w:rsidR="00E42E51" w:rsidRPr="00B262DE">
        <w:t>00</w:t>
      </w:r>
      <w:r w:rsidR="003E16B3" w:rsidRPr="00B262DE">
        <w:t xml:space="preserve"> establishments</w:t>
      </w:r>
      <w:r w:rsidR="00E42E51" w:rsidRPr="00B262DE">
        <w:t>.  This estimate</w:t>
      </w:r>
      <w:r w:rsidR="00CB69B9" w:rsidRPr="00B262DE">
        <w:t xml:space="preserve"> is based on </w:t>
      </w:r>
      <w:r w:rsidR="00C5354C" w:rsidRPr="00B262DE">
        <w:t>the most recent data available from the Census Bureau’s Business Register.</w:t>
      </w:r>
      <w:r w:rsidR="0095043D">
        <w:t xml:space="preserve">  Table 1 below shows the sectors covered and the estimated universe size for 2017.</w:t>
      </w:r>
    </w:p>
    <w:p w14:paraId="08B354CF" w14:textId="59A2ACBC" w:rsidR="00631E34" w:rsidRDefault="00083D0F">
      <w:pPr>
        <w:tabs>
          <w:tab w:val="left" w:pos="-1080"/>
          <w:tab w:val="left" w:pos="-720"/>
          <w:tab w:val="left" w:pos="0"/>
          <w:tab w:val="left" w:pos="374"/>
          <w:tab w:val="left" w:pos="540"/>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 w:val="left" w:pos="7454"/>
          <w:tab w:val="left" w:pos="7713"/>
          <w:tab w:val="left" w:pos="7972"/>
          <w:tab w:val="left" w:pos="8231"/>
          <w:tab w:val="left" w:pos="8490"/>
          <w:tab w:val="left" w:pos="8749"/>
          <w:tab w:val="left" w:pos="9008"/>
          <w:tab w:val="left" w:pos="9267"/>
        </w:tabs>
        <w:ind w:left="540"/>
      </w:pPr>
      <w:r>
        <w:object w:dxaOrig="8517" w:dyaOrig="6559" w14:anchorId="6B87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94pt" o:ole="">
            <v:imagedata r:id="rId8" o:title=""/>
          </v:shape>
          <o:OLEObject Type="Embed" ProgID="Excel.Sheet.12" ShapeID="_x0000_i1025" DrawAspect="Content" ObjectID="_1555481827" r:id="rId9"/>
        </w:object>
      </w:r>
    </w:p>
    <w:p w14:paraId="50C98642" w14:textId="77777777" w:rsidR="00490341" w:rsidRPr="00B262DE" w:rsidRDefault="00490341">
      <w:pPr>
        <w:tabs>
          <w:tab w:val="left" w:pos="-1080"/>
          <w:tab w:val="left" w:pos="-720"/>
          <w:tab w:val="left" w:pos="0"/>
          <w:tab w:val="left" w:pos="374"/>
          <w:tab w:val="left" w:pos="540"/>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 w:val="left" w:pos="7454"/>
          <w:tab w:val="left" w:pos="7713"/>
          <w:tab w:val="left" w:pos="7972"/>
          <w:tab w:val="left" w:pos="8231"/>
          <w:tab w:val="left" w:pos="8490"/>
          <w:tab w:val="left" w:pos="8749"/>
          <w:tab w:val="left" w:pos="9008"/>
          <w:tab w:val="left" w:pos="9267"/>
        </w:tabs>
        <w:ind w:left="540"/>
      </w:pPr>
    </w:p>
    <w:p w14:paraId="5DD04304" w14:textId="2CBFAFFD" w:rsidR="00631E34" w:rsidRDefault="00E42E51">
      <w:pPr>
        <w:pStyle w:val="Footer"/>
        <w:widowControl/>
        <w:tabs>
          <w:tab w:val="clear" w:pos="4320"/>
          <w:tab w:val="clear" w:pos="8640"/>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b/>
        </w:rPr>
      </w:pPr>
      <w:r w:rsidRPr="00490341">
        <w:rPr>
          <w:rFonts w:ascii="Times New Roman" w:hAnsi="Times New Roman"/>
          <w:b/>
        </w:rPr>
        <w:t>2.</w:t>
      </w:r>
      <w:r w:rsidRPr="00490341">
        <w:rPr>
          <w:rFonts w:ascii="Times New Roman" w:hAnsi="Times New Roman"/>
          <w:b/>
        </w:rPr>
        <w:tab/>
      </w:r>
      <w:r w:rsidR="00C56EE1" w:rsidRPr="00490341">
        <w:rPr>
          <w:rFonts w:ascii="Times New Roman" w:hAnsi="Times New Roman"/>
          <w:b/>
        </w:rPr>
        <w:t>Statistical Methods</w:t>
      </w:r>
    </w:p>
    <w:p w14:paraId="50CF4F98" w14:textId="77777777" w:rsidR="00452D91" w:rsidRPr="00490341" w:rsidRDefault="00452D91">
      <w:pPr>
        <w:pStyle w:val="Footer"/>
        <w:widowControl/>
        <w:tabs>
          <w:tab w:val="clear" w:pos="4320"/>
          <w:tab w:val="clear" w:pos="8640"/>
          <w:tab w:val="left" w:pos="-1080"/>
          <w:tab w:val="left" w:pos="-720"/>
          <w:tab w:val="left" w:pos="0"/>
          <w:tab w:val="left" w:pos="360"/>
          <w:tab w:val="left" w:pos="540"/>
          <w:tab w:val="left" w:pos="72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rPr>
          <w:rFonts w:ascii="Times New Roman" w:hAnsi="Times New Roman"/>
          <w:b/>
        </w:rPr>
      </w:pPr>
    </w:p>
    <w:p w14:paraId="19A7E75E" w14:textId="1495C2EE" w:rsidR="004E0FA2" w:rsidRDefault="004E0FA2">
      <w:pPr>
        <w:tabs>
          <w:tab w:val="left" w:pos="-1080"/>
          <w:tab w:val="left" w:pos="-720"/>
          <w:tab w:val="left" w:pos="0"/>
          <w:tab w:val="left" w:pos="360"/>
          <w:tab w:val="left" w:pos="54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540"/>
      </w:pPr>
      <w:r>
        <w:t xml:space="preserve">A. </w:t>
      </w:r>
      <w:r w:rsidR="000520F2">
        <w:t>Required Accuracy and Estimation Procedures</w:t>
      </w:r>
    </w:p>
    <w:p w14:paraId="31613E01" w14:textId="77777777" w:rsidR="00487BA3" w:rsidRDefault="00487BA3">
      <w:pPr>
        <w:tabs>
          <w:tab w:val="left" w:pos="-1080"/>
          <w:tab w:val="left" w:pos="-720"/>
          <w:tab w:val="left" w:pos="0"/>
          <w:tab w:val="left" w:pos="360"/>
          <w:tab w:val="left" w:pos="54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540"/>
      </w:pPr>
    </w:p>
    <w:p w14:paraId="5963BEBD" w14:textId="519C9980" w:rsidR="00631E34" w:rsidRPr="0095043D" w:rsidRDefault="00AF2606">
      <w:pPr>
        <w:tabs>
          <w:tab w:val="left" w:pos="-1080"/>
          <w:tab w:val="left" w:pos="-720"/>
          <w:tab w:val="left" w:pos="0"/>
          <w:tab w:val="left" w:pos="360"/>
          <w:tab w:val="left" w:pos="540"/>
          <w:tab w:val="left" w:pos="979"/>
          <w:tab w:val="left" w:pos="1238"/>
          <w:tab w:val="left" w:pos="1497"/>
          <w:tab w:val="left" w:pos="1756"/>
          <w:tab w:val="left" w:pos="2015"/>
          <w:tab w:val="left" w:pos="2274"/>
          <w:tab w:val="left" w:pos="2533"/>
          <w:tab w:val="left" w:pos="2792"/>
          <w:tab w:val="left" w:pos="3051"/>
          <w:tab w:val="left" w:pos="3310"/>
          <w:tab w:val="left" w:pos="3569"/>
          <w:tab w:val="left" w:pos="3828"/>
          <w:tab w:val="left" w:pos="4087"/>
          <w:tab w:val="left" w:pos="4346"/>
          <w:tab w:val="left" w:pos="4605"/>
          <w:tab w:val="left" w:pos="4864"/>
          <w:tab w:val="left" w:pos="5123"/>
          <w:tab w:val="left" w:pos="5382"/>
          <w:tab w:val="left" w:pos="5641"/>
          <w:tab w:val="left" w:pos="5900"/>
          <w:tab w:val="left" w:pos="6159"/>
          <w:tab w:val="left" w:pos="6418"/>
          <w:tab w:val="left" w:pos="6677"/>
          <w:tab w:val="left" w:pos="6936"/>
          <w:tab w:val="left" w:pos="7195"/>
          <w:tab w:val="left" w:pos="7454"/>
          <w:tab w:val="left" w:pos="7713"/>
          <w:tab w:val="left" w:pos="7972"/>
          <w:tab w:val="left" w:pos="8231"/>
          <w:tab w:val="left" w:pos="8490"/>
          <w:tab w:val="left" w:pos="8749"/>
          <w:tab w:val="left" w:pos="9008"/>
          <w:tab w:val="left" w:pos="9267"/>
        </w:tabs>
        <w:ind w:left="540"/>
      </w:pPr>
      <w:r w:rsidRPr="000D506F">
        <w:t xml:space="preserve">The </w:t>
      </w:r>
      <w:r w:rsidR="000D506F">
        <w:t>Economic Census</w:t>
      </w:r>
      <w:r w:rsidRPr="004C36CD">
        <w:t xml:space="preserve"> of </w:t>
      </w:r>
      <w:r w:rsidR="000D506F">
        <w:t>Island Areas</w:t>
      </w:r>
      <w:r w:rsidRPr="004C36CD">
        <w:t xml:space="preserve"> is a</w:t>
      </w:r>
      <w:r w:rsidR="00E42E51" w:rsidRPr="000D506F">
        <w:t xml:space="preserve"> complete enumeration of </w:t>
      </w:r>
      <w:r w:rsidRPr="000D506F">
        <w:t>establishments located in the</w:t>
      </w:r>
      <w:r w:rsidR="00E42E51" w:rsidRPr="000D506F">
        <w:t xml:space="preserve"> Island Areas.  </w:t>
      </w:r>
      <w:r w:rsidRPr="000D506F">
        <w:t>Therefore, the</w:t>
      </w:r>
      <w:r w:rsidR="00E42E51" w:rsidRPr="000D506F">
        <w:t xml:space="preserve"> accuracy</w:t>
      </w:r>
      <w:r w:rsidR="00E42E51" w:rsidRPr="0095043D">
        <w:t xml:space="preserve"> of </w:t>
      </w:r>
      <w:r w:rsidR="0098074E" w:rsidRPr="0095043D">
        <w:t>tabulations</w:t>
      </w:r>
      <w:r w:rsidR="00E42E51" w:rsidRPr="0095043D">
        <w:t xml:space="preserve"> is not affected by sampling error.</w:t>
      </w:r>
    </w:p>
    <w:p w14:paraId="62993E56" w14:textId="77777777" w:rsidR="00631E34" w:rsidRPr="0095043D" w:rsidRDefault="00631E34">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2BF955BD" w14:textId="7FB9A6ED" w:rsidR="00631E34" w:rsidRPr="0095043D" w:rsidRDefault="00E42E51">
      <w:pPr>
        <w:tabs>
          <w:tab w:val="left" w:pos="-1080"/>
          <w:tab w:val="left" w:pos="-720"/>
          <w:tab w:val="left" w:pos="0"/>
          <w:tab w:val="left" w:pos="374"/>
          <w:tab w:val="left" w:pos="540"/>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 w:val="left" w:pos="7454"/>
          <w:tab w:val="left" w:pos="7713"/>
          <w:tab w:val="left" w:pos="7972"/>
          <w:tab w:val="left" w:pos="8231"/>
          <w:tab w:val="left" w:pos="8490"/>
          <w:tab w:val="left" w:pos="8749"/>
          <w:tab w:val="left" w:pos="9008"/>
          <w:tab w:val="left" w:pos="9267"/>
        </w:tabs>
        <w:ind w:left="540"/>
      </w:pPr>
      <w:r w:rsidRPr="0095043D">
        <w:t>The accuracy of all census data is</w:t>
      </w:r>
      <w:r w:rsidR="00214E99">
        <w:t xml:space="preserve"> </w:t>
      </w:r>
      <w:r w:rsidRPr="0095043D">
        <w:t>influenced by non</w:t>
      </w:r>
      <w:r w:rsidR="00C5354C" w:rsidRPr="0095043D">
        <w:t>-</w:t>
      </w:r>
      <w:r w:rsidRPr="0095043D">
        <w:t>sampling errors, such as those affecting coverage, administrative records, questionnaire design, reporting, processing, and tabulation.  Although we make no direct measurement of non</w:t>
      </w:r>
      <w:r w:rsidR="00C5354C" w:rsidRPr="0095043D">
        <w:t>-</w:t>
      </w:r>
      <w:r w:rsidRPr="0095043D">
        <w:t>sampling errors, we take precautionary steps in all phases of planning, report form development, data collection, processing, and tabulation to minimize their influence.</w:t>
      </w:r>
    </w:p>
    <w:p w14:paraId="175B0E1A" w14:textId="77777777" w:rsidR="00631E34" w:rsidRPr="0095043D" w:rsidRDefault="00631E34">
      <w:pPr>
        <w:tabs>
          <w:tab w:val="left" w:pos="-1080"/>
          <w:tab w:val="left" w:pos="-720"/>
          <w:tab w:val="left" w:pos="0"/>
          <w:tab w:val="left" w:pos="374"/>
          <w:tab w:val="left" w:pos="540"/>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 w:val="left" w:pos="7454"/>
          <w:tab w:val="left" w:pos="7713"/>
          <w:tab w:val="left" w:pos="7972"/>
          <w:tab w:val="left" w:pos="8231"/>
          <w:tab w:val="left" w:pos="8490"/>
          <w:tab w:val="left" w:pos="8749"/>
          <w:tab w:val="left" w:pos="9008"/>
          <w:tab w:val="left" w:pos="9267"/>
        </w:tabs>
        <w:ind w:left="540"/>
      </w:pPr>
    </w:p>
    <w:p w14:paraId="1B38B824" w14:textId="5A59B125" w:rsidR="00631E34" w:rsidRDefault="00E42E51" w:rsidP="004547C0">
      <w:pPr>
        <w:tabs>
          <w:tab w:val="left" w:pos="-1440"/>
          <w:tab w:val="left" w:pos="-720"/>
          <w:tab w:val="left" w:pos="0"/>
          <w:tab w:val="right" w:pos="374"/>
          <w:tab w:val="left" w:pos="540"/>
          <w:tab w:val="left" w:pos="720"/>
          <w:tab w:val="left" w:pos="979"/>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hanging="540"/>
      </w:pPr>
      <w:r w:rsidRPr="0095043D">
        <w:tab/>
      </w:r>
      <w:r w:rsidRPr="0095043D">
        <w:tab/>
        <w:t>The census uses periodic (5-year) data collection, as required by Title 13 U.S.C., Section 131.</w:t>
      </w:r>
      <w:r w:rsidR="00AC3FAA" w:rsidRPr="004C36CD">
        <w:t xml:space="preserve">  Th</w:t>
      </w:r>
      <w:r w:rsidR="00AC3FAA" w:rsidRPr="0095043D">
        <w:t>e Census Bureau uses administrative data from the IRS for payroll data of non-response cases.  Subsequently, other data items are imputed using ratios</w:t>
      </w:r>
      <w:r w:rsidR="00F27385" w:rsidRPr="0095043D">
        <w:t xml:space="preserve"> from response data of other establishments in the same industry.</w:t>
      </w:r>
      <w:r w:rsidR="00AC3FAA" w:rsidRPr="0095043D">
        <w:t xml:space="preserve"> </w:t>
      </w:r>
      <w:r w:rsidR="00723FBB">
        <w:t>Tabulations are simple summations of data from all in-scope establishments using reported data collected from the Economic Census plus imputed data for item and unit nonresponse.</w:t>
      </w:r>
    </w:p>
    <w:p w14:paraId="3DEDC11E" w14:textId="65166C38" w:rsidR="009C6F1C" w:rsidRDefault="009C6F1C" w:rsidP="004547C0">
      <w:pPr>
        <w:tabs>
          <w:tab w:val="left" w:pos="-1440"/>
          <w:tab w:val="left" w:pos="-720"/>
          <w:tab w:val="left" w:pos="0"/>
          <w:tab w:val="right" w:pos="374"/>
          <w:tab w:val="left" w:pos="540"/>
          <w:tab w:val="left" w:pos="720"/>
          <w:tab w:val="left" w:pos="979"/>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hanging="540"/>
      </w:pPr>
    </w:p>
    <w:p w14:paraId="284295C2" w14:textId="1D77FF28" w:rsidR="009C6F1C" w:rsidRDefault="009C6F1C" w:rsidP="004547C0">
      <w:pPr>
        <w:tabs>
          <w:tab w:val="left" w:pos="-1440"/>
          <w:tab w:val="left" w:pos="-720"/>
          <w:tab w:val="left" w:pos="0"/>
          <w:tab w:val="right" w:pos="374"/>
          <w:tab w:val="left" w:pos="540"/>
          <w:tab w:val="left" w:pos="720"/>
          <w:tab w:val="left" w:pos="979"/>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hanging="540"/>
      </w:pPr>
    </w:p>
    <w:p w14:paraId="1F84668B" w14:textId="77777777" w:rsidR="009C6F1C" w:rsidRPr="004C36CD" w:rsidRDefault="009C6F1C" w:rsidP="004547C0">
      <w:pPr>
        <w:tabs>
          <w:tab w:val="left" w:pos="-1440"/>
          <w:tab w:val="left" w:pos="-720"/>
          <w:tab w:val="left" w:pos="0"/>
          <w:tab w:val="right" w:pos="374"/>
          <w:tab w:val="left" w:pos="540"/>
          <w:tab w:val="left" w:pos="720"/>
          <w:tab w:val="left" w:pos="979"/>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hanging="540"/>
      </w:pPr>
    </w:p>
    <w:p w14:paraId="69FCF57F" w14:textId="77777777" w:rsidR="00F74E39" w:rsidRPr="0095043D" w:rsidRDefault="00F74E39" w:rsidP="004547C0">
      <w:pPr>
        <w:tabs>
          <w:tab w:val="left" w:pos="-1440"/>
          <w:tab w:val="left" w:pos="-720"/>
          <w:tab w:val="left" w:pos="0"/>
          <w:tab w:val="right" w:pos="374"/>
          <w:tab w:val="left" w:pos="540"/>
          <w:tab w:val="left" w:pos="720"/>
          <w:tab w:val="left" w:pos="979"/>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hanging="540"/>
      </w:pPr>
    </w:p>
    <w:p w14:paraId="33F5549B" w14:textId="53A5D0A6" w:rsidR="009C6F1C" w:rsidRDefault="00F74E39" w:rsidP="004547C0">
      <w:pPr>
        <w:tabs>
          <w:tab w:val="left" w:pos="-1440"/>
          <w:tab w:val="left" w:pos="-720"/>
          <w:tab w:val="left" w:pos="0"/>
          <w:tab w:val="right" w:pos="374"/>
          <w:tab w:val="left" w:pos="540"/>
          <w:tab w:val="left" w:pos="720"/>
          <w:tab w:val="left" w:pos="979"/>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hanging="540"/>
      </w:pPr>
      <w:r w:rsidRPr="0095043D">
        <w:lastRenderedPageBreak/>
        <w:tab/>
      </w:r>
      <w:r w:rsidRPr="0095043D">
        <w:tab/>
      </w:r>
      <w:r w:rsidR="009C6F1C">
        <w:t>B.  Disclosure</w:t>
      </w:r>
    </w:p>
    <w:p w14:paraId="1B42523D" w14:textId="77777777" w:rsidR="009C6F1C" w:rsidRDefault="009C6F1C" w:rsidP="004547C0">
      <w:pPr>
        <w:tabs>
          <w:tab w:val="left" w:pos="-1440"/>
          <w:tab w:val="left" w:pos="-720"/>
          <w:tab w:val="left" w:pos="0"/>
          <w:tab w:val="right" w:pos="374"/>
          <w:tab w:val="left" w:pos="540"/>
          <w:tab w:val="left" w:pos="720"/>
          <w:tab w:val="left" w:pos="979"/>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hanging="540"/>
      </w:pPr>
    </w:p>
    <w:p w14:paraId="29ABAAFF" w14:textId="77F94B79" w:rsidR="00F74E39" w:rsidRPr="004C36CD" w:rsidRDefault="009C6F1C" w:rsidP="00D238CF">
      <w:pPr>
        <w:tabs>
          <w:tab w:val="left" w:pos="-1440"/>
          <w:tab w:val="left" w:pos="-720"/>
          <w:tab w:val="left" w:pos="0"/>
          <w:tab w:val="right" w:pos="374"/>
          <w:tab w:val="left" w:pos="540"/>
          <w:tab w:val="left" w:pos="720"/>
          <w:tab w:val="left" w:pos="979"/>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hanging="540"/>
      </w:pPr>
      <w:r>
        <w:tab/>
      </w:r>
      <w:r>
        <w:tab/>
      </w:r>
      <w:r w:rsidR="00F74E39" w:rsidRPr="0082541D">
        <w:rPr>
          <w:color w:val="333333"/>
          <w:lang w:val="en"/>
        </w:rPr>
        <w:t>In accordance with federal law governing census reports (Title 13 of the United States Code, Section 9), no data are published that would disclose the operations of an individual establishment or business. However, the number of establishments in a kind-of-business classification is not considered a disclosure; therefore, this information may be released. Cell values that have a potential for revealing confidential information must be suppressed or have their values perturbed by using the "Noise Infusion" technique.</w:t>
      </w:r>
      <w:r w:rsidR="00F74E39" w:rsidRPr="0070182C">
        <w:rPr>
          <w:rStyle w:val="FootnoteReference"/>
          <w:color w:val="333333"/>
          <w:vertAlign w:val="superscript"/>
          <w:lang w:val="en"/>
        </w:rPr>
        <w:footnoteReference w:id="2"/>
      </w:r>
    </w:p>
    <w:p w14:paraId="39CBC118" w14:textId="77777777" w:rsidR="00631E34" w:rsidRDefault="00631E34">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1238" w:hanging="1238"/>
      </w:pPr>
    </w:p>
    <w:p w14:paraId="58BB81FF" w14:textId="0293C417" w:rsidR="004E0FA2" w:rsidRDefault="009C6F1C">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1238" w:hanging="1238"/>
      </w:pPr>
      <w:r>
        <w:tab/>
        <w:t xml:space="preserve">        C</w:t>
      </w:r>
      <w:r w:rsidR="004E0FA2">
        <w:t>. Response Metrics</w:t>
      </w:r>
    </w:p>
    <w:p w14:paraId="30F02E33" w14:textId="77777777" w:rsidR="00465DB5" w:rsidRDefault="00465DB5">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1238" w:hanging="1238"/>
      </w:pPr>
    </w:p>
    <w:p w14:paraId="2C76EA08" w14:textId="0ABFA35C" w:rsidR="007C2B3F" w:rsidRPr="00FD52FB" w:rsidRDefault="00465DB5" w:rsidP="007C2B3F">
      <w:pPr>
        <w:spacing w:after="200" w:line="276" w:lineRule="auto"/>
        <w:rPr>
          <w:rFonts w:eastAsiaTheme="minorHAnsi"/>
          <w:u w:val="single"/>
        </w:rPr>
      </w:pPr>
      <w:r>
        <w:tab/>
      </w:r>
      <w:r w:rsidR="007C2B3F" w:rsidRPr="00FD52FB">
        <w:rPr>
          <w:rFonts w:eastAsiaTheme="minorHAnsi"/>
          <w:u w:val="single"/>
        </w:rPr>
        <w:t>Definitions and Formulae</w:t>
      </w:r>
    </w:p>
    <w:p w14:paraId="68FCF8F0" w14:textId="77777777" w:rsidR="007C2B3F" w:rsidRPr="00466487" w:rsidRDefault="007C2B3F" w:rsidP="0082541D">
      <w:pPr>
        <w:spacing w:after="200" w:line="276" w:lineRule="auto"/>
        <w:ind w:left="720"/>
        <w:rPr>
          <w:rFonts w:eastAsiaTheme="minorHAnsi"/>
        </w:rPr>
      </w:pPr>
      <w:r w:rsidRPr="00466487">
        <w:rPr>
          <w:rFonts w:eastAsiaTheme="minorHAnsi"/>
        </w:rPr>
        <w:t>For the 2017 Economic Census</w:t>
      </w:r>
      <w:r w:rsidR="003377A3">
        <w:rPr>
          <w:rFonts w:eastAsiaTheme="minorHAnsi"/>
        </w:rPr>
        <w:t xml:space="preserve"> of Island Areas</w:t>
      </w:r>
      <w:r w:rsidRPr="00466487">
        <w:rPr>
          <w:rFonts w:eastAsiaTheme="minorHAnsi"/>
        </w:rPr>
        <w:t xml:space="preserve">, the Census Bureau will calculate official measures of </w:t>
      </w:r>
      <w:r w:rsidR="003377A3">
        <w:rPr>
          <w:rFonts w:eastAsiaTheme="minorHAnsi"/>
        </w:rPr>
        <w:t>r</w:t>
      </w:r>
      <w:r w:rsidRPr="00466487">
        <w:rPr>
          <w:rFonts w:eastAsiaTheme="minorHAnsi"/>
        </w:rPr>
        <w:t>esponse rates according to OMB’s standards (Office and Management and Budget Standards and Guidelines for Statistical Surveys, September, 2006).  For recent past economic censuses, the check-in rate was used to measure, monitor, and manage data collection and response.  The check-in rate is calculated as the ratio of the number of reporting units</w:t>
      </w:r>
      <w:r w:rsidRPr="00466487">
        <w:rPr>
          <w:rFonts w:eastAsiaTheme="minorHAnsi"/>
          <w:vertAlign w:val="superscript"/>
        </w:rPr>
        <w:footnoteReference w:id="3"/>
      </w:r>
      <w:r w:rsidRPr="00466487">
        <w:rPr>
          <w:rFonts w:eastAsiaTheme="minorHAnsi"/>
        </w:rPr>
        <w:t xml:space="preserve"> returning</w:t>
      </w:r>
      <w:r w:rsidRPr="00466487">
        <w:rPr>
          <w:rFonts w:eastAsiaTheme="minorHAnsi"/>
          <w:vertAlign w:val="superscript"/>
        </w:rPr>
        <w:footnoteReference w:id="4"/>
      </w:r>
      <w:r w:rsidRPr="00466487">
        <w:rPr>
          <w:rFonts w:eastAsiaTheme="minorHAnsi"/>
        </w:rPr>
        <w:t xml:space="preserve"> a questionnaire to the number of reporting units mailed a request to complete a questionnaire:</w:t>
      </w:r>
    </w:p>
    <w:p w14:paraId="4BE70CB1" w14:textId="77777777" w:rsidR="007C2B3F" w:rsidRPr="00466487" w:rsidRDefault="007C2B3F" w:rsidP="007C2B3F">
      <w:pPr>
        <w:spacing w:after="200" w:line="276" w:lineRule="auto"/>
        <w:rPr>
          <w:rFonts w:eastAsiaTheme="minorHAnsi"/>
        </w:rPr>
      </w:pPr>
    </w:p>
    <w:p w14:paraId="79DEC5A7" w14:textId="77777777" w:rsidR="007C2B3F" w:rsidRPr="00466487" w:rsidRDefault="007C2B3F" w:rsidP="007C2B3F">
      <w:pPr>
        <w:spacing w:after="200" w:line="276" w:lineRule="auto"/>
        <w:jc w:val="center"/>
        <w:rPr>
          <w:rFonts w:eastAsiaTheme="minorEastAsia"/>
        </w:rPr>
      </w:pPr>
      <m:oMathPara>
        <m:oMath>
          <m:r>
            <w:rPr>
              <w:rFonts w:ascii="Cambria Math" w:eastAsiaTheme="minorHAnsi" w:hAnsi="Cambria Math"/>
            </w:rPr>
            <m:t>Check-in=</m:t>
          </m:r>
          <m:f>
            <m:fPr>
              <m:ctrlPr>
                <w:rPr>
                  <w:rFonts w:ascii="Cambria Math" w:eastAsiaTheme="minorHAnsi" w:hAnsi="Cambria Math"/>
                  <w:i/>
                </w:rPr>
              </m:ctrlPr>
            </m:fPr>
            <m:num>
              <m:r>
                <w:rPr>
                  <w:rFonts w:ascii="Cambria Math" w:eastAsiaTheme="minorHAnsi" w:hAnsi="Cambria Math"/>
                </w:rPr>
                <m:t># of reporting units that returned a questionnaire</m:t>
              </m:r>
            </m:num>
            <m:den>
              <m:r>
                <w:rPr>
                  <w:rFonts w:ascii="Cambria Math" w:eastAsiaTheme="minorHAnsi" w:hAnsi="Cambria Math"/>
                </w:rPr>
                <m:t># of reporting units mailed a request to complete a questionnaire</m:t>
              </m:r>
            </m:den>
          </m:f>
        </m:oMath>
      </m:oMathPara>
    </w:p>
    <w:p w14:paraId="72519253" w14:textId="77777777" w:rsidR="007C2B3F" w:rsidRDefault="007C2B3F" w:rsidP="007C2B3F">
      <w:pPr>
        <w:spacing w:after="200" w:line="276" w:lineRule="auto"/>
        <w:rPr>
          <w:rFonts w:eastAsiaTheme="minorHAnsi"/>
        </w:rPr>
      </w:pPr>
    </w:p>
    <w:p w14:paraId="3E676154" w14:textId="233B491F" w:rsidR="007C2B3F" w:rsidRPr="00466487" w:rsidRDefault="007C2B3F" w:rsidP="007C2B3F">
      <w:pPr>
        <w:spacing w:after="200" w:line="276" w:lineRule="auto"/>
        <w:rPr>
          <w:rFonts w:eastAsiaTheme="minorHAnsi"/>
        </w:rPr>
      </w:pPr>
      <w:r w:rsidRPr="00466487">
        <w:rPr>
          <w:rFonts w:eastAsiaTheme="minorHAnsi"/>
        </w:rPr>
        <w:t xml:space="preserve">The check-in rate is readily available in “real-time” during data collection, but does not incorporate information on the quality of the response data and the ability to consider them as respondent-reported data in summary statistics.  </w:t>
      </w:r>
      <w:r w:rsidR="00B14F54">
        <w:rPr>
          <w:rFonts w:eastAsiaTheme="minorHAnsi"/>
        </w:rPr>
        <w:t>The check-in rate for the 2012 Economic Census of Island Areas was 77%.</w:t>
      </w:r>
    </w:p>
    <w:p w14:paraId="5D4DEB5D" w14:textId="271020F3" w:rsidR="00F74CD8" w:rsidRDefault="007C2B3F" w:rsidP="007C2B3F">
      <w:pPr>
        <w:spacing w:after="200" w:line="276" w:lineRule="auto"/>
        <w:rPr>
          <w:rFonts w:eastAsiaTheme="minorHAnsi"/>
        </w:rPr>
      </w:pPr>
      <w:r w:rsidRPr="00466487">
        <w:rPr>
          <w:rFonts w:eastAsiaTheme="minorHAnsi"/>
        </w:rPr>
        <w:t xml:space="preserve">The OMB standards indicate that response rates must be computed using standard formulas to measure the proportion of the eligible sample that is represented by the responding units in each study, as an indicator of potential nonresponse bias.  Both unweighted and weighted response rates should be calculated.  Additionally, weighted response rates should incorporate the probability of selection or, in the case of establishment surveys, the proportion of key characteristics that is represented by the responding units. </w:t>
      </w:r>
    </w:p>
    <w:p w14:paraId="0BEF2D77" w14:textId="386C2803" w:rsidR="00F74CD8" w:rsidRPr="0059192F" w:rsidRDefault="001A6954" w:rsidP="007C2B3F">
      <w:pPr>
        <w:spacing w:after="200" w:line="276" w:lineRule="auto"/>
        <w:rPr>
          <w:rFonts w:eastAsiaTheme="minorHAnsi"/>
        </w:rPr>
      </w:pPr>
      <w:r w:rsidRPr="0059192F">
        <w:rPr>
          <w:rFonts w:eastAsiaTheme="minorHAnsi"/>
        </w:rPr>
        <w:t>In previous Economic Censuses, the method of calculating response rates did not conform with the OMB standard. In preparation for the 2012 Economic Census, the Census Bureau agreed to calculate future response rates in a manner consistent with the OMB standard, starting with the 2017 Economic</w:t>
      </w:r>
      <w:bookmarkStart w:id="0" w:name="_GoBack"/>
      <w:bookmarkEnd w:id="0"/>
      <w:r w:rsidRPr="0059192F">
        <w:rPr>
          <w:rFonts w:eastAsiaTheme="minorHAnsi"/>
        </w:rPr>
        <w:t xml:space="preserve"> Census. Accordingly, t</w:t>
      </w:r>
      <w:r w:rsidR="003C07E0" w:rsidRPr="0059192F">
        <w:rPr>
          <w:rFonts w:eastAsiaTheme="minorHAnsi"/>
        </w:rPr>
        <w:t xml:space="preserve">he Census Bureau’s Methodology and Standards Council approved a </w:t>
      </w:r>
      <w:r w:rsidR="004316B5" w:rsidRPr="0059192F">
        <w:rPr>
          <w:rFonts w:eastAsiaTheme="minorHAnsi"/>
        </w:rPr>
        <w:t xml:space="preserve">one-time </w:t>
      </w:r>
      <w:r w:rsidR="00F74CD8" w:rsidRPr="0059192F">
        <w:rPr>
          <w:rFonts w:eastAsiaTheme="minorHAnsi"/>
        </w:rPr>
        <w:t>waiver</w:t>
      </w:r>
      <w:r w:rsidR="00A47F00" w:rsidRPr="007169C6">
        <w:rPr>
          <w:rFonts w:eastAsiaTheme="minorHAnsi"/>
        </w:rPr>
        <w:t xml:space="preserve"> </w:t>
      </w:r>
      <w:r w:rsidR="00896129" w:rsidRPr="007169C6">
        <w:rPr>
          <w:rFonts w:eastAsiaTheme="minorHAnsi"/>
        </w:rPr>
        <w:t>for the calculation of response rates according to Census Bureau Standards</w:t>
      </w:r>
      <w:r w:rsidR="00A47F00" w:rsidRPr="0059192F">
        <w:rPr>
          <w:rFonts w:eastAsiaTheme="minorHAnsi"/>
          <w:color w:val="FF0000"/>
        </w:rPr>
        <w:t xml:space="preserve"> </w:t>
      </w:r>
      <w:r w:rsidR="00A47F00" w:rsidRPr="0059192F">
        <w:rPr>
          <w:rFonts w:eastAsiaTheme="minorHAnsi"/>
        </w:rPr>
        <w:t xml:space="preserve">for </w:t>
      </w:r>
      <w:r w:rsidR="00F74CD8" w:rsidRPr="0059192F">
        <w:rPr>
          <w:rFonts w:eastAsiaTheme="minorHAnsi"/>
        </w:rPr>
        <w:t>the 2012 Economic Census (and 2012 Economic Census of Island Areas) with the condition that the Economic Census provide standard response metrics with the release of the 2017 Economic Census</w:t>
      </w:r>
      <w:r w:rsidR="004316B5" w:rsidRPr="0059192F">
        <w:rPr>
          <w:rFonts w:eastAsiaTheme="minorHAnsi"/>
        </w:rPr>
        <w:t xml:space="preserve"> (and 2017 Economic Census of Island Areas)</w:t>
      </w:r>
      <w:r w:rsidR="00F74CD8" w:rsidRPr="0059192F">
        <w:rPr>
          <w:rFonts w:eastAsiaTheme="minorHAnsi"/>
        </w:rPr>
        <w:t xml:space="preserve"> results.  A copy of the approved waiver is</w:t>
      </w:r>
      <w:r w:rsidR="004316B5" w:rsidRPr="0059192F">
        <w:rPr>
          <w:rFonts w:eastAsiaTheme="minorHAnsi"/>
        </w:rPr>
        <w:t xml:space="preserve"> </w:t>
      </w:r>
      <w:r w:rsidR="00F74CD8" w:rsidRPr="0059192F">
        <w:rPr>
          <w:rFonts w:eastAsiaTheme="minorHAnsi"/>
        </w:rPr>
        <w:t xml:space="preserve">provided in Attachment </w:t>
      </w:r>
      <w:r w:rsidR="00B72704" w:rsidRPr="0059192F">
        <w:rPr>
          <w:rFonts w:eastAsiaTheme="minorHAnsi"/>
        </w:rPr>
        <w:t>I.</w:t>
      </w:r>
      <w:r w:rsidR="00F74CD8" w:rsidRPr="0059192F">
        <w:rPr>
          <w:rFonts w:eastAsiaTheme="minorHAnsi"/>
        </w:rPr>
        <w:t xml:space="preserve">  </w:t>
      </w:r>
      <w:r w:rsidR="004316B5" w:rsidRPr="0059192F">
        <w:rPr>
          <w:rFonts w:eastAsiaTheme="minorHAnsi"/>
        </w:rPr>
        <w:t>The</w:t>
      </w:r>
      <w:r w:rsidR="003C07E0" w:rsidRPr="0059192F">
        <w:rPr>
          <w:rFonts w:eastAsiaTheme="minorHAnsi"/>
        </w:rPr>
        <w:t xml:space="preserve"> OMB desk officer </w:t>
      </w:r>
      <w:r w:rsidR="00A47F00" w:rsidRPr="0059192F">
        <w:rPr>
          <w:rFonts w:eastAsiaTheme="minorHAnsi"/>
        </w:rPr>
        <w:t>for</w:t>
      </w:r>
      <w:r w:rsidR="003C07E0" w:rsidRPr="0059192F">
        <w:rPr>
          <w:rFonts w:eastAsiaTheme="minorHAnsi"/>
        </w:rPr>
        <w:t xml:space="preserve"> the 2012 Economic Census ICR</w:t>
      </w:r>
      <w:r w:rsidR="00A47F00" w:rsidRPr="0059192F">
        <w:rPr>
          <w:rFonts w:eastAsiaTheme="minorHAnsi"/>
        </w:rPr>
        <w:t xml:space="preserve"> verbally agreed with the proposed waiver</w:t>
      </w:r>
      <w:r w:rsidR="003C07E0" w:rsidRPr="0059192F">
        <w:rPr>
          <w:rFonts w:eastAsiaTheme="minorHAnsi"/>
        </w:rPr>
        <w:t>.</w:t>
      </w:r>
    </w:p>
    <w:p w14:paraId="6B7285B6" w14:textId="77777777" w:rsidR="007C2B3F" w:rsidRPr="00466487" w:rsidRDefault="007C2B3F" w:rsidP="007C2B3F">
      <w:pPr>
        <w:spacing w:after="200" w:line="276" w:lineRule="auto"/>
        <w:rPr>
          <w:rFonts w:eastAsiaTheme="minorHAnsi"/>
        </w:rPr>
      </w:pPr>
      <w:r w:rsidRPr="00466487">
        <w:rPr>
          <w:rFonts w:eastAsiaTheme="minorHAnsi"/>
        </w:rPr>
        <w:t>The OMB Unit Response Rate (URR) calculation uses only valid responses in the numerator of the ratio, and eliminates known ineligible reporting units from the denominator:</w:t>
      </w:r>
    </w:p>
    <w:p w14:paraId="23807D8C" w14:textId="77777777" w:rsidR="007C2B3F" w:rsidRPr="00466487" w:rsidRDefault="007C2B3F" w:rsidP="007C2B3F">
      <w:pPr>
        <w:spacing w:after="200" w:line="276" w:lineRule="auto"/>
        <w:rPr>
          <w:rFonts w:eastAsiaTheme="minorHAnsi"/>
        </w:rPr>
      </w:pPr>
    </w:p>
    <w:p w14:paraId="135D2307" w14:textId="4B03719B" w:rsidR="007C2B3F" w:rsidRPr="004C36CD" w:rsidRDefault="007C2B3F" w:rsidP="007C2B3F">
      <w:pPr>
        <w:spacing w:after="200" w:line="276" w:lineRule="auto"/>
        <w:rPr>
          <w:rFonts w:eastAsiaTheme="minorEastAsia"/>
        </w:rPr>
      </w:pPr>
      <m:oMathPara>
        <m:oMath>
          <m:r>
            <w:rPr>
              <w:rFonts w:ascii="Cambria Math" w:eastAsiaTheme="minorHAnsi" w:hAnsi="Cambria Math"/>
            </w:rPr>
            <m:t xml:space="preserve">URR= </m:t>
          </m:r>
          <m:f>
            <m:fPr>
              <m:ctrlPr>
                <w:rPr>
                  <w:rFonts w:ascii="Cambria Math" w:eastAsiaTheme="minorHAnsi" w:hAnsi="Cambria Math"/>
                  <w:i/>
                </w:rPr>
              </m:ctrlPr>
            </m:fPr>
            <m:num>
              <m:r>
                <w:rPr>
                  <w:rFonts w:ascii="Cambria Math" w:eastAsiaTheme="minorHAnsi" w:hAnsi="Cambria Math"/>
                </w:rPr>
                <m:t># of reporting units with valid responses</m:t>
              </m:r>
            </m:num>
            <m:den>
              <m:r>
                <w:rPr>
                  <w:rFonts w:ascii="Cambria Math" w:eastAsiaTheme="minorHAnsi" w:hAnsi="Cambria Math"/>
                </w:rPr>
                <m:t># of eligible reportingnits+# of reporting units with unknown eligibility</m:t>
              </m:r>
            </m:den>
          </m:f>
        </m:oMath>
      </m:oMathPara>
    </w:p>
    <w:p w14:paraId="77157BBC" w14:textId="411E0E20" w:rsidR="007C2B3F" w:rsidRPr="00466487" w:rsidRDefault="007C2B3F" w:rsidP="007C2B3F">
      <w:pPr>
        <w:spacing w:after="200" w:line="276" w:lineRule="auto"/>
        <w:rPr>
          <w:rFonts w:eastAsiaTheme="minorEastAsia"/>
        </w:rPr>
      </w:pPr>
      <w:r w:rsidRPr="00466487">
        <w:rPr>
          <w:rFonts w:eastAsiaTheme="minorEastAsia"/>
        </w:rPr>
        <w:t>The URR is the proportion of reporting un</w:t>
      </w:r>
      <w:r w:rsidR="0059192F">
        <w:rPr>
          <w:rFonts w:eastAsiaTheme="minorEastAsia"/>
        </w:rPr>
        <w:t xml:space="preserve">its, based on unweighted counts, </w:t>
      </w:r>
      <w:r w:rsidRPr="00466487">
        <w:rPr>
          <w:rFonts w:eastAsiaTheme="minorEastAsia"/>
        </w:rPr>
        <w:t>that were eligible and provided valid responses or were of unknown eligibility (expressed as a percentage).  For the 2017 Economic Census</w:t>
      </w:r>
      <w:r w:rsidR="003377A3">
        <w:rPr>
          <w:rFonts w:eastAsiaTheme="minorEastAsia"/>
        </w:rPr>
        <w:t xml:space="preserve"> of Island Areas</w:t>
      </w:r>
      <w:r w:rsidRPr="00466487">
        <w:rPr>
          <w:rFonts w:eastAsiaTheme="minorEastAsia"/>
        </w:rPr>
        <w:t xml:space="preserve">, a valid response is defined to be a unit that reported total receipts (i.e., </w:t>
      </w:r>
      <w:r w:rsidR="00034B3C">
        <w:rPr>
          <w:rFonts w:eastAsiaTheme="minorEastAsia"/>
        </w:rPr>
        <w:t>value of shipments/</w:t>
      </w:r>
      <w:r w:rsidRPr="00466487">
        <w:rPr>
          <w:rFonts w:eastAsiaTheme="minorEastAsia"/>
        </w:rPr>
        <w:t>receipts</w:t>
      </w:r>
      <w:r w:rsidR="00034B3C">
        <w:rPr>
          <w:rFonts w:eastAsiaTheme="minorEastAsia"/>
        </w:rPr>
        <w:t>/revenue/sales</w:t>
      </w:r>
      <w:r w:rsidRPr="00466487">
        <w:rPr>
          <w:rFonts w:eastAsiaTheme="minorEastAsia"/>
        </w:rPr>
        <w:t xml:space="preserve"> ≥ $0)</w:t>
      </w:r>
      <w:r w:rsidR="003377A3">
        <w:rPr>
          <w:rFonts w:eastAsiaTheme="minorEastAsia"/>
        </w:rPr>
        <w:t xml:space="preserve"> matching the definition of a valid response used by the rest of the 2017 Economic Census</w:t>
      </w:r>
      <w:r w:rsidRPr="00466487">
        <w:rPr>
          <w:rFonts w:eastAsiaTheme="minorEastAsia"/>
        </w:rPr>
        <w:t>.</w:t>
      </w:r>
    </w:p>
    <w:p w14:paraId="0E38E458" w14:textId="77777777" w:rsidR="007C2B3F" w:rsidRPr="00466487" w:rsidRDefault="007C2B3F" w:rsidP="007C2B3F">
      <w:pPr>
        <w:spacing w:after="200" w:line="276" w:lineRule="auto"/>
        <w:rPr>
          <w:rFonts w:eastAsiaTheme="minorEastAsia"/>
        </w:rPr>
      </w:pPr>
      <w:r w:rsidRPr="00466487">
        <w:rPr>
          <w:rFonts w:eastAsiaTheme="minorEastAsia"/>
        </w:rPr>
        <w:t>It is not possible to accurately measure the URR during data collection, because eligibility and response validity are frequently not determined until after collection is completed, during the editing phases.  To monitor and manage response during data collection, a proxy URR will be calculated, as follows:</w:t>
      </w:r>
    </w:p>
    <w:p w14:paraId="379CBFFD" w14:textId="77777777" w:rsidR="007C2B3F" w:rsidRPr="00466487" w:rsidRDefault="007C2B3F" w:rsidP="007C2B3F">
      <w:pPr>
        <w:spacing w:after="200" w:line="276" w:lineRule="auto"/>
        <w:rPr>
          <w:rFonts w:eastAsiaTheme="minorEastAsia"/>
        </w:rPr>
      </w:pPr>
    </w:p>
    <w:p w14:paraId="137E1359" w14:textId="77777777" w:rsidR="007C2B3F" w:rsidRPr="00466487" w:rsidRDefault="007C2B3F" w:rsidP="007C2B3F">
      <w:pPr>
        <w:spacing w:after="200" w:line="276" w:lineRule="auto"/>
        <w:rPr>
          <w:rFonts w:eastAsiaTheme="minorEastAsia"/>
        </w:rPr>
      </w:pPr>
      <m:oMathPara>
        <m:oMath>
          <m:r>
            <w:rPr>
              <w:rFonts w:ascii="Cambria Math" w:eastAsiaTheme="minorHAnsi" w:hAnsi="Cambria Math"/>
            </w:rPr>
            <m:t xml:space="preserve">Proxy URR= </m:t>
          </m:r>
          <m:f>
            <m:fPr>
              <m:ctrlPr>
                <w:rPr>
                  <w:rFonts w:ascii="Cambria Math" w:eastAsiaTheme="minorHAnsi" w:hAnsi="Cambria Math"/>
                  <w:i/>
                </w:rPr>
              </m:ctrlPr>
            </m:fPr>
            <m:num>
              <m:r>
                <w:rPr>
                  <w:rFonts w:ascii="Cambria Math" w:eastAsiaTheme="minorHAnsi" w:hAnsi="Cambria Math"/>
                </w:rPr>
                <m:t># of reporting units that returned a questionnaire with receipts ≥0</m:t>
              </m:r>
            </m:num>
            <m:den>
              <m:r>
                <w:rPr>
                  <w:rFonts w:ascii="Cambria Math" w:eastAsiaTheme="minorHAnsi" w:hAnsi="Cambria Math"/>
                </w:rPr>
                <m:t># of reporting units mailed a request to complete a questionnaire</m:t>
              </m:r>
            </m:den>
          </m:f>
        </m:oMath>
      </m:oMathPara>
    </w:p>
    <w:p w14:paraId="66B8E6EA" w14:textId="132D9F39" w:rsidR="007C2B3F" w:rsidRPr="00466487" w:rsidRDefault="007C2B3F" w:rsidP="007C2B3F">
      <w:pPr>
        <w:spacing w:after="200" w:line="276" w:lineRule="auto"/>
        <w:rPr>
          <w:rFonts w:eastAsiaTheme="minorEastAsia"/>
        </w:rPr>
      </w:pPr>
      <w:r w:rsidRPr="00466487">
        <w:rPr>
          <w:rFonts w:eastAsiaTheme="minorEastAsia"/>
        </w:rPr>
        <w:t xml:space="preserve">Research using 2012 Economic Census </w:t>
      </w:r>
      <w:r w:rsidR="0037408F">
        <w:rPr>
          <w:rFonts w:eastAsiaTheme="minorEastAsia"/>
        </w:rPr>
        <w:t xml:space="preserve">of Island Areas </w:t>
      </w:r>
      <w:r w:rsidRPr="00466487">
        <w:rPr>
          <w:rFonts w:eastAsiaTheme="minorEastAsia"/>
        </w:rPr>
        <w:t>data has shown that the proxy URR appears to better reflect the URR than the check-in rate.</w:t>
      </w:r>
    </w:p>
    <w:p w14:paraId="5FF4D8D5" w14:textId="3CE7C293" w:rsidR="007C2B3F" w:rsidRPr="00466487" w:rsidRDefault="007C2B3F" w:rsidP="007C2B3F">
      <w:pPr>
        <w:spacing w:after="200" w:line="276" w:lineRule="auto"/>
        <w:rPr>
          <w:rFonts w:eastAsiaTheme="minorEastAsia"/>
        </w:rPr>
      </w:pPr>
      <w:r w:rsidRPr="00466487">
        <w:rPr>
          <w:rFonts w:eastAsiaTheme="minorEastAsia"/>
        </w:rPr>
        <w:t>The OMB standards also define a weighted item response rate, where the item of interest is a quantity of primary interest for the survey.  The Census Bureau defines the Quantity and Total Quantity Response Rates (QRR and TQRR) as item-level indicators of the "quality" of each estimate.  Both are weighted response measures that take the size of the tabulating unit</w:t>
      </w:r>
      <w:r w:rsidRPr="00466487">
        <w:rPr>
          <w:rFonts w:eastAsiaTheme="minorEastAsia"/>
          <w:i/>
          <w:vertAlign w:val="superscript"/>
        </w:rPr>
        <w:footnoteReference w:id="5"/>
      </w:r>
      <w:r w:rsidRPr="00466487">
        <w:rPr>
          <w:rFonts w:eastAsiaTheme="minorEastAsia"/>
        </w:rPr>
        <w:t xml:space="preserve"> into account as well as the associated sampling parameters.  The QRR measures the weighted proportion of an estimate obtained directly from the respondent for the survey.  The TQRR expands the rate to include data substituted from secondary sources considered to be equivalent-in-quality to reported data, such as businesses’ annual reports or data provided by respondents for other Census Bureau surveys.  </w:t>
      </w:r>
    </w:p>
    <w:p w14:paraId="4F2F4CE1" w14:textId="77777777" w:rsidR="007C2B3F" w:rsidRPr="00466487" w:rsidRDefault="007C2B3F" w:rsidP="007C2B3F">
      <w:pPr>
        <w:spacing w:after="200" w:line="276" w:lineRule="auto"/>
        <w:rPr>
          <w:rFonts w:eastAsiaTheme="minorEastAsia"/>
        </w:rPr>
      </w:pPr>
      <w:r w:rsidRPr="00466487">
        <w:rPr>
          <w:rFonts w:eastAsiaTheme="minorEastAsia"/>
        </w:rPr>
        <w:t xml:space="preserve">For a data item </w:t>
      </w:r>
      <w:r w:rsidRPr="00466487">
        <w:rPr>
          <w:rFonts w:eastAsiaTheme="minorEastAsia"/>
          <w:i/>
        </w:rPr>
        <w:t>t</w:t>
      </w:r>
      <w:r w:rsidRPr="00466487">
        <w:rPr>
          <w:rFonts w:eastAsiaTheme="minorEastAsia"/>
        </w:rPr>
        <w:t>, the QRR and TQRR are defined below:</w:t>
      </w:r>
    </w:p>
    <w:p w14:paraId="64A523FC" w14:textId="77777777" w:rsidR="007C2B3F" w:rsidRPr="00466487" w:rsidRDefault="007C2B3F" w:rsidP="007C2B3F">
      <w:pPr>
        <w:spacing w:after="200" w:line="276" w:lineRule="auto"/>
        <w:ind w:firstLine="720"/>
        <w:rPr>
          <w:rFonts w:eastAsiaTheme="minorEastAsia"/>
        </w:rPr>
      </w:pPr>
      <m:oMathPara>
        <m:oMath>
          <m:r>
            <w:rPr>
              <w:rFonts w:ascii="Cambria Math" w:eastAsiaTheme="minorEastAsia" w:hAnsi="Cambria Math"/>
            </w:rPr>
            <m:t>QRR(t)=</m:t>
          </m:r>
          <m:d>
            <m:dPr>
              <m:begChr m:val="["/>
              <m:endChr m:val="]"/>
              <m:ctrlPr>
                <w:rPr>
                  <w:rFonts w:ascii="Cambria Math" w:eastAsiaTheme="minorEastAsia" w:hAnsi="Cambria Math"/>
                  <w:i/>
                </w:rPr>
              </m:ctrlPr>
            </m:dPr>
            <m:e>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i=1</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ti</m:t>
                              </m:r>
                            </m:sub>
                          </m:sSub>
                        </m:e>
                      </m:d>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e>
                  </m:nary>
                </m:num>
                <m:den>
                  <m:nary>
                    <m:naryPr>
                      <m:chr m:val="∑"/>
                      <m:limLoc m:val="undOvr"/>
                      <m:ctrlPr>
                        <w:rPr>
                          <w:rFonts w:ascii="Cambria Math" w:eastAsiaTheme="minorEastAsia" w:hAnsi="Cambria Math"/>
                          <w:i/>
                        </w:rPr>
                      </m:ctrlPr>
                    </m:naryPr>
                    <m:sub>
                      <m:r>
                        <w:rPr>
                          <w:rFonts w:ascii="Cambria Math" w:eastAsiaTheme="minorEastAsia" w:hAnsi="Cambria Math"/>
                        </w:rPr>
                        <m:t>i=1</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e>
                  </m:nary>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den>
              </m:f>
            </m:e>
          </m:d>
          <m:r>
            <w:rPr>
              <w:rFonts w:ascii="Cambria Math" w:eastAsiaTheme="minorEastAsia" w:hAnsi="Cambria Math"/>
            </w:rPr>
            <m:t>×100</m:t>
          </m:r>
        </m:oMath>
      </m:oMathPara>
    </w:p>
    <w:p w14:paraId="2E6268FE" w14:textId="77777777" w:rsidR="007C2B3F" w:rsidRPr="00466487" w:rsidRDefault="007C2B3F" w:rsidP="007C2B3F">
      <w:pPr>
        <w:spacing w:after="200" w:line="276" w:lineRule="auto"/>
        <w:ind w:firstLine="720"/>
        <w:rPr>
          <w:rFonts w:eastAsiaTheme="minorEastAsia"/>
        </w:rPr>
      </w:pPr>
      <m:oMath>
        <m:r>
          <w:rPr>
            <w:rFonts w:ascii="Cambria Math" w:eastAsiaTheme="minorEastAsia" w:hAnsi="Cambria Math"/>
          </w:rPr>
          <m:t>TQRR(t)=</m:t>
        </m:r>
        <m:d>
          <m:dPr>
            <m:begChr m:val="["/>
            <m:endChr m:val="]"/>
            <m:ctrlPr>
              <w:rPr>
                <w:rFonts w:ascii="Cambria Math" w:eastAsiaTheme="minorEastAsia" w:hAnsi="Cambria Math"/>
                <w:i/>
              </w:rPr>
            </m:ctrlPr>
          </m:dPr>
          <m:e>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i=1</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ti</m:t>
                            </m:r>
                          </m:sub>
                        </m:sSub>
                      </m:e>
                    </m:d>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e>
                </m:nary>
              </m:num>
              <m:den>
                <m:nary>
                  <m:naryPr>
                    <m:chr m:val="∑"/>
                    <m:limLoc m:val="undOvr"/>
                    <m:ctrlPr>
                      <w:rPr>
                        <w:rFonts w:ascii="Cambria Math" w:eastAsiaTheme="minorEastAsia" w:hAnsi="Cambria Math"/>
                        <w:i/>
                      </w:rPr>
                    </m:ctrlPr>
                  </m:naryPr>
                  <m:sub>
                    <m:r>
                      <w:rPr>
                        <w:rFonts w:ascii="Cambria Math" w:eastAsiaTheme="minorEastAsia" w:hAnsi="Cambria Math"/>
                      </w:rPr>
                      <m:t>i=1</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e>
                </m:nary>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den>
            </m:f>
          </m:e>
        </m:d>
        <m:r>
          <w:rPr>
            <w:rFonts w:ascii="Cambria Math" w:eastAsiaTheme="minorEastAsia" w:hAnsi="Cambria Math"/>
          </w:rPr>
          <m:t>×100</m:t>
        </m:r>
      </m:oMath>
      <w:r w:rsidRPr="00466487">
        <w:rPr>
          <w:rFonts w:eastAsiaTheme="minorEastAsia"/>
        </w:rPr>
        <w:t>,</w:t>
      </w:r>
    </w:p>
    <w:p w14:paraId="1062A813" w14:textId="77777777" w:rsidR="007C2B3F" w:rsidRPr="00466487" w:rsidRDefault="007C2B3F" w:rsidP="007C2B3F">
      <w:pPr>
        <w:spacing w:after="200" w:line="276" w:lineRule="auto"/>
        <w:rPr>
          <w:rFonts w:eastAsiaTheme="minorEastAsia"/>
        </w:rPr>
      </w:pPr>
      <w:r w:rsidRPr="00466487">
        <w:rPr>
          <w:rFonts w:eastAsiaTheme="minorEastAsia"/>
        </w:rPr>
        <w:t>where</w:t>
      </w:r>
    </w:p>
    <w:p w14:paraId="33D6A58A" w14:textId="77777777" w:rsidR="007C2B3F" w:rsidRPr="00466487" w:rsidRDefault="007C2B3F" w:rsidP="007C2B3F">
      <w:pPr>
        <w:spacing w:after="200" w:line="276" w:lineRule="auto"/>
        <w:ind w:left="720"/>
        <w:rPr>
          <w:rFonts w:eastAsiaTheme="minorEastAsia"/>
        </w:rPr>
      </w:pPr>
      <w:r w:rsidRPr="00466487">
        <w:rPr>
          <w:rFonts w:eastAsiaTheme="minorEastAsia"/>
          <w:i/>
        </w:rPr>
        <w:t>w</w:t>
      </w:r>
      <w:r w:rsidRPr="00466487">
        <w:rPr>
          <w:rFonts w:eastAsiaTheme="minorEastAsia"/>
          <w:i/>
          <w:vertAlign w:val="subscript"/>
        </w:rPr>
        <w:t>i</w:t>
      </w:r>
      <w:r w:rsidRPr="00466487">
        <w:rPr>
          <w:rFonts w:eastAsiaTheme="minorEastAsia"/>
        </w:rPr>
        <w:t xml:space="preserve"> is the design weight of tabulating unit </w:t>
      </w:r>
      <w:r w:rsidRPr="00466487">
        <w:rPr>
          <w:rFonts w:eastAsiaTheme="minorEastAsia"/>
          <w:i/>
        </w:rPr>
        <w:t>i</w:t>
      </w:r>
      <w:r w:rsidRPr="00466487">
        <w:rPr>
          <w:rFonts w:eastAsiaTheme="minorEastAsia"/>
        </w:rPr>
        <w:t xml:space="preserve">, </w:t>
      </w:r>
    </w:p>
    <w:p w14:paraId="4C99614B" w14:textId="77777777" w:rsidR="007C2B3F" w:rsidRPr="00466487" w:rsidRDefault="007C2B3F" w:rsidP="007C2B3F">
      <w:pPr>
        <w:spacing w:after="200" w:line="276" w:lineRule="auto"/>
        <w:ind w:left="720"/>
        <w:rPr>
          <w:rFonts w:eastAsiaTheme="minorEastAsia"/>
        </w:rPr>
      </w:pPr>
      <w:r w:rsidRPr="00466487">
        <w:rPr>
          <w:rFonts w:eastAsiaTheme="minorEastAsia"/>
          <w:i/>
        </w:rPr>
        <w:t>r</w:t>
      </w:r>
      <w:r w:rsidRPr="00466487">
        <w:rPr>
          <w:rFonts w:eastAsiaTheme="minorEastAsia"/>
          <w:i/>
          <w:vertAlign w:val="subscript"/>
        </w:rPr>
        <w:t>ti</w:t>
      </w:r>
      <w:r w:rsidRPr="00466487">
        <w:rPr>
          <w:rFonts w:eastAsiaTheme="minorEastAsia"/>
        </w:rPr>
        <w:t xml:space="preserve"> is the indicator variable for reported data for tabulating unit </w:t>
      </w:r>
      <w:r w:rsidRPr="00466487">
        <w:rPr>
          <w:rFonts w:eastAsiaTheme="minorEastAsia"/>
          <w:i/>
        </w:rPr>
        <w:t>i</w:t>
      </w:r>
      <w:r w:rsidRPr="00466487">
        <w:rPr>
          <w:rFonts w:eastAsiaTheme="minorEastAsia"/>
        </w:rPr>
        <w:t xml:space="preserve"> and data item </w:t>
      </w:r>
      <w:r w:rsidRPr="00466487">
        <w:rPr>
          <w:rFonts w:eastAsiaTheme="minorEastAsia"/>
          <w:i/>
        </w:rPr>
        <w:t>t</w:t>
      </w:r>
      <w:r w:rsidRPr="00466487">
        <w:rPr>
          <w:rFonts w:eastAsiaTheme="minorEastAsia"/>
        </w:rPr>
        <w:t xml:space="preserve">, </w:t>
      </w:r>
    </w:p>
    <w:p w14:paraId="333662FF" w14:textId="77777777" w:rsidR="007C2B3F" w:rsidRPr="00466487" w:rsidRDefault="007C2B3F" w:rsidP="007C2B3F">
      <w:pPr>
        <w:spacing w:after="200" w:line="276" w:lineRule="auto"/>
        <w:ind w:left="720"/>
        <w:rPr>
          <w:rFonts w:eastAsiaTheme="minorEastAsia"/>
        </w:rPr>
      </w:pPr>
      <w:r w:rsidRPr="00466487">
        <w:rPr>
          <w:rFonts w:eastAsiaTheme="minorEastAsia"/>
          <w:i/>
        </w:rPr>
        <w:t>q</w:t>
      </w:r>
      <w:r w:rsidRPr="00466487">
        <w:rPr>
          <w:rFonts w:eastAsiaTheme="minorEastAsia"/>
          <w:i/>
          <w:vertAlign w:val="subscript"/>
        </w:rPr>
        <w:t xml:space="preserve">ti </w:t>
      </w:r>
      <w:r w:rsidRPr="00466487">
        <w:rPr>
          <w:rFonts w:eastAsiaTheme="minorEastAsia"/>
        </w:rPr>
        <w:t xml:space="preserve">is the indicator variable for equivalent quality data sources for tabulating unit </w:t>
      </w:r>
      <w:r w:rsidRPr="00466487">
        <w:rPr>
          <w:rFonts w:eastAsiaTheme="minorEastAsia"/>
          <w:i/>
        </w:rPr>
        <w:t>i</w:t>
      </w:r>
      <w:r w:rsidRPr="00466487">
        <w:rPr>
          <w:rFonts w:eastAsiaTheme="minorEastAsia"/>
        </w:rPr>
        <w:t xml:space="preserve"> and item </w:t>
      </w:r>
      <w:r w:rsidRPr="00466487">
        <w:rPr>
          <w:rFonts w:eastAsiaTheme="minorEastAsia"/>
          <w:i/>
        </w:rPr>
        <w:t>t</w:t>
      </w:r>
      <w:r w:rsidRPr="00466487">
        <w:rPr>
          <w:rFonts w:eastAsiaTheme="minorEastAsia"/>
        </w:rPr>
        <w:t>,</w:t>
      </w:r>
    </w:p>
    <w:p w14:paraId="4880A7EE" w14:textId="77777777" w:rsidR="007C2B3F" w:rsidRPr="00466487" w:rsidRDefault="007C2B3F" w:rsidP="007C2B3F">
      <w:pPr>
        <w:spacing w:after="200" w:line="276" w:lineRule="auto"/>
        <w:ind w:left="720"/>
        <w:rPr>
          <w:rFonts w:eastAsiaTheme="minorEastAsia"/>
        </w:rPr>
      </w:pPr>
      <w:r w:rsidRPr="00466487">
        <w:rPr>
          <w:rFonts w:eastAsiaTheme="minorEastAsia"/>
          <w:i/>
        </w:rPr>
        <w:t>t</w:t>
      </w:r>
      <w:r w:rsidRPr="00466487">
        <w:rPr>
          <w:rFonts w:eastAsiaTheme="minorEastAsia"/>
          <w:i/>
          <w:vertAlign w:val="subscript"/>
        </w:rPr>
        <w:t>i</w:t>
      </w:r>
      <w:r w:rsidRPr="00466487">
        <w:rPr>
          <w:rFonts w:eastAsiaTheme="minorEastAsia"/>
        </w:rPr>
        <w:t xml:space="preserve"> is the data value for tabulating unit </w:t>
      </w:r>
      <w:r w:rsidRPr="00466487">
        <w:rPr>
          <w:rFonts w:eastAsiaTheme="minorEastAsia"/>
          <w:i/>
        </w:rPr>
        <w:t>i</w:t>
      </w:r>
      <w:r w:rsidRPr="00466487">
        <w:rPr>
          <w:rFonts w:eastAsiaTheme="minorEastAsia"/>
        </w:rPr>
        <w:t>, and</w:t>
      </w:r>
    </w:p>
    <w:p w14:paraId="0AB72065" w14:textId="77777777" w:rsidR="007C2B3F" w:rsidRPr="00466487" w:rsidRDefault="007C2B3F" w:rsidP="007C2B3F">
      <w:pPr>
        <w:spacing w:after="200" w:line="276" w:lineRule="auto"/>
        <w:ind w:left="720"/>
        <w:rPr>
          <w:rFonts w:eastAsiaTheme="minorEastAsia"/>
        </w:rPr>
      </w:pPr>
      <w:r w:rsidRPr="00466487">
        <w:rPr>
          <w:rFonts w:eastAsiaTheme="minorEastAsia"/>
          <w:i/>
        </w:rPr>
        <w:t>N</w:t>
      </w:r>
      <w:r w:rsidRPr="00466487">
        <w:rPr>
          <w:rFonts w:eastAsiaTheme="minorEastAsia"/>
          <w:i/>
          <w:vertAlign w:val="subscript"/>
        </w:rPr>
        <w:t>T</w:t>
      </w:r>
      <w:r w:rsidRPr="00466487">
        <w:rPr>
          <w:rFonts w:eastAsiaTheme="minorEastAsia"/>
        </w:rPr>
        <w:t xml:space="preserve"> is the total number of eligible tabulating units.</w:t>
      </w:r>
    </w:p>
    <w:p w14:paraId="2E626862" w14:textId="1D7B4319" w:rsidR="007C2B3F" w:rsidRPr="00466487" w:rsidRDefault="000D1D68" w:rsidP="007C2B3F">
      <w:pPr>
        <w:spacing w:after="200" w:line="276" w:lineRule="auto"/>
        <w:rPr>
          <w:rFonts w:eastAsiaTheme="minorEastAsia"/>
        </w:rPr>
      </w:pPr>
      <w:r>
        <w:rPr>
          <w:rFonts w:eastAsiaTheme="minorEastAsia"/>
        </w:rPr>
        <w:t>The TQRR(t) and QRR(t) are</w:t>
      </w:r>
      <w:r w:rsidR="007C2B3F" w:rsidRPr="00466487">
        <w:rPr>
          <w:rFonts w:eastAsiaTheme="minorEastAsia"/>
        </w:rPr>
        <w:t xml:space="preserve"> weighted item response rates for data item t.  QRRs and TQRRs will be calculated post-collection for the following data items:  receipts, payroll, and number of employees. </w:t>
      </w:r>
    </w:p>
    <w:p w14:paraId="104B3918" w14:textId="77777777" w:rsidR="007C2B3F" w:rsidRPr="00466487" w:rsidRDefault="007C2B3F" w:rsidP="007C2B3F">
      <w:pPr>
        <w:spacing w:after="200" w:line="276" w:lineRule="auto"/>
        <w:rPr>
          <w:rFonts w:eastAsiaTheme="minorHAnsi"/>
        </w:rPr>
      </w:pPr>
      <w:r w:rsidRPr="00466487">
        <w:rPr>
          <w:rFonts w:eastAsiaTheme="minorEastAsia"/>
        </w:rPr>
        <w:t>As with the URR, quantity response measures cannot be calculated during data collection, because the final source of the tabulated data is not determined until after collection is completed, during the post-collection processing.  Additionally, quantity response measures are based on tabulating units instead of reporting units.  Therefore, proxy</w:t>
      </w:r>
      <w:r w:rsidR="003377A3">
        <w:rPr>
          <w:rFonts w:eastAsiaTheme="minorEastAsia"/>
        </w:rPr>
        <w:t xml:space="preserve"> QRR and TQRR metrics that use</w:t>
      </w:r>
      <w:r w:rsidRPr="00466487">
        <w:rPr>
          <w:rFonts w:eastAsiaTheme="minorEastAsia"/>
        </w:rPr>
        <w:t xml:space="preserve"> an appropriate measure of size characteristic, such as administrative annual payroll, will be calculated periodically during data collection to monitor the proportion of total administrative payroll represented by respondents, defined according to the same criteria used for the Proxy URR. </w:t>
      </w:r>
    </w:p>
    <w:p w14:paraId="30D9F7C1" w14:textId="77777777" w:rsidR="007C2B3F" w:rsidRPr="00466487" w:rsidRDefault="007C2B3F" w:rsidP="007C2B3F">
      <w:pPr>
        <w:spacing w:after="200" w:line="276" w:lineRule="auto"/>
        <w:rPr>
          <w:rFonts w:eastAsiaTheme="minorHAnsi"/>
          <w:i/>
        </w:rPr>
      </w:pPr>
      <w:r w:rsidRPr="00466487">
        <w:rPr>
          <w:rFonts w:eastAsiaTheme="minorHAnsi"/>
          <w:i/>
        </w:rPr>
        <w:t>Projections for the 2017 Economic Census</w:t>
      </w:r>
    </w:p>
    <w:p w14:paraId="35027D22" w14:textId="77777777" w:rsidR="007C2B3F" w:rsidRPr="00466487" w:rsidRDefault="007C2B3F" w:rsidP="007C2B3F">
      <w:pPr>
        <w:spacing w:after="200" w:line="276" w:lineRule="auto"/>
        <w:rPr>
          <w:rFonts w:eastAsiaTheme="minorHAnsi"/>
        </w:rPr>
      </w:pPr>
      <w:r w:rsidRPr="00466487">
        <w:rPr>
          <w:rFonts w:eastAsiaTheme="minorHAnsi"/>
        </w:rPr>
        <w:t xml:space="preserve">Due to major changes in data collection procedures – e.g., </w:t>
      </w:r>
      <w:r>
        <w:rPr>
          <w:rFonts w:eastAsiaTheme="minorHAnsi"/>
        </w:rPr>
        <w:t xml:space="preserve">increased reliance on </w:t>
      </w:r>
      <w:r w:rsidRPr="00466487">
        <w:rPr>
          <w:rFonts w:eastAsiaTheme="minorHAnsi"/>
        </w:rPr>
        <w:t>electronic Web-based collection – and the implementation of these new response metrics, it is difficult to confidently project URR and TQRRs for the 2017 Economic Census</w:t>
      </w:r>
      <w:r>
        <w:rPr>
          <w:rFonts w:eastAsiaTheme="minorHAnsi"/>
        </w:rPr>
        <w:t xml:space="preserve"> of Island Areas</w:t>
      </w:r>
      <w:r w:rsidRPr="00466487">
        <w:rPr>
          <w:rFonts w:eastAsiaTheme="minorHAnsi"/>
        </w:rPr>
        <w:t xml:space="preserve">.  </w:t>
      </w:r>
    </w:p>
    <w:p w14:paraId="00E53878" w14:textId="74B41142" w:rsidR="00B916E1" w:rsidRDefault="00B916E1" w:rsidP="00B72704">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color w:val="FF0000"/>
        </w:rPr>
      </w:pPr>
    </w:p>
    <w:p w14:paraId="163CB0AE" w14:textId="6DE11E63" w:rsidR="00B916E1" w:rsidRPr="0059192F" w:rsidRDefault="00E511AF" w:rsidP="00B916E1">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r w:rsidRPr="0059192F">
        <w:t>Since data are published on an island-by-island basis, a</w:t>
      </w:r>
      <w:r w:rsidR="00B916E1" w:rsidRPr="0059192F">
        <w:t xml:space="preserve"> nonresponse bias study will be conducted </w:t>
      </w:r>
      <w:r w:rsidR="002A4437" w:rsidRPr="0059192F">
        <w:t xml:space="preserve">at </w:t>
      </w:r>
      <w:r w:rsidR="008C47E0" w:rsidRPr="0059192F">
        <w:t>an</w:t>
      </w:r>
      <w:r w:rsidR="002A4437" w:rsidRPr="0059192F">
        <w:t xml:space="preserve"> island level </w:t>
      </w:r>
      <w:r w:rsidRPr="0059192F">
        <w:t xml:space="preserve">for any key variable with </w:t>
      </w:r>
      <w:r w:rsidR="002A4437" w:rsidRPr="0059192F">
        <w:t xml:space="preserve">a </w:t>
      </w:r>
      <w:r w:rsidR="00B916E1" w:rsidRPr="0059192F">
        <w:t>TQRR below 70%</w:t>
      </w:r>
      <w:r w:rsidRPr="0059192F">
        <w:t xml:space="preserve">.  </w:t>
      </w:r>
      <w:r w:rsidR="004B132F" w:rsidRPr="0059192F">
        <w:t>For this purpose, k</w:t>
      </w:r>
      <w:r w:rsidR="00B916E1" w:rsidRPr="0059192F">
        <w:t xml:space="preserve">ey variables </w:t>
      </w:r>
      <w:r w:rsidR="004B132F" w:rsidRPr="0059192F">
        <w:t xml:space="preserve">are </w:t>
      </w:r>
      <w:r w:rsidRPr="0059192F">
        <w:t xml:space="preserve">identified </w:t>
      </w:r>
      <w:r w:rsidR="004B132F" w:rsidRPr="0059192F">
        <w:t>as</w:t>
      </w:r>
      <w:r w:rsidR="00B01248" w:rsidRPr="0059192F">
        <w:t xml:space="preserve"> receipt and payroll</w:t>
      </w:r>
      <w:r w:rsidR="00B916E1" w:rsidRPr="0059192F">
        <w:t xml:space="preserve"> totals</w:t>
      </w:r>
      <w:r w:rsidRPr="0059192F">
        <w:t>.</w:t>
      </w:r>
      <w:r w:rsidR="00B916E1" w:rsidRPr="0059192F">
        <w:t xml:space="preserve">  The TQRR was chosen because it is better than the URR at reflecting the skewness of the population and the use of administrative data and other data sources when calculating response metrics.  If a nonresponse bias study is </w:t>
      </w:r>
      <w:r w:rsidR="00A47F00" w:rsidRPr="0059192F">
        <w:t>warranted</w:t>
      </w:r>
      <w:r w:rsidR="00B916E1" w:rsidRPr="0059192F">
        <w:t xml:space="preserve">, a description of the findings will be included in the 2022 Economic Census OMB information </w:t>
      </w:r>
      <w:r w:rsidR="002A4437" w:rsidRPr="0059192F">
        <w:t xml:space="preserve">collection </w:t>
      </w:r>
      <w:r w:rsidR="00B916E1" w:rsidRPr="0059192F">
        <w:t>request.</w:t>
      </w:r>
    </w:p>
    <w:p w14:paraId="3B06FDA0" w14:textId="77777777" w:rsidR="00B916E1" w:rsidRPr="00D03AA5" w:rsidRDefault="00B916E1" w:rsidP="00B72704">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color w:val="FF0000"/>
        </w:rPr>
      </w:pPr>
    </w:p>
    <w:p w14:paraId="06121EC2" w14:textId="77777777" w:rsidR="00FA6F94" w:rsidRPr="004C36CD" w:rsidRDefault="00FA6F94">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1238" w:hanging="1238"/>
      </w:pPr>
    </w:p>
    <w:p w14:paraId="0FB6DA16" w14:textId="5DE9642F" w:rsidR="00631E34" w:rsidRPr="00490341" w:rsidRDefault="00E42E51">
      <w:pPr>
        <w:tabs>
          <w:tab w:val="left" w:pos="-1440"/>
          <w:tab w:val="left" w:pos="-720"/>
          <w:tab w:val="left" w:pos="0"/>
          <w:tab w:val="left" w:pos="180"/>
          <w:tab w:val="left" w:pos="360"/>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1238" w:hanging="1238"/>
        <w:rPr>
          <w:b/>
        </w:rPr>
      </w:pPr>
      <w:r w:rsidRPr="00490341">
        <w:rPr>
          <w:b/>
        </w:rPr>
        <w:t>3.</w:t>
      </w:r>
      <w:r w:rsidRPr="00490341">
        <w:rPr>
          <w:b/>
        </w:rPr>
        <w:tab/>
        <w:t>Methods to Maximize Response</w:t>
      </w:r>
    </w:p>
    <w:p w14:paraId="74D932AA" w14:textId="77777777" w:rsidR="00631E34" w:rsidRPr="0095043D" w:rsidRDefault="00631E34">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4B799832" w14:textId="77777777" w:rsidR="00631E34" w:rsidRPr="004C36CD" w:rsidRDefault="00E42E51">
      <w:pPr>
        <w:pStyle w:val="BodyTextIndent2"/>
        <w:tabs>
          <w:tab w:val="clear" w:pos="720"/>
          <w:tab w:val="left" w:pos="540"/>
        </w:tabs>
      </w:pPr>
      <w:r w:rsidRPr="0095043D">
        <w:tab/>
      </w:r>
      <w:r w:rsidRPr="0095043D">
        <w:tab/>
        <w:t xml:space="preserve">This information collection will maximize response through the following means:  </w:t>
      </w:r>
    </w:p>
    <w:p w14:paraId="12D09A7F" w14:textId="77777777" w:rsidR="003714B5" w:rsidRPr="0095043D" w:rsidRDefault="003714B5">
      <w:pPr>
        <w:pStyle w:val="BodyTextIndent2"/>
        <w:tabs>
          <w:tab w:val="clear" w:pos="720"/>
          <w:tab w:val="left" w:pos="540"/>
        </w:tabs>
      </w:pPr>
    </w:p>
    <w:p w14:paraId="67C3B5ED" w14:textId="286F9CAB" w:rsidR="003714B5" w:rsidRPr="0095043D" w:rsidRDefault="00E42E51" w:rsidP="0086663D">
      <w:pPr>
        <w:pStyle w:val="BodyTextIndent2"/>
        <w:numPr>
          <w:ilvl w:val="0"/>
          <w:numId w:val="3"/>
        </w:numPr>
        <w:tabs>
          <w:tab w:val="clear" w:pos="720"/>
          <w:tab w:val="clear" w:pos="979"/>
          <w:tab w:val="clear" w:pos="1238"/>
          <w:tab w:val="left" w:pos="540"/>
          <w:tab w:val="left" w:pos="1260"/>
        </w:tabs>
      </w:pPr>
      <w:r w:rsidRPr="0095043D">
        <w:t>public awareness campaign to assist businesses and the public in understa</w:t>
      </w:r>
      <w:r w:rsidR="00580417" w:rsidRPr="0095043D">
        <w:t xml:space="preserve">nding the importance of the </w:t>
      </w:r>
      <w:r w:rsidR="00327441" w:rsidRPr="0095043D">
        <w:t>2017</w:t>
      </w:r>
      <w:r w:rsidRPr="0095043D">
        <w:t xml:space="preserve"> Economic Census </w:t>
      </w:r>
      <w:r w:rsidR="0037408F">
        <w:t xml:space="preserve">of Island Areas </w:t>
      </w:r>
      <w:r w:rsidRPr="0095043D">
        <w:t>by providing news stories through trade and professional associations, chambers of commerce, and business and general media;</w:t>
      </w:r>
    </w:p>
    <w:p w14:paraId="5A27435A" w14:textId="496CAE60" w:rsidR="003714B5" w:rsidRPr="0095043D" w:rsidRDefault="00E42E51" w:rsidP="0086663D">
      <w:pPr>
        <w:pStyle w:val="BodyTextIndent2"/>
        <w:numPr>
          <w:ilvl w:val="0"/>
          <w:numId w:val="3"/>
        </w:numPr>
        <w:tabs>
          <w:tab w:val="clear" w:pos="720"/>
          <w:tab w:val="clear" w:pos="979"/>
          <w:tab w:val="clear" w:pos="1238"/>
          <w:tab w:val="left" w:pos="540"/>
          <w:tab w:val="left" w:pos="1260"/>
        </w:tabs>
      </w:pPr>
      <w:r w:rsidRPr="0095043D">
        <w:t xml:space="preserve">assignment of account managers to large businesses to provide personalized assistance; </w:t>
      </w:r>
    </w:p>
    <w:p w14:paraId="2F4FB002" w14:textId="409C1FFF" w:rsidR="003714B5" w:rsidRPr="0095043D" w:rsidRDefault="00E42E51" w:rsidP="0086663D">
      <w:pPr>
        <w:pStyle w:val="BodyTextIndent2"/>
        <w:numPr>
          <w:ilvl w:val="0"/>
          <w:numId w:val="3"/>
        </w:numPr>
        <w:tabs>
          <w:tab w:val="clear" w:pos="720"/>
          <w:tab w:val="clear" w:pos="979"/>
          <w:tab w:val="clear" w:pos="1238"/>
          <w:tab w:val="left" w:pos="540"/>
          <w:tab w:val="left" w:pos="1260"/>
        </w:tabs>
      </w:pPr>
      <w:r w:rsidRPr="0095043D">
        <w:t>redesigned census questionnaires and information sheets with standard formats and terminology that try to simplify reporting and minimize response burden;</w:t>
      </w:r>
    </w:p>
    <w:p w14:paraId="1F200E2D" w14:textId="36B68603" w:rsidR="003714B5" w:rsidRPr="0095043D" w:rsidRDefault="00CE4A7E" w:rsidP="0086663D">
      <w:pPr>
        <w:pStyle w:val="BodyTextIndent2"/>
        <w:numPr>
          <w:ilvl w:val="0"/>
          <w:numId w:val="3"/>
        </w:numPr>
        <w:tabs>
          <w:tab w:val="clear" w:pos="720"/>
          <w:tab w:val="clear" w:pos="979"/>
          <w:tab w:val="clear" w:pos="1238"/>
          <w:tab w:val="left" w:pos="540"/>
          <w:tab w:val="left" w:pos="1260"/>
        </w:tabs>
      </w:pPr>
      <w:r w:rsidRPr="0095043D">
        <w:t>the use</w:t>
      </w:r>
      <w:r w:rsidR="00E42E51" w:rsidRPr="0095043D">
        <w:t xml:space="preserve"> of electronic reporting capabilities that will allo</w:t>
      </w:r>
      <w:r w:rsidR="00986846">
        <w:t>w all businesses</w:t>
      </w:r>
      <w:r w:rsidR="00E42E51" w:rsidRPr="0095043D">
        <w:t xml:space="preserve"> to repo</w:t>
      </w:r>
      <w:r w:rsidR="00700E0F" w:rsidRPr="0095043D">
        <w:t xml:space="preserve">rt </w:t>
      </w:r>
      <w:r w:rsidR="00624C76" w:rsidRPr="0095043D">
        <w:t xml:space="preserve">using </w:t>
      </w:r>
      <w:r w:rsidR="00E42E51" w:rsidRPr="0095043D">
        <w:t>the Internet;</w:t>
      </w:r>
    </w:p>
    <w:p w14:paraId="2BCC98D5" w14:textId="3F638692" w:rsidR="003714B5" w:rsidRPr="0095043D" w:rsidRDefault="00E42E51" w:rsidP="0086663D">
      <w:pPr>
        <w:pStyle w:val="BodyTextIndent2"/>
        <w:numPr>
          <w:ilvl w:val="0"/>
          <w:numId w:val="3"/>
        </w:numPr>
        <w:tabs>
          <w:tab w:val="clear" w:pos="720"/>
          <w:tab w:val="clear" w:pos="979"/>
          <w:tab w:val="clear" w:pos="1238"/>
          <w:tab w:val="left" w:pos="540"/>
          <w:tab w:val="left" w:pos="1260"/>
        </w:tabs>
      </w:pPr>
      <w:r w:rsidRPr="0095043D">
        <w:t xml:space="preserve">mailing materials that emphasize the mandatory and confidential nature of </w:t>
      </w:r>
      <w:r w:rsidR="00624C76" w:rsidRPr="0095043D">
        <w:t xml:space="preserve">economic </w:t>
      </w:r>
      <w:r w:rsidRPr="0095043D">
        <w:t xml:space="preserve">census reports, as provided by Title 13 U.S.C.; </w:t>
      </w:r>
    </w:p>
    <w:p w14:paraId="630FFDF7" w14:textId="456B9A85" w:rsidR="003714B5" w:rsidRPr="0095043D" w:rsidRDefault="00E42E51" w:rsidP="0086663D">
      <w:pPr>
        <w:pStyle w:val="BodyTextIndent2"/>
        <w:numPr>
          <w:ilvl w:val="0"/>
          <w:numId w:val="3"/>
        </w:numPr>
        <w:tabs>
          <w:tab w:val="clear" w:pos="720"/>
          <w:tab w:val="clear" w:pos="979"/>
          <w:tab w:val="clear" w:pos="1238"/>
          <w:tab w:val="left" w:pos="540"/>
          <w:tab w:val="left" w:pos="1260"/>
        </w:tabs>
      </w:pPr>
      <w:r w:rsidRPr="0095043D">
        <w:t xml:space="preserve">toll-free assistance and/or a web-based help desk for any business that has questions about completing </w:t>
      </w:r>
      <w:r w:rsidR="00624C76" w:rsidRPr="0095043D">
        <w:t xml:space="preserve">the </w:t>
      </w:r>
      <w:r w:rsidR="000D506F">
        <w:t>Economic Census</w:t>
      </w:r>
      <w:r w:rsidR="00624C76" w:rsidRPr="004C36CD">
        <w:t xml:space="preserve"> of </w:t>
      </w:r>
      <w:r w:rsidR="000D506F">
        <w:t>Island Areas</w:t>
      </w:r>
      <w:r w:rsidRPr="004C36CD">
        <w:t xml:space="preserve">; and </w:t>
      </w:r>
    </w:p>
    <w:p w14:paraId="778EDDB8" w14:textId="39FD8BB9" w:rsidR="00631E34" w:rsidRPr="0095043D" w:rsidRDefault="00E42E51" w:rsidP="0086663D">
      <w:pPr>
        <w:pStyle w:val="BodyTextIndent2"/>
        <w:numPr>
          <w:ilvl w:val="0"/>
          <w:numId w:val="3"/>
        </w:numPr>
        <w:tabs>
          <w:tab w:val="clear" w:pos="720"/>
          <w:tab w:val="clear" w:pos="979"/>
          <w:tab w:val="clear" w:pos="1238"/>
          <w:tab w:val="left" w:pos="540"/>
          <w:tab w:val="left" w:pos="1260"/>
        </w:tabs>
      </w:pPr>
      <w:r w:rsidRPr="0095043D">
        <w:t xml:space="preserve">systematic mail follow-up for nonresponse, supplemented by telephone follow-up for selected firms.  Through these and other response improvement strategies, we expect to maintain or improve the </w:t>
      </w:r>
      <w:r w:rsidR="00F479DA" w:rsidRPr="0095043D">
        <w:t>77</w:t>
      </w:r>
      <w:r w:rsidRPr="0095043D">
        <w:t xml:space="preserve"> percent </w:t>
      </w:r>
      <w:r w:rsidR="002611DA" w:rsidRPr="0095043D">
        <w:t xml:space="preserve">check-in </w:t>
      </w:r>
      <w:r w:rsidR="00C33DBB" w:rsidRPr="0095043D">
        <w:t xml:space="preserve">rate obtained by the </w:t>
      </w:r>
      <w:r w:rsidR="00AF3BAF" w:rsidRPr="0095043D">
        <w:t>2012</w:t>
      </w:r>
      <w:r w:rsidRPr="0095043D">
        <w:t xml:space="preserve"> Economic Census of Island Areas.  This level of response </w:t>
      </w:r>
      <w:r w:rsidR="00CE4A7E" w:rsidRPr="0095043D">
        <w:t xml:space="preserve">when combined with data review and corrections </w:t>
      </w:r>
      <w:r w:rsidRPr="0095043D">
        <w:t>will yield accuracy and reliability that are adequate for intended uses of economic census data</w:t>
      </w:r>
      <w:r w:rsidR="00624C76" w:rsidRPr="0095043D">
        <w:t>;</w:t>
      </w:r>
      <w:r w:rsidR="0014782B">
        <w:t xml:space="preserve"> and</w:t>
      </w:r>
    </w:p>
    <w:p w14:paraId="39740FCC" w14:textId="35334C24" w:rsidR="00624C76" w:rsidRPr="004C36CD" w:rsidRDefault="0014782B" w:rsidP="0086663D">
      <w:pPr>
        <w:pStyle w:val="BodyTextIndent2"/>
        <w:numPr>
          <w:ilvl w:val="0"/>
          <w:numId w:val="3"/>
        </w:numPr>
        <w:tabs>
          <w:tab w:val="clear" w:pos="979"/>
          <w:tab w:val="clear" w:pos="1238"/>
          <w:tab w:val="left" w:pos="540"/>
          <w:tab w:val="left" w:pos="1260"/>
        </w:tabs>
      </w:pPr>
      <w:r>
        <w:t>r</w:t>
      </w:r>
      <w:r w:rsidR="001F2023">
        <w:t>espondent</w:t>
      </w:r>
      <w:r w:rsidR="00624C76" w:rsidRPr="0095043D">
        <w:t xml:space="preserve"> portal where </w:t>
      </w:r>
      <w:r w:rsidR="001F2023">
        <w:t>respondents</w:t>
      </w:r>
      <w:r w:rsidR="00624C76" w:rsidRPr="0095043D">
        <w:t xml:space="preserve"> can </w:t>
      </w:r>
      <w:r w:rsidR="001F2023">
        <w:t>obtain</w:t>
      </w:r>
      <w:r w:rsidR="00624C76" w:rsidRPr="0095043D">
        <w:t xml:space="preserve"> answers to frequently asked questions, send secure emails to Census Bureau staff, report electronically and perform other self-service options without having to pick up the phone.</w:t>
      </w:r>
    </w:p>
    <w:p w14:paraId="348EDAFA" w14:textId="77777777" w:rsidR="00631E34" w:rsidRPr="0095043D" w:rsidRDefault="00631E34" w:rsidP="0086663D">
      <w:pPr>
        <w:tabs>
          <w:tab w:val="left" w:pos="-1440"/>
          <w:tab w:val="left" w:pos="-720"/>
          <w:tab w:val="left" w:pos="0"/>
          <w:tab w:val="right" w:pos="374"/>
          <w:tab w:val="left" w:pos="720"/>
          <w:tab w:val="left" w:pos="990"/>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990" w:hanging="450"/>
      </w:pPr>
    </w:p>
    <w:p w14:paraId="402EA396" w14:textId="77777777" w:rsidR="00474AC7" w:rsidRDefault="00474AC7">
      <w:pPr>
        <w:tabs>
          <w:tab w:val="left" w:pos="-1440"/>
          <w:tab w:val="left" w:pos="-720"/>
          <w:tab w:val="left" w:pos="0"/>
          <w:tab w:val="right" w:pos="374"/>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23A44157" w14:textId="77777777" w:rsidR="00474AC7" w:rsidRDefault="00474AC7">
      <w:pPr>
        <w:tabs>
          <w:tab w:val="left" w:pos="-1440"/>
          <w:tab w:val="left" w:pos="-720"/>
          <w:tab w:val="left" w:pos="0"/>
          <w:tab w:val="right" w:pos="374"/>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06DB6D3E" w14:textId="77777777" w:rsidR="00474AC7" w:rsidRDefault="00474AC7">
      <w:pPr>
        <w:tabs>
          <w:tab w:val="left" w:pos="-1440"/>
          <w:tab w:val="left" w:pos="-720"/>
          <w:tab w:val="left" w:pos="0"/>
          <w:tab w:val="right" w:pos="374"/>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677388CD" w14:textId="6F6B6A57" w:rsidR="00631E34" w:rsidRPr="00490341" w:rsidRDefault="00E42E51">
      <w:pPr>
        <w:tabs>
          <w:tab w:val="left" w:pos="-1440"/>
          <w:tab w:val="left" w:pos="-720"/>
          <w:tab w:val="left" w:pos="0"/>
          <w:tab w:val="right" w:pos="374"/>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b/>
        </w:rPr>
      </w:pPr>
      <w:r w:rsidRPr="0095043D">
        <w:tab/>
      </w:r>
      <w:r w:rsidRPr="00490341">
        <w:rPr>
          <w:b/>
        </w:rPr>
        <w:t>4.</w:t>
      </w:r>
      <w:r w:rsidRPr="00490341">
        <w:rPr>
          <w:b/>
        </w:rPr>
        <w:tab/>
        <w:t>Testing of Procedures</w:t>
      </w:r>
    </w:p>
    <w:p w14:paraId="56541476" w14:textId="77777777" w:rsidR="00631E34" w:rsidRPr="0095043D" w:rsidRDefault="00631E34">
      <w:pPr>
        <w:tabs>
          <w:tab w:val="left" w:pos="-1440"/>
          <w:tab w:val="left" w:pos="-720"/>
          <w:tab w:val="left" w:pos="0"/>
          <w:tab w:val="right" w:pos="374"/>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72A1D399" w14:textId="1F3392E5" w:rsidR="007A0763" w:rsidRPr="00AF272B" w:rsidRDefault="00E42E51" w:rsidP="0082541D">
      <w:pPr>
        <w:ind w:left="720"/>
      </w:pPr>
      <w:r w:rsidRPr="0095043D">
        <w:t>This information collection will use procedures that are based on a considerab</w:t>
      </w:r>
      <w:r w:rsidR="00370791">
        <w:t>le body of experience with the Economic C</w:t>
      </w:r>
      <w:r w:rsidRPr="0095043D">
        <w:t>ensus and surveys</w:t>
      </w:r>
      <w:r w:rsidR="007A0763">
        <w:t xml:space="preserve"> along with research conducted for the 2017 Economi</w:t>
      </w:r>
      <w:r w:rsidR="0037408F">
        <w:t xml:space="preserve">c Census </w:t>
      </w:r>
      <w:r w:rsidR="00B00C75">
        <w:t>of Island Areas</w:t>
      </w:r>
      <w:r w:rsidRPr="004C36CD">
        <w:t xml:space="preserve">.  </w:t>
      </w:r>
      <w:r w:rsidR="007A0763" w:rsidRPr="00AF272B">
        <w:t xml:space="preserve">Re-engineering economic census data </w:t>
      </w:r>
      <w:r w:rsidR="00B00C75">
        <w:t xml:space="preserve">collection instruments for </w:t>
      </w:r>
      <w:r w:rsidR="007A0763" w:rsidRPr="00AF272B">
        <w:t xml:space="preserve">implementation via the Web required a substantial multi-year, multi-method program of research, development, testing and evaluation.  </w:t>
      </w:r>
    </w:p>
    <w:p w14:paraId="453F8187" w14:textId="77777777" w:rsidR="007A0763" w:rsidRPr="00AF272B" w:rsidRDefault="007A0763" w:rsidP="0082541D">
      <w:pPr>
        <w:ind w:left="720"/>
      </w:pPr>
    </w:p>
    <w:p w14:paraId="3058F614" w14:textId="7B01FCFD" w:rsidR="007A0763" w:rsidRDefault="007A0763" w:rsidP="0082541D">
      <w:pPr>
        <w:ind w:left="720"/>
      </w:pPr>
      <w:r w:rsidRPr="00AF272B">
        <w:t>Activities included task analyses, record-keeping studies, exploratory early stage scoping interviews, cognitive testing, usability testing, analyses of electronic paradata, respondent debriefings, and field tests, along with early implementation of designs within other Census Bureau establishment surveys, such as the annual Company Organization Survey (aka Report of Organization) and the Annual Survey of Manufactures.  Different research components, in turn, focused on different subpopulations, different instrument components, or different question(</w:t>
      </w:r>
      <w:proofErr w:type="spellStart"/>
      <w:r w:rsidRPr="00AF272B">
        <w:t>naire</w:t>
      </w:r>
      <w:proofErr w:type="spellEnd"/>
      <w:r w:rsidRPr="00AF272B">
        <w:t xml:space="preserve">) content, and results and recommendations were used to aid design decisions.  </w:t>
      </w:r>
    </w:p>
    <w:p w14:paraId="16537EA8" w14:textId="1C2EB98B" w:rsidR="001A15D5" w:rsidRDefault="001A15D5" w:rsidP="0082541D">
      <w:pPr>
        <w:ind w:left="720"/>
      </w:pPr>
    </w:p>
    <w:p w14:paraId="163E532D" w14:textId="0612A20A" w:rsidR="001A15D5" w:rsidRDefault="001A15D5" w:rsidP="001A15D5">
      <w:pPr>
        <w:ind w:left="720"/>
      </w:pPr>
      <w:r w:rsidRPr="00FC4BF7">
        <w:t>Of particular note is the use of the annual ASM/COS as a testing and proving ground for many new techniques planned for the Economic Census, as these two surveys collect data at the establishment level like the Economic Census.  This began by conducting debriefing interviews with 2014 ASM/COS</w:t>
      </w:r>
      <w:r w:rsidR="007768C3">
        <w:t xml:space="preserve"> multi-unit establishment (MU)</w:t>
      </w:r>
      <w:r w:rsidRPr="00FC4BF7">
        <w:t xml:space="preserve"> respondents to identify strengths and weaknesses of the legacy Surveyor software used for electronic reporting to aid development of initial requirements for the online Centurion instrument. </w:t>
      </w:r>
    </w:p>
    <w:p w14:paraId="70099FA4" w14:textId="77777777" w:rsidR="001A15D5" w:rsidRPr="00FC4BF7" w:rsidRDefault="001A15D5" w:rsidP="001A15D5">
      <w:pPr>
        <w:ind w:left="360"/>
      </w:pPr>
    </w:p>
    <w:p w14:paraId="3C3E3C8E" w14:textId="0D30A286" w:rsidR="001A15D5" w:rsidRDefault="001A15D5" w:rsidP="001A15D5">
      <w:pPr>
        <w:ind w:left="720"/>
      </w:pPr>
      <w:r w:rsidRPr="00FC4BF7">
        <w:t>The 2015 ASM provided a full-scale pilot of the new online Centur</w:t>
      </w:r>
      <w:r w:rsidR="003410DA">
        <w:t>ion collection instrument for single-establishment</w:t>
      </w:r>
      <w:r w:rsidRPr="00FC4BF7">
        <w:t>s</w:t>
      </w:r>
      <w:r w:rsidR="003410DA">
        <w:t xml:space="preserve"> (SU)</w:t>
      </w:r>
      <w:r w:rsidRPr="00FC4BF7">
        <w:t xml:space="preserve"> using the response-driven design being built for the 2017 Economic Census</w:t>
      </w:r>
      <w:r>
        <w:t xml:space="preserve">.  Since paper questionnaires were not available, more than </w:t>
      </w:r>
      <w:r w:rsidRPr="000063AB">
        <w:t>95%</w:t>
      </w:r>
      <w:r w:rsidRPr="00FC4BF7">
        <w:t xml:space="preserve"> of SU respondents reported online</w:t>
      </w:r>
      <w:r>
        <w:t>, while only a few reported their data by some other method, such as telephone</w:t>
      </w:r>
      <w:r w:rsidRPr="00FC4BF7">
        <w:t>.  Additionally, respondent debriefings were conducted and Web paradata were analyzed to further evaluate the response-driven instrument and to recommend improvements.</w:t>
      </w:r>
    </w:p>
    <w:p w14:paraId="398E8A47" w14:textId="77777777" w:rsidR="001A15D5" w:rsidRPr="00FC4BF7" w:rsidRDefault="001A15D5" w:rsidP="001A15D5">
      <w:pPr>
        <w:ind w:left="720"/>
      </w:pPr>
    </w:p>
    <w:p w14:paraId="3AA5F5AB" w14:textId="77777777" w:rsidR="001A15D5" w:rsidRPr="00FC4BF7" w:rsidRDefault="001A15D5" w:rsidP="001A15D5">
      <w:pPr>
        <w:ind w:left="720"/>
      </w:pPr>
      <w:r w:rsidRPr="00FC4BF7">
        <w:t>The 2015 ASM also integrated research testing the value and effectiveness of targeted subsampling, to provide evidence for decisions about implementing an adaptive design approach in the 2017 Economic Census.  (See Section 3.)</w:t>
      </w:r>
    </w:p>
    <w:p w14:paraId="0BCE720C" w14:textId="77777777" w:rsidR="001A15D5" w:rsidRPr="00FC4BF7" w:rsidRDefault="001A15D5" w:rsidP="001A15D5">
      <w:pPr>
        <w:ind w:left="360"/>
      </w:pPr>
    </w:p>
    <w:p w14:paraId="4790BA0D" w14:textId="09F9F06F" w:rsidR="001A15D5" w:rsidRPr="00AF272B" w:rsidRDefault="001A15D5" w:rsidP="001A15D5">
      <w:pPr>
        <w:ind w:left="720"/>
      </w:pPr>
      <w:r w:rsidRPr="00FC4BF7">
        <w:t>Finally, MUs in the 2016 ASM/COS are using the new online Centurion collection instrument, which features much of the functionality developed for the 2017 Economic Census, such as importing/exporting spreadsheets, the ability to toggle between “form” views and spreadsheet views of the questions, and questionnaire preview worksheets to aid data gathering.  Respondent debriefings and Web paradata analysis will be conducted to further evaluate the instrument prior to conducting the 2017 Economic Census.</w:t>
      </w:r>
    </w:p>
    <w:p w14:paraId="5FE53588" w14:textId="77777777" w:rsidR="007A0763" w:rsidRPr="00AF272B" w:rsidRDefault="007A0763" w:rsidP="0082541D">
      <w:pPr>
        <w:ind w:left="720"/>
      </w:pPr>
    </w:p>
    <w:p w14:paraId="77437B31" w14:textId="77777777" w:rsidR="007A0763" w:rsidRPr="00AF272B" w:rsidRDefault="007A0763" w:rsidP="0082541D">
      <w:pPr>
        <w:ind w:left="720"/>
      </w:pPr>
      <w:r w:rsidRPr="00AF272B">
        <w:t>Results and recommendations from each component and testing activity were provided to subject matter specialists, managers and developers of data collection procedures, and software developers and programmers.  Recommendations were prioritized, negotiated, and revised, as necessary, to facilitate implementation.  Nevertheless, some recommendations were not fully adopted due to resource and technical limitations.</w:t>
      </w:r>
    </w:p>
    <w:p w14:paraId="72DA105E" w14:textId="77777777" w:rsidR="007A0763" w:rsidRPr="00AF272B" w:rsidRDefault="007A0763" w:rsidP="0082541D">
      <w:pPr>
        <w:ind w:left="720"/>
      </w:pPr>
    </w:p>
    <w:p w14:paraId="26D86239" w14:textId="77777777" w:rsidR="000D0688" w:rsidRDefault="007A0763" w:rsidP="0082541D">
      <w:pPr>
        <w:ind w:left="720"/>
      </w:pPr>
      <w:r w:rsidRPr="00AF272B">
        <w:t xml:space="preserve">All studies are documented in internal Census Bureau reports; a few of the studies are </w:t>
      </w:r>
    </w:p>
    <w:p w14:paraId="32B2D2DF" w14:textId="563CDC01" w:rsidR="007A0763" w:rsidRDefault="007A0763" w:rsidP="0082541D">
      <w:pPr>
        <w:ind w:left="720"/>
      </w:pPr>
      <w:r w:rsidRPr="00AF272B">
        <w:t xml:space="preserve">also reported publicly in conference papers or presentations. </w:t>
      </w:r>
    </w:p>
    <w:p w14:paraId="77D0EE26" w14:textId="254D1534" w:rsidR="000D0688" w:rsidRDefault="000D0688" w:rsidP="0082541D">
      <w:pPr>
        <w:ind w:left="720"/>
      </w:pPr>
    </w:p>
    <w:p w14:paraId="193326DD" w14:textId="77777777" w:rsidR="000D0688" w:rsidRPr="00AF272B" w:rsidRDefault="000D0688" w:rsidP="0082541D">
      <w:pPr>
        <w:ind w:left="720"/>
      </w:pPr>
    </w:p>
    <w:p w14:paraId="11507E12" w14:textId="77777777" w:rsidR="007A0763" w:rsidRPr="00AF272B" w:rsidRDefault="007A0763" w:rsidP="0082541D">
      <w:pPr>
        <w:ind w:left="720"/>
      </w:pPr>
    </w:p>
    <w:p w14:paraId="58012FD6" w14:textId="77777777" w:rsidR="007A0763" w:rsidRPr="001F58BD" w:rsidRDefault="007A0763" w:rsidP="001F58BD">
      <w:pPr>
        <w:rPr>
          <w:b/>
        </w:rPr>
      </w:pPr>
      <w:r w:rsidRPr="001F58BD">
        <w:rPr>
          <w:b/>
        </w:rPr>
        <w:t>Components of the research and testing, along with selected highlights, follow:</w:t>
      </w:r>
    </w:p>
    <w:tbl>
      <w:tblPr>
        <w:tblStyle w:val="MediumShading1"/>
        <w:tblW w:w="10484" w:type="dxa"/>
        <w:tblInd w:w="-162" w:type="dxa"/>
        <w:tblLook w:val="04A0" w:firstRow="1" w:lastRow="0" w:firstColumn="1" w:lastColumn="0" w:noHBand="0" w:noVBand="1"/>
      </w:tblPr>
      <w:tblGrid>
        <w:gridCol w:w="2096"/>
        <w:gridCol w:w="1723"/>
        <w:gridCol w:w="1309"/>
        <w:gridCol w:w="1070"/>
        <w:gridCol w:w="1256"/>
        <w:gridCol w:w="3030"/>
      </w:tblGrid>
      <w:tr w:rsidR="00217DBB" w:rsidRPr="00AF272B" w14:paraId="08BD78D1" w14:textId="77777777" w:rsidTr="00217DB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6" w:type="dxa"/>
            <w:tcBorders>
              <w:top w:val="double" w:sz="4" w:space="0" w:color="auto"/>
            </w:tcBorders>
            <w:shd w:val="clear" w:color="auto" w:fill="F2F2F2" w:themeFill="background1" w:themeFillShade="F2"/>
            <w:vAlign w:val="center"/>
          </w:tcPr>
          <w:p w14:paraId="40950088" w14:textId="77777777" w:rsidR="00217DBB" w:rsidRPr="009033C9" w:rsidRDefault="00217DBB" w:rsidP="00217DBB">
            <w:pPr>
              <w:rPr>
                <w:color w:val="auto"/>
              </w:rPr>
            </w:pPr>
            <w:r w:rsidRPr="009033C9">
              <w:rPr>
                <w:color w:val="auto"/>
              </w:rPr>
              <w:t>Component</w:t>
            </w:r>
          </w:p>
        </w:tc>
        <w:tc>
          <w:tcPr>
            <w:tcW w:w="1723" w:type="dxa"/>
            <w:tcBorders>
              <w:top w:val="double" w:sz="4" w:space="0" w:color="auto"/>
            </w:tcBorders>
            <w:shd w:val="clear" w:color="auto" w:fill="F2F2F2" w:themeFill="background1" w:themeFillShade="F2"/>
            <w:vAlign w:val="center"/>
          </w:tcPr>
          <w:p w14:paraId="2F422871" w14:textId="77777777" w:rsidR="00217DBB" w:rsidRPr="009033C9" w:rsidRDefault="00217DBB" w:rsidP="00217DBB">
            <w:pPr>
              <w:cnfStyle w:val="100000000000" w:firstRow="1" w:lastRow="0" w:firstColumn="0" w:lastColumn="0" w:oddVBand="0" w:evenVBand="0" w:oddHBand="0" w:evenHBand="0" w:firstRowFirstColumn="0" w:firstRowLastColumn="0" w:lastRowFirstColumn="0" w:lastRowLastColumn="0"/>
              <w:rPr>
                <w:color w:val="auto"/>
              </w:rPr>
            </w:pPr>
            <w:r w:rsidRPr="009033C9">
              <w:rPr>
                <w:color w:val="auto"/>
              </w:rPr>
              <w:t>Activity</w:t>
            </w:r>
          </w:p>
        </w:tc>
        <w:tc>
          <w:tcPr>
            <w:tcW w:w="1309" w:type="dxa"/>
            <w:tcBorders>
              <w:top w:val="double" w:sz="4" w:space="0" w:color="auto"/>
            </w:tcBorders>
            <w:shd w:val="clear" w:color="auto" w:fill="F2F2F2" w:themeFill="background1" w:themeFillShade="F2"/>
            <w:vAlign w:val="center"/>
          </w:tcPr>
          <w:p w14:paraId="18163206" w14:textId="77777777" w:rsidR="00217DBB" w:rsidRPr="009033C9" w:rsidRDefault="00217DBB" w:rsidP="00217DBB">
            <w:pPr>
              <w:cnfStyle w:val="100000000000" w:firstRow="1" w:lastRow="0" w:firstColumn="0" w:lastColumn="0" w:oddVBand="0" w:evenVBand="0" w:oddHBand="0" w:evenHBand="0" w:firstRowFirstColumn="0" w:firstRowLastColumn="0" w:lastRowFirstColumn="0" w:lastRowLastColumn="0"/>
              <w:rPr>
                <w:color w:val="auto"/>
              </w:rPr>
            </w:pPr>
            <w:r w:rsidRPr="009033C9">
              <w:rPr>
                <w:color w:val="auto"/>
              </w:rPr>
              <w:t>Dates</w:t>
            </w:r>
          </w:p>
        </w:tc>
        <w:tc>
          <w:tcPr>
            <w:tcW w:w="1070" w:type="dxa"/>
            <w:tcBorders>
              <w:top w:val="double" w:sz="4" w:space="0" w:color="auto"/>
            </w:tcBorders>
            <w:shd w:val="clear" w:color="auto" w:fill="F2F2F2" w:themeFill="background1" w:themeFillShade="F2"/>
            <w:vAlign w:val="center"/>
          </w:tcPr>
          <w:p w14:paraId="2689C1C9" w14:textId="77777777" w:rsidR="00217DBB" w:rsidRPr="009033C9" w:rsidRDefault="00217DBB" w:rsidP="00217DBB">
            <w:pPr>
              <w:cnfStyle w:val="100000000000" w:firstRow="1" w:lastRow="0" w:firstColumn="0" w:lastColumn="0" w:oddVBand="0" w:evenVBand="0" w:oddHBand="0" w:evenHBand="0" w:firstRowFirstColumn="0" w:firstRowLastColumn="0" w:lastRowFirstColumn="0" w:lastRowLastColumn="0"/>
              <w:rPr>
                <w:color w:val="auto"/>
              </w:rPr>
            </w:pPr>
            <w:r w:rsidRPr="009033C9">
              <w:rPr>
                <w:color w:val="auto"/>
              </w:rPr>
              <w:t>Number of Cases</w:t>
            </w:r>
          </w:p>
        </w:tc>
        <w:tc>
          <w:tcPr>
            <w:tcW w:w="1256" w:type="dxa"/>
            <w:tcBorders>
              <w:top w:val="double" w:sz="4" w:space="0" w:color="auto"/>
            </w:tcBorders>
            <w:shd w:val="clear" w:color="auto" w:fill="F2F2F2" w:themeFill="background1" w:themeFillShade="F2"/>
            <w:vAlign w:val="center"/>
          </w:tcPr>
          <w:p w14:paraId="0DDBF8F1" w14:textId="77777777" w:rsidR="00217DBB" w:rsidRPr="009033C9" w:rsidRDefault="00217DBB" w:rsidP="00217DBB">
            <w:pPr>
              <w:cnfStyle w:val="100000000000" w:firstRow="1" w:lastRow="0" w:firstColumn="0" w:lastColumn="0" w:oddVBand="0" w:evenVBand="0" w:oddHBand="0" w:evenHBand="0" w:firstRowFirstColumn="0" w:firstRowLastColumn="0" w:lastRowFirstColumn="0" w:lastRowLastColumn="0"/>
              <w:rPr>
                <w:color w:val="auto"/>
              </w:rPr>
            </w:pPr>
            <w:r w:rsidRPr="009033C9">
              <w:rPr>
                <w:color w:val="auto"/>
              </w:rPr>
              <w:t>OMB Generic Clearance Date</w:t>
            </w:r>
          </w:p>
        </w:tc>
        <w:tc>
          <w:tcPr>
            <w:tcW w:w="3030" w:type="dxa"/>
            <w:tcBorders>
              <w:top w:val="double" w:sz="4" w:space="0" w:color="auto"/>
            </w:tcBorders>
            <w:shd w:val="clear" w:color="auto" w:fill="F2F2F2" w:themeFill="background1" w:themeFillShade="F2"/>
            <w:vAlign w:val="center"/>
          </w:tcPr>
          <w:p w14:paraId="4AE9DC83" w14:textId="77777777" w:rsidR="00217DBB" w:rsidRPr="009033C9" w:rsidRDefault="00217DBB" w:rsidP="00217DBB">
            <w:pPr>
              <w:cnfStyle w:val="100000000000" w:firstRow="1" w:lastRow="0" w:firstColumn="0" w:lastColumn="0" w:oddVBand="0" w:evenVBand="0" w:oddHBand="0" w:evenHBand="0" w:firstRowFirstColumn="0" w:firstRowLastColumn="0" w:lastRowFirstColumn="0" w:lastRowLastColumn="0"/>
              <w:rPr>
                <w:color w:val="auto"/>
              </w:rPr>
            </w:pPr>
            <w:r w:rsidRPr="009033C9">
              <w:rPr>
                <w:color w:val="auto"/>
              </w:rPr>
              <w:t>Description, Selected Results and/or Recommendations</w:t>
            </w:r>
          </w:p>
        </w:tc>
      </w:tr>
      <w:tr w:rsidR="00217DBB" w:rsidRPr="00AF272B" w14:paraId="5F9F1154"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14:paraId="67D09AA1" w14:textId="77777777" w:rsidR="00217DBB" w:rsidRPr="00AF272B" w:rsidRDefault="00217DBB" w:rsidP="00217DBB">
            <w:pPr>
              <w:rPr>
                <w:i/>
              </w:rPr>
            </w:pPr>
            <w:r w:rsidRPr="00AF272B">
              <w:rPr>
                <w:i/>
              </w:rPr>
              <w:t>Single Unit Businesses</w:t>
            </w:r>
          </w:p>
        </w:tc>
        <w:tc>
          <w:tcPr>
            <w:tcW w:w="1723" w:type="dxa"/>
            <w:shd w:val="clear" w:color="auto" w:fill="F2F2F2" w:themeFill="background1" w:themeFillShade="F2"/>
          </w:tcPr>
          <w:p w14:paraId="48C8EEE0"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 xml:space="preserve">Task analysis </w:t>
            </w:r>
          </w:p>
        </w:tc>
        <w:tc>
          <w:tcPr>
            <w:tcW w:w="1309" w:type="dxa"/>
            <w:shd w:val="clear" w:color="auto" w:fill="F2F2F2" w:themeFill="background1" w:themeFillShade="F2"/>
          </w:tcPr>
          <w:p w14:paraId="5F80DFCA"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July 2014</w:t>
            </w:r>
          </w:p>
        </w:tc>
        <w:tc>
          <w:tcPr>
            <w:tcW w:w="1070" w:type="dxa"/>
            <w:shd w:val="clear" w:color="auto" w:fill="F2F2F2" w:themeFill="background1" w:themeFillShade="F2"/>
          </w:tcPr>
          <w:p w14:paraId="6E162F1B"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8</w:t>
            </w:r>
          </w:p>
        </w:tc>
        <w:tc>
          <w:tcPr>
            <w:tcW w:w="1256" w:type="dxa"/>
            <w:shd w:val="clear" w:color="auto" w:fill="F2F2F2" w:themeFill="background1" w:themeFillShade="F2"/>
          </w:tcPr>
          <w:p w14:paraId="641A2022"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June 2014</w:t>
            </w:r>
          </w:p>
        </w:tc>
        <w:tc>
          <w:tcPr>
            <w:tcW w:w="3030" w:type="dxa"/>
            <w:shd w:val="clear" w:color="auto" w:fill="F2F2F2" w:themeFill="background1" w:themeFillShade="F2"/>
          </w:tcPr>
          <w:p w14:paraId="594FA5F8"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Response process is relatively straightforward for SUs; however, they rely heavily on paper questionnaires for gathering the data.</w:t>
            </w:r>
          </w:p>
        </w:tc>
      </w:tr>
      <w:tr w:rsidR="00217DBB" w:rsidRPr="00AF272B" w14:paraId="219717E4"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7468B57B" w14:textId="77777777" w:rsidR="00217DBB" w:rsidRPr="00AF272B" w:rsidRDefault="00217DBB" w:rsidP="00217DBB"/>
        </w:tc>
        <w:tc>
          <w:tcPr>
            <w:tcW w:w="1723" w:type="dxa"/>
          </w:tcPr>
          <w:p w14:paraId="70071416"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Usability testing Round 1</w:t>
            </w:r>
          </w:p>
        </w:tc>
        <w:tc>
          <w:tcPr>
            <w:tcW w:w="1309" w:type="dxa"/>
          </w:tcPr>
          <w:p w14:paraId="5A9A791E"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October –November 2014</w:t>
            </w:r>
          </w:p>
        </w:tc>
        <w:tc>
          <w:tcPr>
            <w:tcW w:w="1070" w:type="dxa"/>
          </w:tcPr>
          <w:p w14:paraId="732547BE"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10</w:t>
            </w:r>
          </w:p>
        </w:tc>
        <w:tc>
          <w:tcPr>
            <w:tcW w:w="1256" w:type="dxa"/>
          </w:tcPr>
          <w:p w14:paraId="783E27AD"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October 2014</w:t>
            </w:r>
          </w:p>
        </w:tc>
        <w:tc>
          <w:tcPr>
            <w:tcW w:w="3030" w:type="dxa"/>
          </w:tcPr>
          <w:p w14:paraId="0385082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Tested a low-fidelity prototype and provided recommendations for a response-driven design for implementation in 2014 ASM.  Respondents preferred less information on the screen and skipping questions that were not relevant to them.</w:t>
            </w:r>
          </w:p>
        </w:tc>
      </w:tr>
      <w:tr w:rsidR="00217DBB" w:rsidRPr="00AF272B" w14:paraId="7EB03C61"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3C7C3722" w14:textId="77777777" w:rsidR="00217DBB" w:rsidRPr="00AF272B" w:rsidRDefault="00217DBB" w:rsidP="00217DBB"/>
        </w:tc>
        <w:tc>
          <w:tcPr>
            <w:tcW w:w="1723" w:type="dxa"/>
            <w:shd w:val="clear" w:color="auto" w:fill="F2F2F2" w:themeFill="background1" w:themeFillShade="F2"/>
          </w:tcPr>
          <w:p w14:paraId="045BDAC3"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Usability testing Round 2</w:t>
            </w:r>
          </w:p>
        </w:tc>
        <w:tc>
          <w:tcPr>
            <w:tcW w:w="1309" w:type="dxa"/>
            <w:shd w:val="clear" w:color="auto" w:fill="F2F2F2" w:themeFill="background1" w:themeFillShade="F2"/>
          </w:tcPr>
          <w:p w14:paraId="52E42249"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October 2015</w:t>
            </w:r>
          </w:p>
        </w:tc>
        <w:tc>
          <w:tcPr>
            <w:tcW w:w="1070" w:type="dxa"/>
            <w:shd w:val="clear" w:color="auto" w:fill="F2F2F2" w:themeFill="background1" w:themeFillShade="F2"/>
          </w:tcPr>
          <w:p w14:paraId="1504343F"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9</w:t>
            </w:r>
          </w:p>
        </w:tc>
        <w:tc>
          <w:tcPr>
            <w:tcW w:w="1256" w:type="dxa"/>
            <w:shd w:val="clear" w:color="auto" w:fill="F2F2F2" w:themeFill="background1" w:themeFillShade="F2"/>
          </w:tcPr>
          <w:p w14:paraId="5D5513AD"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October 2014</w:t>
            </w:r>
          </w:p>
        </w:tc>
        <w:tc>
          <w:tcPr>
            <w:tcW w:w="3030" w:type="dxa"/>
            <w:shd w:val="clear" w:color="auto" w:fill="F2F2F2" w:themeFill="background1" w:themeFillShade="F2"/>
          </w:tcPr>
          <w:p w14:paraId="23E0B5EE"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Tested the 2015 ASM response-driven instrument prior to release in December 2015</w:t>
            </w:r>
          </w:p>
        </w:tc>
      </w:tr>
      <w:tr w:rsidR="00217DBB" w:rsidRPr="00AF272B" w14:paraId="680A4036"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4A095C09" w14:textId="77777777" w:rsidR="00217DBB" w:rsidRPr="00AF272B" w:rsidRDefault="00217DBB" w:rsidP="00217DBB"/>
        </w:tc>
        <w:tc>
          <w:tcPr>
            <w:tcW w:w="1723" w:type="dxa"/>
          </w:tcPr>
          <w:p w14:paraId="641C966A"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Respondent debriefings for 2015 ASM full-scale implementation of response-driven design</w:t>
            </w:r>
          </w:p>
        </w:tc>
        <w:tc>
          <w:tcPr>
            <w:tcW w:w="1309" w:type="dxa"/>
          </w:tcPr>
          <w:p w14:paraId="37C355D9"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February – June 2016</w:t>
            </w:r>
          </w:p>
        </w:tc>
        <w:tc>
          <w:tcPr>
            <w:tcW w:w="1070" w:type="dxa"/>
          </w:tcPr>
          <w:p w14:paraId="5BC12A8A"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23</w:t>
            </w:r>
          </w:p>
        </w:tc>
        <w:tc>
          <w:tcPr>
            <w:tcW w:w="1256" w:type="dxa"/>
          </w:tcPr>
          <w:p w14:paraId="1C89DFA1"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January 2016</w:t>
            </w:r>
          </w:p>
        </w:tc>
        <w:tc>
          <w:tcPr>
            <w:tcW w:w="3030" w:type="dxa"/>
          </w:tcPr>
          <w:p w14:paraId="7054E1C0" w14:textId="77777777" w:rsidR="00217DBB" w:rsidRPr="00AF272B" w:rsidRDefault="00217DBB" w:rsidP="00217DBB">
            <w:pPr>
              <w:widowControl w:val="0"/>
              <w:numPr>
                <w:ilvl w:val="0"/>
                <w:numId w:val="10"/>
              </w:numPr>
              <w:cnfStyle w:val="000000010000" w:firstRow="0" w:lastRow="0" w:firstColumn="0" w:lastColumn="0" w:oddVBand="0" w:evenVBand="0" w:oddHBand="0" w:evenHBand="1" w:firstRowFirstColumn="0" w:firstRowLastColumn="0" w:lastRowFirstColumn="0" w:lastRowLastColumn="0"/>
            </w:pPr>
            <w:r w:rsidRPr="00AF272B">
              <w:t xml:space="preserve">Respondents liked response-driven design, answering questions “one at a time.” </w:t>
            </w:r>
          </w:p>
          <w:p w14:paraId="036580C9" w14:textId="77777777" w:rsidR="00217DBB" w:rsidRPr="00AF272B" w:rsidRDefault="00217DBB" w:rsidP="00217DBB">
            <w:pPr>
              <w:widowControl w:val="0"/>
              <w:numPr>
                <w:ilvl w:val="0"/>
                <w:numId w:val="10"/>
              </w:numPr>
              <w:cnfStyle w:val="000000010000" w:firstRow="0" w:lastRow="0" w:firstColumn="0" w:lastColumn="0" w:oddVBand="0" w:evenVBand="0" w:oddHBand="0" w:evenHBand="1" w:firstRowFirstColumn="0" w:firstRowLastColumn="0" w:lastRowFirstColumn="0" w:lastRowLastColumn="0"/>
            </w:pPr>
            <w:r w:rsidRPr="00AF272B">
              <w:t xml:space="preserve">Respondents wanted a worksheet preview, but did not see this feature prior to beginning. </w:t>
            </w:r>
          </w:p>
        </w:tc>
      </w:tr>
      <w:tr w:rsidR="00217DBB" w:rsidRPr="00AF272B" w14:paraId="31261626"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6C4E435D" w14:textId="77777777" w:rsidR="00217DBB" w:rsidRPr="00AF272B" w:rsidRDefault="00217DBB" w:rsidP="00217DBB"/>
        </w:tc>
        <w:tc>
          <w:tcPr>
            <w:tcW w:w="1723" w:type="dxa"/>
            <w:shd w:val="clear" w:color="auto" w:fill="F2F2F2" w:themeFill="background1" w:themeFillShade="F2"/>
          </w:tcPr>
          <w:p w14:paraId="117B2845"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Analysis of Web paradata from 2015 ASM full-scale implementation of response-driven design</w:t>
            </w:r>
          </w:p>
        </w:tc>
        <w:tc>
          <w:tcPr>
            <w:tcW w:w="1309" w:type="dxa"/>
            <w:shd w:val="clear" w:color="auto" w:fill="F2F2F2" w:themeFill="background1" w:themeFillShade="F2"/>
          </w:tcPr>
          <w:p w14:paraId="3CC49EAE"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April 2016</w:t>
            </w:r>
          </w:p>
        </w:tc>
        <w:tc>
          <w:tcPr>
            <w:tcW w:w="1070" w:type="dxa"/>
            <w:shd w:val="clear" w:color="auto" w:fill="F2F2F2" w:themeFill="background1" w:themeFillShade="F2"/>
          </w:tcPr>
          <w:p w14:paraId="5E085B37"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NA</w:t>
            </w:r>
          </w:p>
        </w:tc>
        <w:tc>
          <w:tcPr>
            <w:tcW w:w="1256" w:type="dxa"/>
            <w:shd w:val="clear" w:color="auto" w:fill="F2F2F2" w:themeFill="background1" w:themeFillShade="F2"/>
          </w:tcPr>
          <w:p w14:paraId="01A03D4D"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NA</w:t>
            </w:r>
          </w:p>
        </w:tc>
        <w:tc>
          <w:tcPr>
            <w:tcW w:w="3030" w:type="dxa"/>
            <w:shd w:val="clear" w:color="auto" w:fill="F2F2F2" w:themeFill="background1" w:themeFillShade="F2"/>
          </w:tcPr>
          <w:p w14:paraId="7B5C7129" w14:textId="77777777" w:rsidR="00217DBB" w:rsidRPr="00AF272B" w:rsidRDefault="00217DBB" w:rsidP="00217DBB">
            <w:pPr>
              <w:widowControl w:val="0"/>
              <w:numPr>
                <w:ilvl w:val="0"/>
                <w:numId w:val="11"/>
              </w:numPr>
              <w:cnfStyle w:val="000000100000" w:firstRow="0" w:lastRow="0" w:firstColumn="0" w:lastColumn="0" w:oddVBand="0" w:evenVBand="0" w:oddHBand="1" w:evenHBand="0" w:firstRowFirstColumn="0" w:firstRowLastColumn="0" w:lastRowFirstColumn="0" w:lastRowLastColumn="0"/>
            </w:pPr>
            <w:r w:rsidRPr="00AF272B">
              <w:t xml:space="preserve">Identified troublesome screens/questions; reviewed use of features/functions; evaluated indicators of burden. </w:t>
            </w:r>
          </w:p>
          <w:p w14:paraId="246E28F5" w14:textId="77777777" w:rsidR="00217DBB" w:rsidRPr="00AF272B" w:rsidRDefault="00217DBB" w:rsidP="00217DBB">
            <w:pPr>
              <w:widowControl w:val="0"/>
              <w:numPr>
                <w:ilvl w:val="0"/>
                <w:numId w:val="11"/>
              </w:numPr>
              <w:cnfStyle w:val="000000100000" w:firstRow="0" w:lastRow="0" w:firstColumn="0" w:lastColumn="0" w:oddVBand="0" w:evenVBand="0" w:oddHBand="1" w:evenHBand="0" w:firstRowFirstColumn="0" w:firstRowLastColumn="0" w:lastRowFirstColumn="0" w:lastRowLastColumn="0"/>
            </w:pPr>
            <w:r w:rsidRPr="00AF272B">
              <w:t>Prioritized changes for 2016 ASM.</w:t>
            </w:r>
          </w:p>
        </w:tc>
      </w:tr>
      <w:tr w:rsidR="00217DBB" w:rsidRPr="00AF272B" w14:paraId="198C4DA3" w14:textId="77777777" w:rsidTr="00217DBB">
        <w:trPr>
          <w:cnfStyle w:val="000000010000" w:firstRow="0" w:lastRow="0" w:firstColumn="0" w:lastColumn="0" w:oddVBand="0" w:evenVBand="0" w:oddHBand="0" w:evenHBand="1" w:firstRowFirstColumn="0" w:firstRowLastColumn="0" w:lastRowFirstColumn="0" w:lastRowLastColumn="0"/>
          <w:cantSplit/>
          <w:trHeight w:val="808"/>
        </w:trPr>
        <w:tc>
          <w:tcPr>
            <w:cnfStyle w:val="001000000000" w:firstRow="0" w:lastRow="0" w:firstColumn="1" w:lastColumn="0" w:oddVBand="0" w:evenVBand="0" w:oddHBand="0" w:evenHBand="0" w:firstRowFirstColumn="0" w:firstRowLastColumn="0" w:lastRowFirstColumn="0" w:lastRowLastColumn="0"/>
            <w:tcW w:w="2096" w:type="dxa"/>
            <w:vMerge/>
          </w:tcPr>
          <w:p w14:paraId="1D2C6CCC" w14:textId="77777777" w:rsidR="00217DBB" w:rsidRPr="00AF272B" w:rsidRDefault="00217DBB" w:rsidP="00217DBB"/>
        </w:tc>
        <w:tc>
          <w:tcPr>
            <w:tcW w:w="1723" w:type="dxa"/>
          </w:tcPr>
          <w:p w14:paraId="4C56A267"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309" w:type="dxa"/>
          </w:tcPr>
          <w:p w14:paraId="32A13085"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070" w:type="dxa"/>
          </w:tcPr>
          <w:p w14:paraId="6CCF35C1"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256" w:type="dxa"/>
          </w:tcPr>
          <w:p w14:paraId="644E2C57"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3030" w:type="dxa"/>
          </w:tcPr>
          <w:p w14:paraId="2607EFEE"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r>
      <w:tr w:rsidR="00217DBB" w:rsidRPr="00AF272B" w14:paraId="69FDF6A4"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14:paraId="368B2754" w14:textId="77777777" w:rsidR="00217DBB" w:rsidRPr="00AF272B" w:rsidRDefault="00217DBB" w:rsidP="00217DBB">
            <w:pPr>
              <w:rPr>
                <w:i/>
              </w:rPr>
            </w:pPr>
            <w:r w:rsidRPr="00AF272B">
              <w:rPr>
                <w:i/>
              </w:rPr>
              <w:t>Multi-Unit (MU) Businesses</w:t>
            </w:r>
          </w:p>
        </w:tc>
        <w:tc>
          <w:tcPr>
            <w:tcW w:w="1723" w:type="dxa"/>
            <w:shd w:val="clear" w:color="auto" w:fill="F2F2F2" w:themeFill="background1" w:themeFillShade="F2"/>
          </w:tcPr>
          <w:p w14:paraId="13709570"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Respondent debriefings for 2012 Economic Census</w:t>
            </w:r>
          </w:p>
        </w:tc>
        <w:tc>
          <w:tcPr>
            <w:tcW w:w="1309" w:type="dxa"/>
            <w:shd w:val="clear" w:color="auto" w:fill="F2F2F2" w:themeFill="background1" w:themeFillShade="F2"/>
          </w:tcPr>
          <w:p w14:paraId="6121ADF2"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February 2014</w:t>
            </w:r>
          </w:p>
        </w:tc>
        <w:tc>
          <w:tcPr>
            <w:tcW w:w="1070" w:type="dxa"/>
            <w:shd w:val="clear" w:color="auto" w:fill="F2F2F2" w:themeFill="background1" w:themeFillShade="F2"/>
          </w:tcPr>
          <w:p w14:paraId="641B08F5"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11</w:t>
            </w:r>
          </w:p>
        </w:tc>
        <w:tc>
          <w:tcPr>
            <w:tcW w:w="1256" w:type="dxa"/>
            <w:shd w:val="clear" w:color="auto" w:fill="F2F2F2" w:themeFill="background1" w:themeFillShade="F2"/>
          </w:tcPr>
          <w:p w14:paraId="7C339C5B"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January 2014</w:t>
            </w:r>
          </w:p>
        </w:tc>
        <w:tc>
          <w:tcPr>
            <w:tcW w:w="3030" w:type="dxa"/>
            <w:shd w:val="clear" w:color="auto" w:fill="F2F2F2" w:themeFill="background1" w:themeFillShade="F2"/>
          </w:tcPr>
          <w:p w14:paraId="63024AD7"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Debrief respondents about their use of the Census Surveyor instrument in order to identify features that should be maintained and/or improved for the 2017 Economic Census electronic data collection instrument.</w:t>
            </w:r>
          </w:p>
        </w:tc>
      </w:tr>
      <w:tr w:rsidR="00217DBB" w:rsidRPr="00AF272B" w14:paraId="3346EF4E"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4EEBD7EE" w14:textId="77777777" w:rsidR="00217DBB" w:rsidRPr="00AF272B" w:rsidRDefault="00217DBB" w:rsidP="00217DBB">
            <w:pPr>
              <w:rPr>
                <w:i/>
              </w:rPr>
            </w:pPr>
          </w:p>
        </w:tc>
        <w:tc>
          <w:tcPr>
            <w:tcW w:w="1723" w:type="dxa"/>
          </w:tcPr>
          <w:p w14:paraId="48C7A3F2"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Usability testing Round 1</w:t>
            </w:r>
          </w:p>
        </w:tc>
        <w:tc>
          <w:tcPr>
            <w:tcW w:w="1309" w:type="dxa"/>
          </w:tcPr>
          <w:p w14:paraId="2DE956A1"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November 2014</w:t>
            </w:r>
          </w:p>
        </w:tc>
        <w:tc>
          <w:tcPr>
            <w:tcW w:w="1070" w:type="dxa"/>
          </w:tcPr>
          <w:p w14:paraId="6BAD1E8D"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10</w:t>
            </w:r>
          </w:p>
        </w:tc>
        <w:tc>
          <w:tcPr>
            <w:tcW w:w="1256" w:type="dxa"/>
          </w:tcPr>
          <w:p w14:paraId="6B79ECAC"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November 2014</w:t>
            </w:r>
          </w:p>
        </w:tc>
        <w:tc>
          <w:tcPr>
            <w:tcW w:w="3030" w:type="dxa"/>
          </w:tcPr>
          <w:p w14:paraId="3F798097"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Tested a low-fidelity prototype and gathered requirements for a functioning prototype, and tested initial spreadsheet designs.</w:t>
            </w:r>
          </w:p>
        </w:tc>
      </w:tr>
      <w:tr w:rsidR="00217DBB" w:rsidRPr="00AF272B" w14:paraId="05DDA5BD"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435763FE" w14:textId="77777777" w:rsidR="00217DBB" w:rsidRPr="00AF272B" w:rsidRDefault="00217DBB" w:rsidP="00217DBB">
            <w:pPr>
              <w:rPr>
                <w:i/>
              </w:rPr>
            </w:pPr>
          </w:p>
        </w:tc>
        <w:tc>
          <w:tcPr>
            <w:tcW w:w="1723" w:type="dxa"/>
            <w:shd w:val="clear" w:color="auto" w:fill="F2F2F2" w:themeFill="background1" w:themeFillShade="F2"/>
          </w:tcPr>
          <w:p w14:paraId="0AA3ED41"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Usability testing Round 2</w:t>
            </w:r>
          </w:p>
        </w:tc>
        <w:tc>
          <w:tcPr>
            <w:tcW w:w="1309" w:type="dxa"/>
            <w:shd w:val="clear" w:color="auto" w:fill="F2F2F2" w:themeFill="background1" w:themeFillShade="F2"/>
          </w:tcPr>
          <w:p w14:paraId="4DD19241"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May - June 2015</w:t>
            </w:r>
          </w:p>
        </w:tc>
        <w:tc>
          <w:tcPr>
            <w:tcW w:w="1070" w:type="dxa"/>
            <w:shd w:val="clear" w:color="auto" w:fill="F2F2F2" w:themeFill="background1" w:themeFillShade="F2"/>
          </w:tcPr>
          <w:p w14:paraId="7BE4B7ED"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24</w:t>
            </w:r>
          </w:p>
        </w:tc>
        <w:tc>
          <w:tcPr>
            <w:tcW w:w="1256" w:type="dxa"/>
            <w:shd w:val="clear" w:color="auto" w:fill="F2F2F2" w:themeFill="background1" w:themeFillShade="F2"/>
          </w:tcPr>
          <w:p w14:paraId="10710A05"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November 2014</w:t>
            </w:r>
          </w:p>
        </w:tc>
        <w:tc>
          <w:tcPr>
            <w:tcW w:w="3030" w:type="dxa"/>
            <w:shd w:val="clear" w:color="auto" w:fill="F2F2F2" w:themeFill="background1" w:themeFillShade="F2"/>
          </w:tcPr>
          <w:p w14:paraId="5B9A0C4D" w14:textId="77777777" w:rsidR="00217DBB" w:rsidRPr="00AF272B" w:rsidRDefault="00217DBB" w:rsidP="00217DBB">
            <w:pPr>
              <w:widowControl w:val="0"/>
              <w:numPr>
                <w:ilvl w:val="0"/>
                <w:numId w:val="13"/>
              </w:numPr>
              <w:cnfStyle w:val="000000100000" w:firstRow="0" w:lastRow="0" w:firstColumn="0" w:lastColumn="0" w:oddVBand="0" w:evenVBand="0" w:oddHBand="1" w:evenHBand="0" w:firstRowFirstColumn="0" w:firstRowLastColumn="0" w:lastRowFirstColumn="0" w:lastRowLastColumn="0"/>
            </w:pPr>
            <w:r w:rsidRPr="00AF272B">
              <w:t>Performance of SharePoint prototype inadequate and solution abandoned.</w:t>
            </w:r>
          </w:p>
          <w:p w14:paraId="3FD6BF70" w14:textId="77777777" w:rsidR="00217DBB" w:rsidRPr="00AF272B" w:rsidRDefault="00217DBB" w:rsidP="00217DBB">
            <w:pPr>
              <w:widowControl w:val="0"/>
              <w:numPr>
                <w:ilvl w:val="0"/>
                <w:numId w:val="13"/>
              </w:numPr>
              <w:cnfStyle w:val="000000100000" w:firstRow="0" w:lastRow="0" w:firstColumn="0" w:lastColumn="0" w:oddVBand="0" w:evenVBand="0" w:oddHBand="1" w:evenHBand="0" w:firstRowFirstColumn="0" w:firstRowLastColumn="0" w:lastRowFirstColumn="0" w:lastRowLastColumn="0"/>
            </w:pPr>
            <w:r w:rsidRPr="00AF272B">
              <w:t xml:space="preserve">Feedback on proposed MU instrument interface generally positive for main menu design, introductory screens, and step-by-step instructions for instrument features. </w:t>
            </w:r>
          </w:p>
          <w:p w14:paraId="2C7B00E2" w14:textId="77777777" w:rsidR="00217DBB" w:rsidRPr="00AF272B" w:rsidRDefault="00217DBB" w:rsidP="00217DBB">
            <w:pPr>
              <w:widowControl w:val="0"/>
              <w:numPr>
                <w:ilvl w:val="0"/>
                <w:numId w:val="13"/>
              </w:numPr>
              <w:cnfStyle w:val="000000100000" w:firstRow="0" w:lastRow="0" w:firstColumn="0" w:lastColumn="0" w:oddVBand="0" w:evenVBand="0" w:oddHBand="1" w:evenHBand="0" w:firstRowFirstColumn="0" w:firstRowLastColumn="0" w:lastRowFirstColumn="0" w:lastRowLastColumn="0"/>
            </w:pPr>
            <w:r w:rsidRPr="00AF272B">
              <w:t>Feedback on alternative spreadsheet designs generally positive for incorporating questions’ instructions and improved visual design.</w:t>
            </w:r>
          </w:p>
        </w:tc>
      </w:tr>
      <w:tr w:rsidR="00217DBB" w:rsidRPr="00AF272B" w14:paraId="12827EDD"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232BE9A7" w14:textId="77777777" w:rsidR="00217DBB" w:rsidRPr="00AF272B" w:rsidRDefault="00217DBB" w:rsidP="00217DBB">
            <w:pPr>
              <w:rPr>
                <w:i/>
              </w:rPr>
            </w:pPr>
          </w:p>
        </w:tc>
        <w:tc>
          <w:tcPr>
            <w:tcW w:w="1723" w:type="dxa"/>
          </w:tcPr>
          <w:p w14:paraId="66AF62AA"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Focus group with NPC Register Analysis Branch analysts</w:t>
            </w:r>
          </w:p>
        </w:tc>
        <w:tc>
          <w:tcPr>
            <w:tcW w:w="1309" w:type="dxa"/>
          </w:tcPr>
          <w:p w14:paraId="7168FA08"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April 2015</w:t>
            </w:r>
          </w:p>
        </w:tc>
        <w:tc>
          <w:tcPr>
            <w:tcW w:w="1070" w:type="dxa"/>
          </w:tcPr>
          <w:p w14:paraId="634D02C9"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256" w:type="dxa"/>
          </w:tcPr>
          <w:p w14:paraId="1C70B8D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NA</w:t>
            </w:r>
          </w:p>
        </w:tc>
        <w:tc>
          <w:tcPr>
            <w:tcW w:w="3030" w:type="dxa"/>
          </w:tcPr>
          <w:p w14:paraId="2B706940"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Discussed analysts’ experience assisting respondents with Census Surveyor and obtained feedback on plans for revising the MU instrument.</w:t>
            </w:r>
          </w:p>
        </w:tc>
      </w:tr>
      <w:tr w:rsidR="00217DBB" w:rsidRPr="00AF272B" w14:paraId="1871ED8C"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14:paraId="3349AA1F" w14:textId="77777777" w:rsidR="00217DBB" w:rsidRPr="00AF272B" w:rsidRDefault="00217DBB" w:rsidP="00217DBB">
            <w:pPr>
              <w:rPr>
                <w:i/>
              </w:rPr>
            </w:pPr>
            <w:r w:rsidRPr="00AF272B">
              <w:rPr>
                <w:i/>
              </w:rPr>
              <w:t>Multi-Unit (MU) Businesses, continued</w:t>
            </w:r>
          </w:p>
        </w:tc>
        <w:tc>
          <w:tcPr>
            <w:tcW w:w="1723" w:type="dxa"/>
            <w:shd w:val="clear" w:color="auto" w:fill="F2F2F2" w:themeFill="background1" w:themeFillShade="F2"/>
          </w:tcPr>
          <w:p w14:paraId="2C1025D4"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 xml:space="preserve">Debriefing interviews with 2014 COS/ASM respondents  </w:t>
            </w:r>
          </w:p>
        </w:tc>
        <w:tc>
          <w:tcPr>
            <w:tcW w:w="1309" w:type="dxa"/>
            <w:shd w:val="clear" w:color="auto" w:fill="F2F2F2" w:themeFill="background1" w:themeFillShade="F2"/>
          </w:tcPr>
          <w:p w14:paraId="02880332"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April – June 2015</w:t>
            </w:r>
          </w:p>
        </w:tc>
        <w:tc>
          <w:tcPr>
            <w:tcW w:w="1070" w:type="dxa"/>
            <w:shd w:val="clear" w:color="auto" w:fill="F2F2F2" w:themeFill="background1" w:themeFillShade="F2"/>
          </w:tcPr>
          <w:p w14:paraId="36EF4C16"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30</w:t>
            </w:r>
          </w:p>
        </w:tc>
        <w:tc>
          <w:tcPr>
            <w:tcW w:w="1256" w:type="dxa"/>
            <w:shd w:val="clear" w:color="auto" w:fill="F2F2F2" w:themeFill="background1" w:themeFillShade="F2"/>
          </w:tcPr>
          <w:p w14:paraId="1546C74E"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March 2015</w:t>
            </w:r>
          </w:p>
        </w:tc>
        <w:tc>
          <w:tcPr>
            <w:tcW w:w="3030" w:type="dxa"/>
            <w:shd w:val="clear" w:color="auto" w:fill="F2F2F2" w:themeFill="background1" w:themeFillShade="F2"/>
          </w:tcPr>
          <w:p w14:paraId="5758C79D"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Evaluated use of Census Surveyor features / functionality with respondents at small and mid-size multi-unit companies.  Corroborated past research:</w:t>
            </w:r>
          </w:p>
          <w:p w14:paraId="03EEA86E" w14:textId="77777777" w:rsidR="00217DBB" w:rsidRPr="00AF272B" w:rsidRDefault="00217DBB" w:rsidP="00217DBB">
            <w:pPr>
              <w:widowControl w:val="0"/>
              <w:numPr>
                <w:ilvl w:val="0"/>
                <w:numId w:val="10"/>
              </w:numPr>
              <w:cnfStyle w:val="000000100000" w:firstRow="0" w:lastRow="0" w:firstColumn="0" w:lastColumn="0" w:oddVBand="0" w:evenVBand="0" w:oddHBand="1" w:evenHBand="0" w:firstRowFirstColumn="0" w:firstRowLastColumn="0" w:lastRowFirstColumn="0" w:lastRowLastColumn="0"/>
            </w:pPr>
            <w:r w:rsidRPr="00AF272B">
              <w:t xml:space="preserve">Small MUs preferred within-instrument functions; </w:t>
            </w:r>
          </w:p>
          <w:p w14:paraId="75C047FE" w14:textId="77777777" w:rsidR="00217DBB" w:rsidRPr="00AF272B" w:rsidRDefault="00217DBB" w:rsidP="00217DBB">
            <w:pPr>
              <w:widowControl w:val="0"/>
              <w:numPr>
                <w:ilvl w:val="0"/>
                <w:numId w:val="10"/>
              </w:numPr>
              <w:cnfStyle w:val="000000100000" w:firstRow="0" w:lastRow="0" w:firstColumn="0" w:lastColumn="0" w:oddVBand="0" w:evenVBand="0" w:oddHBand="1" w:evenHBand="0" w:firstRowFirstColumn="0" w:firstRowLastColumn="0" w:lastRowFirstColumn="0" w:lastRowLastColumn="0"/>
            </w:pPr>
            <w:r w:rsidRPr="00AF272B">
              <w:t xml:space="preserve">Mid-size / larger MUs preferred Excel spreadsheet functions; </w:t>
            </w:r>
          </w:p>
          <w:p w14:paraId="6C96D8C7" w14:textId="77777777" w:rsidR="00217DBB" w:rsidRPr="00AF272B" w:rsidRDefault="00217DBB" w:rsidP="00217DBB">
            <w:pPr>
              <w:widowControl w:val="0"/>
              <w:numPr>
                <w:ilvl w:val="0"/>
                <w:numId w:val="10"/>
              </w:numPr>
              <w:cnfStyle w:val="000000100000" w:firstRow="0" w:lastRow="0" w:firstColumn="0" w:lastColumn="0" w:oddVBand="0" w:evenVBand="0" w:oddHBand="1" w:evenHBand="0" w:firstRowFirstColumn="0" w:firstRowLastColumn="0" w:lastRowFirstColumn="0" w:lastRowLastColumn="0"/>
            </w:pPr>
            <w:r w:rsidRPr="00AF272B">
              <w:t xml:space="preserve">Full capabilities of Census Surveyor overlooked by </w:t>
            </w:r>
            <w:proofErr w:type="spellStart"/>
            <w:r w:rsidRPr="00AF272B">
              <w:t>Rs</w:t>
            </w:r>
            <w:proofErr w:type="spellEnd"/>
            <w:r w:rsidRPr="00AF272B">
              <w:t>;</w:t>
            </w:r>
          </w:p>
          <w:p w14:paraId="72072DB8" w14:textId="77777777" w:rsidR="00217DBB" w:rsidRPr="00AF272B" w:rsidRDefault="00217DBB" w:rsidP="00217DBB">
            <w:pPr>
              <w:widowControl w:val="0"/>
              <w:numPr>
                <w:ilvl w:val="0"/>
                <w:numId w:val="10"/>
              </w:numPr>
              <w:cnfStyle w:val="000000100000" w:firstRow="0" w:lastRow="0" w:firstColumn="0" w:lastColumn="0" w:oddVBand="0" w:evenVBand="0" w:oddHBand="1" w:evenHBand="0" w:firstRowFirstColumn="0" w:firstRowLastColumn="0" w:lastRowFirstColumn="0" w:lastRowLastColumn="0"/>
            </w:pPr>
            <w:r w:rsidRPr="00AF272B">
              <w:t>Downloaded / printed documents critical for gathering data from other company personnel</w:t>
            </w:r>
          </w:p>
        </w:tc>
      </w:tr>
      <w:tr w:rsidR="00217DBB" w:rsidRPr="00AF272B" w14:paraId="4D6E8102"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65B2D785" w14:textId="77777777" w:rsidR="00217DBB" w:rsidRPr="00AF272B" w:rsidRDefault="00217DBB" w:rsidP="00217DBB"/>
        </w:tc>
        <w:tc>
          <w:tcPr>
            <w:tcW w:w="1723" w:type="dxa"/>
          </w:tcPr>
          <w:p w14:paraId="1902E3F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Usability testing Round 3</w:t>
            </w:r>
          </w:p>
        </w:tc>
        <w:tc>
          <w:tcPr>
            <w:tcW w:w="1309" w:type="dxa"/>
          </w:tcPr>
          <w:p w14:paraId="1EF0E5C8"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September 2015</w:t>
            </w:r>
          </w:p>
        </w:tc>
        <w:tc>
          <w:tcPr>
            <w:tcW w:w="1070" w:type="dxa"/>
          </w:tcPr>
          <w:p w14:paraId="1AABFC14"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17</w:t>
            </w:r>
          </w:p>
        </w:tc>
        <w:tc>
          <w:tcPr>
            <w:tcW w:w="1256" w:type="dxa"/>
          </w:tcPr>
          <w:p w14:paraId="52F25D9C"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June 2015</w:t>
            </w:r>
          </w:p>
        </w:tc>
        <w:tc>
          <w:tcPr>
            <w:tcW w:w="3030" w:type="dxa"/>
          </w:tcPr>
          <w:p w14:paraId="36FE1B6A"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Evaluated basic functionality of MU instrument prototype in Centurion - spreadsheet download/upload, form view, and database that communicates to spreadsheet and form view; navigation and usability of pages; effectiveness of content, especially instructions about reporting procedures; navigation and usability of spreadsheet template; gathered requirements for worksheet/reporting guide</w:t>
            </w:r>
          </w:p>
        </w:tc>
      </w:tr>
      <w:tr w:rsidR="00217DBB" w:rsidRPr="00AF272B" w14:paraId="0CB0F860"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2357F8DA" w14:textId="77777777" w:rsidR="00217DBB" w:rsidRPr="00AF272B" w:rsidRDefault="00217DBB" w:rsidP="00217DBB"/>
        </w:tc>
        <w:tc>
          <w:tcPr>
            <w:tcW w:w="1723" w:type="dxa"/>
            <w:shd w:val="clear" w:color="auto" w:fill="F2F2F2" w:themeFill="background1" w:themeFillShade="F2"/>
          </w:tcPr>
          <w:p w14:paraId="00F295D8"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 xml:space="preserve">Analysis of Census Surveyor paradata from 2015 ASM </w:t>
            </w:r>
          </w:p>
        </w:tc>
        <w:tc>
          <w:tcPr>
            <w:tcW w:w="1309" w:type="dxa"/>
            <w:shd w:val="clear" w:color="auto" w:fill="F2F2F2" w:themeFill="background1" w:themeFillShade="F2"/>
          </w:tcPr>
          <w:p w14:paraId="756B405B"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July – September 2016</w:t>
            </w:r>
          </w:p>
        </w:tc>
        <w:tc>
          <w:tcPr>
            <w:tcW w:w="1070" w:type="dxa"/>
            <w:shd w:val="clear" w:color="auto" w:fill="F2F2F2" w:themeFill="background1" w:themeFillShade="F2"/>
          </w:tcPr>
          <w:p w14:paraId="2E90C870"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NA</w:t>
            </w:r>
          </w:p>
        </w:tc>
        <w:tc>
          <w:tcPr>
            <w:tcW w:w="1256" w:type="dxa"/>
            <w:shd w:val="clear" w:color="auto" w:fill="F2F2F2" w:themeFill="background1" w:themeFillShade="F2"/>
          </w:tcPr>
          <w:p w14:paraId="03664CEE"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NA</w:t>
            </w:r>
          </w:p>
        </w:tc>
        <w:tc>
          <w:tcPr>
            <w:tcW w:w="3030" w:type="dxa"/>
            <w:shd w:val="clear" w:color="auto" w:fill="F2F2F2" w:themeFill="background1" w:themeFillShade="F2"/>
          </w:tcPr>
          <w:p w14:paraId="06A1EA95"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 xml:space="preserve">Although the legacy Census Surveyor instrument was a powerful tool with useful features, </w:t>
            </w:r>
            <w:proofErr w:type="spellStart"/>
            <w:r w:rsidRPr="00AF272B">
              <w:t>Rs</w:t>
            </w:r>
            <w:proofErr w:type="spellEnd"/>
            <w:r w:rsidRPr="00AF272B">
              <w:t xml:space="preserve"> were not aware of / did not use quite a few of them.</w:t>
            </w:r>
          </w:p>
        </w:tc>
      </w:tr>
      <w:tr w:rsidR="00217DBB" w:rsidRPr="00AF272B" w14:paraId="3D78472D"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7C352EB9" w14:textId="77777777" w:rsidR="00217DBB" w:rsidRPr="00AF272B" w:rsidRDefault="00217DBB" w:rsidP="00217DBB"/>
        </w:tc>
        <w:tc>
          <w:tcPr>
            <w:tcW w:w="1723" w:type="dxa"/>
          </w:tcPr>
          <w:p w14:paraId="1F4E63B9"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309" w:type="dxa"/>
          </w:tcPr>
          <w:p w14:paraId="1D547512"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070" w:type="dxa"/>
          </w:tcPr>
          <w:p w14:paraId="4C1BE43E"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256" w:type="dxa"/>
          </w:tcPr>
          <w:p w14:paraId="650FFAE8"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3030" w:type="dxa"/>
          </w:tcPr>
          <w:p w14:paraId="31199510"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r>
      <w:tr w:rsidR="00217DBB" w:rsidRPr="00AF272B" w14:paraId="6C5205C0"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14:paraId="4A4F644F" w14:textId="77777777" w:rsidR="00217DBB" w:rsidRPr="00AF272B" w:rsidRDefault="00217DBB" w:rsidP="00217DBB">
            <w:pPr>
              <w:rPr>
                <w:i/>
              </w:rPr>
            </w:pPr>
            <w:r w:rsidRPr="00AF272B">
              <w:rPr>
                <w:i/>
              </w:rPr>
              <w:t>North American Product Classification System (NAPCS)</w:t>
            </w:r>
          </w:p>
        </w:tc>
        <w:tc>
          <w:tcPr>
            <w:tcW w:w="1723" w:type="dxa"/>
            <w:shd w:val="clear" w:color="auto" w:fill="F2F2F2" w:themeFill="background1" w:themeFillShade="F2"/>
          </w:tcPr>
          <w:p w14:paraId="62C8182B"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Record-keeping study</w:t>
            </w:r>
          </w:p>
        </w:tc>
        <w:tc>
          <w:tcPr>
            <w:tcW w:w="1309" w:type="dxa"/>
            <w:shd w:val="clear" w:color="auto" w:fill="F2F2F2" w:themeFill="background1" w:themeFillShade="F2"/>
          </w:tcPr>
          <w:p w14:paraId="315411EC"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November  2014</w:t>
            </w:r>
          </w:p>
        </w:tc>
        <w:tc>
          <w:tcPr>
            <w:tcW w:w="1070" w:type="dxa"/>
            <w:shd w:val="clear" w:color="auto" w:fill="F2F2F2" w:themeFill="background1" w:themeFillShade="F2"/>
          </w:tcPr>
          <w:p w14:paraId="01405E95"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9</w:t>
            </w:r>
          </w:p>
        </w:tc>
        <w:tc>
          <w:tcPr>
            <w:tcW w:w="1256" w:type="dxa"/>
            <w:shd w:val="clear" w:color="auto" w:fill="F2F2F2" w:themeFill="background1" w:themeFillShade="F2"/>
          </w:tcPr>
          <w:p w14:paraId="1D79376C"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August 2014</w:t>
            </w:r>
          </w:p>
        </w:tc>
        <w:tc>
          <w:tcPr>
            <w:tcW w:w="3030" w:type="dxa"/>
            <w:shd w:val="clear" w:color="auto" w:fill="F2F2F2" w:themeFill="background1" w:themeFillShade="F2"/>
          </w:tcPr>
          <w:p w14:paraId="4E4FF40A"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Explored availability of product line data in respondents’ business records.</w:t>
            </w:r>
          </w:p>
        </w:tc>
      </w:tr>
      <w:tr w:rsidR="00217DBB" w:rsidRPr="00AF272B" w14:paraId="2781397A"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21B37E4E" w14:textId="77777777" w:rsidR="00217DBB" w:rsidRPr="00AF272B" w:rsidRDefault="00217DBB" w:rsidP="00217DBB"/>
        </w:tc>
        <w:tc>
          <w:tcPr>
            <w:tcW w:w="1723" w:type="dxa"/>
          </w:tcPr>
          <w:p w14:paraId="7E012B02"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Usability testing Round 1</w:t>
            </w:r>
          </w:p>
        </w:tc>
        <w:tc>
          <w:tcPr>
            <w:tcW w:w="1309" w:type="dxa"/>
          </w:tcPr>
          <w:p w14:paraId="0DDBE02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October 2015</w:t>
            </w:r>
          </w:p>
        </w:tc>
        <w:tc>
          <w:tcPr>
            <w:tcW w:w="1070" w:type="dxa"/>
          </w:tcPr>
          <w:p w14:paraId="47338F96"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9</w:t>
            </w:r>
          </w:p>
        </w:tc>
        <w:tc>
          <w:tcPr>
            <w:tcW w:w="1256" w:type="dxa"/>
          </w:tcPr>
          <w:p w14:paraId="20184FA7"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June 2015</w:t>
            </w:r>
          </w:p>
        </w:tc>
        <w:tc>
          <w:tcPr>
            <w:tcW w:w="3030" w:type="dxa"/>
          </w:tcPr>
          <w:p w14:paraId="5FB46B32"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 xml:space="preserve">Tested alternative presentations of product lists for SUs; recommended 2-screen design where </w:t>
            </w:r>
            <w:proofErr w:type="spellStart"/>
            <w:r w:rsidRPr="00AF272B">
              <w:t>Rs</w:t>
            </w:r>
            <w:proofErr w:type="spellEnd"/>
            <w:r w:rsidRPr="00AF272B">
              <w:t xml:space="preserve"> first select relevant products from a list, then second screen displays only the selected products and requests receipts for each one.</w:t>
            </w:r>
          </w:p>
        </w:tc>
      </w:tr>
      <w:tr w:rsidR="00217DBB" w:rsidRPr="00AF272B" w14:paraId="26FF23DB"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2386CEC5" w14:textId="77777777" w:rsidR="00217DBB" w:rsidRPr="00AF272B" w:rsidRDefault="00217DBB" w:rsidP="00217DBB"/>
        </w:tc>
        <w:tc>
          <w:tcPr>
            <w:tcW w:w="1723" w:type="dxa"/>
            <w:shd w:val="clear" w:color="auto" w:fill="F2F2F2" w:themeFill="background1" w:themeFillShade="F2"/>
          </w:tcPr>
          <w:p w14:paraId="05B7200E"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Usability testing Round 2</w:t>
            </w:r>
          </w:p>
        </w:tc>
        <w:tc>
          <w:tcPr>
            <w:tcW w:w="1309" w:type="dxa"/>
            <w:shd w:val="clear" w:color="auto" w:fill="F2F2F2" w:themeFill="background1" w:themeFillShade="F2"/>
          </w:tcPr>
          <w:p w14:paraId="5D556D4F"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October 2015</w:t>
            </w:r>
          </w:p>
        </w:tc>
        <w:tc>
          <w:tcPr>
            <w:tcW w:w="1070" w:type="dxa"/>
            <w:shd w:val="clear" w:color="auto" w:fill="F2F2F2" w:themeFill="background1" w:themeFillShade="F2"/>
          </w:tcPr>
          <w:p w14:paraId="314F60B1"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7</w:t>
            </w:r>
          </w:p>
        </w:tc>
        <w:tc>
          <w:tcPr>
            <w:tcW w:w="1256" w:type="dxa"/>
            <w:shd w:val="clear" w:color="auto" w:fill="F2F2F2" w:themeFill="background1" w:themeFillShade="F2"/>
          </w:tcPr>
          <w:p w14:paraId="4D3D3CD8"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June 2015</w:t>
            </w:r>
          </w:p>
        </w:tc>
        <w:tc>
          <w:tcPr>
            <w:tcW w:w="3030" w:type="dxa"/>
            <w:shd w:val="clear" w:color="auto" w:fill="F2F2F2" w:themeFill="background1" w:themeFillShade="F2"/>
          </w:tcPr>
          <w:p w14:paraId="4153FC71"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Tested with Construction SUs and MUs:</w:t>
            </w:r>
          </w:p>
          <w:p w14:paraId="4E0849F3" w14:textId="77777777" w:rsidR="00217DBB" w:rsidRPr="00AF272B" w:rsidRDefault="00217DBB" w:rsidP="00217DBB">
            <w:pPr>
              <w:widowControl w:val="0"/>
              <w:numPr>
                <w:ilvl w:val="0"/>
                <w:numId w:val="12"/>
              </w:numPr>
              <w:cnfStyle w:val="000000100000" w:firstRow="0" w:lastRow="0" w:firstColumn="0" w:lastColumn="0" w:oddVBand="0" w:evenVBand="0" w:oddHBand="1" w:evenHBand="0" w:firstRowFirstColumn="0" w:firstRowLastColumn="0" w:lastRowFirstColumn="0" w:lastRowLastColumn="0"/>
            </w:pPr>
            <w:r w:rsidRPr="00AF272B">
              <w:t>Prefer 2-screen design over spreadsheets;</w:t>
            </w:r>
          </w:p>
          <w:p w14:paraId="2F09D362" w14:textId="77777777" w:rsidR="00217DBB" w:rsidRPr="00AF272B" w:rsidRDefault="00217DBB" w:rsidP="00217DBB">
            <w:pPr>
              <w:widowControl w:val="0"/>
              <w:numPr>
                <w:ilvl w:val="0"/>
                <w:numId w:val="12"/>
              </w:numPr>
              <w:cnfStyle w:val="000000100000" w:firstRow="0" w:lastRow="0" w:firstColumn="0" w:lastColumn="0" w:oddVBand="0" w:evenVBand="0" w:oddHBand="1" w:evenHBand="0" w:firstRowFirstColumn="0" w:firstRowLastColumn="0" w:lastRowFirstColumn="0" w:lastRowLastColumn="0"/>
            </w:pPr>
            <w:r w:rsidRPr="00AF272B">
              <w:t xml:space="preserve">“Building” and “Non-building” categories helped </w:t>
            </w:r>
            <w:proofErr w:type="spellStart"/>
            <w:r w:rsidRPr="00AF272B">
              <w:t>Rs</w:t>
            </w:r>
            <w:proofErr w:type="spellEnd"/>
            <w:r w:rsidRPr="00AF272B">
              <w:t xml:space="preserve"> focus on their construction type </w:t>
            </w:r>
          </w:p>
        </w:tc>
      </w:tr>
      <w:tr w:rsidR="00217DBB" w:rsidRPr="00AF272B" w14:paraId="5C088AAB"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250F4674" w14:textId="77777777" w:rsidR="00217DBB" w:rsidRPr="00AF272B" w:rsidRDefault="00217DBB" w:rsidP="00217DBB"/>
        </w:tc>
        <w:tc>
          <w:tcPr>
            <w:tcW w:w="1723" w:type="dxa"/>
          </w:tcPr>
          <w:p w14:paraId="560E84F7"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Usability testing Round 3</w:t>
            </w:r>
          </w:p>
        </w:tc>
        <w:tc>
          <w:tcPr>
            <w:tcW w:w="1309" w:type="dxa"/>
          </w:tcPr>
          <w:p w14:paraId="060FD3BF"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April 2015</w:t>
            </w:r>
          </w:p>
        </w:tc>
        <w:tc>
          <w:tcPr>
            <w:tcW w:w="1070" w:type="dxa"/>
          </w:tcPr>
          <w:p w14:paraId="283AFBF6"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12</w:t>
            </w:r>
          </w:p>
        </w:tc>
        <w:tc>
          <w:tcPr>
            <w:tcW w:w="1256" w:type="dxa"/>
          </w:tcPr>
          <w:p w14:paraId="79E0E155"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August 2014</w:t>
            </w:r>
          </w:p>
        </w:tc>
        <w:tc>
          <w:tcPr>
            <w:tcW w:w="3030" w:type="dxa"/>
          </w:tcPr>
          <w:p w14:paraId="43317955"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 xml:space="preserve">Investigated the utility of a search feature for looking up products.  </w:t>
            </w:r>
            <w:proofErr w:type="spellStart"/>
            <w:r w:rsidRPr="00AF272B">
              <w:t>Rs</w:t>
            </w:r>
            <w:proofErr w:type="spellEnd"/>
            <w:r w:rsidRPr="00AF272B">
              <w:t xml:space="preserve"> preferred “write-in” over search functionality, as tested.</w:t>
            </w:r>
          </w:p>
        </w:tc>
      </w:tr>
      <w:tr w:rsidR="00217DBB" w:rsidRPr="00AF272B" w14:paraId="42E5F694"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4EBCA553" w14:textId="77777777" w:rsidR="00217DBB" w:rsidRPr="00AF272B" w:rsidRDefault="00217DBB" w:rsidP="00217DBB"/>
        </w:tc>
        <w:tc>
          <w:tcPr>
            <w:tcW w:w="1723" w:type="dxa"/>
            <w:shd w:val="clear" w:color="auto" w:fill="F2F2F2" w:themeFill="background1" w:themeFillShade="F2"/>
          </w:tcPr>
          <w:p w14:paraId="361F4DE0"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Usability testing Round 4</w:t>
            </w:r>
          </w:p>
        </w:tc>
        <w:tc>
          <w:tcPr>
            <w:tcW w:w="1309" w:type="dxa"/>
            <w:shd w:val="clear" w:color="auto" w:fill="F2F2F2" w:themeFill="background1" w:themeFillShade="F2"/>
          </w:tcPr>
          <w:p w14:paraId="69FB535A"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November 2015</w:t>
            </w:r>
          </w:p>
        </w:tc>
        <w:tc>
          <w:tcPr>
            <w:tcW w:w="1070" w:type="dxa"/>
            <w:shd w:val="clear" w:color="auto" w:fill="F2F2F2" w:themeFill="background1" w:themeFillShade="F2"/>
          </w:tcPr>
          <w:p w14:paraId="69B9A0C0"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9</w:t>
            </w:r>
          </w:p>
        </w:tc>
        <w:tc>
          <w:tcPr>
            <w:tcW w:w="1256" w:type="dxa"/>
            <w:shd w:val="clear" w:color="auto" w:fill="F2F2F2" w:themeFill="background1" w:themeFillShade="F2"/>
          </w:tcPr>
          <w:p w14:paraId="1158C5A9"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August 2014</w:t>
            </w:r>
          </w:p>
        </w:tc>
        <w:tc>
          <w:tcPr>
            <w:tcW w:w="3030" w:type="dxa"/>
            <w:shd w:val="clear" w:color="auto" w:fill="F2F2F2" w:themeFill="background1" w:themeFillShade="F2"/>
          </w:tcPr>
          <w:p w14:paraId="15A3AB0E"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Tested orientation of MU NAPCS spreadsheets; decision to replicate Census Surveyor version with products listed in columns and locations in rows.</w:t>
            </w:r>
          </w:p>
        </w:tc>
      </w:tr>
      <w:tr w:rsidR="00217DBB" w:rsidRPr="00AF272B" w14:paraId="3FCA8C1E"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14:paraId="0B3151FA" w14:textId="77777777" w:rsidR="00217DBB" w:rsidRPr="00AF272B" w:rsidRDefault="00217DBB" w:rsidP="00217DBB"/>
        </w:tc>
        <w:tc>
          <w:tcPr>
            <w:tcW w:w="1723" w:type="dxa"/>
          </w:tcPr>
          <w:p w14:paraId="7E229EDC"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Field test of alternative NAPCS question designs and write-ins</w:t>
            </w:r>
          </w:p>
        </w:tc>
        <w:tc>
          <w:tcPr>
            <w:tcW w:w="1309" w:type="dxa"/>
          </w:tcPr>
          <w:p w14:paraId="11356339"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January – March 2017</w:t>
            </w:r>
          </w:p>
        </w:tc>
        <w:tc>
          <w:tcPr>
            <w:tcW w:w="1070" w:type="dxa"/>
          </w:tcPr>
          <w:p w14:paraId="482C3A94"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892</w:t>
            </w:r>
          </w:p>
        </w:tc>
        <w:tc>
          <w:tcPr>
            <w:tcW w:w="1256" w:type="dxa"/>
          </w:tcPr>
          <w:p w14:paraId="63D0146F" w14:textId="77777777" w:rsidR="00217DBB" w:rsidRPr="00DF50CB" w:rsidRDefault="00217DBB" w:rsidP="00217DBB">
            <w:pPr>
              <w:cnfStyle w:val="000000010000" w:firstRow="0" w:lastRow="0" w:firstColumn="0" w:lastColumn="0" w:oddVBand="0" w:evenVBand="0" w:oddHBand="0" w:evenHBand="1" w:firstRowFirstColumn="0" w:firstRowLastColumn="0" w:lastRowFirstColumn="0" w:lastRowLastColumn="0"/>
            </w:pPr>
            <w:r w:rsidRPr="00DF50CB">
              <w:t>December 2016</w:t>
            </w:r>
          </w:p>
        </w:tc>
        <w:tc>
          <w:tcPr>
            <w:tcW w:w="3030" w:type="dxa"/>
          </w:tcPr>
          <w:p w14:paraId="40ACC9E7"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This will be a field test using an experimental design to examine the effectiveness of two alternative designs and lay-out options for obtaining descriptions of products not explicitly provided in the product lists.   Results are expected in late March, and will be used to recommend a design strategy for “write-ins” in the final Economic Census instrument.</w:t>
            </w:r>
          </w:p>
        </w:tc>
      </w:tr>
      <w:tr w:rsidR="00217DBB" w:rsidRPr="00AF272B" w14:paraId="2099C08F" w14:textId="77777777" w:rsidTr="00217DBB">
        <w:trPr>
          <w:cnfStyle w:val="000000100000" w:firstRow="0" w:lastRow="0" w:firstColumn="0" w:lastColumn="0" w:oddVBand="0" w:evenVBand="0" w:oddHBand="1" w:evenHBand="0" w:firstRowFirstColumn="0" w:firstRowLastColumn="0" w:lastRowFirstColumn="0" w:lastRowLastColumn="0"/>
          <w:cantSplit/>
          <w:trHeight w:val="295"/>
        </w:trPr>
        <w:tc>
          <w:tcPr>
            <w:cnfStyle w:val="001000000000" w:firstRow="0" w:lastRow="0" w:firstColumn="1" w:lastColumn="0" w:oddVBand="0" w:evenVBand="0" w:oddHBand="0" w:evenHBand="0" w:firstRowFirstColumn="0" w:firstRowLastColumn="0" w:lastRowFirstColumn="0" w:lastRowLastColumn="0"/>
            <w:tcW w:w="2096" w:type="dxa"/>
            <w:shd w:val="clear" w:color="auto" w:fill="F2F2F2" w:themeFill="background1" w:themeFillShade="F2"/>
          </w:tcPr>
          <w:p w14:paraId="586E35A3" w14:textId="77777777" w:rsidR="00217DBB" w:rsidRPr="00AF272B" w:rsidRDefault="00217DBB" w:rsidP="00217DBB"/>
        </w:tc>
        <w:tc>
          <w:tcPr>
            <w:tcW w:w="1723" w:type="dxa"/>
            <w:shd w:val="clear" w:color="auto" w:fill="F2F2F2" w:themeFill="background1" w:themeFillShade="F2"/>
          </w:tcPr>
          <w:p w14:paraId="170C86C8"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c>
          <w:tcPr>
            <w:tcW w:w="1309" w:type="dxa"/>
            <w:shd w:val="clear" w:color="auto" w:fill="F2F2F2" w:themeFill="background1" w:themeFillShade="F2"/>
          </w:tcPr>
          <w:p w14:paraId="569B74F5"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c>
          <w:tcPr>
            <w:tcW w:w="1070" w:type="dxa"/>
            <w:shd w:val="clear" w:color="auto" w:fill="F2F2F2" w:themeFill="background1" w:themeFillShade="F2"/>
          </w:tcPr>
          <w:p w14:paraId="24E2ADBA"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c>
          <w:tcPr>
            <w:tcW w:w="1256" w:type="dxa"/>
            <w:shd w:val="clear" w:color="auto" w:fill="F2F2F2" w:themeFill="background1" w:themeFillShade="F2"/>
          </w:tcPr>
          <w:p w14:paraId="272F806E"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c>
          <w:tcPr>
            <w:tcW w:w="3030" w:type="dxa"/>
            <w:shd w:val="clear" w:color="auto" w:fill="F2F2F2" w:themeFill="background1" w:themeFillShade="F2"/>
          </w:tcPr>
          <w:p w14:paraId="645EB6DA"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r>
      <w:tr w:rsidR="00217DBB" w:rsidRPr="00AF272B" w14:paraId="6B7A77D8"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14:paraId="457CEEFD" w14:textId="77777777" w:rsidR="00217DBB" w:rsidRPr="00AF272B" w:rsidRDefault="00217DBB" w:rsidP="00217DBB">
            <w:pPr>
              <w:rPr>
                <w:i/>
              </w:rPr>
            </w:pPr>
            <w:r w:rsidRPr="00AF272B">
              <w:rPr>
                <w:i/>
              </w:rPr>
              <w:t>MU/SU Centurion Instrument</w:t>
            </w:r>
          </w:p>
        </w:tc>
        <w:tc>
          <w:tcPr>
            <w:tcW w:w="1723" w:type="dxa"/>
          </w:tcPr>
          <w:p w14:paraId="64E92CDC"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Usability testing for 2016 ASM/COS Round 1</w:t>
            </w:r>
          </w:p>
        </w:tc>
        <w:tc>
          <w:tcPr>
            <w:tcW w:w="1309" w:type="dxa"/>
          </w:tcPr>
          <w:p w14:paraId="606AE2AA"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July 2016</w:t>
            </w:r>
          </w:p>
        </w:tc>
        <w:tc>
          <w:tcPr>
            <w:tcW w:w="1070" w:type="dxa"/>
          </w:tcPr>
          <w:p w14:paraId="7F867F6D"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18</w:t>
            </w:r>
          </w:p>
        </w:tc>
        <w:tc>
          <w:tcPr>
            <w:tcW w:w="1256" w:type="dxa"/>
          </w:tcPr>
          <w:p w14:paraId="65D37979"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June 2016</w:t>
            </w:r>
          </w:p>
        </w:tc>
        <w:tc>
          <w:tcPr>
            <w:tcW w:w="3030" w:type="dxa"/>
          </w:tcPr>
          <w:p w14:paraId="7CE800FA"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Tested a limited-functioning prototype. The redesigned instrument performed well overall, but additional instructions and clearer labeling of buttons would be helpful to respondents</w:t>
            </w:r>
          </w:p>
        </w:tc>
      </w:tr>
      <w:tr w:rsidR="00217DBB" w:rsidRPr="00AF272B" w14:paraId="55396628"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14:paraId="54549194" w14:textId="77777777" w:rsidR="00217DBB" w:rsidRPr="00AF272B" w:rsidRDefault="00217DBB" w:rsidP="00217DBB"/>
        </w:tc>
        <w:tc>
          <w:tcPr>
            <w:tcW w:w="1723" w:type="dxa"/>
            <w:shd w:val="clear" w:color="auto" w:fill="F2F2F2" w:themeFill="background1" w:themeFillShade="F2"/>
          </w:tcPr>
          <w:p w14:paraId="4B61BB33"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Usability testing for 2016 ASM/COS Round 2</w:t>
            </w:r>
          </w:p>
        </w:tc>
        <w:tc>
          <w:tcPr>
            <w:tcW w:w="1309" w:type="dxa"/>
            <w:shd w:val="clear" w:color="auto" w:fill="F2F2F2" w:themeFill="background1" w:themeFillShade="F2"/>
          </w:tcPr>
          <w:p w14:paraId="7F576499"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October 2016</w:t>
            </w:r>
          </w:p>
        </w:tc>
        <w:tc>
          <w:tcPr>
            <w:tcW w:w="1070" w:type="dxa"/>
            <w:shd w:val="clear" w:color="auto" w:fill="F2F2F2" w:themeFill="background1" w:themeFillShade="F2"/>
          </w:tcPr>
          <w:p w14:paraId="56BB2FF3"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28</w:t>
            </w:r>
          </w:p>
        </w:tc>
        <w:tc>
          <w:tcPr>
            <w:tcW w:w="1256" w:type="dxa"/>
            <w:shd w:val="clear" w:color="auto" w:fill="F2F2F2" w:themeFill="background1" w:themeFillShade="F2"/>
          </w:tcPr>
          <w:p w14:paraId="662B6C8B"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June 2016</w:t>
            </w:r>
          </w:p>
        </w:tc>
        <w:tc>
          <w:tcPr>
            <w:tcW w:w="3030" w:type="dxa"/>
            <w:shd w:val="clear" w:color="auto" w:fill="F2F2F2" w:themeFill="background1" w:themeFillShade="F2"/>
          </w:tcPr>
          <w:p w14:paraId="2AF00696"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 xml:space="preserve">Tested a more fully functioning </w:t>
            </w:r>
            <w:proofErr w:type="spellStart"/>
            <w:r w:rsidRPr="00AF272B">
              <w:t>protoype</w:t>
            </w:r>
            <w:proofErr w:type="spellEnd"/>
            <w:r w:rsidRPr="00AF272B">
              <w:t>.  There were some features and functionality that were not clear to participants, e.g. how to update their locations.</w:t>
            </w:r>
          </w:p>
        </w:tc>
      </w:tr>
      <w:tr w:rsidR="00217DBB" w:rsidRPr="00AF272B" w14:paraId="0DA08830"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14:paraId="1610F92E" w14:textId="77777777" w:rsidR="00217DBB" w:rsidRPr="00AF272B" w:rsidRDefault="00217DBB" w:rsidP="00217DBB"/>
        </w:tc>
        <w:tc>
          <w:tcPr>
            <w:tcW w:w="1723" w:type="dxa"/>
          </w:tcPr>
          <w:p w14:paraId="24341BBA"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Usability testing for 2017 Economic Census</w:t>
            </w:r>
          </w:p>
        </w:tc>
        <w:tc>
          <w:tcPr>
            <w:tcW w:w="1309" w:type="dxa"/>
          </w:tcPr>
          <w:p w14:paraId="7E186304"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January – March 2017</w:t>
            </w:r>
          </w:p>
        </w:tc>
        <w:tc>
          <w:tcPr>
            <w:tcW w:w="1070" w:type="dxa"/>
          </w:tcPr>
          <w:p w14:paraId="089B965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TBD</w:t>
            </w:r>
          </w:p>
        </w:tc>
        <w:tc>
          <w:tcPr>
            <w:tcW w:w="1256" w:type="dxa"/>
          </w:tcPr>
          <w:p w14:paraId="53E3C4F3"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TBD</w:t>
            </w:r>
          </w:p>
        </w:tc>
        <w:tc>
          <w:tcPr>
            <w:tcW w:w="3030" w:type="dxa"/>
          </w:tcPr>
          <w:p w14:paraId="64077857"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This will be the first usability testing of complete fully functioning Centurion data collection instrument for 2017 EC.</w:t>
            </w:r>
          </w:p>
        </w:tc>
      </w:tr>
      <w:tr w:rsidR="00217DBB" w:rsidRPr="00AF272B" w14:paraId="519B50AF"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shd w:val="clear" w:color="auto" w:fill="F2F2F2" w:themeFill="background1" w:themeFillShade="F2"/>
          </w:tcPr>
          <w:p w14:paraId="62954019" w14:textId="77777777" w:rsidR="00217DBB" w:rsidRPr="00AF272B" w:rsidRDefault="00217DBB" w:rsidP="00217DBB"/>
        </w:tc>
        <w:tc>
          <w:tcPr>
            <w:tcW w:w="1723" w:type="dxa"/>
            <w:shd w:val="clear" w:color="auto" w:fill="F2F2F2" w:themeFill="background1" w:themeFillShade="F2"/>
          </w:tcPr>
          <w:p w14:paraId="12C8F4CC"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c>
          <w:tcPr>
            <w:tcW w:w="1309" w:type="dxa"/>
            <w:shd w:val="clear" w:color="auto" w:fill="F2F2F2" w:themeFill="background1" w:themeFillShade="F2"/>
          </w:tcPr>
          <w:p w14:paraId="4263F74C"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c>
          <w:tcPr>
            <w:tcW w:w="1070" w:type="dxa"/>
            <w:shd w:val="clear" w:color="auto" w:fill="F2F2F2" w:themeFill="background1" w:themeFillShade="F2"/>
          </w:tcPr>
          <w:p w14:paraId="1012F980"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c>
          <w:tcPr>
            <w:tcW w:w="1256" w:type="dxa"/>
            <w:shd w:val="clear" w:color="auto" w:fill="F2F2F2" w:themeFill="background1" w:themeFillShade="F2"/>
          </w:tcPr>
          <w:p w14:paraId="42FA63A4"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c>
          <w:tcPr>
            <w:tcW w:w="3030" w:type="dxa"/>
            <w:shd w:val="clear" w:color="auto" w:fill="F2F2F2" w:themeFill="background1" w:themeFillShade="F2"/>
          </w:tcPr>
          <w:p w14:paraId="1ACD50A4"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p>
        </w:tc>
      </w:tr>
      <w:tr w:rsidR="00217DBB" w:rsidRPr="00AF272B" w14:paraId="54573917"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14:paraId="4E7330C0" w14:textId="77777777" w:rsidR="00217DBB" w:rsidRPr="00AF272B" w:rsidRDefault="00217DBB" w:rsidP="00217DBB">
            <w:pPr>
              <w:rPr>
                <w:i/>
              </w:rPr>
            </w:pPr>
            <w:r w:rsidRPr="00AF272B">
              <w:rPr>
                <w:i/>
              </w:rPr>
              <w:t>Web Portal Design and Functionality (</w:t>
            </w:r>
            <w:proofErr w:type="spellStart"/>
            <w:r w:rsidRPr="00AF272B">
              <w:rPr>
                <w:i/>
              </w:rPr>
              <w:t>eCorrespondence</w:t>
            </w:r>
            <w:proofErr w:type="spellEnd"/>
            <w:r w:rsidRPr="00AF272B">
              <w:rPr>
                <w:i/>
              </w:rPr>
              <w:t>)</w:t>
            </w:r>
          </w:p>
        </w:tc>
        <w:tc>
          <w:tcPr>
            <w:tcW w:w="1723" w:type="dxa"/>
          </w:tcPr>
          <w:p w14:paraId="34221429"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Usability testing</w:t>
            </w:r>
          </w:p>
        </w:tc>
        <w:tc>
          <w:tcPr>
            <w:tcW w:w="1309" w:type="dxa"/>
          </w:tcPr>
          <w:p w14:paraId="1A6C3DA4"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July 2016</w:t>
            </w:r>
          </w:p>
        </w:tc>
        <w:tc>
          <w:tcPr>
            <w:tcW w:w="1070" w:type="dxa"/>
          </w:tcPr>
          <w:p w14:paraId="458580C3"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18</w:t>
            </w:r>
          </w:p>
        </w:tc>
        <w:tc>
          <w:tcPr>
            <w:tcW w:w="1256" w:type="dxa"/>
          </w:tcPr>
          <w:p w14:paraId="2DA99DE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June 2016</w:t>
            </w:r>
          </w:p>
        </w:tc>
        <w:tc>
          <w:tcPr>
            <w:tcW w:w="3030" w:type="dxa"/>
          </w:tcPr>
          <w:p w14:paraId="5F1C1B7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r w:rsidRPr="00AF272B">
              <w:t>Joint with ASM/COS instrument usability testing.  Early results did not show major difficulties with using the new Portal.</w:t>
            </w:r>
          </w:p>
        </w:tc>
      </w:tr>
      <w:tr w:rsidR="00217DBB" w:rsidRPr="00AF272B" w14:paraId="7E682FFF"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14:paraId="3136076A" w14:textId="77777777" w:rsidR="00217DBB" w:rsidRPr="00AF272B" w:rsidRDefault="00217DBB" w:rsidP="00217DBB"/>
        </w:tc>
        <w:tc>
          <w:tcPr>
            <w:tcW w:w="1723" w:type="dxa"/>
            <w:shd w:val="clear" w:color="auto" w:fill="F2F2F2" w:themeFill="background1" w:themeFillShade="F2"/>
          </w:tcPr>
          <w:p w14:paraId="00C7421B"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Usability testing</w:t>
            </w:r>
          </w:p>
        </w:tc>
        <w:tc>
          <w:tcPr>
            <w:tcW w:w="1309" w:type="dxa"/>
            <w:shd w:val="clear" w:color="auto" w:fill="F2F2F2" w:themeFill="background1" w:themeFillShade="F2"/>
          </w:tcPr>
          <w:p w14:paraId="773FBC0E"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October 2016</w:t>
            </w:r>
          </w:p>
        </w:tc>
        <w:tc>
          <w:tcPr>
            <w:tcW w:w="1070" w:type="dxa"/>
            <w:shd w:val="clear" w:color="auto" w:fill="F2F2F2" w:themeFill="background1" w:themeFillShade="F2"/>
          </w:tcPr>
          <w:p w14:paraId="631E5268"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19</w:t>
            </w:r>
          </w:p>
        </w:tc>
        <w:tc>
          <w:tcPr>
            <w:tcW w:w="1256" w:type="dxa"/>
            <w:shd w:val="clear" w:color="auto" w:fill="F2F2F2" w:themeFill="background1" w:themeFillShade="F2"/>
          </w:tcPr>
          <w:p w14:paraId="1D4C45C3"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September 2016</w:t>
            </w:r>
          </w:p>
        </w:tc>
        <w:tc>
          <w:tcPr>
            <w:tcW w:w="3030" w:type="dxa"/>
            <w:shd w:val="clear" w:color="auto" w:fill="F2F2F2" w:themeFill="background1" w:themeFillShade="F2"/>
          </w:tcPr>
          <w:p w14:paraId="121D057C"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Overall, the account creation process and linking a survey to that account was not problematic.</w:t>
            </w:r>
          </w:p>
        </w:tc>
      </w:tr>
      <w:tr w:rsidR="00217DBB" w:rsidRPr="00AF272B" w14:paraId="1F26A184" w14:textId="77777777" w:rsidTr="00217DB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tcPr>
          <w:p w14:paraId="7E06548D" w14:textId="77777777" w:rsidR="00217DBB" w:rsidRPr="00AF272B" w:rsidRDefault="00217DBB" w:rsidP="00217DBB"/>
        </w:tc>
        <w:tc>
          <w:tcPr>
            <w:tcW w:w="1723" w:type="dxa"/>
          </w:tcPr>
          <w:p w14:paraId="53E69C6F"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309" w:type="dxa"/>
          </w:tcPr>
          <w:p w14:paraId="510C27DD"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070" w:type="dxa"/>
          </w:tcPr>
          <w:p w14:paraId="5A622572"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1256" w:type="dxa"/>
          </w:tcPr>
          <w:p w14:paraId="0243704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c>
          <w:tcPr>
            <w:tcW w:w="3030" w:type="dxa"/>
          </w:tcPr>
          <w:p w14:paraId="7037939B" w14:textId="77777777" w:rsidR="00217DBB" w:rsidRPr="00AF272B" w:rsidRDefault="00217DBB" w:rsidP="00217DBB">
            <w:pPr>
              <w:cnfStyle w:val="000000010000" w:firstRow="0" w:lastRow="0" w:firstColumn="0" w:lastColumn="0" w:oddVBand="0" w:evenVBand="0" w:oddHBand="0" w:evenHBand="1" w:firstRowFirstColumn="0" w:firstRowLastColumn="0" w:lastRowFirstColumn="0" w:lastRowLastColumn="0"/>
            </w:pPr>
          </w:p>
        </w:tc>
      </w:tr>
      <w:tr w:rsidR="00217DBB" w:rsidRPr="00AF272B" w14:paraId="5A291884" w14:textId="77777777" w:rsidTr="00217D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shd w:val="clear" w:color="auto" w:fill="F2F2F2" w:themeFill="background1" w:themeFillShade="F2"/>
          </w:tcPr>
          <w:p w14:paraId="280F0744" w14:textId="77777777" w:rsidR="00217DBB" w:rsidRPr="00AF272B" w:rsidRDefault="00217DBB" w:rsidP="00217DBB">
            <w:pPr>
              <w:rPr>
                <w:i/>
              </w:rPr>
            </w:pPr>
            <w:r w:rsidRPr="00AF272B">
              <w:rPr>
                <w:i/>
              </w:rPr>
              <w:t>Worksheet / Question Preview</w:t>
            </w:r>
          </w:p>
        </w:tc>
        <w:tc>
          <w:tcPr>
            <w:tcW w:w="1723" w:type="dxa"/>
            <w:shd w:val="clear" w:color="auto" w:fill="F2F2F2" w:themeFill="background1" w:themeFillShade="F2"/>
          </w:tcPr>
          <w:p w14:paraId="63968C06"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2015 COS/ASM Worksheet Debriefings</w:t>
            </w:r>
          </w:p>
        </w:tc>
        <w:tc>
          <w:tcPr>
            <w:tcW w:w="1309" w:type="dxa"/>
            <w:shd w:val="clear" w:color="auto" w:fill="F2F2F2" w:themeFill="background1" w:themeFillShade="F2"/>
          </w:tcPr>
          <w:p w14:paraId="2186B798"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February – March 2016</w:t>
            </w:r>
          </w:p>
        </w:tc>
        <w:tc>
          <w:tcPr>
            <w:tcW w:w="1070" w:type="dxa"/>
            <w:shd w:val="clear" w:color="auto" w:fill="F2F2F2" w:themeFill="background1" w:themeFillShade="F2"/>
          </w:tcPr>
          <w:p w14:paraId="483E0DE5"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25</w:t>
            </w:r>
          </w:p>
        </w:tc>
        <w:tc>
          <w:tcPr>
            <w:tcW w:w="1256" w:type="dxa"/>
            <w:shd w:val="clear" w:color="auto" w:fill="F2F2F2" w:themeFill="background1" w:themeFillShade="F2"/>
          </w:tcPr>
          <w:p w14:paraId="0FA7F591"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January 2016</w:t>
            </w:r>
          </w:p>
        </w:tc>
        <w:tc>
          <w:tcPr>
            <w:tcW w:w="3030" w:type="dxa"/>
            <w:shd w:val="clear" w:color="auto" w:fill="F2F2F2" w:themeFill="background1" w:themeFillShade="F2"/>
          </w:tcPr>
          <w:p w14:paraId="39847A51" w14:textId="77777777" w:rsidR="00217DBB" w:rsidRPr="00AF272B" w:rsidRDefault="00217DBB" w:rsidP="00217DBB">
            <w:pPr>
              <w:cnfStyle w:val="000000100000" w:firstRow="0" w:lastRow="0" w:firstColumn="0" w:lastColumn="0" w:oddVBand="0" w:evenVBand="0" w:oddHBand="1" w:evenHBand="0" w:firstRowFirstColumn="0" w:firstRowLastColumn="0" w:lastRowFirstColumn="0" w:lastRowLastColumn="0"/>
            </w:pPr>
            <w:r w:rsidRPr="00AF272B">
              <w:t>Evaluated use of form/PDFs in current systems, and obtained feedback on worksheet prototype:</w:t>
            </w:r>
          </w:p>
          <w:p w14:paraId="2A554992" w14:textId="77777777" w:rsidR="00217DBB" w:rsidRPr="00AF272B" w:rsidRDefault="00217DBB" w:rsidP="00217DBB">
            <w:pPr>
              <w:widowControl w:val="0"/>
              <w:numPr>
                <w:ilvl w:val="0"/>
                <w:numId w:val="14"/>
              </w:numPr>
              <w:cnfStyle w:val="000000100000" w:firstRow="0" w:lastRow="0" w:firstColumn="0" w:lastColumn="0" w:oddVBand="0" w:evenVBand="0" w:oddHBand="1" w:evenHBand="0" w:firstRowFirstColumn="0" w:firstRowLastColumn="0" w:lastRowFirstColumn="0" w:lastRowLastColumn="0"/>
            </w:pPr>
            <w:r w:rsidRPr="00AF272B">
              <w:t>Form/PDFs play critical role in data collection</w:t>
            </w:r>
          </w:p>
          <w:p w14:paraId="24F43F35" w14:textId="77777777" w:rsidR="00217DBB" w:rsidRPr="00AF272B" w:rsidRDefault="00217DBB" w:rsidP="00217DBB">
            <w:pPr>
              <w:widowControl w:val="0"/>
              <w:numPr>
                <w:ilvl w:val="0"/>
                <w:numId w:val="14"/>
              </w:numPr>
              <w:cnfStyle w:val="000000100000" w:firstRow="0" w:lastRow="0" w:firstColumn="0" w:lastColumn="0" w:oddVBand="0" w:evenVBand="0" w:oddHBand="1" w:evenHBand="0" w:firstRowFirstColumn="0" w:firstRowLastColumn="0" w:lastRowFirstColumn="0" w:lastRowLastColumn="0"/>
            </w:pPr>
            <w:r w:rsidRPr="00AF272B">
              <w:t xml:space="preserve">Most </w:t>
            </w:r>
            <w:proofErr w:type="spellStart"/>
            <w:r w:rsidRPr="00AF272B">
              <w:t>Rs</w:t>
            </w:r>
            <w:proofErr w:type="spellEnd"/>
            <w:r w:rsidRPr="00AF272B">
              <w:t xml:space="preserve"> used them (or would have, had they known about them)</w:t>
            </w:r>
          </w:p>
          <w:p w14:paraId="49298D93" w14:textId="77777777" w:rsidR="00217DBB" w:rsidRPr="00AF272B" w:rsidRDefault="00217DBB" w:rsidP="00217DBB">
            <w:pPr>
              <w:widowControl w:val="0"/>
              <w:numPr>
                <w:ilvl w:val="0"/>
                <w:numId w:val="14"/>
              </w:numPr>
              <w:cnfStyle w:val="000000100000" w:firstRow="0" w:lastRow="0" w:firstColumn="0" w:lastColumn="0" w:oddVBand="0" w:evenVBand="0" w:oddHBand="1" w:evenHBand="0" w:firstRowFirstColumn="0" w:firstRowLastColumn="0" w:lastRowFirstColumn="0" w:lastRowLastColumn="0"/>
            </w:pPr>
            <w:r w:rsidRPr="00AF272B">
              <w:t>Positive feedback on prototype worksheet</w:t>
            </w:r>
          </w:p>
        </w:tc>
      </w:tr>
    </w:tbl>
    <w:p w14:paraId="759E712B" w14:textId="77777777" w:rsidR="007A0763" w:rsidRDefault="007A0763" w:rsidP="0082541D">
      <w:pPr>
        <w:ind w:left="720"/>
      </w:pPr>
    </w:p>
    <w:p w14:paraId="5A686A11" w14:textId="77777777" w:rsidR="007A0763" w:rsidRDefault="007A0763">
      <w:pPr>
        <w:pStyle w:val="BodyTextIndent"/>
      </w:pPr>
    </w:p>
    <w:p w14:paraId="72B9FA4B" w14:textId="297B0F9A" w:rsidR="00631E34" w:rsidRDefault="00E42E51" w:rsidP="004C36CD">
      <w:pPr>
        <w:pStyle w:val="BodyTextIndent"/>
      </w:pPr>
      <w:r w:rsidRPr="004C36CD">
        <w:t>Previous economic censuses</w:t>
      </w:r>
      <w:r w:rsidR="007A0763">
        <w:t xml:space="preserve"> of island areas</w:t>
      </w:r>
      <w:r w:rsidRPr="004C36CD">
        <w:t xml:space="preserve"> also have been the subject of evaluation studies that have examined methodology, conceptual issues, and related statistical questions.  Cognitive te</w:t>
      </w:r>
      <w:r w:rsidR="00A37CA0" w:rsidRPr="0095043D">
        <w:t xml:space="preserve">sting was conducted for the </w:t>
      </w:r>
      <w:r w:rsidR="00327441" w:rsidRPr="0095043D">
        <w:t>2017</w:t>
      </w:r>
      <w:r w:rsidRPr="0095043D">
        <w:t xml:space="preserve"> </w:t>
      </w:r>
      <w:r w:rsidR="003411A0" w:rsidRPr="0095043D">
        <w:t xml:space="preserve">questionnaires </w:t>
      </w:r>
      <w:r w:rsidRPr="0095043D">
        <w:t xml:space="preserve">intended for use in </w:t>
      </w:r>
      <w:r w:rsidR="00A37CA0" w:rsidRPr="0095043D">
        <w:t xml:space="preserve">Guam, </w:t>
      </w:r>
      <w:r w:rsidRPr="0095043D">
        <w:t xml:space="preserve">the </w:t>
      </w:r>
      <w:r w:rsidR="00F479DA" w:rsidRPr="0095043D">
        <w:t>Commonwealth</w:t>
      </w:r>
      <w:r w:rsidR="00EB62B7" w:rsidRPr="0095043D">
        <w:t xml:space="preserve"> of the Northern Mariana Islands</w:t>
      </w:r>
      <w:r w:rsidR="00A37CA0" w:rsidRPr="0095043D">
        <w:t>, and Puerto Rico</w:t>
      </w:r>
      <w:r w:rsidRPr="0095043D">
        <w:t xml:space="preserve">.  Approximately </w:t>
      </w:r>
      <w:r w:rsidR="00FF35FA" w:rsidRPr="0095043D">
        <w:t>50</w:t>
      </w:r>
      <w:r w:rsidRPr="0095043D">
        <w:t xml:space="preserve"> companies were interviewed</w:t>
      </w:r>
      <w:r w:rsidR="00F464C7" w:rsidRPr="0095043D">
        <w:t>,</w:t>
      </w:r>
      <w:r w:rsidRPr="0095043D">
        <w:t xml:space="preserve"> and the inform</w:t>
      </w:r>
      <w:r w:rsidR="003E16B7" w:rsidRPr="0095043D">
        <w:t xml:space="preserve">ation </w:t>
      </w:r>
      <w:r w:rsidR="003411A0" w:rsidRPr="0095043D">
        <w:t xml:space="preserve">obtained </w:t>
      </w:r>
      <w:r w:rsidR="003E16B7" w:rsidRPr="0095043D">
        <w:t>from the test</w:t>
      </w:r>
      <w:r w:rsidR="00707271" w:rsidRPr="0095043D">
        <w:t>ing</w:t>
      </w:r>
      <w:r w:rsidR="003E16B7" w:rsidRPr="0095043D">
        <w:t xml:space="preserve"> </w:t>
      </w:r>
      <w:r w:rsidR="00F479DA" w:rsidRPr="0095043D">
        <w:t>influenced</w:t>
      </w:r>
      <w:r w:rsidRPr="0095043D">
        <w:t xml:space="preserve"> the </w:t>
      </w:r>
      <w:r w:rsidR="00F479DA" w:rsidRPr="0095043D">
        <w:t xml:space="preserve">questions asked on the </w:t>
      </w:r>
      <w:r w:rsidR="003411A0" w:rsidRPr="0095043D">
        <w:t>collection instruments</w:t>
      </w:r>
      <w:r w:rsidRPr="0095043D">
        <w:t>.  Additionally, substantial testing of content has been done by the stateside economic census.  As a result,</w:t>
      </w:r>
      <w:r w:rsidR="0080611D" w:rsidRPr="0095043D">
        <w:t xml:space="preserve"> the procedures used by the </w:t>
      </w:r>
      <w:r w:rsidR="00327441" w:rsidRPr="0095043D">
        <w:t>2017</w:t>
      </w:r>
      <w:r w:rsidRPr="0095043D">
        <w:t xml:space="preserve"> </w:t>
      </w:r>
      <w:r w:rsidR="000D506F">
        <w:t>Economic Census</w:t>
      </w:r>
      <w:r w:rsidR="003411A0" w:rsidRPr="004C36CD">
        <w:t xml:space="preserve"> of </w:t>
      </w:r>
      <w:r w:rsidR="000D506F">
        <w:t>Island Areas</w:t>
      </w:r>
      <w:r w:rsidRPr="004C36CD">
        <w:t xml:space="preserve"> are </w:t>
      </w:r>
      <w:r w:rsidRPr="0095043D">
        <w:t>well tested.</w:t>
      </w:r>
    </w:p>
    <w:p w14:paraId="71125637" w14:textId="678282ED" w:rsidR="00B8147D" w:rsidRDefault="00B8147D" w:rsidP="004C36CD">
      <w:pPr>
        <w:pStyle w:val="BodyTextIndent"/>
      </w:pPr>
    </w:p>
    <w:p w14:paraId="14E59D2F" w14:textId="47CBDACE" w:rsidR="00B8147D" w:rsidRDefault="00B8147D" w:rsidP="004C36CD">
      <w:pPr>
        <w:pStyle w:val="BodyTextIndent"/>
      </w:pPr>
    </w:p>
    <w:p w14:paraId="7295FCA8" w14:textId="7F0AA17A" w:rsidR="00B8147D" w:rsidRDefault="00B8147D" w:rsidP="004C36CD">
      <w:pPr>
        <w:pStyle w:val="BodyTextIndent"/>
      </w:pPr>
    </w:p>
    <w:p w14:paraId="55E1CD9D" w14:textId="5299E975" w:rsidR="00B8147D" w:rsidRDefault="00B8147D" w:rsidP="004C36CD">
      <w:pPr>
        <w:pStyle w:val="BodyTextIndent"/>
      </w:pPr>
    </w:p>
    <w:p w14:paraId="759E1D25" w14:textId="4DD10702" w:rsidR="00B8147D" w:rsidRDefault="00B8147D" w:rsidP="004C36CD">
      <w:pPr>
        <w:pStyle w:val="BodyTextIndent"/>
      </w:pPr>
    </w:p>
    <w:p w14:paraId="6706A739" w14:textId="054A2B33" w:rsidR="00B8147D" w:rsidRDefault="00B8147D" w:rsidP="004C36CD">
      <w:pPr>
        <w:pStyle w:val="BodyTextIndent"/>
      </w:pPr>
    </w:p>
    <w:p w14:paraId="0967EFD0" w14:textId="7367BF73" w:rsidR="00B8147D" w:rsidRDefault="00B8147D" w:rsidP="004C36CD">
      <w:pPr>
        <w:pStyle w:val="BodyTextIndent"/>
      </w:pPr>
    </w:p>
    <w:p w14:paraId="6E288427" w14:textId="2362C33B" w:rsidR="00B8147D" w:rsidRDefault="00B8147D" w:rsidP="004C36CD">
      <w:pPr>
        <w:pStyle w:val="BodyTextIndent"/>
      </w:pPr>
    </w:p>
    <w:p w14:paraId="1EE87A0A" w14:textId="579E8FAC" w:rsidR="00B8147D" w:rsidRDefault="00B8147D" w:rsidP="004C36CD">
      <w:pPr>
        <w:pStyle w:val="BodyTextIndent"/>
      </w:pPr>
    </w:p>
    <w:p w14:paraId="78FAA29B" w14:textId="423D0E71" w:rsidR="00B8147D" w:rsidRDefault="00B8147D" w:rsidP="004C36CD">
      <w:pPr>
        <w:pStyle w:val="BodyTextIndent"/>
      </w:pPr>
    </w:p>
    <w:p w14:paraId="3B5FE1E3" w14:textId="68699D53" w:rsidR="00B8147D" w:rsidRDefault="00B8147D" w:rsidP="004C36CD">
      <w:pPr>
        <w:pStyle w:val="BodyTextIndent"/>
      </w:pPr>
    </w:p>
    <w:p w14:paraId="36C56D84" w14:textId="4F073E2A" w:rsidR="00B8147D" w:rsidRDefault="00B8147D" w:rsidP="004C36CD">
      <w:pPr>
        <w:pStyle w:val="BodyTextIndent"/>
      </w:pPr>
    </w:p>
    <w:p w14:paraId="63E8A999" w14:textId="77777777" w:rsidR="00B8147D" w:rsidRPr="0095043D" w:rsidRDefault="00B8147D" w:rsidP="004C36CD">
      <w:pPr>
        <w:pStyle w:val="BodyTextIndent"/>
      </w:pPr>
    </w:p>
    <w:p w14:paraId="63C41391" w14:textId="77777777" w:rsidR="00631E34" w:rsidRPr="0095043D" w:rsidRDefault="00631E34">
      <w:pPr>
        <w:tabs>
          <w:tab w:val="left" w:pos="-1440"/>
          <w:tab w:val="left" w:pos="-720"/>
          <w:tab w:val="left" w:pos="0"/>
          <w:tab w:val="right" w:pos="374"/>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742F997C" w14:textId="77777777" w:rsidR="00631E34" w:rsidRPr="00490341" w:rsidRDefault="00E42E51">
      <w:pPr>
        <w:pStyle w:val="Footer"/>
        <w:widowControl/>
        <w:tabs>
          <w:tab w:val="clear" w:pos="4320"/>
          <w:tab w:val="clear" w:pos="8640"/>
          <w:tab w:val="left" w:pos="-1440"/>
          <w:tab w:val="left" w:pos="-720"/>
          <w:tab w:val="left" w:pos="0"/>
          <w:tab w:val="right" w:pos="374"/>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rPr>
          <w:rFonts w:ascii="Times New Roman" w:hAnsi="Times New Roman"/>
          <w:b/>
        </w:rPr>
      </w:pPr>
      <w:r w:rsidRPr="00490341">
        <w:rPr>
          <w:rFonts w:ascii="Times New Roman" w:hAnsi="Times New Roman"/>
          <w:b/>
        </w:rPr>
        <w:t xml:space="preserve"> 5.</w:t>
      </w:r>
      <w:r w:rsidRPr="00490341">
        <w:rPr>
          <w:rFonts w:ascii="Times New Roman" w:hAnsi="Times New Roman"/>
          <w:b/>
        </w:rPr>
        <w:tab/>
      </w:r>
      <w:r w:rsidRPr="00490341">
        <w:rPr>
          <w:rFonts w:ascii="Times New Roman" w:hAnsi="Times New Roman"/>
          <w:b/>
        </w:rPr>
        <w:tab/>
        <w:t>Contacts for Statistical Aspects and Data Collection</w:t>
      </w:r>
    </w:p>
    <w:p w14:paraId="612014E5" w14:textId="77777777" w:rsidR="00631E34" w:rsidRPr="0095043D" w:rsidRDefault="00631E34">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pPr>
    </w:p>
    <w:p w14:paraId="26CE6FEE" w14:textId="38B24206" w:rsidR="00F61205" w:rsidRPr="0095043D" w:rsidRDefault="0038476D">
      <w:pPr>
        <w:pStyle w:val="BodyTextIndent2"/>
        <w:tabs>
          <w:tab w:val="clear" w:pos="720"/>
          <w:tab w:val="left" w:pos="540"/>
        </w:tabs>
        <w:ind w:left="540"/>
      </w:pPr>
      <w:r w:rsidRPr="0095043D">
        <w:tab/>
      </w:r>
      <w:r w:rsidRPr="0095043D">
        <w:tab/>
      </w:r>
      <w:r w:rsidRPr="0095043D">
        <w:tab/>
      </w:r>
      <w:r w:rsidR="00016181">
        <w:t>The table below lists the names of the individuals responsible for the collection, analysis, and statistical methodology aspects of the 2017 Economic Census of Island Areas.</w:t>
      </w:r>
    </w:p>
    <w:p w14:paraId="58A8D606" w14:textId="77777777" w:rsidR="00F61205" w:rsidRPr="0095043D" w:rsidRDefault="00F61205">
      <w:pPr>
        <w:pStyle w:val="BodyTextIndent2"/>
        <w:tabs>
          <w:tab w:val="clear" w:pos="720"/>
          <w:tab w:val="left" w:pos="540"/>
        </w:tabs>
        <w:ind w:left="540"/>
      </w:pPr>
    </w:p>
    <w:p w14:paraId="602798D7" w14:textId="77777777" w:rsidR="00F61205" w:rsidRPr="0082541D" w:rsidRDefault="00F61205" w:rsidP="00F61205">
      <w:pPr>
        <w:widowControl w:val="0"/>
        <w:ind w:firstLine="360"/>
        <w:rPr>
          <w:b/>
          <w:snapToGrid w:val="0"/>
          <w:sz w:val="22"/>
          <w:szCs w:val="22"/>
        </w:rPr>
      </w:pPr>
      <w:r w:rsidRPr="0082541D">
        <w:rPr>
          <w:b/>
          <w:snapToGrid w:val="0"/>
          <w:sz w:val="22"/>
          <w:szCs w:val="22"/>
        </w:rPr>
        <w:t>Table 5: Census Bureau Contacts for the 2017 Economic Census</w:t>
      </w:r>
    </w:p>
    <w:tbl>
      <w:tblPr>
        <w:tblStyle w:val="TableGrid"/>
        <w:tblW w:w="9180" w:type="dxa"/>
        <w:tblInd w:w="468" w:type="dxa"/>
        <w:tblLook w:val="04A0" w:firstRow="1" w:lastRow="0" w:firstColumn="1" w:lastColumn="0" w:noHBand="0" w:noVBand="1"/>
      </w:tblPr>
      <w:tblGrid>
        <w:gridCol w:w="1938"/>
        <w:gridCol w:w="3738"/>
        <w:gridCol w:w="1405"/>
        <w:gridCol w:w="2099"/>
      </w:tblGrid>
      <w:tr w:rsidR="00F61205" w:rsidRPr="0095043D" w14:paraId="0DDEDC25" w14:textId="77777777" w:rsidTr="00A60184">
        <w:tc>
          <w:tcPr>
            <w:tcW w:w="1938" w:type="dxa"/>
            <w:tcBorders>
              <w:bottom w:val="double" w:sz="4" w:space="0" w:color="auto"/>
            </w:tcBorders>
            <w:shd w:val="clear" w:color="auto" w:fill="F2F2F2" w:themeFill="background1" w:themeFillShade="F2"/>
          </w:tcPr>
          <w:p w14:paraId="6A1F6930" w14:textId="77777777" w:rsidR="00F61205" w:rsidRPr="0082541D" w:rsidRDefault="00F61205" w:rsidP="00F61205">
            <w:pPr>
              <w:widowControl w:val="0"/>
              <w:jc w:val="center"/>
              <w:rPr>
                <w:b/>
                <w:snapToGrid w:val="0"/>
                <w:sz w:val="20"/>
                <w:szCs w:val="20"/>
              </w:rPr>
            </w:pPr>
            <w:r w:rsidRPr="0082541D">
              <w:rPr>
                <w:b/>
                <w:snapToGrid w:val="0"/>
                <w:sz w:val="20"/>
                <w:szCs w:val="20"/>
              </w:rPr>
              <w:t>Contact</w:t>
            </w:r>
          </w:p>
        </w:tc>
        <w:tc>
          <w:tcPr>
            <w:tcW w:w="3738" w:type="dxa"/>
            <w:tcBorders>
              <w:bottom w:val="double" w:sz="4" w:space="0" w:color="auto"/>
            </w:tcBorders>
            <w:shd w:val="clear" w:color="auto" w:fill="F2F2F2" w:themeFill="background1" w:themeFillShade="F2"/>
          </w:tcPr>
          <w:p w14:paraId="521344A8" w14:textId="77777777" w:rsidR="00F61205" w:rsidRPr="0082541D" w:rsidRDefault="00F61205" w:rsidP="00F61205">
            <w:pPr>
              <w:widowControl w:val="0"/>
              <w:jc w:val="center"/>
              <w:rPr>
                <w:b/>
                <w:snapToGrid w:val="0"/>
                <w:sz w:val="20"/>
                <w:szCs w:val="20"/>
              </w:rPr>
            </w:pPr>
            <w:r w:rsidRPr="0082541D">
              <w:rPr>
                <w:b/>
                <w:snapToGrid w:val="0"/>
                <w:sz w:val="20"/>
                <w:szCs w:val="20"/>
              </w:rPr>
              <w:t>Position</w:t>
            </w:r>
          </w:p>
        </w:tc>
        <w:tc>
          <w:tcPr>
            <w:tcW w:w="1405" w:type="dxa"/>
            <w:tcBorders>
              <w:bottom w:val="double" w:sz="4" w:space="0" w:color="auto"/>
            </w:tcBorders>
            <w:shd w:val="clear" w:color="auto" w:fill="F2F2F2" w:themeFill="background1" w:themeFillShade="F2"/>
          </w:tcPr>
          <w:p w14:paraId="483DC24A" w14:textId="77777777" w:rsidR="00F61205" w:rsidRPr="0082541D" w:rsidRDefault="00F61205" w:rsidP="00F61205">
            <w:pPr>
              <w:widowControl w:val="0"/>
              <w:jc w:val="center"/>
              <w:rPr>
                <w:b/>
                <w:snapToGrid w:val="0"/>
                <w:sz w:val="20"/>
                <w:szCs w:val="20"/>
              </w:rPr>
            </w:pPr>
            <w:r w:rsidRPr="0082541D">
              <w:rPr>
                <w:b/>
                <w:snapToGrid w:val="0"/>
                <w:sz w:val="20"/>
                <w:szCs w:val="20"/>
              </w:rPr>
              <w:t>Phone</w:t>
            </w:r>
          </w:p>
        </w:tc>
        <w:tc>
          <w:tcPr>
            <w:tcW w:w="2099" w:type="dxa"/>
            <w:tcBorders>
              <w:bottom w:val="double" w:sz="4" w:space="0" w:color="auto"/>
            </w:tcBorders>
            <w:shd w:val="clear" w:color="auto" w:fill="F2F2F2" w:themeFill="background1" w:themeFillShade="F2"/>
          </w:tcPr>
          <w:p w14:paraId="045361E2" w14:textId="77777777" w:rsidR="00F61205" w:rsidRPr="0082541D" w:rsidRDefault="00F61205" w:rsidP="00F61205">
            <w:pPr>
              <w:widowControl w:val="0"/>
              <w:jc w:val="center"/>
              <w:rPr>
                <w:b/>
                <w:snapToGrid w:val="0"/>
                <w:sz w:val="20"/>
                <w:szCs w:val="20"/>
              </w:rPr>
            </w:pPr>
            <w:r w:rsidRPr="0082541D">
              <w:rPr>
                <w:b/>
                <w:snapToGrid w:val="0"/>
                <w:sz w:val="20"/>
                <w:szCs w:val="20"/>
              </w:rPr>
              <w:t>Responsibility</w:t>
            </w:r>
          </w:p>
        </w:tc>
      </w:tr>
      <w:tr w:rsidR="00F61205" w:rsidRPr="0095043D" w14:paraId="013B3217" w14:textId="77777777" w:rsidTr="00A60184">
        <w:tc>
          <w:tcPr>
            <w:tcW w:w="1938" w:type="dxa"/>
            <w:tcBorders>
              <w:top w:val="double" w:sz="4" w:space="0" w:color="auto"/>
            </w:tcBorders>
          </w:tcPr>
          <w:p w14:paraId="39B01E08" w14:textId="77777777" w:rsidR="00F61205" w:rsidRPr="0082541D" w:rsidRDefault="00F61205" w:rsidP="00F61205">
            <w:pPr>
              <w:widowControl w:val="0"/>
              <w:rPr>
                <w:snapToGrid w:val="0"/>
                <w:sz w:val="20"/>
                <w:szCs w:val="20"/>
              </w:rPr>
            </w:pPr>
            <w:r w:rsidRPr="0082541D">
              <w:rPr>
                <w:snapToGrid w:val="0"/>
                <w:sz w:val="20"/>
                <w:szCs w:val="20"/>
              </w:rPr>
              <w:t>William C. Davie, Jr</w:t>
            </w:r>
          </w:p>
        </w:tc>
        <w:tc>
          <w:tcPr>
            <w:tcW w:w="3738" w:type="dxa"/>
            <w:tcBorders>
              <w:top w:val="double" w:sz="4" w:space="0" w:color="auto"/>
            </w:tcBorders>
          </w:tcPr>
          <w:p w14:paraId="347CE14A" w14:textId="77777777" w:rsidR="00F61205" w:rsidRPr="0082541D" w:rsidRDefault="00F61205" w:rsidP="00F61205">
            <w:pPr>
              <w:widowControl w:val="0"/>
              <w:rPr>
                <w:snapToGrid w:val="0"/>
                <w:sz w:val="20"/>
                <w:szCs w:val="20"/>
              </w:rPr>
            </w:pPr>
            <w:r w:rsidRPr="0082541D">
              <w:rPr>
                <w:snapToGrid w:val="0"/>
                <w:sz w:val="20"/>
                <w:szCs w:val="20"/>
              </w:rPr>
              <w:t>Methodology Director for the Business Register, Economic Census &amp; Related Surveys, Economic Statistical Methods Division</w:t>
            </w:r>
          </w:p>
        </w:tc>
        <w:tc>
          <w:tcPr>
            <w:tcW w:w="1405" w:type="dxa"/>
            <w:tcBorders>
              <w:top w:val="double" w:sz="4" w:space="0" w:color="auto"/>
            </w:tcBorders>
          </w:tcPr>
          <w:p w14:paraId="35DB9931" w14:textId="77777777" w:rsidR="00F61205" w:rsidRPr="0082541D" w:rsidRDefault="00F61205" w:rsidP="00F61205">
            <w:pPr>
              <w:widowControl w:val="0"/>
              <w:rPr>
                <w:snapToGrid w:val="0"/>
                <w:sz w:val="20"/>
                <w:szCs w:val="20"/>
              </w:rPr>
            </w:pPr>
            <w:r w:rsidRPr="0082541D">
              <w:rPr>
                <w:snapToGrid w:val="0"/>
                <w:sz w:val="20"/>
                <w:szCs w:val="20"/>
              </w:rPr>
              <w:t>301-763-7182</w:t>
            </w:r>
          </w:p>
        </w:tc>
        <w:tc>
          <w:tcPr>
            <w:tcW w:w="2099" w:type="dxa"/>
            <w:tcBorders>
              <w:top w:val="double" w:sz="4" w:space="0" w:color="auto"/>
            </w:tcBorders>
          </w:tcPr>
          <w:p w14:paraId="4490C750" w14:textId="77777777" w:rsidR="00F61205" w:rsidRPr="0082541D" w:rsidRDefault="00F61205" w:rsidP="00F61205">
            <w:pPr>
              <w:widowControl w:val="0"/>
              <w:rPr>
                <w:snapToGrid w:val="0"/>
                <w:sz w:val="20"/>
                <w:szCs w:val="20"/>
              </w:rPr>
            </w:pPr>
            <w:r w:rsidRPr="0082541D">
              <w:rPr>
                <w:snapToGrid w:val="0"/>
                <w:sz w:val="20"/>
                <w:szCs w:val="20"/>
              </w:rPr>
              <w:t>Development of statistical methodology</w:t>
            </w:r>
          </w:p>
        </w:tc>
      </w:tr>
      <w:tr w:rsidR="00A60184" w:rsidRPr="0095043D" w14:paraId="30EBEA25" w14:textId="77777777" w:rsidTr="00A60184">
        <w:tc>
          <w:tcPr>
            <w:tcW w:w="1938" w:type="dxa"/>
          </w:tcPr>
          <w:p w14:paraId="59461830" w14:textId="45562E17" w:rsidR="00A60184" w:rsidRPr="0082541D" w:rsidRDefault="00A60184" w:rsidP="00F61205">
            <w:pPr>
              <w:widowControl w:val="0"/>
              <w:rPr>
                <w:snapToGrid w:val="0"/>
                <w:sz w:val="20"/>
                <w:szCs w:val="20"/>
              </w:rPr>
            </w:pPr>
            <w:r w:rsidRPr="00C26DDA">
              <w:rPr>
                <w:snapToGrid w:val="0"/>
                <w:sz w:val="20"/>
                <w:szCs w:val="20"/>
              </w:rPr>
              <w:t>Diane Willimack</w:t>
            </w:r>
          </w:p>
        </w:tc>
        <w:tc>
          <w:tcPr>
            <w:tcW w:w="3738" w:type="dxa"/>
          </w:tcPr>
          <w:p w14:paraId="711ADD33" w14:textId="163308F1" w:rsidR="00A60184" w:rsidRPr="0082541D" w:rsidRDefault="00A60184" w:rsidP="00F61205">
            <w:pPr>
              <w:widowControl w:val="0"/>
              <w:rPr>
                <w:snapToGrid w:val="0"/>
                <w:sz w:val="20"/>
                <w:szCs w:val="20"/>
              </w:rPr>
            </w:pPr>
            <w:r w:rsidRPr="00C26DDA">
              <w:rPr>
                <w:snapToGrid w:val="0"/>
                <w:sz w:val="20"/>
                <w:szCs w:val="20"/>
              </w:rPr>
              <w:t>Methodology Director for Methodology and Response Improvement for Economic Programs, Economic Statistical Methods Division</w:t>
            </w:r>
          </w:p>
        </w:tc>
        <w:tc>
          <w:tcPr>
            <w:tcW w:w="1405" w:type="dxa"/>
          </w:tcPr>
          <w:p w14:paraId="2EA4DFB8" w14:textId="4E8F6A4A" w:rsidR="00A60184" w:rsidRPr="0082541D" w:rsidRDefault="00A60184" w:rsidP="004C36CD">
            <w:pPr>
              <w:widowControl w:val="0"/>
              <w:rPr>
                <w:snapToGrid w:val="0"/>
                <w:sz w:val="20"/>
                <w:szCs w:val="20"/>
              </w:rPr>
            </w:pPr>
            <w:r w:rsidRPr="00C26DDA">
              <w:rPr>
                <w:snapToGrid w:val="0"/>
                <w:sz w:val="20"/>
                <w:szCs w:val="20"/>
              </w:rPr>
              <w:t>301-763-3538</w:t>
            </w:r>
          </w:p>
        </w:tc>
        <w:tc>
          <w:tcPr>
            <w:tcW w:w="2099" w:type="dxa"/>
          </w:tcPr>
          <w:p w14:paraId="062768CB" w14:textId="6EED88D3" w:rsidR="00A60184" w:rsidRPr="0082541D" w:rsidRDefault="00A60184" w:rsidP="00F61205">
            <w:pPr>
              <w:widowControl w:val="0"/>
              <w:rPr>
                <w:snapToGrid w:val="0"/>
                <w:sz w:val="20"/>
                <w:szCs w:val="20"/>
              </w:rPr>
            </w:pPr>
            <w:r w:rsidRPr="00C26DDA">
              <w:rPr>
                <w:snapToGrid w:val="0"/>
                <w:sz w:val="20"/>
                <w:szCs w:val="20"/>
              </w:rPr>
              <w:t>Pretesting of data collection instruments and methods</w:t>
            </w:r>
          </w:p>
        </w:tc>
      </w:tr>
      <w:tr w:rsidR="00A60184" w:rsidRPr="0095043D" w14:paraId="0EE11221" w14:textId="77777777" w:rsidTr="00A60184">
        <w:tc>
          <w:tcPr>
            <w:tcW w:w="1938" w:type="dxa"/>
          </w:tcPr>
          <w:p w14:paraId="65826255" w14:textId="09367C52" w:rsidR="00A60184" w:rsidRPr="0082541D" w:rsidRDefault="001A5B3F" w:rsidP="00F61205">
            <w:pPr>
              <w:widowControl w:val="0"/>
              <w:rPr>
                <w:snapToGrid w:val="0"/>
                <w:sz w:val="20"/>
                <w:szCs w:val="20"/>
              </w:rPr>
            </w:pPr>
            <w:r>
              <w:rPr>
                <w:snapToGrid w:val="0"/>
                <w:sz w:val="20"/>
                <w:szCs w:val="20"/>
              </w:rPr>
              <w:t>William Samples</w:t>
            </w:r>
          </w:p>
        </w:tc>
        <w:tc>
          <w:tcPr>
            <w:tcW w:w="3738" w:type="dxa"/>
          </w:tcPr>
          <w:p w14:paraId="56034F5D" w14:textId="04213AF4" w:rsidR="00A60184" w:rsidRPr="0082541D" w:rsidRDefault="00A60184" w:rsidP="00F61205">
            <w:pPr>
              <w:widowControl w:val="0"/>
              <w:rPr>
                <w:snapToGrid w:val="0"/>
                <w:sz w:val="20"/>
                <w:szCs w:val="20"/>
              </w:rPr>
            </w:pPr>
            <w:r w:rsidRPr="00C26DDA">
              <w:rPr>
                <w:snapToGrid w:val="0"/>
                <w:sz w:val="20"/>
                <w:szCs w:val="20"/>
              </w:rPr>
              <w:t>Assistant Survey Director for the Economic Census, Economy-Wide Statistics Division</w:t>
            </w:r>
          </w:p>
        </w:tc>
        <w:tc>
          <w:tcPr>
            <w:tcW w:w="1405" w:type="dxa"/>
          </w:tcPr>
          <w:p w14:paraId="58087F9F" w14:textId="544C9F31" w:rsidR="00A60184" w:rsidRPr="0082541D" w:rsidRDefault="00A60184" w:rsidP="00F61205">
            <w:pPr>
              <w:widowControl w:val="0"/>
              <w:rPr>
                <w:snapToGrid w:val="0"/>
                <w:sz w:val="20"/>
                <w:szCs w:val="20"/>
              </w:rPr>
            </w:pPr>
            <w:r w:rsidRPr="00C26DDA">
              <w:rPr>
                <w:snapToGrid w:val="0"/>
                <w:sz w:val="20"/>
                <w:szCs w:val="20"/>
              </w:rPr>
              <w:t>301-763-</w:t>
            </w:r>
            <w:r w:rsidR="001A5B3F">
              <w:rPr>
                <w:snapToGrid w:val="0"/>
                <w:sz w:val="20"/>
                <w:szCs w:val="20"/>
              </w:rPr>
              <w:t>7175</w:t>
            </w:r>
          </w:p>
        </w:tc>
        <w:tc>
          <w:tcPr>
            <w:tcW w:w="2099" w:type="dxa"/>
          </w:tcPr>
          <w:p w14:paraId="5914D29F" w14:textId="53506FE0" w:rsidR="00A60184" w:rsidRPr="0082541D" w:rsidRDefault="00A60184" w:rsidP="00F61205">
            <w:pPr>
              <w:widowControl w:val="0"/>
              <w:rPr>
                <w:snapToGrid w:val="0"/>
                <w:sz w:val="20"/>
                <w:szCs w:val="20"/>
              </w:rPr>
            </w:pPr>
            <w:r w:rsidRPr="00C26DDA">
              <w:rPr>
                <w:snapToGrid w:val="0"/>
                <w:sz w:val="20"/>
                <w:szCs w:val="20"/>
              </w:rPr>
              <w:t>Overall supervision</w:t>
            </w:r>
          </w:p>
        </w:tc>
      </w:tr>
    </w:tbl>
    <w:p w14:paraId="79F85D29" w14:textId="77777777" w:rsidR="00F61205" w:rsidRPr="0082541D" w:rsidRDefault="00F61205" w:rsidP="00F61205">
      <w:pPr>
        <w:widowControl w:val="0"/>
        <w:rPr>
          <w:snapToGrid w:val="0"/>
          <w:sz w:val="20"/>
          <w:szCs w:val="20"/>
        </w:rPr>
        <w:sectPr w:rsidR="00F61205" w:rsidRPr="0082541D" w:rsidSect="00F61205">
          <w:endnotePr>
            <w:numFmt w:val="decimal"/>
          </w:endnotePr>
          <w:pgSz w:w="12240" w:h="15840"/>
          <w:pgMar w:top="1440" w:right="1440" w:bottom="1440" w:left="1440" w:header="1440" w:footer="1440" w:gutter="0"/>
          <w:cols w:space="720"/>
          <w:noEndnote/>
        </w:sectPr>
      </w:pPr>
    </w:p>
    <w:p w14:paraId="481AF930" w14:textId="3659C735" w:rsidR="00DA1A4D" w:rsidRDefault="00DA1A4D" w:rsidP="00DA1A4D">
      <w:pPr>
        <w:jc w:val="center"/>
      </w:pPr>
      <w:r w:rsidRPr="004C36CD">
        <w:t>Attachments</w:t>
      </w:r>
    </w:p>
    <w:p w14:paraId="2D3C1618" w14:textId="77777777" w:rsidR="00A71C02" w:rsidRPr="004C36CD" w:rsidRDefault="00A71C02" w:rsidP="00DA1A4D">
      <w:pPr>
        <w:jc w:val="center"/>
      </w:pPr>
    </w:p>
    <w:p w14:paraId="4DD673B0" w14:textId="23003B69" w:rsidR="00D0729B" w:rsidRDefault="00D0729B" w:rsidP="0082541D">
      <w:pPr>
        <w:pStyle w:val="ListParagraph"/>
        <w:numPr>
          <w:ilvl w:val="0"/>
          <w:numId w:val="9"/>
        </w:numPr>
        <w:tabs>
          <w:tab w:val="left" w:pos="-1440"/>
        </w:tabs>
        <w:rPr>
          <w:rFonts w:ascii="Times New Roman" w:hAnsi="Times New Roman"/>
        </w:rPr>
      </w:pPr>
      <w:r>
        <w:rPr>
          <w:rFonts w:ascii="Times New Roman" w:hAnsi="Times New Roman"/>
        </w:rPr>
        <w:t xml:space="preserve">Electronic </w:t>
      </w:r>
      <w:r w:rsidR="003465BB">
        <w:rPr>
          <w:rFonts w:ascii="Times New Roman" w:hAnsi="Times New Roman"/>
        </w:rPr>
        <w:t xml:space="preserve">Questionnaire Instrument </w:t>
      </w:r>
      <w:r>
        <w:rPr>
          <w:rFonts w:ascii="Times New Roman" w:hAnsi="Times New Roman"/>
        </w:rPr>
        <w:t>Path Numbers and</w:t>
      </w:r>
      <w:r w:rsidR="00685415" w:rsidRPr="0082541D">
        <w:rPr>
          <w:rFonts w:ascii="Times New Roman" w:hAnsi="Times New Roman"/>
        </w:rPr>
        <w:t xml:space="preserve"> Titles</w:t>
      </w:r>
    </w:p>
    <w:p w14:paraId="540592EC" w14:textId="4437A10F" w:rsidR="00685415" w:rsidRPr="0082541D" w:rsidRDefault="00D36705" w:rsidP="0082541D">
      <w:pPr>
        <w:pStyle w:val="ListParagraph"/>
        <w:numPr>
          <w:ilvl w:val="0"/>
          <w:numId w:val="9"/>
        </w:numPr>
        <w:tabs>
          <w:tab w:val="left" w:pos="-1440"/>
        </w:tabs>
        <w:rPr>
          <w:rFonts w:ascii="Times New Roman" w:hAnsi="Times New Roman"/>
        </w:rPr>
      </w:pPr>
      <w:r>
        <w:rPr>
          <w:rFonts w:ascii="Times New Roman" w:hAnsi="Times New Roman"/>
        </w:rPr>
        <w:t xml:space="preserve">Draft </w:t>
      </w:r>
      <w:r w:rsidR="00490341">
        <w:rPr>
          <w:rFonts w:ascii="Times New Roman" w:hAnsi="Times New Roman"/>
        </w:rPr>
        <w:t>Previews of Questionnaires</w:t>
      </w:r>
    </w:p>
    <w:p w14:paraId="74E243AB" w14:textId="7E88AF68" w:rsidR="00685415" w:rsidRPr="00685415" w:rsidRDefault="00490341" w:rsidP="00685415">
      <w:pPr>
        <w:pStyle w:val="ListParagraph"/>
        <w:numPr>
          <w:ilvl w:val="0"/>
          <w:numId w:val="9"/>
        </w:numPr>
        <w:autoSpaceDE w:val="0"/>
        <w:autoSpaceDN w:val="0"/>
        <w:adjustRightInd w:val="0"/>
        <w:rPr>
          <w:rFonts w:ascii="Times New Roman" w:hAnsi="Times New Roman"/>
          <w:color w:val="000000"/>
        </w:rPr>
      </w:pPr>
      <w:r>
        <w:rPr>
          <w:rFonts w:ascii="Times New Roman" w:hAnsi="Times New Roman"/>
        </w:rPr>
        <w:t>Questionnaire Information Sheets</w:t>
      </w:r>
    </w:p>
    <w:p w14:paraId="6AF399DD" w14:textId="4D62A7DB" w:rsidR="007A2CB8" w:rsidRPr="0082541D" w:rsidRDefault="00071130" w:rsidP="00685415">
      <w:pPr>
        <w:pStyle w:val="ListParagraph"/>
        <w:numPr>
          <w:ilvl w:val="0"/>
          <w:numId w:val="9"/>
        </w:numPr>
        <w:autoSpaceDE w:val="0"/>
        <w:autoSpaceDN w:val="0"/>
        <w:adjustRightInd w:val="0"/>
        <w:rPr>
          <w:rFonts w:ascii="Times New Roman" w:hAnsi="Times New Roman"/>
        </w:rPr>
      </w:pPr>
      <w:r>
        <w:rPr>
          <w:rFonts w:ascii="Times New Roman" w:hAnsi="Times New Roman"/>
        </w:rPr>
        <w:t xml:space="preserve">Drafts of </w:t>
      </w:r>
      <w:r w:rsidR="00490341">
        <w:rPr>
          <w:rFonts w:ascii="Times New Roman" w:hAnsi="Times New Roman"/>
        </w:rPr>
        <w:t>Initial Contact and Follow-up Letters</w:t>
      </w:r>
    </w:p>
    <w:p w14:paraId="274AF274" w14:textId="746393FF" w:rsidR="00685415" w:rsidRPr="00685415" w:rsidRDefault="00490341" w:rsidP="00685415">
      <w:pPr>
        <w:pStyle w:val="ListParagraph"/>
        <w:numPr>
          <w:ilvl w:val="0"/>
          <w:numId w:val="9"/>
        </w:numPr>
        <w:autoSpaceDE w:val="0"/>
        <w:autoSpaceDN w:val="0"/>
        <w:adjustRightInd w:val="0"/>
        <w:rPr>
          <w:rFonts w:ascii="Times New Roman" w:hAnsi="Times New Roman"/>
        </w:rPr>
      </w:pPr>
      <w:r>
        <w:rPr>
          <w:rFonts w:ascii="Times New Roman" w:hAnsi="Times New Roman"/>
          <w:color w:val="000000"/>
        </w:rPr>
        <w:t>Summary of Changes to Questionnaires</w:t>
      </w:r>
    </w:p>
    <w:p w14:paraId="01442562" w14:textId="77777777" w:rsidR="00685415" w:rsidRPr="00685415" w:rsidRDefault="00685415" w:rsidP="00685415">
      <w:pPr>
        <w:numPr>
          <w:ilvl w:val="0"/>
          <w:numId w:val="9"/>
        </w:numPr>
        <w:tabs>
          <w:tab w:val="left" w:pos="-1080"/>
          <w:tab w:val="left" w:pos="-720"/>
          <w:tab w:val="left" w:pos="0"/>
          <w:tab w:val="left" w:pos="540"/>
          <w:tab w:val="left" w:pos="979"/>
          <w:tab w:val="left" w:pos="1260"/>
          <w:tab w:val="left" w:pos="1756"/>
          <w:tab w:val="left" w:pos="2016"/>
          <w:tab w:val="left" w:pos="2352"/>
          <w:tab w:val="left" w:pos="2534"/>
          <w:tab w:val="left" w:pos="2793"/>
          <w:tab w:val="left" w:pos="3052"/>
          <w:tab w:val="left" w:pos="3311"/>
          <w:tab w:val="left" w:pos="3570"/>
          <w:tab w:val="left" w:pos="3829"/>
          <w:tab w:val="left" w:pos="4088"/>
          <w:tab w:val="left" w:pos="4347"/>
          <w:tab w:val="left" w:pos="4606"/>
          <w:tab w:val="left" w:pos="4865"/>
          <w:tab w:val="left" w:pos="5124"/>
          <w:tab w:val="left" w:pos="5383"/>
          <w:tab w:val="left" w:pos="5642"/>
          <w:tab w:val="left" w:pos="5901"/>
          <w:tab w:val="left" w:pos="6160"/>
          <w:tab w:val="left" w:pos="6419"/>
          <w:tab w:val="left" w:pos="6678"/>
          <w:tab w:val="left" w:pos="6937"/>
          <w:tab w:val="left" w:pos="7196"/>
          <w:tab w:val="left" w:pos="7455"/>
          <w:tab w:val="left" w:pos="7714"/>
          <w:tab w:val="left" w:pos="7973"/>
          <w:tab w:val="left" w:pos="8232"/>
          <w:tab w:val="left" w:pos="8491"/>
          <w:tab w:val="left" w:pos="8750"/>
          <w:tab w:val="left" w:pos="9009"/>
          <w:tab w:val="left" w:pos="9268"/>
        </w:tabs>
      </w:pPr>
      <w:r w:rsidRPr="00685415">
        <w:rPr>
          <w:color w:val="000000"/>
        </w:rPr>
        <w:t xml:space="preserve">Consultations with Representatives of the Island Areas, Persons and Organizations Contacted </w:t>
      </w:r>
    </w:p>
    <w:p w14:paraId="2E5AE0E4" w14:textId="6FE8BA83" w:rsidR="00BD7838" w:rsidRDefault="00806533" w:rsidP="0082541D">
      <w:pPr>
        <w:pStyle w:val="ListParagraph"/>
        <w:numPr>
          <w:ilvl w:val="0"/>
          <w:numId w:val="9"/>
        </w:numPr>
        <w:autoSpaceDE w:val="0"/>
        <w:autoSpaceDN w:val="0"/>
        <w:adjustRightInd w:val="0"/>
        <w:rPr>
          <w:rFonts w:ascii="Times New Roman" w:hAnsi="Times New Roman"/>
        </w:rPr>
      </w:pPr>
      <w:r w:rsidRPr="0082541D">
        <w:rPr>
          <w:rFonts w:ascii="Times New Roman" w:hAnsi="Times New Roman"/>
        </w:rPr>
        <w:t>Formal Requests of 2017 Economic Census of Island Areas</w:t>
      </w:r>
    </w:p>
    <w:p w14:paraId="4E48361D" w14:textId="4F41636D" w:rsidR="0060412D" w:rsidRDefault="0060412D" w:rsidP="0082541D">
      <w:pPr>
        <w:pStyle w:val="ListParagraph"/>
        <w:numPr>
          <w:ilvl w:val="0"/>
          <w:numId w:val="9"/>
        </w:numPr>
        <w:autoSpaceDE w:val="0"/>
        <w:autoSpaceDN w:val="0"/>
        <w:adjustRightInd w:val="0"/>
        <w:rPr>
          <w:rFonts w:ascii="Times New Roman" w:hAnsi="Times New Roman"/>
        </w:rPr>
      </w:pPr>
      <w:r>
        <w:rPr>
          <w:rFonts w:ascii="Times New Roman" w:hAnsi="Times New Roman"/>
        </w:rPr>
        <w:t>Electronic Instrument Selected Screen Shots</w:t>
      </w:r>
    </w:p>
    <w:p w14:paraId="1A902D55" w14:textId="0D177F93" w:rsidR="00D03AA5" w:rsidRPr="0059192F" w:rsidRDefault="00D03AA5" w:rsidP="0082541D">
      <w:pPr>
        <w:pStyle w:val="ListParagraph"/>
        <w:numPr>
          <w:ilvl w:val="0"/>
          <w:numId w:val="9"/>
        </w:numPr>
        <w:autoSpaceDE w:val="0"/>
        <w:autoSpaceDN w:val="0"/>
        <w:adjustRightInd w:val="0"/>
        <w:rPr>
          <w:rFonts w:ascii="Times New Roman" w:hAnsi="Times New Roman"/>
        </w:rPr>
      </w:pPr>
      <w:r w:rsidRPr="0059192F">
        <w:rPr>
          <w:rFonts w:ascii="Times New Roman" w:hAnsi="Times New Roman"/>
        </w:rPr>
        <w:t>Quality Standard Waiver</w:t>
      </w:r>
    </w:p>
    <w:p w14:paraId="0F5C85D8" w14:textId="5BC8430D" w:rsidR="00631E34" w:rsidRDefault="00631E34" w:rsidP="0082541D">
      <w:pPr>
        <w:pStyle w:val="BodyTextIndent2"/>
        <w:tabs>
          <w:tab w:val="clear" w:pos="720"/>
          <w:tab w:val="left" w:pos="540"/>
        </w:tabs>
        <w:ind w:left="540"/>
      </w:pPr>
    </w:p>
    <w:sectPr w:rsidR="00631E34" w:rsidSect="00631E34">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1FD31" w14:textId="77777777" w:rsidR="00DF159F" w:rsidRDefault="00DF159F" w:rsidP="002417FC">
      <w:r>
        <w:separator/>
      </w:r>
    </w:p>
  </w:endnote>
  <w:endnote w:type="continuationSeparator" w:id="0">
    <w:p w14:paraId="0E07BA3A" w14:textId="77777777" w:rsidR="00DF159F" w:rsidRDefault="00DF159F" w:rsidP="0024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22FEC" w14:textId="77777777" w:rsidR="00DF159F" w:rsidRDefault="00DF159F" w:rsidP="002417FC">
      <w:r>
        <w:separator/>
      </w:r>
    </w:p>
  </w:footnote>
  <w:footnote w:type="continuationSeparator" w:id="0">
    <w:p w14:paraId="6C99C250" w14:textId="77777777" w:rsidR="00DF159F" w:rsidRDefault="00DF159F" w:rsidP="002417FC">
      <w:r>
        <w:continuationSeparator/>
      </w:r>
    </w:p>
  </w:footnote>
  <w:footnote w:id="1">
    <w:p w14:paraId="39A3D874" w14:textId="77777777" w:rsidR="00DF159F" w:rsidRPr="0082541D" w:rsidRDefault="00DF159F" w:rsidP="0098074E">
      <w:pPr>
        <w:pStyle w:val="FootnoteText"/>
        <w:rPr>
          <w:rFonts w:ascii="Times New Roman" w:hAnsi="Times New Roman"/>
          <w:sz w:val="18"/>
          <w:szCs w:val="18"/>
        </w:rPr>
      </w:pPr>
      <w:r w:rsidRPr="0070182C">
        <w:rPr>
          <w:rStyle w:val="FootnoteReference"/>
          <w:rFonts w:ascii="Times New Roman" w:hAnsi="Times New Roman"/>
          <w:sz w:val="18"/>
          <w:szCs w:val="18"/>
          <w:vertAlign w:val="superscript"/>
        </w:rPr>
        <w:footnoteRef/>
      </w:r>
      <w:r w:rsidRPr="0082541D">
        <w:rPr>
          <w:rFonts w:ascii="Times New Roman" w:hAnsi="Times New Roman"/>
          <w:sz w:val="18"/>
          <w:szCs w:val="18"/>
        </w:rPr>
        <w:t xml:space="preserve"> The term used to collectively refer to Puerto Rico, the U.S. Virgin Islands, Guam, the Commonwealth of the Northern Mariana Islands, and American Samoa in the </w:t>
      </w:r>
      <w:r w:rsidRPr="0082541D">
        <w:rPr>
          <w:rFonts w:ascii="Times New Roman" w:hAnsi="Times New Roman"/>
          <w:sz w:val="18"/>
          <w:szCs w:val="18"/>
          <w:u w:val="single"/>
        </w:rPr>
        <w:t>Federal Register</w:t>
      </w:r>
      <w:r w:rsidRPr="0082541D">
        <w:rPr>
          <w:rFonts w:ascii="Times New Roman" w:hAnsi="Times New Roman"/>
          <w:sz w:val="18"/>
          <w:szCs w:val="18"/>
        </w:rPr>
        <w:t xml:space="preserve"> on June 7, 2011 was Island Areas.  Island Areas is common terminology across the Census Bureau. </w:t>
      </w:r>
    </w:p>
  </w:footnote>
  <w:footnote w:id="2">
    <w:p w14:paraId="021EB9EC" w14:textId="77777777" w:rsidR="00DF159F" w:rsidRPr="0082541D" w:rsidRDefault="00DF159F">
      <w:pPr>
        <w:pStyle w:val="FootnoteText"/>
        <w:rPr>
          <w:rFonts w:ascii="Times New Roman" w:hAnsi="Times New Roman"/>
          <w:sz w:val="18"/>
          <w:szCs w:val="18"/>
        </w:rPr>
      </w:pPr>
      <w:r w:rsidRPr="0070182C">
        <w:rPr>
          <w:rStyle w:val="FootnoteReference"/>
          <w:rFonts w:ascii="Times New Roman" w:hAnsi="Times New Roman"/>
          <w:sz w:val="18"/>
          <w:szCs w:val="18"/>
          <w:vertAlign w:val="superscript"/>
        </w:rPr>
        <w:footnoteRef/>
      </w:r>
      <w:r w:rsidRPr="0082541D">
        <w:rPr>
          <w:rFonts w:ascii="Times New Roman" w:hAnsi="Times New Roman"/>
          <w:sz w:val="18"/>
          <w:szCs w:val="18"/>
        </w:rPr>
        <w:t xml:space="preserve"> </w:t>
      </w:r>
      <w:r w:rsidRPr="0082541D">
        <w:rPr>
          <w:rFonts w:ascii="Times New Roman" w:hAnsi="Times New Roman"/>
          <w:color w:val="333333"/>
          <w:sz w:val="18"/>
          <w:szCs w:val="18"/>
          <w:lang w:val="en"/>
        </w:rPr>
        <w:t>Noise infusion is a method of disclosure avoidance in which values for each firm are perturbed prior to table creation by applying a random noise multiplier to the magnitude data (i.e., characteristics such as receipts, payroll, and number of employees) for each company. Disclosure protection is accomplished in a manner that results in a relatively small change in the vast majority of cell values. For the 2017 Economic Census of Island Areas, each published cell value will have an associated noise flag, indicating the relative amount of distortion in the cell value resulting from the perturbation of the data for the contributors to the cell. The flag for ‘low noise’ (G) indicates the cell value was changed by less than 2 percent with the application of noise, and the flag for ‘moderate noise’ (H) indicates the value was changed by 2 percent or more but less than 8 percent. Cells that have been changed by 8 percent or more are suppressed from the published tables. Additionally, other cells in the table may be suppressed for additional protection from disclosure or because the quality of the data does not meet publication standards. Though some of these suppressed cells may be derived by subtraction, the results are not official and may differ substantially from the true estimate.</w:t>
      </w:r>
    </w:p>
  </w:footnote>
  <w:footnote w:id="3">
    <w:p w14:paraId="6FCF33DA" w14:textId="77777777" w:rsidR="00DF159F" w:rsidRPr="0082541D" w:rsidRDefault="00DF159F" w:rsidP="007C2B3F">
      <w:pPr>
        <w:pStyle w:val="FootnoteText"/>
        <w:rPr>
          <w:rFonts w:ascii="Times New Roman" w:hAnsi="Times New Roman"/>
          <w:sz w:val="18"/>
          <w:szCs w:val="18"/>
        </w:rPr>
      </w:pPr>
      <w:r w:rsidRPr="0082541D">
        <w:rPr>
          <w:rStyle w:val="FootnoteReference"/>
          <w:rFonts w:ascii="Times New Roman" w:hAnsi="Times New Roman"/>
          <w:sz w:val="18"/>
          <w:szCs w:val="18"/>
          <w:vertAlign w:val="superscript"/>
        </w:rPr>
        <w:footnoteRef/>
      </w:r>
      <w:r w:rsidRPr="0082541D">
        <w:rPr>
          <w:rFonts w:ascii="Times New Roman" w:hAnsi="Times New Roman"/>
          <w:sz w:val="18"/>
          <w:szCs w:val="18"/>
        </w:rPr>
        <w:t xml:space="preserve"> A </w:t>
      </w:r>
      <w:r w:rsidRPr="0082541D">
        <w:rPr>
          <w:rFonts w:ascii="Times New Roman" w:hAnsi="Times New Roman"/>
          <w:b/>
          <w:bCs/>
          <w:sz w:val="18"/>
          <w:szCs w:val="18"/>
        </w:rPr>
        <w:t>reporting unit</w:t>
      </w:r>
      <w:r w:rsidRPr="0082541D">
        <w:rPr>
          <w:rFonts w:ascii="Times New Roman" w:hAnsi="Times New Roman"/>
          <w:sz w:val="18"/>
          <w:szCs w:val="18"/>
        </w:rPr>
        <w:t xml:space="preserve"> is an entity from which data are collected.  The economic census uses two types of reporting units.  The first is the establishment, which is an economic unit usually at a single, physical location where business is conducted or where services or industrial operations are performed.  Most businesses report data for the economic census at the establishment level.  The second type of reporting unit employed by respondents to answer the economic census is referred to as an “Alternative Reporting Unit (ARU).”  ARUs are generally a consolidation of establishments owned by the same company. ARUs are typically used by firms engaged in networked industries such as finance, insurance, or utilities, to facilitate reporting of revenue and expense data.    </w:t>
      </w:r>
    </w:p>
  </w:footnote>
  <w:footnote w:id="4">
    <w:p w14:paraId="7B0516F9" w14:textId="77777777" w:rsidR="00DF159F" w:rsidRPr="0082541D" w:rsidRDefault="00DF159F" w:rsidP="007C2B3F">
      <w:pPr>
        <w:pStyle w:val="FootnoteText"/>
        <w:rPr>
          <w:rFonts w:ascii="Times New Roman" w:hAnsi="Times New Roman"/>
          <w:sz w:val="18"/>
          <w:szCs w:val="18"/>
          <w:lang w:bidi="en-US"/>
        </w:rPr>
      </w:pPr>
      <w:r w:rsidRPr="0082541D">
        <w:rPr>
          <w:rStyle w:val="FootnoteReference"/>
          <w:rFonts w:ascii="Times New Roman" w:hAnsi="Times New Roman"/>
          <w:sz w:val="18"/>
          <w:szCs w:val="18"/>
          <w:vertAlign w:val="superscript"/>
        </w:rPr>
        <w:footnoteRef/>
      </w:r>
      <w:r w:rsidRPr="0082541D">
        <w:rPr>
          <w:rFonts w:ascii="Times New Roman" w:hAnsi="Times New Roman"/>
          <w:sz w:val="18"/>
          <w:szCs w:val="18"/>
        </w:rPr>
        <w:t xml:space="preserve"> </w:t>
      </w:r>
      <w:r w:rsidRPr="0082541D">
        <w:rPr>
          <w:rFonts w:ascii="Times New Roman" w:hAnsi="Times New Roman"/>
          <w:sz w:val="18"/>
          <w:szCs w:val="18"/>
          <w:lang w:bidi="en-US"/>
        </w:rPr>
        <w:t xml:space="preserve">A </w:t>
      </w:r>
      <w:r w:rsidRPr="0082541D">
        <w:rPr>
          <w:rFonts w:ascii="Times New Roman" w:hAnsi="Times New Roman"/>
          <w:b/>
          <w:sz w:val="18"/>
          <w:szCs w:val="18"/>
          <w:lang w:bidi="en-US"/>
        </w:rPr>
        <w:t>returned</w:t>
      </w:r>
      <w:r w:rsidRPr="0082541D">
        <w:rPr>
          <w:rFonts w:ascii="Times New Roman" w:hAnsi="Times New Roman"/>
          <w:sz w:val="18"/>
          <w:szCs w:val="18"/>
          <w:lang w:bidi="en-US"/>
        </w:rPr>
        <w:t xml:space="preserve"> questionnaire includes receipt of an electronic submission authorized by the respondent, receipt of an acceptable response during targeted telephone follow-up calls, or, under special circumstances, respondent-authorized submission by some other means.</w:t>
      </w:r>
    </w:p>
  </w:footnote>
  <w:footnote w:id="5">
    <w:p w14:paraId="0D4F4B11" w14:textId="368A1437" w:rsidR="00DF159F" w:rsidRPr="00D03AA5" w:rsidRDefault="00DF159F" w:rsidP="007C2B3F">
      <w:pPr>
        <w:pStyle w:val="FootnoteText"/>
        <w:rPr>
          <w:rFonts w:ascii="Times New Roman" w:hAnsi="Times New Roman"/>
          <w:sz w:val="18"/>
          <w:szCs w:val="18"/>
        </w:rPr>
      </w:pPr>
      <w:r w:rsidRPr="00D80DFC">
        <w:rPr>
          <w:rStyle w:val="FootnoteReference"/>
          <w:vertAlign w:val="superscript"/>
        </w:rPr>
        <w:footnoteRef/>
      </w:r>
      <w:r>
        <w:t xml:space="preserve"> </w:t>
      </w:r>
      <w:r w:rsidRPr="00D03AA5">
        <w:rPr>
          <w:rFonts w:ascii="Times New Roman" w:hAnsi="Times New Roman"/>
          <w:sz w:val="18"/>
          <w:szCs w:val="18"/>
        </w:rPr>
        <w:t xml:space="preserve">The </w:t>
      </w:r>
      <w:r w:rsidRPr="00D03AA5">
        <w:rPr>
          <w:rFonts w:ascii="Times New Roman" w:hAnsi="Times New Roman"/>
          <w:b/>
          <w:sz w:val="18"/>
          <w:szCs w:val="18"/>
        </w:rPr>
        <w:t>tabulating unit</w:t>
      </w:r>
      <w:r w:rsidRPr="00D03AA5">
        <w:rPr>
          <w:rFonts w:ascii="Times New Roman" w:hAnsi="Times New Roman"/>
          <w:sz w:val="18"/>
          <w:szCs w:val="18"/>
        </w:rPr>
        <w:t xml:space="preserve"> houses the data for estimation and tabulation.  For the Economic Census, the tabulating unit is the establishment.</w:t>
      </w:r>
    </w:p>
    <w:p w14:paraId="35FF815A" w14:textId="77777777" w:rsidR="00DF159F" w:rsidRPr="00D80DFC" w:rsidRDefault="00DF159F" w:rsidP="007C2B3F">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411F9" w14:textId="77777777" w:rsidR="00DF159F" w:rsidRDefault="00DF15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23D00" w14:textId="77777777" w:rsidR="00DF159F" w:rsidRDefault="00DF15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03ED" w14:textId="4D8F4C7F" w:rsidR="00DF159F" w:rsidRDefault="00DF15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69C6">
      <w:rPr>
        <w:rStyle w:val="PageNumber"/>
        <w:noProof/>
      </w:rPr>
      <w:t>16</w:t>
    </w:r>
    <w:r>
      <w:rPr>
        <w:rStyle w:val="PageNumber"/>
      </w:rPr>
      <w:fldChar w:fldCharType="end"/>
    </w:r>
  </w:p>
  <w:p w14:paraId="418E58EA" w14:textId="77777777" w:rsidR="00DF159F" w:rsidRDefault="00DF159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534"/>
    <w:multiLevelType w:val="hybridMultilevel"/>
    <w:tmpl w:val="1D1042A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76A31"/>
    <w:multiLevelType w:val="hybridMultilevel"/>
    <w:tmpl w:val="4A7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46B"/>
    <w:multiLevelType w:val="hybridMultilevel"/>
    <w:tmpl w:val="51E42E9C"/>
    <w:lvl w:ilvl="0" w:tplc="F836D8EC">
      <w:start w:val="4"/>
      <w:numFmt w:val="upperLetter"/>
      <w:lvlText w:val="%1."/>
      <w:lvlJc w:val="left"/>
      <w:pPr>
        <w:tabs>
          <w:tab w:val="num" w:pos="1342"/>
        </w:tabs>
        <w:ind w:left="1342" w:hanging="360"/>
      </w:pPr>
      <w:rPr>
        <w:rFonts w:hint="default"/>
      </w:rPr>
    </w:lvl>
    <w:lvl w:ilvl="1" w:tplc="04090019" w:tentative="1">
      <w:start w:val="1"/>
      <w:numFmt w:val="lowerLetter"/>
      <w:lvlText w:val="%2."/>
      <w:lvlJc w:val="left"/>
      <w:pPr>
        <w:tabs>
          <w:tab w:val="num" w:pos="2062"/>
        </w:tabs>
        <w:ind w:left="2062" w:hanging="360"/>
      </w:pPr>
    </w:lvl>
    <w:lvl w:ilvl="2" w:tplc="0409001B" w:tentative="1">
      <w:start w:val="1"/>
      <w:numFmt w:val="lowerRoman"/>
      <w:lvlText w:val="%3."/>
      <w:lvlJc w:val="right"/>
      <w:pPr>
        <w:tabs>
          <w:tab w:val="num" w:pos="2782"/>
        </w:tabs>
        <w:ind w:left="2782" w:hanging="180"/>
      </w:pPr>
    </w:lvl>
    <w:lvl w:ilvl="3" w:tplc="0409000F" w:tentative="1">
      <w:start w:val="1"/>
      <w:numFmt w:val="decimal"/>
      <w:lvlText w:val="%4."/>
      <w:lvlJc w:val="left"/>
      <w:pPr>
        <w:tabs>
          <w:tab w:val="num" w:pos="3502"/>
        </w:tabs>
        <w:ind w:left="3502" w:hanging="360"/>
      </w:pPr>
    </w:lvl>
    <w:lvl w:ilvl="4" w:tplc="04090019" w:tentative="1">
      <w:start w:val="1"/>
      <w:numFmt w:val="lowerLetter"/>
      <w:lvlText w:val="%5."/>
      <w:lvlJc w:val="left"/>
      <w:pPr>
        <w:tabs>
          <w:tab w:val="num" w:pos="4222"/>
        </w:tabs>
        <w:ind w:left="4222" w:hanging="360"/>
      </w:pPr>
    </w:lvl>
    <w:lvl w:ilvl="5" w:tplc="0409001B" w:tentative="1">
      <w:start w:val="1"/>
      <w:numFmt w:val="lowerRoman"/>
      <w:lvlText w:val="%6."/>
      <w:lvlJc w:val="right"/>
      <w:pPr>
        <w:tabs>
          <w:tab w:val="num" w:pos="4942"/>
        </w:tabs>
        <w:ind w:left="4942" w:hanging="180"/>
      </w:pPr>
    </w:lvl>
    <w:lvl w:ilvl="6" w:tplc="0409000F" w:tentative="1">
      <w:start w:val="1"/>
      <w:numFmt w:val="decimal"/>
      <w:lvlText w:val="%7."/>
      <w:lvlJc w:val="left"/>
      <w:pPr>
        <w:tabs>
          <w:tab w:val="num" w:pos="5662"/>
        </w:tabs>
        <w:ind w:left="5662" w:hanging="360"/>
      </w:pPr>
    </w:lvl>
    <w:lvl w:ilvl="7" w:tplc="04090019" w:tentative="1">
      <w:start w:val="1"/>
      <w:numFmt w:val="lowerLetter"/>
      <w:lvlText w:val="%8."/>
      <w:lvlJc w:val="left"/>
      <w:pPr>
        <w:tabs>
          <w:tab w:val="num" w:pos="6382"/>
        </w:tabs>
        <w:ind w:left="6382" w:hanging="360"/>
      </w:pPr>
    </w:lvl>
    <w:lvl w:ilvl="8" w:tplc="0409001B" w:tentative="1">
      <w:start w:val="1"/>
      <w:numFmt w:val="lowerRoman"/>
      <w:lvlText w:val="%9."/>
      <w:lvlJc w:val="right"/>
      <w:pPr>
        <w:tabs>
          <w:tab w:val="num" w:pos="7102"/>
        </w:tabs>
        <w:ind w:left="7102" w:hanging="180"/>
      </w:pPr>
    </w:lvl>
  </w:abstractNum>
  <w:abstractNum w:abstractNumId="3" w15:restartNumberingAfterBreak="0">
    <w:nsid w:val="1FE5599C"/>
    <w:multiLevelType w:val="hybridMultilevel"/>
    <w:tmpl w:val="2E782808"/>
    <w:lvl w:ilvl="0" w:tplc="4746D52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4DE0A51"/>
    <w:multiLevelType w:val="hybridMultilevel"/>
    <w:tmpl w:val="A47EF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25DC1"/>
    <w:multiLevelType w:val="hybridMultilevel"/>
    <w:tmpl w:val="FD7628E6"/>
    <w:lvl w:ilvl="0" w:tplc="E7B8445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2015B70"/>
    <w:multiLevelType w:val="hybridMultilevel"/>
    <w:tmpl w:val="C43E13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72437"/>
    <w:multiLevelType w:val="hybridMultilevel"/>
    <w:tmpl w:val="1B2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5774A"/>
    <w:multiLevelType w:val="hybridMultilevel"/>
    <w:tmpl w:val="E536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A374F"/>
    <w:multiLevelType w:val="hybridMultilevel"/>
    <w:tmpl w:val="36E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473CD"/>
    <w:multiLevelType w:val="hybridMultilevel"/>
    <w:tmpl w:val="7BC84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22187"/>
    <w:multiLevelType w:val="hybridMultilevel"/>
    <w:tmpl w:val="6A00F128"/>
    <w:lvl w:ilvl="0" w:tplc="04090015">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2B6F"/>
    <w:multiLevelType w:val="hybridMultilevel"/>
    <w:tmpl w:val="1744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B3A4C"/>
    <w:multiLevelType w:val="hybridMultilevel"/>
    <w:tmpl w:val="12BAE256"/>
    <w:lvl w:ilvl="0" w:tplc="0C766312">
      <w:start w:val="2"/>
      <w:numFmt w:val="upperLetter"/>
      <w:lvlText w:val="%1."/>
      <w:lvlJc w:val="left"/>
      <w:pPr>
        <w:tabs>
          <w:tab w:val="num" w:pos="1342"/>
        </w:tabs>
        <w:ind w:left="1342" w:hanging="360"/>
      </w:pPr>
      <w:rPr>
        <w:rFonts w:hint="default"/>
        <w:color w:val="auto"/>
      </w:rPr>
    </w:lvl>
    <w:lvl w:ilvl="1" w:tplc="04090019" w:tentative="1">
      <w:start w:val="1"/>
      <w:numFmt w:val="lowerLetter"/>
      <w:lvlText w:val="%2."/>
      <w:lvlJc w:val="left"/>
      <w:pPr>
        <w:tabs>
          <w:tab w:val="num" w:pos="2062"/>
        </w:tabs>
        <w:ind w:left="2062" w:hanging="360"/>
      </w:pPr>
    </w:lvl>
    <w:lvl w:ilvl="2" w:tplc="0409001B" w:tentative="1">
      <w:start w:val="1"/>
      <w:numFmt w:val="lowerRoman"/>
      <w:lvlText w:val="%3."/>
      <w:lvlJc w:val="right"/>
      <w:pPr>
        <w:tabs>
          <w:tab w:val="num" w:pos="2782"/>
        </w:tabs>
        <w:ind w:left="2782" w:hanging="180"/>
      </w:pPr>
    </w:lvl>
    <w:lvl w:ilvl="3" w:tplc="0409000F" w:tentative="1">
      <w:start w:val="1"/>
      <w:numFmt w:val="decimal"/>
      <w:lvlText w:val="%4."/>
      <w:lvlJc w:val="left"/>
      <w:pPr>
        <w:tabs>
          <w:tab w:val="num" w:pos="3502"/>
        </w:tabs>
        <w:ind w:left="3502" w:hanging="360"/>
      </w:pPr>
    </w:lvl>
    <w:lvl w:ilvl="4" w:tplc="04090019" w:tentative="1">
      <w:start w:val="1"/>
      <w:numFmt w:val="lowerLetter"/>
      <w:lvlText w:val="%5."/>
      <w:lvlJc w:val="left"/>
      <w:pPr>
        <w:tabs>
          <w:tab w:val="num" w:pos="4222"/>
        </w:tabs>
        <w:ind w:left="4222" w:hanging="360"/>
      </w:pPr>
    </w:lvl>
    <w:lvl w:ilvl="5" w:tplc="0409001B" w:tentative="1">
      <w:start w:val="1"/>
      <w:numFmt w:val="lowerRoman"/>
      <w:lvlText w:val="%6."/>
      <w:lvlJc w:val="right"/>
      <w:pPr>
        <w:tabs>
          <w:tab w:val="num" w:pos="4942"/>
        </w:tabs>
        <w:ind w:left="4942" w:hanging="180"/>
      </w:pPr>
    </w:lvl>
    <w:lvl w:ilvl="6" w:tplc="0409000F" w:tentative="1">
      <w:start w:val="1"/>
      <w:numFmt w:val="decimal"/>
      <w:lvlText w:val="%7."/>
      <w:lvlJc w:val="left"/>
      <w:pPr>
        <w:tabs>
          <w:tab w:val="num" w:pos="5662"/>
        </w:tabs>
        <w:ind w:left="5662" w:hanging="360"/>
      </w:pPr>
    </w:lvl>
    <w:lvl w:ilvl="7" w:tplc="04090019" w:tentative="1">
      <w:start w:val="1"/>
      <w:numFmt w:val="lowerLetter"/>
      <w:lvlText w:val="%8."/>
      <w:lvlJc w:val="left"/>
      <w:pPr>
        <w:tabs>
          <w:tab w:val="num" w:pos="6382"/>
        </w:tabs>
        <w:ind w:left="6382" w:hanging="360"/>
      </w:pPr>
    </w:lvl>
    <w:lvl w:ilvl="8" w:tplc="0409001B" w:tentative="1">
      <w:start w:val="1"/>
      <w:numFmt w:val="lowerRoman"/>
      <w:lvlText w:val="%9."/>
      <w:lvlJc w:val="right"/>
      <w:pPr>
        <w:tabs>
          <w:tab w:val="num" w:pos="7102"/>
        </w:tabs>
        <w:ind w:left="7102" w:hanging="180"/>
      </w:pPr>
    </w:lvl>
  </w:abstractNum>
  <w:abstractNum w:abstractNumId="14" w15:restartNumberingAfterBreak="0">
    <w:nsid w:val="76915F9E"/>
    <w:multiLevelType w:val="hybridMultilevel"/>
    <w:tmpl w:val="DE0E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5"/>
  </w:num>
  <w:num w:numId="4">
    <w:abstractNumId w:val="3"/>
  </w:num>
  <w:num w:numId="5">
    <w:abstractNumId w:val="6"/>
  </w:num>
  <w:num w:numId="6">
    <w:abstractNumId w:val="11"/>
  </w:num>
  <w:num w:numId="7">
    <w:abstractNumId w:val="0"/>
  </w:num>
  <w:num w:numId="8">
    <w:abstractNumId w:val="4"/>
  </w:num>
  <w:num w:numId="9">
    <w:abstractNumId w:val="10"/>
  </w:num>
  <w:num w:numId="10">
    <w:abstractNumId w:val="8"/>
  </w:num>
  <w:num w:numId="11">
    <w:abstractNumId w:val="9"/>
  </w:num>
  <w:num w:numId="12">
    <w:abstractNumId w:val="14"/>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 w:name="_AMO_XmlVersion" w:val="Empty"/>
  </w:docVars>
  <w:rsids>
    <w:rsidRoot w:val="00E42E51"/>
    <w:rsid w:val="00006853"/>
    <w:rsid w:val="00016181"/>
    <w:rsid w:val="000268B3"/>
    <w:rsid w:val="00031FC8"/>
    <w:rsid w:val="00034B3C"/>
    <w:rsid w:val="000520F2"/>
    <w:rsid w:val="00071130"/>
    <w:rsid w:val="00083D0F"/>
    <w:rsid w:val="000A2136"/>
    <w:rsid w:val="000D0688"/>
    <w:rsid w:val="000D1D68"/>
    <w:rsid w:val="000D506F"/>
    <w:rsid w:val="000F699E"/>
    <w:rsid w:val="0010740E"/>
    <w:rsid w:val="00142815"/>
    <w:rsid w:val="00145584"/>
    <w:rsid w:val="0014782B"/>
    <w:rsid w:val="00153AD9"/>
    <w:rsid w:val="00176068"/>
    <w:rsid w:val="001807ED"/>
    <w:rsid w:val="001A15D5"/>
    <w:rsid w:val="001A5B3F"/>
    <w:rsid w:val="001A6954"/>
    <w:rsid w:val="001F2023"/>
    <w:rsid w:val="001F58BD"/>
    <w:rsid w:val="002032BE"/>
    <w:rsid w:val="00204CAD"/>
    <w:rsid w:val="00214E99"/>
    <w:rsid w:val="00217DBB"/>
    <w:rsid w:val="002417FC"/>
    <w:rsid w:val="002611DA"/>
    <w:rsid w:val="002725EC"/>
    <w:rsid w:val="002A4437"/>
    <w:rsid w:val="002D2AC3"/>
    <w:rsid w:val="002D6865"/>
    <w:rsid w:val="00327441"/>
    <w:rsid w:val="003377A3"/>
    <w:rsid w:val="003410DA"/>
    <w:rsid w:val="003411A0"/>
    <w:rsid w:val="00341C6B"/>
    <w:rsid w:val="003465BB"/>
    <w:rsid w:val="003500DA"/>
    <w:rsid w:val="003504BF"/>
    <w:rsid w:val="0036781F"/>
    <w:rsid w:val="00370791"/>
    <w:rsid w:val="003714B5"/>
    <w:rsid w:val="0037408F"/>
    <w:rsid w:val="0038476D"/>
    <w:rsid w:val="003C07E0"/>
    <w:rsid w:val="003C4D0D"/>
    <w:rsid w:val="003D5DE4"/>
    <w:rsid w:val="003E16B3"/>
    <w:rsid w:val="003E16B7"/>
    <w:rsid w:val="004316B5"/>
    <w:rsid w:val="0044010E"/>
    <w:rsid w:val="00452D91"/>
    <w:rsid w:val="004547C0"/>
    <w:rsid w:val="00465DB5"/>
    <w:rsid w:val="00466C52"/>
    <w:rsid w:val="00474AC7"/>
    <w:rsid w:val="00481723"/>
    <w:rsid w:val="00487BA3"/>
    <w:rsid w:val="00487CF7"/>
    <w:rsid w:val="00490341"/>
    <w:rsid w:val="004B132F"/>
    <w:rsid w:val="004B5D9F"/>
    <w:rsid w:val="004C282B"/>
    <w:rsid w:val="004C36CD"/>
    <w:rsid w:val="004D5B61"/>
    <w:rsid w:val="004E0FA2"/>
    <w:rsid w:val="00554797"/>
    <w:rsid w:val="00580417"/>
    <w:rsid w:val="0059192F"/>
    <w:rsid w:val="00597EBA"/>
    <w:rsid w:val="005D6A99"/>
    <w:rsid w:val="005E3401"/>
    <w:rsid w:val="005F6969"/>
    <w:rsid w:val="006020DE"/>
    <w:rsid w:val="00602598"/>
    <w:rsid w:val="0060412D"/>
    <w:rsid w:val="00621F6A"/>
    <w:rsid w:val="00624C76"/>
    <w:rsid w:val="00631E34"/>
    <w:rsid w:val="00685415"/>
    <w:rsid w:val="006E219F"/>
    <w:rsid w:val="00700E0F"/>
    <w:rsid w:val="0070182C"/>
    <w:rsid w:val="00707271"/>
    <w:rsid w:val="007169C6"/>
    <w:rsid w:val="00723FBB"/>
    <w:rsid w:val="00764872"/>
    <w:rsid w:val="00766562"/>
    <w:rsid w:val="007768C3"/>
    <w:rsid w:val="007A0763"/>
    <w:rsid w:val="007A2CB8"/>
    <w:rsid w:val="007C2B3F"/>
    <w:rsid w:val="007D72DF"/>
    <w:rsid w:val="0080611D"/>
    <w:rsid w:val="00806533"/>
    <w:rsid w:val="0082541D"/>
    <w:rsid w:val="00855212"/>
    <w:rsid w:val="00855282"/>
    <w:rsid w:val="0086663D"/>
    <w:rsid w:val="00896129"/>
    <w:rsid w:val="008A4651"/>
    <w:rsid w:val="008A7213"/>
    <w:rsid w:val="008C1635"/>
    <w:rsid w:val="008C37F7"/>
    <w:rsid w:val="008C47E0"/>
    <w:rsid w:val="008C58D8"/>
    <w:rsid w:val="009246C4"/>
    <w:rsid w:val="0095043D"/>
    <w:rsid w:val="00960B26"/>
    <w:rsid w:val="00976C82"/>
    <w:rsid w:val="0098074E"/>
    <w:rsid w:val="00986846"/>
    <w:rsid w:val="00987B3E"/>
    <w:rsid w:val="009B0620"/>
    <w:rsid w:val="009C4582"/>
    <w:rsid w:val="009C6F1C"/>
    <w:rsid w:val="009F30F7"/>
    <w:rsid w:val="00A37CA0"/>
    <w:rsid w:val="00A47F00"/>
    <w:rsid w:val="00A60184"/>
    <w:rsid w:val="00A64B14"/>
    <w:rsid w:val="00A71C02"/>
    <w:rsid w:val="00A83A70"/>
    <w:rsid w:val="00AC3FAA"/>
    <w:rsid w:val="00AF2606"/>
    <w:rsid w:val="00AF3BAF"/>
    <w:rsid w:val="00B00C75"/>
    <w:rsid w:val="00B01248"/>
    <w:rsid w:val="00B05D71"/>
    <w:rsid w:val="00B101B5"/>
    <w:rsid w:val="00B12C13"/>
    <w:rsid w:val="00B13D07"/>
    <w:rsid w:val="00B14F54"/>
    <w:rsid w:val="00B262DE"/>
    <w:rsid w:val="00B72704"/>
    <w:rsid w:val="00B8147D"/>
    <w:rsid w:val="00B868DA"/>
    <w:rsid w:val="00B87D18"/>
    <w:rsid w:val="00B916E1"/>
    <w:rsid w:val="00BB07CC"/>
    <w:rsid w:val="00BD7838"/>
    <w:rsid w:val="00C146D8"/>
    <w:rsid w:val="00C33DBB"/>
    <w:rsid w:val="00C41514"/>
    <w:rsid w:val="00C5354C"/>
    <w:rsid w:val="00C56EE1"/>
    <w:rsid w:val="00C70CF0"/>
    <w:rsid w:val="00C82E38"/>
    <w:rsid w:val="00C946A6"/>
    <w:rsid w:val="00CA4183"/>
    <w:rsid w:val="00CB69B9"/>
    <w:rsid w:val="00CE4A7E"/>
    <w:rsid w:val="00CF198A"/>
    <w:rsid w:val="00D03AA5"/>
    <w:rsid w:val="00D0729B"/>
    <w:rsid w:val="00D238CF"/>
    <w:rsid w:val="00D36705"/>
    <w:rsid w:val="00D82693"/>
    <w:rsid w:val="00DA0691"/>
    <w:rsid w:val="00DA1A4D"/>
    <w:rsid w:val="00DB16DA"/>
    <w:rsid w:val="00DF159F"/>
    <w:rsid w:val="00DF50CB"/>
    <w:rsid w:val="00E42E51"/>
    <w:rsid w:val="00E511AF"/>
    <w:rsid w:val="00EB0CF8"/>
    <w:rsid w:val="00EB62B7"/>
    <w:rsid w:val="00F27385"/>
    <w:rsid w:val="00F464C7"/>
    <w:rsid w:val="00F479DA"/>
    <w:rsid w:val="00F61205"/>
    <w:rsid w:val="00F64643"/>
    <w:rsid w:val="00F74CD8"/>
    <w:rsid w:val="00F74E39"/>
    <w:rsid w:val="00F87E0B"/>
    <w:rsid w:val="00FA6F94"/>
    <w:rsid w:val="00FA7AEE"/>
    <w:rsid w:val="00FC59BC"/>
    <w:rsid w:val="00FE1B60"/>
    <w:rsid w:val="00FE506B"/>
    <w:rsid w:val="00FF35FA"/>
    <w:rsid w:val="00FF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7D742A"/>
  <w15:docId w15:val="{AD0CF046-BA7D-4E29-8F9A-DE27E9A8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31E34"/>
    <w:pPr>
      <w:widowControl w:val="0"/>
      <w:tabs>
        <w:tab w:val="center" w:pos="4320"/>
        <w:tab w:val="right" w:pos="8640"/>
      </w:tabs>
    </w:pPr>
    <w:rPr>
      <w:rFonts w:ascii="Courier" w:hAnsi="Courier"/>
      <w:snapToGrid w:val="0"/>
      <w:szCs w:val="20"/>
    </w:rPr>
  </w:style>
  <w:style w:type="paragraph" w:styleId="BodyTextIndent2">
    <w:name w:val="Body Text Indent 2"/>
    <w:basedOn w:val="Normal"/>
    <w:semiHidden/>
    <w:rsid w:val="00631E34"/>
    <w:pPr>
      <w:tabs>
        <w:tab w:val="left" w:pos="-1440"/>
        <w:tab w:val="left" w:pos="-720"/>
        <w:tab w:val="left" w:pos="0"/>
        <w:tab w:val="right" w:pos="374"/>
        <w:tab w:val="left" w:pos="72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720" w:hanging="720"/>
    </w:pPr>
    <w:rPr>
      <w:snapToGrid w:val="0"/>
      <w:szCs w:val="20"/>
    </w:rPr>
  </w:style>
  <w:style w:type="paragraph" w:styleId="BodyTextIndent">
    <w:name w:val="Body Text Indent"/>
    <w:basedOn w:val="Normal"/>
    <w:semiHidden/>
    <w:rsid w:val="00631E34"/>
    <w:pPr>
      <w:tabs>
        <w:tab w:val="left" w:pos="-1440"/>
        <w:tab w:val="left" w:pos="-720"/>
        <w:tab w:val="left" w:pos="0"/>
        <w:tab w:val="right" w:pos="374"/>
        <w:tab w:val="left" w:pos="540"/>
        <w:tab w:val="left" w:pos="979"/>
        <w:tab w:val="left" w:pos="1238"/>
        <w:tab w:val="left" w:pos="1497"/>
        <w:tab w:val="left" w:pos="1756"/>
        <w:tab w:val="left" w:pos="2016"/>
        <w:tab w:val="left" w:pos="2352"/>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ind w:left="540"/>
    </w:pPr>
  </w:style>
  <w:style w:type="paragraph" w:styleId="Header">
    <w:name w:val="header"/>
    <w:basedOn w:val="Normal"/>
    <w:semiHidden/>
    <w:rsid w:val="00631E34"/>
    <w:pPr>
      <w:tabs>
        <w:tab w:val="center" w:pos="4320"/>
        <w:tab w:val="right" w:pos="8640"/>
      </w:tabs>
    </w:pPr>
  </w:style>
  <w:style w:type="character" w:styleId="PageNumber">
    <w:name w:val="page number"/>
    <w:basedOn w:val="DefaultParagraphFont"/>
    <w:semiHidden/>
    <w:rsid w:val="00631E34"/>
  </w:style>
  <w:style w:type="character" w:styleId="FootnoteReference">
    <w:name w:val="footnote reference"/>
    <w:semiHidden/>
    <w:rsid w:val="0098074E"/>
  </w:style>
  <w:style w:type="paragraph" w:styleId="FootnoteText">
    <w:name w:val="footnote text"/>
    <w:basedOn w:val="Normal"/>
    <w:link w:val="FootnoteTextChar"/>
    <w:uiPriority w:val="99"/>
    <w:semiHidden/>
    <w:rsid w:val="0098074E"/>
    <w:pPr>
      <w:widowControl w:val="0"/>
    </w:pPr>
    <w:rPr>
      <w:rFonts w:ascii="Courier" w:hAnsi="Courier"/>
      <w:snapToGrid w:val="0"/>
      <w:sz w:val="20"/>
      <w:szCs w:val="20"/>
    </w:rPr>
  </w:style>
  <w:style w:type="character" w:customStyle="1" w:styleId="FootnoteTextChar">
    <w:name w:val="Footnote Text Char"/>
    <w:basedOn w:val="DefaultParagraphFont"/>
    <w:link w:val="FootnoteText"/>
    <w:uiPriority w:val="99"/>
    <w:semiHidden/>
    <w:rsid w:val="0098074E"/>
    <w:rPr>
      <w:rFonts w:ascii="Courier" w:hAnsi="Courier"/>
      <w:snapToGrid w:val="0"/>
    </w:rPr>
  </w:style>
  <w:style w:type="paragraph" w:styleId="Title">
    <w:name w:val="Title"/>
    <w:basedOn w:val="Normal"/>
    <w:link w:val="TitleChar"/>
    <w:qFormat/>
    <w:rsid w:val="0098074E"/>
    <w:pPr>
      <w:tabs>
        <w:tab w:val="left" w:pos="-1440"/>
        <w:tab w:val="left" w:pos="-720"/>
        <w:tab w:val="left" w:pos="0"/>
        <w:tab w:val="left" w:pos="374"/>
        <w:tab w:val="left" w:pos="720"/>
        <w:tab w:val="left" w:pos="979"/>
        <w:tab w:val="left" w:pos="1238"/>
        <w:tab w:val="left" w:pos="1497"/>
        <w:tab w:val="left" w:pos="1756"/>
        <w:tab w:val="left" w:pos="2016"/>
        <w:tab w:val="left" w:pos="2275"/>
        <w:tab w:val="left" w:pos="2534"/>
        <w:tab w:val="left" w:pos="2793"/>
        <w:tab w:val="left" w:pos="3052"/>
        <w:tab w:val="left" w:pos="3312"/>
        <w:tab w:val="left" w:pos="3571"/>
        <w:tab w:val="left" w:pos="3830"/>
        <w:tab w:val="left" w:pos="4089"/>
        <w:tab w:val="left" w:pos="4348"/>
        <w:tab w:val="left" w:pos="4608"/>
        <w:tab w:val="left" w:pos="4867"/>
        <w:tab w:val="left" w:pos="5126"/>
        <w:tab w:val="left" w:pos="5385"/>
        <w:tab w:val="left" w:pos="5644"/>
        <w:tab w:val="left" w:pos="5904"/>
        <w:tab w:val="left" w:pos="6163"/>
        <w:tab w:val="left" w:pos="6422"/>
        <w:tab w:val="left" w:pos="6681"/>
        <w:tab w:val="left" w:pos="6940"/>
        <w:tab w:val="left" w:pos="7200"/>
      </w:tabs>
      <w:jc w:val="center"/>
      <w:outlineLvl w:val="0"/>
    </w:pPr>
    <w:rPr>
      <w:b/>
      <w:snapToGrid w:val="0"/>
      <w:szCs w:val="20"/>
    </w:rPr>
  </w:style>
  <w:style w:type="character" w:customStyle="1" w:styleId="TitleChar">
    <w:name w:val="Title Char"/>
    <w:basedOn w:val="DefaultParagraphFont"/>
    <w:link w:val="Title"/>
    <w:rsid w:val="0098074E"/>
    <w:rPr>
      <w:b/>
      <w:snapToGrid w:val="0"/>
      <w:sz w:val="24"/>
    </w:rPr>
  </w:style>
  <w:style w:type="character" w:styleId="CommentReference">
    <w:name w:val="annotation reference"/>
    <w:basedOn w:val="DefaultParagraphFont"/>
    <w:uiPriority w:val="99"/>
    <w:semiHidden/>
    <w:unhideWhenUsed/>
    <w:rsid w:val="003504BF"/>
    <w:rPr>
      <w:sz w:val="16"/>
      <w:szCs w:val="16"/>
    </w:rPr>
  </w:style>
  <w:style w:type="paragraph" w:styleId="CommentText">
    <w:name w:val="annotation text"/>
    <w:basedOn w:val="Normal"/>
    <w:link w:val="CommentTextChar"/>
    <w:uiPriority w:val="99"/>
    <w:semiHidden/>
    <w:unhideWhenUsed/>
    <w:rsid w:val="003504BF"/>
    <w:rPr>
      <w:sz w:val="20"/>
      <w:szCs w:val="20"/>
    </w:rPr>
  </w:style>
  <w:style w:type="character" w:customStyle="1" w:styleId="CommentTextChar">
    <w:name w:val="Comment Text Char"/>
    <w:basedOn w:val="DefaultParagraphFont"/>
    <w:link w:val="CommentText"/>
    <w:uiPriority w:val="99"/>
    <w:semiHidden/>
    <w:rsid w:val="003504BF"/>
  </w:style>
  <w:style w:type="paragraph" w:styleId="CommentSubject">
    <w:name w:val="annotation subject"/>
    <w:basedOn w:val="CommentText"/>
    <w:next w:val="CommentText"/>
    <w:link w:val="CommentSubjectChar"/>
    <w:uiPriority w:val="99"/>
    <w:semiHidden/>
    <w:unhideWhenUsed/>
    <w:rsid w:val="003504BF"/>
    <w:rPr>
      <w:b/>
      <w:bCs/>
    </w:rPr>
  </w:style>
  <w:style w:type="character" w:customStyle="1" w:styleId="CommentSubjectChar">
    <w:name w:val="Comment Subject Char"/>
    <w:basedOn w:val="CommentTextChar"/>
    <w:link w:val="CommentSubject"/>
    <w:uiPriority w:val="99"/>
    <w:semiHidden/>
    <w:rsid w:val="003504BF"/>
    <w:rPr>
      <w:b/>
      <w:bCs/>
    </w:rPr>
  </w:style>
  <w:style w:type="paragraph" w:styleId="BalloonText">
    <w:name w:val="Balloon Text"/>
    <w:basedOn w:val="Normal"/>
    <w:link w:val="BalloonTextChar"/>
    <w:uiPriority w:val="99"/>
    <w:semiHidden/>
    <w:unhideWhenUsed/>
    <w:rsid w:val="003504BF"/>
    <w:rPr>
      <w:rFonts w:ascii="Tahoma" w:hAnsi="Tahoma" w:cs="Tahoma"/>
      <w:sz w:val="16"/>
      <w:szCs w:val="16"/>
    </w:rPr>
  </w:style>
  <w:style w:type="character" w:customStyle="1" w:styleId="BalloonTextChar">
    <w:name w:val="Balloon Text Char"/>
    <w:basedOn w:val="DefaultParagraphFont"/>
    <w:link w:val="BalloonText"/>
    <w:uiPriority w:val="99"/>
    <w:semiHidden/>
    <w:rsid w:val="003504BF"/>
    <w:rPr>
      <w:rFonts w:ascii="Tahoma" w:hAnsi="Tahoma" w:cs="Tahoma"/>
      <w:sz w:val="16"/>
      <w:szCs w:val="16"/>
    </w:rPr>
  </w:style>
  <w:style w:type="paragraph" w:styleId="ListParagraph">
    <w:name w:val="List Paragraph"/>
    <w:basedOn w:val="Normal"/>
    <w:uiPriority w:val="34"/>
    <w:qFormat/>
    <w:rsid w:val="003714B5"/>
    <w:pPr>
      <w:widowControl w:val="0"/>
      <w:ind w:left="720"/>
      <w:contextualSpacing/>
    </w:pPr>
    <w:rPr>
      <w:rFonts w:ascii="Courier New" w:hAnsi="Courier New"/>
      <w:snapToGrid w:val="0"/>
      <w:szCs w:val="20"/>
    </w:rPr>
  </w:style>
  <w:style w:type="table" w:styleId="TableGrid">
    <w:name w:val="Table Grid"/>
    <w:basedOn w:val="TableNormal"/>
    <w:uiPriority w:val="59"/>
    <w:rsid w:val="00F61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217D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CF19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D238-A42E-48E3-A463-07C599CB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B0F8B176</Template>
  <TotalTime>1</TotalTime>
  <Pages>16</Pages>
  <Words>3413</Words>
  <Characters>20740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Part B</vt:lpstr>
    </vt:vector>
  </TitlesOfParts>
  <Company>US Census Bureau</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subject/>
  <dc:creator>hill0033</dc:creator>
  <cp:keywords/>
  <dc:description/>
  <cp:lastModifiedBy>Thomas J Smith (CENSUS/EMD FED)</cp:lastModifiedBy>
  <cp:revision>2</cp:revision>
  <cp:lastPrinted>2016-12-07T19:26:00Z</cp:lastPrinted>
  <dcterms:created xsi:type="dcterms:W3CDTF">2017-05-05T13:31:00Z</dcterms:created>
  <dcterms:modified xsi:type="dcterms:W3CDTF">2017-05-05T13:31:00Z</dcterms:modified>
</cp:coreProperties>
</file>