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CBF1A" w14:textId="77777777" w:rsidR="00133F31" w:rsidRPr="00133F31" w:rsidRDefault="00133F31" w:rsidP="00133F31">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bookmarkStart w:id="0" w:name="_GoBack"/>
      <w:bookmarkEnd w:id="0"/>
      <w:r w:rsidRPr="00133F31">
        <w:rPr>
          <w:rFonts w:ascii="Times New Roman" w:eastAsia="Times New Roman" w:hAnsi="Times New Roman" w:cs="Times New Roman"/>
          <w:b/>
          <w:bCs/>
          <w:color w:val="000000"/>
          <w:sz w:val="24"/>
          <w:szCs w:val="20"/>
        </w:rPr>
        <w:t>SUPPORTING STATEMENT</w:t>
      </w:r>
    </w:p>
    <w:p w14:paraId="7CFC2E0B" w14:textId="77777777" w:rsidR="00133F31" w:rsidRPr="00133F31" w:rsidRDefault="00133F31" w:rsidP="00133F31">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r w:rsidRPr="00133F31">
        <w:rPr>
          <w:rFonts w:ascii="Times New Roman" w:eastAsia="Times New Roman" w:hAnsi="Times New Roman" w:cs="Times New Roman"/>
          <w:b/>
          <w:bCs/>
          <w:color w:val="000000"/>
          <w:sz w:val="24"/>
          <w:szCs w:val="20"/>
        </w:rPr>
        <w:t>U.S. Department of Commerce</w:t>
      </w:r>
    </w:p>
    <w:p w14:paraId="717F67E2" w14:textId="77777777" w:rsidR="00133F31" w:rsidRPr="00133F31" w:rsidRDefault="00133F31" w:rsidP="00133F31">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r w:rsidRPr="00133F31">
        <w:rPr>
          <w:rFonts w:ascii="Times New Roman" w:eastAsia="Times New Roman" w:hAnsi="Times New Roman" w:cs="Times New Roman"/>
          <w:b/>
          <w:bCs/>
          <w:color w:val="000000"/>
          <w:sz w:val="24"/>
          <w:szCs w:val="20"/>
        </w:rPr>
        <w:t>U.S. Census Bureau</w:t>
      </w:r>
    </w:p>
    <w:p w14:paraId="3FC14E1A" w14:textId="63D0DCC4" w:rsidR="00133F31" w:rsidRPr="00133F31" w:rsidRDefault="00133F31" w:rsidP="00133F31">
      <w:pPr>
        <w:autoSpaceDE w:val="0"/>
        <w:autoSpaceDN w:val="0"/>
        <w:adjustRightInd w:val="0"/>
        <w:spacing w:after="0" w:line="240" w:lineRule="atLeast"/>
        <w:jc w:val="center"/>
        <w:rPr>
          <w:rFonts w:ascii="Times New Roman" w:eastAsia="Times New Roman" w:hAnsi="Times New Roman" w:cs="Times New Roman"/>
          <w:b/>
          <w:bCs/>
          <w:color w:val="000000"/>
          <w:sz w:val="24"/>
          <w:szCs w:val="20"/>
        </w:rPr>
      </w:pPr>
      <w:r w:rsidRPr="00133F31">
        <w:rPr>
          <w:rFonts w:ascii="Times New Roman" w:eastAsia="Times New Roman" w:hAnsi="Times New Roman" w:cs="Times New Roman"/>
          <w:b/>
          <w:bCs/>
          <w:sz w:val="24"/>
          <w:szCs w:val="20"/>
        </w:rPr>
        <w:t xml:space="preserve">2017 - 2019 </w:t>
      </w:r>
      <w:r w:rsidR="0018372D">
        <w:rPr>
          <w:rFonts w:ascii="Times New Roman" w:eastAsia="Times New Roman" w:hAnsi="Times New Roman" w:cs="Times New Roman"/>
          <w:b/>
          <w:bCs/>
          <w:sz w:val="24"/>
          <w:szCs w:val="20"/>
        </w:rPr>
        <w:t>Report of</w:t>
      </w:r>
      <w:r w:rsidRPr="00133F31">
        <w:rPr>
          <w:rFonts w:ascii="Times New Roman" w:eastAsia="Times New Roman" w:hAnsi="Times New Roman" w:cs="Times New Roman"/>
          <w:b/>
          <w:bCs/>
          <w:color w:val="000000"/>
          <w:sz w:val="24"/>
          <w:szCs w:val="20"/>
        </w:rPr>
        <w:t xml:space="preserve"> Organization</w:t>
      </w:r>
    </w:p>
    <w:p w14:paraId="75DDFECE" w14:textId="77777777" w:rsidR="00133F31" w:rsidRPr="00133F31" w:rsidRDefault="00133F31" w:rsidP="00133F31">
      <w:pPr>
        <w:spacing w:after="0" w:line="240" w:lineRule="auto"/>
        <w:ind w:left="2160" w:firstLine="720"/>
        <w:rPr>
          <w:rFonts w:ascii="Times New Roman" w:eastAsia="Times New Roman" w:hAnsi="Times New Roman" w:cs="Times New Roman"/>
          <w:b/>
          <w:bCs/>
          <w:color w:val="000000"/>
          <w:sz w:val="24"/>
          <w:szCs w:val="20"/>
        </w:rPr>
      </w:pPr>
      <w:r w:rsidRPr="00133F31">
        <w:rPr>
          <w:rFonts w:ascii="Times New Roman" w:eastAsia="Times New Roman" w:hAnsi="Times New Roman" w:cs="Times New Roman"/>
          <w:b/>
          <w:bCs/>
          <w:color w:val="000000"/>
          <w:sz w:val="24"/>
          <w:szCs w:val="20"/>
        </w:rPr>
        <w:t xml:space="preserve">    OMB Control No. 0607-0444</w:t>
      </w:r>
    </w:p>
    <w:p w14:paraId="608509FD" w14:textId="77777777" w:rsidR="00133F31" w:rsidRPr="00133F31" w:rsidRDefault="00133F31" w:rsidP="00133F31">
      <w:pPr>
        <w:spacing w:after="0" w:line="240" w:lineRule="auto"/>
        <w:ind w:firstLine="720"/>
        <w:jc w:val="center"/>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lang w:val="en-CA"/>
        </w:rPr>
        <w:fldChar w:fldCharType="begin"/>
      </w:r>
      <w:r w:rsidRPr="00133F31">
        <w:rPr>
          <w:rFonts w:ascii="Times New Roman" w:eastAsia="Times New Roman" w:hAnsi="Times New Roman" w:cs="Times New Roman"/>
          <w:sz w:val="24"/>
          <w:szCs w:val="24"/>
          <w:lang w:val="en-CA"/>
        </w:rPr>
        <w:instrText xml:space="preserve"> SEQ CHAPTER \h \r 1</w:instrText>
      </w:r>
      <w:r w:rsidRPr="00133F31">
        <w:rPr>
          <w:rFonts w:ascii="Times New Roman" w:eastAsia="Times New Roman" w:hAnsi="Times New Roman" w:cs="Times New Roman"/>
          <w:sz w:val="24"/>
          <w:szCs w:val="24"/>
          <w:lang w:val="en-CA"/>
        </w:rPr>
        <w:fldChar w:fldCharType="end"/>
      </w:r>
    </w:p>
    <w:p w14:paraId="6ADD1124" w14:textId="77777777" w:rsidR="00133F31" w:rsidRPr="00133F31" w:rsidRDefault="00133F31" w:rsidP="00133F31">
      <w:pPr>
        <w:tabs>
          <w:tab w:val="left" w:pos="720"/>
          <w:tab w:val="left" w:pos="1440"/>
          <w:tab w:val="left" w:pos="4104"/>
        </w:tabs>
        <w:spacing w:after="0" w:line="240" w:lineRule="auto"/>
        <w:ind w:left="720" w:hanging="72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w:t>
      </w:r>
      <w:r w:rsidRPr="00133F31">
        <w:rPr>
          <w:rFonts w:ascii="Times New Roman" w:eastAsia="Times New Roman" w:hAnsi="Times New Roman" w:cs="Times New Roman"/>
          <w:sz w:val="24"/>
          <w:szCs w:val="24"/>
        </w:rPr>
        <w:tab/>
        <w:t xml:space="preserve">Justification   </w:t>
      </w:r>
      <w:r w:rsidRPr="00133F31">
        <w:rPr>
          <w:rFonts w:ascii="Times New Roman" w:eastAsia="Times New Roman" w:hAnsi="Times New Roman" w:cs="Times New Roman"/>
          <w:sz w:val="24"/>
          <w:szCs w:val="24"/>
        </w:rPr>
        <w:tab/>
      </w:r>
    </w:p>
    <w:p w14:paraId="3DE770F0" w14:textId="77777777" w:rsidR="00133F31" w:rsidRPr="00133F31" w:rsidRDefault="00133F31" w:rsidP="00133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72E47F86" w14:textId="77777777" w:rsidR="00133F31" w:rsidRPr="00133F31" w:rsidRDefault="00133F31" w:rsidP="00133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1.</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Necessity of Information Collection</w:t>
      </w:r>
    </w:p>
    <w:p w14:paraId="42FD3DCD" w14:textId="77777777" w:rsidR="00133F31" w:rsidRPr="00133F31" w:rsidRDefault="00133F31" w:rsidP="00133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838C0B6" w14:textId="33DE8C88"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Census Bureau requests a revision of the currently approved </w:t>
      </w:r>
      <w:r w:rsidR="0018372D">
        <w:rPr>
          <w:rFonts w:ascii="Times New Roman" w:eastAsia="Times New Roman" w:hAnsi="Times New Roman" w:cs="Times New Roman"/>
          <w:sz w:val="24"/>
          <w:szCs w:val="24"/>
        </w:rPr>
        <w:t>Report of</w:t>
      </w:r>
      <w:r w:rsidRPr="00133F31">
        <w:rPr>
          <w:rFonts w:ascii="Times New Roman" w:eastAsia="Times New Roman" w:hAnsi="Times New Roman" w:cs="Times New Roman"/>
          <w:sz w:val="24"/>
          <w:szCs w:val="24"/>
        </w:rPr>
        <w:t xml:space="preserve"> Organization</w:t>
      </w:r>
      <w:r w:rsidR="00612386">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rPr>
        <w:t>data collection for survey years 2017, 2018 and</w:t>
      </w:r>
      <w:r w:rsidRPr="00133F31">
        <w:rPr>
          <w:rFonts w:ascii="Times New Roman" w:eastAsia="Times New Roman" w:hAnsi="Times New Roman" w:cs="Times New Roman"/>
          <w:color w:val="FF0000"/>
          <w:sz w:val="24"/>
          <w:szCs w:val="24"/>
        </w:rPr>
        <w:t xml:space="preserve"> </w:t>
      </w:r>
      <w:r w:rsidRPr="00133F31">
        <w:rPr>
          <w:rFonts w:ascii="Times New Roman" w:eastAsia="Times New Roman" w:hAnsi="Times New Roman" w:cs="Times New Roman"/>
          <w:sz w:val="24"/>
          <w:szCs w:val="24"/>
        </w:rPr>
        <w:t xml:space="preserve">2019.  We request an extension of the current expiration date to December 2020 to complete the data collection for the 2017, 2018 and 2019 </w:t>
      </w:r>
      <w:r w:rsidR="00612386">
        <w:rPr>
          <w:rFonts w:ascii="Times New Roman" w:eastAsia="Times New Roman" w:hAnsi="Times New Roman" w:cs="Times New Roman"/>
          <w:sz w:val="24"/>
          <w:szCs w:val="24"/>
        </w:rPr>
        <w:t>R</w:t>
      </w:r>
      <w:r w:rsidR="00D4225A">
        <w:rPr>
          <w:rFonts w:ascii="Times New Roman" w:eastAsia="Times New Roman" w:hAnsi="Times New Roman" w:cs="Times New Roman"/>
          <w:sz w:val="24"/>
          <w:szCs w:val="24"/>
        </w:rPr>
        <w:t xml:space="preserve">eport of </w:t>
      </w:r>
      <w:r w:rsidR="00612386">
        <w:rPr>
          <w:rFonts w:ascii="Times New Roman" w:eastAsia="Times New Roman" w:hAnsi="Times New Roman" w:cs="Times New Roman"/>
          <w:sz w:val="24"/>
          <w:szCs w:val="24"/>
        </w:rPr>
        <w:t>O</w:t>
      </w:r>
      <w:r w:rsidR="00D4225A">
        <w:rPr>
          <w:rFonts w:ascii="Times New Roman" w:eastAsia="Times New Roman" w:hAnsi="Times New Roman" w:cs="Times New Roman"/>
          <w:sz w:val="24"/>
          <w:szCs w:val="24"/>
        </w:rPr>
        <w:t>rganization</w:t>
      </w:r>
      <w:r w:rsidRPr="00F01141">
        <w:rPr>
          <w:rFonts w:ascii="Times New Roman" w:eastAsia="Times New Roman" w:hAnsi="Times New Roman" w:cs="Times New Roman"/>
          <w:sz w:val="24"/>
          <w:szCs w:val="24"/>
        </w:rPr>
        <w:t>.</w:t>
      </w:r>
      <w:r w:rsidR="00860204" w:rsidRPr="00F01141">
        <w:rPr>
          <w:rFonts w:ascii="Times New Roman" w:eastAsia="Times New Roman" w:hAnsi="Times New Roman" w:cs="Times New Roman"/>
          <w:sz w:val="24"/>
          <w:szCs w:val="24"/>
        </w:rPr>
        <w:t xml:space="preserve">  We are also </w:t>
      </w:r>
      <w:r w:rsidR="008F6039" w:rsidRPr="00F01141">
        <w:rPr>
          <w:rFonts w:ascii="Times New Roman" w:eastAsia="Times New Roman" w:hAnsi="Times New Roman" w:cs="Times New Roman"/>
          <w:sz w:val="24"/>
          <w:szCs w:val="24"/>
        </w:rPr>
        <w:t>changing</w:t>
      </w:r>
      <w:r w:rsidR="00860204" w:rsidRPr="00F01141">
        <w:rPr>
          <w:rFonts w:ascii="Times New Roman" w:eastAsia="Times New Roman" w:hAnsi="Times New Roman" w:cs="Times New Roman"/>
          <w:sz w:val="24"/>
          <w:szCs w:val="24"/>
        </w:rPr>
        <w:t xml:space="preserve"> </w:t>
      </w:r>
      <w:r w:rsidR="008F6039" w:rsidRPr="00F01141">
        <w:rPr>
          <w:rFonts w:ascii="Times New Roman" w:eastAsia="Times New Roman" w:hAnsi="Times New Roman" w:cs="Times New Roman"/>
          <w:sz w:val="24"/>
          <w:szCs w:val="24"/>
        </w:rPr>
        <w:t>the name of the collection from the Company Organization Survey to</w:t>
      </w:r>
      <w:r w:rsidR="004B7320" w:rsidRPr="00F01141">
        <w:rPr>
          <w:rFonts w:ascii="Times New Roman" w:eastAsia="Times New Roman" w:hAnsi="Times New Roman" w:cs="Times New Roman"/>
          <w:sz w:val="24"/>
          <w:szCs w:val="24"/>
        </w:rPr>
        <w:t xml:space="preserve"> the</w:t>
      </w:r>
      <w:r w:rsidR="008F6039" w:rsidRPr="00F01141">
        <w:rPr>
          <w:rFonts w:ascii="Times New Roman" w:eastAsia="Times New Roman" w:hAnsi="Times New Roman" w:cs="Times New Roman"/>
          <w:sz w:val="24"/>
          <w:szCs w:val="24"/>
        </w:rPr>
        <w:t xml:space="preserve"> Report of Organization</w:t>
      </w:r>
      <w:r w:rsidR="00860204" w:rsidRPr="00F01141">
        <w:rPr>
          <w:rFonts w:ascii="Times New Roman" w:eastAsia="Times New Roman" w:hAnsi="Times New Roman" w:cs="Times New Roman"/>
          <w:sz w:val="24"/>
          <w:szCs w:val="24"/>
        </w:rPr>
        <w:t xml:space="preserve"> to reflect how the</w:t>
      </w:r>
      <w:r w:rsidR="008F6039" w:rsidRPr="00F01141">
        <w:rPr>
          <w:rFonts w:ascii="Times New Roman" w:eastAsia="Times New Roman" w:hAnsi="Times New Roman" w:cs="Times New Roman"/>
          <w:sz w:val="24"/>
          <w:szCs w:val="24"/>
        </w:rPr>
        <w:t xml:space="preserve"> survey</w:t>
      </w:r>
      <w:r w:rsidR="00860204" w:rsidRPr="00F01141">
        <w:rPr>
          <w:rFonts w:ascii="Times New Roman" w:eastAsia="Times New Roman" w:hAnsi="Times New Roman" w:cs="Times New Roman"/>
          <w:sz w:val="24"/>
          <w:szCs w:val="24"/>
        </w:rPr>
        <w:t xml:space="preserve"> name is presented in the instrument and public-facing documentation.</w:t>
      </w:r>
    </w:p>
    <w:p w14:paraId="0445B46D" w14:textId="77777777" w:rsidR="00133F31" w:rsidRPr="00133F31" w:rsidRDefault="00133F31" w:rsidP="00133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012776D1" w14:textId="3BDFDDC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Census Bureau conducts the annual </w:t>
      </w:r>
      <w:r w:rsidR="003E7F40">
        <w:rPr>
          <w:rFonts w:ascii="Times New Roman" w:eastAsia="Times New Roman" w:hAnsi="Times New Roman" w:cs="Times New Roman"/>
          <w:sz w:val="24"/>
          <w:szCs w:val="24"/>
        </w:rPr>
        <w:t>R</w:t>
      </w:r>
      <w:r w:rsidR="00D4225A">
        <w:rPr>
          <w:rFonts w:ascii="Times New Roman" w:eastAsia="Times New Roman" w:hAnsi="Times New Roman" w:cs="Times New Roman"/>
          <w:sz w:val="24"/>
          <w:szCs w:val="24"/>
        </w:rPr>
        <w:t xml:space="preserve">eport of </w:t>
      </w:r>
      <w:r w:rsidRPr="00133F31">
        <w:rPr>
          <w:rFonts w:ascii="Times New Roman" w:eastAsia="Times New Roman" w:hAnsi="Times New Roman" w:cs="Times New Roman"/>
          <w:sz w:val="24"/>
          <w:szCs w:val="24"/>
        </w:rPr>
        <w:t>O</w:t>
      </w:r>
      <w:r w:rsidR="00D4225A">
        <w:rPr>
          <w:rFonts w:ascii="Times New Roman" w:eastAsia="Times New Roman" w:hAnsi="Times New Roman" w:cs="Times New Roman"/>
          <w:sz w:val="24"/>
          <w:szCs w:val="24"/>
        </w:rPr>
        <w:t>rganization</w:t>
      </w:r>
      <w:r w:rsidRPr="00133F31">
        <w:rPr>
          <w:rFonts w:ascii="Times New Roman" w:eastAsia="Times New Roman" w:hAnsi="Times New Roman" w:cs="Times New Roman"/>
          <w:sz w:val="24"/>
          <w:szCs w:val="24"/>
        </w:rPr>
        <w:t xml:space="preserve"> to update and maintain a centralized, multipurpose Business Register (BR).  In particular, the </w:t>
      </w:r>
      <w:r w:rsidR="00D4225A">
        <w:rPr>
          <w:rFonts w:ascii="Times New Roman" w:eastAsia="Times New Roman" w:hAnsi="Times New Roman" w:cs="Times New Roman"/>
          <w:sz w:val="24"/>
          <w:szCs w:val="24"/>
        </w:rPr>
        <w:t xml:space="preserve">survey </w:t>
      </w:r>
      <w:r w:rsidRPr="00133F31">
        <w:rPr>
          <w:rFonts w:ascii="Times New Roman" w:eastAsia="Times New Roman" w:hAnsi="Times New Roman" w:cs="Times New Roman"/>
          <w:sz w:val="24"/>
          <w:szCs w:val="24"/>
        </w:rPr>
        <w:t>supplies critical information on the organizational structure, operating characteristics, and employment and payroll of multi-location enterprises.</w:t>
      </w:r>
    </w:p>
    <w:p w14:paraId="6205F2C3"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193EFD95" w14:textId="0BBE2CED"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For survey year 2017, the </w:t>
      </w:r>
      <w:r w:rsidR="006626D7">
        <w:rPr>
          <w:rFonts w:ascii="Times New Roman" w:eastAsia="Times New Roman" w:hAnsi="Times New Roman" w:cs="Times New Roman"/>
          <w:sz w:val="24"/>
          <w:szCs w:val="24"/>
        </w:rPr>
        <w:t>R</w:t>
      </w:r>
      <w:r w:rsidR="00D4225A">
        <w:rPr>
          <w:rFonts w:ascii="Times New Roman" w:eastAsia="Times New Roman" w:hAnsi="Times New Roman" w:cs="Times New Roman"/>
          <w:sz w:val="24"/>
          <w:szCs w:val="24"/>
        </w:rPr>
        <w:t xml:space="preserve">eport of </w:t>
      </w:r>
      <w:r w:rsidRPr="00133F31">
        <w:rPr>
          <w:rFonts w:ascii="Times New Roman" w:eastAsia="Times New Roman" w:hAnsi="Times New Roman" w:cs="Times New Roman"/>
          <w:sz w:val="24"/>
          <w:szCs w:val="24"/>
        </w:rPr>
        <w:t>O</w:t>
      </w:r>
      <w:r w:rsidR="00D4225A">
        <w:rPr>
          <w:rFonts w:ascii="Times New Roman" w:eastAsia="Times New Roman" w:hAnsi="Times New Roman" w:cs="Times New Roman"/>
          <w:sz w:val="24"/>
          <w:szCs w:val="24"/>
        </w:rPr>
        <w:t>rganization</w:t>
      </w:r>
      <w:r w:rsidRPr="00133F31">
        <w:rPr>
          <w:rFonts w:ascii="Times New Roman" w:eastAsia="Times New Roman" w:hAnsi="Times New Roman" w:cs="Times New Roman"/>
          <w:sz w:val="24"/>
          <w:szCs w:val="24"/>
        </w:rPr>
        <w:t xml:space="preserve"> will be conducted in conjunction with the 2017 Economic Census, as has been done for previous economic censuses.  During this year, the universe of multi-establishment companies will receive </w:t>
      </w:r>
      <w:r w:rsidR="003E7F40">
        <w:rPr>
          <w:rFonts w:ascii="Times New Roman" w:eastAsia="Times New Roman" w:hAnsi="Times New Roman" w:cs="Times New Roman"/>
          <w:sz w:val="24"/>
          <w:szCs w:val="24"/>
        </w:rPr>
        <w:t>R</w:t>
      </w:r>
      <w:r w:rsidR="00D4225A">
        <w:rPr>
          <w:rFonts w:ascii="Times New Roman" w:eastAsia="Times New Roman" w:hAnsi="Times New Roman" w:cs="Times New Roman"/>
          <w:sz w:val="24"/>
          <w:szCs w:val="24"/>
        </w:rPr>
        <w:t xml:space="preserve">eport of </w:t>
      </w:r>
      <w:r w:rsidRPr="00133F31">
        <w:rPr>
          <w:rFonts w:ascii="Times New Roman" w:eastAsia="Times New Roman" w:hAnsi="Times New Roman" w:cs="Times New Roman"/>
          <w:sz w:val="24"/>
          <w:szCs w:val="24"/>
        </w:rPr>
        <w:t>O</w:t>
      </w:r>
      <w:r w:rsidR="00D4225A">
        <w:rPr>
          <w:rFonts w:ascii="Times New Roman" w:eastAsia="Times New Roman" w:hAnsi="Times New Roman" w:cs="Times New Roman"/>
          <w:sz w:val="24"/>
          <w:szCs w:val="24"/>
        </w:rPr>
        <w:t>rganization</w:t>
      </w:r>
      <w:r w:rsidRPr="00133F31">
        <w:rPr>
          <w:rFonts w:ascii="Times New Roman" w:eastAsia="Times New Roman" w:hAnsi="Times New Roman" w:cs="Times New Roman"/>
          <w:sz w:val="24"/>
          <w:szCs w:val="24"/>
        </w:rPr>
        <w:t xml:space="preserve"> inquiries</w:t>
      </w:r>
      <w:r w:rsidR="00D72C54">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rPr>
        <w:t xml:space="preserve">In survey years 2018 and 2019, only a sample of multi-establishment and single-location companies will receive </w:t>
      </w:r>
      <w:r w:rsidR="003E7F40">
        <w:rPr>
          <w:rFonts w:ascii="Times New Roman" w:eastAsia="Times New Roman" w:hAnsi="Times New Roman" w:cs="Times New Roman"/>
          <w:sz w:val="24"/>
          <w:szCs w:val="24"/>
        </w:rPr>
        <w:t>R</w:t>
      </w:r>
      <w:r w:rsidR="00D4225A">
        <w:rPr>
          <w:rFonts w:ascii="Times New Roman" w:eastAsia="Times New Roman" w:hAnsi="Times New Roman" w:cs="Times New Roman"/>
          <w:sz w:val="24"/>
          <w:szCs w:val="24"/>
        </w:rPr>
        <w:t xml:space="preserve">eport of </w:t>
      </w:r>
      <w:r w:rsidRPr="00133F31">
        <w:rPr>
          <w:rFonts w:ascii="Times New Roman" w:eastAsia="Times New Roman" w:hAnsi="Times New Roman" w:cs="Times New Roman"/>
          <w:sz w:val="24"/>
          <w:szCs w:val="24"/>
        </w:rPr>
        <w:t>O</w:t>
      </w:r>
      <w:r w:rsidR="00D4225A">
        <w:rPr>
          <w:rFonts w:ascii="Times New Roman" w:eastAsia="Times New Roman" w:hAnsi="Times New Roman" w:cs="Times New Roman"/>
          <w:sz w:val="24"/>
          <w:szCs w:val="24"/>
        </w:rPr>
        <w:t>rganization</w:t>
      </w:r>
      <w:r w:rsidRPr="00133F31">
        <w:rPr>
          <w:rFonts w:ascii="Times New Roman" w:eastAsia="Times New Roman" w:hAnsi="Times New Roman" w:cs="Times New Roman"/>
          <w:sz w:val="24"/>
          <w:szCs w:val="24"/>
        </w:rPr>
        <w:t xml:space="preserve"> inquiries.</w:t>
      </w:r>
    </w:p>
    <w:p w14:paraId="2092FACC"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color w:val="FF0000"/>
          <w:sz w:val="24"/>
          <w:szCs w:val="24"/>
        </w:rPr>
      </w:pPr>
    </w:p>
    <w:p w14:paraId="41AC2A64" w14:textId="0910F3B5" w:rsidR="00133F31" w:rsidRPr="00476B67" w:rsidRDefault="00133F31" w:rsidP="00782F8A">
      <w:pPr>
        <w:autoSpaceDE w:val="0"/>
        <w:autoSpaceDN w:val="0"/>
        <w:adjustRightInd w:val="0"/>
        <w:spacing w:after="0" w:line="240" w:lineRule="atLeast"/>
        <w:ind w:left="1440"/>
        <w:rPr>
          <w:rFonts w:ascii="Times New Roman" w:eastAsia="Times New Roman" w:hAnsi="Times New Roman" w:cs="Times New Roman"/>
          <w:sz w:val="24"/>
          <w:szCs w:val="24"/>
        </w:rPr>
      </w:pPr>
      <w:r w:rsidRPr="00476B67">
        <w:rPr>
          <w:rFonts w:ascii="Times New Roman" w:eastAsia="Times New Roman" w:hAnsi="Times New Roman" w:cs="Times New Roman"/>
          <w:sz w:val="24"/>
          <w:szCs w:val="20"/>
        </w:rPr>
        <w:t xml:space="preserve">Form NC-99001 is directed to multi-establishment location enterprises during census and non-census years.  </w:t>
      </w:r>
      <w:r w:rsidR="00291FBA" w:rsidRPr="00476B67">
        <w:rPr>
          <w:rFonts w:ascii="Times New Roman" w:eastAsia="Times New Roman" w:hAnsi="Times New Roman" w:cs="Times New Roman"/>
          <w:sz w:val="24"/>
          <w:szCs w:val="20"/>
        </w:rPr>
        <w:t>For</w:t>
      </w:r>
      <w:r w:rsidR="002B6BCB" w:rsidRPr="00476B67">
        <w:rPr>
          <w:rFonts w:ascii="Times New Roman" w:eastAsia="Times New Roman" w:hAnsi="Times New Roman" w:cs="Times New Roman"/>
          <w:sz w:val="24"/>
          <w:szCs w:val="20"/>
        </w:rPr>
        <w:t xml:space="preserve"> census years, h</w:t>
      </w:r>
      <w:r w:rsidR="005736E9" w:rsidRPr="00476B67">
        <w:rPr>
          <w:rFonts w:ascii="Times New Roman" w:eastAsia="Times New Roman" w:hAnsi="Times New Roman" w:cs="Times New Roman"/>
          <w:sz w:val="24"/>
          <w:szCs w:val="24"/>
        </w:rPr>
        <w:t>owev</w:t>
      </w:r>
      <w:r w:rsidR="00782F8A" w:rsidRPr="00476B67">
        <w:rPr>
          <w:rFonts w:ascii="Times New Roman" w:eastAsia="Times New Roman" w:hAnsi="Times New Roman" w:cs="Times New Roman"/>
          <w:sz w:val="24"/>
          <w:szCs w:val="24"/>
        </w:rPr>
        <w:t>er, only establishments with industry classifications that are out-of-scope of</w:t>
      </w:r>
      <w:r w:rsidR="005736E9" w:rsidRPr="00476B67">
        <w:rPr>
          <w:rFonts w:ascii="Times New Roman" w:eastAsia="Times New Roman" w:hAnsi="Times New Roman" w:cs="Times New Roman"/>
          <w:sz w:val="24"/>
          <w:szCs w:val="24"/>
        </w:rPr>
        <w:t xml:space="preserve"> the economic census will receive this questionnaire.  In-scope establishments will receive these </w:t>
      </w:r>
      <w:r w:rsidR="002B6BCB" w:rsidRPr="00476B67">
        <w:rPr>
          <w:rFonts w:ascii="Times New Roman" w:eastAsia="Times New Roman" w:hAnsi="Times New Roman" w:cs="Times New Roman"/>
          <w:sz w:val="24"/>
          <w:szCs w:val="24"/>
        </w:rPr>
        <w:t>in</w:t>
      </w:r>
      <w:r w:rsidR="005736E9" w:rsidRPr="00476B67">
        <w:rPr>
          <w:rFonts w:ascii="Times New Roman" w:eastAsia="Times New Roman" w:hAnsi="Times New Roman" w:cs="Times New Roman"/>
          <w:sz w:val="24"/>
          <w:szCs w:val="24"/>
        </w:rPr>
        <w:t>qu</w:t>
      </w:r>
      <w:r w:rsidR="002B6BCB" w:rsidRPr="00476B67">
        <w:rPr>
          <w:rFonts w:ascii="Times New Roman" w:eastAsia="Times New Roman" w:hAnsi="Times New Roman" w:cs="Times New Roman"/>
          <w:sz w:val="24"/>
          <w:szCs w:val="24"/>
        </w:rPr>
        <w:t>iries</w:t>
      </w:r>
      <w:r w:rsidR="005736E9" w:rsidRPr="00476B67">
        <w:rPr>
          <w:rFonts w:ascii="Times New Roman" w:eastAsia="Times New Roman" w:hAnsi="Times New Roman" w:cs="Times New Roman"/>
          <w:sz w:val="24"/>
          <w:szCs w:val="24"/>
        </w:rPr>
        <w:t xml:space="preserve"> through the </w:t>
      </w:r>
      <w:r w:rsidR="005D55FC" w:rsidRPr="00476B67">
        <w:rPr>
          <w:rFonts w:ascii="Times New Roman" w:eastAsia="Times New Roman" w:hAnsi="Times New Roman" w:cs="Times New Roman"/>
          <w:sz w:val="24"/>
          <w:szCs w:val="24"/>
        </w:rPr>
        <w:t>E</w:t>
      </w:r>
      <w:r w:rsidR="00291FBA" w:rsidRPr="00476B67">
        <w:rPr>
          <w:rFonts w:ascii="Times New Roman" w:eastAsia="Times New Roman" w:hAnsi="Times New Roman" w:cs="Times New Roman"/>
          <w:sz w:val="24"/>
          <w:szCs w:val="24"/>
        </w:rPr>
        <w:t>c</w:t>
      </w:r>
      <w:r w:rsidR="005736E9" w:rsidRPr="00476B67">
        <w:rPr>
          <w:rFonts w:ascii="Times New Roman" w:eastAsia="Times New Roman" w:hAnsi="Times New Roman" w:cs="Times New Roman"/>
          <w:sz w:val="24"/>
          <w:szCs w:val="24"/>
        </w:rPr>
        <w:t xml:space="preserve">onomic </w:t>
      </w:r>
      <w:r w:rsidR="005D55FC" w:rsidRPr="00476B67">
        <w:rPr>
          <w:rFonts w:ascii="Times New Roman" w:eastAsia="Times New Roman" w:hAnsi="Times New Roman" w:cs="Times New Roman"/>
          <w:sz w:val="24"/>
          <w:szCs w:val="24"/>
        </w:rPr>
        <w:t>C</w:t>
      </w:r>
      <w:r w:rsidR="005736E9" w:rsidRPr="00476B67">
        <w:rPr>
          <w:rFonts w:ascii="Times New Roman" w:eastAsia="Times New Roman" w:hAnsi="Times New Roman" w:cs="Times New Roman"/>
          <w:sz w:val="24"/>
          <w:szCs w:val="24"/>
        </w:rPr>
        <w:t xml:space="preserve">ensus questionnaires. </w:t>
      </w:r>
      <w:r w:rsidR="005736E9" w:rsidRPr="00476B67">
        <w:rPr>
          <w:rFonts w:ascii="Times New Roman" w:eastAsia="Times New Roman" w:hAnsi="Times New Roman" w:cs="Times New Roman"/>
          <w:sz w:val="24"/>
          <w:szCs w:val="20"/>
        </w:rPr>
        <w:t xml:space="preserve"> </w:t>
      </w:r>
      <w:r w:rsidRPr="00476B67">
        <w:rPr>
          <w:rFonts w:ascii="Times New Roman" w:eastAsia="Times New Roman" w:hAnsi="Times New Roman" w:cs="Times New Roman"/>
          <w:sz w:val="24"/>
          <w:szCs w:val="20"/>
        </w:rPr>
        <w:t>We ask questions on ownership or control by a domestic parent, ownership or control by a foreign parent, and ownership of foreign affiliates; research and development; company activities such as employees from a professional employer organization.  Establishment inquiries include questions on operational status, mid-March employment, first-quarter payroll, and annual payroll of establishments.</w:t>
      </w:r>
      <w:r w:rsidRPr="00476B67">
        <w:rPr>
          <w:rFonts w:ascii="Times New Roman" w:hAnsi="Times New Roman"/>
        </w:rPr>
        <w:t xml:space="preserve">  Beginning with the 2017 collection, a new question regarding cooperative organization status will be included in the instrument but respondents will no longer receive inquiries pertaining to the Enterprise Statistics Program as the program has been suspended</w:t>
      </w:r>
      <w:r w:rsidR="00476B67" w:rsidRPr="00476B67">
        <w:rPr>
          <w:rFonts w:ascii="Times New Roman" w:hAnsi="Times New Roman"/>
        </w:rPr>
        <w:t xml:space="preserve"> (see NC-99001, Attachment A).</w:t>
      </w:r>
    </w:p>
    <w:p w14:paraId="04E326B5" w14:textId="77777777" w:rsidR="00133F31" w:rsidRPr="00133F31" w:rsidRDefault="00133F31" w:rsidP="00133F31">
      <w:pPr>
        <w:autoSpaceDE w:val="0"/>
        <w:autoSpaceDN w:val="0"/>
        <w:adjustRightInd w:val="0"/>
        <w:spacing w:after="0" w:line="240" w:lineRule="atLeast"/>
        <w:ind w:left="1440"/>
        <w:rPr>
          <w:rFonts w:ascii="Times New Roman" w:hAnsi="Times New Roman"/>
        </w:rPr>
      </w:pPr>
    </w:p>
    <w:p w14:paraId="1950A235" w14:textId="100722A8" w:rsidR="00133F31" w:rsidRPr="00133F31" w:rsidRDefault="00133F31" w:rsidP="00133F31">
      <w:pPr>
        <w:autoSpaceDE w:val="0"/>
        <w:autoSpaceDN w:val="0"/>
        <w:adjustRightInd w:val="0"/>
        <w:spacing w:after="0" w:line="240" w:lineRule="atLeast"/>
        <w:ind w:left="1440"/>
        <w:rPr>
          <w:rFonts w:ascii="Times New Roman" w:eastAsia="Times New Roman" w:hAnsi="Times New Roman" w:cs="Times New Roman"/>
          <w:sz w:val="24"/>
          <w:szCs w:val="20"/>
        </w:rPr>
      </w:pPr>
      <w:r w:rsidRPr="00133F31">
        <w:rPr>
          <w:rFonts w:ascii="Times New Roman" w:eastAsia="Times New Roman" w:hAnsi="Times New Roman" w:cs="Times New Roman"/>
          <w:sz w:val="24"/>
          <w:szCs w:val="24"/>
        </w:rPr>
        <w:t xml:space="preserve">During the 2018 and 2019 </w:t>
      </w:r>
      <w:r w:rsidR="006626D7">
        <w:rPr>
          <w:rFonts w:ascii="Times New Roman" w:eastAsia="Times New Roman" w:hAnsi="Times New Roman" w:cs="Times New Roman"/>
          <w:sz w:val="24"/>
          <w:szCs w:val="24"/>
        </w:rPr>
        <w:t>R</w:t>
      </w:r>
      <w:r w:rsidR="00D72C54">
        <w:rPr>
          <w:rFonts w:ascii="Times New Roman" w:eastAsia="Times New Roman" w:hAnsi="Times New Roman" w:cs="Times New Roman"/>
          <w:sz w:val="24"/>
          <w:szCs w:val="24"/>
        </w:rPr>
        <w:t xml:space="preserve">eport of </w:t>
      </w:r>
      <w:r w:rsidR="006626D7">
        <w:rPr>
          <w:rFonts w:ascii="Times New Roman" w:eastAsia="Times New Roman" w:hAnsi="Times New Roman" w:cs="Times New Roman"/>
          <w:sz w:val="24"/>
          <w:szCs w:val="24"/>
        </w:rPr>
        <w:t>O</w:t>
      </w:r>
      <w:r w:rsidR="00D72C54">
        <w:rPr>
          <w:rFonts w:ascii="Times New Roman" w:eastAsia="Times New Roman" w:hAnsi="Times New Roman" w:cs="Times New Roman"/>
          <w:sz w:val="24"/>
          <w:szCs w:val="24"/>
        </w:rPr>
        <w:t>rganization collection</w:t>
      </w:r>
      <w:r w:rsidRPr="00133F31">
        <w:rPr>
          <w:rFonts w:ascii="Times New Roman" w:eastAsia="Times New Roman" w:hAnsi="Times New Roman" w:cs="Times New Roman"/>
          <w:sz w:val="24"/>
          <w:szCs w:val="24"/>
        </w:rPr>
        <w:t>, t</w:t>
      </w:r>
      <w:r w:rsidRPr="00133F31">
        <w:rPr>
          <w:rFonts w:ascii="Times New Roman" w:eastAsia="Times New Roman" w:hAnsi="Times New Roman" w:cs="Times New Roman"/>
          <w:sz w:val="24"/>
          <w:szCs w:val="20"/>
        </w:rPr>
        <w:t xml:space="preserve">he Census Bureau will </w:t>
      </w:r>
      <w:r w:rsidR="004447F4">
        <w:rPr>
          <w:rFonts w:ascii="Times New Roman" w:eastAsia="Times New Roman" w:hAnsi="Times New Roman" w:cs="Times New Roman"/>
          <w:sz w:val="24"/>
          <w:szCs w:val="20"/>
        </w:rPr>
        <w:t xml:space="preserve">use Form NC-99007 to collect data from </w:t>
      </w:r>
      <w:r w:rsidRPr="00133F31">
        <w:rPr>
          <w:rFonts w:ascii="Times New Roman" w:eastAsia="Times New Roman" w:hAnsi="Times New Roman" w:cs="Times New Roman"/>
          <w:sz w:val="24"/>
          <w:szCs w:val="20"/>
        </w:rPr>
        <w:t xml:space="preserve">large single-location enterprises </w:t>
      </w:r>
      <w:r w:rsidRPr="00133F31">
        <w:rPr>
          <w:rFonts w:ascii="Times New Roman" w:eastAsia="Times New Roman" w:hAnsi="Times New Roman" w:cs="Times New Roman"/>
          <w:sz w:val="24"/>
          <w:szCs w:val="20"/>
        </w:rPr>
        <w:lastRenderedPageBreak/>
        <w:t>that may have added some locations (see NC-99007, Attachment B).  The NC-99007 questionnaire is not applicable to economic census collections.</w:t>
      </w:r>
    </w:p>
    <w:p w14:paraId="456B846D" w14:textId="77777777" w:rsidR="00133F31" w:rsidRPr="00133F31" w:rsidRDefault="00133F31" w:rsidP="00133F31">
      <w:pPr>
        <w:autoSpaceDE w:val="0"/>
        <w:autoSpaceDN w:val="0"/>
        <w:adjustRightInd w:val="0"/>
        <w:spacing w:after="0" w:line="240" w:lineRule="atLeast"/>
        <w:ind w:left="1440"/>
        <w:rPr>
          <w:rFonts w:ascii="Times New Roman" w:eastAsia="Times New Roman" w:hAnsi="Times New Roman" w:cs="Times New Roman"/>
          <w:sz w:val="24"/>
          <w:szCs w:val="20"/>
        </w:rPr>
      </w:pPr>
    </w:p>
    <w:p w14:paraId="48C413C7" w14:textId="0EB6F91C" w:rsidR="00133F31" w:rsidRPr="00133F31" w:rsidRDefault="00133F31" w:rsidP="00133F31">
      <w:pPr>
        <w:autoSpaceDE w:val="0"/>
        <w:autoSpaceDN w:val="0"/>
        <w:adjustRightInd w:val="0"/>
        <w:spacing w:after="0" w:line="240" w:lineRule="atLeast"/>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0"/>
        </w:rPr>
        <w:t xml:space="preserve">The 2017 – 2019 </w:t>
      </w:r>
      <w:r w:rsidR="00612386">
        <w:rPr>
          <w:rFonts w:ascii="Times New Roman" w:eastAsia="Times New Roman" w:hAnsi="Times New Roman" w:cs="Times New Roman"/>
          <w:sz w:val="24"/>
          <w:szCs w:val="20"/>
        </w:rPr>
        <w:t>R</w:t>
      </w:r>
      <w:r w:rsidR="00782F8A">
        <w:rPr>
          <w:rFonts w:ascii="Times New Roman" w:eastAsia="Times New Roman" w:hAnsi="Times New Roman" w:cs="Times New Roman"/>
          <w:sz w:val="24"/>
          <w:szCs w:val="20"/>
        </w:rPr>
        <w:t xml:space="preserve">eport of </w:t>
      </w:r>
      <w:r w:rsidR="00612386">
        <w:rPr>
          <w:rFonts w:ascii="Times New Roman" w:eastAsia="Times New Roman" w:hAnsi="Times New Roman" w:cs="Times New Roman"/>
          <w:sz w:val="24"/>
          <w:szCs w:val="20"/>
        </w:rPr>
        <w:t>O</w:t>
      </w:r>
      <w:r w:rsidR="00782F8A">
        <w:rPr>
          <w:rFonts w:ascii="Times New Roman" w:eastAsia="Times New Roman" w:hAnsi="Times New Roman" w:cs="Times New Roman"/>
          <w:sz w:val="24"/>
          <w:szCs w:val="20"/>
        </w:rPr>
        <w:t>rganization</w:t>
      </w:r>
      <w:r w:rsidRPr="00133F31">
        <w:rPr>
          <w:rFonts w:ascii="Times New Roman" w:eastAsia="Times New Roman" w:hAnsi="Times New Roman" w:cs="Times New Roman"/>
          <w:sz w:val="24"/>
          <w:szCs w:val="20"/>
        </w:rPr>
        <w:t xml:space="preserve"> will be conducted under the provisions of Title 13 of the United States Code, Sections 131 and 182.  Sections 224 and 225 make the survey mandatory.</w:t>
      </w:r>
    </w:p>
    <w:p w14:paraId="25378C64" w14:textId="77777777" w:rsidR="00133F31" w:rsidRPr="00133F31" w:rsidRDefault="00133F31" w:rsidP="00133F31">
      <w:pPr>
        <w:spacing w:after="0" w:line="240" w:lineRule="auto"/>
        <w:ind w:left="1440"/>
        <w:rPr>
          <w:rFonts w:ascii="Times New Roman" w:eastAsia="Times New Roman" w:hAnsi="Times New Roman" w:cs="Times New Roman"/>
          <w:color w:val="FF0000"/>
          <w:sz w:val="24"/>
          <w:szCs w:val="24"/>
        </w:rPr>
      </w:pPr>
    </w:p>
    <w:p w14:paraId="41B3F269" w14:textId="77777777" w:rsidR="00133F31" w:rsidRPr="00133F31" w:rsidRDefault="00133F31" w:rsidP="00133F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t>2.</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Needs and Uses</w:t>
      </w:r>
    </w:p>
    <w:p w14:paraId="2F9A643F"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51049DE7" w14:textId="332466FF" w:rsidR="00133F31" w:rsidRPr="00476B67" w:rsidRDefault="00133F31"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476B67">
        <w:rPr>
          <w:rFonts w:ascii="Times New Roman" w:eastAsia="Times New Roman" w:hAnsi="Times New Roman" w:cs="Times New Roman"/>
          <w:sz w:val="24"/>
          <w:szCs w:val="24"/>
        </w:rPr>
        <w:t>The consolidated 2017 Economic Census</w:t>
      </w:r>
      <w:r w:rsidR="00025E7B" w:rsidRPr="00476B67">
        <w:rPr>
          <w:rFonts w:ascii="Times New Roman" w:eastAsia="Times New Roman" w:hAnsi="Times New Roman" w:cs="Times New Roman"/>
          <w:sz w:val="24"/>
          <w:szCs w:val="24"/>
        </w:rPr>
        <w:t>/Report of Organization</w:t>
      </w:r>
      <w:r w:rsidRPr="00476B67">
        <w:rPr>
          <w:rFonts w:ascii="Times New Roman" w:eastAsia="Times New Roman" w:hAnsi="Times New Roman" w:cs="Times New Roman"/>
          <w:sz w:val="24"/>
          <w:szCs w:val="24"/>
        </w:rPr>
        <w:t xml:space="preserve"> will request company-level information from the entire universe of multi-establishment enterprises, which comprises of roughly 165,000 parent companies and more than 1.9 mi</w:t>
      </w:r>
      <w:r w:rsidR="000D6F87" w:rsidRPr="00476B67">
        <w:rPr>
          <w:rFonts w:ascii="Times New Roman" w:eastAsia="Times New Roman" w:hAnsi="Times New Roman" w:cs="Times New Roman"/>
          <w:sz w:val="24"/>
          <w:szCs w:val="24"/>
        </w:rPr>
        <w:t>llion establishments with industrial activities in-scope of the 201</w:t>
      </w:r>
      <w:r w:rsidR="005452FF" w:rsidRPr="00476B67">
        <w:rPr>
          <w:rFonts w:ascii="Times New Roman" w:eastAsia="Times New Roman" w:hAnsi="Times New Roman" w:cs="Times New Roman"/>
          <w:sz w:val="24"/>
          <w:szCs w:val="24"/>
        </w:rPr>
        <w:t xml:space="preserve">7 Economic Census.  Report of </w:t>
      </w:r>
      <w:r w:rsidR="000D6F87" w:rsidRPr="00476B67">
        <w:rPr>
          <w:rFonts w:ascii="Times New Roman" w:eastAsia="Times New Roman" w:hAnsi="Times New Roman" w:cs="Times New Roman"/>
          <w:sz w:val="24"/>
          <w:szCs w:val="24"/>
        </w:rPr>
        <w:t>O</w:t>
      </w:r>
      <w:r w:rsidR="005452FF" w:rsidRPr="00476B67">
        <w:rPr>
          <w:rFonts w:ascii="Times New Roman" w:eastAsia="Times New Roman" w:hAnsi="Times New Roman" w:cs="Times New Roman"/>
          <w:sz w:val="24"/>
          <w:szCs w:val="24"/>
        </w:rPr>
        <w:t>rganization</w:t>
      </w:r>
      <w:r w:rsidR="000D6F87" w:rsidRPr="00476B67">
        <w:rPr>
          <w:rFonts w:ascii="Times New Roman" w:eastAsia="Times New Roman" w:hAnsi="Times New Roman" w:cs="Times New Roman"/>
          <w:sz w:val="24"/>
          <w:szCs w:val="24"/>
        </w:rPr>
        <w:t xml:space="preserve"> i</w:t>
      </w:r>
      <w:r w:rsidR="005452FF" w:rsidRPr="00476B67">
        <w:rPr>
          <w:rFonts w:ascii="Times New Roman" w:eastAsia="Times New Roman" w:hAnsi="Times New Roman" w:cs="Times New Roman"/>
          <w:sz w:val="24"/>
          <w:szCs w:val="24"/>
        </w:rPr>
        <w:t>nquiries sent to each of the 165</w:t>
      </w:r>
      <w:r w:rsidR="000D6F87" w:rsidRPr="00476B67">
        <w:rPr>
          <w:rFonts w:ascii="Times New Roman" w:eastAsia="Times New Roman" w:hAnsi="Times New Roman" w:cs="Times New Roman"/>
          <w:sz w:val="24"/>
          <w:szCs w:val="24"/>
        </w:rPr>
        <w:t>,000 multi-establishment enterprises will include inquiries on ownership or control by a domestic parent, ownership or control by a foreign parent, and ownership of foreign affiliates; research and development; company activities, such as</w:t>
      </w:r>
      <w:r w:rsidR="00FB6CEA" w:rsidRPr="00476B67">
        <w:rPr>
          <w:rFonts w:ascii="Times New Roman" w:eastAsia="Times New Roman" w:hAnsi="Times New Roman" w:cs="Times New Roman"/>
          <w:sz w:val="24"/>
          <w:szCs w:val="24"/>
        </w:rPr>
        <w:t xml:space="preserve"> </w:t>
      </w:r>
      <w:r w:rsidR="000D6F87" w:rsidRPr="00476B67">
        <w:rPr>
          <w:rFonts w:ascii="Times New Roman" w:eastAsia="Times New Roman" w:hAnsi="Times New Roman" w:cs="Times New Roman"/>
          <w:sz w:val="24"/>
          <w:szCs w:val="24"/>
        </w:rPr>
        <w:t>employees from a professional employer organization</w:t>
      </w:r>
      <w:r w:rsidR="00FB6CEA" w:rsidRPr="00476B67">
        <w:rPr>
          <w:rFonts w:ascii="Times New Roman" w:eastAsia="Times New Roman" w:hAnsi="Times New Roman" w:cs="Times New Roman"/>
          <w:sz w:val="24"/>
          <w:szCs w:val="24"/>
        </w:rPr>
        <w:t xml:space="preserve"> and cooperative organization</w:t>
      </w:r>
      <w:r w:rsidR="000D6F87" w:rsidRPr="00476B67">
        <w:rPr>
          <w:rFonts w:ascii="Times New Roman" w:eastAsia="Times New Roman" w:hAnsi="Times New Roman" w:cs="Times New Roman"/>
          <w:sz w:val="24"/>
          <w:szCs w:val="24"/>
        </w:rPr>
        <w:t>.  Establishment inquiries include questions on operational status, mid-March employment, first-quarter payroll, and an</w:t>
      </w:r>
      <w:r w:rsidR="000413B7" w:rsidRPr="00476B67">
        <w:rPr>
          <w:rFonts w:ascii="Times New Roman" w:eastAsia="Times New Roman" w:hAnsi="Times New Roman" w:cs="Times New Roman"/>
          <w:sz w:val="24"/>
          <w:szCs w:val="24"/>
        </w:rPr>
        <w:t>nual payroll of establishments</w:t>
      </w:r>
      <w:r w:rsidR="000D6F87" w:rsidRPr="00476B67">
        <w:rPr>
          <w:rFonts w:ascii="Times New Roman" w:eastAsia="Times New Roman" w:hAnsi="Times New Roman" w:cs="Times New Roman"/>
          <w:sz w:val="24"/>
          <w:szCs w:val="24"/>
        </w:rPr>
        <w:t>.</w:t>
      </w:r>
    </w:p>
    <w:p w14:paraId="16901FC1" w14:textId="1BF2067B" w:rsidR="000413B7" w:rsidRPr="00476B67" w:rsidRDefault="000413B7"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2EEF4D9D" w14:textId="3AFD3673" w:rsidR="000413B7" w:rsidRPr="00476B67" w:rsidRDefault="000413B7"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476B67">
        <w:rPr>
          <w:rFonts w:ascii="Times New Roman" w:eastAsia="Times New Roman" w:hAnsi="Times New Roman" w:cs="Times New Roman"/>
          <w:sz w:val="24"/>
          <w:szCs w:val="24"/>
        </w:rPr>
        <w:t xml:space="preserve">The 2017 Report of Organization will request additional information from 15,000 multi-location establishments with industry classifications that are out-of-scope of the </w:t>
      </w:r>
      <w:r w:rsidR="00782F8A" w:rsidRPr="00476B67">
        <w:rPr>
          <w:rFonts w:ascii="Times New Roman" w:eastAsia="Times New Roman" w:hAnsi="Times New Roman" w:cs="Times New Roman"/>
          <w:sz w:val="24"/>
          <w:szCs w:val="24"/>
        </w:rPr>
        <w:t>e</w:t>
      </w:r>
      <w:r w:rsidRPr="00476B67">
        <w:rPr>
          <w:rFonts w:ascii="Times New Roman" w:eastAsia="Times New Roman" w:hAnsi="Times New Roman" w:cs="Times New Roman"/>
          <w:sz w:val="24"/>
          <w:szCs w:val="24"/>
        </w:rPr>
        <w:t xml:space="preserve">conomic </w:t>
      </w:r>
      <w:r w:rsidR="00782F8A" w:rsidRPr="00476B67">
        <w:rPr>
          <w:rFonts w:ascii="Times New Roman" w:eastAsia="Times New Roman" w:hAnsi="Times New Roman" w:cs="Times New Roman"/>
          <w:sz w:val="24"/>
          <w:szCs w:val="24"/>
        </w:rPr>
        <w:t>c</w:t>
      </w:r>
      <w:r w:rsidRPr="00476B67">
        <w:rPr>
          <w:rFonts w:ascii="Times New Roman" w:eastAsia="Times New Roman" w:hAnsi="Times New Roman" w:cs="Times New Roman"/>
          <w:sz w:val="24"/>
          <w:szCs w:val="24"/>
        </w:rPr>
        <w:t>ensus.  For those out-of-scope establishments, we will collect the following basic operating data for each listed establishment:  end-of-year operating status, mid-March employment, first quarter payroll, and annual payroll.  The Economic Census will collect data for all other establishments of multi-establishment enterprises</w:t>
      </w:r>
      <w:r w:rsidR="00476B67">
        <w:rPr>
          <w:rFonts w:ascii="Times New Roman" w:eastAsia="Times New Roman" w:hAnsi="Times New Roman" w:cs="Times New Roman"/>
          <w:sz w:val="24"/>
          <w:szCs w:val="24"/>
        </w:rPr>
        <w:t>, including those items above.</w:t>
      </w:r>
    </w:p>
    <w:p w14:paraId="392A78AA" w14:textId="77777777" w:rsidR="00133F31" w:rsidRPr="00476B67" w:rsidRDefault="00133F31"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p>
    <w:p w14:paraId="7C4D797D" w14:textId="77D3403D" w:rsidR="00133F31" w:rsidRPr="00476B67" w:rsidRDefault="00133F31" w:rsidP="00FB6CEA">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0"/>
        </w:rPr>
      </w:pPr>
      <w:r w:rsidRPr="00476B67">
        <w:rPr>
          <w:rFonts w:ascii="Times New Roman" w:eastAsia="Times New Roman" w:hAnsi="Times New Roman" w:cs="Times New Roman"/>
          <w:sz w:val="24"/>
          <w:szCs w:val="24"/>
        </w:rPr>
        <w:t xml:space="preserve">The 2018 – 2019 </w:t>
      </w:r>
      <w:r w:rsidR="00612386" w:rsidRPr="00476B67">
        <w:rPr>
          <w:rFonts w:ascii="Times New Roman" w:eastAsia="Times New Roman" w:hAnsi="Times New Roman" w:cs="Times New Roman"/>
          <w:sz w:val="24"/>
          <w:szCs w:val="24"/>
        </w:rPr>
        <w:t>R</w:t>
      </w:r>
      <w:r w:rsidR="00C433EB" w:rsidRPr="00476B67">
        <w:rPr>
          <w:rFonts w:ascii="Times New Roman" w:eastAsia="Times New Roman" w:hAnsi="Times New Roman" w:cs="Times New Roman"/>
          <w:sz w:val="24"/>
          <w:szCs w:val="24"/>
        </w:rPr>
        <w:t xml:space="preserve">eport of </w:t>
      </w:r>
      <w:r w:rsidR="00612386" w:rsidRPr="00476B67">
        <w:rPr>
          <w:rFonts w:ascii="Times New Roman" w:eastAsia="Times New Roman" w:hAnsi="Times New Roman" w:cs="Times New Roman"/>
          <w:sz w:val="24"/>
          <w:szCs w:val="24"/>
        </w:rPr>
        <w:t>O</w:t>
      </w:r>
      <w:r w:rsidR="00C433EB" w:rsidRPr="00476B67">
        <w:rPr>
          <w:rFonts w:ascii="Times New Roman" w:eastAsia="Times New Roman" w:hAnsi="Times New Roman" w:cs="Times New Roman"/>
          <w:sz w:val="24"/>
          <w:szCs w:val="24"/>
        </w:rPr>
        <w:t>rganization</w:t>
      </w:r>
      <w:r w:rsidRPr="00476B67">
        <w:rPr>
          <w:rFonts w:ascii="Times New Roman" w:eastAsia="Times New Roman" w:hAnsi="Times New Roman" w:cs="Times New Roman"/>
          <w:sz w:val="24"/>
          <w:szCs w:val="24"/>
        </w:rPr>
        <w:t xml:space="preserve"> will request </w:t>
      </w:r>
      <w:r w:rsidR="00FB6CEA" w:rsidRPr="00476B67">
        <w:rPr>
          <w:rFonts w:ascii="Times New Roman" w:eastAsia="Times New Roman" w:hAnsi="Times New Roman" w:cs="Times New Roman"/>
          <w:sz w:val="24"/>
          <w:szCs w:val="24"/>
        </w:rPr>
        <w:t>the same</w:t>
      </w:r>
      <w:r w:rsidRPr="00476B67">
        <w:rPr>
          <w:rFonts w:ascii="Times New Roman" w:eastAsia="Times New Roman" w:hAnsi="Times New Roman" w:cs="Times New Roman"/>
          <w:sz w:val="24"/>
          <w:szCs w:val="24"/>
        </w:rPr>
        <w:t xml:space="preserve"> information</w:t>
      </w:r>
      <w:r w:rsidR="00FB6CEA" w:rsidRPr="00476B67">
        <w:rPr>
          <w:rFonts w:ascii="Times New Roman" w:eastAsia="Times New Roman" w:hAnsi="Times New Roman" w:cs="Times New Roman"/>
          <w:sz w:val="24"/>
          <w:szCs w:val="24"/>
        </w:rPr>
        <w:t xml:space="preserve"> described above</w:t>
      </w:r>
      <w:r w:rsidRPr="00476B67">
        <w:rPr>
          <w:rFonts w:ascii="Times New Roman" w:eastAsia="Times New Roman" w:hAnsi="Times New Roman" w:cs="Times New Roman"/>
          <w:sz w:val="24"/>
          <w:szCs w:val="24"/>
        </w:rPr>
        <w:t xml:space="preserve"> from a selection of multi-establishment enterprises, which comprises of roughly 42,000 parent companies and more than 1.4 million establishments.</w:t>
      </w:r>
      <w:r w:rsidR="00FB6CEA" w:rsidRPr="00476B67">
        <w:rPr>
          <w:rFonts w:ascii="Times New Roman" w:eastAsia="Times New Roman" w:hAnsi="Times New Roman" w:cs="Times New Roman"/>
          <w:sz w:val="24"/>
          <w:szCs w:val="24"/>
        </w:rPr>
        <w:t xml:space="preserve">  </w:t>
      </w:r>
      <w:r w:rsidRPr="00476B67">
        <w:rPr>
          <w:rFonts w:ascii="Times New Roman" w:eastAsia="Times New Roman" w:hAnsi="Times New Roman" w:cs="Times New Roman"/>
          <w:sz w:val="24"/>
          <w:szCs w:val="20"/>
        </w:rPr>
        <w:t xml:space="preserve">In addition to the multi-establishment enterprises, the </w:t>
      </w:r>
      <w:r w:rsidR="00FB6CEA" w:rsidRPr="00476B67">
        <w:rPr>
          <w:rFonts w:ascii="Times New Roman" w:eastAsia="Times New Roman" w:hAnsi="Times New Roman" w:cs="Times New Roman"/>
          <w:sz w:val="24"/>
          <w:szCs w:val="20"/>
        </w:rPr>
        <w:t>survey</w:t>
      </w:r>
      <w:r w:rsidRPr="00476B67">
        <w:rPr>
          <w:rFonts w:ascii="Times New Roman" w:eastAsia="Times New Roman" w:hAnsi="Times New Roman" w:cs="Times New Roman"/>
          <w:sz w:val="24"/>
          <w:szCs w:val="20"/>
        </w:rPr>
        <w:t xml:space="preserve"> panel will include approximately 5,000 large single-location companies that may have added locations during the year.  The NC-99007 Form will collect data for the 5,000 single-location businesses.</w:t>
      </w:r>
    </w:p>
    <w:p w14:paraId="433A9F3B" w14:textId="77777777" w:rsidR="00133F31" w:rsidRPr="00133F31" w:rsidRDefault="00133F31" w:rsidP="00133F31">
      <w:pPr>
        <w:autoSpaceDE w:val="0"/>
        <w:autoSpaceDN w:val="0"/>
        <w:adjustRightInd w:val="0"/>
        <w:spacing w:after="0" w:line="240" w:lineRule="atLeast"/>
        <w:ind w:left="1440"/>
        <w:rPr>
          <w:rFonts w:ascii="Times New Roman" w:eastAsia="Times New Roman" w:hAnsi="Times New Roman" w:cs="Times New Roman"/>
          <w:color w:val="0070C0"/>
          <w:sz w:val="24"/>
          <w:szCs w:val="20"/>
        </w:rPr>
      </w:pPr>
    </w:p>
    <w:p w14:paraId="59A30A61" w14:textId="4E38F9B3" w:rsidR="00133F31" w:rsidRPr="00133F31" w:rsidRDefault="00133F31" w:rsidP="00476B67">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information collected by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is used</w:t>
      </w:r>
      <w:r w:rsidR="00476B67">
        <w:rPr>
          <w:rFonts w:ascii="Times New Roman" w:eastAsia="Times New Roman" w:hAnsi="Times New Roman" w:cs="Times New Roman"/>
          <w:sz w:val="24"/>
          <w:szCs w:val="24"/>
        </w:rPr>
        <w:t xml:space="preserve"> to maintain and update the BR.  </w:t>
      </w:r>
      <w:r w:rsidRPr="00133F31">
        <w:rPr>
          <w:rFonts w:ascii="Times New Roman" w:eastAsia="Times New Roman" w:hAnsi="Times New Roman" w:cs="Times New Roman"/>
          <w:sz w:val="24"/>
          <w:szCs w:val="24"/>
        </w:rPr>
        <w:t>The BR serves two fundamental purposes:</w:t>
      </w:r>
    </w:p>
    <w:p w14:paraId="5ED21184"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3BF6CC78" w14:textId="77777777" w:rsidR="00133F31" w:rsidRPr="00133F31" w:rsidRDefault="00133F31" w:rsidP="00133F3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First and most important, it provides sampling populations and enumeration lists for the Census Bureau’s economic surveys and censuses, and it serves as an integral part of the statistical foundation underlying those programs.  Essential for this purpose is the BR’s ability </w:t>
      </w:r>
      <w:r w:rsidRPr="00133F31">
        <w:rPr>
          <w:rFonts w:ascii="Times New Roman" w:eastAsia="Times New Roman" w:hAnsi="Times New Roman" w:cs="Times New Roman"/>
          <w:sz w:val="24"/>
          <w:szCs w:val="24"/>
        </w:rPr>
        <w:lastRenderedPageBreak/>
        <w:t>to identify all known United States business establishments and their parent companies.  Further, the BR must accurately record basic business attributes needed to control sampling and enumeration.  These attributes include industry and geographic classifications, measures of size and economic activity, ownership characteristics, and contact information (for example, name and address).</w:t>
      </w:r>
    </w:p>
    <w:p w14:paraId="060EF76E"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eastAsia="Times New Roman" w:hAnsi="Times New Roman" w:cs="Times New Roman"/>
          <w:sz w:val="24"/>
          <w:szCs w:val="24"/>
        </w:rPr>
      </w:pPr>
    </w:p>
    <w:p w14:paraId="0736F6A7" w14:textId="77777777" w:rsidR="00133F31" w:rsidRPr="00133F31" w:rsidRDefault="00133F31" w:rsidP="00133F31">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Second, it provides establishment data that serve as the basis for the annual County Business Patterns (CBP) statistical series.  The CBP reports present data on number of establishments, first quarter payroll, annual payroll, and mid-March employment summarized by industry and employment size class for the United States, the District of Columbia, island areas, counties, and county-equivalents.  No other annual or more frequent series of industry statistics provides comparable detail, particularly for small geographic areas.</w:t>
      </w:r>
    </w:p>
    <w:p w14:paraId="62A12747" w14:textId="77777777" w:rsidR="00133F31" w:rsidRPr="00133F31" w:rsidRDefault="00133F31" w:rsidP="00133F3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rPr>
          <w:rFonts w:ascii="Times New Roman" w:eastAsia="Times New Roman" w:hAnsi="Times New Roman" w:cs="Times New Roman"/>
          <w:sz w:val="24"/>
          <w:szCs w:val="24"/>
        </w:rPr>
      </w:pPr>
    </w:p>
    <w:p w14:paraId="754E60D6" w14:textId="7E031915" w:rsidR="00133F31" w:rsidRPr="00133F31" w:rsidRDefault="00133F31" w:rsidP="00713178">
      <w:pPr>
        <w:tabs>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s>
        <w:spacing w:after="0" w:line="240" w:lineRule="auto"/>
        <w:ind w:left="1440"/>
        <w:rPr>
          <w:rFonts w:ascii="Times New Roman" w:eastAsia="Times New Roman" w:hAnsi="Times New Roman" w:cs="Times New Roman"/>
          <w:color w:val="0070C0"/>
          <w:sz w:val="24"/>
          <w:szCs w:val="20"/>
        </w:rPr>
      </w:pPr>
      <w:r w:rsidRPr="00133F31">
        <w:rPr>
          <w:rFonts w:ascii="Times New Roman" w:eastAsia="Times New Roman" w:hAnsi="Times New Roman" w:cs="Times New Roman"/>
          <w:sz w:val="24"/>
          <w:szCs w:val="24"/>
        </w:rPr>
        <w:t>Information quality is an integral part of the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p>
    <w:p w14:paraId="5AE5E548" w14:textId="77777777" w:rsidR="00133F31" w:rsidRPr="00133F31" w:rsidRDefault="00133F31" w:rsidP="00133F31">
      <w:pPr>
        <w:autoSpaceDE w:val="0"/>
        <w:autoSpaceDN w:val="0"/>
        <w:adjustRightInd w:val="0"/>
        <w:spacing w:after="0" w:line="240" w:lineRule="atLeast"/>
        <w:ind w:left="1440"/>
        <w:rPr>
          <w:rFonts w:ascii="Times New Roman" w:eastAsia="Times New Roman" w:hAnsi="Times New Roman" w:cs="Times New Roman"/>
          <w:color w:val="0070C0"/>
          <w:sz w:val="24"/>
          <w:szCs w:val="20"/>
        </w:rPr>
      </w:pPr>
    </w:p>
    <w:p w14:paraId="4099D898" w14:textId="77777777" w:rsidR="00133F31" w:rsidRPr="00133F31" w:rsidRDefault="00133F31" w:rsidP="00133F31">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t>3.</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Use of Information Technology</w:t>
      </w:r>
      <w:r w:rsidRPr="00133F31">
        <w:rPr>
          <w:rFonts w:ascii="Times New Roman" w:eastAsia="Times New Roman" w:hAnsi="Times New Roman" w:cs="Times New Roman"/>
          <w:sz w:val="24"/>
          <w:szCs w:val="24"/>
        </w:rPr>
        <w:t xml:space="preserve">       </w:t>
      </w:r>
    </w:p>
    <w:p w14:paraId="69170619" w14:textId="77777777" w:rsidR="00133F31" w:rsidRPr="00133F31" w:rsidRDefault="00133F31" w:rsidP="00133F31">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p>
    <w:p w14:paraId="3351E6D7" w14:textId="1C790E41" w:rsidR="00133F31" w:rsidRPr="00133F31" w:rsidRDefault="00133F31" w:rsidP="00133F31">
      <w:pPr>
        <w:spacing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2017 - 2019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uses an all-</w:t>
      </w:r>
      <w:r w:rsidR="00476B67">
        <w:rPr>
          <w:rFonts w:ascii="Times New Roman" w:eastAsia="Times New Roman" w:hAnsi="Times New Roman" w:cs="Times New Roman"/>
          <w:sz w:val="24"/>
          <w:szCs w:val="24"/>
        </w:rPr>
        <w:t>electronic collection strategy.</w:t>
      </w:r>
    </w:p>
    <w:p w14:paraId="6811A650" w14:textId="77777777" w:rsidR="00133F31" w:rsidRPr="00133F31" w:rsidRDefault="00133F31" w:rsidP="00133F31">
      <w:pPr>
        <w:spacing w:after="0" w:line="240" w:lineRule="auto"/>
      </w:pPr>
    </w:p>
    <w:p w14:paraId="08262D99" w14:textId="77777777" w:rsidR="00133F31" w:rsidRPr="00133F31" w:rsidRDefault="00133F31" w:rsidP="00133F31">
      <w:pPr>
        <w:numPr>
          <w:ilvl w:val="12"/>
          <w:numId w:val="0"/>
        </w:numPr>
        <w:tabs>
          <w:tab w:val="left" w:pos="-1123"/>
          <w:tab w:val="left" w:pos="-720"/>
          <w:tab w:val="left" w:pos="0"/>
          <w:tab w:val="left" w:pos="450"/>
          <w:tab w:val="left" w:pos="81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color w:val="000000"/>
          <w:sz w:val="24"/>
          <w:szCs w:val="24"/>
          <w:u w:val="single"/>
        </w:rPr>
      </w:pPr>
      <w:r w:rsidRPr="00133F31">
        <w:rPr>
          <w:rFonts w:ascii="Times New Roman" w:eastAsia="Times New Roman" w:hAnsi="Times New Roman" w:cs="Times New Roman"/>
          <w:color w:val="000000"/>
          <w:sz w:val="24"/>
          <w:szCs w:val="24"/>
        </w:rPr>
        <w:t>a.</w:t>
      </w:r>
      <w:r w:rsidRPr="00133F31">
        <w:rPr>
          <w:rFonts w:ascii="Times New Roman" w:eastAsia="Times New Roman" w:hAnsi="Times New Roman" w:cs="Times New Roman"/>
          <w:color w:val="000000"/>
          <w:sz w:val="24"/>
          <w:szCs w:val="24"/>
        </w:rPr>
        <w:tab/>
      </w:r>
      <w:r w:rsidRPr="00133F31">
        <w:rPr>
          <w:rFonts w:ascii="Times New Roman" w:eastAsia="Times New Roman" w:hAnsi="Times New Roman" w:cs="Times New Roman"/>
          <w:color w:val="000000"/>
          <w:sz w:val="24"/>
          <w:szCs w:val="24"/>
          <w:u w:val="single"/>
        </w:rPr>
        <w:t xml:space="preserve">Information Collected Via the Internet or Through Electronic Data                                        </w:t>
      </w:r>
    </w:p>
    <w:p w14:paraId="3BAFF497" w14:textId="3DA8E464"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color w:val="FF0000"/>
          <w:sz w:val="24"/>
          <w:szCs w:val="24"/>
        </w:rPr>
      </w:pPr>
      <w:r w:rsidRPr="00133F31">
        <w:rPr>
          <w:rFonts w:ascii="Times New Roman" w:eastAsia="Times New Roman" w:hAnsi="Times New Roman" w:cs="Times New Roman"/>
          <w:color w:val="000000"/>
          <w:sz w:val="24"/>
          <w:szCs w:val="24"/>
        </w:rPr>
        <w:t xml:space="preserve">    </w:t>
      </w:r>
      <w:r w:rsidRPr="00133F31">
        <w:rPr>
          <w:rFonts w:ascii="Times New Roman" w:eastAsia="Times New Roman" w:hAnsi="Times New Roman" w:cs="Times New Roman"/>
          <w:color w:val="000000"/>
          <w:sz w:val="24"/>
          <w:szCs w:val="24"/>
        </w:rPr>
        <w:tab/>
      </w:r>
      <w:r w:rsidRPr="00133F31">
        <w:rPr>
          <w:rFonts w:ascii="Times New Roman" w:eastAsia="Times New Roman" w:hAnsi="Times New Roman" w:cs="Times New Roman"/>
          <w:color w:val="000000"/>
          <w:sz w:val="24"/>
          <w:szCs w:val="24"/>
          <w:u w:val="single"/>
        </w:rPr>
        <w:t>Interchange</w:t>
      </w:r>
    </w:p>
    <w:p w14:paraId="68470C8F" w14:textId="77777777"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color w:val="FF0000"/>
          <w:sz w:val="24"/>
          <w:szCs w:val="24"/>
        </w:rPr>
      </w:pPr>
    </w:p>
    <w:p w14:paraId="37572D43" w14:textId="17F46B24" w:rsidR="006755DD" w:rsidRDefault="00133F31" w:rsidP="00133F31">
      <w:pPr>
        <w:spacing w:line="240" w:lineRule="auto"/>
        <w:ind w:left="1800"/>
        <w:rPr>
          <w:rFonts w:ascii="Times New Roman" w:hAnsi="Times New Roman" w:cs="Times New Roman"/>
          <w:sz w:val="24"/>
          <w:szCs w:val="24"/>
        </w:rPr>
      </w:pPr>
      <w:r w:rsidRPr="00133F31">
        <w:rPr>
          <w:rFonts w:ascii="Times New Roman" w:hAnsi="Times New Roman" w:cs="Times New Roman"/>
          <w:sz w:val="24"/>
          <w:szCs w:val="24"/>
        </w:rPr>
        <w:t xml:space="preserve">Respondents will complete the </w:t>
      </w:r>
      <w:r w:rsidR="00782F8A">
        <w:rPr>
          <w:rFonts w:ascii="Times New Roman" w:hAnsi="Times New Roman" w:cs="Times New Roman"/>
          <w:sz w:val="24"/>
          <w:szCs w:val="24"/>
        </w:rPr>
        <w:t>Report of Organization</w:t>
      </w:r>
      <w:r w:rsidRPr="00133F31">
        <w:rPr>
          <w:rFonts w:ascii="Times New Roman" w:hAnsi="Times New Roman" w:cs="Times New Roman"/>
          <w:sz w:val="24"/>
          <w:szCs w:val="24"/>
        </w:rPr>
        <w:t xml:space="preserve"> electronically via the Internet.  On the Census Respondent Portal website, respondents will create an account using a one-time-use authentication code shown in the letter received from the Census Bureau.  In the Respondent Portal, each respondent will use Centurion, Census’ electronic reporting instrument, to respond to the </w:t>
      </w:r>
      <w:r w:rsidR="00782F8A">
        <w:rPr>
          <w:rFonts w:ascii="Times New Roman" w:hAnsi="Times New Roman" w:cs="Times New Roman"/>
          <w:sz w:val="24"/>
          <w:szCs w:val="24"/>
        </w:rPr>
        <w:t>Report of Organization</w:t>
      </w:r>
      <w:r w:rsidRPr="00133F31">
        <w:rPr>
          <w:rFonts w:ascii="Times New Roman" w:hAnsi="Times New Roman" w:cs="Times New Roman"/>
          <w:sz w:val="24"/>
          <w:szCs w:val="24"/>
        </w:rPr>
        <w:t>.  The Portal also allows respondents to request a time extension, share survey access with another person at the company, check filing status, access FAQs, send a message to the Census Bureau, and view a telephone number to call the Census Bureau.</w:t>
      </w:r>
    </w:p>
    <w:p w14:paraId="08B9C3A3" w14:textId="2AEF3F2B" w:rsidR="00133F31" w:rsidRPr="00133F31" w:rsidRDefault="00133F31" w:rsidP="006755DD">
      <w:pPr>
        <w:pStyle w:val="NoSpacing"/>
      </w:pPr>
      <w:r w:rsidRPr="00133F31">
        <w:t xml:space="preserve">  </w:t>
      </w:r>
    </w:p>
    <w:p w14:paraId="5992F717" w14:textId="77777777" w:rsidR="00133F31" w:rsidRPr="00133F31" w:rsidRDefault="00133F31" w:rsidP="00133F31">
      <w:pPr>
        <w:spacing w:line="240" w:lineRule="auto"/>
        <w:ind w:left="1800"/>
        <w:rPr>
          <w:sz w:val="20"/>
          <w:szCs w:val="20"/>
        </w:rPr>
      </w:pPr>
      <w:r w:rsidRPr="00133F31">
        <w:rPr>
          <w:rFonts w:ascii="Times New Roman" w:eastAsia="Times New Roman" w:hAnsi="Times New Roman" w:cs="Times New Roman"/>
          <w:sz w:val="24"/>
          <w:szCs w:val="24"/>
        </w:rPr>
        <w:t>In Centurion, respondents enter their data on a series of screens and then submit the data after they have completed their survey(s).  Multi-establishment companies can download data from Centurion and upload data to Centurion. An option is available for respondents to print or save a copy of their survey(s) for their records.  Large multi-establishment companies can download a spreadsheet of their survey(s) for their records.</w:t>
      </w:r>
      <w:r w:rsidRPr="00133F31">
        <w:rPr>
          <w:sz w:val="20"/>
          <w:szCs w:val="20"/>
        </w:rPr>
        <w:tab/>
      </w:r>
      <w:r w:rsidRPr="00133F31">
        <w:rPr>
          <w:sz w:val="20"/>
          <w:szCs w:val="20"/>
        </w:rPr>
        <w:tab/>
      </w:r>
    </w:p>
    <w:p w14:paraId="761E1401" w14:textId="66FB9C4E" w:rsidR="00133F31" w:rsidRPr="00133F31" w:rsidRDefault="00133F31" w:rsidP="00133F31">
      <w:pPr>
        <w:spacing w:line="240" w:lineRule="auto"/>
        <w:ind w:left="180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Additionally, the Census Bureau maintains a Web Transformation Site on the Internet that provides information about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questionnaires and instructions, frequently asked questions, videos, and contact information.  Respondents can access the Web Transformation Site via Centurion.</w:t>
      </w:r>
    </w:p>
    <w:p w14:paraId="7AF264B8" w14:textId="77777777" w:rsidR="00133F31" w:rsidRPr="00133F31" w:rsidRDefault="00133F31" w:rsidP="00133F31">
      <w:pPr>
        <w:spacing w:after="0" w:line="240" w:lineRule="auto"/>
      </w:pPr>
    </w:p>
    <w:p w14:paraId="400ED883"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u w:val="single"/>
        </w:rPr>
      </w:pP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t xml:space="preserve">b.  </w:t>
      </w:r>
      <w:r w:rsidRPr="00133F31">
        <w:rPr>
          <w:rFonts w:ascii="Times New Roman" w:eastAsia="Times New Roman" w:hAnsi="Times New Roman" w:cs="Times New Roman"/>
          <w:sz w:val="24"/>
          <w:szCs w:val="24"/>
          <w:u w:val="single"/>
        </w:rPr>
        <w:t xml:space="preserve"> Information Available to the Public Through the Internet</w:t>
      </w:r>
    </w:p>
    <w:p w14:paraId="1494E233"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rPr>
          <w:rFonts w:ascii="Times New Roman" w:eastAsia="Times New Roman" w:hAnsi="Times New Roman" w:cs="Times New Roman"/>
          <w:sz w:val="24"/>
          <w:szCs w:val="24"/>
          <w:u w:val="single"/>
        </w:rPr>
      </w:pPr>
    </w:p>
    <w:p w14:paraId="2EB67261" w14:textId="7042AFA4" w:rsidR="00133F31" w:rsidRPr="00133F31" w:rsidRDefault="00133F31" w:rsidP="00133F31">
      <w:pPr>
        <w:numPr>
          <w:ilvl w:val="12"/>
          <w:numId w:val="0"/>
        </w:numPr>
        <w:tabs>
          <w:tab w:val="left" w:pos="-1123"/>
          <w:tab w:val="left" w:pos="-720"/>
          <w:tab w:val="left" w:pos="0"/>
          <w:tab w:val="left" w:pos="45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80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information collected in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is used to update and maintain the BR.  Many of the Census Bureau’s economic surveys and censuses use the BR as an enumeration or sampling frame.  Data from these surveys and censuses are widely disseminated on the Internet.  In addition, the County Business Patterns data series, which is directly compiled from the BR, is disseminated through the Internet.</w:t>
      </w:r>
    </w:p>
    <w:p w14:paraId="284EC164"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800"/>
        <w:rPr>
          <w:rFonts w:ascii="Times New Roman" w:eastAsia="Times New Roman" w:hAnsi="Times New Roman" w:cs="Times New Roman"/>
          <w:sz w:val="24"/>
          <w:szCs w:val="24"/>
        </w:rPr>
      </w:pPr>
    </w:p>
    <w:p w14:paraId="705DDE1C"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810" w:hanging="3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t>4.</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Efforts to Identify Duplication</w:t>
      </w:r>
    </w:p>
    <w:p w14:paraId="5C1ECEA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4E9FD70" w14:textId="1D18DC1F" w:rsidR="00133F31" w:rsidRPr="00133F31" w:rsidRDefault="00133F31" w:rsidP="00133F31">
      <w:pPr>
        <w:numPr>
          <w:ilvl w:val="12"/>
          <w:numId w:val="0"/>
        </w:num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Bureau of Labor Statistics (BLS) collects similar data as part of the Quarterly Census of Employment and Wages program.  The BLS confidentiality laws do not authorize the release of these data for all states.  The Census Bureau found no other information collections by Federal agencies, trade groups, or businesses that duplicate the content, comprehensive coverage, and statistical reliability provided by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w:t>
      </w:r>
    </w:p>
    <w:p w14:paraId="3FAC6A55" w14:textId="77777777" w:rsidR="00133F31" w:rsidRPr="00133F31" w:rsidRDefault="00133F31" w:rsidP="00133F31">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54782501" w14:textId="77777777"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u w:val="single"/>
        </w:rPr>
      </w:pPr>
      <w:r w:rsidRPr="00133F31">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rPr>
        <w:tab/>
        <w:t>5.</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Minimizing Burden</w:t>
      </w:r>
    </w:p>
    <w:p w14:paraId="2030874F" w14:textId="77777777"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u w:val="single"/>
        </w:rPr>
      </w:pPr>
    </w:p>
    <w:p w14:paraId="00C3A36A" w14:textId="00982CC8" w:rsidR="00133F31" w:rsidRPr="00133F31" w:rsidRDefault="00133F31"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Census Bureau minimizes response burden by pre-listing an inventory of establishments on the form and requesting the respondent to provide updates for name, address, industry classification, and Federal Employer Identification Number.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information collection minimizes the burden on small businesses by excluding most of them from participation.  In particular,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coverage excludes most of the 5.8 million smaller single-establishment enterprises with paid employees and more than 24 million nonemployer enterpris</w:t>
      </w:r>
      <w:r w:rsidR="00476B67">
        <w:rPr>
          <w:rFonts w:ascii="Times New Roman" w:eastAsia="Times New Roman" w:hAnsi="Times New Roman" w:cs="Times New Roman"/>
          <w:sz w:val="24"/>
          <w:szCs w:val="24"/>
        </w:rPr>
        <w:t>es without paid employees.</w:t>
      </w:r>
    </w:p>
    <w:p w14:paraId="6C60D87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eastAsia="Times New Roman" w:hAnsi="Times New Roman" w:cs="Times New Roman"/>
          <w:sz w:val="24"/>
          <w:szCs w:val="24"/>
        </w:rPr>
      </w:pPr>
    </w:p>
    <w:p w14:paraId="5A5C7D6F" w14:textId="57064975"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t>6.</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Consequences of Less Frequent Collection</w:t>
      </w:r>
    </w:p>
    <w:p w14:paraId="2944DF9F"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2439780" w14:textId="21BBBAD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Less frequent data collection would have a major impact on the use of the BR as a universe sampling frame.  Information such as the opening of new locations, closing of locations, changes in locations, and changes in the Federal Employer Identification Numbers would not be up-to-date and would, therefore, reduce the completeness and accuracy of the BR</w:t>
      </w:r>
      <w:r w:rsidR="004447F4">
        <w:rPr>
          <w:rFonts w:ascii="Times New Roman" w:eastAsia="Times New Roman" w:hAnsi="Times New Roman" w:cs="Times New Roman"/>
          <w:sz w:val="24"/>
          <w:szCs w:val="24"/>
        </w:rPr>
        <w:t>.  Since the majority of the Census Bureau’s economic programs rely on the BR to</w:t>
      </w:r>
      <w:r w:rsidR="00EA2AA9">
        <w:rPr>
          <w:rFonts w:ascii="Times New Roman" w:eastAsia="Times New Roman" w:hAnsi="Times New Roman" w:cs="Times New Roman"/>
          <w:sz w:val="24"/>
          <w:szCs w:val="24"/>
        </w:rPr>
        <w:t xml:space="preserve"> </w:t>
      </w:r>
      <w:r w:rsidR="004447F4">
        <w:rPr>
          <w:rFonts w:ascii="Times New Roman" w:eastAsia="Times New Roman" w:hAnsi="Times New Roman" w:cs="Times New Roman"/>
          <w:sz w:val="24"/>
          <w:szCs w:val="24"/>
        </w:rPr>
        <w:t>plan and conduct their surveys, this situation would result in a reduction in the quality of the data products produced by these pro</w:t>
      </w:r>
      <w:r w:rsidR="00EA2AA9">
        <w:rPr>
          <w:rFonts w:ascii="Times New Roman" w:eastAsia="Times New Roman" w:hAnsi="Times New Roman" w:cs="Times New Roman"/>
          <w:sz w:val="24"/>
          <w:szCs w:val="24"/>
        </w:rPr>
        <w:t>g</w:t>
      </w:r>
      <w:r w:rsidR="004447F4">
        <w:rPr>
          <w:rFonts w:ascii="Times New Roman" w:eastAsia="Times New Roman" w:hAnsi="Times New Roman" w:cs="Times New Roman"/>
          <w:sz w:val="24"/>
          <w:szCs w:val="24"/>
        </w:rPr>
        <w:t>rams.</w:t>
      </w:r>
    </w:p>
    <w:p w14:paraId="0617E0F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5D1D566A" w14:textId="77777777" w:rsidR="00133F31" w:rsidRPr="00133F31" w:rsidRDefault="00133F31" w:rsidP="00133F31">
      <w:pPr>
        <w:numPr>
          <w:ilvl w:val="12"/>
          <w:numId w:val="0"/>
        </w:numPr>
        <w:tabs>
          <w:tab w:val="left" w:pos="-1123"/>
          <w:tab w:val="left" w:pos="-720"/>
          <w:tab w:val="left" w:pos="0"/>
          <w:tab w:val="left" w:pos="360"/>
          <w:tab w:val="left" w:pos="45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7.</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Special Circumstances</w:t>
      </w:r>
    </w:p>
    <w:p w14:paraId="49890AAE"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96B9DD0" w14:textId="77777777" w:rsidR="00133F31" w:rsidRPr="00133F31" w:rsidRDefault="00133F31" w:rsidP="00133F31">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This information collection will be conducted in a manner consistent with Office of Management and Budget (OMB) guidelines and there are no special circumstances.</w:t>
      </w:r>
    </w:p>
    <w:p w14:paraId="2091FDEB" w14:textId="77777777" w:rsidR="00133F31" w:rsidRPr="00133F31" w:rsidRDefault="00133F31" w:rsidP="00133F31">
      <w:pPr>
        <w:numPr>
          <w:ilvl w:val="12"/>
          <w:numId w:val="0"/>
        </w:numPr>
        <w:tabs>
          <w:tab w:val="left" w:pos="-1123"/>
          <w:tab w:val="left" w:pos="-720"/>
          <w:tab w:val="left" w:pos="0"/>
          <w:tab w:val="left" w:pos="45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eastAsia="Times New Roman" w:hAnsi="Times New Roman" w:cs="Times New Roman"/>
          <w:sz w:val="24"/>
          <w:szCs w:val="24"/>
        </w:rPr>
      </w:pPr>
    </w:p>
    <w:p w14:paraId="1BC6F38B" w14:textId="2F31EC0A" w:rsidR="00133F31" w:rsidRPr="00133F31" w:rsidRDefault="00133F31" w:rsidP="00133F31">
      <w:pPr>
        <w:numPr>
          <w:ilvl w:val="12"/>
          <w:numId w:val="0"/>
        </w:numPr>
        <w:tabs>
          <w:tab w:val="left" w:pos="-1123"/>
          <w:tab w:val="left" w:pos="-720"/>
          <w:tab w:val="left" w:pos="0"/>
          <w:tab w:val="left" w:pos="45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FF0000"/>
          <w:sz w:val="24"/>
          <w:szCs w:val="24"/>
        </w:rPr>
      </w:pPr>
      <w:r w:rsidRPr="00133F31">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rPr>
        <w:tab/>
        <w:t xml:space="preserve">8.    </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Consultations Outside the Agency</w:t>
      </w:r>
    </w:p>
    <w:p w14:paraId="3A79E6CD" w14:textId="77777777" w:rsidR="00133F31" w:rsidRPr="00133F31" w:rsidRDefault="00133F31" w:rsidP="00133F31">
      <w:pPr>
        <w:numPr>
          <w:ilvl w:val="12"/>
          <w:numId w:val="0"/>
        </w:numPr>
        <w:tabs>
          <w:tab w:val="left" w:pos="-1123"/>
          <w:tab w:val="left" w:pos="-720"/>
          <w:tab w:val="left" w:pos="0"/>
          <w:tab w:val="left" w:pos="450"/>
          <w:tab w:val="left" w:pos="720"/>
          <w:tab w:val="left" w:pos="81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FF0000"/>
          <w:sz w:val="24"/>
          <w:szCs w:val="24"/>
        </w:rPr>
      </w:pPr>
    </w:p>
    <w:p w14:paraId="71980F00" w14:textId="3E74F653"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instruments were discussed with representatives from oth</w:t>
      </w:r>
      <w:r w:rsidR="00476B67">
        <w:rPr>
          <w:rFonts w:ascii="Times New Roman" w:eastAsia="Times New Roman" w:hAnsi="Times New Roman" w:cs="Times New Roman"/>
          <w:sz w:val="24"/>
          <w:szCs w:val="24"/>
        </w:rPr>
        <w:t>er Federal agencies, including:</w:t>
      </w:r>
    </w:p>
    <w:p w14:paraId="71846C9B"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00476F06" w14:textId="77777777" w:rsidR="00133F31" w:rsidRPr="00133F31" w:rsidRDefault="00133F31" w:rsidP="00133F31">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Dennis J. Fixler</w:t>
      </w:r>
    </w:p>
    <w:p w14:paraId="4F7ADE45"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340" w:hanging="18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Chief Statistician</w:t>
      </w:r>
    </w:p>
    <w:p w14:paraId="37ADD389"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Bureau of Economic Analysis</w:t>
      </w:r>
    </w:p>
    <w:p w14:paraId="22990829" w14:textId="77777777" w:rsidR="00133F31" w:rsidRPr="00133F31" w:rsidRDefault="00133F31" w:rsidP="00133F31">
      <w:pPr>
        <w:tabs>
          <w:tab w:val="left" w:pos="-1123"/>
          <w:tab w:val="left" w:pos="-720"/>
          <w:tab w:val="left" w:pos="0"/>
          <w:tab w:val="left" w:pos="450"/>
          <w:tab w:val="left" w:pos="81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3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(301) 278-9607</w:t>
      </w:r>
    </w:p>
    <w:p w14:paraId="63DADB1E" w14:textId="77777777" w:rsidR="00133F31" w:rsidRPr="00133F31" w:rsidRDefault="00133F31" w:rsidP="00133F31">
      <w:pPr>
        <w:tabs>
          <w:tab w:val="left" w:pos="-1123"/>
          <w:tab w:val="left" w:pos="-720"/>
          <w:tab w:val="left" w:pos="0"/>
          <w:tab w:val="left" w:pos="450"/>
          <w:tab w:val="left" w:pos="81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360"/>
        <w:rPr>
          <w:rFonts w:ascii="Times New Roman" w:eastAsia="Times New Roman" w:hAnsi="Times New Roman" w:cs="Times New Roman"/>
          <w:sz w:val="24"/>
          <w:szCs w:val="24"/>
        </w:rPr>
      </w:pPr>
    </w:p>
    <w:p w14:paraId="5E150003" w14:textId="77777777" w:rsidR="00133F31" w:rsidRPr="00133F31" w:rsidRDefault="00133F31" w:rsidP="00133F31">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David P. Paris</w:t>
      </w:r>
    </w:p>
    <w:p w14:paraId="66AE656E" w14:textId="2F5B1CE3"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Chie</w:t>
      </w:r>
      <w:r w:rsidR="00476B67">
        <w:rPr>
          <w:rFonts w:ascii="Times New Roman" w:eastAsia="Times New Roman" w:hAnsi="Times New Roman" w:cs="Times New Roman"/>
          <w:sz w:val="24"/>
          <w:szCs w:val="24"/>
        </w:rPr>
        <w:t>f, Individual Tax-Exempt Branch</w:t>
      </w:r>
    </w:p>
    <w:p w14:paraId="4B760DD8"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Statistics of Income Division</w:t>
      </w:r>
    </w:p>
    <w:p w14:paraId="0AFDEBFE"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Internal Revenue Service</w:t>
      </w:r>
    </w:p>
    <w:p w14:paraId="4A531E8E"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(202) 803-9784</w:t>
      </w:r>
    </w:p>
    <w:p w14:paraId="71C7F8A9"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p>
    <w:p w14:paraId="1F9B6BC0" w14:textId="77777777" w:rsidR="00133F31" w:rsidRPr="00133F31" w:rsidRDefault="00133F31" w:rsidP="00133F31">
      <w:pPr>
        <w:numPr>
          <w:ilvl w:val="0"/>
          <w:numId w:val="1"/>
        </w:num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David Talan </w:t>
      </w:r>
    </w:p>
    <w:p w14:paraId="0602B0A9" w14:textId="7216E8BB"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Chief</w:t>
      </w:r>
      <w:r w:rsidR="000C6B97">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rPr>
        <w:t>Division of Administrative Statistics and Labor Turnover</w:t>
      </w:r>
    </w:p>
    <w:p w14:paraId="303FE7E3"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Bureau of Labor Statistics</w:t>
      </w:r>
    </w:p>
    <w:p w14:paraId="1EAFB48D" w14:textId="77777777" w:rsidR="00133F31" w:rsidRPr="00133F31" w:rsidRDefault="00133F31" w:rsidP="00133F31">
      <w:pPr>
        <w:tabs>
          <w:tab w:val="left" w:pos="-1123"/>
          <w:tab w:val="left" w:pos="-720"/>
          <w:tab w:val="left" w:pos="0"/>
          <w:tab w:val="left" w:pos="450"/>
          <w:tab w:val="left" w:pos="81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t xml:space="preserve">            (202) 691-6467</w:t>
      </w:r>
    </w:p>
    <w:p w14:paraId="55AE4AD4"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1A799D68" w14:textId="1AB267B7" w:rsid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133F31">
        <w:rPr>
          <w:rFonts w:ascii="Times New Roman" w:eastAsia="Times New Roman" w:hAnsi="Times New Roman" w:cs="Times New Roman"/>
          <w:sz w:val="24"/>
          <w:szCs w:val="24"/>
        </w:rPr>
        <w:t xml:space="preserve">We published a notice in the </w:t>
      </w:r>
      <w:r w:rsidRPr="00133F31">
        <w:rPr>
          <w:rFonts w:ascii="Times New Roman" w:eastAsia="Times New Roman" w:hAnsi="Times New Roman" w:cs="Times New Roman"/>
          <w:sz w:val="24"/>
          <w:szCs w:val="24"/>
          <w:u w:val="single"/>
        </w:rPr>
        <w:t>Federal Register</w:t>
      </w:r>
      <w:r w:rsidRPr="00133F31">
        <w:rPr>
          <w:rFonts w:ascii="Times New Roman" w:eastAsia="Times New Roman" w:hAnsi="Times New Roman" w:cs="Times New Roman"/>
          <w:sz w:val="24"/>
          <w:szCs w:val="24"/>
        </w:rPr>
        <w:t xml:space="preserve"> on April 17, 2017 (Volume 82,</w:t>
      </w:r>
      <w:r w:rsidRPr="00133F31">
        <w:rPr>
          <w:rFonts w:ascii="Times New Roman" w:eastAsia="Times New Roman" w:hAnsi="Times New Roman" w:cs="Times New Roman"/>
          <w:color w:val="FF0000"/>
          <w:sz w:val="24"/>
          <w:szCs w:val="24"/>
        </w:rPr>
        <w:t xml:space="preserve"> </w:t>
      </w:r>
      <w:r w:rsidRPr="00133F31">
        <w:rPr>
          <w:rFonts w:ascii="Times New Roman" w:eastAsia="Times New Roman" w:hAnsi="Times New Roman" w:cs="Times New Roman"/>
          <w:sz w:val="24"/>
          <w:szCs w:val="24"/>
        </w:rPr>
        <w:t>Page</w:t>
      </w:r>
      <w:r w:rsidRPr="00133F31">
        <w:rPr>
          <w:rFonts w:ascii="Times New Roman" w:eastAsia="Times New Roman" w:hAnsi="Times New Roman" w:cs="Times New Roman"/>
          <w:color w:val="FF0000"/>
          <w:sz w:val="24"/>
          <w:szCs w:val="24"/>
        </w:rPr>
        <w:t xml:space="preserve"> </w:t>
      </w:r>
      <w:r w:rsidRPr="00133F31">
        <w:rPr>
          <w:rFonts w:ascii="Times New Roman" w:eastAsia="Times New Roman" w:hAnsi="Times New Roman" w:cs="Times New Roman"/>
          <w:sz w:val="24"/>
          <w:szCs w:val="24"/>
        </w:rPr>
        <w:t xml:space="preserve">18102 - 18103) inviting public comment on our plans to submit this request.  </w:t>
      </w:r>
      <w:r w:rsidR="00476B67">
        <w:rPr>
          <w:rFonts w:ascii="Times New Roman" w:hAnsi="Times New Roman" w:cs="Times New Roman"/>
          <w:sz w:val="24"/>
          <w:szCs w:val="24"/>
        </w:rPr>
        <w:t>No comments were received.</w:t>
      </w:r>
    </w:p>
    <w:p w14:paraId="41E5888E" w14:textId="3FD5239C" w:rsidR="00682DDB" w:rsidRPr="00CF3242" w:rsidRDefault="00682DDB" w:rsidP="00682DDB">
      <w:pPr>
        <w:ind w:left="1440"/>
        <w:rPr>
          <w:rFonts w:ascii="Times New Roman" w:hAnsi="Times New Roman" w:cs="Times New Roman"/>
          <w:sz w:val="24"/>
          <w:szCs w:val="24"/>
        </w:rPr>
      </w:pPr>
      <w:r w:rsidRPr="00CF3242">
        <w:rPr>
          <w:rFonts w:ascii="Times New Roman" w:hAnsi="Times New Roman" w:cs="Times New Roman"/>
          <w:sz w:val="24"/>
          <w:szCs w:val="24"/>
        </w:rPr>
        <w:t xml:space="preserve">As a Term of Clearance in its May 5, 2015 approval of this information collection, the OMB wrote, “Taking into account the comments received on this ICR pertaining to data to describe global value chains (GVCs) and international trade in valued-added (TiVA), the Census Bureau shall provide with the next ICR for the COS, a plan of research for assessing the feasibility of collecting GVC and TiVA data on this or other relevant data collections…”  In response to this Term of Clearance, the Census Bureau and the Bureau of Economic Analysis </w:t>
      </w:r>
      <w:r w:rsidR="00B679F9" w:rsidRPr="00CF3242">
        <w:rPr>
          <w:rFonts w:ascii="Times New Roman" w:hAnsi="Times New Roman" w:cs="Times New Roman"/>
          <w:sz w:val="24"/>
          <w:szCs w:val="24"/>
        </w:rPr>
        <w:t xml:space="preserve">(BEA) </w:t>
      </w:r>
      <w:r w:rsidRPr="00CF3242">
        <w:rPr>
          <w:rFonts w:ascii="Times New Roman" w:hAnsi="Times New Roman" w:cs="Times New Roman"/>
          <w:sz w:val="24"/>
          <w:szCs w:val="24"/>
        </w:rPr>
        <w:t xml:space="preserve">have undertaken a joint research project.  A </w:t>
      </w:r>
      <w:r w:rsidR="005A5298" w:rsidRPr="00CF3242">
        <w:rPr>
          <w:rFonts w:ascii="Times New Roman" w:hAnsi="Times New Roman" w:cs="Times New Roman"/>
          <w:sz w:val="24"/>
          <w:szCs w:val="24"/>
        </w:rPr>
        <w:t>d</w:t>
      </w:r>
      <w:r w:rsidRPr="00CF3242">
        <w:rPr>
          <w:rFonts w:ascii="Times New Roman" w:hAnsi="Times New Roman" w:cs="Times New Roman"/>
          <w:sz w:val="24"/>
          <w:szCs w:val="24"/>
        </w:rPr>
        <w:t>raft Predominant Purpose Statement dated March 26, 2015 describing the scope of that research is provided as Attachment H.  A report detailing the progress of that research for the period of April 2016 – April 2017 is provided as Attachment I.</w:t>
      </w:r>
    </w:p>
    <w:p w14:paraId="1DB4908C" w14:textId="6CA8A86F" w:rsidR="00682DDB" w:rsidRPr="00CF3242" w:rsidRDefault="00682DDB" w:rsidP="00682DDB">
      <w:pPr>
        <w:ind w:left="1440"/>
        <w:rPr>
          <w:rFonts w:ascii="Times New Roman" w:hAnsi="Times New Roman" w:cs="Times New Roman"/>
          <w:sz w:val="24"/>
          <w:szCs w:val="24"/>
        </w:rPr>
      </w:pPr>
      <w:r w:rsidRPr="00CF3242">
        <w:rPr>
          <w:rFonts w:ascii="Times New Roman" w:hAnsi="Times New Roman" w:cs="Times New Roman"/>
          <w:sz w:val="24"/>
          <w:szCs w:val="24"/>
        </w:rPr>
        <w:t>The OMB received a letter of comme</w:t>
      </w:r>
      <w:r w:rsidR="00956AE2" w:rsidRPr="00CF3242">
        <w:rPr>
          <w:rFonts w:ascii="Times New Roman" w:hAnsi="Times New Roman" w:cs="Times New Roman"/>
          <w:sz w:val="24"/>
          <w:szCs w:val="24"/>
        </w:rPr>
        <w:t>nt dated December 1, 2017 from M</w:t>
      </w:r>
      <w:r w:rsidRPr="00CF3242">
        <w:rPr>
          <w:rFonts w:ascii="Times New Roman" w:hAnsi="Times New Roman" w:cs="Times New Roman"/>
          <w:sz w:val="24"/>
          <w:szCs w:val="24"/>
        </w:rPr>
        <w:t>r. Andrew Reamer, Research Professor and the George Washington University (see Attachment J) suggesting that the joint research project, while highly complementary to the outstanding Term of Clearance, does not fulfill that term. Specifically, it looks at adapting current survey instruments for MNE analysis, not examining the desirability and feasibility of collecting new or revised data elements to better understand TiVA and GVC activities.  The Census Bureau was copied on that letter.</w:t>
      </w:r>
    </w:p>
    <w:p w14:paraId="3B528B28" w14:textId="523485FB" w:rsidR="00344161" w:rsidRDefault="00682DDB" w:rsidP="00682DDB">
      <w:pPr>
        <w:ind w:left="1440"/>
        <w:rPr>
          <w:rFonts w:ascii="Times New Roman" w:eastAsia="Times New Roman" w:hAnsi="Times New Roman" w:cs="Times New Roman"/>
          <w:sz w:val="24"/>
          <w:szCs w:val="24"/>
        </w:rPr>
      </w:pPr>
      <w:r w:rsidRPr="00CF3242">
        <w:rPr>
          <w:rFonts w:ascii="Times New Roman" w:hAnsi="Times New Roman" w:cs="Times New Roman"/>
          <w:sz w:val="24"/>
          <w:szCs w:val="24"/>
        </w:rPr>
        <w:t xml:space="preserve">The Census Bureau replied to Mr. Reamer by email on January 7, 2018 (see Attachment K).  We believe that the research project referenced above does fulfill the </w:t>
      </w:r>
      <w:r w:rsidR="00E83606" w:rsidRPr="00CF3242">
        <w:rPr>
          <w:rFonts w:ascii="Times New Roman" w:hAnsi="Times New Roman" w:cs="Times New Roman"/>
          <w:sz w:val="24"/>
          <w:szCs w:val="24"/>
        </w:rPr>
        <w:t>T</w:t>
      </w:r>
      <w:r w:rsidRPr="00CF3242">
        <w:rPr>
          <w:rFonts w:ascii="Times New Roman" w:hAnsi="Times New Roman" w:cs="Times New Roman"/>
          <w:sz w:val="24"/>
          <w:szCs w:val="24"/>
        </w:rPr>
        <w:t xml:space="preserve">erm of </w:t>
      </w:r>
      <w:r w:rsidR="00E83606" w:rsidRPr="00CF3242">
        <w:rPr>
          <w:rFonts w:ascii="Times New Roman" w:hAnsi="Times New Roman" w:cs="Times New Roman"/>
          <w:sz w:val="24"/>
          <w:szCs w:val="24"/>
        </w:rPr>
        <w:t>C</w:t>
      </w:r>
      <w:r w:rsidRPr="00CF3242">
        <w:rPr>
          <w:rFonts w:ascii="Times New Roman" w:hAnsi="Times New Roman" w:cs="Times New Roman"/>
          <w:sz w:val="24"/>
          <w:szCs w:val="24"/>
        </w:rPr>
        <w:t>learance.  The Census Bureau’s response to the letter states, among other points, that this research project will assess the current state of data collections by the U.S. Census Bureau and the BEA on GVCs, including an assessment of the quality of the data being reported, identification of any remaining data gaps preventing the full implementation of the new standards, and recommendations of how best to fill these gaps.</w:t>
      </w:r>
    </w:p>
    <w:p w14:paraId="469851F5" w14:textId="4B209074" w:rsidR="00133F31" w:rsidRPr="00133F31" w:rsidRDefault="00133F31" w:rsidP="00133F31">
      <w:pPr>
        <w:numPr>
          <w:ilvl w:val="0"/>
          <w:numId w:val="2"/>
        </w:numPr>
        <w:tabs>
          <w:tab w:val="left" w:pos="-1123"/>
          <w:tab w:val="left" w:pos="-720"/>
          <w:tab w:val="left" w:pos="0"/>
          <w:tab w:val="left" w:pos="450"/>
          <w:tab w:val="left" w:pos="81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w:t>
      </w:r>
      <w:r w:rsidRPr="00133F31">
        <w:rPr>
          <w:rFonts w:ascii="Times New Roman" w:eastAsia="Times New Roman" w:hAnsi="Times New Roman" w:cs="Times New Roman"/>
          <w:sz w:val="24"/>
          <w:szCs w:val="24"/>
          <w:u w:val="single"/>
        </w:rPr>
        <w:t>Paying Respondents</w:t>
      </w:r>
    </w:p>
    <w:p w14:paraId="5C8D002A" w14:textId="77777777" w:rsidR="00133F31" w:rsidRPr="00133F31" w:rsidRDefault="00133F31" w:rsidP="00133F31">
      <w:pPr>
        <w:tabs>
          <w:tab w:val="left" w:pos="-1123"/>
          <w:tab w:val="left" w:pos="-720"/>
          <w:tab w:val="left" w:pos="0"/>
          <w:tab w:val="left" w:pos="45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84C352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The Census Bureau does not pay respondents and does not provide them with gifts in any form to report requested information.</w:t>
      </w:r>
    </w:p>
    <w:p w14:paraId="0E9F2615"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0A84A71C" w14:textId="24B2E220" w:rsidR="00133F31" w:rsidRPr="00133F31" w:rsidRDefault="00133F31" w:rsidP="00133F31">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10. </w:t>
      </w:r>
      <w:r w:rsidRPr="00133F31">
        <w:rPr>
          <w:rFonts w:ascii="Times New Roman" w:eastAsia="Times New Roman" w:hAnsi="Times New Roman" w:cs="Times New Roman"/>
          <w:sz w:val="24"/>
          <w:szCs w:val="24"/>
        </w:rPr>
        <w:tab/>
      </w:r>
      <w:r w:rsidR="00476B67">
        <w:rPr>
          <w:rFonts w:ascii="Times New Roman" w:eastAsia="Times New Roman" w:hAnsi="Times New Roman" w:cs="Times New Roman"/>
          <w:sz w:val="24"/>
          <w:szCs w:val="24"/>
          <w:u w:val="single"/>
        </w:rPr>
        <w:t>Assurance of Confidentiality</w:t>
      </w:r>
    </w:p>
    <w:p w14:paraId="1E0B887C"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3B7FB013"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The Centurion the electronic reporting instrument for this information collection contains the following statement:</w:t>
      </w:r>
    </w:p>
    <w:p w14:paraId="2C929721"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b/>
          <w:bCs/>
          <w:sz w:val="24"/>
          <w:szCs w:val="24"/>
        </w:rPr>
      </w:pPr>
    </w:p>
    <w:p w14:paraId="743C7CFF"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bCs/>
          <w:sz w:val="24"/>
          <w:szCs w:val="24"/>
        </w:rPr>
      </w:pPr>
      <w:r w:rsidRPr="00133F31">
        <w:rPr>
          <w:rFonts w:ascii="Times New Roman" w:eastAsia="Times New Roman" w:hAnsi="Times New Roman" w:cs="Times New Roman"/>
          <w:b/>
          <w:bCs/>
          <w:sz w:val="24"/>
          <w:szCs w:val="24"/>
        </w:rPr>
        <w:t>YOUR RESPONSE IS REQUIRED BY LAW.</w:t>
      </w:r>
      <w:r w:rsidRPr="00133F31">
        <w:rPr>
          <w:rFonts w:ascii="Times New Roman" w:eastAsia="Times New Roman" w:hAnsi="Times New Roman" w:cs="Times New Roman"/>
          <w:bCs/>
          <w:sz w:val="24"/>
          <w:szCs w:val="24"/>
        </w:rPr>
        <w:t xml:space="preserve"> Title 13 United States Code (U.S.C.), Sections 131 and 182 authorizes this collection. Sections 224 and 225 require your response. The U.S. Census Bureau is required by Section 9 of the same law to keep your information </w:t>
      </w:r>
      <w:r w:rsidRPr="00133F31">
        <w:rPr>
          <w:rFonts w:ascii="Times New Roman" w:eastAsia="Times New Roman" w:hAnsi="Times New Roman" w:cs="Times New Roman"/>
          <w:b/>
          <w:bCs/>
          <w:sz w:val="24"/>
          <w:szCs w:val="24"/>
        </w:rPr>
        <w:t>CONFIDENTIAL</w:t>
      </w:r>
      <w:r w:rsidRPr="00133F31">
        <w:rPr>
          <w:rFonts w:ascii="Times New Roman" w:eastAsia="Times New Roman" w:hAnsi="Times New Roman" w:cs="Times New Roman"/>
          <w:bCs/>
          <w:sz w:val="24"/>
          <w:szCs w:val="24"/>
        </w:rPr>
        <w:t xml:space="preserve">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14:paraId="4F9449E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bCs/>
          <w:sz w:val="24"/>
          <w:szCs w:val="24"/>
        </w:rPr>
      </w:pPr>
    </w:p>
    <w:p w14:paraId="55DC8446" w14:textId="2F11FA4D" w:rsidR="00133F31" w:rsidRDefault="00133F31"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Similar information will be included in the initial contact letter (see Attachment E) that directs the respondents to report online.</w:t>
      </w:r>
      <w:r w:rsidR="00CD14E4">
        <w:rPr>
          <w:rFonts w:ascii="Times New Roman" w:eastAsia="Times New Roman" w:hAnsi="Times New Roman" w:cs="Times New Roman"/>
          <w:sz w:val="24"/>
          <w:szCs w:val="24"/>
        </w:rPr>
        <w:t xml:space="preserve">  Since the Report of Organization is considered to be part of the Economic Census</w:t>
      </w:r>
      <w:r w:rsidR="00264C3B">
        <w:rPr>
          <w:rFonts w:ascii="Times New Roman" w:eastAsia="Times New Roman" w:hAnsi="Times New Roman" w:cs="Times New Roman"/>
          <w:sz w:val="24"/>
          <w:szCs w:val="24"/>
        </w:rPr>
        <w:t xml:space="preserve">, </w:t>
      </w:r>
      <w:r w:rsidR="00CD14E4">
        <w:rPr>
          <w:rFonts w:ascii="Times New Roman" w:eastAsia="Times New Roman" w:hAnsi="Times New Roman" w:cs="Times New Roman"/>
          <w:sz w:val="24"/>
          <w:szCs w:val="24"/>
        </w:rPr>
        <w:t>the survey</w:t>
      </w:r>
      <w:r w:rsidR="00437937">
        <w:rPr>
          <w:rFonts w:ascii="Times New Roman" w:eastAsia="Times New Roman" w:hAnsi="Times New Roman" w:cs="Times New Roman"/>
          <w:sz w:val="24"/>
          <w:szCs w:val="24"/>
        </w:rPr>
        <w:t xml:space="preserve"> is not mentioned </w:t>
      </w:r>
      <w:r w:rsidR="00CD14E4">
        <w:rPr>
          <w:rFonts w:ascii="Times New Roman" w:eastAsia="Times New Roman" w:hAnsi="Times New Roman" w:cs="Times New Roman"/>
          <w:sz w:val="24"/>
          <w:szCs w:val="24"/>
        </w:rPr>
        <w:t>in the initial contact</w:t>
      </w:r>
      <w:r w:rsidR="00437937">
        <w:rPr>
          <w:rFonts w:ascii="Times New Roman" w:eastAsia="Times New Roman" w:hAnsi="Times New Roman" w:cs="Times New Roman"/>
          <w:sz w:val="24"/>
          <w:szCs w:val="24"/>
        </w:rPr>
        <w:t xml:space="preserve"> letter </w:t>
      </w:r>
      <w:r w:rsidR="00CD14E4">
        <w:rPr>
          <w:rFonts w:ascii="Times New Roman" w:eastAsia="Times New Roman" w:hAnsi="Times New Roman" w:cs="Times New Roman"/>
          <w:sz w:val="24"/>
          <w:szCs w:val="24"/>
        </w:rPr>
        <w:t xml:space="preserve">for the census collection </w:t>
      </w:r>
      <w:r w:rsidR="00437937">
        <w:rPr>
          <w:rFonts w:ascii="Times New Roman" w:eastAsia="Times New Roman" w:hAnsi="Times New Roman" w:cs="Times New Roman"/>
          <w:sz w:val="24"/>
          <w:szCs w:val="24"/>
        </w:rPr>
        <w:t>to keep t</w:t>
      </w:r>
      <w:r w:rsidR="00CD14E4">
        <w:rPr>
          <w:rFonts w:ascii="Times New Roman" w:eastAsia="Times New Roman" w:hAnsi="Times New Roman" w:cs="Times New Roman"/>
          <w:sz w:val="24"/>
          <w:szCs w:val="24"/>
        </w:rPr>
        <w:t>he letter</w:t>
      </w:r>
      <w:r w:rsidR="00437937">
        <w:rPr>
          <w:rFonts w:ascii="Times New Roman" w:eastAsia="Times New Roman" w:hAnsi="Times New Roman" w:cs="Times New Roman"/>
          <w:sz w:val="24"/>
          <w:szCs w:val="24"/>
        </w:rPr>
        <w:t xml:space="preserve"> as brief as possible and limit the chances of causing confusion among respondents.</w:t>
      </w:r>
    </w:p>
    <w:p w14:paraId="5FBC2E18" w14:textId="77777777" w:rsidR="00CF3242" w:rsidRPr="00133F31" w:rsidRDefault="00CF3242" w:rsidP="00133F31">
      <w:pPr>
        <w:numPr>
          <w:ilvl w:val="12"/>
          <w:numId w:val="0"/>
        </w:numPr>
        <w:tabs>
          <w:tab w:val="left" w:pos="-1123"/>
          <w:tab w:val="left" w:pos="-720"/>
          <w:tab w:val="left" w:pos="0"/>
          <w:tab w:val="left" w:pos="450"/>
          <w:tab w:val="left" w:pos="81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after="49" w:line="240" w:lineRule="auto"/>
        <w:ind w:left="1440"/>
        <w:rPr>
          <w:rFonts w:ascii="Times New Roman" w:eastAsia="Times New Roman" w:hAnsi="Times New Roman" w:cs="Times New Roman"/>
          <w:b/>
          <w:bCs/>
          <w:sz w:val="24"/>
          <w:szCs w:val="24"/>
        </w:rPr>
      </w:pPr>
    </w:p>
    <w:p w14:paraId="07CB5EC1"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b/>
          <w:bCs/>
          <w:color w:val="FF0000"/>
          <w:sz w:val="24"/>
          <w:szCs w:val="24"/>
        </w:rPr>
      </w:pPr>
    </w:p>
    <w:p w14:paraId="1FFEC61E" w14:textId="77777777" w:rsidR="00133F31" w:rsidRPr="00133F31" w:rsidRDefault="00133F31" w:rsidP="00133F31">
      <w:pPr>
        <w:numPr>
          <w:ilvl w:val="12"/>
          <w:numId w:val="0"/>
        </w:numPr>
        <w:tabs>
          <w:tab w:val="left" w:pos="-1123"/>
          <w:tab w:val="left" w:pos="-72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t xml:space="preserve">   11.       </w:t>
      </w:r>
      <w:r w:rsidRPr="00133F31">
        <w:rPr>
          <w:rFonts w:ascii="Times New Roman" w:eastAsia="Times New Roman" w:hAnsi="Times New Roman" w:cs="Times New Roman"/>
          <w:sz w:val="24"/>
          <w:szCs w:val="24"/>
          <w:u w:val="single"/>
        </w:rPr>
        <w:t xml:space="preserve"> Justification for Sensitive Questions</w:t>
      </w:r>
    </w:p>
    <w:p w14:paraId="0C0322A0" w14:textId="77777777" w:rsidR="00133F31" w:rsidRPr="00133F31" w:rsidRDefault="00133F31" w:rsidP="00133F31">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34"/>
        <w:rPr>
          <w:rFonts w:ascii="Times New Roman" w:eastAsia="Times New Roman" w:hAnsi="Times New Roman" w:cs="Times New Roman"/>
          <w:sz w:val="24"/>
          <w:szCs w:val="24"/>
        </w:rPr>
      </w:pPr>
    </w:p>
    <w:p w14:paraId="6F5410AA" w14:textId="35C64848"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40" w:firstLine="90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This information collection asks no q</w:t>
      </w:r>
      <w:r w:rsidR="00476B67">
        <w:rPr>
          <w:rFonts w:ascii="Times New Roman" w:eastAsia="Times New Roman" w:hAnsi="Times New Roman" w:cs="Times New Roman"/>
          <w:sz w:val="24"/>
          <w:szCs w:val="24"/>
        </w:rPr>
        <w:t>uestions of a sensitive nature.</w:t>
      </w:r>
    </w:p>
    <w:p w14:paraId="071040F9" w14:textId="77777777" w:rsidR="00133F31" w:rsidRPr="00133F31" w:rsidRDefault="00133F31" w:rsidP="00133F31">
      <w:pPr>
        <w:keepNext/>
        <w:tabs>
          <w:tab w:val="left" w:pos="-1123"/>
          <w:tab w:val="left" w:pos="-720"/>
          <w:tab w:val="left" w:pos="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900"/>
        <w:outlineLvl w:val="0"/>
        <w:rPr>
          <w:rFonts w:ascii="Times New Roman" w:eastAsia="Times New Roman" w:hAnsi="Times New Roman" w:cs="Times New Roman"/>
          <w:sz w:val="24"/>
          <w:szCs w:val="24"/>
        </w:rPr>
      </w:pPr>
    </w:p>
    <w:p w14:paraId="25AD25A2" w14:textId="77777777" w:rsidR="002B6BCB" w:rsidRDefault="002B6BC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9943A3" w14:textId="2E3E1FDD" w:rsidR="00133F31" w:rsidRPr="00133F31" w:rsidRDefault="00133F31" w:rsidP="00133F31">
      <w:pPr>
        <w:keepNext/>
        <w:tabs>
          <w:tab w:val="left" w:pos="-1123"/>
          <w:tab w:val="left" w:pos="-720"/>
          <w:tab w:val="left" w:pos="0"/>
          <w:tab w:val="left" w:pos="450"/>
          <w:tab w:val="left" w:pos="54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180"/>
        <w:outlineLvl w:val="0"/>
        <w:rPr>
          <w:rFonts w:ascii="Times New Roman" w:eastAsia="Times New Roman" w:hAnsi="Times New Roman" w:cs="Times New Roman"/>
          <w:sz w:val="24"/>
          <w:szCs w:val="24"/>
          <w:u w:val="single"/>
        </w:rPr>
      </w:pPr>
      <w:r w:rsidRPr="00133F31">
        <w:rPr>
          <w:rFonts w:ascii="Times New Roman" w:eastAsia="Times New Roman" w:hAnsi="Times New Roman" w:cs="Times New Roman"/>
          <w:sz w:val="24"/>
          <w:szCs w:val="24"/>
        </w:rPr>
        <w:t xml:space="preserve"> 12.        </w:t>
      </w:r>
      <w:r w:rsidRPr="00133F31">
        <w:rPr>
          <w:rFonts w:ascii="Times New Roman" w:eastAsia="Times New Roman" w:hAnsi="Times New Roman" w:cs="Times New Roman"/>
          <w:sz w:val="24"/>
          <w:szCs w:val="24"/>
          <w:u w:val="single"/>
        </w:rPr>
        <w:t>Estimate of Response Burden</w:t>
      </w:r>
    </w:p>
    <w:p w14:paraId="33C47A04" w14:textId="77777777" w:rsidR="00133F31" w:rsidRPr="00133F31" w:rsidRDefault="00133F31" w:rsidP="00133F31">
      <w:p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7CE8CF07" w14:textId="0A8CBC8F" w:rsidR="002B6BCB" w:rsidRPr="00133F31" w:rsidRDefault="00133F31" w:rsidP="002B6BCB">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following tables provide an estimate of response burden for the 2017 – 2019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for each type of respondent.  Figures for number of respondents by form are projections based on the latest information contained in the BR.  We are requesting 120,544 burden hours that represent the average burden over the next three years based on an average of 87,000 respondents over this time frame.</w:t>
      </w:r>
    </w:p>
    <w:p w14:paraId="240A0676"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2FA69058" w14:textId="34CEA533" w:rsidR="00133F31" w:rsidRPr="00133F31" w:rsidRDefault="002B6BCB" w:rsidP="002B6BCB">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3F31" w:rsidRPr="00133F31">
        <w:rPr>
          <w:rFonts w:ascii="Times New Roman" w:eastAsia="Times New Roman" w:hAnsi="Times New Roman" w:cs="Times New Roman"/>
          <w:sz w:val="24"/>
          <w:szCs w:val="24"/>
        </w:rPr>
        <w:t xml:space="preserve">2017 </w:t>
      </w:r>
      <w:r>
        <w:rPr>
          <w:rFonts w:ascii="Times New Roman" w:eastAsia="Times New Roman" w:hAnsi="Times New Roman" w:cs="Times New Roman"/>
          <w:sz w:val="24"/>
          <w:szCs w:val="24"/>
        </w:rPr>
        <w:t xml:space="preserve">Economic </w:t>
      </w:r>
      <w:r w:rsidR="00133F31" w:rsidRPr="00133F31">
        <w:rPr>
          <w:rFonts w:ascii="Times New Roman" w:eastAsia="Times New Roman" w:hAnsi="Times New Roman" w:cs="Times New Roman"/>
          <w:sz w:val="24"/>
          <w:szCs w:val="24"/>
        </w:rPr>
        <w:t>Census</w:t>
      </w:r>
      <w:r>
        <w:rPr>
          <w:rFonts w:ascii="Times New Roman" w:eastAsia="Times New Roman" w:hAnsi="Times New Roman" w:cs="Times New Roman"/>
          <w:sz w:val="24"/>
          <w:szCs w:val="24"/>
        </w:rPr>
        <w:t>/Report of Organization</w:t>
      </w:r>
      <w:r w:rsidR="00133F31" w:rsidRPr="00133F31">
        <w:rPr>
          <w:rFonts w:ascii="Times New Roman" w:eastAsia="Times New Roman" w:hAnsi="Times New Roman" w:cs="Times New Roman"/>
          <w:sz w:val="24"/>
          <w:szCs w:val="24"/>
        </w:rPr>
        <w:t xml:space="preserve"> Consolidated Collection</w:t>
      </w:r>
    </w:p>
    <w:p w14:paraId="23FC51A5"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tbl>
      <w:tblPr>
        <w:tblW w:w="10530" w:type="dxa"/>
        <w:tblInd w:w="-1085" w:type="dxa"/>
        <w:tblLayout w:type="fixed"/>
        <w:tblCellMar>
          <w:left w:w="0" w:type="dxa"/>
          <w:right w:w="0" w:type="dxa"/>
        </w:tblCellMar>
        <w:tblLook w:val="0000" w:firstRow="0" w:lastRow="0" w:firstColumn="0" w:lastColumn="0" w:noHBand="0" w:noVBand="0"/>
      </w:tblPr>
      <w:tblGrid>
        <w:gridCol w:w="1466"/>
        <w:gridCol w:w="1599"/>
        <w:gridCol w:w="1440"/>
        <w:gridCol w:w="1260"/>
        <w:gridCol w:w="1435"/>
        <w:gridCol w:w="905"/>
        <w:gridCol w:w="1440"/>
        <w:gridCol w:w="985"/>
      </w:tblGrid>
      <w:tr w:rsidR="00133F31" w:rsidRPr="00133F31" w14:paraId="7DBACD51" w14:textId="77777777" w:rsidTr="006F111E">
        <w:trPr>
          <w:trHeight w:val="276"/>
        </w:trPr>
        <w:tc>
          <w:tcPr>
            <w:tcW w:w="10530" w:type="dxa"/>
            <w:gridSpan w:val="8"/>
            <w:tcBorders>
              <w:top w:val="single" w:sz="4" w:space="0" w:color="auto"/>
              <w:left w:val="single" w:sz="4" w:space="0" w:color="auto"/>
              <w:bottom w:val="nil"/>
              <w:right w:val="single" w:sz="4" w:space="0" w:color="auto"/>
            </w:tcBorders>
            <w:tcMar>
              <w:top w:w="12" w:type="dxa"/>
              <w:left w:w="12" w:type="dxa"/>
              <w:bottom w:w="0" w:type="dxa"/>
              <w:right w:w="12" w:type="dxa"/>
            </w:tcMar>
            <w:vAlign w:val="bottom"/>
          </w:tcPr>
          <w:p w14:paraId="21D4D9F8"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Multi-establishment entities</w:t>
            </w:r>
          </w:p>
        </w:tc>
      </w:tr>
      <w:tr w:rsidR="00133F31" w:rsidRPr="00133F31" w14:paraId="5863636F" w14:textId="77777777" w:rsidTr="006F111E">
        <w:trPr>
          <w:trHeight w:val="765"/>
        </w:trPr>
        <w:tc>
          <w:tcPr>
            <w:tcW w:w="1466" w:type="dxa"/>
            <w:tcBorders>
              <w:top w:val="single" w:sz="12" w:space="0" w:color="auto"/>
              <w:left w:val="single" w:sz="4" w:space="0" w:color="auto"/>
              <w:bottom w:val="single" w:sz="12" w:space="0" w:color="auto"/>
              <w:right w:val="single" w:sz="4" w:space="0" w:color="auto"/>
            </w:tcBorders>
            <w:tcMar>
              <w:top w:w="12" w:type="dxa"/>
              <w:left w:w="12" w:type="dxa"/>
              <w:bottom w:w="0" w:type="dxa"/>
              <w:right w:w="12" w:type="dxa"/>
            </w:tcMar>
            <w:vAlign w:val="bottom"/>
          </w:tcPr>
          <w:p w14:paraId="02638E8C"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Inquiry</w:t>
            </w:r>
          </w:p>
        </w:tc>
        <w:tc>
          <w:tcPr>
            <w:tcW w:w="1599"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4060368C"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Private Sector Respondents</w:t>
            </w:r>
          </w:p>
        </w:tc>
        <w:tc>
          <w:tcPr>
            <w:tcW w:w="144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461980B6"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Governmental Respondents</w:t>
            </w:r>
          </w:p>
        </w:tc>
        <w:tc>
          <w:tcPr>
            <w:tcW w:w="126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5B6BAD84"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Total Respondents</w:t>
            </w:r>
          </w:p>
        </w:tc>
        <w:tc>
          <w:tcPr>
            <w:tcW w:w="1435"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4CEC9444"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Average Time</w:t>
            </w:r>
          </w:p>
          <w:p w14:paraId="2B00E373"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Minutes Per Company </w:t>
            </w:r>
          </w:p>
        </w:tc>
        <w:tc>
          <w:tcPr>
            <w:tcW w:w="905"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5C227816"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 xml:space="preserve">Private </w:t>
            </w:r>
          </w:p>
          <w:p w14:paraId="3165BE82"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Sector</w:t>
            </w:r>
          </w:p>
          <w:p w14:paraId="274A44E3"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Burden</w:t>
            </w:r>
          </w:p>
          <w:p w14:paraId="67419320"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Hours</w:t>
            </w:r>
          </w:p>
        </w:tc>
        <w:tc>
          <w:tcPr>
            <w:tcW w:w="144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59B62A95"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Governmental Burden Hours</w:t>
            </w:r>
          </w:p>
        </w:tc>
        <w:tc>
          <w:tcPr>
            <w:tcW w:w="985"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3C8C8EEA"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Total Response Burden</w:t>
            </w:r>
          </w:p>
          <w:p w14:paraId="7753795A"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Hours</w:t>
            </w:r>
          </w:p>
        </w:tc>
      </w:tr>
      <w:tr w:rsidR="00133F31" w:rsidRPr="00133F31" w14:paraId="5043E90A" w14:textId="77777777" w:rsidTr="006F111E">
        <w:trPr>
          <w:trHeight w:val="540"/>
        </w:trPr>
        <w:tc>
          <w:tcPr>
            <w:tcW w:w="1466"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77EA8F55" w14:textId="2DFE0586"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Primary </w:t>
            </w:r>
            <w:r w:rsidR="00782F8A">
              <w:rPr>
                <w:rFonts w:ascii="Arial" w:eastAsia="Times New Roman" w:hAnsi="Arial" w:cs="Arial"/>
                <w:sz w:val="20"/>
                <w:szCs w:val="20"/>
              </w:rPr>
              <w:t>Report of Organization</w:t>
            </w:r>
            <w:r w:rsidRPr="00133F31">
              <w:rPr>
                <w:rFonts w:ascii="Arial" w:eastAsia="Times New Roman" w:hAnsi="Arial" w:cs="Arial"/>
                <w:sz w:val="20"/>
                <w:szCs w:val="20"/>
              </w:rPr>
              <w:t xml:space="preserve"> Inquiries</w:t>
            </w:r>
          </w:p>
        </w:tc>
        <w:tc>
          <w:tcPr>
            <w:tcW w:w="1599" w:type="dxa"/>
            <w:tcBorders>
              <w:top w:val="nil"/>
              <w:left w:val="nil"/>
              <w:bottom w:val="single" w:sz="4" w:space="0" w:color="auto"/>
              <w:right w:val="single" w:sz="4" w:space="0" w:color="auto"/>
            </w:tcBorders>
            <w:tcMar>
              <w:top w:w="12" w:type="dxa"/>
              <w:left w:w="12" w:type="dxa"/>
              <w:bottom w:w="0" w:type="dxa"/>
              <w:right w:w="12" w:type="dxa"/>
            </w:tcMar>
            <w:vAlign w:val="bottom"/>
          </w:tcPr>
          <w:p w14:paraId="7C89B34D"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164,750           (companies)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9B081E4"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373D77B"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165,000</w:t>
            </w:r>
          </w:p>
        </w:tc>
        <w:tc>
          <w:tcPr>
            <w:tcW w:w="1435" w:type="dxa"/>
            <w:tcBorders>
              <w:top w:val="nil"/>
              <w:left w:val="nil"/>
              <w:bottom w:val="single" w:sz="4" w:space="0" w:color="auto"/>
              <w:right w:val="single" w:sz="4" w:space="0" w:color="auto"/>
            </w:tcBorders>
            <w:tcMar>
              <w:top w:w="12" w:type="dxa"/>
              <w:left w:w="12" w:type="dxa"/>
              <w:bottom w:w="0" w:type="dxa"/>
              <w:right w:w="12" w:type="dxa"/>
            </w:tcMar>
            <w:vAlign w:val="bottom"/>
          </w:tcPr>
          <w:p w14:paraId="5E1E4061"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11 </w:t>
            </w:r>
          </w:p>
        </w:tc>
        <w:tc>
          <w:tcPr>
            <w:tcW w:w="905" w:type="dxa"/>
            <w:tcBorders>
              <w:top w:val="nil"/>
              <w:left w:val="nil"/>
              <w:bottom w:val="single" w:sz="4" w:space="0" w:color="auto"/>
              <w:right w:val="single" w:sz="4" w:space="0" w:color="auto"/>
            </w:tcBorders>
            <w:tcMar>
              <w:top w:w="12" w:type="dxa"/>
              <w:left w:w="12" w:type="dxa"/>
              <w:bottom w:w="0" w:type="dxa"/>
              <w:right w:w="12" w:type="dxa"/>
            </w:tcMar>
            <w:vAlign w:val="bottom"/>
          </w:tcPr>
          <w:p w14:paraId="4998BA01" w14:textId="77777777" w:rsidR="00133F31" w:rsidRPr="00133F31" w:rsidRDefault="00133F31" w:rsidP="00133F31">
            <w:pPr>
              <w:spacing w:after="0" w:line="240" w:lineRule="auto"/>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30,204       </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0324A05E" w14:textId="77777777" w:rsidR="00133F31" w:rsidRPr="00133F31" w:rsidRDefault="00133F31" w:rsidP="00133F31">
            <w:pPr>
              <w:spacing w:after="0" w:line="240" w:lineRule="auto"/>
              <w:jc w:val="center"/>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46</w:t>
            </w:r>
          </w:p>
        </w:tc>
        <w:tc>
          <w:tcPr>
            <w:tcW w:w="985" w:type="dxa"/>
            <w:tcBorders>
              <w:top w:val="nil"/>
              <w:left w:val="nil"/>
              <w:bottom w:val="single" w:sz="4" w:space="0" w:color="auto"/>
              <w:right w:val="single" w:sz="4" w:space="0" w:color="auto"/>
            </w:tcBorders>
            <w:tcMar>
              <w:top w:w="12" w:type="dxa"/>
              <w:left w:w="12" w:type="dxa"/>
              <w:bottom w:w="0" w:type="dxa"/>
              <w:right w:w="12" w:type="dxa"/>
            </w:tcMar>
            <w:vAlign w:val="bottom"/>
          </w:tcPr>
          <w:p w14:paraId="2F28EE1F" w14:textId="77777777" w:rsidR="00133F31" w:rsidRPr="00133F31" w:rsidRDefault="00133F31" w:rsidP="00133F31">
            <w:pPr>
              <w:spacing w:after="0" w:line="240" w:lineRule="auto"/>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30,250</w:t>
            </w:r>
          </w:p>
        </w:tc>
      </w:tr>
      <w:tr w:rsidR="00133F31" w:rsidRPr="00133F31" w14:paraId="487BE6EA" w14:textId="77777777" w:rsidTr="006F111E">
        <w:trPr>
          <w:trHeight w:val="792"/>
        </w:trPr>
        <w:tc>
          <w:tcPr>
            <w:tcW w:w="1466"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585003F1"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Instructions</w:t>
            </w:r>
          </w:p>
          <w:p w14:paraId="10B41031"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and</w:t>
            </w:r>
          </w:p>
          <w:p w14:paraId="66DDE0E5"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Gathering Records</w:t>
            </w:r>
          </w:p>
        </w:tc>
        <w:tc>
          <w:tcPr>
            <w:tcW w:w="1599" w:type="dxa"/>
            <w:tcBorders>
              <w:top w:val="nil"/>
              <w:left w:val="nil"/>
              <w:bottom w:val="single" w:sz="4" w:space="0" w:color="auto"/>
              <w:right w:val="single" w:sz="4" w:space="0" w:color="auto"/>
            </w:tcBorders>
            <w:tcMar>
              <w:top w:w="12" w:type="dxa"/>
              <w:left w:w="12" w:type="dxa"/>
              <w:bottom w:w="0" w:type="dxa"/>
              <w:right w:w="12" w:type="dxa"/>
            </w:tcMar>
            <w:vAlign w:val="bottom"/>
          </w:tcPr>
          <w:p w14:paraId="69099AC3"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164,750 (companies)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083286C"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2B27B32"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165,000</w:t>
            </w:r>
          </w:p>
        </w:tc>
        <w:tc>
          <w:tcPr>
            <w:tcW w:w="1435" w:type="dxa"/>
            <w:tcBorders>
              <w:top w:val="nil"/>
              <w:left w:val="nil"/>
              <w:bottom w:val="single" w:sz="4" w:space="0" w:color="auto"/>
              <w:right w:val="single" w:sz="4" w:space="0" w:color="auto"/>
            </w:tcBorders>
            <w:tcMar>
              <w:top w:w="12" w:type="dxa"/>
              <w:left w:w="12" w:type="dxa"/>
              <w:bottom w:w="0" w:type="dxa"/>
              <w:right w:w="12" w:type="dxa"/>
            </w:tcMar>
            <w:vAlign w:val="bottom"/>
          </w:tcPr>
          <w:p w14:paraId="042CFD57"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12 </w:t>
            </w:r>
          </w:p>
        </w:tc>
        <w:tc>
          <w:tcPr>
            <w:tcW w:w="905" w:type="dxa"/>
            <w:tcBorders>
              <w:top w:val="nil"/>
              <w:left w:val="nil"/>
              <w:bottom w:val="single" w:sz="4" w:space="0" w:color="auto"/>
              <w:right w:val="single" w:sz="4" w:space="0" w:color="auto"/>
            </w:tcBorders>
            <w:tcMar>
              <w:top w:w="12" w:type="dxa"/>
              <w:left w:w="12" w:type="dxa"/>
              <w:bottom w:w="0" w:type="dxa"/>
              <w:right w:w="12" w:type="dxa"/>
            </w:tcMar>
            <w:vAlign w:val="bottom"/>
          </w:tcPr>
          <w:p w14:paraId="4CFFB3B8" w14:textId="77777777" w:rsidR="00133F31" w:rsidRPr="00133F31" w:rsidRDefault="00133F31" w:rsidP="00133F31">
            <w:pPr>
              <w:spacing w:after="0" w:line="240" w:lineRule="auto"/>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32,950</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089E6DC4" w14:textId="77777777" w:rsidR="00133F31" w:rsidRPr="00133F31" w:rsidRDefault="00133F31" w:rsidP="00133F31">
            <w:pPr>
              <w:spacing w:after="0" w:line="240" w:lineRule="auto"/>
              <w:jc w:val="center"/>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50</w:t>
            </w:r>
          </w:p>
        </w:tc>
        <w:tc>
          <w:tcPr>
            <w:tcW w:w="985" w:type="dxa"/>
            <w:tcBorders>
              <w:top w:val="nil"/>
              <w:left w:val="nil"/>
              <w:bottom w:val="single" w:sz="4" w:space="0" w:color="auto"/>
              <w:right w:val="single" w:sz="4" w:space="0" w:color="auto"/>
            </w:tcBorders>
            <w:tcMar>
              <w:top w:w="12" w:type="dxa"/>
              <w:left w:w="12" w:type="dxa"/>
              <w:bottom w:w="0" w:type="dxa"/>
              <w:right w:w="12" w:type="dxa"/>
            </w:tcMar>
            <w:vAlign w:val="bottom"/>
          </w:tcPr>
          <w:p w14:paraId="40E5BC77" w14:textId="77777777" w:rsidR="00133F31" w:rsidRPr="00133F31" w:rsidRDefault="00133F31" w:rsidP="00133F31">
            <w:pPr>
              <w:spacing w:after="0" w:line="240" w:lineRule="auto"/>
              <w:jc w:val="center"/>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33,000</w:t>
            </w:r>
          </w:p>
        </w:tc>
      </w:tr>
      <w:tr w:rsidR="00133F31" w:rsidRPr="00133F31" w14:paraId="284F4F44" w14:textId="77777777" w:rsidTr="006F111E">
        <w:trPr>
          <w:trHeight w:val="528"/>
        </w:trPr>
        <w:tc>
          <w:tcPr>
            <w:tcW w:w="1466"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54567600"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Establishment Inquiries</w:t>
            </w:r>
          </w:p>
        </w:tc>
        <w:tc>
          <w:tcPr>
            <w:tcW w:w="1599" w:type="dxa"/>
            <w:tcBorders>
              <w:top w:val="nil"/>
              <w:left w:val="nil"/>
              <w:bottom w:val="single" w:sz="4" w:space="0" w:color="auto"/>
              <w:right w:val="single" w:sz="4" w:space="0" w:color="auto"/>
            </w:tcBorders>
            <w:tcMar>
              <w:top w:w="12" w:type="dxa"/>
              <w:left w:w="12" w:type="dxa"/>
              <w:bottom w:w="0" w:type="dxa"/>
              <w:right w:w="12" w:type="dxa"/>
            </w:tcMar>
            <w:vAlign w:val="bottom"/>
          </w:tcPr>
          <w:p w14:paraId="13F9B36C"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12,500 (establishments)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D64EC68"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3CE3822"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15,000</w:t>
            </w:r>
          </w:p>
        </w:tc>
        <w:tc>
          <w:tcPr>
            <w:tcW w:w="1435" w:type="dxa"/>
            <w:tcBorders>
              <w:top w:val="nil"/>
              <w:left w:val="nil"/>
              <w:bottom w:val="single" w:sz="4" w:space="0" w:color="auto"/>
              <w:right w:val="single" w:sz="4" w:space="0" w:color="auto"/>
            </w:tcBorders>
            <w:tcMar>
              <w:top w:w="12" w:type="dxa"/>
              <w:left w:w="12" w:type="dxa"/>
              <w:bottom w:w="0" w:type="dxa"/>
              <w:right w:w="12" w:type="dxa"/>
            </w:tcMar>
            <w:vAlign w:val="bottom"/>
          </w:tcPr>
          <w:p w14:paraId="294C4EFD"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5 </w:t>
            </w:r>
          </w:p>
        </w:tc>
        <w:tc>
          <w:tcPr>
            <w:tcW w:w="905" w:type="dxa"/>
            <w:tcBorders>
              <w:top w:val="nil"/>
              <w:left w:val="nil"/>
              <w:bottom w:val="single" w:sz="4" w:space="0" w:color="auto"/>
              <w:right w:val="single" w:sz="4" w:space="0" w:color="auto"/>
            </w:tcBorders>
            <w:tcMar>
              <w:top w:w="12" w:type="dxa"/>
              <w:left w:w="12" w:type="dxa"/>
              <w:bottom w:w="0" w:type="dxa"/>
              <w:right w:w="12" w:type="dxa"/>
            </w:tcMar>
            <w:vAlign w:val="bottom"/>
          </w:tcPr>
          <w:p w14:paraId="6F7F0331" w14:textId="77777777" w:rsidR="00133F31" w:rsidRPr="00133F31" w:rsidRDefault="00133F31" w:rsidP="00133F31">
            <w:pPr>
              <w:spacing w:after="0" w:line="240" w:lineRule="auto"/>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1,042 </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76AA7359" w14:textId="77777777" w:rsidR="00133F31" w:rsidRPr="00133F31" w:rsidRDefault="00133F31" w:rsidP="00133F31">
            <w:pPr>
              <w:spacing w:after="0" w:line="240" w:lineRule="auto"/>
              <w:jc w:val="center"/>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208</w:t>
            </w:r>
          </w:p>
        </w:tc>
        <w:tc>
          <w:tcPr>
            <w:tcW w:w="985" w:type="dxa"/>
            <w:tcBorders>
              <w:top w:val="nil"/>
              <w:left w:val="nil"/>
              <w:bottom w:val="single" w:sz="4" w:space="0" w:color="auto"/>
              <w:right w:val="single" w:sz="4" w:space="0" w:color="auto"/>
            </w:tcBorders>
            <w:tcMar>
              <w:top w:w="12" w:type="dxa"/>
              <w:left w:w="12" w:type="dxa"/>
              <w:bottom w:w="0" w:type="dxa"/>
              <w:right w:w="12" w:type="dxa"/>
            </w:tcMar>
            <w:vAlign w:val="bottom"/>
          </w:tcPr>
          <w:p w14:paraId="0418039D" w14:textId="77777777" w:rsidR="00133F31" w:rsidRPr="00133F31" w:rsidRDefault="00133F31" w:rsidP="00133F31">
            <w:pPr>
              <w:spacing w:after="0" w:line="240" w:lineRule="auto"/>
              <w:jc w:val="center"/>
              <w:rPr>
                <w:rFonts w:ascii="Arial" w:eastAsia="Arial Unicode MS" w:hAnsi="Arial" w:cs="Arial"/>
                <w:color w:val="000000" w:themeColor="text1"/>
                <w:sz w:val="20"/>
                <w:szCs w:val="20"/>
              </w:rPr>
            </w:pPr>
            <w:r w:rsidRPr="00133F31">
              <w:rPr>
                <w:rFonts w:ascii="Arial" w:eastAsia="Times New Roman" w:hAnsi="Arial" w:cs="Arial"/>
                <w:color w:val="000000" w:themeColor="text1"/>
                <w:sz w:val="20"/>
                <w:szCs w:val="20"/>
              </w:rPr>
              <w:t xml:space="preserve">     1,250</w:t>
            </w:r>
          </w:p>
        </w:tc>
      </w:tr>
      <w:tr w:rsidR="00133F31" w:rsidRPr="00133F31" w14:paraId="202A7932" w14:textId="77777777" w:rsidTr="006F111E">
        <w:trPr>
          <w:trHeight w:val="528"/>
        </w:trPr>
        <w:tc>
          <w:tcPr>
            <w:tcW w:w="1466"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05A0A425" w14:textId="77777777" w:rsidR="00133F31" w:rsidRPr="00133F31" w:rsidRDefault="00133F31" w:rsidP="00133F31">
            <w:pPr>
              <w:spacing w:after="0" w:line="240" w:lineRule="auto"/>
              <w:rPr>
                <w:rFonts w:ascii="Arial" w:eastAsia="Arial Unicode MS" w:hAnsi="Arial" w:cs="Arial"/>
                <w:b/>
                <w:bCs/>
                <w:sz w:val="20"/>
                <w:szCs w:val="20"/>
              </w:rPr>
            </w:pPr>
            <w:r w:rsidRPr="00133F31">
              <w:rPr>
                <w:rFonts w:ascii="Arial" w:eastAsia="Times New Roman" w:hAnsi="Arial" w:cs="Arial"/>
                <w:b/>
                <w:bCs/>
                <w:sz w:val="20"/>
                <w:szCs w:val="20"/>
              </w:rPr>
              <w:t>Total</w:t>
            </w:r>
          </w:p>
        </w:tc>
        <w:tc>
          <w:tcPr>
            <w:tcW w:w="1599" w:type="dxa"/>
            <w:tcBorders>
              <w:top w:val="nil"/>
              <w:left w:val="nil"/>
              <w:bottom w:val="single" w:sz="4" w:space="0" w:color="auto"/>
              <w:right w:val="single" w:sz="4" w:space="0" w:color="auto"/>
            </w:tcBorders>
            <w:tcMar>
              <w:top w:w="12" w:type="dxa"/>
              <w:left w:w="12" w:type="dxa"/>
              <w:bottom w:w="0" w:type="dxa"/>
              <w:right w:w="12" w:type="dxa"/>
            </w:tcMar>
            <w:vAlign w:val="bottom"/>
          </w:tcPr>
          <w:p w14:paraId="7EC5DB02" w14:textId="77777777" w:rsidR="00133F31" w:rsidRPr="00133F31" w:rsidRDefault="00133F31" w:rsidP="00133F31">
            <w:pPr>
              <w:spacing w:after="0" w:line="240" w:lineRule="auto"/>
              <w:jc w:val="center"/>
              <w:rPr>
                <w:rFonts w:ascii="Arial" w:eastAsia="Arial Unicode MS" w:hAnsi="Arial" w:cs="Arial"/>
                <w:b/>
                <w:bCs/>
                <w:sz w:val="20"/>
                <w:szCs w:val="20"/>
              </w:rPr>
            </w:pPr>
            <w:r w:rsidRPr="00133F31">
              <w:rPr>
                <w:rFonts w:ascii="Arial" w:eastAsia="Times New Roman" w:hAnsi="Arial" w:cs="Arial"/>
                <w:b/>
                <w:bCs/>
                <w:sz w:val="20"/>
                <w:szCs w:val="20"/>
              </w:rPr>
              <w:t xml:space="preserve">           164,750</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76FC514" w14:textId="77777777" w:rsidR="00133F31" w:rsidRPr="00133F31" w:rsidRDefault="00133F31" w:rsidP="00133F31">
            <w:pPr>
              <w:spacing w:after="0" w:line="240" w:lineRule="auto"/>
              <w:jc w:val="center"/>
              <w:rPr>
                <w:rFonts w:ascii="Arial" w:eastAsia="Arial Unicode MS" w:hAnsi="Arial" w:cs="Arial"/>
                <w:b/>
                <w:bCs/>
                <w:sz w:val="20"/>
                <w:szCs w:val="20"/>
              </w:rPr>
            </w:pPr>
            <w:r w:rsidRPr="00133F31">
              <w:rPr>
                <w:rFonts w:ascii="Arial" w:eastAsia="Times New Roman" w:hAnsi="Arial" w:cs="Arial"/>
                <w:b/>
                <w:bCs/>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5E852BA" w14:textId="77777777" w:rsidR="00133F31" w:rsidRPr="00133F31" w:rsidRDefault="00133F31" w:rsidP="00133F31">
            <w:pPr>
              <w:spacing w:after="0" w:line="240" w:lineRule="auto"/>
              <w:jc w:val="center"/>
              <w:rPr>
                <w:rFonts w:ascii="Arial" w:eastAsia="Arial Unicode MS" w:hAnsi="Arial" w:cs="Arial"/>
                <w:b/>
                <w:bCs/>
                <w:sz w:val="20"/>
                <w:szCs w:val="20"/>
              </w:rPr>
            </w:pPr>
            <w:r w:rsidRPr="00133F31">
              <w:rPr>
                <w:rFonts w:ascii="Arial" w:eastAsia="Times New Roman" w:hAnsi="Arial" w:cs="Arial"/>
                <w:b/>
                <w:bCs/>
                <w:sz w:val="20"/>
                <w:szCs w:val="20"/>
              </w:rPr>
              <w:t xml:space="preserve">       165,000</w:t>
            </w:r>
          </w:p>
        </w:tc>
        <w:tc>
          <w:tcPr>
            <w:tcW w:w="1435" w:type="dxa"/>
            <w:tcBorders>
              <w:top w:val="nil"/>
              <w:left w:val="nil"/>
              <w:bottom w:val="single" w:sz="4" w:space="0" w:color="auto"/>
              <w:right w:val="single" w:sz="4" w:space="0" w:color="auto"/>
            </w:tcBorders>
            <w:tcMar>
              <w:top w:w="12" w:type="dxa"/>
              <w:left w:w="12" w:type="dxa"/>
              <w:bottom w:w="0" w:type="dxa"/>
              <w:right w:w="12" w:type="dxa"/>
            </w:tcMar>
            <w:vAlign w:val="bottom"/>
          </w:tcPr>
          <w:p w14:paraId="1CBA87D5" w14:textId="79252C5A" w:rsidR="00133F31" w:rsidRPr="00133F31" w:rsidRDefault="00F00E8E" w:rsidP="00133F31">
            <w:pPr>
              <w:spacing w:after="0" w:line="240" w:lineRule="auto"/>
              <w:rPr>
                <w:rFonts w:ascii="Arial" w:eastAsia="Arial Unicode MS" w:hAnsi="Arial" w:cs="Arial"/>
                <w:b/>
                <w:bCs/>
                <w:sz w:val="20"/>
                <w:szCs w:val="20"/>
              </w:rPr>
            </w:pPr>
            <w:r>
              <w:rPr>
                <w:rFonts w:ascii="Arial" w:eastAsia="Times New Roman" w:hAnsi="Arial" w:cs="Arial"/>
                <w:b/>
                <w:bCs/>
                <w:sz w:val="20"/>
                <w:szCs w:val="20"/>
              </w:rPr>
              <w:t>2</w:t>
            </w:r>
            <w:r w:rsidR="00133F31" w:rsidRPr="00133F31">
              <w:rPr>
                <w:rFonts w:ascii="Arial" w:eastAsia="Times New Roman" w:hAnsi="Arial" w:cs="Arial"/>
                <w:b/>
                <w:bCs/>
                <w:sz w:val="20"/>
                <w:szCs w:val="20"/>
              </w:rPr>
              <w:t>4 minutes per respondent</w:t>
            </w:r>
          </w:p>
        </w:tc>
        <w:tc>
          <w:tcPr>
            <w:tcW w:w="905" w:type="dxa"/>
            <w:tcBorders>
              <w:top w:val="nil"/>
              <w:left w:val="nil"/>
              <w:bottom w:val="single" w:sz="4" w:space="0" w:color="auto"/>
              <w:right w:val="single" w:sz="4" w:space="0" w:color="auto"/>
            </w:tcBorders>
            <w:tcMar>
              <w:top w:w="12" w:type="dxa"/>
              <w:left w:w="12" w:type="dxa"/>
              <w:bottom w:w="0" w:type="dxa"/>
              <w:right w:w="12" w:type="dxa"/>
            </w:tcMar>
            <w:vAlign w:val="bottom"/>
          </w:tcPr>
          <w:p w14:paraId="3AF9BD30" w14:textId="77777777" w:rsidR="00133F31" w:rsidRPr="00133F31" w:rsidRDefault="00133F31" w:rsidP="00133F31">
            <w:pPr>
              <w:spacing w:after="0" w:line="240" w:lineRule="auto"/>
              <w:rPr>
                <w:rFonts w:ascii="Arial" w:eastAsia="Arial Unicode MS" w:hAnsi="Arial" w:cs="Arial"/>
                <w:b/>
                <w:bCs/>
                <w:color w:val="000000" w:themeColor="text1"/>
                <w:sz w:val="20"/>
                <w:szCs w:val="20"/>
              </w:rPr>
            </w:pPr>
            <w:r w:rsidRPr="00133F31">
              <w:rPr>
                <w:rFonts w:ascii="Arial" w:eastAsia="Times New Roman" w:hAnsi="Arial" w:cs="Arial"/>
                <w:b/>
                <w:bCs/>
                <w:color w:val="000000" w:themeColor="text1"/>
                <w:sz w:val="20"/>
                <w:szCs w:val="20"/>
              </w:rPr>
              <w:t xml:space="preserve">   64,196</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19DBA6DE" w14:textId="77777777" w:rsidR="00133F31" w:rsidRPr="00133F31" w:rsidRDefault="00133F31" w:rsidP="00133F31">
            <w:pPr>
              <w:spacing w:after="0" w:line="240" w:lineRule="auto"/>
              <w:jc w:val="center"/>
              <w:rPr>
                <w:rFonts w:ascii="Arial" w:eastAsia="Arial Unicode MS" w:hAnsi="Arial" w:cs="Arial"/>
                <w:b/>
                <w:bCs/>
                <w:color w:val="000000" w:themeColor="text1"/>
                <w:sz w:val="20"/>
                <w:szCs w:val="20"/>
              </w:rPr>
            </w:pPr>
            <w:r w:rsidRPr="00133F31">
              <w:rPr>
                <w:rFonts w:ascii="Arial" w:eastAsia="Times New Roman" w:hAnsi="Arial" w:cs="Arial"/>
                <w:b/>
                <w:bCs/>
                <w:color w:val="000000" w:themeColor="text1"/>
                <w:sz w:val="20"/>
                <w:szCs w:val="20"/>
              </w:rPr>
              <w:t xml:space="preserve">              304</w:t>
            </w:r>
          </w:p>
        </w:tc>
        <w:tc>
          <w:tcPr>
            <w:tcW w:w="985" w:type="dxa"/>
            <w:tcBorders>
              <w:top w:val="nil"/>
              <w:left w:val="nil"/>
              <w:bottom w:val="single" w:sz="4" w:space="0" w:color="auto"/>
              <w:right w:val="single" w:sz="4" w:space="0" w:color="auto"/>
            </w:tcBorders>
            <w:tcMar>
              <w:top w:w="12" w:type="dxa"/>
              <w:left w:w="12" w:type="dxa"/>
              <w:bottom w:w="0" w:type="dxa"/>
              <w:right w:w="12" w:type="dxa"/>
            </w:tcMar>
            <w:vAlign w:val="bottom"/>
          </w:tcPr>
          <w:p w14:paraId="1A9D509E" w14:textId="77777777" w:rsidR="00133F31" w:rsidRPr="00133F31" w:rsidRDefault="00133F31" w:rsidP="00133F31">
            <w:pPr>
              <w:spacing w:after="0" w:line="240" w:lineRule="auto"/>
              <w:rPr>
                <w:rFonts w:ascii="Arial" w:eastAsia="Arial Unicode MS" w:hAnsi="Arial" w:cs="Arial"/>
                <w:b/>
                <w:bCs/>
                <w:color w:val="000000" w:themeColor="text1"/>
                <w:sz w:val="20"/>
                <w:szCs w:val="20"/>
              </w:rPr>
            </w:pPr>
            <w:r w:rsidRPr="00133F31">
              <w:rPr>
                <w:rFonts w:ascii="Arial" w:eastAsia="Times New Roman" w:hAnsi="Arial" w:cs="Arial"/>
                <w:b/>
                <w:bCs/>
                <w:color w:val="000000" w:themeColor="text1"/>
                <w:sz w:val="20"/>
                <w:szCs w:val="20"/>
              </w:rPr>
              <w:t xml:space="preserve">     64,500</w:t>
            </w:r>
          </w:p>
        </w:tc>
      </w:tr>
    </w:tbl>
    <w:p w14:paraId="187824B2"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r>
    </w:p>
    <w:p w14:paraId="3F6C3349" w14:textId="3A88BA1C" w:rsidR="00133F31" w:rsidRPr="00133F31" w:rsidRDefault="00DD6C04"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33F31" w:rsidRPr="00133F31">
        <w:rPr>
          <w:rFonts w:ascii="Times New Roman" w:eastAsia="Times New Roman" w:hAnsi="Times New Roman" w:cs="Times New Roman"/>
          <w:sz w:val="24"/>
          <w:szCs w:val="24"/>
        </w:rPr>
        <w:t xml:space="preserve">2018 – 2019 </w:t>
      </w:r>
      <w:r w:rsidR="00782F8A">
        <w:rPr>
          <w:rFonts w:ascii="Times New Roman" w:eastAsia="Times New Roman" w:hAnsi="Times New Roman" w:cs="Times New Roman"/>
          <w:sz w:val="24"/>
          <w:szCs w:val="24"/>
        </w:rPr>
        <w:t>Report of Organization</w:t>
      </w:r>
      <w:r>
        <w:rPr>
          <w:rFonts w:ascii="Times New Roman" w:eastAsia="Times New Roman" w:hAnsi="Times New Roman" w:cs="Times New Roman"/>
          <w:sz w:val="24"/>
          <w:szCs w:val="24"/>
        </w:rPr>
        <w:t xml:space="preserve"> Collection</w:t>
      </w:r>
    </w:p>
    <w:p w14:paraId="34F852A2"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tbl>
      <w:tblPr>
        <w:tblW w:w="10603" w:type="dxa"/>
        <w:tblInd w:w="-1068" w:type="dxa"/>
        <w:tblLayout w:type="fixed"/>
        <w:tblCellMar>
          <w:left w:w="0" w:type="dxa"/>
          <w:right w:w="0" w:type="dxa"/>
        </w:tblCellMar>
        <w:tblLook w:val="0000" w:firstRow="0" w:lastRow="0" w:firstColumn="0" w:lastColumn="0" w:noHBand="0" w:noVBand="0"/>
      </w:tblPr>
      <w:tblGrid>
        <w:gridCol w:w="1423"/>
        <w:gridCol w:w="1620"/>
        <w:gridCol w:w="1440"/>
        <w:gridCol w:w="1260"/>
        <w:gridCol w:w="1440"/>
        <w:gridCol w:w="900"/>
        <w:gridCol w:w="1440"/>
        <w:gridCol w:w="1080"/>
      </w:tblGrid>
      <w:tr w:rsidR="00133F31" w:rsidRPr="00133F31" w14:paraId="14E62E77" w14:textId="77777777" w:rsidTr="006F111E">
        <w:trPr>
          <w:trHeight w:val="320"/>
        </w:trPr>
        <w:tc>
          <w:tcPr>
            <w:tcW w:w="10603" w:type="dxa"/>
            <w:gridSpan w:val="8"/>
            <w:tcBorders>
              <w:top w:val="single" w:sz="4" w:space="0" w:color="auto"/>
              <w:left w:val="single" w:sz="4" w:space="0" w:color="auto"/>
              <w:bottom w:val="nil"/>
              <w:right w:val="single" w:sz="4" w:space="0" w:color="auto"/>
            </w:tcBorders>
            <w:tcMar>
              <w:top w:w="12" w:type="dxa"/>
              <w:left w:w="12" w:type="dxa"/>
              <w:bottom w:w="0" w:type="dxa"/>
              <w:right w:w="12" w:type="dxa"/>
            </w:tcMar>
            <w:vAlign w:val="bottom"/>
          </w:tcPr>
          <w:p w14:paraId="3586F15C" w14:textId="77777777" w:rsidR="00133F31" w:rsidRPr="00133F31" w:rsidRDefault="00133F31" w:rsidP="00133F31">
            <w:pPr>
              <w:spacing w:after="0" w:line="240" w:lineRule="auto"/>
              <w:rPr>
                <w:rFonts w:ascii="Arial" w:eastAsia="Arial Unicode MS" w:hAnsi="Arial" w:cs="Arial"/>
                <w:sz w:val="20"/>
                <w:szCs w:val="20"/>
              </w:rPr>
            </w:pPr>
            <w:r w:rsidRPr="00133F31">
              <w:rPr>
                <w:rFonts w:ascii="Times New Roman" w:eastAsia="Times New Roman" w:hAnsi="Times New Roman" w:cs="Times New Roman"/>
                <w:color w:val="FF0000"/>
                <w:sz w:val="24"/>
                <w:szCs w:val="24"/>
              </w:rPr>
              <w:tab/>
              <w:t xml:space="preserve">                                                           </w:t>
            </w:r>
            <w:r w:rsidRPr="00133F31">
              <w:rPr>
                <w:rFonts w:ascii="Arial" w:eastAsia="Times New Roman" w:hAnsi="Arial" w:cs="Arial"/>
                <w:sz w:val="20"/>
                <w:szCs w:val="20"/>
              </w:rPr>
              <w:t>Multi-establishment entities</w:t>
            </w:r>
          </w:p>
        </w:tc>
      </w:tr>
      <w:tr w:rsidR="00133F31" w:rsidRPr="00133F31" w14:paraId="65E6A332" w14:textId="77777777" w:rsidTr="006F111E">
        <w:trPr>
          <w:trHeight w:val="765"/>
        </w:trPr>
        <w:tc>
          <w:tcPr>
            <w:tcW w:w="1423" w:type="dxa"/>
            <w:tcBorders>
              <w:top w:val="single" w:sz="12" w:space="0" w:color="auto"/>
              <w:left w:val="single" w:sz="4" w:space="0" w:color="auto"/>
              <w:bottom w:val="single" w:sz="12" w:space="0" w:color="auto"/>
              <w:right w:val="single" w:sz="4" w:space="0" w:color="auto"/>
            </w:tcBorders>
            <w:tcMar>
              <w:top w:w="12" w:type="dxa"/>
              <w:left w:w="12" w:type="dxa"/>
              <w:bottom w:w="0" w:type="dxa"/>
              <w:right w:w="12" w:type="dxa"/>
            </w:tcMar>
            <w:vAlign w:val="bottom"/>
          </w:tcPr>
          <w:p w14:paraId="5D914F1D"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Inquiry</w:t>
            </w:r>
          </w:p>
        </w:tc>
        <w:tc>
          <w:tcPr>
            <w:tcW w:w="162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2A94FB1B"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Private Sector Respondents</w:t>
            </w:r>
          </w:p>
        </w:tc>
        <w:tc>
          <w:tcPr>
            <w:tcW w:w="144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3072000B"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Governmental Respondents</w:t>
            </w:r>
          </w:p>
        </w:tc>
        <w:tc>
          <w:tcPr>
            <w:tcW w:w="126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2078798B"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Total Respondents</w:t>
            </w:r>
          </w:p>
        </w:tc>
        <w:tc>
          <w:tcPr>
            <w:tcW w:w="144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48DB9147"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Average Time</w:t>
            </w:r>
          </w:p>
          <w:p w14:paraId="2A612B15"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Minutes Per Company</w:t>
            </w:r>
          </w:p>
        </w:tc>
        <w:tc>
          <w:tcPr>
            <w:tcW w:w="90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6CBE99BF"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 xml:space="preserve">Private </w:t>
            </w:r>
          </w:p>
          <w:p w14:paraId="671D1B69"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Sector</w:t>
            </w:r>
          </w:p>
          <w:p w14:paraId="62B1820E"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Burden Hours</w:t>
            </w:r>
          </w:p>
        </w:tc>
        <w:tc>
          <w:tcPr>
            <w:tcW w:w="144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4ED7370A"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Governmental Burden Hours</w:t>
            </w:r>
          </w:p>
        </w:tc>
        <w:tc>
          <w:tcPr>
            <w:tcW w:w="1080" w:type="dxa"/>
            <w:tcBorders>
              <w:top w:val="single" w:sz="12" w:space="0" w:color="auto"/>
              <w:left w:val="nil"/>
              <w:bottom w:val="single" w:sz="12" w:space="0" w:color="auto"/>
              <w:right w:val="single" w:sz="4" w:space="0" w:color="auto"/>
            </w:tcBorders>
            <w:tcMar>
              <w:top w:w="12" w:type="dxa"/>
              <w:left w:w="12" w:type="dxa"/>
              <w:bottom w:w="0" w:type="dxa"/>
              <w:right w:w="12" w:type="dxa"/>
            </w:tcMar>
            <w:vAlign w:val="bottom"/>
          </w:tcPr>
          <w:p w14:paraId="31676050"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Total Response Burden Hours</w:t>
            </w:r>
          </w:p>
        </w:tc>
      </w:tr>
      <w:tr w:rsidR="00133F31" w:rsidRPr="00133F31" w14:paraId="0DBCBA70" w14:textId="77777777" w:rsidTr="006F111E">
        <w:trPr>
          <w:trHeight w:val="540"/>
        </w:trPr>
        <w:tc>
          <w:tcPr>
            <w:tcW w:w="1423"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5C0F8F9A" w14:textId="3600DAFE"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Primary </w:t>
            </w:r>
            <w:r w:rsidR="002B6BCB" w:rsidRPr="002B6BCB">
              <w:rPr>
                <w:rFonts w:ascii="Arial" w:eastAsia="Times New Roman" w:hAnsi="Arial" w:cs="Arial"/>
                <w:sz w:val="20"/>
                <w:szCs w:val="20"/>
              </w:rPr>
              <w:t>Report of Organization</w:t>
            </w:r>
            <w:r w:rsidRPr="00133F31">
              <w:rPr>
                <w:rFonts w:ascii="Arial" w:eastAsia="Times New Roman" w:hAnsi="Arial" w:cs="Arial"/>
                <w:sz w:val="20"/>
                <w:szCs w:val="20"/>
              </w:rPr>
              <w:t xml:space="preserve"> Inquiries</w:t>
            </w:r>
          </w:p>
        </w:tc>
        <w:tc>
          <w:tcPr>
            <w:tcW w:w="1620" w:type="dxa"/>
            <w:tcBorders>
              <w:top w:val="nil"/>
              <w:left w:val="nil"/>
              <w:bottom w:val="single" w:sz="4" w:space="0" w:color="auto"/>
              <w:right w:val="single" w:sz="4" w:space="0" w:color="auto"/>
            </w:tcBorders>
            <w:tcMar>
              <w:top w:w="12" w:type="dxa"/>
              <w:left w:w="12" w:type="dxa"/>
              <w:bottom w:w="0" w:type="dxa"/>
              <w:right w:w="12" w:type="dxa"/>
            </w:tcMar>
            <w:vAlign w:val="bottom"/>
          </w:tcPr>
          <w:p w14:paraId="5C04EA00"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41,750       (companies)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391E0C9"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E69503E"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42,000</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39383078"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7</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14:paraId="3BA82C2F"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4,871       </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3DB3D094"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29</w:t>
            </w: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bottom"/>
          </w:tcPr>
          <w:p w14:paraId="36559EE0"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4,900</w:t>
            </w:r>
          </w:p>
        </w:tc>
      </w:tr>
      <w:tr w:rsidR="00133F31" w:rsidRPr="00133F31" w14:paraId="39A6EDBB" w14:textId="77777777" w:rsidTr="006F111E">
        <w:trPr>
          <w:trHeight w:val="792"/>
        </w:trPr>
        <w:tc>
          <w:tcPr>
            <w:tcW w:w="1423"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1C4923F8" w14:textId="77777777" w:rsidR="00133F31" w:rsidRPr="00133F31" w:rsidRDefault="00133F31" w:rsidP="00133F31">
            <w:pPr>
              <w:spacing w:after="0" w:line="240" w:lineRule="auto"/>
              <w:rPr>
                <w:rFonts w:ascii="Arial" w:eastAsia="Times New Roman" w:hAnsi="Arial" w:cs="Arial"/>
                <w:sz w:val="20"/>
                <w:szCs w:val="20"/>
              </w:rPr>
            </w:pPr>
            <w:r w:rsidRPr="00133F31">
              <w:rPr>
                <w:rFonts w:ascii="Arial" w:eastAsia="Times New Roman" w:hAnsi="Arial" w:cs="Arial"/>
                <w:sz w:val="20"/>
                <w:szCs w:val="20"/>
              </w:rPr>
              <w:t xml:space="preserve">Instructions and </w:t>
            </w:r>
          </w:p>
          <w:p w14:paraId="3CF5AD4C"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Gathering Records</w:t>
            </w:r>
          </w:p>
        </w:tc>
        <w:tc>
          <w:tcPr>
            <w:tcW w:w="1620" w:type="dxa"/>
            <w:tcBorders>
              <w:top w:val="nil"/>
              <w:left w:val="nil"/>
              <w:bottom w:val="single" w:sz="4" w:space="0" w:color="auto"/>
              <w:right w:val="single" w:sz="4" w:space="0" w:color="auto"/>
            </w:tcBorders>
            <w:tcMar>
              <w:top w:w="12" w:type="dxa"/>
              <w:left w:w="12" w:type="dxa"/>
              <w:bottom w:w="0" w:type="dxa"/>
              <w:right w:w="12" w:type="dxa"/>
            </w:tcMar>
            <w:vAlign w:val="bottom"/>
          </w:tcPr>
          <w:p w14:paraId="38060C09"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41,750 (companies)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B087D6D"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FC0955D"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42,000</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4A2EF7A9"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30</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14:paraId="06DFF75F"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20,875</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5921BD58"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125</w:t>
            </w: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bottom"/>
          </w:tcPr>
          <w:p w14:paraId="7E69BDE5"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21,000</w:t>
            </w:r>
          </w:p>
        </w:tc>
      </w:tr>
      <w:tr w:rsidR="00133F31" w:rsidRPr="00133F31" w14:paraId="7A9C1955" w14:textId="77777777" w:rsidTr="006F111E">
        <w:trPr>
          <w:trHeight w:val="528"/>
        </w:trPr>
        <w:tc>
          <w:tcPr>
            <w:tcW w:w="1423"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53FAFC5E"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Establishment Inquiries</w:t>
            </w:r>
          </w:p>
        </w:tc>
        <w:tc>
          <w:tcPr>
            <w:tcW w:w="1620" w:type="dxa"/>
            <w:tcBorders>
              <w:top w:val="nil"/>
              <w:left w:val="nil"/>
              <w:bottom w:val="single" w:sz="4" w:space="0" w:color="auto"/>
              <w:right w:val="single" w:sz="4" w:space="0" w:color="auto"/>
            </w:tcBorders>
            <w:tcMar>
              <w:top w:w="12" w:type="dxa"/>
              <w:left w:w="12" w:type="dxa"/>
              <w:bottom w:w="0" w:type="dxa"/>
              <w:right w:w="12" w:type="dxa"/>
            </w:tcMar>
            <w:vAlign w:val="bottom"/>
          </w:tcPr>
          <w:p w14:paraId="5EB08F64"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1,435,000 (establishments)</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679E916"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25,000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7DEFD132"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Arial Unicode MS" w:hAnsi="Arial" w:cs="Arial"/>
                <w:sz w:val="20"/>
                <w:szCs w:val="20"/>
              </w:rPr>
              <w:t xml:space="preserve">   1,460,000</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7439740E"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5 </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14:paraId="5B2637E4" w14:textId="77777777" w:rsidR="00133F31" w:rsidRPr="00133F31" w:rsidRDefault="00133F31" w:rsidP="00133F31">
            <w:pPr>
              <w:spacing w:after="0" w:line="240" w:lineRule="auto"/>
              <w:rPr>
                <w:rFonts w:ascii="Arial" w:eastAsia="Arial Unicode MS" w:hAnsi="Arial" w:cs="Arial"/>
                <w:sz w:val="20"/>
                <w:szCs w:val="20"/>
              </w:rPr>
            </w:pPr>
            <w:r w:rsidRPr="00133F31">
              <w:rPr>
                <w:rFonts w:ascii="Arial" w:eastAsia="Times New Roman" w:hAnsi="Arial" w:cs="Arial"/>
                <w:sz w:val="20"/>
                <w:szCs w:val="20"/>
              </w:rPr>
              <w:t xml:space="preserve"> 119,583 </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643B1AF0"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2,083</w:t>
            </w: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bottom"/>
          </w:tcPr>
          <w:p w14:paraId="4A8565B8" w14:textId="77777777" w:rsidR="00133F31" w:rsidRPr="00133F31" w:rsidRDefault="00133F31" w:rsidP="00133F31">
            <w:pPr>
              <w:spacing w:after="0" w:line="240" w:lineRule="auto"/>
              <w:jc w:val="center"/>
              <w:rPr>
                <w:rFonts w:ascii="Arial" w:eastAsia="Arial Unicode MS" w:hAnsi="Arial" w:cs="Arial"/>
                <w:sz w:val="20"/>
                <w:szCs w:val="20"/>
              </w:rPr>
            </w:pPr>
            <w:r w:rsidRPr="00133F31">
              <w:rPr>
                <w:rFonts w:ascii="Arial" w:eastAsia="Times New Roman" w:hAnsi="Arial" w:cs="Arial"/>
                <w:sz w:val="20"/>
                <w:szCs w:val="20"/>
              </w:rPr>
              <w:t xml:space="preserve">  121,666</w:t>
            </w:r>
          </w:p>
        </w:tc>
      </w:tr>
      <w:tr w:rsidR="00133F31" w:rsidRPr="00133F31" w14:paraId="36568DD8" w14:textId="77777777" w:rsidTr="006F111E">
        <w:trPr>
          <w:trHeight w:val="528"/>
        </w:trPr>
        <w:tc>
          <w:tcPr>
            <w:tcW w:w="1423" w:type="dxa"/>
            <w:tcBorders>
              <w:top w:val="nil"/>
              <w:left w:val="single" w:sz="4" w:space="0" w:color="auto"/>
              <w:bottom w:val="single" w:sz="4" w:space="0" w:color="auto"/>
              <w:right w:val="single" w:sz="4" w:space="0" w:color="auto"/>
            </w:tcBorders>
            <w:tcMar>
              <w:top w:w="12" w:type="dxa"/>
              <w:left w:w="12" w:type="dxa"/>
              <w:bottom w:w="0" w:type="dxa"/>
              <w:right w:w="12" w:type="dxa"/>
            </w:tcMar>
            <w:vAlign w:val="bottom"/>
          </w:tcPr>
          <w:p w14:paraId="5184DBBF" w14:textId="77777777" w:rsidR="00133F31" w:rsidRPr="00133F31" w:rsidRDefault="00133F31" w:rsidP="00133F31">
            <w:pPr>
              <w:spacing w:after="0" w:line="240" w:lineRule="auto"/>
              <w:rPr>
                <w:rFonts w:ascii="Arial" w:eastAsia="Arial Unicode MS" w:hAnsi="Arial" w:cs="Arial"/>
                <w:b/>
                <w:bCs/>
                <w:sz w:val="20"/>
                <w:szCs w:val="20"/>
              </w:rPr>
            </w:pPr>
            <w:r w:rsidRPr="00133F31">
              <w:rPr>
                <w:rFonts w:ascii="Arial" w:eastAsia="Times New Roman" w:hAnsi="Arial" w:cs="Arial"/>
                <w:b/>
                <w:bCs/>
                <w:sz w:val="20"/>
                <w:szCs w:val="20"/>
              </w:rPr>
              <w:t>Total</w:t>
            </w:r>
          </w:p>
        </w:tc>
        <w:tc>
          <w:tcPr>
            <w:tcW w:w="1620" w:type="dxa"/>
            <w:tcBorders>
              <w:top w:val="nil"/>
              <w:left w:val="nil"/>
              <w:bottom w:val="single" w:sz="4" w:space="0" w:color="auto"/>
              <w:right w:val="single" w:sz="4" w:space="0" w:color="auto"/>
            </w:tcBorders>
            <w:tcMar>
              <w:top w:w="12" w:type="dxa"/>
              <w:left w:w="12" w:type="dxa"/>
              <w:bottom w:w="0" w:type="dxa"/>
              <w:right w:w="12" w:type="dxa"/>
            </w:tcMar>
            <w:vAlign w:val="bottom"/>
          </w:tcPr>
          <w:p w14:paraId="70EF109D" w14:textId="77777777" w:rsidR="00133F31" w:rsidRPr="00133F31" w:rsidRDefault="00133F31" w:rsidP="00133F31">
            <w:pPr>
              <w:spacing w:after="0" w:line="240" w:lineRule="auto"/>
              <w:jc w:val="center"/>
              <w:rPr>
                <w:rFonts w:ascii="Arial" w:eastAsia="Arial Unicode MS" w:hAnsi="Arial" w:cs="Arial"/>
                <w:bCs/>
                <w:sz w:val="20"/>
                <w:szCs w:val="20"/>
              </w:rPr>
            </w:pPr>
            <w:r w:rsidRPr="00133F31">
              <w:rPr>
                <w:rFonts w:ascii="Arial" w:eastAsia="Arial Unicode MS" w:hAnsi="Arial" w:cs="Arial"/>
                <w:bCs/>
                <w:sz w:val="20"/>
                <w:szCs w:val="20"/>
              </w:rPr>
              <w:t xml:space="preserve">            41,750</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E5D5C43" w14:textId="77777777" w:rsidR="00133F31" w:rsidRPr="00133F31" w:rsidRDefault="00133F31" w:rsidP="00133F31">
            <w:pPr>
              <w:spacing w:after="0" w:line="240" w:lineRule="auto"/>
              <w:jc w:val="center"/>
              <w:rPr>
                <w:rFonts w:ascii="Arial" w:eastAsia="Arial Unicode MS" w:hAnsi="Arial" w:cs="Arial"/>
                <w:bCs/>
                <w:sz w:val="20"/>
                <w:szCs w:val="20"/>
              </w:rPr>
            </w:pPr>
            <w:r w:rsidRPr="00133F31">
              <w:rPr>
                <w:rFonts w:ascii="Arial" w:eastAsia="Arial Unicode MS" w:hAnsi="Arial" w:cs="Arial"/>
                <w:bCs/>
                <w:sz w:val="20"/>
                <w:szCs w:val="20"/>
              </w:rPr>
              <w:t xml:space="preserve">                250</w:t>
            </w:r>
          </w:p>
        </w:tc>
        <w:tc>
          <w:tcPr>
            <w:tcW w:w="1260"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7EA92850" w14:textId="77777777" w:rsidR="00133F31" w:rsidRPr="00133F31" w:rsidRDefault="00133F31" w:rsidP="00133F31">
            <w:pPr>
              <w:spacing w:after="0" w:line="240" w:lineRule="auto"/>
              <w:jc w:val="center"/>
              <w:rPr>
                <w:rFonts w:ascii="Arial" w:eastAsia="Arial Unicode MS" w:hAnsi="Arial" w:cs="Arial"/>
                <w:bCs/>
                <w:sz w:val="20"/>
                <w:szCs w:val="20"/>
              </w:rPr>
            </w:pPr>
            <w:r w:rsidRPr="00133F31">
              <w:rPr>
                <w:rFonts w:ascii="Arial" w:eastAsia="Arial Unicode MS" w:hAnsi="Arial" w:cs="Arial"/>
                <w:bCs/>
                <w:sz w:val="20"/>
                <w:szCs w:val="20"/>
              </w:rPr>
              <w:t xml:space="preserve">       42,000</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3A7C8B2F" w14:textId="7FC3AB93" w:rsidR="00133F31" w:rsidRPr="00133F31" w:rsidRDefault="00976A1B" w:rsidP="00133F31">
            <w:pPr>
              <w:spacing w:after="0" w:line="240" w:lineRule="auto"/>
              <w:rPr>
                <w:rFonts w:ascii="Arial" w:eastAsia="Arial Unicode MS" w:hAnsi="Arial" w:cs="Arial"/>
                <w:b/>
                <w:bCs/>
                <w:sz w:val="20"/>
                <w:szCs w:val="20"/>
              </w:rPr>
            </w:pPr>
            <w:r>
              <w:rPr>
                <w:rFonts w:ascii="Arial" w:eastAsia="Times New Roman" w:hAnsi="Arial" w:cs="Arial"/>
                <w:b/>
                <w:bCs/>
                <w:sz w:val="20"/>
                <w:szCs w:val="20"/>
              </w:rPr>
              <w:t>3 hours, 31</w:t>
            </w:r>
            <w:r w:rsidR="00133F31" w:rsidRPr="00133F31">
              <w:rPr>
                <w:rFonts w:ascii="Arial" w:eastAsia="Times New Roman" w:hAnsi="Arial" w:cs="Arial"/>
                <w:b/>
                <w:bCs/>
                <w:sz w:val="20"/>
                <w:szCs w:val="20"/>
              </w:rPr>
              <w:t xml:space="preserve"> minutes per respondent</w:t>
            </w:r>
          </w:p>
        </w:tc>
        <w:tc>
          <w:tcPr>
            <w:tcW w:w="900" w:type="dxa"/>
            <w:tcBorders>
              <w:top w:val="nil"/>
              <w:left w:val="nil"/>
              <w:bottom w:val="single" w:sz="4" w:space="0" w:color="auto"/>
              <w:right w:val="single" w:sz="4" w:space="0" w:color="auto"/>
            </w:tcBorders>
            <w:tcMar>
              <w:top w:w="12" w:type="dxa"/>
              <w:left w:w="12" w:type="dxa"/>
              <w:bottom w:w="0" w:type="dxa"/>
              <w:right w:w="12" w:type="dxa"/>
            </w:tcMar>
            <w:vAlign w:val="bottom"/>
          </w:tcPr>
          <w:p w14:paraId="56F4694F" w14:textId="77777777" w:rsidR="00133F31" w:rsidRPr="00133F31" w:rsidRDefault="00133F31" w:rsidP="00133F31">
            <w:pPr>
              <w:spacing w:after="0" w:line="240" w:lineRule="auto"/>
              <w:rPr>
                <w:rFonts w:ascii="Arial" w:eastAsia="Arial Unicode MS" w:hAnsi="Arial" w:cs="Arial"/>
                <w:b/>
                <w:bCs/>
                <w:sz w:val="20"/>
                <w:szCs w:val="20"/>
              </w:rPr>
            </w:pPr>
            <w:r w:rsidRPr="00133F31">
              <w:rPr>
                <w:rFonts w:ascii="Arial" w:eastAsia="Times New Roman" w:hAnsi="Arial" w:cs="Arial"/>
                <w:b/>
                <w:bCs/>
                <w:sz w:val="20"/>
                <w:szCs w:val="20"/>
              </w:rPr>
              <w:t xml:space="preserve"> 145,329                </w:t>
            </w:r>
          </w:p>
        </w:tc>
        <w:tc>
          <w:tcPr>
            <w:tcW w:w="1440" w:type="dxa"/>
            <w:tcBorders>
              <w:top w:val="nil"/>
              <w:left w:val="nil"/>
              <w:bottom w:val="single" w:sz="4" w:space="0" w:color="auto"/>
              <w:right w:val="single" w:sz="4" w:space="0" w:color="auto"/>
            </w:tcBorders>
            <w:tcMar>
              <w:top w:w="12" w:type="dxa"/>
              <w:left w:w="12" w:type="dxa"/>
              <w:bottom w:w="0" w:type="dxa"/>
              <w:right w:w="12" w:type="dxa"/>
            </w:tcMar>
            <w:vAlign w:val="bottom"/>
          </w:tcPr>
          <w:p w14:paraId="7978D05D" w14:textId="77777777" w:rsidR="00133F31" w:rsidRPr="00133F31" w:rsidRDefault="00133F31" w:rsidP="00133F31">
            <w:pPr>
              <w:spacing w:after="0" w:line="240" w:lineRule="auto"/>
              <w:jc w:val="center"/>
              <w:rPr>
                <w:rFonts w:ascii="Arial" w:eastAsia="Arial Unicode MS" w:hAnsi="Arial" w:cs="Arial"/>
                <w:b/>
                <w:bCs/>
                <w:sz w:val="20"/>
                <w:szCs w:val="20"/>
              </w:rPr>
            </w:pPr>
            <w:r w:rsidRPr="00133F31">
              <w:rPr>
                <w:rFonts w:ascii="Arial" w:eastAsia="Times New Roman" w:hAnsi="Arial" w:cs="Arial"/>
                <w:b/>
                <w:bCs/>
                <w:sz w:val="20"/>
                <w:szCs w:val="20"/>
              </w:rPr>
              <w:t xml:space="preserve">            2,237</w:t>
            </w:r>
          </w:p>
        </w:tc>
        <w:tc>
          <w:tcPr>
            <w:tcW w:w="1080" w:type="dxa"/>
            <w:tcBorders>
              <w:top w:val="nil"/>
              <w:left w:val="nil"/>
              <w:bottom w:val="single" w:sz="4" w:space="0" w:color="auto"/>
              <w:right w:val="single" w:sz="4" w:space="0" w:color="auto"/>
            </w:tcBorders>
            <w:tcMar>
              <w:top w:w="12" w:type="dxa"/>
              <w:left w:w="12" w:type="dxa"/>
              <w:bottom w:w="0" w:type="dxa"/>
              <w:right w:w="12" w:type="dxa"/>
            </w:tcMar>
            <w:vAlign w:val="bottom"/>
          </w:tcPr>
          <w:p w14:paraId="2ADE89BB" w14:textId="77777777" w:rsidR="00133F31" w:rsidRPr="00133F31" w:rsidRDefault="00133F31" w:rsidP="00133F31">
            <w:pPr>
              <w:spacing w:after="0" w:line="240" w:lineRule="auto"/>
              <w:rPr>
                <w:rFonts w:ascii="Arial" w:eastAsia="Arial Unicode MS" w:hAnsi="Arial" w:cs="Arial"/>
                <w:b/>
                <w:bCs/>
                <w:sz w:val="20"/>
                <w:szCs w:val="20"/>
              </w:rPr>
            </w:pPr>
            <w:r w:rsidRPr="00133F31">
              <w:rPr>
                <w:rFonts w:ascii="Arial" w:eastAsia="Times New Roman" w:hAnsi="Arial" w:cs="Arial"/>
                <w:b/>
                <w:bCs/>
                <w:sz w:val="20"/>
                <w:szCs w:val="20"/>
              </w:rPr>
              <w:t xml:space="preserve">    147,566                                  </w:t>
            </w:r>
          </w:p>
        </w:tc>
      </w:tr>
    </w:tbl>
    <w:p w14:paraId="318C792D"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7427678E" w14:textId="77777777" w:rsidR="002B6BCB" w:rsidRDefault="002B6BC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1187CA" w14:textId="274EE7C2" w:rsidR="00133F31" w:rsidRPr="00133F31" w:rsidRDefault="00476B67"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053BA">
        <w:rPr>
          <w:rFonts w:ascii="Times New Roman" w:eastAsia="Times New Roman" w:hAnsi="Times New Roman" w:cs="Times New Roman"/>
          <w:sz w:val="24"/>
          <w:szCs w:val="24"/>
        </w:rPr>
        <w:t xml:space="preserve">      </w:t>
      </w:r>
      <w:r w:rsidR="00133F31" w:rsidRPr="00133F31">
        <w:rPr>
          <w:rFonts w:ascii="Times New Roman" w:eastAsia="Times New Roman" w:hAnsi="Times New Roman" w:cs="Times New Roman"/>
          <w:sz w:val="24"/>
          <w:szCs w:val="24"/>
        </w:rPr>
        <w:t xml:space="preserve">2018 – 2019 </w:t>
      </w:r>
      <w:r w:rsidR="00782F8A">
        <w:rPr>
          <w:rFonts w:ascii="Times New Roman" w:eastAsia="Times New Roman" w:hAnsi="Times New Roman" w:cs="Times New Roman"/>
          <w:sz w:val="24"/>
          <w:szCs w:val="24"/>
        </w:rPr>
        <w:t>Report of Organization</w:t>
      </w:r>
      <w:r>
        <w:rPr>
          <w:rFonts w:ascii="Times New Roman" w:eastAsia="Times New Roman" w:hAnsi="Times New Roman" w:cs="Times New Roman"/>
          <w:sz w:val="24"/>
          <w:szCs w:val="24"/>
        </w:rPr>
        <w:t xml:space="preserve"> Collection</w:t>
      </w:r>
    </w:p>
    <w:p w14:paraId="3C93456C" w14:textId="77777777" w:rsidR="00133F31" w:rsidRPr="00133F31" w:rsidRDefault="00133F31" w:rsidP="00133F31">
      <w:p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tbl>
      <w:tblPr>
        <w:tblW w:w="8370" w:type="dxa"/>
        <w:tblInd w:w="535" w:type="dxa"/>
        <w:tblLayout w:type="fixed"/>
        <w:tblCellMar>
          <w:left w:w="74" w:type="dxa"/>
          <w:right w:w="74" w:type="dxa"/>
        </w:tblCellMar>
        <w:tblLook w:val="0000" w:firstRow="0" w:lastRow="0" w:firstColumn="0" w:lastColumn="0" w:noHBand="0" w:noVBand="0"/>
      </w:tblPr>
      <w:tblGrid>
        <w:gridCol w:w="3679"/>
        <w:gridCol w:w="1800"/>
        <w:gridCol w:w="1800"/>
        <w:gridCol w:w="1091"/>
      </w:tblGrid>
      <w:tr w:rsidR="00133F31" w:rsidRPr="00133F31" w14:paraId="00C72441" w14:textId="77777777" w:rsidTr="006F111E">
        <w:trPr>
          <w:cantSplit/>
          <w:trHeight w:val="570"/>
        </w:trPr>
        <w:tc>
          <w:tcPr>
            <w:tcW w:w="8370" w:type="dxa"/>
            <w:gridSpan w:val="4"/>
            <w:tcBorders>
              <w:top w:val="single" w:sz="6" w:space="0" w:color="000000"/>
              <w:left w:val="single" w:sz="4" w:space="0" w:color="auto"/>
              <w:bottom w:val="single" w:sz="30" w:space="0" w:color="000000"/>
              <w:right w:val="single" w:sz="4" w:space="0" w:color="auto"/>
            </w:tcBorders>
          </w:tcPr>
          <w:p w14:paraId="78DB0F95" w14:textId="77777777" w:rsidR="00133F31" w:rsidRPr="00133F31" w:rsidRDefault="00133F31" w:rsidP="00133F31">
            <w:pPr>
              <w:numPr>
                <w:ilvl w:val="12"/>
                <w:numId w:val="0"/>
              </w:numPr>
              <w:tabs>
                <w:tab w:val="left" w:pos="0"/>
                <w:tab w:val="left" w:pos="720"/>
                <w:tab w:val="left" w:pos="1440"/>
                <w:tab w:val="left" w:pos="2160"/>
                <w:tab w:val="left" w:pos="2880"/>
                <w:tab w:val="left" w:pos="3600"/>
              </w:tabs>
              <w:spacing w:before="48" w:after="0" w:line="120" w:lineRule="exact"/>
              <w:rPr>
                <w:rFonts w:ascii="Arial" w:eastAsia="Times New Roman" w:hAnsi="Arial" w:cs="Arial"/>
                <w:sz w:val="20"/>
                <w:szCs w:val="24"/>
              </w:rPr>
            </w:pPr>
          </w:p>
          <w:p w14:paraId="06F1AEAF"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s>
              <w:spacing w:after="62" w:line="240" w:lineRule="auto"/>
              <w:rPr>
                <w:rFonts w:ascii="Arial" w:eastAsia="Times New Roman" w:hAnsi="Arial" w:cs="Arial"/>
                <w:sz w:val="20"/>
                <w:szCs w:val="24"/>
              </w:rPr>
            </w:pPr>
            <w:r w:rsidRPr="00133F31">
              <w:rPr>
                <w:rFonts w:ascii="Arial" w:eastAsia="Times New Roman" w:hAnsi="Arial" w:cs="Arial"/>
                <w:b/>
                <w:bCs/>
                <w:sz w:val="20"/>
                <w:szCs w:val="24"/>
              </w:rPr>
              <w:t xml:space="preserve">                                   </w:t>
            </w:r>
            <w:r w:rsidRPr="00133F31">
              <w:rPr>
                <w:rFonts w:ascii="Arial" w:eastAsia="Times New Roman" w:hAnsi="Arial" w:cs="Arial"/>
                <w:sz w:val="20"/>
                <w:szCs w:val="24"/>
              </w:rPr>
              <w:t>Other business entities/Single-locations entities</w:t>
            </w:r>
          </w:p>
        </w:tc>
      </w:tr>
      <w:tr w:rsidR="00133F31" w:rsidRPr="00133F31" w14:paraId="553A459E" w14:textId="77777777" w:rsidTr="006F111E">
        <w:trPr>
          <w:cantSplit/>
        </w:trPr>
        <w:tc>
          <w:tcPr>
            <w:tcW w:w="3679" w:type="dxa"/>
            <w:tcBorders>
              <w:top w:val="single" w:sz="6" w:space="0" w:color="000000"/>
              <w:left w:val="single" w:sz="6" w:space="0" w:color="000000"/>
              <w:bottom w:val="single" w:sz="30" w:space="0" w:color="000000"/>
              <w:right w:val="single" w:sz="6" w:space="0" w:color="000000"/>
            </w:tcBorders>
          </w:tcPr>
          <w:p w14:paraId="72C67953" w14:textId="77777777" w:rsidR="00133F31" w:rsidRPr="00133F31" w:rsidRDefault="00133F31" w:rsidP="00133F31">
            <w:pPr>
              <w:numPr>
                <w:ilvl w:val="12"/>
                <w:numId w:val="0"/>
              </w:numPr>
              <w:tabs>
                <w:tab w:val="left" w:pos="0"/>
                <w:tab w:val="left" w:pos="720"/>
                <w:tab w:val="left" w:pos="1440"/>
                <w:tab w:val="left" w:pos="2160"/>
                <w:tab w:val="left" w:pos="2880"/>
                <w:tab w:val="left" w:pos="3600"/>
              </w:tabs>
              <w:spacing w:before="48" w:after="0" w:line="240" w:lineRule="auto"/>
              <w:rPr>
                <w:rFonts w:ascii="Arial" w:eastAsia="Times New Roman" w:hAnsi="Arial" w:cs="Arial"/>
                <w:sz w:val="20"/>
                <w:szCs w:val="24"/>
              </w:rPr>
            </w:pPr>
          </w:p>
          <w:p w14:paraId="43294955" w14:textId="77777777" w:rsidR="00133F31" w:rsidRPr="00133F31" w:rsidRDefault="00133F31" w:rsidP="00133F31">
            <w:pPr>
              <w:numPr>
                <w:ilvl w:val="12"/>
                <w:numId w:val="0"/>
              </w:numPr>
              <w:tabs>
                <w:tab w:val="left" w:pos="-1123"/>
                <w:tab w:val="left" w:pos="-720"/>
                <w:tab w:val="left" w:pos="0"/>
                <w:tab w:val="left" w:pos="450"/>
                <w:tab w:val="left" w:pos="765"/>
                <w:tab w:val="left" w:pos="810"/>
                <w:tab w:val="center" w:pos="1096"/>
                <w:tab w:val="left" w:pos="1440"/>
                <w:tab w:val="left" w:pos="2160"/>
                <w:tab w:val="left" w:pos="2880"/>
                <w:tab w:val="left" w:pos="3600"/>
              </w:tabs>
              <w:spacing w:after="48" w:line="240" w:lineRule="auto"/>
              <w:rPr>
                <w:rFonts w:ascii="Arial" w:eastAsia="Times New Roman" w:hAnsi="Arial" w:cs="Arial"/>
                <w:sz w:val="20"/>
                <w:szCs w:val="24"/>
              </w:rPr>
            </w:pPr>
            <w:r w:rsidRPr="00133F31">
              <w:rPr>
                <w:rFonts w:ascii="Arial" w:eastAsia="Times New Roman" w:hAnsi="Arial" w:cs="Arial"/>
                <w:sz w:val="20"/>
                <w:szCs w:val="24"/>
              </w:rPr>
              <w:tab/>
            </w:r>
            <w:r w:rsidRPr="00133F31">
              <w:rPr>
                <w:rFonts w:ascii="Arial" w:eastAsia="Times New Roman" w:hAnsi="Arial" w:cs="Arial"/>
                <w:sz w:val="20"/>
                <w:szCs w:val="24"/>
              </w:rPr>
              <w:tab/>
            </w:r>
          </w:p>
          <w:p w14:paraId="21EF21B7" w14:textId="77777777" w:rsidR="00133F31" w:rsidRPr="00133F31" w:rsidRDefault="00133F31" w:rsidP="00133F31">
            <w:pPr>
              <w:numPr>
                <w:ilvl w:val="12"/>
                <w:numId w:val="0"/>
              </w:numPr>
              <w:tabs>
                <w:tab w:val="left" w:pos="-1123"/>
                <w:tab w:val="left" w:pos="-720"/>
                <w:tab w:val="left" w:pos="0"/>
                <w:tab w:val="left" w:pos="450"/>
                <w:tab w:val="left" w:pos="765"/>
                <w:tab w:val="left" w:pos="810"/>
                <w:tab w:val="center" w:pos="1096"/>
                <w:tab w:val="left" w:pos="1440"/>
                <w:tab w:val="left" w:pos="2160"/>
                <w:tab w:val="left" w:pos="2880"/>
                <w:tab w:val="left" w:pos="3600"/>
              </w:tabs>
              <w:spacing w:after="48" w:line="240" w:lineRule="auto"/>
              <w:rPr>
                <w:rFonts w:ascii="Arial" w:eastAsia="Times New Roman" w:hAnsi="Arial" w:cs="Arial"/>
                <w:sz w:val="20"/>
                <w:szCs w:val="24"/>
              </w:rPr>
            </w:pPr>
            <w:r w:rsidRPr="00133F31">
              <w:rPr>
                <w:rFonts w:ascii="Arial" w:eastAsia="Times New Roman" w:hAnsi="Arial" w:cs="Arial"/>
                <w:sz w:val="20"/>
                <w:szCs w:val="24"/>
              </w:rPr>
              <w:t xml:space="preserve">         </w:t>
            </w:r>
            <w:r w:rsidRPr="00133F31">
              <w:rPr>
                <w:rFonts w:ascii="Arial" w:eastAsia="Times New Roman" w:hAnsi="Arial" w:cs="Arial"/>
                <w:sz w:val="20"/>
                <w:szCs w:val="24"/>
              </w:rPr>
              <w:tab/>
              <w:t>Inquiry</w:t>
            </w:r>
          </w:p>
        </w:tc>
        <w:tc>
          <w:tcPr>
            <w:tcW w:w="1800" w:type="dxa"/>
            <w:tcBorders>
              <w:top w:val="single" w:sz="6" w:space="0" w:color="000000"/>
              <w:left w:val="single" w:sz="6" w:space="0" w:color="000000"/>
              <w:bottom w:val="single" w:sz="30" w:space="0" w:color="000000"/>
              <w:right w:val="single" w:sz="6" w:space="0" w:color="000000"/>
            </w:tcBorders>
          </w:tcPr>
          <w:p w14:paraId="6DED292B"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r w:rsidRPr="00133F31">
              <w:rPr>
                <w:rFonts w:ascii="Arial" w:eastAsia="Times New Roman" w:hAnsi="Arial" w:cs="Arial"/>
                <w:sz w:val="20"/>
                <w:szCs w:val="24"/>
              </w:rPr>
              <w:t xml:space="preserve">    </w:t>
            </w:r>
          </w:p>
          <w:p w14:paraId="3E513F99"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r w:rsidRPr="00133F31">
              <w:rPr>
                <w:rFonts w:ascii="Arial" w:eastAsia="Times New Roman" w:hAnsi="Arial" w:cs="Arial"/>
                <w:sz w:val="20"/>
                <w:szCs w:val="24"/>
              </w:rPr>
              <w:t xml:space="preserve">   Private Sector</w:t>
            </w:r>
          </w:p>
          <w:p w14:paraId="4E01967D"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jc w:val="center"/>
              <w:rPr>
                <w:rFonts w:ascii="Arial" w:eastAsia="Times New Roman" w:hAnsi="Arial" w:cs="Arial"/>
                <w:sz w:val="20"/>
                <w:szCs w:val="24"/>
              </w:rPr>
            </w:pPr>
            <w:r w:rsidRPr="00133F31">
              <w:rPr>
                <w:rFonts w:ascii="Arial" w:eastAsia="Times New Roman" w:hAnsi="Arial" w:cs="Arial"/>
                <w:sz w:val="20"/>
                <w:szCs w:val="24"/>
              </w:rPr>
              <w:t>Respondents</w:t>
            </w:r>
          </w:p>
        </w:tc>
        <w:tc>
          <w:tcPr>
            <w:tcW w:w="1800" w:type="dxa"/>
            <w:tcBorders>
              <w:top w:val="single" w:sz="6" w:space="0" w:color="000000"/>
              <w:left w:val="single" w:sz="6" w:space="0" w:color="000000"/>
              <w:bottom w:val="single" w:sz="30" w:space="0" w:color="000000"/>
              <w:right w:val="single" w:sz="6" w:space="0" w:color="000000"/>
            </w:tcBorders>
          </w:tcPr>
          <w:p w14:paraId="2DF7254F"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p>
          <w:p w14:paraId="7D5F10C0"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jc w:val="center"/>
              <w:rPr>
                <w:rFonts w:ascii="Arial" w:eastAsia="Times New Roman" w:hAnsi="Arial" w:cs="Arial"/>
                <w:sz w:val="20"/>
                <w:szCs w:val="24"/>
              </w:rPr>
            </w:pPr>
            <w:r w:rsidRPr="00133F31">
              <w:rPr>
                <w:rFonts w:ascii="Arial" w:eastAsia="Times New Roman" w:hAnsi="Arial" w:cs="Arial"/>
                <w:sz w:val="20"/>
                <w:szCs w:val="24"/>
              </w:rPr>
              <w:t>Average Time</w:t>
            </w:r>
          </w:p>
          <w:p w14:paraId="431299C6"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jc w:val="center"/>
              <w:rPr>
                <w:rFonts w:ascii="Arial" w:eastAsia="Times New Roman" w:hAnsi="Arial" w:cs="Arial"/>
                <w:sz w:val="20"/>
                <w:szCs w:val="24"/>
              </w:rPr>
            </w:pPr>
            <w:r w:rsidRPr="00133F31">
              <w:rPr>
                <w:rFonts w:ascii="Arial" w:eastAsia="Times New Roman" w:hAnsi="Arial" w:cs="Arial"/>
                <w:sz w:val="20"/>
                <w:szCs w:val="24"/>
              </w:rPr>
              <w:t>Minutes Per Entity</w:t>
            </w:r>
          </w:p>
        </w:tc>
        <w:tc>
          <w:tcPr>
            <w:tcW w:w="1091" w:type="dxa"/>
            <w:tcBorders>
              <w:top w:val="single" w:sz="6" w:space="0" w:color="000000"/>
              <w:left w:val="single" w:sz="6" w:space="0" w:color="000000"/>
              <w:bottom w:val="single" w:sz="30" w:space="0" w:color="000000"/>
              <w:right w:val="single" w:sz="6" w:space="0" w:color="000000"/>
            </w:tcBorders>
          </w:tcPr>
          <w:p w14:paraId="3BA21CDE"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jc w:val="center"/>
              <w:rPr>
                <w:rFonts w:ascii="Arial" w:eastAsia="Times New Roman" w:hAnsi="Arial" w:cs="Arial"/>
                <w:sz w:val="20"/>
                <w:szCs w:val="24"/>
              </w:rPr>
            </w:pPr>
            <w:r w:rsidRPr="00133F31">
              <w:rPr>
                <w:rFonts w:ascii="Arial" w:eastAsia="Times New Roman" w:hAnsi="Arial" w:cs="Arial"/>
                <w:sz w:val="20"/>
                <w:szCs w:val="24"/>
              </w:rPr>
              <w:t>Total Response Burden Hours</w:t>
            </w:r>
          </w:p>
        </w:tc>
      </w:tr>
      <w:tr w:rsidR="00133F31" w:rsidRPr="00133F31" w14:paraId="7A98A91A" w14:textId="77777777" w:rsidTr="006F111E">
        <w:trPr>
          <w:cantSplit/>
          <w:trHeight w:val="1280"/>
        </w:trPr>
        <w:tc>
          <w:tcPr>
            <w:tcW w:w="3679" w:type="dxa"/>
            <w:tcBorders>
              <w:top w:val="single" w:sz="6" w:space="0" w:color="000000"/>
              <w:left w:val="single" w:sz="4" w:space="0" w:color="auto"/>
              <w:bottom w:val="single" w:sz="6" w:space="0" w:color="000000"/>
              <w:right w:val="single" w:sz="6" w:space="0" w:color="000000"/>
            </w:tcBorders>
          </w:tcPr>
          <w:p w14:paraId="378D977D"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eastAsia="Times New Roman" w:hAnsi="Arial" w:cs="Arial"/>
                <w:sz w:val="20"/>
                <w:szCs w:val="24"/>
              </w:rPr>
            </w:pPr>
          </w:p>
          <w:p w14:paraId="4DF96F20" w14:textId="7F26B13F"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eastAsia="Times New Roman" w:hAnsi="Arial" w:cs="Arial"/>
                <w:sz w:val="20"/>
                <w:szCs w:val="24"/>
              </w:rPr>
            </w:pPr>
            <w:r w:rsidRPr="00133F31">
              <w:rPr>
                <w:rFonts w:ascii="Arial" w:eastAsia="Times New Roman" w:hAnsi="Arial" w:cs="Arial"/>
                <w:sz w:val="20"/>
                <w:szCs w:val="24"/>
              </w:rPr>
              <w:t xml:space="preserve">Supplemental </w:t>
            </w:r>
            <w:r w:rsidR="00782F8A">
              <w:rPr>
                <w:rFonts w:ascii="Arial" w:eastAsia="Times New Roman" w:hAnsi="Arial" w:cs="Arial"/>
                <w:sz w:val="20"/>
                <w:szCs w:val="24"/>
              </w:rPr>
              <w:t>Report of Organization</w:t>
            </w:r>
            <w:r w:rsidRPr="00133F31">
              <w:rPr>
                <w:rFonts w:ascii="Arial" w:eastAsia="Times New Roman" w:hAnsi="Arial" w:cs="Arial"/>
                <w:sz w:val="20"/>
                <w:szCs w:val="24"/>
              </w:rPr>
              <w:t xml:space="preserve"> inquiries (including instructions)</w:t>
            </w:r>
          </w:p>
        </w:tc>
        <w:tc>
          <w:tcPr>
            <w:tcW w:w="1800" w:type="dxa"/>
            <w:tcBorders>
              <w:top w:val="single" w:sz="6" w:space="0" w:color="000000"/>
              <w:left w:val="single" w:sz="6" w:space="0" w:color="000000"/>
              <w:bottom w:val="single" w:sz="6" w:space="0" w:color="000000"/>
              <w:right w:val="single" w:sz="6" w:space="0" w:color="000000"/>
            </w:tcBorders>
          </w:tcPr>
          <w:p w14:paraId="7528FADC"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p>
          <w:p w14:paraId="402CBAC4"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r w:rsidRPr="00133F31">
              <w:rPr>
                <w:rFonts w:ascii="Arial" w:eastAsia="Times New Roman" w:hAnsi="Arial" w:cs="Arial"/>
                <w:sz w:val="20"/>
                <w:szCs w:val="24"/>
              </w:rPr>
              <w:t xml:space="preserve">                  5,000 </w:t>
            </w:r>
          </w:p>
        </w:tc>
        <w:tc>
          <w:tcPr>
            <w:tcW w:w="1800" w:type="dxa"/>
            <w:tcBorders>
              <w:top w:val="single" w:sz="6" w:space="0" w:color="000000"/>
              <w:left w:val="single" w:sz="6" w:space="0" w:color="000000"/>
              <w:bottom w:val="single" w:sz="6" w:space="0" w:color="000000"/>
              <w:right w:val="single" w:sz="6" w:space="0" w:color="000000"/>
            </w:tcBorders>
          </w:tcPr>
          <w:p w14:paraId="0F05B9F6"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p>
          <w:p w14:paraId="69BBD427"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r w:rsidRPr="00133F31">
              <w:rPr>
                <w:rFonts w:ascii="Arial" w:eastAsia="Times New Roman" w:hAnsi="Arial" w:cs="Arial"/>
                <w:sz w:val="20"/>
                <w:szCs w:val="24"/>
              </w:rPr>
              <w:t xml:space="preserve">                       12 </w:t>
            </w:r>
          </w:p>
        </w:tc>
        <w:tc>
          <w:tcPr>
            <w:tcW w:w="1091" w:type="dxa"/>
            <w:tcBorders>
              <w:top w:val="single" w:sz="6" w:space="0" w:color="000000"/>
              <w:left w:val="single" w:sz="6" w:space="0" w:color="000000"/>
              <w:bottom w:val="single" w:sz="6" w:space="0" w:color="000000"/>
              <w:right w:val="single" w:sz="6" w:space="0" w:color="000000"/>
            </w:tcBorders>
          </w:tcPr>
          <w:p w14:paraId="65C6C870"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sz w:val="20"/>
                <w:szCs w:val="24"/>
              </w:rPr>
            </w:pPr>
          </w:p>
          <w:p w14:paraId="16045C96"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r w:rsidRPr="00133F31">
              <w:rPr>
                <w:rFonts w:ascii="Arial" w:eastAsia="Times New Roman" w:hAnsi="Arial" w:cs="Arial"/>
                <w:sz w:val="20"/>
                <w:szCs w:val="24"/>
              </w:rPr>
              <w:t xml:space="preserve">      1,000               </w:t>
            </w:r>
          </w:p>
          <w:p w14:paraId="4060AF8C"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p>
          <w:p w14:paraId="583B6B85"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p>
        </w:tc>
      </w:tr>
      <w:tr w:rsidR="00133F31" w:rsidRPr="00133F31" w14:paraId="1D719F9F" w14:textId="77777777" w:rsidTr="006F111E">
        <w:trPr>
          <w:cantSplit/>
          <w:trHeight w:val="705"/>
        </w:trPr>
        <w:tc>
          <w:tcPr>
            <w:tcW w:w="3679" w:type="dxa"/>
            <w:tcBorders>
              <w:top w:val="single" w:sz="6" w:space="0" w:color="000000"/>
              <w:left w:val="single" w:sz="6" w:space="0" w:color="000000"/>
              <w:bottom w:val="single" w:sz="6" w:space="0" w:color="000000"/>
              <w:right w:val="single" w:sz="6" w:space="0" w:color="000000"/>
            </w:tcBorders>
          </w:tcPr>
          <w:p w14:paraId="4D9C37D7" w14:textId="77777777" w:rsidR="00133F31" w:rsidRPr="00133F31" w:rsidRDefault="00133F31" w:rsidP="00133F31">
            <w:pPr>
              <w:numPr>
                <w:ilvl w:val="12"/>
                <w:numId w:val="0"/>
              </w:numPr>
              <w:tabs>
                <w:tab w:val="left" w:pos="-1440"/>
                <w:tab w:val="left" w:pos="-720"/>
                <w:tab w:val="left" w:pos="0"/>
                <w:tab w:val="left" w:pos="720"/>
                <w:tab w:val="left" w:pos="1440"/>
                <w:tab w:val="left" w:pos="2160"/>
                <w:tab w:val="left" w:pos="2880"/>
                <w:tab w:val="left" w:pos="3600"/>
              </w:tabs>
              <w:spacing w:before="48" w:after="0" w:line="240" w:lineRule="auto"/>
              <w:rPr>
                <w:rFonts w:ascii="Arial" w:eastAsia="Times New Roman" w:hAnsi="Arial" w:cs="Arial"/>
                <w:sz w:val="20"/>
                <w:szCs w:val="24"/>
              </w:rPr>
            </w:pPr>
          </w:p>
          <w:p w14:paraId="7D17146F"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s>
              <w:spacing w:after="48" w:line="240" w:lineRule="auto"/>
              <w:rPr>
                <w:rFonts w:ascii="Arial" w:eastAsia="Times New Roman" w:hAnsi="Arial" w:cs="Arial"/>
                <w:sz w:val="20"/>
                <w:szCs w:val="24"/>
              </w:rPr>
            </w:pPr>
            <w:r w:rsidRPr="00133F31">
              <w:rPr>
                <w:rFonts w:ascii="Arial" w:eastAsia="Times New Roman" w:hAnsi="Arial" w:cs="Arial"/>
                <w:b/>
                <w:bCs/>
                <w:sz w:val="20"/>
                <w:szCs w:val="24"/>
              </w:rPr>
              <w:t>Total</w:t>
            </w:r>
          </w:p>
        </w:tc>
        <w:tc>
          <w:tcPr>
            <w:tcW w:w="1800" w:type="dxa"/>
            <w:tcBorders>
              <w:top w:val="single" w:sz="6" w:space="0" w:color="000000"/>
              <w:left w:val="single" w:sz="6" w:space="0" w:color="000000"/>
              <w:bottom w:val="single" w:sz="6" w:space="0" w:color="000000"/>
              <w:right w:val="single" w:sz="6" w:space="0" w:color="000000"/>
            </w:tcBorders>
          </w:tcPr>
          <w:p w14:paraId="7977E4A6"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b/>
                <w:bCs/>
                <w:sz w:val="20"/>
                <w:szCs w:val="24"/>
              </w:rPr>
            </w:pPr>
          </w:p>
          <w:p w14:paraId="078BBE1A"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0" w:line="240" w:lineRule="auto"/>
              <w:rPr>
                <w:rFonts w:ascii="Arial" w:eastAsia="Times New Roman" w:hAnsi="Arial" w:cs="Arial"/>
                <w:b/>
                <w:bCs/>
                <w:sz w:val="20"/>
                <w:szCs w:val="24"/>
              </w:rPr>
            </w:pPr>
            <w:r w:rsidRPr="00133F31">
              <w:rPr>
                <w:rFonts w:ascii="Arial" w:eastAsia="Times New Roman" w:hAnsi="Arial" w:cs="Arial"/>
                <w:b/>
                <w:bCs/>
                <w:sz w:val="20"/>
                <w:szCs w:val="24"/>
              </w:rPr>
              <w:t xml:space="preserve">                  5,000</w:t>
            </w:r>
          </w:p>
          <w:p w14:paraId="1708A06C"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b/>
                <w:bCs/>
                <w:sz w:val="20"/>
                <w:szCs w:val="24"/>
              </w:rPr>
            </w:pPr>
          </w:p>
        </w:tc>
        <w:tc>
          <w:tcPr>
            <w:tcW w:w="1800" w:type="dxa"/>
            <w:tcBorders>
              <w:top w:val="single" w:sz="6" w:space="0" w:color="000000"/>
              <w:left w:val="single" w:sz="6" w:space="0" w:color="000000"/>
              <w:bottom w:val="single" w:sz="6" w:space="0" w:color="000000"/>
              <w:right w:val="single" w:sz="6" w:space="0" w:color="000000"/>
            </w:tcBorders>
          </w:tcPr>
          <w:p w14:paraId="40FF12D2" w14:textId="77777777" w:rsidR="00133F31" w:rsidRPr="00133F31" w:rsidRDefault="00133F31" w:rsidP="00133F31">
            <w:pPr>
              <w:numPr>
                <w:ilvl w:val="12"/>
                <w:numId w:val="0"/>
              </w:numPr>
              <w:tabs>
                <w:tab w:val="left" w:pos="0"/>
                <w:tab w:val="left" w:pos="720"/>
                <w:tab w:val="left" w:pos="1440"/>
              </w:tabs>
              <w:spacing w:before="48" w:after="0" w:line="240" w:lineRule="auto"/>
              <w:rPr>
                <w:rFonts w:ascii="Arial" w:eastAsia="Times New Roman" w:hAnsi="Arial" w:cs="Arial"/>
                <w:b/>
                <w:bCs/>
                <w:sz w:val="20"/>
                <w:szCs w:val="24"/>
              </w:rPr>
            </w:pPr>
          </w:p>
          <w:p w14:paraId="1481D5FD"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r w:rsidRPr="00133F31">
              <w:rPr>
                <w:rFonts w:ascii="Arial" w:eastAsia="Times New Roman" w:hAnsi="Arial" w:cs="Arial"/>
                <w:b/>
                <w:bCs/>
                <w:sz w:val="20"/>
                <w:szCs w:val="24"/>
              </w:rPr>
              <w:t xml:space="preserve">                      12   </w:t>
            </w:r>
          </w:p>
        </w:tc>
        <w:tc>
          <w:tcPr>
            <w:tcW w:w="1091" w:type="dxa"/>
            <w:tcBorders>
              <w:top w:val="single" w:sz="6" w:space="0" w:color="000000"/>
              <w:left w:val="single" w:sz="6" w:space="0" w:color="000000"/>
              <w:bottom w:val="single" w:sz="6" w:space="0" w:color="000000"/>
              <w:right w:val="single" w:sz="6" w:space="0" w:color="000000"/>
            </w:tcBorders>
          </w:tcPr>
          <w:p w14:paraId="53FAFA44"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jc w:val="right"/>
              <w:rPr>
                <w:rFonts w:ascii="Arial" w:eastAsia="Times New Roman" w:hAnsi="Arial" w:cs="Arial"/>
                <w:b/>
                <w:bCs/>
                <w:sz w:val="20"/>
                <w:szCs w:val="24"/>
              </w:rPr>
            </w:pPr>
          </w:p>
          <w:p w14:paraId="5E5FD4C0" w14:textId="77777777" w:rsidR="00133F31" w:rsidRPr="00133F31" w:rsidRDefault="00133F31" w:rsidP="00133F31">
            <w:pPr>
              <w:numPr>
                <w:ilvl w:val="12"/>
                <w:numId w:val="0"/>
              </w:numPr>
              <w:tabs>
                <w:tab w:val="left" w:pos="-1123"/>
                <w:tab w:val="left" w:pos="-720"/>
                <w:tab w:val="left" w:pos="0"/>
                <w:tab w:val="left" w:pos="450"/>
                <w:tab w:val="left" w:pos="810"/>
                <w:tab w:val="left" w:pos="1440"/>
              </w:tabs>
              <w:spacing w:after="48" w:line="240" w:lineRule="auto"/>
              <w:rPr>
                <w:rFonts w:ascii="Arial" w:eastAsia="Times New Roman" w:hAnsi="Arial" w:cs="Arial"/>
                <w:sz w:val="20"/>
                <w:szCs w:val="24"/>
              </w:rPr>
            </w:pPr>
            <w:r w:rsidRPr="00133F31">
              <w:rPr>
                <w:rFonts w:ascii="Arial" w:eastAsia="Times New Roman" w:hAnsi="Arial" w:cs="Arial"/>
                <w:b/>
                <w:bCs/>
                <w:sz w:val="20"/>
                <w:szCs w:val="24"/>
              </w:rPr>
              <w:t xml:space="preserve">      1,000                </w:t>
            </w:r>
          </w:p>
        </w:tc>
      </w:tr>
    </w:tbl>
    <w:p w14:paraId="2B05506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05E98D3B" w14:textId="160669A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For the consolidated 2017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/Census collection, we estimate a total annual cost to respondents of $2,379,405, which is 64,500 hours at $36.89 per hour.  (The cost to the respondents of $2,379,405 is calculated by multiplying the total annual burden hours by the prevailing hourly rate for the type of respondent.  The 64,500 burden hours are the sum of the burden hours for the multi-establishment entities and the single-location entities. The $36.89 is the prevailing hourly wage rate for Accountants and Auditors 13-2011, U.S. Bureau of Labor Statistics, Occupational Employment and Wages, May 2016, </w:t>
      </w:r>
      <w:hyperlink r:id="rId8" w:history="1">
        <w:r w:rsidRPr="00133F31">
          <w:rPr>
            <w:rFonts w:ascii="Times New Roman" w:eastAsia="Times New Roman" w:hAnsi="Times New Roman" w:cs="Times New Roman"/>
            <w:color w:val="0563C1" w:themeColor="hyperlink"/>
            <w:sz w:val="24"/>
            <w:szCs w:val="24"/>
            <w:u w:val="single"/>
          </w:rPr>
          <w:t>https://www.bls.gov/oes/current/oes132011.htm</w:t>
        </w:r>
      </w:hyperlink>
    </w:p>
    <w:p w14:paraId="6BDBCACD"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6A00076B" w14:textId="73FE89FD"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For the 2018 – 2019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we estimate a total annual cost to respondents of $5,480,600, which is 148,566 hours at $36.89 per hour.  (The cost to the respondent of $5,480,600 is calculated by multiplying the total annual burden hours by the prevailing hourly rate for the type of respondent.  The 148,566 burden hours are the sum of the burden hours for the multi-establishment entities and the single-location entities. The $36.89 is the prevailing hourly wage rate for Accountants and Auditors 13-2011, U.S. Bureau of Labor Statistics, Occupational Employment and Wages, May 2016, </w:t>
      </w:r>
      <w:hyperlink r:id="rId9" w:history="1">
        <w:r w:rsidRPr="00133F31">
          <w:rPr>
            <w:rFonts w:ascii="Times New Roman" w:eastAsia="Times New Roman" w:hAnsi="Times New Roman" w:cs="Times New Roman"/>
            <w:color w:val="0563C1" w:themeColor="hyperlink"/>
            <w:sz w:val="24"/>
            <w:szCs w:val="24"/>
            <w:u w:val="single"/>
          </w:rPr>
          <w:t>https://www.bls.gov/oes/current/oes132011.htm</w:t>
        </w:r>
      </w:hyperlink>
    </w:p>
    <w:p w14:paraId="1E2971E9"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3703A98C" w14:textId="77777777" w:rsidR="00133F31" w:rsidRPr="00133F31" w:rsidRDefault="00133F31" w:rsidP="00133F31">
      <w:pPr>
        <w:numPr>
          <w:ilvl w:val="12"/>
          <w:numId w:val="0"/>
        </w:numPr>
        <w:tabs>
          <w:tab w:val="left" w:pos="-1123"/>
          <w:tab w:val="left" w:pos="-720"/>
          <w:tab w:val="left" w:pos="0"/>
          <w:tab w:val="left" w:pos="45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810" w:hanging="36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13.</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Estimate of Cost Burden</w:t>
      </w:r>
    </w:p>
    <w:p w14:paraId="228C38A7"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78661B8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We do not expect respondents to incur any costs other than that of their time to respond.  The information requested is of the type and scope normally carried in company records and no special hardware or accounting software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14:paraId="003A36F4"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545AD155" w14:textId="7FAFB13E" w:rsidR="00133F31" w:rsidRPr="00133F31" w:rsidRDefault="00133F31" w:rsidP="00133F31">
      <w:pPr>
        <w:numPr>
          <w:ilvl w:val="12"/>
          <w:numId w:val="0"/>
        </w:numPr>
        <w:tabs>
          <w:tab w:val="left" w:pos="-1123"/>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FF0000"/>
          <w:sz w:val="24"/>
          <w:szCs w:val="24"/>
          <w:u w:val="single"/>
        </w:rPr>
      </w:pPr>
      <w:r w:rsidRPr="00133F31">
        <w:rPr>
          <w:rFonts w:ascii="Times New Roman" w:eastAsia="Times New Roman" w:hAnsi="Times New Roman" w:cs="Times New Roman"/>
          <w:sz w:val="24"/>
          <w:szCs w:val="24"/>
        </w:rPr>
        <w:tab/>
        <w:t xml:space="preserve">   14.</w:t>
      </w:r>
      <w:r w:rsidRPr="00133F31">
        <w:rPr>
          <w:rFonts w:ascii="Times New Roman" w:eastAsia="Times New Roman" w:hAnsi="Times New Roman" w:cs="Times New Roman"/>
          <w:sz w:val="24"/>
          <w:szCs w:val="24"/>
        </w:rPr>
        <w:tab/>
      </w:r>
      <w:r w:rsidR="005053BA">
        <w:rPr>
          <w:rFonts w:ascii="Times New Roman" w:eastAsia="Times New Roman" w:hAnsi="Times New Roman" w:cs="Times New Roman"/>
          <w:sz w:val="24"/>
          <w:szCs w:val="24"/>
          <w:u w:val="single"/>
        </w:rPr>
        <w:t>Cost to the Federal Government</w:t>
      </w:r>
    </w:p>
    <w:p w14:paraId="3B1D878B"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76E5A34E" w14:textId="3D298313"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cost to the government for </w:t>
      </w:r>
      <w:r w:rsidR="00131D3B">
        <w:rPr>
          <w:rFonts w:ascii="Times New Roman" w:eastAsia="Times New Roman" w:hAnsi="Times New Roman" w:cs="Times New Roman"/>
          <w:sz w:val="24"/>
          <w:szCs w:val="24"/>
        </w:rPr>
        <w:t xml:space="preserve">the survey’s </w:t>
      </w:r>
      <w:r w:rsidR="004B7320">
        <w:rPr>
          <w:rFonts w:ascii="Times New Roman" w:eastAsia="Times New Roman" w:hAnsi="Times New Roman" w:cs="Times New Roman"/>
          <w:sz w:val="24"/>
          <w:szCs w:val="24"/>
        </w:rPr>
        <w:t xml:space="preserve">letter printing, </w:t>
      </w:r>
      <w:r w:rsidR="00131D3B" w:rsidRPr="00131D3B">
        <w:rPr>
          <w:rFonts w:ascii="Times New Roman" w:eastAsia="Times New Roman" w:hAnsi="Times New Roman" w:cs="Times New Roman"/>
          <w:sz w:val="24"/>
          <w:szCs w:val="24"/>
        </w:rPr>
        <w:t>shipping materials</w:t>
      </w:r>
      <w:r w:rsidR="00131D3B">
        <w:rPr>
          <w:rFonts w:ascii="Times New Roman" w:eastAsia="Times New Roman" w:hAnsi="Times New Roman" w:cs="Times New Roman"/>
          <w:sz w:val="24"/>
          <w:szCs w:val="24"/>
        </w:rPr>
        <w:t>,</w:t>
      </w:r>
      <w:r w:rsidR="00131D3B" w:rsidRPr="00131D3B">
        <w:rPr>
          <w:rFonts w:ascii="Times New Roman" w:eastAsia="Times New Roman" w:hAnsi="Times New Roman" w:cs="Times New Roman"/>
          <w:sz w:val="24"/>
          <w:szCs w:val="24"/>
        </w:rPr>
        <w:t xml:space="preserve"> </w:t>
      </w:r>
      <w:r w:rsidR="00B54D51" w:rsidRPr="00131D3B">
        <w:rPr>
          <w:rFonts w:ascii="Times New Roman" w:eastAsia="Times New Roman" w:hAnsi="Times New Roman" w:cs="Times New Roman"/>
          <w:sz w:val="24"/>
          <w:szCs w:val="24"/>
        </w:rPr>
        <w:t xml:space="preserve">data collection, data processing, </w:t>
      </w:r>
      <w:r w:rsidR="00131D3B" w:rsidRPr="00131D3B">
        <w:rPr>
          <w:rFonts w:ascii="Times New Roman" w:eastAsia="Times New Roman" w:hAnsi="Times New Roman" w:cs="Times New Roman"/>
          <w:sz w:val="24"/>
          <w:szCs w:val="24"/>
        </w:rPr>
        <w:t>support staff</w:t>
      </w:r>
      <w:r w:rsidR="00131D3B">
        <w:rPr>
          <w:rFonts w:ascii="Times New Roman" w:eastAsia="Times New Roman" w:hAnsi="Times New Roman" w:cs="Times New Roman"/>
          <w:sz w:val="24"/>
          <w:szCs w:val="24"/>
        </w:rPr>
        <w:t xml:space="preserve"> and overhead</w:t>
      </w:r>
      <w:r w:rsidRPr="00133F31">
        <w:rPr>
          <w:rFonts w:ascii="Times New Roman" w:eastAsia="Times New Roman" w:hAnsi="Times New Roman" w:cs="Times New Roman"/>
          <w:sz w:val="24"/>
          <w:szCs w:val="24"/>
        </w:rPr>
        <w:t xml:space="preserve"> is included in the total annual cost of the BR, which is estimated to be $11.1 million for fiscal year 201</w:t>
      </w:r>
      <w:r w:rsidR="00EA2AA9">
        <w:rPr>
          <w:rFonts w:ascii="Times New Roman" w:eastAsia="Times New Roman" w:hAnsi="Times New Roman" w:cs="Times New Roman"/>
          <w:sz w:val="24"/>
          <w:szCs w:val="24"/>
        </w:rPr>
        <w:t>7.  We expect this cost will remain relatively constant for 2018 and 2019.</w:t>
      </w:r>
    </w:p>
    <w:p w14:paraId="62B6CFEF"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w:t>
      </w:r>
    </w:p>
    <w:p w14:paraId="1A53F38C" w14:textId="46C6A7B3"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15.</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Reason for Change in Burden</w:t>
      </w:r>
    </w:p>
    <w:p w14:paraId="21B2EEAB"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sz w:val="24"/>
          <w:szCs w:val="24"/>
        </w:rPr>
      </w:pPr>
    </w:p>
    <w:p w14:paraId="687AE16C" w14:textId="77777777" w:rsidR="00133F31" w:rsidRPr="00133F31" w:rsidRDefault="00133F31" w:rsidP="00133F31">
      <w:pPr>
        <w:spacing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We are requesting 23,064 fewer burden hours than are currently approved.  This decrease is due to the fact that the</w:t>
      </w:r>
      <w:r w:rsidRPr="00133F31">
        <w:rPr>
          <w:rFonts w:ascii="Times New Roman" w:eastAsia="Times New Roman" w:hAnsi="Times New Roman" w:cs="Times New Roman"/>
          <w:color w:val="FF0000"/>
          <w:sz w:val="24"/>
          <w:szCs w:val="24"/>
        </w:rPr>
        <w:t xml:space="preserve"> </w:t>
      </w:r>
      <w:r w:rsidRPr="00133F31">
        <w:rPr>
          <w:rFonts w:ascii="Times New Roman" w:eastAsia="Times New Roman" w:hAnsi="Times New Roman" w:cs="Times New Roman"/>
          <w:sz w:val="24"/>
          <w:szCs w:val="24"/>
        </w:rPr>
        <w:t>burden of the collection will be reduced in the next year because of the coordination of this collection with the 2017 Economic Census (explained earlier in this document) and then will rise to its normal amount in the subsequent two years.  The burden we are requesting is an average over the next three years.</w:t>
      </w:r>
    </w:p>
    <w:p w14:paraId="4D26DB21"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bCs/>
          <w:sz w:val="24"/>
          <w:szCs w:val="24"/>
        </w:rPr>
      </w:pPr>
    </w:p>
    <w:p w14:paraId="66B1543B" w14:textId="7B0B7CEC"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FF0000"/>
          <w:sz w:val="24"/>
          <w:szCs w:val="24"/>
        </w:rPr>
      </w:pPr>
      <w:r w:rsidRPr="00133F31">
        <w:rPr>
          <w:rFonts w:ascii="Times New Roman" w:eastAsia="Times New Roman" w:hAnsi="Times New Roman" w:cs="Times New Roman"/>
          <w:sz w:val="24"/>
          <w:szCs w:val="24"/>
        </w:rPr>
        <w:tab/>
        <w:t xml:space="preserve">   16.</w:t>
      </w:r>
      <w:r w:rsidRPr="00133F31">
        <w:rPr>
          <w:rFonts w:ascii="Times New Roman" w:eastAsia="Times New Roman" w:hAnsi="Times New Roman" w:cs="Times New Roman"/>
          <w:sz w:val="24"/>
          <w:szCs w:val="24"/>
        </w:rPr>
        <w:tab/>
      </w:r>
      <w:r w:rsidR="005053BA">
        <w:rPr>
          <w:rFonts w:ascii="Times New Roman" w:eastAsia="Times New Roman" w:hAnsi="Times New Roman" w:cs="Times New Roman"/>
          <w:sz w:val="24"/>
          <w:szCs w:val="24"/>
          <w:u w:val="single"/>
        </w:rPr>
        <w:t>Project Schedule</w:t>
      </w:r>
    </w:p>
    <w:p w14:paraId="3BF95412"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671AFAF2" w14:textId="534C6140" w:rsidR="00133F31" w:rsidRPr="00476B67"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476B67">
        <w:rPr>
          <w:rFonts w:ascii="Times New Roman" w:eastAsia="Times New Roman" w:hAnsi="Times New Roman" w:cs="Times New Roman"/>
          <w:sz w:val="24"/>
          <w:szCs w:val="24"/>
        </w:rPr>
        <w:t xml:space="preserve">The Census Bureau will open reporting for the 2017 </w:t>
      </w:r>
      <w:r w:rsidR="00782F8A" w:rsidRPr="00476B67">
        <w:rPr>
          <w:rFonts w:ascii="Times New Roman" w:eastAsia="Times New Roman" w:hAnsi="Times New Roman" w:cs="Times New Roman"/>
          <w:sz w:val="24"/>
          <w:szCs w:val="24"/>
        </w:rPr>
        <w:t>Report of Organization</w:t>
      </w:r>
      <w:r w:rsidRPr="00476B67">
        <w:rPr>
          <w:rFonts w:ascii="Times New Roman" w:eastAsia="Times New Roman" w:hAnsi="Times New Roman" w:cs="Times New Roman"/>
          <w:sz w:val="24"/>
          <w:szCs w:val="24"/>
        </w:rPr>
        <w:t xml:space="preserve"> in e</w:t>
      </w:r>
      <w:r w:rsidR="002648CB" w:rsidRPr="00476B67">
        <w:rPr>
          <w:rFonts w:ascii="Times New Roman" w:eastAsia="Times New Roman" w:hAnsi="Times New Roman" w:cs="Times New Roman"/>
          <w:sz w:val="24"/>
          <w:szCs w:val="24"/>
        </w:rPr>
        <w:t>arly</w:t>
      </w:r>
      <w:r w:rsidRPr="00476B67">
        <w:rPr>
          <w:rFonts w:ascii="Times New Roman" w:eastAsia="Times New Roman" w:hAnsi="Times New Roman" w:cs="Times New Roman"/>
          <w:sz w:val="24"/>
          <w:szCs w:val="24"/>
        </w:rPr>
        <w:t xml:space="preserve"> </w:t>
      </w:r>
      <w:r w:rsidR="002648CB" w:rsidRPr="00476B67">
        <w:rPr>
          <w:rFonts w:ascii="Times New Roman" w:eastAsia="Times New Roman" w:hAnsi="Times New Roman" w:cs="Times New Roman"/>
          <w:sz w:val="24"/>
          <w:szCs w:val="24"/>
        </w:rPr>
        <w:t>May</w:t>
      </w:r>
      <w:r w:rsidRPr="00476B67">
        <w:rPr>
          <w:rFonts w:ascii="Times New Roman" w:eastAsia="Times New Roman" w:hAnsi="Times New Roman" w:cs="Times New Roman"/>
          <w:sz w:val="24"/>
          <w:szCs w:val="24"/>
        </w:rPr>
        <w:t xml:space="preserve"> 2018</w:t>
      </w:r>
      <w:r w:rsidR="00BC51C3" w:rsidRPr="00476B67">
        <w:rPr>
          <w:rFonts w:ascii="Times New Roman" w:eastAsia="Times New Roman" w:hAnsi="Times New Roman" w:cs="Times New Roman"/>
          <w:sz w:val="24"/>
          <w:szCs w:val="24"/>
        </w:rPr>
        <w:t xml:space="preserve"> </w:t>
      </w:r>
      <w:r w:rsidRPr="00476B67">
        <w:rPr>
          <w:rFonts w:ascii="Times New Roman" w:eastAsia="Times New Roman" w:hAnsi="Times New Roman" w:cs="Times New Roman"/>
          <w:sz w:val="24"/>
          <w:szCs w:val="24"/>
        </w:rPr>
        <w:t xml:space="preserve">with a due date </w:t>
      </w:r>
      <w:r w:rsidR="00BC51C3" w:rsidRPr="00476B67">
        <w:rPr>
          <w:rFonts w:ascii="Times New Roman" w:eastAsia="Times New Roman" w:hAnsi="Times New Roman" w:cs="Times New Roman"/>
          <w:sz w:val="24"/>
          <w:szCs w:val="24"/>
        </w:rPr>
        <w:t>in mid-June 2018</w:t>
      </w:r>
      <w:r w:rsidRPr="00476B67">
        <w:rPr>
          <w:rFonts w:ascii="Times New Roman" w:eastAsia="Times New Roman" w:hAnsi="Times New Roman" w:cs="Times New Roman"/>
          <w:sz w:val="24"/>
          <w:szCs w:val="24"/>
        </w:rPr>
        <w:t>.</w:t>
      </w:r>
      <w:r w:rsidRPr="00476B67">
        <w:rPr>
          <w:sz w:val="16"/>
          <w:szCs w:val="16"/>
        </w:rPr>
        <w:t xml:space="preserve"> </w:t>
      </w:r>
      <w:r w:rsidRPr="00476B67">
        <w:rPr>
          <w:rFonts w:ascii="Times New Roman" w:eastAsia="Times New Roman" w:hAnsi="Times New Roman" w:cs="Times New Roman"/>
          <w:sz w:val="24"/>
          <w:szCs w:val="24"/>
        </w:rPr>
        <w:t xml:space="preserve"> Mail follow-ups to nonrespondents will begin after the initial mailout.  These efforts, supplemented by telephone follow-ups to selected nonrespondents, will go on through mid-</w:t>
      </w:r>
      <w:r w:rsidR="00C3217D" w:rsidRPr="00476B67">
        <w:rPr>
          <w:rFonts w:ascii="Times New Roman" w:eastAsia="Times New Roman" w:hAnsi="Times New Roman" w:cs="Times New Roman"/>
          <w:sz w:val="24"/>
          <w:szCs w:val="24"/>
        </w:rPr>
        <w:t>January 2019</w:t>
      </w:r>
      <w:r w:rsidRPr="00476B67">
        <w:rPr>
          <w:rFonts w:ascii="Times New Roman" w:eastAsia="Times New Roman" w:hAnsi="Times New Roman" w:cs="Times New Roman"/>
          <w:sz w:val="24"/>
          <w:szCs w:val="24"/>
        </w:rPr>
        <w:t xml:space="preserve">.  We will check in responses until close-out for the data collection operations in </w:t>
      </w:r>
      <w:r w:rsidR="00C3217D" w:rsidRPr="00476B67">
        <w:rPr>
          <w:rFonts w:ascii="Times New Roman" w:eastAsia="Times New Roman" w:hAnsi="Times New Roman" w:cs="Times New Roman"/>
          <w:sz w:val="24"/>
          <w:szCs w:val="24"/>
        </w:rPr>
        <w:t>February</w:t>
      </w:r>
      <w:r w:rsidRPr="00476B67">
        <w:rPr>
          <w:rFonts w:ascii="Times New Roman" w:eastAsia="Times New Roman" w:hAnsi="Times New Roman" w:cs="Times New Roman"/>
          <w:sz w:val="24"/>
          <w:szCs w:val="24"/>
        </w:rPr>
        <w:t xml:space="preserve"> of the year </w:t>
      </w:r>
      <w:r w:rsidR="006A16BB" w:rsidRPr="00476B67">
        <w:rPr>
          <w:rFonts w:ascii="Times New Roman" w:eastAsia="Times New Roman" w:hAnsi="Times New Roman" w:cs="Times New Roman"/>
          <w:sz w:val="24"/>
          <w:szCs w:val="24"/>
        </w:rPr>
        <w:t xml:space="preserve">after </w:t>
      </w:r>
      <w:r w:rsidRPr="00476B67">
        <w:rPr>
          <w:rFonts w:ascii="Times New Roman" w:eastAsia="Times New Roman" w:hAnsi="Times New Roman" w:cs="Times New Roman"/>
          <w:sz w:val="24"/>
          <w:szCs w:val="24"/>
        </w:rPr>
        <w:t xml:space="preserve">the survey is mailed and perform data entry for responses until the close-out for data collection operations in late </w:t>
      </w:r>
      <w:r w:rsidR="00C3217D" w:rsidRPr="00476B67">
        <w:rPr>
          <w:rFonts w:ascii="Times New Roman" w:eastAsia="Times New Roman" w:hAnsi="Times New Roman" w:cs="Times New Roman"/>
          <w:sz w:val="24"/>
          <w:szCs w:val="24"/>
        </w:rPr>
        <w:t>February</w:t>
      </w:r>
      <w:r w:rsidRPr="00476B67">
        <w:rPr>
          <w:rFonts w:ascii="Times New Roman" w:eastAsia="Times New Roman" w:hAnsi="Times New Roman" w:cs="Times New Roman"/>
          <w:sz w:val="24"/>
          <w:szCs w:val="24"/>
        </w:rPr>
        <w:t xml:space="preserve"> of the subsequent year.  Information collected will be included in the BR by </w:t>
      </w:r>
      <w:r w:rsidR="006A16BB" w:rsidRPr="00476B67">
        <w:rPr>
          <w:rFonts w:ascii="Times New Roman" w:eastAsia="Times New Roman" w:hAnsi="Times New Roman" w:cs="Times New Roman"/>
          <w:sz w:val="24"/>
          <w:szCs w:val="24"/>
        </w:rPr>
        <w:t>March</w:t>
      </w:r>
      <w:r w:rsidRPr="00476B67">
        <w:rPr>
          <w:rFonts w:ascii="Times New Roman" w:eastAsia="Times New Roman" w:hAnsi="Times New Roman" w:cs="Times New Roman"/>
          <w:sz w:val="24"/>
          <w:szCs w:val="24"/>
        </w:rPr>
        <w:t>.</w:t>
      </w:r>
    </w:p>
    <w:p w14:paraId="343BC492" w14:textId="1F1865DC" w:rsidR="0062438A" w:rsidRPr="00476B67" w:rsidRDefault="0062438A"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0608755A" w14:textId="249DE12A" w:rsidR="0062438A" w:rsidRPr="00766A1D" w:rsidRDefault="0062438A"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color w:val="FF0000"/>
          <w:sz w:val="24"/>
          <w:szCs w:val="24"/>
        </w:rPr>
      </w:pPr>
      <w:r w:rsidRPr="00476B67">
        <w:rPr>
          <w:rFonts w:ascii="Times New Roman" w:eastAsia="Times New Roman" w:hAnsi="Times New Roman" w:cs="Times New Roman"/>
          <w:sz w:val="24"/>
          <w:szCs w:val="24"/>
        </w:rPr>
        <w:t xml:space="preserve">The 2018 and 2019 Report of Organization will follow the schedule </w:t>
      </w:r>
      <w:r w:rsidR="00F4398B" w:rsidRPr="00476B67">
        <w:rPr>
          <w:rFonts w:ascii="Times New Roman" w:eastAsia="Times New Roman" w:hAnsi="Times New Roman" w:cs="Times New Roman"/>
          <w:sz w:val="24"/>
          <w:szCs w:val="24"/>
        </w:rPr>
        <w:t xml:space="preserve">outlined </w:t>
      </w:r>
      <w:r w:rsidRPr="00476B67">
        <w:rPr>
          <w:rFonts w:ascii="Times New Roman" w:eastAsia="Times New Roman" w:hAnsi="Times New Roman" w:cs="Times New Roman"/>
          <w:sz w:val="24"/>
          <w:szCs w:val="24"/>
        </w:rPr>
        <w:t>above</w:t>
      </w:r>
      <w:r w:rsidR="00F4398B" w:rsidRPr="00476B67">
        <w:rPr>
          <w:rFonts w:ascii="Times New Roman" w:eastAsia="Times New Roman" w:hAnsi="Times New Roman" w:cs="Times New Roman"/>
          <w:sz w:val="24"/>
          <w:szCs w:val="24"/>
        </w:rPr>
        <w:t xml:space="preserve"> but</w:t>
      </w:r>
      <w:r w:rsidRPr="00476B67">
        <w:rPr>
          <w:rFonts w:ascii="Times New Roman" w:eastAsia="Times New Roman" w:hAnsi="Times New Roman" w:cs="Times New Roman"/>
          <w:sz w:val="24"/>
          <w:szCs w:val="24"/>
        </w:rPr>
        <w:t xml:space="preserve"> the due dates will be thirty days after receipt of the survey notification letter</w:t>
      </w:r>
      <w:r w:rsidR="00F4398B" w:rsidRPr="00476B67">
        <w:rPr>
          <w:rFonts w:ascii="Times New Roman" w:eastAsia="Times New Roman" w:hAnsi="Times New Roman" w:cs="Times New Roman"/>
          <w:sz w:val="24"/>
          <w:szCs w:val="24"/>
        </w:rPr>
        <w:t>.</w:t>
      </w:r>
    </w:p>
    <w:p w14:paraId="111A0FE7"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w:t>
      </w:r>
    </w:p>
    <w:p w14:paraId="2FE0B94E"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99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17.</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Request to Not Display Expiration Date</w:t>
      </w:r>
    </w:p>
    <w:p w14:paraId="5B31BB81"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1DF3195C" w14:textId="77777777" w:rsidR="00133F31" w:rsidRPr="00133F31" w:rsidRDefault="00133F31" w:rsidP="00133F31">
      <w:pPr>
        <w:numPr>
          <w:ilvl w:val="12"/>
          <w:numId w:val="0"/>
        </w:numPr>
        <w:tabs>
          <w:tab w:val="left" w:pos="-2563"/>
          <w:tab w:val="left" w:pos="-2160"/>
          <w:tab w:val="left" w:pos="-1440"/>
          <w:tab w:val="left" w:pos="-990"/>
          <w:tab w:val="left" w:pos="-63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rPr>
        <w:tab/>
        <w:t>The assigned expiration date will be displayed on all electronic reporting instruments used in this information collection.</w:t>
      </w:r>
    </w:p>
    <w:p w14:paraId="12209B91"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50"/>
        <w:rPr>
          <w:rFonts w:ascii="Times New Roman" w:eastAsia="Times New Roman" w:hAnsi="Times New Roman" w:cs="Times New Roman"/>
          <w:sz w:val="24"/>
          <w:szCs w:val="24"/>
        </w:rPr>
      </w:pPr>
    </w:p>
    <w:p w14:paraId="07FCC58C" w14:textId="77777777" w:rsidR="00133F31" w:rsidRPr="00133F31" w:rsidRDefault="00133F31" w:rsidP="00133F31">
      <w:pPr>
        <w:numPr>
          <w:ilvl w:val="12"/>
          <w:numId w:val="0"/>
        </w:numPr>
        <w:tabs>
          <w:tab w:val="left" w:pos="-1123"/>
          <w:tab w:val="left" w:pos="-720"/>
          <w:tab w:val="left" w:pos="450"/>
          <w:tab w:val="left" w:pos="72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27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18.</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Exceptions to Certification</w:t>
      </w:r>
    </w:p>
    <w:p w14:paraId="0733445C"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54D22F40" w14:textId="77777777" w:rsidR="00133F31" w:rsidRPr="00133F31" w:rsidRDefault="00133F31" w:rsidP="00133F31">
      <w:pPr>
        <w:numPr>
          <w:ilvl w:val="12"/>
          <w:numId w:val="0"/>
        </w:numPr>
        <w:tabs>
          <w:tab w:val="left" w:pos="-1123"/>
          <w:tab w:val="left" w:pos="-720"/>
          <w:tab w:val="left" w:pos="0"/>
          <w:tab w:val="left" w:pos="450"/>
          <w:tab w:val="left" w:pos="72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There are no exceptions.</w:t>
      </w:r>
    </w:p>
    <w:p w14:paraId="1E6B7C13"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p>
    <w:p w14:paraId="1D9D4ACF" w14:textId="77777777" w:rsidR="004F6610" w:rsidRDefault="004F66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C83A5DE" w14:textId="50F3374C" w:rsidR="00133F31" w:rsidRPr="00133F31" w:rsidRDefault="00133F31" w:rsidP="00133F31">
      <w:pPr>
        <w:numPr>
          <w:ilvl w:val="12"/>
          <w:numId w:val="0"/>
        </w:numPr>
        <w:tabs>
          <w:tab w:val="left" w:pos="-1123"/>
          <w:tab w:val="left" w:pos="-720"/>
          <w:tab w:val="left" w:pos="0"/>
          <w:tab w:val="left" w:pos="450"/>
          <w:tab w:val="left" w:pos="540"/>
          <w:tab w:val="left" w:pos="720"/>
          <w:tab w:val="left" w:pos="81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45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    19.</w:t>
      </w:r>
      <w:r w:rsidRPr="00133F31">
        <w:rPr>
          <w:rFonts w:ascii="Times New Roman" w:eastAsia="Times New Roman" w:hAnsi="Times New Roman" w:cs="Times New Roman"/>
          <w:sz w:val="24"/>
          <w:szCs w:val="24"/>
        </w:rPr>
        <w:tab/>
      </w:r>
      <w:r w:rsidRPr="00133F31">
        <w:rPr>
          <w:rFonts w:ascii="Times New Roman" w:eastAsia="Times New Roman" w:hAnsi="Times New Roman" w:cs="Times New Roman"/>
          <w:sz w:val="24"/>
          <w:szCs w:val="24"/>
          <w:u w:val="single"/>
        </w:rPr>
        <w:t>Industry Codes Affected</w:t>
      </w:r>
    </w:p>
    <w:p w14:paraId="017EFBA3" w14:textId="77777777" w:rsidR="00133F31" w:rsidRPr="00133F31" w:rsidRDefault="00133F31" w:rsidP="00133F31">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Times New Roman" w:eastAsia="Times New Roman" w:hAnsi="Times New Roman" w:cs="Times New Roman"/>
          <w:sz w:val="24"/>
          <w:szCs w:val="24"/>
        </w:rPr>
      </w:pPr>
    </w:p>
    <w:p w14:paraId="03A6FA0D" w14:textId="0045A3F4" w:rsidR="004E49BC" w:rsidRPr="002B6BCB" w:rsidRDefault="00133F31" w:rsidP="002B6BCB">
      <w:pPr>
        <w:numPr>
          <w:ilvl w:val="12"/>
          <w:numId w:val="0"/>
        </w:numPr>
        <w:tabs>
          <w:tab w:val="left" w:pos="-1123"/>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Times New Roman" w:eastAsia="Times New Roman" w:hAnsi="Times New Roman" w:cs="Times New Roman"/>
          <w:sz w:val="24"/>
          <w:szCs w:val="24"/>
        </w:rPr>
      </w:pPr>
      <w:r w:rsidRPr="00133F31">
        <w:rPr>
          <w:rFonts w:ascii="Times New Roman" w:eastAsia="Times New Roman" w:hAnsi="Times New Roman" w:cs="Times New Roman"/>
          <w:sz w:val="24"/>
          <w:szCs w:val="24"/>
        </w:rPr>
        <w:t xml:space="preserve">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covers all industry activities except postal service (NAICS 491), private households (NAICS 814), and public administration (NAICS 92); further, the </w:t>
      </w:r>
      <w:r w:rsidR="00782F8A">
        <w:rPr>
          <w:rFonts w:ascii="Times New Roman" w:eastAsia="Times New Roman" w:hAnsi="Times New Roman" w:cs="Times New Roman"/>
          <w:sz w:val="24"/>
          <w:szCs w:val="24"/>
        </w:rPr>
        <w:t>Report of Organization</w:t>
      </w:r>
      <w:r w:rsidRPr="00133F31">
        <w:rPr>
          <w:rFonts w:ascii="Times New Roman" w:eastAsia="Times New Roman" w:hAnsi="Times New Roman" w:cs="Times New Roman"/>
          <w:sz w:val="24"/>
          <w:szCs w:val="24"/>
        </w:rPr>
        <w:t xml:space="preserve"> excludes companies engaged exclusively in agriculture production (NAICS 111, 112) or rail transportation (NAICS 482).</w:t>
      </w:r>
    </w:p>
    <w:sectPr w:rsidR="004E49BC" w:rsidRPr="002B6BCB">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1FDB0" w14:textId="77777777" w:rsidR="005A5298" w:rsidRDefault="005A5298">
      <w:pPr>
        <w:spacing w:after="0" w:line="240" w:lineRule="auto"/>
      </w:pPr>
      <w:r>
        <w:separator/>
      </w:r>
    </w:p>
  </w:endnote>
  <w:endnote w:type="continuationSeparator" w:id="0">
    <w:p w14:paraId="3ECF13C6" w14:textId="77777777" w:rsidR="005A5298" w:rsidRDefault="005A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CE49A" w14:textId="77777777" w:rsidR="005A5298" w:rsidRDefault="005A5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8765B" w14:textId="63F480E0" w:rsidR="005A5298" w:rsidRDefault="005A5298">
    <w:pPr>
      <w:pStyle w:val="Footer"/>
      <w:jc w:val="center"/>
    </w:pPr>
    <w:r>
      <w:fldChar w:fldCharType="begin"/>
    </w:r>
    <w:r>
      <w:instrText xml:space="preserve"> PAGE   \* MERGEFORMAT </w:instrText>
    </w:r>
    <w:r>
      <w:fldChar w:fldCharType="separate"/>
    </w:r>
    <w:r w:rsidR="00D81A6B">
      <w:rPr>
        <w:noProof/>
      </w:rPr>
      <w:t>1</w:t>
    </w:r>
    <w:r>
      <w:rPr>
        <w:noProof/>
      </w:rPr>
      <w:fldChar w:fldCharType="end"/>
    </w:r>
  </w:p>
  <w:p w14:paraId="6BC16203" w14:textId="77777777" w:rsidR="005A5298" w:rsidRDefault="005A5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445D" w14:textId="77777777" w:rsidR="005A5298" w:rsidRDefault="005A5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F8941" w14:textId="77777777" w:rsidR="005A5298" w:rsidRDefault="005A5298">
      <w:pPr>
        <w:spacing w:after="0" w:line="240" w:lineRule="auto"/>
      </w:pPr>
      <w:r>
        <w:separator/>
      </w:r>
    </w:p>
  </w:footnote>
  <w:footnote w:type="continuationSeparator" w:id="0">
    <w:p w14:paraId="45DECD7A" w14:textId="77777777" w:rsidR="005A5298" w:rsidRDefault="005A5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8BEE" w14:textId="77777777" w:rsidR="005A5298" w:rsidRDefault="005A52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D8F8E" w14:textId="77777777" w:rsidR="005A5298" w:rsidRDefault="005A52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0525" w14:textId="77777777" w:rsidR="005A5298" w:rsidRDefault="005A52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624E1"/>
    <w:multiLevelType w:val="hybridMultilevel"/>
    <w:tmpl w:val="07EA1D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4D14F90"/>
    <w:multiLevelType w:val="hybridMultilevel"/>
    <w:tmpl w:val="325A2D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6AFB5F4E"/>
    <w:multiLevelType w:val="hybridMultilevel"/>
    <w:tmpl w:val="10C01C28"/>
    <w:lvl w:ilvl="0" w:tplc="A9244EF2">
      <w:start w:val="9"/>
      <w:numFmt w:val="decimal"/>
      <w:lvlText w:val="%1."/>
      <w:lvlJc w:val="left"/>
      <w:pPr>
        <w:tabs>
          <w:tab w:val="num" w:pos="1440"/>
        </w:tabs>
        <w:ind w:left="1440" w:hanging="504"/>
      </w:pPr>
      <w:rPr>
        <w:rFonts w:hint="default"/>
        <w:u w:val="none"/>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31"/>
    <w:rsid w:val="00014EC9"/>
    <w:rsid w:val="00025E7B"/>
    <w:rsid w:val="000413B7"/>
    <w:rsid w:val="0005710D"/>
    <w:rsid w:val="00064FC9"/>
    <w:rsid w:val="000C6B97"/>
    <w:rsid w:val="000D6F87"/>
    <w:rsid w:val="00123CD4"/>
    <w:rsid w:val="00131D3B"/>
    <w:rsid w:val="00133F31"/>
    <w:rsid w:val="0013531B"/>
    <w:rsid w:val="001371D3"/>
    <w:rsid w:val="00163FDC"/>
    <w:rsid w:val="0018372D"/>
    <w:rsid w:val="001924F7"/>
    <w:rsid w:val="001B655F"/>
    <w:rsid w:val="00203C44"/>
    <w:rsid w:val="002648CB"/>
    <w:rsid w:val="00264C3B"/>
    <w:rsid w:val="00291FBA"/>
    <w:rsid w:val="002B6BCB"/>
    <w:rsid w:val="00324C67"/>
    <w:rsid w:val="003413CE"/>
    <w:rsid w:val="00344161"/>
    <w:rsid w:val="0035773D"/>
    <w:rsid w:val="00360B67"/>
    <w:rsid w:val="003717C3"/>
    <w:rsid w:val="003B2554"/>
    <w:rsid w:val="003D3057"/>
    <w:rsid w:val="003E7F40"/>
    <w:rsid w:val="003F121B"/>
    <w:rsid w:val="00400C16"/>
    <w:rsid w:val="00437937"/>
    <w:rsid w:val="004447F4"/>
    <w:rsid w:val="00452260"/>
    <w:rsid w:val="00476B67"/>
    <w:rsid w:val="004A1EE0"/>
    <w:rsid w:val="004B7320"/>
    <w:rsid w:val="004E49BC"/>
    <w:rsid w:val="004F6610"/>
    <w:rsid w:val="00502123"/>
    <w:rsid w:val="005053BA"/>
    <w:rsid w:val="005452FF"/>
    <w:rsid w:val="00560311"/>
    <w:rsid w:val="005736E9"/>
    <w:rsid w:val="0058157C"/>
    <w:rsid w:val="005A5298"/>
    <w:rsid w:val="005D55FC"/>
    <w:rsid w:val="00612386"/>
    <w:rsid w:val="0062438A"/>
    <w:rsid w:val="006626D7"/>
    <w:rsid w:val="006755DD"/>
    <w:rsid w:val="00682DDB"/>
    <w:rsid w:val="0069005C"/>
    <w:rsid w:val="006A16BB"/>
    <w:rsid w:val="006A1E60"/>
    <w:rsid w:val="006A354E"/>
    <w:rsid w:val="006E1D0B"/>
    <w:rsid w:val="006F111E"/>
    <w:rsid w:val="006F38BA"/>
    <w:rsid w:val="00713178"/>
    <w:rsid w:val="00766A1D"/>
    <w:rsid w:val="00782F8A"/>
    <w:rsid w:val="0078584E"/>
    <w:rsid w:val="00813171"/>
    <w:rsid w:val="0081543A"/>
    <w:rsid w:val="00821207"/>
    <w:rsid w:val="00844BF1"/>
    <w:rsid w:val="008458AF"/>
    <w:rsid w:val="00860204"/>
    <w:rsid w:val="008D1E19"/>
    <w:rsid w:val="008F6039"/>
    <w:rsid w:val="00956AE2"/>
    <w:rsid w:val="009617FA"/>
    <w:rsid w:val="00976A1B"/>
    <w:rsid w:val="009C3808"/>
    <w:rsid w:val="009E7B06"/>
    <w:rsid w:val="00A949C7"/>
    <w:rsid w:val="00B429E3"/>
    <w:rsid w:val="00B54D51"/>
    <w:rsid w:val="00B679F9"/>
    <w:rsid w:val="00BB765E"/>
    <w:rsid w:val="00BC51C3"/>
    <w:rsid w:val="00BC74AC"/>
    <w:rsid w:val="00BF5594"/>
    <w:rsid w:val="00C3217D"/>
    <w:rsid w:val="00C433EB"/>
    <w:rsid w:val="00CA1587"/>
    <w:rsid w:val="00CC371F"/>
    <w:rsid w:val="00CC45AA"/>
    <w:rsid w:val="00CD14E4"/>
    <w:rsid w:val="00CE039D"/>
    <w:rsid w:val="00CF3242"/>
    <w:rsid w:val="00D4225A"/>
    <w:rsid w:val="00D5430F"/>
    <w:rsid w:val="00D6060D"/>
    <w:rsid w:val="00D72C54"/>
    <w:rsid w:val="00D81A6B"/>
    <w:rsid w:val="00DA1A98"/>
    <w:rsid w:val="00DD6C04"/>
    <w:rsid w:val="00E64E35"/>
    <w:rsid w:val="00E83606"/>
    <w:rsid w:val="00EA2AA9"/>
    <w:rsid w:val="00ED1270"/>
    <w:rsid w:val="00EE64A3"/>
    <w:rsid w:val="00F00E8E"/>
    <w:rsid w:val="00F01141"/>
    <w:rsid w:val="00F06FEA"/>
    <w:rsid w:val="00F15DE8"/>
    <w:rsid w:val="00F4398B"/>
    <w:rsid w:val="00F55C53"/>
    <w:rsid w:val="00F66292"/>
    <w:rsid w:val="00F75131"/>
    <w:rsid w:val="00FB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F31"/>
  </w:style>
  <w:style w:type="paragraph" w:styleId="Footer">
    <w:name w:val="footer"/>
    <w:basedOn w:val="Normal"/>
    <w:link w:val="FooterChar"/>
    <w:uiPriority w:val="99"/>
    <w:semiHidden/>
    <w:unhideWhenUsed/>
    <w:rsid w:val="00133F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F31"/>
  </w:style>
  <w:style w:type="character" w:styleId="CommentReference">
    <w:name w:val="annotation reference"/>
    <w:basedOn w:val="DefaultParagraphFont"/>
    <w:uiPriority w:val="99"/>
    <w:semiHidden/>
    <w:unhideWhenUsed/>
    <w:rsid w:val="00133F31"/>
    <w:rPr>
      <w:sz w:val="16"/>
      <w:szCs w:val="16"/>
    </w:rPr>
  </w:style>
  <w:style w:type="paragraph" w:styleId="CommentText">
    <w:name w:val="annotation text"/>
    <w:basedOn w:val="Normal"/>
    <w:link w:val="CommentTextChar"/>
    <w:uiPriority w:val="99"/>
    <w:unhideWhenUsed/>
    <w:rsid w:val="00133F31"/>
    <w:pPr>
      <w:spacing w:line="240" w:lineRule="auto"/>
    </w:pPr>
    <w:rPr>
      <w:sz w:val="20"/>
      <w:szCs w:val="20"/>
    </w:rPr>
  </w:style>
  <w:style w:type="character" w:customStyle="1" w:styleId="CommentTextChar">
    <w:name w:val="Comment Text Char"/>
    <w:basedOn w:val="DefaultParagraphFont"/>
    <w:link w:val="CommentText"/>
    <w:uiPriority w:val="99"/>
    <w:rsid w:val="00133F31"/>
    <w:rPr>
      <w:sz w:val="20"/>
      <w:szCs w:val="20"/>
    </w:rPr>
  </w:style>
  <w:style w:type="paragraph" w:styleId="NoSpacing">
    <w:name w:val="No Spacing"/>
    <w:uiPriority w:val="1"/>
    <w:qFormat/>
    <w:rsid w:val="006F38BA"/>
    <w:pPr>
      <w:spacing w:after="0" w:line="240" w:lineRule="auto"/>
    </w:pPr>
  </w:style>
  <w:style w:type="paragraph" w:styleId="BalloonText">
    <w:name w:val="Balloon Text"/>
    <w:basedOn w:val="Normal"/>
    <w:link w:val="BalloonTextChar"/>
    <w:uiPriority w:val="99"/>
    <w:semiHidden/>
    <w:unhideWhenUsed/>
    <w:rsid w:val="0067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DD"/>
    <w:rPr>
      <w:rFonts w:ascii="Segoe UI" w:hAnsi="Segoe UI" w:cs="Segoe UI"/>
      <w:sz w:val="18"/>
      <w:szCs w:val="18"/>
    </w:rPr>
  </w:style>
  <w:style w:type="paragraph" w:styleId="Revision">
    <w:name w:val="Revision"/>
    <w:hidden/>
    <w:uiPriority w:val="99"/>
    <w:semiHidden/>
    <w:rsid w:val="00452260"/>
    <w:pPr>
      <w:spacing w:after="0" w:line="240" w:lineRule="auto"/>
    </w:pPr>
  </w:style>
  <w:style w:type="paragraph" w:styleId="BodyTextIndent2">
    <w:name w:val="Body Text Indent 2"/>
    <w:basedOn w:val="Normal"/>
    <w:link w:val="BodyTextIndent2Char"/>
    <w:semiHidden/>
    <w:rsid w:val="000D6F87"/>
    <w:pPr>
      <w:tabs>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s>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D6F8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C45AA"/>
    <w:rPr>
      <w:b/>
      <w:bCs/>
    </w:rPr>
  </w:style>
  <w:style w:type="character" w:customStyle="1" w:styleId="CommentSubjectChar">
    <w:name w:val="Comment Subject Char"/>
    <w:basedOn w:val="CommentTextChar"/>
    <w:link w:val="CommentSubject"/>
    <w:uiPriority w:val="99"/>
    <w:semiHidden/>
    <w:rsid w:val="00CC45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3F31"/>
  </w:style>
  <w:style w:type="paragraph" w:styleId="Footer">
    <w:name w:val="footer"/>
    <w:basedOn w:val="Normal"/>
    <w:link w:val="FooterChar"/>
    <w:uiPriority w:val="99"/>
    <w:semiHidden/>
    <w:unhideWhenUsed/>
    <w:rsid w:val="00133F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3F31"/>
  </w:style>
  <w:style w:type="character" w:styleId="CommentReference">
    <w:name w:val="annotation reference"/>
    <w:basedOn w:val="DefaultParagraphFont"/>
    <w:uiPriority w:val="99"/>
    <w:semiHidden/>
    <w:unhideWhenUsed/>
    <w:rsid w:val="00133F31"/>
    <w:rPr>
      <w:sz w:val="16"/>
      <w:szCs w:val="16"/>
    </w:rPr>
  </w:style>
  <w:style w:type="paragraph" w:styleId="CommentText">
    <w:name w:val="annotation text"/>
    <w:basedOn w:val="Normal"/>
    <w:link w:val="CommentTextChar"/>
    <w:uiPriority w:val="99"/>
    <w:unhideWhenUsed/>
    <w:rsid w:val="00133F31"/>
    <w:pPr>
      <w:spacing w:line="240" w:lineRule="auto"/>
    </w:pPr>
    <w:rPr>
      <w:sz w:val="20"/>
      <w:szCs w:val="20"/>
    </w:rPr>
  </w:style>
  <w:style w:type="character" w:customStyle="1" w:styleId="CommentTextChar">
    <w:name w:val="Comment Text Char"/>
    <w:basedOn w:val="DefaultParagraphFont"/>
    <w:link w:val="CommentText"/>
    <w:uiPriority w:val="99"/>
    <w:rsid w:val="00133F31"/>
    <w:rPr>
      <w:sz w:val="20"/>
      <w:szCs w:val="20"/>
    </w:rPr>
  </w:style>
  <w:style w:type="paragraph" w:styleId="NoSpacing">
    <w:name w:val="No Spacing"/>
    <w:uiPriority w:val="1"/>
    <w:qFormat/>
    <w:rsid w:val="006F38BA"/>
    <w:pPr>
      <w:spacing w:after="0" w:line="240" w:lineRule="auto"/>
    </w:pPr>
  </w:style>
  <w:style w:type="paragraph" w:styleId="BalloonText">
    <w:name w:val="Balloon Text"/>
    <w:basedOn w:val="Normal"/>
    <w:link w:val="BalloonTextChar"/>
    <w:uiPriority w:val="99"/>
    <w:semiHidden/>
    <w:unhideWhenUsed/>
    <w:rsid w:val="00675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5DD"/>
    <w:rPr>
      <w:rFonts w:ascii="Segoe UI" w:hAnsi="Segoe UI" w:cs="Segoe UI"/>
      <w:sz w:val="18"/>
      <w:szCs w:val="18"/>
    </w:rPr>
  </w:style>
  <w:style w:type="paragraph" w:styleId="Revision">
    <w:name w:val="Revision"/>
    <w:hidden/>
    <w:uiPriority w:val="99"/>
    <w:semiHidden/>
    <w:rsid w:val="00452260"/>
    <w:pPr>
      <w:spacing w:after="0" w:line="240" w:lineRule="auto"/>
    </w:pPr>
  </w:style>
  <w:style w:type="paragraph" w:styleId="BodyTextIndent2">
    <w:name w:val="Body Text Indent 2"/>
    <w:basedOn w:val="Normal"/>
    <w:link w:val="BodyTextIndent2Char"/>
    <w:semiHidden/>
    <w:rsid w:val="000D6F87"/>
    <w:pPr>
      <w:tabs>
        <w:tab w:val="left" w:pos="1440"/>
        <w:tab w:val="left" w:pos="2160"/>
        <w:tab w:val="left" w:pos="2880"/>
        <w:tab w:val="left" w:pos="3600"/>
        <w:tab w:val="left" w:pos="4320"/>
        <w:tab w:val="left" w:pos="5040"/>
        <w:tab w:val="left" w:pos="5760"/>
        <w:tab w:val="left" w:pos="6480"/>
        <w:tab w:val="left" w:pos="7200"/>
        <w:tab w:val="left" w:pos="7920"/>
        <w:tab w:val="left" w:pos="9000"/>
        <w:tab w:val="left" w:pos="9360"/>
      </w:tabs>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D6F8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C45AA"/>
    <w:rPr>
      <w:b/>
      <w:bCs/>
    </w:rPr>
  </w:style>
  <w:style w:type="character" w:customStyle="1" w:styleId="CommentSubjectChar">
    <w:name w:val="Comment Subject Char"/>
    <w:basedOn w:val="CommentTextChar"/>
    <w:link w:val="CommentSubject"/>
    <w:uiPriority w:val="99"/>
    <w:semiHidden/>
    <w:rsid w:val="00CC4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132011.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Elizabeth Green (CENSUS/ESMD FED)</dc:creator>
  <cp:keywords/>
  <dc:description/>
  <cp:lastModifiedBy>SYSTEM</cp:lastModifiedBy>
  <cp:revision>2</cp:revision>
  <dcterms:created xsi:type="dcterms:W3CDTF">2018-01-17T15:38:00Z</dcterms:created>
  <dcterms:modified xsi:type="dcterms:W3CDTF">2018-01-17T15:38:00Z</dcterms:modified>
</cp:coreProperties>
</file>