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E7BDF" w14:textId="763FF525" w:rsidR="00456515" w:rsidRPr="00726BE0" w:rsidRDefault="00456515" w:rsidP="00FC3EF4">
      <w:pPr>
        <w:pStyle w:val="Title"/>
      </w:pPr>
      <w:bookmarkStart w:id="0" w:name="_GoBack"/>
      <w:bookmarkEnd w:id="0"/>
      <w:r w:rsidRPr="00726BE0">
        <w:t xml:space="preserve">Supporting </w:t>
      </w:r>
      <w:r w:rsidR="00FC3EF4">
        <w:t>Statement</w:t>
      </w:r>
      <w:r w:rsidR="0016102B">
        <w:t xml:space="preserve"> A - Justification</w:t>
      </w:r>
    </w:p>
    <w:p w14:paraId="43B6BE55" w14:textId="77777777" w:rsidR="00FC3EF4" w:rsidRDefault="0016102B">
      <w:pPr>
        <w:jc w:val="center"/>
        <w:rPr>
          <w:u w:val="single"/>
        </w:rPr>
      </w:pPr>
      <w:r>
        <w:rPr>
          <w:u w:val="single"/>
        </w:rPr>
        <w:t>Longitudinal Employer-Household Dynamics</w:t>
      </w:r>
    </w:p>
    <w:p w14:paraId="6952E58A" w14:textId="0556BA80" w:rsidR="00456515" w:rsidRPr="00726BE0" w:rsidRDefault="00FC3EF4">
      <w:pPr>
        <w:jc w:val="center"/>
      </w:pPr>
      <w:r>
        <w:rPr>
          <w:u w:val="single"/>
        </w:rPr>
        <w:t>0607-XXXX</w:t>
      </w:r>
      <w:r w:rsidR="0016102B">
        <w:rPr>
          <w:u w:val="single"/>
        </w:rPr>
        <w:t xml:space="preserve"> </w:t>
      </w:r>
    </w:p>
    <w:p w14:paraId="2C3CBC92" w14:textId="77777777" w:rsidR="00456515" w:rsidRPr="00726BE0" w:rsidRDefault="00456515"/>
    <w:p w14:paraId="720C7820" w14:textId="7E73FA47" w:rsidR="00456515" w:rsidRPr="00726BE0" w:rsidRDefault="00456515" w:rsidP="0016102B">
      <w:pPr>
        <w:tabs>
          <w:tab w:val="left" w:pos="360"/>
        </w:tabs>
        <w:rPr>
          <w:u w:val="single"/>
        </w:rPr>
      </w:pPr>
    </w:p>
    <w:p w14:paraId="63696A32" w14:textId="77777777" w:rsidR="00456515" w:rsidRPr="00726BE0" w:rsidRDefault="00456515">
      <w:pPr>
        <w:rPr>
          <w:u w:val="single"/>
        </w:rPr>
      </w:pPr>
    </w:p>
    <w:p w14:paraId="5E1BE2B1" w14:textId="77777777" w:rsidR="00456515" w:rsidRDefault="00456515" w:rsidP="00134B8D">
      <w:pPr>
        <w:tabs>
          <w:tab w:val="left" w:pos="360"/>
        </w:tabs>
        <w:ind w:left="360" w:hanging="360"/>
        <w:rPr>
          <w:u w:val="single"/>
        </w:rPr>
      </w:pPr>
      <w:r w:rsidRPr="00726BE0">
        <w:t xml:space="preserve">1.  </w:t>
      </w:r>
      <w:r w:rsidR="00134B8D">
        <w:tab/>
      </w:r>
      <w:r w:rsidRPr="00726BE0">
        <w:rPr>
          <w:u w:val="single"/>
        </w:rPr>
        <w:t xml:space="preserve">Necessity of </w:t>
      </w:r>
      <w:r w:rsidR="003C6C14">
        <w:rPr>
          <w:u w:val="single"/>
        </w:rPr>
        <w:t xml:space="preserve">the </w:t>
      </w:r>
      <w:r w:rsidRPr="00726BE0">
        <w:rPr>
          <w:u w:val="single"/>
        </w:rPr>
        <w:t>Collection</w:t>
      </w:r>
    </w:p>
    <w:p w14:paraId="6AE3AE0A" w14:textId="77777777" w:rsidR="00F872D1" w:rsidRDefault="00F872D1" w:rsidP="00F872D1">
      <w:pPr>
        <w:rPr>
          <w:rFonts w:ascii="Verdana" w:eastAsia="Verdana" w:hAnsi="Verdana" w:cs="Verdana"/>
          <w:sz w:val="16"/>
        </w:rPr>
      </w:pPr>
    </w:p>
    <w:p w14:paraId="5FE66D41" w14:textId="53F70A88" w:rsidR="00F872D1" w:rsidRDefault="00F872D1" w:rsidP="00F872D1">
      <w:r>
        <w:rPr>
          <w:rFonts w:eastAsia="Verdana"/>
        </w:rPr>
        <w:t>A 21st century statistical system must provide information about the dynamic economy quickly, using data assets efficiently while minimizing the burden of collecting and providing data and fully preserving confidentiality.  The Census Bureau’s Longitudinal Employer-Household Dynamics (LEHD) program has demonstrated the power and usefulness of linking multiple business and emp</w:t>
      </w:r>
      <w:r w:rsidR="006E1517">
        <w:rPr>
          <w:rFonts w:eastAsia="Verdana"/>
        </w:rPr>
        <w:t>l</w:t>
      </w:r>
      <w:r>
        <w:rPr>
          <w:rFonts w:eastAsia="Verdana"/>
        </w:rPr>
        <w:t>oyee data sets with state-of-the-art confidentiality protections to build a longitudinal national frame of jobs.</w:t>
      </w:r>
    </w:p>
    <w:p w14:paraId="25FA31CE" w14:textId="77777777" w:rsidR="00F872D1" w:rsidRDefault="00F872D1" w:rsidP="00F872D1"/>
    <w:p w14:paraId="6AE789CD" w14:textId="08656261" w:rsidR="006E1517" w:rsidRDefault="00916357" w:rsidP="00F872D1">
      <w:pPr>
        <w:rPr>
          <w:rFonts w:eastAsia="Verdana"/>
        </w:rPr>
      </w:pPr>
      <w:r w:rsidRPr="00543FEF">
        <w:t>The authority to conduct the LEHD program is 13 U.S.C. Section 6</w:t>
      </w:r>
      <w:r w:rsidR="00453A4E">
        <w:t>;</w:t>
      </w:r>
      <w:r w:rsidRPr="00543FEF">
        <w:t xml:space="preserve"> confidentiality is assured by 13 U.S.C. Section 9.</w:t>
      </w:r>
      <w:r>
        <w:t xml:space="preserve">  </w:t>
      </w:r>
      <w:r w:rsidR="00F872D1">
        <w:rPr>
          <w:rFonts w:eastAsia="Verdana"/>
        </w:rPr>
        <w:t>This program supports the Department of Commerce plan to improve American competitiv</w:t>
      </w:r>
      <w:r w:rsidR="00FD3D11">
        <w:rPr>
          <w:rFonts w:eastAsia="Verdana"/>
        </w:rPr>
        <w:t xml:space="preserve">eness and measures of innovation.  It </w:t>
      </w:r>
      <w:r w:rsidR="00F872D1">
        <w:rPr>
          <w:rFonts w:eastAsia="Verdana"/>
        </w:rPr>
        <w:t>provide</w:t>
      </w:r>
      <w:r w:rsidR="00FD3D11">
        <w:rPr>
          <w:rFonts w:eastAsia="Verdana"/>
        </w:rPr>
        <w:t>s</w:t>
      </w:r>
      <w:r w:rsidR="00F872D1">
        <w:rPr>
          <w:rFonts w:eastAsia="Verdana"/>
        </w:rPr>
        <w:t xml:space="preserve"> federal, state, and local policymakers and planners, businesses, private sector decision makers, and Congress with comprehensive and timely national, state, and local information on the dynamic nature of </w:t>
      </w:r>
      <w:r w:rsidR="00FD3D11">
        <w:rPr>
          <w:rFonts w:eastAsia="Verdana"/>
        </w:rPr>
        <w:t>employers and employees</w:t>
      </w:r>
      <w:r w:rsidR="00F872D1">
        <w:rPr>
          <w:rFonts w:eastAsia="Verdana"/>
        </w:rPr>
        <w:t xml:space="preserve">.   The </w:t>
      </w:r>
      <w:r w:rsidR="00FD3D11">
        <w:rPr>
          <w:rFonts w:eastAsia="Verdana"/>
        </w:rPr>
        <w:t>LEHD</w:t>
      </w:r>
      <w:r w:rsidR="00F872D1">
        <w:rPr>
          <w:rFonts w:eastAsia="Verdana"/>
        </w:rPr>
        <w:t xml:space="preserve"> program significantly reduces the overall </w:t>
      </w:r>
      <w:r w:rsidR="006E1517">
        <w:rPr>
          <w:rFonts w:eastAsia="Verdana"/>
        </w:rPr>
        <w:t xml:space="preserve">effort </w:t>
      </w:r>
      <w:r w:rsidR="00F872D1">
        <w:rPr>
          <w:rFonts w:eastAsia="Verdana"/>
        </w:rPr>
        <w:t>for the generation o</w:t>
      </w:r>
      <w:r w:rsidR="006E1517">
        <w:rPr>
          <w:rFonts w:eastAsia="Verdana"/>
        </w:rPr>
        <w:t>f its quarterly data product by:</w:t>
      </w:r>
    </w:p>
    <w:p w14:paraId="38E6F3F9" w14:textId="77777777" w:rsidR="00731FF5" w:rsidRDefault="00731FF5" w:rsidP="00F872D1">
      <w:pPr>
        <w:rPr>
          <w:rFonts w:eastAsia="Verdana"/>
        </w:rPr>
      </w:pPr>
    </w:p>
    <w:p w14:paraId="0F5CC632" w14:textId="3A5A00DA" w:rsidR="006E1517" w:rsidRPr="006E1517" w:rsidRDefault="006E1517" w:rsidP="006E1517">
      <w:pPr>
        <w:pStyle w:val="ListParagraph"/>
        <w:numPr>
          <w:ilvl w:val="0"/>
          <w:numId w:val="27"/>
        </w:numPr>
      </w:pPr>
      <w:r>
        <w:rPr>
          <w:rFonts w:eastAsia="Verdana"/>
        </w:rPr>
        <w:t>L</w:t>
      </w:r>
      <w:r w:rsidR="00F872D1" w:rsidRPr="006E1517">
        <w:rPr>
          <w:rFonts w:eastAsia="Verdana"/>
        </w:rPr>
        <w:t>everaging exi</w:t>
      </w:r>
      <w:r w:rsidR="00453A4E">
        <w:rPr>
          <w:rFonts w:eastAsia="Verdana"/>
        </w:rPr>
        <w:t>s</w:t>
      </w:r>
      <w:r w:rsidR="00F872D1" w:rsidRPr="006E1517">
        <w:rPr>
          <w:rFonts w:eastAsia="Verdana"/>
        </w:rPr>
        <w:t xml:space="preserve">ting federal </w:t>
      </w:r>
      <w:r w:rsidR="00653BD8">
        <w:rPr>
          <w:rFonts w:eastAsia="Verdana"/>
        </w:rPr>
        <w:t xml:space="preserve">administrative </w:t>
      </w:r>
      <w:r w:rsidR="00F872D1" w:rsidRPr="006E1517">
        <w:rPr>
          <w:rFonts w:eastAsia="Verdana"/>
        </w:rPr>
        <w:t>and state data</w:t>
      </w:r>
    </w:p>
    <w:p w14:paraId="0A55617D" w14:textId="6BAFFCAD" w:rsidR="00F872D1" w:rsidRPr="006E1517" w:rsidRDefault="006E1517" w:rsidP="006E1517">
      <w:pPr>
        <w:pStyle w:val="ListParagraph"/>
        <w:numPr>
          <w:ilvl w:val="0"/>
          <w:numId w:val="27"/>
        </w:numPr>
      </w:pPr>
      <w:r>
        <w:rPr>
          <w:rFonts w:eastAsia="Verdana"/>
        </w:rPr>
        <w:t>A</w:t>
      </w:r>
      <w:r w:rsidR="00F872D1" w:rsidRPr="006E1517">
        <w:rPr>
          <w:rFonts w:eastAsia="Verdana"/>
        </w:rPr>
        <w:t>voiding costs required to expand existing surveys to co</w:t>
      </w:r>
      <w:r>
        <w:rPr>
          <w:rFonts w:eastAsia="Verdana"/>
        </w:rPr>
        <w:t>llect the information directly</w:t>
      </w:r>
    </w:p>
    <w:p w14:paraId="597D61E5" w14:textId="347BE9BF" w:rsidR="006E1517" w:rsidRDefault="006E1517" w:rsidP="006E1517">
      <w:pPr>
        <w:pStyle w:val="ListParagraph"/>
        <w:numPr>
          <w:ilvl w:val="0"/>
          <w:numId w:val="27"/>
        </w:numPr>
      </w:pPr>
      <w:r>
        <w:rPr>
          <w:rFonts w:eastAsia="Verdana"/>
        </w:rPr>
        <w:t>Reducing respondent burden by limiting the number of required resources to the owners of the required data</w:t>
      </w:r>
    </w:p>
    <w:p w14:paraId="0889ADFD" w14:textId="77777777" w:rsidR="00F872D1" w:rsidRDefault="00F872D1" w:rsidP="00F872D1"/>
    <w:p w14:paraId="30CF76AC" w14:textId="77777777" w:rsidR="00491625" w:rsidRPr="00726BE0" w:rsidRDefault="00491625" w:rsidP="00134B8D">
      <w:pPr>
        <w:tabs>
          <w:tab w:val="left" w:pos="360"/>
        </w:tabs>
        <w:ind w:left="360" w:hanging="360"/>
        <w:rPr>
          <w:u w:val="single"/>
        </w:rPr>
      </w:pPr>
    </w:p>
    <w:p w14:paraId="432AEE5B" w14:textId="1202731A" w:rsidR="00456515" w:rsidRDefault="00456515">
      <w:pPr>
        <w:numPr>
          <w:ilvl w:val="0"/>
          <w:numId w:val="15"/>
        </w:numPr>
        <w:rPr>
          <w:u w:val="single"/>
        </w:rPr>
      </w:pPr>
      <w:r w:rsidRPr="00726BE0">
        <w:rPr>
          <w:u w:val="single"/>
        </w:rPr>
        <w:t xml:space="preserve">Use </w:t>
      </w:r>
      <w:r w:rsidR="003C6C14">
        <w:rPr>
          <w:u w:val="single"/>
        </w:rPr>
        <w:t>of Information</w:t>
      </w:r>
    </w:p>
    <w:p w14:paraId="33DE4C9D" w14:textId="77777777" w:rsidR="00DC45E3" w:rsidRPr="00726BE0" w:rsidRDefault="00DC45E3" w:rsidP="00DC45E3">
      <w:pPr>
        <w:ind w:left="360"/>
        <w:rPr>
          <w:u w:val="single"/>
        </w:rPr>
      </w:pPr>
    </w:p>
    <w:p w14:paraId="6ABFF2EA" w14:textId="3AC7EAD3" w:rsidR="00781F35" w:rsidRDefault="00323767" w:rsidP="00DC45E3">
      <w:r>
        <w:t xml:space="preserve">The </w:t>
      </w:r>
      <w:r w:rsidR="00781F35" w:rsidRPr="004112ED">
        <w:t xml:space="preserve">LEHD </w:t>
      </w:r>
      <w:r w:rsidR="00781F35">
        <w:t xml:space="preserve">program </w:t>
      </w:r>
      <w:r w:rsidR="00B9580F">
        <w:t>relies upon the LED (</w:t>
      </w:r>
      <w:r w:rsidR="00641417">
        <w:t>Local Employment Dynamics</w:t>
      </w:r>
      <w:r w:rsidR="00B9580F">
        <w:t xml:space="preserve">) </w:t>
      </w:r>
      <w:r w:rsidR="00781F35" w:rsidRPr="004112ED">
        <w:t xml:space="preserve">partnership between the </w:t>
      </w:r>
      <w:r w:rsidR="00781F35">
        <w:t xml:space="preserve">US Census Bureau </w:t>
      </w:r>
      <w:r w:rsidR="00781F35" w:rsidRPr="004112ED">
        <w:t xml:space="preserve">and </w:t>
      </w:r>
      <w:r>
        <w:t xml:space="preserve">the Labor Market Information (LMI) agencies from </w:t>
      </w:r>
      <w:r w:rsidR="00781F35">
        <w:t xml:space="preserve">49 </w:t>
      </w:r>
      <w:r w:rsidR="00CD75B4">
        <w:t>s</w:t>
      </w:r>
      <w:r w:rsidR="00781F35">
        <w:t>tate</w:t>
      </w:r>
      <w:r>
        <w:t>s</w:t>
      </w:r>
      <w:r w:rsidR="00C51E53">
        <w:t xml:space="preserve">, </w:t>
      </w:r>
      <w:r w:rsidR="00CD75B4">
        <w:t>the District of Columbia</w:t>
      </w:r>
      <w:r w:rsidR="00C51E53">
        <w:t>, and the territories of Puerto Rico and the Virgin Islands</w:t>
      </w:r>
      <w:r w:rsidR="00781F35">
        <w:t xml:space="preserve">.  This partnership </w:t>
      </w:r>
      <w:r w:rsidR="00781F35" w:rsidRPr="004112ED">
        <w:t>supports</w:t>
      </w:r>
      <w:r>
        <w:t xml:space="preserve"> the</w:t>
      </w:r>
      <w:r w:rsidR="00781F35" w:rsidRPr="004112ED">
        <w:t xml:space="preserve"> development, promotion, and distribution of </w:t>
      </w:r>
      <w:r w:rsidR="00543FEF">
        <w:t xml:space="preserve">the following </w:t>
      </w:r>
      <w:r w:rsidR="00781F35" w:rsidRPr="004112ED">
        <w:t>data product</w:t>
      </w:r>
      <w:r>
        <w:t>s</w:t>
      </w:r>
      <w:r w:rsidR="00543FEF">
        <w:t>:</w:t>
      </w:r>
    </w:p>
    <w:p w14:paraId="2E768612" w14:textId="0D826C27" w:rsidR="00781F35" w:rsidRDefault="00781F35"/>
    <w:p w14:paraId="549F62DA" w14:textId="177BFE6A" w:rsidR="007F55C8" w:rsidRDefault="00781F35" w:rsidP="007F55C8">
      <w:pPr>
        <w:pStyle w:val="ListParagraph"/>
        <w:numPr>
          <w:ilvl w:val="0"/>
          <w:numId w:val="31"/>
        </w:numPr>
        <w:ind w:left="720"/>
        <w:rPr>
          <w:szCs w:val="24"/>
        </w:rPr>
      </w:pPr>
      <w:r>
        <w:t>QWI Public Use</w:t>
      </w:r>
      <w:r w:rsidR="00870705">
        <w:t xml:space="preserve"> - </w:t>
      </w:r>
      <w:r w:rsidR="002D57E8" w:rsidRPr="002D57E8">
        <w:rPr>
          <w:szCs w:val="24"/>
        </w:rPr>
        <w:t xml:space="preserve"> </w:t>
      </w:r>
      <w:r w:rsidR="002D57E8" w:rsidRPr="00ED4078">
        <w:rPr>
          <w:szCs w:val="24"/>
        </w:rPr>
        <w:t xml:space="preserve">The flagship data product of the LEHD program is the QWI Public Use which provides 32 statistical indicators </w:t>
      </w:r>
      <w:r w:rsidR="00BB76A0">
        <w:rPr>
          <w:szCs w:val="24"/>
        </w:rPr>
        <w:t xml:space="preserve">such as those </w:t>
      </w:r>
      <w:r w:rsidR="002D57E8" w:rsidRPr="00ED4078">
        <w:rPr>
          <w:szCs w:val="24"/>
        </w:rPr>
        <w:t>on employment, job creation and destruction, accessions (</w:t>
      </w:r>
      <w:r w:rsidR="00BB76A0">
        <w:rPr>
          <w:szCs w:val="24"/>
        </w:rPr>
        <w:t xml:space="preserve">e.g., </w:t>
      </w:r>
      <w:r w:rsidR="002D57E8" w:rsidRPr="00ED4078">
        <w:rPr>
          <w:szCs w:val="24"/>
        </w:rPr>
        <w:t xml:space="preserve">hires and recalls), and separations (e.g. exits and </w:t>
      </w:r>
      <w:r w:rsidR="00BB76A0" w:rsidRPr="00ED4078">
        <w:rPr>
          <w:szCs w:val="24"/>
        </w:rPr>
        <w:t>layoffs)</w:t>
      </w:r>
      <w:r w:rsidR="00BB76A0">
        <w:rPr>
          <w:szCs w:val="24"/>
        </w:rPr>
        <w:t xml:space="preserve">.  </w:t>
      </w:r>
      <w:r w:rsidR="00BB76A0" w:rsidRPr="00ED4078">
        <w:rPr>
          <w:szCs w:val="24"/>
        </w:rPr>
        <w:t xml:space="preserve"> These</w:t>
      </w:r>
      <w:r w:rsidR="00870705">
        <w:rPr>
          <w:szCs w:val="24"/>
        </w:rPr>
        <w:t xml:space="preserve"> statistics are released for the following by-</w:t>
      </w:r>
      <w:r w:rsidR="00BB76A0">
        <w:rPr>
          <w:szCs w:val="24"/>
        </w:rPr>
        <w:t>groups</w:t>
      </w:r>
      <w:r w:rsidR="00BB76A0" w:rsidRPr="00ED4078">
        <w:rPr>
          <w:szCs w:val="24"/>
        </w:rPr>
        <w:t xml:space="preserve"> for</w:t>
      </w:r>
      <w:r w:rsidR="002D57E8" w:rsidRPr="00ED4078">
        <w:rPr>
          <w:szCs w:val="24"/>
        </w:rPr>
        <w:t xml:space="preserve"> all quarters for which data are available for each partner state</w:t>
      </w:r>
      <w:r w:rsidR="002D57E8">
        <w:rPr>
          <w:szCs w:val="24"/>
        </w:rPr>
        <w:t>:</w:t>
      </w:r>
      <w:r w:rsidR="00447AFA" w:rsidRPr="00447AFA">
        <w:rPr>
          <w:szCs w:val="24"/>
        </w:rPr>
        <w:t xml:space="preserve"> </w:t>
      </w:r>
    </w:p>
    <w:p w14:paraId="799C4DDE" w14:textId="77777777" w:rsidR="007F55C8" w:rsidRDefault="007F55C8" w:rsidP="007F55C8">
      <w:pPr>
        <w:pStyle w:val="ListParagraph"/>
        <w:rPr>
          <w:szCs w:val="24"/>
        </w:rPr>
      </w:pPr>
    </w:p>
    <w:p w14:paraId="4BE8E147" w14:textId="0BB2B3D9" w:rsidR="00447AFA" w:rsidRDefault="007F55C8" w:rsidP="007F55C8">
      <w:pPr>
        <w:pStyle w:val="ListParagraph"/>
        <w:numPr>
          <w:ilvl w:val="1"/>
          <w:numId w:val="31"/>
        </w:numPr>
        <w:ind w:left="1080"/>
        <w:rPr>
          <w:szCs w:val="24"/>
        </w:rPr>
      </w:pPr>
      <w:r>
        <w:rPr>
          <w:szCs w:val="24"/>
        </w:rPr>
        <w:t>County, metropolitan, and workforce investment area</w:t>
      </w:r>
    </w:p>
    <w:p w14:paraId="28E59C87" w14:textId="5C56DF58" w:rsidR="007F55C8" w:rsidRDefault="007F55C8" w:rsidP="007F55C8">
      <w:pPr>
        <w:pStyle w:val="ListParagraph"/>
        <w:numPr>
          <w:ilvl w:val="1"/>
          <w:numId w:val="31"/>
        </w:numPr>
        <w:ind w:left="1080"/>
        <w:rPr>
          <w:szCs w:val="24"/>
        </w:rPr>
      </w:pPr>
      <w:r>
        <w:rPr>
          <w:szCs w:val="24"/>
        </w:rPr>
        <w:t>Age, sex, race, and ethnicity categories</w:t>
      </w:r>
    </w:p>
    <w:p w14:paraId="61AA4646" w14:textId="54CC5300" w:rsidR="007F55C8" w:rsidRDefault="007F55C8" w:rsidP="007F55C8">
      <w:pPr>
        <w:pStyle w:val="ListParagraph"/>
        <w:numPr>
          <w:ilvl w:val="1"/>
          <w:numId w:val="31"/>
        </w:numPr>
        <w:ind w:left="1080"/>
        <w:rPr>
          <w:szCs w:val="24"/>
        </w:rPr>
      </w:pPr>
      <w:r>
        <w:rPr>
          <w:szCs w:val="24"/>
        </w:rPr>
        <w:t>Detailed industry (i.e., type, firm age, frim size)</w:t>
      </w:r>
    </w:p>
    <w:p w14:paraId="6102E41C" w14:textId="77777777" w:rsidR="00B1697C" w:rsidRDefault="00B1697C" w:rsidP="007F55C8">
      <w:pPr>
        <w:rPr>
          <w:szCs w:val="24"/>
        </w:rPr>
      </w:pPr>
    </w:p>
    <w:p w14:paraId="29F0147B" w14:textId="1A352990" w:rsidR="00447AFA" w:rsidRPr="007F55C8" w:rsidRDefault="00781F35" w:rsidP="00B1697C">
      <w:pPr>
        <w:pStyle w:val="ListParagraph"/>
        <w:numPr>
          <w:ilvl w:val="0"/>
          <w:numId w:val="30"/>
        </w:numPr>
        <w:rPr>
          <w:szCs w:val="24"/>
        </w:rPr>
      </w:pPr>
      <w:r>
        <w:lastRenderedPageBreak/>
        <w:t>LEHD Origin Destination Employment Statistics (LODES)</w:t>
      </w:r>
      <w:r w:rsidR="00447AFA">
        <w:t xml:space="preserve"> - </w:t>
      </w:r>
      <w:r w:rsidR="00870705" w:rsidRPr="007F55C8">
        <w:t>LODES data provide</w:t>
      </w:r>
      <w:r w:rsidR="00447AFA" w:rsidRPr="007F55C8">
        <w:t xml:space="preserve"> detailed spatial distributions of workers' employment and residential locations and the relation between the two at the Census Block level. LODES also provides characteristic detail on age, earnings, industry distributions, and local workforce indicators.</w:t>
      </w:r>
    </w:p>
    <w:p w14:paraId="0A32618B" w14:textId="77777777" w:rsidR="007F55C8" w:rsidRPr="00447AFA" w:rsidRDefault="007F55C8" w:rsidP="007F55C8">
      <w:pPr>
        <w:pStyle w:val="ListParagraph"/>
        <w:rPr>
          <w:szCs w:val="24"/>
        </w:rPr>
      </w:pPr>
    </w:p>
    <w:p w14:paraId="0836A69B" w14:textId="4841198D" w:rsidR="00781F35" w:rsidRPr="007F55C8" w:rsidRDefault="00781F35" w:rsidP="00447AFA">
      <w:pPr>
        <w:pStyle w:val="ListParagraph"/>
        <w:numPr>
          <w:ilvl w:val="0"/>
          <w:numId w:val="30"/>
        </w:numPr>
      </w:pPr>
      <w:r>
        <w:t>Job-to-Job Flows (J2J)</w:t>
      </w:r>
      <w:r w:rsidR="00447AFA" w:rsidRPr="007F55C8">
        <w:t xml:space="preserve"> - Job-to-Job Flows (J2J) is a new set of statistics on worker reallocation in the United States constructed from the LEHD data. The initial release of national data distinguishes hires and separations associated with job change from hires from and separations to non</w:t>
      </w:r>
      <w:r w:rsidR="001372D3">
        <w:t>-</w:t>
      </w:r>
      <w:r w:rsidR="00447AFA" w:rsidRPr="007F55C8">
        <w:t>employment. Future releases will be published at more detailed levels of aggregations, and will tabulate the origin and destination job characteristics of workers changing jobs.</w:t>
      </w:r>
    </w:p>
    <w:p w14:paraId="33A23F3B" w14:textId="77777777" w:rsidR="00781F35" w:rsidRDefault="00781F35" w:rsidP="00DC45E3">
      <w:pPr>
        <w:rPr>
          <w:szCs w:val="24"/>
        </w:rPr>
      </w:pPr>
    </w:p>
    <w:p w14:paraId="740E29C1" w14:textId="33353E23" w:rsidR="00456515" w:rsidRDefault="00DC45E3">
      <w:pPr>
        <w:rPr>
          <w:szCs w:val="24"/>
        </w:rPr>
      </w:pPr>
      <w:r w:rsidRPr="00DC45E3">
        <w:rPr>
          <w:szCs w:val="24"/>
        </w:rPr>
        <w:t>The</w:t>
      </w:r>
      <w:r w:rsidR="00ED4078">
        <w:rPr>
          <w:szCs w:val="24"/>
        </w:rPr>
        <w:t>se</w:t>
      </w:r>
      <w:r w:rsidR="00870705">
        <w:rPr>
          <w:szCs w:val="24"/>
        </w:rPr>
        <w:t xml:space="preserve"> data products</w:t>
      </w:r>
      <w:r w:rsidRPr="00DC45E3">
        <w:rPr>
          <w:szCs w:val="24"/>
        </w:rPr>
        <w:t xml:space="preserve"> highlight</w:t>
      </w:r>
      <w:r w:rsidR="00870705">
        <w:rPr>
          <w:szCs w:val="24"/>
        </w:rPr>
        <w:t xml:space="preserve"> state and</w:t>
      </w:r>
      <w:r w:rsidR="00ED4078" w:rsidRPr="00DC45E3">
        <w:rPr>
          <w:szCs w:val="24"/>
        </w:rPr>
        <w:t xml:space="preserve"> local labor market </w:t>
      </w:r>
      <w:r w:rsidR="00447AFA">
        <w:rPr>
          <w:szCs w:val="24"/>
        </w:rPr>
        <w:t xml:space="preserve">dynamics </w:t>
      </w:r>
      <w:r w:rsidR="00ED4078" w:rsidRPr="00DC45E3">
        <w:rPr>
          <w:szCs w:val="24"/>
        </w:rPr>
        <w:t>that cannot be</w:t>
      </w:r>
      <w:r w:rsidR="00ED4078">
        <w:rPr>
          <w:szCs w:val="24"/>
        </w:rPr>
        <w:t xml:space="preserve"> </w:t>
      </w:r>
      <w:r w:rsidR="00ED4078" w:rsidRPr="00DC45E3">
        <w:rPr>
          <w:szCs w:val="24"/>
        </w:rPr>
        <w:t>learned from other statistical sources</w:t>
      </w:r>
      <w:r w:rsidR="00870705">
        <w:rPr>
          <w:szCs w:val="24"/>
        </w:rPr>
        <w:t xml:space="preserve"> and are therefore used in many different arenas</w:t>
      </w:r>
      <w:r w:rsidR="00ED4078" w:rsidRPr="00DC45E3">
        <w:rPr>
          <w:szCs w:val="24"/>
        </w:rPr>
        <w:t>.</w:t>
      </w:r>
      <w:r w:rsidR="001372D3">
        <w:rPr>
          <w:szCs w:val="24"/>
        </w:rPr>
        <w:t xml:space="preserve">  For example, </w:t>
      </w:r>
      <w:r w:rsidR="00ED4078">
        <w:rPr>
          <w:szCs w:val="24"/>
        </w:rPr>
        <w:t xml:space="preserve">the QWI can </w:t>
      </w:r>
      <w:r w:rsidRPr="00DC45E3">
        <w:rPr>
          <w:szCs w:val="24"/>
        </w:rPr>
        <w:t>be used as local-labor-</w:t>
      </w:r>
      <w:r w:rsidR="00ED4078" w:rsidRPr="00DC45E3">
        <w:rPr>
          <w:szCs w:val="24"/>
        </w:rPr>
        <w:t>market</w:t>
      </w:r>
      <w:r w:rsidR="00ED4078">
        <w:rPr>
          <w:szCs w:val="24"/>
        </w:rPr>
        <w:t xml:space="preserve"> </w:t>
      </w:r>
      <w:r w:rsidR="00ED4078" w:rsidRPr="00DC45E3">
        <w:rPr>
          <w:szCs w:val="24"/>
        </w:rPr>
        <w:t>controls</w:t>
      </w:r>
      <w:r w:rsidRPr="00DC45E3">
        <w:rPr>
          <w:szCs w:val="24"/>
        </w:rPr>
        <w:t xml:space="preserve"> in regression</w:t>
      </w:r>
      <w:r w:rsidR="00ED4078">
        <w:rPr>
          <w:szCs w:val="24"/>
        </w:rPr>
        <w:t xml:space="preserve"> </w:t>
      </w:r>
      <w:r w:rsidRPr="00DC45E3">
        <w:rPr>
          <w:szCs w:val="24"/>
        </w:rPr>
        <w:t>analysis; to identify long-term trends; to</w:t>
      </w:r>
      <w:r w:rsidR="00ED4078">
        <w:rPr>
          <w:szCs w:val="24"/>
        </w:rPr>
        <w:t xml:space="preserve"> </w:t>
      </w:r>
      <w:r w:rsidRPr="00DC45E3">
        <w:rPr>
          <w:szCs w:val="24"/>
        </w:rPr>
        <w:t>provide local context in performance evaluations,</w:t>
      </w:r>
      <w:r w:rsidR="00ED4078">
        <w:rPr>
          <w:szCs w:val="24"/>
        </w:rPr>
        <w:t xml:space="preserve"> </w:t>
      </w:r>
      <w:r w:rsidRPr="00DC45E3">
        <w:rPr>
          <w:szCs w:val="24"/>
        </w:rPr>
        <w:t>and a host of other applications. Additional</w:t>
      </w:r>
      <w:r w:rsidR="00ED4078">
        <w:rPr>
          <w:szCs w:val="24"/>
        </w:rPr>
        <w:t xml:space="preserve"> </w:t>
      </w:r>
      <w:r w:rsidRPr="00DC45E3">
        <w:rPr>
          <w:szCs w:val="24"/>
        </w:rPr>
        <w:t>indicators will be developed as the</w:t>
      </w:r>
      <w:r w:rsidR="00ED4078">
        <w:rPr>
          <w:szCs w:val="24"/>
        </w:rPr>
        <w:t xml:space="preserve"> program expands.  M</w:t>
      </w:r>
      <w:r w:rsidRPr="00DC45E3">
        <w:rPr>
          <w:szCs w:val="24"/>
        </w:rPr>
        <w:t>easures of individual earnings</w:t>
      </w:r>
      <w:r w:rsidR="00ED4078">
        <w:rPr>
          <w:szCs w:val="24"/>
        </w:rPr>
        <w:t xml:space="preserve"> </w:t>
      </w:r>
      <w:r w:rsidRPr="00DC45E3">
        <w:rPr>
          <w:szCs w:val="24"/>
        </w:rPr>
        <w:t>dynamics across consecutive quarters are</w:t>
      </w:r>
      <w:r w:rsidR="00ED4078">
        <w:rPr>
          <w:szCs w:val="24"/>
        </w:rPr>
        <w:t xml:space="preserve"> </w:t>
      </w:r>
      <w:r w:rsidRPr="00DC45E3">
        <w:rPr>
          <w:szCs w:val="24"/>
        </w:rPr>
        <w:t>already in the internal system but have not been</w:t>
      </w:r>
      <w:r w:rsidR="00ED4078">
        <w:rPr>
          <w:szCs w:val="24"/>
        </w:rPr>
        <w:t xml:space="preserve"> </w:t>
      </w:r>
      <w:r w:rsidRPr="00DC45E3">
        <w:rPr>
          <w:szCs w:val="24"/>
        </w:rPr>
        <w:t xml:space="preserve">released. </w:t>
      </w:r>
      <w:r w:rsidR="00497728">
        <w:rPr>
          <w:szCs w:val="24"/>
        </w:rPr>
        <w:t>Additional i</w:t>
      </w:r>
      <w:r w:rsidRPr="00DC45E3">
        <w:rPr>
          <w:szCs w:val="24"/>
        </w:rPr>
        <w:t>ndicators of cross-state flows and inter</w:t>
      </w:r>
      <w:r w:rsidR="00453A4E">
        <w:rPr>
          <w:szCs w:val="24"/>
        </w:rPr>
        <w:t>-</w:t>
      </w:r>
      <w:r w:rsidRPr="00DC45E3">
        <w:rPr>
          <w:szCs w:val="24"/>
        </w:rPr>
        <w:t>industry</w:t>
      </w:r>
      <w:r w:rsidR="00ED4078">
        <w:rPr>
          <w:szCs w:val="24"/>
        </w:rPr>
        <w:t xml:space="preserve"> </w:t>
      </w:r>
      <w:r w:rsidRPr="00DC45E3">
        <w:rPr>
          <w:szCs w:val="24"/>
        </w:rPr>
        <w:t>mobility are in development.</w:t>
      </w:r>
    </w:p>
    <w:p w14:paraId="6AF54E32" w14:textId="77777777" w:rsidR="001372D3" w:rsidRDefault="001372D3"/>
    <w:p w14:paraId="117BB7B3" w14:textId="77777777" w:rsidR="001372D3" w:rsidRPr="00726BE0" w:rsidRDefault="001372D3"/>
    <w:p w14:paraId="5E64D06A" w14:textId="0306579C" w:rsidR="00456515" w:rsidRPr="00134B8D" w:rsidRDefault="00456515" w:rsidP="00134B8D">
      <w:pPr>
        <w:pStyle w:val="ListParagraph"/>
        <w:numPr>
          <w:ilvl w:val="0"/>
          <w:numId w:val="15"/>
        </w:numPr>
        <w:rPr>
          <w:u w:val="single"/>
        </w:rPr>
      </w:pPr>
      <w:r w:rsidRPr="00134B8D">
        <w:rPr>
          <w:u w:val="single"/>
        </w:rPr>
        <w:t xml:space="preserve">Use of </w:t>
      </w:r>
      <w:r w:rsidR="003C6C14">
        <w:rPr>
          <w:u w:val="single"/>
        </w:rPr>
        <w:t xml:space="preserve">Electronic Collection Methods </w:t>
      </w:r>
    </w:p>
    <w:p w14:paraId="3EDA6329" w14:textId="77777777" w:rsidR="00D007F3" w:rsidRDefault="00D007F3" w:rsidP="00D007F3">
      <w:pPr>
        <w:tabs>
          <w:tab w:val="left" w:pos="360"/>
        </w:tabs>
      </w:pPr>
    </w:p>
    <w:p w14:paraId="7F0B5EB2" w14:textId="2A175D36" w:rsidR="00D007F3" w:rsidRDefault="00CD75B4" w:rsidP="00D007F3">
      <w:pPr>
        <w:tabs>
          <w:tab w:val="left" w:pos="360"/>
        </w:tabs>
      </w:pPr>
      <w:r>
        <w:t>T</w:t>
      </w:r>
      <w:r w:rsidR="00D007F3">
        <w:t xml:space="preserve">he data products created by the LEHD program are not generated by a traditional survey.   </w:t>
      </w:r>
      <w:r>
        <w:t>Rather</w:t>
      </w:r>
      <w:r w:rsidR="00D007F3">
        <w:t>, all data requi</w:t>
      </w:r>
      <w:r w:rsidR="001372D3">
        <w:t xml:space="preserve">red is collected electronically </w:t>
      </w:r>
      <w:r w:rsidR="00D007F3">
        <w:t>as follows:</w:t>
      </w:r>
    </w:p>
    <w:p w14:paraId="5BD876E8" w14:textId="77777777" w:rsidR="00D007F3" w:rsidRDefault="00D007F3" w:rsidP="00D007F3">
      <w:pPr>
        <w:tabs>
          <w:tab w:val="left" w:pos="360"/>
        </w:tabs>
      </w:pPr>
    </w:p>
    <w:p w14:paraId="1D59B4A6" w14:textId="228882BC" w:rsidR="00D007F3" w:rsidRDefault="00D007F3" w:rsidP="00D007F3">
      <w:pPr>
        <w:pStyle w:val="ListParagraph"/>
        <w:numPr>
          <w:ilvl w:val="0"/>
          <w:numId w:val="32"/>
        </w:numPr>
        <w:tabs>
          <w:tab w:val="left" w:pos="360"/>
        </w:tabs>
      </w:pPr>
      <w:r>
        <w:t xml:space="preserve">State Unemployment Insurance (UI) and </w:t>
      </w:r>
      <w:r w:rsidRPr="00D007F3">
        <w:t>Quarterly Census of Employment and Wages</w:t>
      </w:r>
      <w:r>
        <w:t xml:space="preserve"> (QCEW) are provided </w:t>
      </w:r>
      <w:r w:rsidR="00453A4E">
        <w:t xml:space="preserve">from each state LMI agency </w:t>
      </w:r>
      <w:r>
        <w:t xml:space="preserve">via secure File Transfer Protocol (FTP) directly to the Census Bureau.  This transfer of data is governed by </w:t>
      </w:r>
      <w:r w:rsidR="00497728">
        <w:t xml:space="preserve">a </w:t>
      </w:r>
      <w:r>
        <w:t>Memorandum of Understandings (MOUs) with each state partner.</w:t>
      </w:r>
    </w:p>
    <w:p w14:paraId="028E46D1" w14:textId="71EFC4E7" w:rsidR="00D007F3" w:rsidRDefault="00D007F3" w:rsidP="00D007F3">
      <w:pPr>
        <w:pStyle w:val="ListParagraph"/>
        <w:numPr>
          <w:ilvl w:val="0"/>
          <w:numId w:val="32"/>
        </w:numPr>
        <w:tabs>
          <w:tab w:val="left" w:pos="360"/>
        </w:tabs>
      </w:pPr>
      <w:r>
        <w:t>Federal and Census Administrative data are acquired from other directorates or divisions within the Census Bureau where an internal agreement has been established for the use of th</w:t>
      </w:r>
      <w:r w:rsidR="00497728">
        <w:t>e</w:t>
      </w:r>
      <w:r>
        <w:t xml:space="preserve"> data.</w:t>
      </w:r>
    </w:p>
    <w:p w14:paraId="5E7C374D" w14:textId="1661B533" w:rsidR="00D007F3" w:rsidRDefault="00D007F3" w:rsidP="00D007F3">
      <w:pPr>
        <w:pStyle w:val="ListParagraph"/>
        <w:numPr>
          <w:ilvl w:val="0"/>
          <w:numId w:val="32"/>
        </w:numPr>
        <w:tabs>
          <w:tab w:val="left" w:pos="360"/>
        </w:tabs>
      </w:pPr>
      <w:r>
        <w:t>Public Use data sets are acquired from public source websites or public FTP servers.</w:t>
      </w:r>
    </w:p>
    <w:p w14:paraId="3D68F030" w14:textId="77777777" w:rsidR="00D007F3" w:rsidRDefault="00D007F3" w:rsidP="00D007F3">
      <w:pPr>
        <w:tabs>
          <w:tab w:val="left" w:pos="360"/>
        </w:tabs>
      </w:pPr>
    </w:p>
    <w:p w14:paraId="1F648393" w14:textId="77777777" w:rsidR="00D007F3" w:rsidRDefault="00D007F3" w:rsidP="00D007F3">
      <w:pPr>
        <w:tabs>
          <w:tab w:val="left" w:pos="360"/>
        </w:tabs>
      </w:pPr>
    </w:p>
    <w:p w14:paraId="1D8D7F16" w14:textId="47332F4F" w:rsidR="00456515" w:rsidRPr="00726BE0" w:rsidRDefault="00456515" w:rsidP="00134B8D">
      <w:pPr>
        <w:tabs>
          <w:tab w:val="left" w:pos="360"/>
        </w:tabs>
        <w:ind w:left="360" w:hanging="360"/>
        <w:rPr>
          <w:u w:val="single"/>
        </w:rPr>
      </w:pPr>
      <w:r w:rsidRPr="00726BE0">
        <w:t xml:space="preserve">4. </w:t>
      </w:r>
      <w:r w:rsidR="00134B8D">
        <w:tab/>
      </w:r>
      <w:r w:rsidR="003C6C14" w:rsidRPr="00BE1BE4">
        <w:rPr>
          <w:u w:val="single"/>
        </w:rPr>
        <w:t xml:space="preserve">Efforts to </w:t>
      </w:r>
      <w:r w:rsidRPr="00C65B9C">
        <w:rPr>
          <w:u w:val="single"/>
        </w:rPr>
        <w:t>Identif</w:t>
      </w:r>
      <w:r w:rsidR="003C6C14" w:rsidRPr="00C65B9C">
        <w:rPr>
          <w:u w:val="single"/>
        </w:rPr>
        <w:t>y</w:t>
      </w:r>
      <w:r w:rsidRPr="00C65B9C">
        <w:rPr>
          <w:u w:val="single"/>
        </w:rPr>
        <w:t xml:space="preserve"> Duplication</w:t>
      </w:r>
    </w:p>
    <w:p w14:paraId="5851343A" w14:textId="0C6FC9B5" w:rsidR="00456515" w:rsidRDefault="00456515">
      <w:pPr>
        <w:rPr>
          <w:b/>
        </w:rPr>
      </w:pPr>
    </w:p>
    <w:p w14:paraId="3799D1B6" w14:textId="72E58C4D" w:rsidR="00D007F3" w:rsidRPr="00D007F3" w:rsidRDefault="00CD75B4">
      <w:r>
        <w:t>T</w:t>
      </w:r>
      <w:r w:rsidR="002329ED">
        <w:t xml:space="preserve">he LEHD program is not directly responsible for the collection of the information provided in the various data files used to create our data products. </w:t>
      </w:r>
      <w:r w:rsidR="00497728">
        <w:t xml:space="preserve"> Therefore, our activities generate no duplication.</w:t>
      </w:r>
      <w:r w:rsidR="002329ED">
        <w:t xml:space="preserve"> </w:t>
      </w:r>
      <w:r w:rsidR="00741C55">
        <w:t xml:space="preserve"> However, </w:t>
      </w:r>
      <w:r w:rsidR="007A3786">
        <w:t>while t</w:t>
      </w:r>
      <w:r w:rsidR="00741C55">
        <w:t>he States only provide the UI data to the Census Bureau</w:t>
      </w:r>
      <w:r w:rsidR="007A3786">
        <w:t>,</w:t>
      </w:r>
      <w:r w:rsidR="00741C55">
        <w:t xml:space="preserve"> they do provide the QCEW data to the Bureau of Labor Statistics (BLS).</w:t>
      </w:r>
    </w:p>
    <w:p w14:paraId="230F0C5C" w14:textId="0280942F" w:rsidR="00F32B3D" w:rsidRDefault="00F32B3D">
      <w:pPr>
        <w:rPr>
          <w:b/>
        </w:rPr>
      </w:pPr>
      <w:r>
        <w:rPr>
          <w:b/>
        </w:rPr>
        <w:br w:type="page"/>
      </w:r>
    </w:p>
    <w:p w14:paraId="2204EEED" w14:textId="77777777" w:rsidR="00456515" w:rsidRPr="00726BE0" w:rsidRDefault="00456515" w:rsidP="00134B8D">
      <w:pPr>
        <w:tabs>
          <w:tab w:val="left" w:pos="360"/>
        </w:tabs>
        <w:ind w:left="360" w:hanging="360"/>
        <w:rPr>
          <w:u w:val="single"/>
        </w:rPr>
      </w:pPr>
      <w:r w:rsidRPr="00726BE0">
        <w:lastRenderedPageBreak/>
        <w:t>5.</w:t>
      </w:r>
      <w:r w:rsidR="00134B8D">
        <w:tab/>
      </w:r>
      <w:r w:rsidR="003C6C14" w:rsidRPr="00BE1BE4">
        <w:rPr>
          <w:u w:val="single"/>
        </w:rPr>
        <w:t xml:space="preserve">Impact on </w:t>
      </w:r>
      <w:r w:rsidRPr="00C65B9C">
        <w:rPr>
          <w:u w:val="single"/>
        </w:rPr>
        <w:t>Small Businesses</w:t>
      </w:r>
    </w:p>
    <w:p w14:paraId="791E5316" w14:textId="77777777" w:rsidR="006C0385" w:rsidRDefault="006C0385"/>
    <w:p w14:paraId="5EFD57B4" w14:textId="6B44632D" w:rsidR="006C0385" w:rsidRDefault="006C0385">
      <w:r>
        <w:t xml:space="preserve">The key requirement for the development of the QWI infrastructure and public use data products is not to burden respondents to participate in a traditional survey.   As </w:t>
      </w:r>
      <w:r w:rsidR="0001559E">
        <w:t>such,</w:t>
      </w:r>
      <w:r w:rsidR="001372D3">
        <w:t xml:space="preserve"> </w:t>
      </w:r>
      <w:r>
        <w:t>the collection of the required data has no impact on the day-to-day operations of small business</w:t>
      </w:r>
      <w:r w:rsidR="007A3786">
        <w:t>es</w:t>
      </w:r>
      <w:r>
        <w:t>.</w:t>
      </w:r>
    </w:p>
    <w:p w14:paraId="1B666A95" w14:textId="77777777" w:rsidR="006C0385" w:rsidRDefault="006C0385"/>
    <w:p w14:paraId="431385B5" w14:textId="77777777" w:rsidR="006C0385" w:rsidRPr="00726BE0" w:rsidRDefault="006C0385"/>
    <w:p w14:paraId="39D7B5F1" w14:textId="11AACBB5" w:rsidR="00456515" w:rsidRPr="00726BE0" w:rsidRDefault="00456515" w:rsidP="00134B8D">
      <w:pPr>
        <w:tabs>
          <w:tab w:val="left" w:pos="360"/>
        </w:tabs>
        <w:ind w:left="360" w:hanging="360"/>
        <w:rPr>
          <w:u w:val="single"/>
        </w:rPr>
      </w:pPr>
      <w:r w:rsidRPr="00726BE0">
        <w:t xml:space="preserve">6.  </w:t>
      </w:r>
      <w:r w:rsidR="00134B8D">
        <w:tab/>
      </w:r>
      <w:r w:rsidR="003C6C14" w:rsidRPr="00BE1BE4">
        <w:rPr>
          <w:u w:val="single"/>
        </w:rPr>
        <w:t xml:space="preserve">Consequences of </w:t>
      </w:r>
      <w:r w:rsidRPr="00C65B9C">
        <w:rPr>
          <w:u w:val="single"/>
        </w:rPr>
        <w:t xml:space="preserve">Less Frequent </w:t>
      </w:r>
      <w:r w:rsidR="003C6C14" w:rsidRPr="00C65B9C">
        <w:rPr>
          <w:u w:val="single"/>
        </w:rPr>
        <w:t>Collection</w:t>
      </w:r>
    </w:p>
    <w:p w14:paraId="52430074" w14:textId="77777777" w:rsidR="001372D3" w:rsidRDefault="001372D3" w:rsidP="00B713DD"/>
    <w:p w14:paraId="4CA6F72F" w14:textId="6F8D5386" w:rsidR="00B713DD" w:rsidRDefault="00D9044A" w:rsidP="00B713DD">
      <w:r>
        <w:t>The LEHD program</w:t>
      </w:r>
      <w:r w:rsidR="0001559E">
        <w:t xml:space="preserve"> rel</w:t>
      </w:r>
      <w:r>
        <w:t>ies</w:t>
      </w:r>
      <w:r w:rsidR="0001559E">
        <w:t xml:space="preserve"> on data that have already been collected for other administrative purposes.</w:t>
      </w:r>
      <w:r w:rsidR="00CC277A">
        <w:t xml:space="preserve"> Because these source data are updated quarterly, the QWI data products are designed for quarterly output.</w:t>
      </w:r>
      <w:r w:rsidR="0001559E">
        <w:t xml:space="preserve"> </w:t>
      </w:r>
      <w:r w:rsidR="00CC277A">
        <w:t>Specifically, t</w:t>
      </w:r>
      <w:r w:rsidR="00B713DD">
        <w:t>he LEHD infrastructure and its data products</w:t>
      </w:r>
      <w:r w:rsidR="00CC277A">
        <w:t xml:space="preserve"> use these quarterly data to</w:t>
      </w:r>
      <w:r w:rsidR="00B713DD">
        <w:t xml:space="preserve"> portray the most recent information in employer/employee dynamics</w:t>
      </w:r>
      <w:r w:rsidR="00CC277A">
        <w:t xml:space="preserve"> as well as</w:t>
      </w:r>
      <w:r w:rsidR="00B713DD">
        <w:t xml:space="preserve"> a</w:t>
      </w:r>
      <w:r w:rsidR="00CC277A">
        <w:t>n evolving</w:t>
      </w:r>
      <w:r w:rsidR="00B713DD">
        <w:t xml:space="preserve"> history of this interaction.    </w:t>
      </w:r>
    </w:p>
    <w:p w14:paraId="56919AAD" w14:textId="77777777" w:rsidR="00B713DD" w:rsidRDefault="00B713DD" w:rsidP="00B713DD"/>
    <w:p w14:paraId="166A9846" w14:textId="00460BB9" w:rsidR="00B713DD" w:rsidRDefault="006F6D43" w:rsidP="00B713DD">
      <w:r>
        <w:t xml:space="preserve">The quarterly nature of our core data </w:t>
      </w:r>
      <w:r w:rsidR="005839C8">
        <w:t>a</w:t>
      </w:r>
      <w:r w:rsidR="006C7EAE">
        <w:t xml:space="preserve">llows for </w:t>
      </w:r>
      <w:r>
        <w:t xml:space="preserve">more </w:t>
      </w:r>
      <w:r w:rsidR="006C7EAE">
        <w:t xml:space="preserve">meaningful statistics to be </w:t>
      </w:r>
      <w:r>
        <w:t>made available to the public.</w:t>
      </w:r>
      <w:r w:rsidR="005839C8">
        <w:t xml:space="preserve">  Changing the frequency of</w:t>
      </w:r>
      <w:r>
        <w:t xml:space="preserve"> obtaining these data</w:t>
      </w:r>
      <w:r w:rsidR="00C91C82">
        <w:t xml:space="preserve"> from state partners will not im</w:t>
      </w:r>
      <w:r>
        <w:t xml:space="preserve">pact the frequency of collection by states </w:t>
      </w:r>
      <w:r w:rsidR="00C91C82">
        <w:t xml:space="preserve">(as law requires the quarterly collection of Unemployment Insurance </w:t>
      </w:r>
      <w:r w:rsidR="00417191">
        <w:t>information) but</w:t>
      </w:r>
      <w:r w:rsidR="005839C8">
        <w:t xml:space="preserve"> will decrease the usefulness of </w:t>
      </w:r>
      <w:r w:rsidR="001372D3">
        <w:t xml:space="preserve">data products we produce </w:t>
      </w:r>
      <w:r w:rsidR="00C91C82">
        <w:t>using these administrative data.</w:t>
      </w:r>
      <w:r w:rsidR="005839C8">
        <w:t xml:space="preserve">  It could also put at risk the a</w:t>
      </w:r>
      <w:r w:rsidR="006C7EAE">
        <w:t xml:space="preserve">nalysis that is currently being </w:t>
      </w:r>
      <w:r w:rsidR="005839C8">
        <w:t>performed by</w:t>
      </w:r>
      <w:r w:rsidR="006C7EAE">
        <w:t xml:space="preserve"> those relying on the quarterly LEHD statistics. </w:t>
      </w:r>
      <w:r w:rsidR="005839C8">
        <w:t xml:space="preserve"> </w:t>
      </w:r>
    </w:p>
    <w:p w14:paraId="2AE7B89D" w14:textId="77777777" w:rsidR="00B713DD" w:rsidRDefault="00B713DD" w:rsidP="00B713DD"/>
    <w:p w14:paraId="34090362" w14:textId="77777777" w:rsidR="006C0385" w:rsidRPr="00726BE0" w:rsidRDefault="006C0385"/>
    <w:p w14:paraId="401C263C" w14:textId="77777777" w:rsidR="00456515" w:rsidRPr="00726BE0" w:rsidRDefault="00456515" w:rsidP="00134B8D">
      <w:pPr>
        <w:numPr>
          <w:ilvl w:val="0"/>
          <w:numId w:val="12"/>
        </w:numPr>
        <w:tabs>
          <w:tab w:val="clear" w:pos="585"/>
          <w:tab w:val="num" w:pos="360"/>
        </w:tabs>
        <w:ind w:left="360" w:hanging="360"/>
        <w:rPr>
          <w:u w:val="single"/>
        </w:rPr>
      </w:pPr>
      <w:r w:rsidRPr="00726BE0">
        <w:rPr>
          <w:u w:val="single"/>
        </w:rPr>
        <w:t>Special Circumstances</w:t>
      </w:r>
    </w:p>
    <w:p w14:paraId="2389C1B3" w14:textId="77777777" w:rsidR="0016102B" w:rsidRDefault="0016102B"/>
    <w:p w14:paraId="777AE97E" w14:textId="16231174" w:rsidR="000F1DD7" w:rsidRDefault="000F1DD7">
      <w:r>
        <w:t>There are no special circumstances for the collection of the required input data sets</w:t>
      </w:r>
    </w:p>
    <w:p w14:paraId="415C89E6" w14:textId="77777777" w:rsidR="000F1DD7" w:rsidRDefault="000F1DD7"/>
    <w:p w14:paraId="037D981A" w14:textId="77777777" w:rsidR="001372D3" w:rsidRPr="00726BE0" w:rsidRDefault="001372D3"/>
    <w:p w14:paraId="40F4887C" w14:textId="5C05C26F" w:rsidR="00456515" w:rsidRDefault="00456515" w:rsidP="00134B8D">
      <w:pPr>
        <w:numPr>
          <w:ilvl w:val="0"/>
          <w:numId w:val="1"/>
        </w:numPr>
        <w:tabs>
          <w:tab w:val="clear" w:pos="576"/>
          <w:tab w:val="num" w:pos="360"/>
        </w:tabs>
        <w:ind w:left="360" w:hanging="360"/>
        <w:rPr>
          <w:u w:val="single"/>
        </w:rPr>
      </w:pPr>
      <w:r w:rsidRPr="00726BE0">
        <w:rPr>
          <w:u w:val="single"/>
        </w:rPr>
        <w:t>Federal Register Notice and Consultation</w:t>
      </w:r>
      <w:r w:rsidR="00C65B9C">
        <w:rPr>
          <w:u w:val="single"/>
        </w:rPr>
        <w:t xml:space="preserve"> Outside </w:t>
      </w:r>
      <w:r w:rsidRPr="00726BE0">
        <w:rPr>
          <w:u w:val="single"/>
        </w:rPr>
        <w:t xml:space="preserve">the </w:t>
      </w:r>
      <w:r w:rsidR="00B65D4B">
        <w:rPr>
          <w:u w:val="single"/>
        </w:rPr>
        <w:t>A</w:t>
      </w:r>
      <w:r w:rsidR="00B65D4B" w:rsidRPr="00726BE0">
        <w:rPr>
          <w:u w:val="single"/>
        </w:rPr>
        <w:t>gency</w:t>
      </w:r>
    </w:p>
    <w:p w14:paraId="0A1FACD5" w14:textId="3A4B989C" w:rsidR="00FF4D71" w:rsidRDefault="00FF4D71" w:rsidP="00FF4D71"/>
    <w:p w14:paraId="475D5A6B" w14:textId="2F1CBF08" w:rsidR="00AA2A7A" w:rsidRDefault="00134AC2" w:rsidP="00FF4D71">
      <w:r>
        <w:t>On December 12, 2016 the general public and other Federal agencies were, via the Federal Register</w:t>
      </w:r>
      <w:r w:rsidR="00452285">
        <w:t xml:space="preserve"> (Citation Number: 81 FR 88662)</w:t>
      </w:r>
      <w:r>
        <w:t xml:space="preserve">, invited to provide comments regarding the LEHD program, its methods for collection of required data, and efforts to be in compliance with the </w:t>
      </w:r>
      <w:r w:rsidRPr="00FF4D71">
        <w:t>Paperwork Reduction Act of 1995.</w:t>
      </w:r>
      <w:r>
        <w:t xml:space="preserve">   </w:t>
      </w:r>
    </w:p>
    <w:p w14:paraId="7AD09C09" w14:textId="1A3C7A85" w:rsidR="00AA2A7A" w:rsidRDefault="00AA2A7A" w:rsidP="00FF4D71">
      <w:r>
        <w:t>This notification can be found at</w:t>
      </w:r>
      <w:r w:rsidR="00B9580F">
        <w:t>:</w:t>
      </w:r>
      <w:r>
        <w:t xml:space="preserve"> </w:t>
      </w:r>
    </w:p>
    <w:p w14:paraId="02F9DB6F" w14:textId="77777777" w:rsidR="00AA2A7A" w:rsidRDefault="00AA2A7A" w:rsidP="00FF4D71"/>
    <w:p w14:paraId="1E0A2FE1" w14:textId="6A08B757" w:rsidR="00AA2A7A" w:rsidRDefault="0093463B" w:rsidP="00FF4D71">
      <w:hyperlink r:id="rId9" w:history="1">
        <w:r w:rsidR="00AA2A7A" w:rsidRPr="00AA2A7A">
          <w:rPr>
            <w:rStyle w:val="Hyperlink"/>
          </w:rPr>
          <w:t>https://www.federalregister.gov/documents/2016/12/08/2016-29395/proposed-information-collection-comment-request-longitudinal-employer-household-dynamics-lehd</w:t>
        </w:r>
      </w:hyperlink>
    </w:p>
    <w:p w14:paraId="12F85AE6" w14:textId="77777777" w:rsidR="00AA2A7A" w:rsidRDefault="00AA2A7A" w:rsidP="00FF4D71"/>
    <w:p w14:paraId="3C4E0D46" w14:textId="11E64564" w:rsidR="00134AC2" w:rsidRDefault="00134AC2" w:rsidP="00FF4D71">
      <w:r>
        <w:t xml:space="preserve">Comment period closed on February 6, </w:t>
      </w:r>
      <w:r w:rsidR="00F00BE2">
        <w:t xml:space="preserve">2017 with one comment </w:t>
      </w:r>
      <w:r w:rsidR="00E52447">
        <w:t>received</w:t>
      </w:r>
      <w:r w:rsidR="00B9580F">
        <w:t xml:space="preserve"> (</w:t>
      </w:r>
      <w:r w:rsidR="00E52447">
        <w:t>Attachment A</w:t>
      </w:r>
      <w:r w:rsidR="00B9580F">
        <w:t>)</w:t>
      </w:r>
      <w:r w:rsidR="00E52447">
        <w:t xml:space="preserve"> and </w:t>
      </w:r>
      <w:r w:rsidR="00F00BE2">
        <w:t xml:space="preserve"> Census</w:t>
      </w:r>
      <w:r w:rsidR="00E52447">
        <w:t xml:space="preserve"> Bureau</w:t>
      </w:r>
      <w:r w:rsidR="00F00BE2">
        <w:t xml:space="preserve"> response</w:t>
      </w:r>
      <w:r w:rsidR="00E52447">
        <w:t xml:space="preserve"> </w:t>
      </w:r>
      <w:r w:rsidR="00B9580F">
        <w:t>(</w:t>
      </w:r>
      <w:r w:rsidR="00E52447">
        <w:t>Attachment B</w:t>
      </w:r>
      <w:r w:rsidR="00B9580F">
        <w:t>)</w:t>
      </w:r>
      <w:r w:rsidR="00E52447">
        <w:t>.</w:t>
      </w:r>
    </w:p>
    <w:p w14:paraId="2A0886C2" w14:textId="365561F6" w:rsidR="00F32B3D" w:rsidRDefault="00F32B3D">
      <w:r>
        <w:br w:type="page"/>
      </w:r>
    </w:p>
    <w:p w14:paraId="69AF7CB9" w14:textId="7A4E8851" w:rsidR="0071576F" w:rsidRPr="00AA2A7A" w:rsidRDefault="000851AD" w:rsidP="00910C68">
      <w:r w:rsidRPr="00AA2A7A">
        <w:t>The LED partnership, as described in</w:t>
      </w:r>
      <w:r w:rsidR="00C95799" w:rsidRPr="00AA2A7A">
        <w:t xml:space="preserve"> Section 2 of this document, </w:t>
      </w:r>
      <w:r w:rsidRPr="00AA2A7A">
        <w:t>is governed though a steering committee which is made of up regional representatives of all state partners and subject matter experts from the LEHD program (i.e., administration, project management, research, and dissemination).</w:t>
      </w:r>
      <w:r w:rsidR="0071576F" w:rsidRPr="00AA2A7A">
        <w:t xml:space="preserve">  It is through this committee that the following occurs:</w:t>
      </w:r>
    </w:p>
    <w:p w14:paraId="0F989701" w14:textId="77777777" w:rsidR="0071576F" w:rsidRPr="00AA2A7A" w:rsidRDefault="0071576F" w:rsidP="00910C68"/>
    <w:p w14:paraId="0762DFE9" w14:textId="431D5D91" w:rsidR="00C51E53" w:rsidRPr="00AA2A7A" w:rsidRDefault="0071576F" w:rsidP="0071576F">
      <w:pPr>
        <w:pStyle w:val="ListParagraph"/>
        <w:numPr>
          <w:ilvl w:val="0"/>
          <w:numId w:val="36"/>
        </w:numPr>
      </w:pPr>
      <w:r w:rsidRPr="00AA2A7A">
        <w:t>Recommendations</w:t>
      </w:r>
      <w:r w:rsidR="00C95799" w:rsidRPr="00AA2A7A">
        <w:t xml:space="preserve"> </w:t>
      </w:r>
      <w:r w:rsidR="00AA2A7A" w:rsidRPr="00AA2A7A">
        <w:t>for and</w:t>
      </w:r>
      <w:r w:rsidR="00C95799" w:rsidRPr="00AA2A7A">
        <w:t xml:space="preserve"> evaluations of</w:t>
      </w:r>
      <w:r w:rsidRPr="00AA2A7A">
        <w:t xml:space="preserve"> new data products</w:t>
      </w:r>
    </w:p>
    <w:p w14:paraId="06717C7A" w14:textId="58FA1583" w:rsidR="0071576F" w:rsidRPr="00AA2A7A" w:rsidRDefault="0071576F" w:rsidP="0071576F">
      <w:pPr>
        <w:pStyle w:val="ListParagraph"/>
        <w:numPr>
          <w:ilvl w:val="0"/>
          <w:numId w:val="36"/>
        </w:numPr>
      </w:pPr>
      <w:r w:rsidRPr="00AA2A7A">
        <w:t>Recommendations</w:t>
      </w:r>
      <w:r w:rsidR="00C95799" w:rsidRPr="00AA2A7A">
        <w:t xml:space="preserve"> for</w:t>
      </w:r>
      <w:r w:rsidRPr="00AA2A7A">
        <w:t xml:space="preserve"> and evaluations</w:t>
      </w:r>
      <w:r w:rsidR="00C95799" w:rsidRPr="00AA2A7A">
        <w:t xml:space="preserve"> of</w:t>
      </w:r>
      <w:r w:rsidRPr="00AA2A7A">
        <w:t xml:space="preserve"> enhancements to the current data products</w:t>
      </w:r>
    </w:p>
    <w:p w14:paraId="695805A9" w14:textId="2363D7B1" w:rsidR="0071576F" w:rsidRPr="00AA2A7A" w:rsidRDefault="00C95799" w:rsidP="0071576F">
      <w:pPr>
        <w:pStyle w:val="ListParagraph"/>
        <w:numPr>
          <w:ilvl w:val="0"/>
          <w:numId w:val="36"/>
        </w:numPr>
      </w:pPr>
      <w:r w:rsidRPr="00AA2A7A">
        <w:t>Consultation</w:t>
      </w:r>
      <w:r w:rsidR="0071576F" w:rsidRPr="00AA2A7A">
        <w:t xml:space="preserve"> </w:t>
      </w:r>
      <w:r w:rsidRPr="00AA2A7A">
        <w:t xml:space="preserve">on </w:t>
      </w:r>
      <w:r w:rsidR="0071576F" w:rsidRPr="00AA2A7A">
        <w:t>and review of changes to the data products</w:t>
      </w:r>
    </w:p>
    <w:p w14:paraId="44624857" w14:textId="5A489DDF" w:rsidR="0071576F" w:rsidRPr="00AA2A7A" w:rsidRDefault="00C95799" w:rsidP="0071576F">
      <w:pPr>
        <w:pStyle w:val="ListParagraph"/>
        <w:numPr>
          <w:ilvl w:val="0"/>
          <w:numId w:val="36"/>
        </w:numPr>
      </w:pPr>
      <w:r w:rsidRPr="00AA2A7A">
        <w:t>Consultation on</w:t>
      </w:r>
      <w:r w:rsidR="0071576F" w:rsidRPr="00AA2A7A">
        <w:t xml:space="preserve"> promotion </w:t>
      </w:r>
      <w:r w:rsidR="00AA2A7A" w:rsidRPr="00AA2A7A">
        <w:t>of training</w:t>
      </w:r>
      <w:r w:rsidR="0071576F" w:rsidRPr="00AA2A7A">
        <w:t xml:space="preserve"> on the data products and supporting web applications</w:t>
      </w:r>
    </w:p>
    <w:p w14:paraId="42EEAD12" w14:textId="2D93A80F" w:rsidR="0071576F" w:rsidRPr="00AA2A7A" w:rsidRDefault="00C95799" w:rsidP="0071576F">
      <w:pPr>
        <w:pStyle w:val="ListParagraph"/>
        <w:numPr>
          <w:ilvl w:val="0"/>
          <w:numId w:val="36"/>
        </w:numPr>
      </w:pPr>
      <w:r w:rsidRPr="00AA2A7A">
        <w:t>Consultation on the p</w:t>
      </w:r>
      <w:r w:rsidR="0071576F" w:rsidRPr="00AA2A7A">
        <w:t>lanning and execution of the annual LED Partnership Workshop which provides a venue to promote use of the data products and supporting web applications</w:t>
      </w:r>
    </w:p>
    <w:p w14:paraId="0C7E79AC" w14:textId="77777777" w:rsidR="0071576F" w:rsidRPr="00AA2A7A" w:rsidRDefault="0071576F" w:rsidP="0071576F"/>
    <w:p w14:paraId="7A0758B9" w14:textId="78E62442" w:rsidR="0071576F" w:rsidRDefault="0071576F" w:rsidP="0071576F">
      <w:r w:rsidRPr="00AA2A7A">
        <w:t>The LEHD program also gains input on its data products by regular consultations with the academic community and other Federal agencies.</w:t>
      </w:r>
      <w:r>
        <w:t xml:space="preserve"> </w:t>
      </w:r>
    </w:p>
    <w:p w14:paraId="69C9D966" w14:textId="0440C7C9" w:rsidR="0016102B" w:rsidRDefault="0016102B"/>
    <w:p w14:paraId="443D0F2F" w14:textId="77777777" w:rsidR="001372D3" w:rsidRDefault="001372D3"/>
    <w:p w14:paraId="54CA0E62" w14:textId="4A48E6C4" w:rsidR="00456515" w:rsidRPr="00726BE0" w:rsidRDefault="00456515" w:rsidP="00134B8D">
      <w:pPr>
        <w:tabs>
          <w:tab w:val="left" w:pos="360"/>
        </w:tabs>
        <w:ind w:left="360" w:hanging="360"/>
        <w:rPr>
          <w:u w:val="single"/>
        </w:rPr>
      </w:pPr>
      <w:r w:rsidRPr="00726BE0">
        <w:t xml:space="preserve">9.  </w:t>
      </w:r>
      <w:r w:rsidR="00134B8D">
        <w:tab/>
      </w:r>
      <w:r w:rsidRPr="00726BE0">
        <w:rPr>
          <w:u w:val="single"/>
        </w:rPr>
        <w:t>Payment to Respondents</w:t>
      </w:r>
    </w:p>
    <w:p w14:paraId="0CB82E3B" w14:textId="77777777" w:rsidR="00456515" w:rsidRDefault="00456515"/>
    <w:p w14:paraId="53929CAF" w14:textId="52F8849D" w:rsidR="000F1DD7" w:rsidRDefault="000F1DD7">
      <w:r>
        <w:t>No payment is made to any agency which provides data to the LEHD program</w:t>
      </w:r>
    </w:p>
    <w:p w14:paraId="05EDE632" w14:textId="1C4F8B6D" w:rsidR="001372D3" w:rsidRDefault="001372D3"/>
    <w:p w14:paraId="10D235E6" w14:textId="0F9C54B9" w:rsidR="00456515" w:rsidRPr="00726BE0" w:rsidRDefault="00456515" w:rsidP="00134B8D">
      <w:pPr>
        <w:tabs>
          <w:tab w:val="left" w:pos="360"/>
        </w:tabs>
        <w:ind w:left="360" w:hanging="360"/>
        <w:rPr>
          <w:u w:val="single"/>
        </w:rPr>
      </w:pPr>
      <w:r w:rsidRPr="00726BE0">
        <w:t>10.</w:t>
      </w:r>
      <w:r w:rsidR="00134B8D">
        <w:tab/>
      </w:r>
      <w:r w:rsidRPr="00726BE0">
        <w:t xml:space="preserve"> </w:t>
      </w:r>
      <w:r w:rsidR="00C65B9C" w:rsidRPr="00C65B9C">
        <w:rPr>
          <w:u w:val="single"/>
        </w:rPr>
        <w:t>Assurance</w:t>
      </w:r>
      <w:r w:rsidR="00734240" w:rsidRPr="00BE1BE4">
        <w:rPr>
          <w:u w:val="single"/>
        </w:rPr>
        <w:t xml:space="preserve"> of </w:t>
      </w:r>
      <w:r w:rsidRPr="00C65B9C">
        <w:rPr>
          <w:u w:val="single"/>
        </w:rPr>
        <w:t>Confidential</w:t>
      </w:r>
      <w:r w:rsidR="00734240" w:rsidRPr="00C65B9C">
        <w:rPr>
          <w:u w:val="single"/>
        </w:rPr>
        <w:t>ity</w:t>
      </w:r>
      <w:r w:rsidRPr="00726BE0">
        <w:rPr>
          <w:u w:val="single"/>
        </w:rPr>
        <w:t xml:space="preserve"> </w:t>
      </w:r>
    </w:p>
    <w:p w14:paraId="7CE390B3" w14:textId="77777777" w:rsidR="0016102B" w:rsidRDefault="0016102B"/>
    <w:p w14:paraId="2C4CDA43" w14:textId="2DAB8E4A" w:rsidR="00D00E3A" w:rsidRDefault="0064662D" w:rsidP="0064662D">
      <w:r>
        <w:t xml:space="preserve">All tabulations from the LEHD data </w:t>
      </w:r>
      <w:r w:rsidR="00417191">
        <w:t>may be</w:t>
      </w:r>
      <w:r>
        <w:t xml:space="preserve"> released </w:t>
      </w:r>
      <w:r w:rsidR="00C91C82">
        <w:t xml:space="preserve">only </w:t>
      </w:r>
      <w:r>
        <w:t>if they follow a procedure approved by the U.S. Census Bureau’s Disclosure Review Board (DRB)</w:t>
      </w:r>
      <w:r w:rsidR="00C91C82">
        <w:t>,</w:t>
      </w:r>
      <w:r w:rsidR="001372D3">
        <w:t xml:space="preserve"> </w:t>
      </w:r>
      <w:r>
        <w:t xml:space="preserve">the primary body </w:t>
      </w:r>
      <w:r w:rsidR="00C91C82">
        <w:t>governing</w:t>
      </w:r>
      <w:r>
        <w:t xml:space="preserve"> th</w:t>
      </w:r>
      <w:r w:rsidR="00D00E3A">
        <w:t>e release of any public use data</w:t>
      </w:r>
      <w:r>
        <w:t xml:space="preserve">.  </w:t>
      </w:r>
      <w:r w:rsidR="00C91C82">
        <w:t xml:space="preserve">  The partnership</w:t>
      </w:r>
      <w:r w:rsidR="00D00E3A">
        <w:t xml:space="preserve"> MOUs</w:t>
      </w:r>
      <w:r w:rsidR="00C91C82">
        <w:t xml:space="preserve"> also specify</w:t>
      </w:r>
      <w:r w:rsidR="00467DD4">
        <w:t xml:space="preserve"> </w:t>
      </w:r>
      <w:r w:rsidR="00417191">
        <w:t>guidelines governing the</w:t>
      </w:r>
      <w:r>
        <w:t xml:space="preserve"> release of data at</w:t>
      </w:r>
      <w:r w:rsidR="00D00E3A">
        <w:t xml:space="preserve"> the state or sub-state level</w:t>
      </w:r>
      <w:r w:rsidR="00467DD4">
        <w:t xml:space="preserve">, such as a requirement of </w:t>
      </w:r>
      <w:r w:rsidR="00D00E3A">
        <w:t xml:space="preserve">state approval </w:t>
      </w:r>
      <w:r w:rsidR="00467DD4">
        <w:t>for use of</w:t>
      </w:r>
      <w:r w:rsidR="00D00E3A">
        <w:t xml:space="preserve"> their data for</w:t>
      </w:r>
      <w:r w:rsidR="001372D3">
        <w:t xml:space="preserve"> </w:t>
      </w:r>
      <w:r w:rsidR="00D00E3A">
        <w:t>specific research project</w:t>
      </w:r>
      <w:r w:rsidR="00467DD4">
        <w:t>s</w:t>
      </w:r>
      <w:r w:rsidR="00D00E3A">
        <w:t xml:space="preserve">.  </w:t>
      </w:r>
      <w:r>
        <w:t>There are, broadly, two types of activities that require researchers to go before the</w:t>
      </w:r>
      <w:r w:rsidR="00D00E3A">
        <w:t xml:space="preserve"> DRB which are:</w:t>
      </w:r>
    </w:p>
    <w:p w14:paraId="5D7B016B" w14:textId="77777777" w:rsidR="00D00E3A" w:rsidRDefault="00D00E3A" w:rsidP="0064662D"/>
    <w:p w14:paraId="661E60B7" w14:textId="77777777" w:rsidR="00D00E3A" w:rsidRDefault="0064662D" w:rsidP="007974C8">
      <w:pPr>
        <w:pStyle w:val="ListParagraph"/>
        <w:numPr>
          <w:ilvl w:val="0"/>
          <w:numId w:val="34"/>
        </w:numPr>
      </w:pPr>
      <w:r>
        <w:t>Regular production of one of LEHD’s data products such as the Quarterly Workforce Indicators, OnTheMap/LEHD Origin-Destination Employment Statistics (LODES), etc.</w:t>
      </w:r>
      <w:r w:rsidR="00D00E3A">
        <w:t xml:space="preserve">  </w:t>
      </w:r>
      <w:r>
        <w:t>For these, procedures are approved in advance of the regular production of the statistical data product.  The data product is approved for release thereafter provided the protocols the DRB approves are followed.</w:t>
      </w:r>
    </w:p>
    <w:p w14:paraId="31222392" w14:textId="77777777" w:rsidR="00D00E3A" w:rsidRDefault="00D00E3A" w:rsidP="00D00E3A"/>
    <w:p w14:paraId="36734F7F" w14:textId="4C754B3F" w:rsidR="00D00E3A" w:rsidRDefault="007974C8" w:rsidP="007974C8">
      <w:pPr>
        <w:pStyle w:val="ListParagraph"/>
        <w:numPr>
          <w:ilvl w:val="0"/>
          <w:numId w:val="34"/>
        </w:numPr>
      </w:pPr>
      <w:r>
        <w:t>Published tabular summaries of linked employer-employee data usually use a job</w:t>
      </w:r>
      <w:r w:rsidR="00D00E3A">
        <w:t xml:space="preserve"> </w:t>
      </w:r>
      <w:r>
        <w:t>frame (</w:t>
      </w:r>
      <w:r w:rsidR="00D00E3A">
        <w:t xml:space="preserve">e.g., </w:t>
      </w:r>
      <w:r>
        <w:t>statutory employer linked to a specific employee) but include characteristics of both the individual</w:t>
      </w:r>
      <w:r w:rsidR="00D00E3A">
        <w:t xml:space="preserve"> </w:t>
      </w:r>
      <w:r>
        <w:t>(employee) and workplace (employer establishment). Formal privacy protection of these</w:t>
      </w:r>
      <w:r w:rsidR="00D00E3A">
        <w:t xml:space="preserve"> </w:t>
      </w:r>
      <w:r>
        <w:t xml:space="preserve">characteristics requires </w:t>
      </w:r>
      <w:r w:rsidR="00417191">
        <w:t>identifying the</w:t>
      </w:r>
      <w:r>
        <w:t xml:space="preserve"> sensitivity of the published statistic to variation in a single individual</w:t>
      </w:r>
      <w:r w:rsidR="00D00E3A">
        <w:t xml:space="preserve"> </w:t>
      </w:r>
      <w:r>
        <w:t xml:space="preserve">or a single workplace (establishment). </w:t>
      </w:r>
    </w:p>
    <w:p w14:paraId="059131C8" w14:textId="31F72A6C" w:rsidR="00417191" w:rsidRDefault="00417191">
      <w:r>
        <w:br w:type="page"/>
      </w:r>
    </w:p>
    <w:p w14:paraId="7A94EE2B" w14:textId="5B3FF081" w:rsidR="00456515" w:rsidRPr="00726BE0" w:rsidRDefault="00456515" w:rsidP="00134B8D">
      <w:pPr>
        <w:tabs>
          <w:tab w:val="left" w:pos="360"/>
        </w:tabs>
        <w:ind w:left="360" w:hanging="360"/>
      </w:pPr>
      <w:r w:rsidRPr="00726BE0">
        <w:t>11.</w:t>
      </w:r>
      <w:r w:rsidR="00134B8D">
        <w:tab/>
      </w:r>
      <w:r w:rsidR="00C65B9C" w:rsidRPr="00B65D4B">
        <w:rPr>
          <w:u w:val="single"/>
        </w:rPr>
        <w:t xml:space="preserve">Justification </w:t>
      </w:r>
      <w:r w:rsidR="00C65B9C">
        <w:rPr>
          <w:u w:val="single"/>
        </w:rPr>
        <w:t>for</w:t>
      </w:r>
      <w:r w:rsidR="00C65B9C" w:rsidRPr="00B65D4B">
        <w:rPr>
          <w:u w:val="single"/>
        </w:rPr>
        <w:t xml:space="preserve"> </w:t>
      </w:r>
      <w:r w:rsidRPr="00C65B9C">
        <w:rPr>
          <w:u w:val="single"/>
        </w:rPr>
        <w:t xml:space="preserve">Sensitive </w:t>
      </w:r>
      <w:r w:rsidR="00C65B9C" w:rsidRPr="00C65B9C">
        <w:rPr>
          <w:u w:val="single"/>
        </w:rPr>
        <w:t>Questions</w:t>
      </w:r>
      <w:r w:rsidR="00C65B9C" w:rsidRPr="00726BE0">
        <w:t xml:space="preserve"> </w:t>
      </w:r>
    </w:p>
    <w:p w14:paraId="4767F3E5" w14:textId="77777777" w:rsidR="0064662D" w:rsidRDefault="0064662D" w:rsidP="00F74E38"/>
    <w:p w14:paraId="7A0468A9" w14:textId="29DD539E" w:rsidR="0064662D" w:rsidRDefault="001E74BE" w:rsidP="00F74E38">
      <w:r>
        <w:t>T</w:t>
      </w:r>
      <w:r w:rsidR="0064662D">
        <w:t xml:space="preserve">he LEHD program only uses </w:t>
      </w:r>
      <w:r w:rsidR="00D00E3A">
        <w:t>administrative</w:t>
      </w:r>
      <w:r w:rsidR="0064662D">
        <w:t xml:space="preserve"> data that ha</w:t>
      </w:r>
      <w:r>
        <w:t>ve</w:t>
      </w:r>
      <w:r w:rsidR="0064662D">
        <w:t xml:space="preserve"> been compiled by other Federal and State agencies.   As such, no questionnaire</w:t>
      </w:r>
      <w:r w:rsidR="00D00E3A">
        <w:t xml:space="preserve"> is used </w:t>
      </w:r>
      <w:r w:rsidR="0064662D">
        <w:t>that would contain any sensitive questions.</w:t>
      </w:r>
    </w:p>
    <w:p w14:paraId="01DA8680" w14:textId="77777777" w:rsidR="0016102B" w:rsidRDefault="0016102B" w:rsidP="00F74E38"/>
    <w:p w14:paraId="329F9C73" w14:textId="77777777" w:rsidR="001372D3" w:rsidRPr="00726BE0" w:rsidRDefault="001372D3" w:rsidP="00F74E38"/>
    <w:p w14:paraId="24AE65FC" w14:textId="2A3D40F4" w:rsidR="00F74E38" w:rsidRPr="00726BE0" w:rsidRDefault="00F74E38" w:rsidP="00134B8D">
      <w:pPr>
        <w:tabs>
          <w:tab w:val="left" w:pos="360"/>
        </w:tabs>
        <w:ind w:left="360" w:hanging="360"/>
        <w:rPr>
          <w:u w:val="single"/>
        </w:rPr>
      </w:pPr>
      <w:r w:rsidRPr="00726BE0">
        <w:t>12.</w:t>
      </w:r>
      <w:r w:rsidR="00134B8D">
        <w:tab/>
      </w:r>
      <w:r w:rsidRPr="00726BE0">
        <w:rPr>
          <w:u w:val="single"/>
        </w:rPr>
        <w:t xml:space="preserve">Estimates of </w:t>
      </w:r>
      <w:r w:rsidR="00734240">
        <w:rPr>
          <w:u w:val="single"/>
        </w:rPr>
        <w:t xml:space="preserve">Respondent </w:t>
      </w:r>
      <w:r w:rsidRPr="00726BE0">
        <w:rPr>
          <w:u w:val="single"/>
        </w:rPr>
        <w:t>Burden</w:t>
      </w:r>
    </w:p>
    <w:p w14:paraId="1682E64B" w14:textId="77777777" w:rsidR="00F74E38" w:rsidRDefault="00F74E38" w:rsidP="00F74E38"/>
    <w:p w14:paraId="35E85938" w14:textId="3C879E27" w:rsidR="00916357" w:rsidRDefault="00697F27" w:rsidP="00E406B9">
      <w:r w:rsidRPr="00417191">
        <w:t xml:space="preserve">The Program’s use of administrative data was designed </w:t>
      </w:r>
      <w:r w:rsidR="00916357" w:rsidRPr="00417191">
        <w:t>to minimize th</w:t>
      </w:r>
      <w:r w:rsidRPr="00417191">
        <w:t>e level of effort (</w:t>
      </w:r>
      <w:r w:rsidR="00E406B9" w:rsidRPr="00417191">
        <w:t>LOE) by</w:t>
      </w:r>
      <w:r w:rsidR="00916357" w:rsidRPr="00417191">
        <w:t xml:space="preserve"> </w:t>
      </w:r>
      <w:r w:rsidRPr="00417191">
        <w:t xml:space="preserve">partner agencies when providing </w:t>
      </w:r>
      <w:r w:rsidR="00E406B9">
        <w:t xml:space="preserve">their data.  </w:t>
      </w:r>
      <w:r w:rsidR="00916357" w:rsidRPr="00417191">
        <w:t xml:space="preserve">Some of the data sets used are from public sources or from within </w:t>
      </w:r>
      <w:r w:rsidR="00413948" w:rsidRPr="00417191">
        <w:t>the Census Bureau.  L</w:t>
      </w:r>
      <w:r w:rsidR="00916357" w:rsidRPr="00417191">
        <w:t>oad</w:t>
      </w:r>
      <w:r w:rsidR="00413948" w:rsidRPr="00417191">
        <w:t>ing</w:t>
      </w:r>
      <w:r w:rsidR="00916357" w:rsidRPr="00417191">
        <w:t xml:space="preserve"> </w:t>
      </w:r>
      <w:r w:rsidR="00E406B9">
        <w:t xml:space="preserve">of </w:t>
      </w:r>
      <w:r w:rsidR="00916357" w:rsidRPr="00417191">
        <w:t xml:space="preserve">these data sets </w:t>
      </w:r>
      <w:r w:rsidR="00E406B9">
        <w:t xml:space="preserve">is accomplished by </w:t>
      </w:r>
      <w:r w:rsidR="00413948" w:rsidRPr="00417191">
        <w:t>employ</w:t>
      </w:r>
      <w:r w:rsidR="00E406B9">
        <w:t>ing</w:t>
      </w:r>
      <w:r w:rsidR="00413948" w:rsidRPr="00417191">
        <w:t xml:space="preserve"> commercially-available</w:t>
      </w:r>
      <w:r w:rsidR="00916357" w:rsidRPr="00417191">
        <w:t xml:space="preserve"> </w:t>
      </w:r>
      <w:r w:rsidR="00413948" w:rsidRPr="00417191">
        <w:t xml:space="preserve">technology for </w:t>
      </w:r>
      <w:r w:rsidR="0016541E">
        <w:t xml:space="preserve">secure </w:t>
      </w:r>
      <w:r w:rsidR="00413948" w:rsidRPr="00417191">
        <w:t>file transfer.</w:t>
      </w:r>
      <w:r w:rsidR="00E406B9">
        <w:t xml:space="preserve">  </w:t>
      </w:r>
      <w:r w:rsidR="00413948" w:rsidRPr="00417191">
        <w:t xml:space="preserve">The amount of time </w:t>
      </w:r>
      <w:r w:rsidR="00E406B9" w:rsidRPr="00417191">
        <w:t>needed to</w:t>
      </w:r>
      <w:r w:rsidR="00413948" w:rsidRPr="00417191">
        <w:t xml:space="preserve"> collect and transfer data from state partners</w:t>
      </w:r>
      <w:r w:rsidR="00520633" w:rsidRPr="00417191">
        <w:t xml:space="preserve"> is</w:t>
      </w:r>
      <w:r w:rsidR="00413948" w:rsidRPr="00417191">
        <w:t xml:space="preserve"> also </w:t>
      </w:r>
      <w:r w:rsidR="00AE2EF4" w:rsidRPr="00417191">
        <w:t>small</w:t>
      </w:r>
      <w:r w:rsidR="00413948" w:rsidRPr="00417191">
        <w:t xml:space="preserve">. </w:t>
      </w:r>
      <w:r w:rsidR="00D96A6D" w:rsidRPr="00417191">
        <w:t xml:space="preserve">It is estimated that the LOE </w:t>
      </w:r>
      <w:r w:rsidR="00AE2EF4" w:rsidRPr="00417191">
        <w:t>needed</w:t>
      </w:r>
      <w:r w:rsidR="00D96A6D" w:rsidRPr="00417191">
        <w:t xml:space="preserve"> for this transfer is less than 4 hours per</w:t>
      </w:r>
      <w:r w:rsidR="00520633" w:rsidRPr="00417191">
        <w:t xml:space="preserve"> state partner per</w:t>
      </w:r>
      <w:r w:rsidR="00D96A6D" w:rsidRPr="00417191">
        <w:t xml:space="preserve"> quarter. However, </w:t>
      </w:r>
      <w:r w:rsidR="00916357" w:rsidRPr="00417191">
        <w:t>additional effort</w:t>
      </w:r>
      <w:r w:rsidR="00520633" w:rsidRPr="00417191">
        <w:t xml:space="preserve"> may be </w:t>
      </w:r>
      <w:r w:rsidR="00AE2EF4" w:rsidRPr="00417191">
        <w:t>necessary</w:t>
      </w:r>
      <w:r w:rsidR="00520633" w:rsidRPr="00417191">
        <w:t xml:space="preserve"> by </w:t>
      </w:r>
      <w:r w:rsidR="00AE2EF4" w:rsidRPr="00417191">
        <w:t xml:space="preserve">a </w:t>
      </w:r>
      <w:r w:rsidR="00916357" w:rsidRPr="00417191">
        <w:t xml:space="preserve">state agency when there is a discrepancy </w:t>
      </w:r>
      <w:r w:rsidR="00520633" w:rsidRPr="00417191">
        <w:t xml:space="preserve">such as an incorrect address or a missing observation </w:t>
      </w:r>
      <w:r w:rsidR="00916357" w:rsidRPr="00417191">
        <w:t>in the data set that needs correction</w:t>
      </w:r>
      <w:r w:rsidR="00520633" w:rsidRPr="00417191">
        <w:t xml:space="preserve">.  In this case, </w:t>
      </w:r>
      <w:r w:rsidR="00916357" w:rsidRPr="00417191">
        <w:t xml:space="preserve">the LEHD </w:t>
      </w:r>
      <w:r w:rsidR="00520633" w:rsidRPr="00417191">
        <w:t>analysts</w:t>
      </w:r>
      <w:r w:rsidR="00916357" w:rsidRPr="00417191">
        <w:t xml:space="preserve"> work with the sending agencies</w:t>
      </w:r>
      <w:r w:rsidR="00E406B9">
        <w:t xml:space="preserve"> </w:t>
      </w:r>
      <w:r w:rsidR="00520633" w:rsidRPr="00417191">
        <w:t xml:space="preserve">to evaluate the </w:t>
      </w:r>
      <w:r w:rsidR="00916357" w:rsidRPr="00417191">
        <w:t>error and</w:t>
      </w:r>
      <w:r w:rsidR="00520633" w:rsidRPr="00417191">
        <w:t>, if necessary,</w:t>
      </w:r>
      <w:r w:rsidR="00916357" w:rsidRPr="00417191">
        <w:t xml:space="preserve"> provide a recommended method for remediation.</w:t>
      </w:r>
      <w:r w:rsidR="00916357">
        <w:t xml:space="preserve">   </w:t>
      </w:r>
    </w:p>
    <w:p w14:paraId="39CB12FD" w14:textId="649B241F" w:rsidR="00AC4E2A" w:rsidRDefault="00AC4E2A" w:rsidP="00E406B9"/>
    <w:p w14:paraId="2EC5B62B" w14:textId="4031D898" w:rsidR="00AC4E2A" w:rsidRDefault="00AC4E2A" w:rsidP="00E406B9">
      <w:r>
        <w:t>Overall we estimate that the total number of annual burden hours to be approximately 1,</w:t>
      </w:r>
      <w:r w:rsidR="00FC3EF4">
        <w:t>664</w:t>
      </w:r>
      <w:r>
        <w:t xml:space="preserve"> </w:t>
      </w:r>
      <w:r w:rsidR="0026039B">
        <w:t xml:space="preserve">man </w:t>
      </w:r>
      <w:r>
        <w:t>hours.   This estimate is based on the following:</w:t>
      </w:r>
    </w:p>
    <w:p w14:paraId="1F681FCF" w14:textId="36E8977A" w:rsidR="00AC4E2A" w:rsidRDefault="00AC4E2A" w:rsidP="00E406B9"/>
    <w:p w14:paraId="3CE8425D" w14:textId="4A00BD22" w:rsidR="0064662D" w:rsidRDefault="00AC4E2A" w:rsidP="00FC3EF4">
      <w:pPr>
        <w:pStyle w:val="ListParagraph"/>
        <w:numPr>
          <w:ilvl w:val="0"/>
          <w:numId w:val="41"/>
        </w:numPr>
      </w:pPr>
      <w:r>
        <w:t xml:space="preserve">Each state partner (52) will spend an average of 8 </w:t>
      </w:r>
      <w:r w:rsidR="0026039B">
        <w:t xml:space="preserve">man </w:t>
      </w:r>
      <w:r>
        <w:t>hours per annual quarter to prepare and send their data to the Census Bureau as well as resolve any data quality issues (i.e., resending of data).  This would be approximately 1,664</w:t>
      </w:r>
      <w:r w:rsidR="00A008A3">
        <w:t>.</w:t>
      </w:r>
      <w:r>
        <w:t xml:space="preserve">   </w:t>
      </w:r>
    </w:p>
    <w:p w14:paraId="33554020" w14:textId="11C2CB2C" w:rsidR="00FC3EF4" w:rsidRDefault="00FC3EF4" w:rsidP="00FC3EF4">
      <w:pPr>
        <w:pStyle w:val="ListParagraph"/>
      </w:pPr>
    </w:p>
    <w:p w14:paraId="78F9073C" w14:textId="052D9E45" w:rsidR="00741C55" w:rsidRDefault="00741C55" w:rsidP="00741C55">
      <w:pPr>
        <w:pStyle w:val="ListParagraph"/>
        <w:numPr>
          <w:ilvl w:val="0"/>
          <w:numId w:val="41"/>
        </w:numPr>
      </w:pPr>
      <w:r>
        <w:t>Based on an estimated average loaded per hour labor rate of $50.00, the estimated costs for the States to provide their wage record data to the Census Bureau is $83,200.</w:t>
      </w:r>
    </w:p>
    <w:p w14:paraId="006B94B5" w14:textId="77777777" w:rsidR="00741C55" w:rsidRDefault="00741C55" w:rsidP="00741C55">
      <w:pPr>
        <w:pStyle w:val="ListParagraph"/>
      </w:pPr>
    </w:p>
    <w:p w14:paraId="421D5F89" w14:textId="77777777" w:rsidR="00741C55" w:rsidRPr="00726BE0" w:rsidRDefault="00741C55" w:rsidP="00741C55">
      <w:pPr>
        <w:pStyle w:val="ListParagraph"/>
      </w:pPr>
    </w:p>
    <w:p w14:paraId="36C980F8" w14:textId="4FA30AEA" w:rsidR="00F74E38" w:rsidRPr="00726BE0" w:rsidRDefault="00F74E38" w:rsidP="00C65B9C">
      <w:pPr>
        <w:numPr>
          <w:ilvl w:val="0"/>
          <w:numId w:val="14"/>
        </w:numPr>
        <w:tabs>
          <w:tab w:val="clear" w:pos="420"/>
          <w:tab w:val="num" w:pos="360"/>
        </w:tabs>
        <w:rPr>
          <w:u w:val="single"/>
        </w:rPr>
      </w:pPr>
      <w:r w:rsidRPr="00726BE0">
        <w:rPr>
          <w:u w:val="single"/>
        </w:rPr>
        <w:t>Estimate of Cost Burden to Respondents</w:t>
      </w:r>
      <w:r w:rsidR="00C65B9C">
        <w:rPr>
          <w:u w:val="single"/>
        </w:rPr>
        <w:t xml:space="preserve"> </w:t>
      </w:r>
    </w:p>
    <w:p w14:paraId="756ED2D4" w14:textId="77777777" w:rsidR="0016102B" w:rsidRDefault="0016102B" w:rsidP="00F74E38"/>
    <w:p w14:paraId="77D3DDEF" w14:textId="42FBBFF9" w:rsidR="00916357" w:rsidRDefault="00256CE0">
      <w:r>
        <w:t>Minimal additional costs to respondents are anticipated as  processes</w:t>
      </w:r>
      <w:r w:rsidR="00916357">
        <w:t xml:space="preserve"> for moving data onto appropriate agency data sharing servers and uploading of data to Census secure servers in fairly automated.   </w:t>
      </w:r>
    </w:p>
    <w:p w14:paraId="1BB362EA" w14:textId="77777777" w:rsidR="00916357" w:rsidRDefault="00916357"/>
    <w:p w14:paraId="5DCDDB23" w14:textId="77777777" w:rsidR="00D00E3A" w:rsidRPr="00726BE0" w:rsidRDefault="00D00E3A" w:rsidP="00F74E38"/>
    <w:p w14:paraId="3F4D4FAD" w14:textId="76C40F53" w:rsidR="00F74E38" w:rsidRPr="00940864" w:rsidRDefault="00F74E38" w:rsidP="00134B8D">
      <w:pPr>
        <w:tabs>
          <w:tab w:val="left" w:pos="360"/>
        </w:tabs>
        <w:ind w:left="360" w:hanging="360"/>
      </w:pPr>
      <w:r w:rsidRPr="00940864">
        <w:t xml:space="preserve">14. </w:t>
      </w:r>
      <w:r w:rsidRPr="00940864">
        <w:rPr>
          <w:u w:val="single"/>
        </w:rPr>
        <w:t>Cost to the Government</w:t>
      </w:r>
    </w:p>
    <w:p w14:paraId="175E4C6D" w14:textId="77777777" w:rsidR="00F74E38" w:rsidRDefault="00F74E38" w:rsidP="00F74E38"/>
    <w:p w14:paraId="3D5CAEE6" w14:textId="4A7449DC" w:rsidR="00D00E3A" w:rsidRDefault="00D00E3A" w:rsidP="00F74E38">
      <w:r>
        <w:t xml:space="preserve">The </w:t>
      </w:r>
      <w:r w:rsidR="00EF688C">
        <w:t xml:space="preserve">estimated costs to generate the LEHD </w:t>
      </w:r>
      <w:r>
        <w:t>infrastructure files and subsequent data products are best defined in the following table:</w:t>
      </w:r>
    </w:p>
    <w:p w14:paraId="107AF5FF" w14:textId="77777777" w:rsidR="00D00E3A" w:rsidRDefault="00D00E3A" w:rsidP="00F74E38"/>
    <w:tbl>
      <w:tblPr>
        <w:tblStyle w:val="TableGrid"/>
        <w:tblW w:w="0" w:type="auto"/>
        <w:tblLook w:val="04A0" w:firstRow="1" w:lastRow="0" w:firstColumn="1" w:lastColumn="0" w:noHBand="0" w:noVBand="1"/>
      </w:tblPr>
      <w:tblGrid>
        <w:gridCol w:w="2394"/>
        <w:gridCol w:w="3294"/>
        <w:gridCol w:w="1980"/>
        <w:gridCol w:w="1908"/>
      </w:tblGrid>
      <w:tr w:rsidR="00D00E3A" w14:paraId="52575BAB" w14:textId="77777777" w:rsidTr="0016541E">
        <w:trPr>
          <w:cantSplit/>
          <w:tblHeader/>
        </w:trPr>
        <w:tc>
          <w:tcPr>
            <w:tcW w:w="2394" w:type="dxa"/>
          </w:tcPr>
          <w:p w14:paraId="341CA604" w14:textId="7C648EBA" w:rsidR="00D00E3A" w:rsidRPr="0016541E" w:rsidRDefault="00D00E3A" w:rsidP="00F74E38">
            <w:pPr>
              <w:rPr>
                <w:b/>
              </w:rPr>
            </w:pPr>
            <w:r w:rsidRPr="0016541E">
              <w:rPr>
                <w:b/>
              </w:rPr>
              <w:t>Product</w:t>
            </w:r>
          </w:p>
        </w:tc>
        <w:tc>
          <w:tcPr>
            <w:tcW w:w="3294" w:type="dxa"/>
          </w:tcPr>
          <w:p w14:paraId="4A19BBF9" w14:textId="38C46D15" w:rsidR="00D00E3A" w:rsidRPr="0016541E" w:rsidRDefault="00D00E3A" w:rsidP="00F74E38">
            <w:pPr>
              <w:rPr>
                <w:b/>
              </w:rPr>
            </w:pPr>
            <w:r w:rsidRPr="0016541E">
              <w:rPr>
                <w:b/>
              </w:rPr>
              <w:t>Description</w:t>
            </w:r>
          </w:p>
        </w:tc>
        <w:tc>
          <w:tcPr>
            <w:tcW w:w="1980" w:type="dxa"/>
          </w:tcPr>
          <w:p w14:paraId="595AA5FB" w14:textId="77777777" w:rsidR="00D00E3A" w:rsidRPr="0016541E" w:rsidRDefault="00D00E3A" w:rsidP="00F74E38">
            <w:pPr>
              <w:rPr>
                <w:b/>
              </w:rPr>
            </w:pPr>
            <w:r w:rsidRPr="0016541E">
              <w:rPr>
                <w:b/>
              </w:rPr>
              <w:t>Level of Effort</w:t>
            </w:r>
          </w:p>
          <w:p w14:paraId="584D1519" w14:textId="059E634E" w:rsidR="00D00E3A" w:rsidRPr="0016541E" w:rsidRDefault="00D00E3A" w:rsidP="00F74E38">
            <w:pPr>
              <w:rPr>
                <w:b/>
              </w:rPr>
            </w:pPr>
            <w:r w:rsidRPr="0016541E">
              <w:rPr>
                <w:b/>
              </w:rPr>
              <w:t>Annual</w:t>
            </w:r>
          </w:p>
        </w:tc>
        <w:tc>
          <w:tcPr>
            <w:tcW w:w="1908" w:type="dxa"/>
          </w:tcPr>
          <w:p w14:paraId="79E83D86" w14:textId="77777777" w:rsidR="00D00E3A" w:rsidRPr="0016541E" w:rsidRDefault="00D00E3A" w:rsidP="00F74E38">
            <w:pPr>
              <w:rPr>
                <w:b/>
              </w:rPr>
            </w:pPr>
            <w:r w:rsidRPr="0016541E">
              <w:rPr>
                <w:b/>
              </w:rPr>
              <w:t>Estimated Cost</w:t>
            </w:r>
          </w:p>
          <w:p w14:paraId="202F5187" w14:textId="5D8D29CD" w:rsidR="00B364AB" w:rsidRPr="0016541E" w:rsidRDefault="00B364AB" w:rsidP="00F74E38">
            <w:pPr>
              <w:rPr>
                <w:b/>
              </w:rPr>
            </w:pPr>
            <w:r w:rsidRPr="0016541E">
              <w:rPr>
                <w:b/>
              </w:rPr>
              <w:t>Annual</w:t>
            </w:r>
          </w:p>
        </w:tc>
      </w:tr>
      <w:tr w:rsidR="00D00E3A" w14:paraId="100A43C2" w14:textId="77777777" w:rsidTr="0016541E">
        <w:trPr>
          <w:cantSplit/>
        </w:trPr>
        <w:tc>
          <w:tcPr>
            <w:tcW w:w="2394" w:type="dxa"/>
          </w:tcPr>
          <w:p w14:paraId="792A02CF" w14:textId="18B97D42" w:rsidR="00D00E3A" w:rsidRDefault="00D00E3A" w:rsidP="00F74E38">
            <w:r>
              <w:t>QWI Infrastructure</w:t>
            </w:r>
          </w:p>
        </w:tc>
        <w:tc>
          <w:tcPr>
            <w:tcW w:w="3294" w:type="dxa"/>
          </w:tcPr>
          <w:p w14:paraId="726FEC4E" w14:textId="4F0095B0" w:rsidR="00D00E3A" w:rsidRDefault="00EF688C" w:rsidP="00EF688C">
            <w:r>
              <w:t>Generat</w:t>
            </w:r>
            <w:r w:rsidR="00A008A3">
              <w:t xml:space="preserve">e </w:t>
            </w:r>
            <w:r>
              <w:t>the i</w:t>
            </w:r>
            <w:r w:rsidR="00D00E3A">
              <w:t>ntermediate micro-data files used to create the public use data products</w:t>
            </w:r>
            <w:r w:rsidR="00B364AB">
              <w:t xml:space="preserve"> as well as </w:t>
            </w:r>
            <w:r>
              <w:t xml:space="preserve">investigate enhancements and implement changes to the SAS </w:t>
            </w:r>
            <w:r w:rsidR="00B364AB">
              <w:t>cod</w:t>
            </w:r>
            <w:r>
              <w:t>e.</w:t>
            </w:r>
          </w:p>
          <w:p w14:paraId="5BBAAB2B" w14:textId="7231900B" w:rsidR="00EF688C" w:rsidRDefault="00EF688C" w:rsidP="00EF688C"/>
        </w:tc>
        <w:tc>
          <w:tcPr>
            <w:tcW w:w="1980" w:type="dxa"/>
          </w:tcPr>
          <w:p w14:paraId="23458716" w14:textId="5FBF03AC" w:rsidR="00D00E3A" w:rsidRDefault="00B364AB" w:rsidP="00B364AB">
            <w:pPr>
              <w:jc w:val="center"/>
            </w:pPr>
            <w:r>
              <w:t>9 FTE</w:t>
            </w:r>
          </w:p>
        </w:tc>
        <w:tc>
          <w:tcPr>
            <w:tcW w:w="1908" w:type="dxa"/>
          </w:tcPr>
          <w:p w14:paraId="3D5C1123" w14:textId="3399D15D" w:rsidR="00D00E3A" w:rsidRDefault="00B364AB" w:rsidP="00B364AB">
            <w:pPr>
              <w:jc w:val="right"/>
            </w:pPr>
            <w:r>
              <w:t xml:space="preserve">$ 1,423,000 </w:t>
            </w:r>
          </w:p>
        </w:tc>
      </w:tr>
      <w:tr w:rsidR="00D00E3A" w14:paraId="00822FC3" w14:textId="77777777" w:rsidTr="0016541E">
        <w:trPr>
          <w:cantSplit/>
        </w:trPr>
        <w:tc>
          <w:tcPr>
            <w:tcW w:w="2394" w:type="dxa"/>
          </w:tcPr>
          <w:p w14:paraId="3B26C59A" w14:textId="4AC96558" w:rsidR="00D00E3A" w:rsidRDefault="00B364AB" w:rsidP="00F74E38">
            <w:r>
              <w:t>QWI</w:t>
            </w:r>
          </w:p>
        </w:tc>
        <w:tc>
          <w:tcPr>
            <w:tcW w:w="3294" w:type="dxa"/>
          </w:tcPr>
          <w:p w14:paraId="06ACFE25" w14:textId="77777777" w:rsidR="00D00E3A" w:rsidRDefault="00EF688C" w:rsidP="00EF688C">
            <w:r>
              <w:t>Generate the quarterly p</w:t>
            </w:r>
            <w:r w:rsidR="00B364AB">
              <w:t>ublic use data product including population of the web application data base</w:t>
            </w:r>
            <w:r>
              <w:t>.</w:t>
            </w:r>
          </w:p>
          <w:p w14:paraId="59777F9B" w14:textId="484E80B8" w:rsidR="00EF688C" w:rsidRDefault="00EF688C" w:rsidP="00EF688C"/>
        </w:tc>
        <w:tc>
          <w:tcPr>
            <w:tcW w:w="1980" w:type="dxa"/>
          </w:tcPr>
          <w:p w14:paraId="58675545" w14:textId="213FCAD0" w:rsidR="00D00E3A" w:rsidRDefault="00B364AB" w:rsidP="00B364AB">
            <w:pPr>
              <w:jc w:val="center"/>
            </w:pPr>
            <w:r>
              <w:t>1.5 FTE</w:t>
            </w:r>
          </w:p>
        </w:tc>
        <w:tc>
          <w:tcPr>
            <w:tcW w:w="1908" w:type="dxa"/>
          </w:tcPr>
          <w:p w14:paraId="0F3F0A7E" w14:textId="685B16C4" w:rsidR="00D00E3A" w:rsidRDefault="00B364AB" w:rsidP="00B364AB">
            <w:pPr>
              <w:jc w:val="right"/>
            </w:pPr>
            <w:r>
              <w:t>$ 240,000</w:t>
            </w:r>
          </w:p>
        </w:tc>
      </w:tr>
      <w:tr w:rsidR="00D00E3A" w14:paraId="3D89C88C" w14:textId="77777777" w:rsidTr="0016541E">
        <w:trPr>
          <w:cantSplit/>
        </w:trPr>
        <w:tc>
          <w:tcPr>
            <w:tcW w:w="2394" w:type="dxa"/>
          </w:tcPr>
          <w:p w14:paraId="1B43E6C4" w14:textId="359E891D" w:rsidR="00D00E3A" w:rsidRDefault="00B364AB" w:rsidP="00F74E38">
            <w:r>
              <w:t>LODES</w:t>
            </w:r>
          </w:p>
        </w:tc>
        <w:tc>
          <w:tcPr>
            <w:tcW w:w="3294" w:type="dxa"/>
          </w:tcPr>
          <w:p w14:paraId="43D23953" w14:textId="77777777" w:rsidR="00D00E3A" w:rsidRDefault="00EF688C" w:rsidP="00F74E38">
            <w:r>
              <w:t>Generate the annual release of this public use data product.  Includes review of privacy protection schemes, inclusion of new data time lines, and population of the supporting web application data base.   Note:  Updates can occur during the year to address found issues with the data.</w:t>
            </w:r>
          </w:p>
          <w:p w14:paraId="16F8AA1F" w14:textId="3C487C38" w:rsidR="00EF688C" w:rsidRDefault="00EF688C" w:rsidP="00F74E38"/>
        </w:tc>
        <w:tc>
          <w:tcPr>
            <w:tcW w:w="1980" w:type="dxa"/>
          </w:tcPr>
          <w:p w14:paraId="5CA33496" w14:textId="4E965891" w:rsidR="00D00E3A" w:rsidRDefault="00EF688C" w:rsidP="00EF688C">
            <w:pPr>
              <w:jc w:val="center"/>
            </w:pPr>
            <w:r>
              <w:t>2 FTE</w:t>
            </w:r>
          </w:p>
        </w:tc>
        <w:tc>
          <w:tcPr>
            <w:tcW w:w="1908" w:type="dxa"/>
          </w:tcPr>
          <w:p w14:paraId="7C2549B6" w14:textId="78D09414" w:rsidR="00D00E3A" w:rsidRDefault="00EF688C" w:rsidP="00EF688C">
            <w:pPr>
              <w:jc w:val="right"/>
            </w:pPr>
            <w:r>
              <w:t>$ 320,000</w:t>
            </w:r>
          </w:p>
        </w:tc>
      </w:tr>
      <w:tr w:rsidR="00D00E3A" w14:paraId="5860BE20" w14:textId="77777777" w:rsidTr="0016541E">
        <w:trPr>
          <w:cantSplit/>
        </w:trPr>
        <w:tc>
          <w:tcPr>
            <w:tcW w:w="2394" w:type="dxa"/>
          </w:tcPr>
          <w:p w14:paraId="1431BC62" w14:textId="72EDFBD7" w:rsidR="00D00E3A" w:rsidRDefault="00B364AB" w:rsidP="00F74E38">
            <w:r>
              <w:t>Job-to-Job Flows</w:t>
            </w:r>
          </w:p>
        </w:tc>
        <w:tc>
          <w:tcPr>
            <w:tcW w:w="3294" w:type="dxa"/>
          </w:tcPr>
          <w:p w14:paraId="6DF19E9A" w14:textId="709EC3BD" w:rsidR="00EF688C" w:rsidRDefault="00EF688C" w:rsidP="00F74E38">
            <w:r>
              <w:t>Generate the quarterly release of this public use data product including review and incorporation of enhancements.</w:t>
            </w:r>
          </w:p>
          <w:p w14:paraId="5314BD8A" w14:textId="77777777" w:rsidR="00EF688C" w:rsidRDefault="00EF688C" w:rsidP="00F74E38"/>
        </w:tc>
        <w:tc>
          <w:tcPr>
            <w:tcW w:w="1980" w:type="dxa"/>
          </w:tcPr>
          <w:p w14:paraId="5DB82AFA" w14:textId="15C83016" w:rsidR="00D00E3A" w:rsidRDefault="00EF688C" w:rsidP="00EF688C">
            <w:pPr>
              <w:jc w:val="center"/>
            </w:pPr>
            <w:r>
              <w:t>4 FTE</w:t>
            </w:r>
          </w:p>
        </w:tc>
        <w:tc>
          <w:tcPr>
            <w:tcW w:w="1908" w:type="dxa"/>
          </w:tcPr>
          <w:p w14:paraId="7D559C79" w14:textId="3BE96A39" w:rsidR="00D00E3A" w:rsidRDefault="00EF688C" w:rsidP="00EF688C">
            <w:pPr>
              <w:jc w:val="right"/>
            </w:pPr>
            <w:r>
              <w:t>$630,000</w:t>
            </w:r>
          </w:p>
        </w:tc>
      </w:tr>
    </w:tbl>
    <w:p w14:paraId="0CC61413" w14:textId="77777777" w:rsidR="00D00E3A" w:rsidRDefault="00D00E3A" w:rsidP="00F74E38"/>
    <w:p w14:paraId="752AD58C" w14:textId="77777777" w:rsidR="0016102B" w:rsidRPr="00726BE0" w:rsidRDefault="0016102B" w:rsidP="00F74E38"/>
    <w:p w14:paraId="17A6B8C8" w14:textId="77777777" w:rsidR="00F74E38" w:rsidRPr="00726BE0" w:rsidRDefault="00F74E38" w:rsidP="00F74E38">
      <w:pPr>
        <w:numPr>
          <w:ilvl w:val="0"/>
          <w:numId w:val="16"/>
        </w:numPr>
        <w:rPr>
          <w:u w:val="single"/>
        </w:rPr>
      </w:pPr>
      <w:r w:rsidRPr="00726BE0">
        <w:t xml:space="preserve"> </w:t>
      </w:r>
      <w:r w:rsidRPr="00726BE0">
        <w:rPr>
          <w:u w:val="single"/>
        </w:rPr>
        <w:t xml:space="preserve">Changes in </w:t>
      </w:r>
      <w:r w:rsidR="00C65B9C">
        <w:rPr>
          <w:u w:val="single"/>
        </w:rPr>
        <w:t xml:space="preserve">Respondent </w:t>
      </w:r>
      <w:r w:rsidRPr="00726BE0">
        <w:rPr>
          <w:u w:val="single"/>
        </w:rPr>
        <w:t>Burden</w:t>
      </w:r>
    </w:p>
    <w:p w14:paraId="53A4949A" w14:textId="77777777" w:rsidR="00DB10C6" w:rsidRDefault="00DB10C6" w:rsidP="00F74E38">
      <w:pPr>
        <w:rPr>
          <w:b/>
        </w:rPr>
      </w:pPr>
    </w:p>
    <w:p w14:paraId="43F3BD05" w14:textId="647B5FCB" w:rsidR="00BC4AD2" w:rsidRDefault="00BC4AD2" w:rsidP="00916357">
      <w:r>
        <w:t>Since the LEHD program uses administrative data and the process for the access to this data is a standard process, there are no real or significant changes to time required by a respondent (i.e., more or less burden that what was originally planned)</w:t>
      </w:r>
      <w:r w:rsidR="00FB6910">
        <w:t xml:space="preserve"> to provide the required data</w:t>
      </w:r>
      <w:r>
        <w:t>.</w:t>
      </w:r>
      <w:r w:rsidR="00FB6910">
        <w:t xml:space="preserve">   In order to promote participation by the state partners, the LE</w:t>
      </w:r>
      <w:r w:rsidR="00A008A3">
        <w:t>H</w:t>
      </w:r>
      <w:r w:rsidR="00FB6910">
        <w:t xml:space="preserve">D program continues to review and employ methods that would reduce the burden for providing the required data. </w:t>
      </w:r>
      <w:r>
        <w:t xml:space="preserve">     </w:t>
      </w:r>
    </w:p>
    <w:p w14:paraId="42CD541D" w14:textId="77777777" w:rsidR="00BC4AD2" w:rsidRDefault="00BC4AD2" w:rsidP="00916357"/>
    <w:p w14:paraId="4FE8457C" w14:textId="77777777" w:rsidR="00BC4AD2" w:rsidRDefault="00BC4AD2" w:rsidP="00916357"/>
    <w:p w14:paraId="1CB6793F" w14:textId="77777777" w:rsidR="00456515" w:rsidRPr="00726BE0" w:rsidRDefault="00456515" w:rsidP="00134B8D">
      <w:pPr>
        <w:tabs>
          <w:tab w:val="left" w:pos="360"/>
        </w:tabs>
        <w:ind w:left="360" w:hanging="360"/>
      </w:pPr>
      <w:r w:rsidRPr="00726BE0">
        <w:t xml:space="preserve">16.  </w:t>
      </w:r>
      <w:r w:rsidRPr="00726BE0">
        <w:rPr>
          <w:u w:val="single"/>
        </w:rPr>
        <w:t>Publication Plans</w:t>
      </w:r>
    </w:p>
    <w:p w14:paraId="7C3FE083" w14:textId="77777777" w:rsidR="0016102B" w:rsidRDefault="0016102B"/>
    <w:p w14:paraId="673418BE" w14:textId="6C16ED4C" w:rsidR="00F32B3D" w:rsidRDefault="00F32B3D">
      <w:r>
        <w:t>The LEHD data products and supporting web applications are for public use and can be accessed from the LEHD website</w:t>
      </w:r>
      <w:r w:rsidR="00A008A3">
        <w:t>:</w:t>
      </w:r>
      <w:r>
        <w:t xml:space="preserve">  https://lehd.ces.census.gov</w:t>
      </w:r>
      <w:r w:rsidR="00A008A3">
        <w:t>.</w:t>
      </w:r>
    </w:p>
    <w:p w14:paraId="275DF55E" w14:textId="77777777" w:rsidR="002E21F7" w:rsidRDefault="002E21F7"/>
    <w:p w14:paraId="05C9A9D5" w14:textId="77777777" w:rsidR="0016102B" w:rsidRPr="00726BE0" w:rsidRDefault="0016102B"/>
    <w:p w14:paraId="6AB9B8B6" w14:textId="77777777" w:rsidR="00456515" w:rsidRPr="00726BE0" w:rsidRDefault="00456515" w:rsidP="00134B8D">
      <w:pPr>
        <w:tabs>
          <w:tab w:val="left" w:pos="360"/>
        </w:tabs>
        <w:ind w:left="360" w:hanging="360"/>
        <w:rPr>
          <w:u w:val="single"/>
        </w:rPr>
      </w:pPr>
      <w:r w:rsidRPr="00726BE0">
        <w:t xml:space="preserve">17.  </w:t>
      </w:r>
      <w:r w:rsidRPr="00726BE0">
        <w:rPr>
          <w:u w:val="single"/>
        </w:rPr>
        <w:t xml:space="preserve">OMB </w:t>
      </w:r>
      <w:r w:rsidR="0011134A">
        <w:rPr>
          <w:u w:val="single"/>
        </w:rPr>
        <w:t xml:space="preserve">Expiration Date </w:t>
      </w:r>
      <w:r w:rsidRPr="00726BE0">
        <w:rPr>
          <w:u w:val="single"/>
        </w:rPr>
        <w:t>Display</w:t>
      </w:r>
    </w:p>
    <w:p w14:paraId="072772EE" w14:textId="77777777" w:rsidR="009D3BB1" w:rsidRDefault="009D3BB1">
      <w:pPr>
        <w:rPr>
          <w:b/>
        </w:rPr>
      </w:pPr>
    </w:p>
    <w:p w14:paraId="2484F253" w14:textId="4D51902A" w:rsidR="0016102B" w:rsidRDefault="009D3BB1">
      <w:r>
        <w:rPr>
          <w:szCs w:val="24"/>
        </w:rPr>
        <w:t>As the LEHD program is not a traditional survey which requires extensive development of various documents (e.g., respondent survey)</w:t>
      </w:r>
      <w:r w:rsidR="001E74BE">
        <w:rPr>
          <w:szCs w:val="24"/>
        </w:rPr>
        <w:t>,</w:t>
      </w:r>
      <w:r>
        <w:rPr>
          <w:szCs w:val="24"/>
        </w:rPr>
        <w:t xml:space="preserve"> the program is requesting OMB a</w:t>
      </w:r>
      <w:r w:rsidRPr="00726BE0">
        <w:rPr>
          <w:szCs w:val="24"/>
        </w:rPr>
        <w:t xml:space="preserve">pproval </w:t>
      </w:r>
      <w:r>
        <w:rPr>
          <w:szCs w:val="24"/>
        </w:rPr>
        <w:t xml:space="preserve">for permission to suppress the expiration date as there are no specific documents to </w:t>
      </w:r>
      <w:r w:rsidR="007F511E">
        <w:rPr>
          <w:szCs w:val="24"/>
        </w:rPr>
        <w:t xml:space="preserve">which this information is </w:t>
      </w:r>
      <w:r>
        <w:rPr>
          <w:szCs w:val="24"/>
        </w:rPr>
        <w:t>attach</w:t>
      </w:r>
      <w:r w:rsidR="007F511E">
        <w:rPr>
          <w:szCs w:val="24"/>
        </w:rPr>
        <w:t>ed</w:t>
      </w:r>
      <w:r>
        <w:rPr>
          <w:szCs w:val="24"/>
        </w:rPr>
        <w:t xml:space="preserve">. </w:t>
      </w:r>
    </w:p>
    <w:p w14:paraId="64DBC582" w14:textId="77777777" w:rsidR="001372D3" w:rsidRPr="00726BE0" w:rsidRDefault="001372D3"/>
    <w:p w14:paraId="4DD38F29" w14:textId="3237A182" w:rsidR="00456515" w:rsidRDefault="00456515" w:rsidP="0016102B">
      <w:pPr>
        <w:tabs>
          <w:tab w:val="left" w:pos="360"/>
        </w:tabs>
        <w:ind w:left="360" w:hanging="360"/>
        <w:rPr>
          <w:u w:val="single"/>
        </w:rPr>
      </w:pPr>
      <w:r w:rsidRPr="00726BE0">
        <w:t xml:space="preserve">18.  </w:t>
      </w:r>
      <w:r w:rsidRPr="00726BE0">
        <w:rPr>
          <w:u w:val="single"/>
        </w:rPr>
        <w:t>Exception</w:t>
      </w:r>
      <w:r w:rsidR="00C65B9C">
        <w:rPr>
          <w:u w:val="single"/>
        </w:rPr>
        <w:t>s</w:t>
      </w:r>
      <w:r w:rsidRPr="00726BE0">
        <w:rPr>
          <w:u w:val="single"/>
        </w:rPr>
        <w:t xml:space="preserve"> to Certification Statement</w:t>
      </w:r>
    </w:p>
    <w:p w14:paraId="4357D70C" w14:textId="77777777" w:rsidR="00DC45E3" w:rsidRDefault="00DC45E3" w:rsidP="0016102B">
      <w:pPr>
        <w:tabs>
          <w:tab w:val="left" w:pos="360"/>
        </w:tabs>
        <w:ind w:left="360" w:hanging="360"/>
        <w:rPr>
          <w:b/>
        </w:rPr>
      </w:pPr>
    </w:p>
    <w:p w14:paraId="1BE1C8D9" w14:textId="685BC30E" w:rsidR="00DC45E3" w:rsidRDefault="009D3BB1" w:rsidP="00415780">
      <w:pPr>
        <w:tabs>
          <w:tab w:val="left" w:pos="360"/>
        </w:tabs>
        <w:ind w:left="360" w:hanging="360"/>
      </w:pPr>
      <w:r w:rsidRPr="00726BE0">
        <w:t>There are no exceptions to the “Certification for Paperwork Reduction Act Submissions</w:t>
      </w:r>
      <w:r>
        <w:t>.</w:t>
      </w:r>
      <w:r w:rsidRPr="00726BE0">
        <w:t>”</w:t>
      </w:r>
    </w:p>
    <w:sectPr w:rsidR="00DC45E3" w:rsidSect="00A33A82">
      <w:footerReference w:type="even" r:id="rId10"/>
      <w:footerReference w:type="default" r:id="rId11"/>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03CF7" w14:textId="77777777" w:rsidR="00000E58" w:rsidRDefault="00000E58">
      <w:r>
        <w:separator/>
      </w:r>
    </w:p>
  </w:endnote>
  <w:endnote w:type="continuationSeparator" w:id="0">
    <w:p w14:paraId="159D51C4" w14:textId="77777777" w:rsidR="00000E58" w:rsidRDefault="0000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6D99B" w14:textId="7C2B195E" w:rsidR="00000E58" w:rsidRDefault="00000E58">
    <w:pPr>
      <w:pStyle w:val="Footer"/>
      <w:framePr w:wrap="around" w:vAnchor="text" w:hAnchor="margin" w:xAlign="center" w:y="1"/>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93463B">
      <w:rPr>
        <w:rStyle w:val="PageNumber"/>
        <w:rFonts w:ascii="Courier" w:hAnsi="Courier"/>
        <w:noProof/>
      </w:rPr>
      <w:t>2</w:t>
    </w:r>
    <w:r>
      <w:rPr>
        <w:rStyle w:val="PageNumber"/>
        <w:rFonts w:ascii="Courier" w:hAnsi="Courier"/>
      </w:rPr>
      <w:fldChar w:fldCharType="end"/>
    </w:r>
  </w:p>
  <w:p w14:paraId="4586D105" w14:textId="77777777" w:rsidR="00000E58" w:rsidRDefault="00000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B78EC" w14:textId="7054805F" w:rsidR="00000E58" w:rsidRDefault="00000E58">
    <w:pPr>
      <w:pStyle w:val="Footer"/>
      <w:framePr w:wrap="around" w:vAnchor="text" w:hAnchor="margin" w:xAlign="center" w:y="1"/>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93463B">
      <w:rPr>
        <w:rStyle w:val="PageNumber"/>
        <w:rFonts w:ascii="Courier" w:hAnsi="Courier"/>
        <w:noProof/>
      </w:rPr>
      <w:t>1</w:t>
    </w:r>
    <w:r>
      <w:rPr>
        <w:rStyle w:val="PageNumber"/>
        <w:rFonts w:ascii="Courier" w:hAnsi="Courier"/>
      </w:rPr>
      <w:fldChar w:fldCharType="end"/>
    </w:r>
  </w:p>
  <w:p w14:paraId="644A980D" w14:textId="77777777" w:rsidR="00000E58" w:rsidRDefault="00000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990AF" w14:textId="77777777" w:rsidR="00000E58" w:rsidRDefault="00000E58">
      <w:r>
        <w:separator/>
      </w:r>
    </w:p>
  </w:footnote>
  <w:footnote w:type="continuationSeparator" w:id="0">
    <w:p w14:paraId="3B0B80B4" w14:textId="77777777" w:rsidR="00000E58" w:rsidRDefault="00000E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624"/>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
    <w:nsid w:val="03353E45"/>
    <w:multiLevelType w:val="singleLevel"/>
    <w:tmpl w:val="2C5C1594"/>
    <w:lvl w:ilvl="0">
      <w:start w:val="14"/>
      <w:numFmt w:val="decimal"/>
      <w:lvlText w:val="%1."/>
      <w:lvlJc w:val="left"/>
      <w:pPr>
        <w:tabs>
          <w:tab w:val="num" w:pos="720"/>
        </w:tabs>
        <w:ind w:left="720" w:hanging="720"/>
      </w:pPr>
      <w:rPr>
        <w:rFonts w:hint="default"/>
      </w:rPr>
    </w:lvl>
  </w:abstractNum>
  <w:abstractNum w:abstractNumId="2">
    <w:nsid w:val="039B0676"/>
    <w:multiLevelType w:val="singleLevel"/>
    <w:tmpl w:val="2F088C8A"/>
    <w:lvl w:ilvl="0">
      <w:start w:val="8"/>
      <w:numFmt w:val="decimal"/>
      <w:lvlText w:val="%1."/>
      <w:lvlJc w:val="left"/>
      <w:pPr>
        <w:tabs>
          <w:tab w:val="num" w:pos="576"/>
        </w:tabs>
        <w:ind w:left="576" w:hanging="576"/>
      </w:pPr>
      <w:rPr>
        <w:rFonts w:hint="default"/>
        <w:b w:val="0"/>
        <w:u w:val="none"/>
      </w:rPr>
    </w:lvl>
  </w:abstractNum>
  <w:abstractNum w:abstractNumId="3">
    <w:nsid w:val="04AE3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6E3672A"/>
    <w:multiLevelType w:val="hybridMultilevel"/>
    <w:tmpl w:val="0430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E65D9"/>
    <w:multiLevelType w:val="singleLevel"/>
    <w:tmpl w:val="F10E5D76"/>
    <w:lvl w:ilvl="0">
      <w:start w:val="17"/>
      <w:numFmt w:val="decimal"/>
      <w:lvlText w:val="%1."/>
      <w:lvlJc w:val="left"/>
      <w:pPr>
        <w:tabs>
          <w:tab w:val="num" w:pos="720"/>
        </w:tabs>
        <w:ind w:left="720" w:hanging="720"/>
      </w:pPr>
      <w:rPr>
        <w:rFonts w:hint="default"/>
      </w:rPr>
    </w:lvl>
  </w:abstractNum>
  <w:abstractNum w:abstractNumId="6">
    <w:nsid w:val="0D1757FB"/>
    <w:multiLevelType w:val="hybridMultilevel"/>
    <w:tmpl w:val="F17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A73A5"/>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8">
    <w:nsid w:val="0FD508C9"/>
    <w:multiLevelType w:val="hybridMultilevel"/>
    <w:tmpl w:val="838CFBA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9">
    <w:nsid w:val="11977C75"/>
    <w:multiLevelType w:val="hybridMultilevel"/>
    <w:tmpl w:val="27FE9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10D40"/>
    <w:multiLevelType w:val="hybridMultilevel"/>
    <w:tmpl w:val="A038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02349D"/>
    <w:multiLevelType w:val="hybridMultilevel"/>
    <w:tmpl w:val="78CA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C10D25"/>
    <w:multiLevelType w:val="hybridMultilevel"/>
    <w:tmpl w:val="FEC6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986A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7D04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9B437B1"/>
    <w:multiLevelType w:val="singleLevel"/>
    <w:tmpl w:val="79587FB8"/>
    <w:lvl w:ilvl="0">
      <w:start w:val="15"/>
      <w:numFmt w:val="decimal"/>
      <w:lvlText w:val="%1."/>
      <w:lvlJc w:val="left"/>
      <w:pPr>
        <w:tabs>
          <w:tab w:val="num" w:pos="432"/>
        </w:tabs>
        <w:ind w:left="432" w:hanging="432"/>
      </w:pPr>
      <w:rPr>
        <w:rFonts w:hint="default"/>
      </w:rPr>
    </w:lvl>
  </w:abstractNum>
  <w:abstractNum w:abstractNumId="16">
    <w:nsid w:val="1C872A69"/>
    <w:multiLevelType w:val="singleLevel"/>
    <w:tmpl w:val="7BEA6634"/>
    <w:lvl w:ilvl="0">
      <w:start w:val="2"/>
      <w:numFmt w:val="upperLetter"/>
      <w:lvlText w:val="%1."/>
      <w:lvlJc w:val="left"/>
      <w:pPr>
        <w:tabs>
          <w:tab w:val="num" w:pos="576"/>
        </w:tabs>
        <w:ind w:left="576" w:hanging="576"/>
      </w:pPr>
      <w:rPr>
        <w:rFonts w:hint="default"/>
      </w:rPr>
    </w:lvl>
  </w:abstractNum>
  <w:abstractNum w:abstractNumId="17">
    <w:nsid w:val="1E1305FC"/>
    <w:multiLevelType w:val="hybridMultilevel"/>
    <w:tmpl w:val="A75A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1531F"/>
    <w:multiLevelType w:val="hybridMultilevel"/>
    <w:tmpl w:val="24A6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E50E01"/>
    <w:multiLevelType w:val="singleLevel"/>
    <w:tmpl w:val="EFC62C1E"/>
    <w:lvl w:ilvl="0">
      <w:start w:val="7"/>
      <w:numFmt w:val="decimal"/>
      <w:lvlText w:val="%1."/>
      <w:lvlJc w:val="left"/>
      <w:pPr>
        <w:tabs>
          <w:tab w:val="num" w:pos="585"/>
        </w:tabs>
        <w:ind w:left="585" w:hanging="585"/>
      </w:pPr>
      <w:rPr>
        <w:rFonts w:hint="default"/>
        <w:b w:val="0"/>
        <w:u w:val="none"/>
      </w:rPr>
    </w:lvl>
  </w:abstractNum>
  <w:abstractNum w:abstractNumId="20">
    <w:nsid w:val="26FF5023"/>
    <w:multiLevelType w:val="singleLevel"/>
    <w:tmpl w:val="388CDB14"/>
    <w:lvl w:ilvl="0">
      <w:start w:val="15"/>
      <w:numFmt w:val="decimal"/>
      <w:lvlText w:val="%1."/>
      <w:lvlJc w:val="left"/>
      <w:pPr>
        <w:tabs>
          <w:tab w:val="num" w:pos="432"/>
        </w:tabs>
        <w:ind w:left="432" w:hanging="432"/>
      </w:pPr>
      <w:rPr>
        <w:rFonts w:hint="default"/>
        <w:u w:val="none"/>
      </w:rPr>
    </w:lvl>
  </w:abstractNum>
  <w:abstractNum w:abstractNumId="21">
    <w:nsid w:val="273F4970"/>
    <w:multiLevelType w:val="hybridMultilevel"/>
    <w:tmpl w:val="42C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8000EE"/>
    <w:multiLevelType w:val="singleLevel"/>
    <w:tmpl w:val="D45C83C0"/>
    <w:lvl w:ilvl="0">
      <w:start w:val="13"/>
      <w:numFmt w:val="decimal"/>
      <w:lvlText w:val="%1."/>
      <w:lvlJc w:val="left"/>
      <w:pPr>
        <w:tabs>
          <w:tab w:val="num" w:pos="420"/>
        </w:tabs>
        <w:ind w:left="420" w:hanging="420"/>
      </w:pPr>
      <w:rPr>
        <w:rFonts w:hint="default"/>
        <w:u w:val="none"/>
      </w:rPr>
    </w:lvl>
  </w:abstractNum>
  <w:abstractNum w:abstractNumId="23">
    <w:nsid w:val="3D4C46FC"/>
    <w:multiLevelType w:val="hybridMultilevel"/>
    <w:tmpl w:val="DCDC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475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E5B6A9E"/>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26">
    <w:nsid w:val="40F12207"/>
    <w:multiLevelType w:val="hybridMultilevel"/>
    <w:tmpl w:val="4B78B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54A73A9"/>
    <w:multiLevelType w:val="singleLevel"/>
    <w:tmpl w:val="C1403F16"/>
    <w:lvl w:ilvl="0">
      <w:start w:val="15"/>
      <w:numFmt w:val="decimal"/>
      <w:lvlText w:val="%1."/>
      <w:lvlJc w:val="left"/>
      <w:pPr>
        <w:tabs>
          <w:tab w:val="num" w:pos="735"/>
        </w:tabs>
        <w:ind w:left="735" w:hanging="735"/>
      </w:pPr>
      <w:rPr>
        <w:rFonts w:hint="default"/>
        <w:b w:val="0"/>
        <w:u w:val="none"/>
      </w:rPr>
    </w:lvl>
  </w:abstractNum>
  <w:abstractNum w:abstractNumId="28">
    <w:nsid w:val="48EE1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300804"/>
    <w:multiLevelType w:val="hybridMultilevel"/>
    <w:tmpl w:val="809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79602F"/>
    <w:multiLevelType w:val="hybridMultilevel"/>
    <w:tmpl w:val="58A66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9600523"/>
    <w:multiLevelType w:val="singleLevel"/>
    <w:tmpl w:val="04090015"/>
    <w:lvl w:ilvl="0">
      <w:start w:val="2"/>
      <w:numFmt w:val="upperLetter"/>
      <w:lvlText w:val="%1."/>
      <w:lvlJc w:val="left"/>
      <w:pPr>
        <w:tabs>
          <w:tab w:val="num" w:pos="360"/>
        </w:tabs>
        <w:ind w:left="360" w:hanging="360"/>
      </w:pPr>
      <w:rPr>
        <w:rFonts w:hint="default"/>
        <w:u w:val="none"/>
      </w:rPr>
    </w:lvl>
  </w:abstractNum>
  <w:abstractNum w:abstractNumId="32">
    <w:nsid w:val="5ADD1DE0"/>
    <w:multiLevelType w:val="hybridMultilevel"/>
    <w:tmpl w:val="B4D8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ED45B5"/>
    <w:multiLevelType w:val="singleLevel"/>
    <w:tmpl w:val="CD0006A2"/>
    <w:lvl w:ilvl="0">
      <w:start w:val="7"/>
      <w:numFmt w:val="decimal"/>
      <w:lvlText w:val="%1."/>
      <w:lvlJc w:val="left"/>
      <w:pPr>
        <w:tabs>
          <w:tab w:val="num" w:pos="576"/>
        </w:tabs>
        <w:ind w:left="576" w:hanging="576"/>
      </w:pPr>
      <w:rPr>
        <w:rFonts w:hint="default"/>
      </w:rPr>
    </w:lvl>
  </w:abstractNum>
  <w:abstractNum w:abstractNumId="34">
    <w:nsid w:val="5E45408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35">
    <w:nsid w:val="5EF92E79"/>
    <w:multiLevelType w:val="singleLevel"/>
    <w:tmpl w:val="100858A4"/>
    <w:lvl w:ilvl="0">
      <w:start w:val="6"/>
      <w:numFmt w:val="lowerLetter"/>
      <w:lvlText w:val="%1."/>
      <w:lvlJc w:val="left"/>
      <w:pPr>
        <w:tabs>
          <w:tab w:val="num" w:pos="1296"/>
        </w:tabs>
        <w:ind w:left="1296" w:hanging="576"/>
      </w:pPr>
      <w:rPr>
        <w:rFonts w:hint="default"/>
      </w:rPr>
    </w:lvl>
  </w:abstractNum>
  <w:abstractNum w:abstractNumId="36">
    <w:nsid w:val="666B7222"/>
    <w:multiLevelType w:val="singleLevel"/>
    <w:tmpl w:val="8DD25E3C"/>
    <w:lvl w:ilvl="0">
      <w:start w:val="1"/>
      <w:numFmt w:val="lowerLetter"/>
      <w:lvlText w:val="%1."/>
      <w:lvlJc w:val="left"/>
      <w:pPr>
        <w:tabs>
          <w:tab w:val="num" w:pos="1152"/>
        </w:tabs>
        <w:ind w:left="1152" w:hanging="576"/>
      </w:pPr>
      <w:rPr>
        <w:rFonts w:hint="default"/>
      </w:rPr>
    </w:lvl>
  </w:abstractNum>
  <w:abstractNum w:abstractNumId="37">
    <w:nsid w:val="6BA15FED"/>
    <w:multiLevelType w:val="singleLevel"/>
    <w:tmpl w:val="0409000F"/>
    <w:lvl w:ilvl="0">
      <w:start w:val="15"/>
      <w:numFmt w:val="decimal"/>
      <w:lvlText w:val="%1."/>
      <w:lvlJc w:val="left"/>
      <w:pPr>
        <w:tabs>
          <w:tab w:val="num" w:pos="360"/>
        </w:tabs>
        <w:ind w:left="360" w:hanging="360"/>
      </w:pPr>
      <w:rPr>
        <w:rFonts w:hint="default"/>
        <w:u w:val="none"/>
      </w:rPr>
    </w:lvl>
  </w:abstractNum>
  <w:abstractNum w:abstractNumId="38">
    <w:nsid w:val="6F9204C4"/>
    <w:multiLevelType w:val="hybridMultilevel"/>
    <w:tmpl w:val="A394089E"/>
    <w:lvl w:ilvl="0" w:tplc="4BE4BC26">
      <w:start w:val="1"/>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F51C9F"/>
    <w:multiLevelType w:val="singleLevel"/>
    <w:tmpl w:val="634A6E0E"/>
    <w:lvl w:ilvl="0">
      <w:start w:val="17"/>
      <w:numFmt w:val="decimal"/>
      <w:lvlText w:val="%1."/>
      <w:lvlJc w:val="left"/>
      <w:pPr>
        <w:tabs>
          <w:tab w:val="num" w:pos="432"/>
        </w:tabs>
        <w:ind w:left="432" w:hanging="432"/>
      </w:pPr>
      <w:rPr>
        <w:rFonts w:hint="default"/>
        <w:u w:val="none"/>
      </w:rPr>
    </w:lvl>
  </w:abstractNum>
  <w:abstractNum w:abstractNumId="40">
    <w:nsid w:val="74756FCE"/>
    <w:multiLevelType w:val="singleLevel"/>
    <w:tmpl w:val="0409000F"/>
    <w:lvl w:ilvl="0">
      <w:start w:val="2"/>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15"/>
  </w:num>
  <w:num w:numId="4">
    <w:abstractNumId w:val="20"/>
  </w:num>
  <w:num w:numId="5">
    <w:abstractNumId w:val="16"/>
  </w:num>
  <w:num w:numId="6">
    <w:abstractNumId w:val="33"/>
  </w:num>
  <w:num w:numId="7">
    <w:abstractNumId w:val="36"/>
  </w:num>
  <w:num w:numId="8">
    <w:abstractNumId w:val="35"/>
  </w:num>
  <w:num w:numId="9">
    <w:abstractNumId w:val="5"/>
  </w:num>
  <w:num w:numId="10">
    <w:abstractNumId w:val="39"/>
  </w:num>
  <w:num w:numId="11">
    <w:abstractNumId w:val="25"/>
  </w:num>
  <w:num w:numId="12">
    <w:abstractNumId w:val="19"/>
  </w:num>
  <w:num w:numId="13">
    <w:abstractNumId w:val="27"/>
  </w:num>
  <w:num w:numId="14">
    <w:abstractNumId w:val="22"/>
  </w:num>
  <w:num w:numId="15">
    <w:abstractNumId w:val="40"/>
  </w:num>
  <w:num w:numId="16">
    <w:abstractNumId w:val="37"/>
  </w:num>
  <w:num w:numId="17">
    <w:abstractNumId w:val="34"/>
  </w:num>
  <w:num w:numId="18">
    <w:abstractNumId w:val="0"/>
  </w:num>
  <w:num w:numId="19">
    <w:abstractNumId w:val="7"/>
  </w:num>
  <w:num w:numId="20">
    <w:abstractNumId w:val="31"/>
  </w:num>
  <w:num w:numId="21">
    <w:abstractNumId w:val="28"/>
  </w:num>
  <w:num w:numId="22">
    <w:abstractNumId w:val="14"/>
  </w:num>
  <w:num w:numId="23">
    <w:abstractNumId w:val="24"/>
  </w:num>
  <w:num w:numId="24">
    <w:abstractNumId w:val="3"/>
  </w:num>
  <w:num w:numId="25">
    <w:abstractNumId w:val="13"/>
  </w:num>
  <w:num w:numId="26">
    <w:abstractNumId w:val="38"/>
  </w:num>
  <w:num w:numId="27">
    <w:abstractNumId w:val="6"/>
  </w:num>
  <w:num w:numId="28">
    <w:abstractNumId w:val="10"/>
  </w:num>
  <w:num w:numId="29">
    <w:abstractNumId w:val="17"/>
  </w:num>
  <w:num w:numId="30">
    <w:abstractNumId w:val="11"/>
  </w:num>
  <w:num w:numId="31">
    <w:abstractNumId w:val="26"/>
  </w:num>
  <w:num w:numId="32">
    <w:abstractNumId w:val="21"/>
  </w:num>
  <w:num w:numId="33">
    <w:abstractNumId w:val="32"/>
  </w:num>
  <w:num w:numId="34">
    <w:abstractNumId w:val="23"/>
  </w:num>
  <w:num w:numId="35">
    <w:abstractNumId w:val="18"/>
  </w:num>
  <w:num w:numId="36">
    <w:abstractNumId w:val="8"/>
  </w:num>
  <w:num w:numId="37">
    <w:abstractNumId w:val="4"/>
  </w:num>
  <w:num w:numId="38">
    <w:abstractNumId w:val="29"/>
  </w:num>
  <w:num w:numId="39">
    <w:abstractNumId w:val="30"/>
  </w:num>
  <w:num w:numId="40">
    <w:abstractNumId w:val="12"/>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397483"/>
    <w:rsid w:val="00000813"/>
    <w:rsid w:val="00000E58"/>
    <w:rsid w:val="000065B2"/>
    <w:rsid w:val="000127B2"/>
    <w:rsid w:val="0001559E"/>
    <w:rsid w:val="0002573B"/>
    <w:rsid w:val="00027013"/>
    <w:rsid w:val="00027C65"/>
    <w:rsid w:val="0004617F"/>
    <w:rsid w:val="00053D51"/>
    <w:rsid w:val="00067694"/>
    <w:rsid w:val="000773BC"/>
    <w:rsid w:val="000817A8"/>
    <w:rsid w:val="000851AD"/>
    <w:rsid w:val="00090D5B"/>
    <w:rsid w:val="000A7035"/>
    <w:rsid w:val="000C4543"/>
    <w:rsid w:val="000D0EFF"/>
    <w:rsid w:val="000D437D"/>
    <w:rsid w:val="000D5AFE"/>
    <w:rsid w:val="000E468D"/>
    <w:rsid w:val="000F1DD7"/>
    <w:rsid w:val="0011134A"/>
    <w:rsid w:val="00120138"/>
    <w:rsid w:val="0012246D"/>
    <w:rsid w:val="00132530"/>
    <w:rsid w:val="00134AC2"/>
    <w:rsid w:val="00134B8D"/>
    <w:rsid w:val="0013703A"/>
    <w:rsid w:val="001372D3"/>
    <w:rsid w:val="0014249A"/>
    <w:rsid w:val="00155BFD"/>
    <w:rsid w:val="00157D2D"/>
    <w:rsid w:val="0016102B"/>
    <w:rsid w:val="001631AA"/>
    <w:rsid w:val="0016541E"/>
    <w:rsid w:val="00176AF1"/>
    <w:rsid w:val="001A1344"/>
    <w:rsid w:val="001B084E"/>
    <w:rsid w:val="001C5486"/>
    <w:rsid w:val="001D3368"/>
    <w:rsid w:val="001D3C3D"/>
    <w:rsid w:val="001E3FA3"/>
    <w:rsid w:val="001E74BE"/>
    <w:rsid w:val="001F053F"/>
    <w:rsid w:val="001F5B31"/>
    <w:rsid w:val="002065E7"/>
    <w:rsid w:val="0021398B"/>
    <w:rsid w:val="002329ED"/>
    <w:rsid w:val="002434D5"/>
    <w:rsid w:val="00245F0B"/>
    <w:rsid w:val="00251C7B"/>
    <w:rsid w:val="00252354"/>
    <w:rsid w:val="00256CE0"/>
    <w:rsid w:val="0026039B"/>
    <w:rsid w:val="0027308F"/>
    <w:rsid w:val="0029793D"/>
    <w:rsid w:val="00297B2D"/>
    <w:rsid w:val="002C2834"/>
    <w:rsid w:val="002C3474"/>
    <w:rsid w:val="002D57E8"/>
    <w:rsid w:val="002E21F7"/>
    <w:rsid w:val="00306791"/>
    <w:rsid w:val="0032351C"/>
    <w:rsid w:val="00323767"/>
    <w:rsid w:val="00324710"/>
    <w:rsid w:val="00333269"/>
    <w:rsid w:val="00337558"/>
    <w:rsid w:val="0035324B"/>
    <w:rsid w:val="00353A19"/>
    <w:rsid w:val="00360800"/>
    <w:rsid w:val="00383E81"/>
    <w:rsid w:val="00397483"/>
    <w:rsid w:val="003A12CE"/>
    <w:rsid w:val="003B104F"/>
    <w:rsid w:val="003B7538"/>
    <w:rsid w:val="003C56E9"/>
    <w:rsid w:val="003C6C14"/>
    <w:rsid w:val="003D0F98"/>
    <w:rsid w:val="003D1CC6"/>
    <w:rsid w:val="00413948"/>
    <w:rsid w:val="00415780"/>
    <w:rsid w:val="00417191"/>
    <w:rsid w:val="00420438"/>
    <w:rsid w:val="00420C30"/>
    <w:rsid w:val="00434BE5"/>
    <w:rsid w:val="00447AFA"/>
    <w:rsid w:val="00452285"/>
    <w:rsid w:val="00453A4E"/>
    <w:rsid w:val="00456515"/>
    <w:rsid w:val="00457773"/>
    <w:rsid w:val="00467DD4"/>
    <w:rsid w:val="00482D63"/>
    <w:rsid w:val="0049126E"/>
    <w:rsid w:val="00491625"/>
    <w:rsid w:val="00496EFE"/>
    <w:rsid w:val="00497728"/>
    <w:rsid w:val="004B5591"/>
    <w:rsid w:val="004C3C13"/>
    <w:rsid w:val="004D6851"/>
    <w:rsid w:val="004E5214"/>
    <w:rsid w:val="004F1674"/>
    <w:rsid w:val="00506A6B"/>
    <w:rsid w:val="005137EB"/>
    <w:rsid w:val="00520633"/>
    <w:rsid w:val="00540782"/>
    <w:rsid w:val="00543FEF"/>
    <w:rsid w:val="0055700E"/>
    <w:rsid w:val="00564F38"/>
    <w:rsid w:val="005839C8"/>
    <w:rsid w:val="00590D28"/>
    <w:rsid w:val="00593BE3"/>
    <w:rsid w:val="005D151A"/>
    <w:rsid w:val="005E3067"/>
    <w:rsid w:val="005F05D0"/>
    <w:rsid w:val="005F17FE"/>
    <w:rsid w:val="005F6B8A"/>
    <w:rsid w:val="00600CAF"/>
    <w:rsid w:val="0062565B"/>
    <w:rsid w:val="00641417"/>
    <w:rsid w:val="0064662D"/>
    <w:rsid w:val="0065157C"/>
    <w:rsid w:val="00653BD8"/>
    <w:rsid w:val="00665DB1"/>
    <w:rsid w:val="00692328"/>
    <w:rsid w:val="00693252"/>
    <w:rsid w:val="00697F27"/>
    <w:rsid w:val="006C0385"/>
    <w:rsid w:val="006C7EAE"/>
    <w:rsid w:val="006D58B2"/>
    <w:rsid w:val="006E1517"/>
    <w:rsid w:val="006E37D1"/>
    <w:rsid w:val="006F36C8"/>
    <w:rsid w:val="006F6D43"/>
    <w:rsid w:val="0071576F"/>
    <w:rsid w:val="00720E6F"/>
    <w:rsid w:val="00726BE0"/>
    <w:rsid w:val="00731FF5"/>
    <w:rsid w:val="00733124"/>
    <w:rsid w:val="00734240"/>
    <w:rsid w:val="00741C55"/>
    <w:rsid w:val="007420DF"/>
    <w:rsid w:val="007529A2"/>
    <w:rsid w:val="00757AD4"/>
    <w:rsid w:val="00773C83"/>
    <w:rsid w:val="00781F35"/>
    <w:rsid w:val="00796A1D"/>
    <w:rsid w:val="007974C8"/>
    <w:rsid w:val="007A3786"/>
    <w:rsid w:val="007C6110"/>
    <w:rsid w:val="007C7E6B"/>
    <w:rsid w:val="007D1E52"/>
    <w:rsid w:val="007F1922"/>
    <w:rsid w:val="007F511E"/>
    <w:rsid w:val="007F55C8"/>
    <w:rsid w:val="00801B6D"/>
    <w:rsid w:val="00811E25"/>
    <w:rsid w:val="00813A92"/>
    <w:rsid w:val="00845644"/>
    <w:rsid w:val="008547D2"/>
    <w:rsid w:val="00870705"/>
    <w:rsid w:val="008B09E0"/>
    <w:rsid w:val="008B101D"/>
    <w:rsid w:val="008B6D31"/>
    <w:rsid w:val="008D211C"/>
    <w:rsid w:val="008F20A9"/>
    <w:rsid w:val="008F79BF"/>
    <w:rsid w:val="00910C68"/>
    <w:rsid w:val="00916357"/>
    <w:rsid w:val="00916ADF"/>
    <w:rsid w:val="0092057C"/>
    <w:rsid w:val="0093463B"/>
    <w:rsid w:val="00940864"/>
    <w:rsid w:val="009506F0"/>
    <w:rsid w:val="009606E4"/>
    <w:rsid w:val="00994CB1"/>
    <w:rsid w:val="009C17EF"/>
    <w:rsid w:val="009D2580"/>
    <w:rsid w:val="009D3BB1"/>
    <w:rsid w:val="00A008A3"/>
    <w:rsid w:val="00A022BA"/>
    <w:rsid w:val="00A10849"/>
    <w:rsid w:val="00A339C0"/>
    <w:rsid w:val="00A33A82"/>
    <w:rsid w:val="00A45B3D"/>
    <w:rsid w:val="00A57BA7"/>
    <w:rsid w:val="00A61E91"/>
    <w:rsid w:val="00A66E81"/>
    <w:rsid w:val="00AA2A7A"/>
    <w:rsid w:val="00AA5199"/>
    <w:rsid w:val="00AB6D24"/>
    <w:rsid w:val="00AC4E2A"/>
    <w:rsid w:val="00AE2EF4"/>
    <w:rsid w:val="00AF02F7"/>
    <w:rsid w:val="00B1697C"/>
    <w:rsid w:val="00B25A24"/>
    <w:rsid w:val="00B32F22"/>
    <w:rsid w:val="00B364AB"/>
    <w:rsid w:val="00B44471"/>
    <w:rsid w:val="00B55EE5"/>
    <w:rsid w:val="00B65D4B"/>
    <w:rsid w:val="00B713DD"/>
    <w:rsid w:val="00B91896"/>
    <w:rsid w:val="00B94845"/>
    <w:rsid w:val="00B9580F"/>
    <w:rsid w:val="00BA387C"/>
    <w:rsid w:val="00BB118D"/>
    <w:rsid w:val="00BB76A0"/>
    <w:rsid w:val="00BC2AB0"/>
    <w:rsid w:val="00BC4AD2"/>
    <w:rsid w:val="00BC77FE"/>
    <w:rsid w:val="00BE1BE4"/>
    <w:rsid w:val="00BE6E18"/>
    <w:rsid w:val="00C00C8D"/>
    <w:rsid w:val="00C112AA"/>
    <w:rsid w:val="00C31651"/>
    <w:rsid w:val="00C32B38"/>
    <w:rsid w:val="00C40DDC"/>
    <w:rsid w:val="00C51E53"/>
    <w:rsid w:val="00C5254E"/>
    <w:rsid w:val="00C55F5B"/>
    <w:rsid w:val="00C65B9C"/>
    <w:rsid w:val="00C752BA"/>
    <w:rsid w:val="00C77D88"/>
    <w:rsid w:val="00C91655"/>
    <w:rsid w:val="00C91C82"/>
    <w:rsid w:val="00C95799"/>
    <w:rsid w:val="00CC277A"/>
    <w:rsid w:val="00CD75B4"/>
    <w:rsid w:val="00CE1D00"/>
    <w:rsid w:val="00CE2128"/>
    <w:rsid w:val="00D006AE"/>
    <w:rsid w:val="00D007F3"/>
    <w:rsid w:val="00D00E3A"/>
    <w:rsid w:val="00D2226B"/>
    <w:rsid w:val="00D227B5"/>
    <w:rsid w:val="00D24B6A"/>
    <w:rsid w:val="00D4160C"/>
    <w:rsid w:val="00D51FEC"/>
    <w:rsid w:val="00D538F5"/>
    <w:rsid w:val="00D7503D"/>
    <w:rsid w:val="00D80DD3"/>
    <w:rsid w:val="00D9044A"/>
    <w:rsid w:val="00D96A6D"/>
    <w:rsid w:val="00DA457A"/>
    <w:rsid w:val="00DB10C6"/>
    <w:rsid w:val="00DB2399"/>
    <w:rsid w:val="00DC3C0D"/>
    <w:rsid w:val="00DC45E3"/>
    <w:rsid w:val="00E22588"/>
    <w:rsid w:val="00E406B9"/>
    <w:rsid w:val="00E50AA1"/>
    <w:rsid w:val="00E52447"/>
    <w:rsid w:val="00E53D0D"/>
    <w:rsid w:val="00E72865"/>
    <w:rsid w:val="00E8694E"/>
    <w:rsid w:val="00E92C30"/>
    <w:rsid w:val="00EB5690"/>
    <w:rsid w:val="00ED4078"/>
    <w:rsid w:val="00EE31A8"/>
    <w:rsid w:val="00EF688C"/>
    <w:rsid w:val="00F00BE2"/>
    <w:rsid w:val="00F00D84"/>
    <w:rsid w:val="00F13895"/>
    <w:rsid w:val="00F220A3"/>
    <w:rsid w:val="00F32B3D"/>
    <w:rsid w:val="00F56746"/>
    <w:rsid w:val="00F6257B"/>
    <w:rsid w:val="00F74E38"/>
    <w:rsid w:val="00F80F67"/>
    <w:rsid w:val="00F82984"/>
    <w:rsid w:val="00F872D1"/>
    <w:rsid w:val="00FB6910"/>
    <w:rsid w:val="00FC28EC"/>
    <w:rsid w:val="00FC3EF4"/>
    <w:rsid w:val="00FC53AA"/>
    <w:rsid w:val="00FD22B7"/>
    <w:rsid w:val="00FD3D11"/>
    <w:rsid w:val="00FE3011"/>
    <w:rsid w:val="00FF1F11"/>
    <w:rsid w:val="00FF46CC"/>
    <w:rsid w:val="00FF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7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D1"/>
    <w:rPr>
      <w:sz w:val="24"/>
    </w:rPr>
  </w:style>
  <w:style w:type="paragraph" w:styleId="Heading1">
    <w:name w:val="heading 1"/>
    <w:basedOn w:val="Normal"/>
    <w:next w:val="Normal"/>
    <w:qFormat/>
    <w:rsid w:val="00A33A82"/>
    <w:pPr>
      <w:keepNext/>
      <w:outlineLvl w:val="0"/>
    </w:pPr>
    <w:rPr>
      <w:rFonts w:ascii="Courier" w:hAnsi="Courier"/>
      <w:u w:val="single"/>
    </w:rPr>
  </w:style>
  <w:style w:type="paragraph" w:styleId="Heading2">
    <w:name w:val="heading 2"/>
    <w:basedOn w:val="Normal"/>
    <w:next w:val="Normal"/>
    <w:qFormat/>
    <w:rsid w:val="00A33A82"/>
    <w:pPr>
      <w:keepNext/>
      <w:outlineLvl w:val="1"/>
    </w:pPr>
    <w:rPr>
      <w:rFonts w:ascii="Courier" w:hAnsi="Courier"/>
    </w:rPr>
  </w:style>
  <w:style w:type="paragraph" w:styleId="Heading3">
    <w:name w:val="heading 3"/>
    <w:basedOn w:val="Normal"/>
    <w:next w:val="Normal"/>
    <w:qFormat/>
    <w:rsid w:val="00A33A82"/>
    <w:pPr>
      <w:keepNext/>
      <w:ind w:firstLine="4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rsid w:val="00A33A82"/>
    <w:pPr>
      <w:tabs>
        <w:tab w:val="center" w:pos="4320"/>
        <w:tab w:val="right" w:pos="8640"/>
      </w:tabs>
    </w:pPr>
  </w:style>
  <w:style w:type="paragraph" w:styleId="Title">
    <w:name w:val="Title"/>
    <w:basedOn w:val="Normal"/>
    <w:qFormat/>
    <w:rsid w:val="00A33A82"/>
    <w:pPr>
      <w:jc w:val="center"/>
    </w:pPr>
    <w:rPr>
      <w:u w:val="single"/>
    </w:rPr>
  </w:style>
  <w:style w:type="paragraph" w:styleId="BodyTextIndent">
    <w:name w:val="Body Text Indent"/>
    <w:basedOn w:val="Normal"/>
    <w:rsid w:val="00A33A82"/>
    <w:pPr>
      <w:ind w:left="1440" w:hanging="720"/>
    </w:pPr>
  </w:style>
  <w:style w:type="paragraph" w:styleId="BodyTextIndent2">
    <w:name w:val="Body Text Indent 2"/>
    <w:basedOn w:val="Normal"/>
    <w:rsid w:val="00A33A82"/>
    <w:pPr>
      <w:ind w:left="360"/>
    </w:p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uiPriority w:val="99"/>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 w:type="paragraph" w:styleId="Revision">
    <w:name w:val="Revision"/>
    <w:hidden/>
    <w:uiPriority w:val="99"/>
    <w:semiHidden/>
    <w:rsid w:val="00FD22B7"/>
  </w:style>
  <w:style w:type="paragraph" w:customStyle="1" w:styleId="Default">
    <w:name w:val="Default"/>
    <w:rsid w:val="00DC45E3"/>
    <w:pPr>
      <w:autoSpaceDE w:val="0"/>
      <w:autoSpaceDN w:val="0"/>
      <w:adjustRightInd w:val="0"/>
    </w:pPr>
    <w:rPr>
      <w:rFonts w:ascii="Arial" w:hAnsi="Arial" w:cs="Arial"/>
      <w:color w:val="000000"/>
      <w:sz w:val="24"/>
      <w:szCs w:val="24"/>
    </w:rPr>
  </w:style>
  <w:style w:type="table" w:styleId="TableGrid">
    <w:name w:val="Table Grid"/>
    <w:basedOn w:val="TableNormal"/>
    <w:rsid w:val="00D0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AExecSummary">
    <w:name w:val="PRA Exec Summary"/>
    <w:basedOn w:val="DefaultParagraphFont"/>
    <w:uiPriority w:val="1"/>
    <w:rsid w:val="00452285"/>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D1"/>
    <w:rPr>
      <w:sz w:val="24"/>
    </w:rPr>
  </w:style>
  <w:style w:type="paragraph" w:styleId="Heading1">
    <w:name w:val="heading 1"/>
    <w:basedOn w:val="Normal"/>
    <w:next w:val="Normal"/>
    <w:qFormat/>
    <w:rsid w:val="00A33A82"/>
    <w:pPr>
      <w:keepNext/>
      <w:outlineLvl w:val="0"/>
    </w:pPr>
    <w:rPr>
      <w:rFonts w:ascii="Courier" w:hAnsi="Courier"/>
      <w:u w:val="single"/>
    </w:rPr>
  </w:style>
  <w:style w:type="paragraph" w:styleId="Heading2">
    <w:name w:val="heading 2"/>
    <w:basedOn w:val="Normal"/>
    <w:next w:val="Normal"/>
    <w:qFormat/>
    <w:rsid w:val="00A33A82"/>
    <w:pPr>
      <w:keepNext/>
      <w:outlineLvl w:val="1"/>
    </w:pPr>
    <w:rPr>
      <w:rFonts w:ascii="Courier" w:hAnsi="Courier"/>
    </w:rPr>
  </w:style>
  <w:style w:type="paragraph" w:styleId="Heading3">
    <w:name w:val="heading 3"/>
    <w:basedOn w:val="Normal"/>
    <w:next w:val="Normal"/>
    <w:qFormat/>
    <w:rsid w:val="00A33A82"/>
    <w:pPr>
      <w:keepNext/>
      <w:ind w:firstLine="4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3A82"/>
    <w:rPr>
      <w:rFonts w:ascii="Courier" w:hAnsi="Courier"/>
    </w:rPr>
  </w:style>
  <w:style w:type="paragraph" w:styleId="Footer">
    <w:name w:val="footer"/>
    <w:basedOn w:val="Normal"/>
    <w:rsid w:val="00A33A82"/>
    <w:pPr>
      <w:tabs>
        <w:tab w:val="center" w:pos="4320"/>
        <w:tab w:val="right" w:pos="8640"/>
      </w:tabs>
    </w:pPr>
  </w:style>
  <w:style w:type="character" w:styleId="PageNumber">
    <w:name w:val="page number"/>
    <w:basedOn w:val="DefaultParagraphFont"/>
    <w:rsid w:val="00A33A82"/>
  </w:style>
  <w:style w:type="paragraph" w:styleId="Header">
    <w:name w:val="header"/>
    <w:basedOn w:val="Normal"/>
    <w:rsid w:val="00A33A82"/>
    <w:pPr>
      <w:tabs>
        <w:tab w:val="center" w:pos="4320"/>
        <w:tab w:val="right" w:pos="8640"/>
      </w:tabs>
    </w:pPr>
  </w:style>
  <w:style w:type="paragraph" w:styleId="Title">
    <w:name w:val="Title"/>
    <w:basedOn w:val="Normal"/>
    <w:qFormat/>
    <w:rsid w:val="00A33A82"/>
    <w:pPr>
      <w:jc w:val="center"/>
    </w:pPr>
    <w:rPr>
      <w:u w:val="single"/>
    </w:rPr>
  </w:style>
  <w:style w:type="paragraph" w:styleId="BodyTextIndent">
    <w:name w:val="Body Text Indent"/>
    <w:basedOn w:val="Normal"/>
    <w:rsid w:val="00A33A82"/>
    <w:pPr>
      <w:ind w:left="1440" w:hanging="720"/>
    </w:pPr>
  </w:style>
  <w:style w:type="paragraph" w:styleId="BodyTextIndent2">
    <w:name w:val="Body Text Indent 2"/>
    <w:basedOn w:val="Normal"/>
    <w:rsid w:val="00A33A82"/>
    <w:pPr>
      <w:ind w:left="360"/>
    </w:pPr>
  </w:style>
  <w:style w:type="paragraph" w:styleId="BodyText2">
    <w:name w:val="Body Text 2"/>
    <w:basedOn w:val="Normal"/>
    <w:rsid w:val="00564F38"/>
    <w:pPr>
      <w:spacing w:after="120" w:line="480" w:lineRule="auto"/>
    </w:pPr>
  </w:style>
  <w:style w:type="paragraph" w:styleId="BalloonText">
    <w:name w:val="Balloon Text"/>
    <w:basedOn w:val="Normal"/>
    <w:semiHidden/>
    <w:rsid w:val="003D1CC6"/>
    <w:rPr>
      <w:rFonts w:ascii="Tahoma" w:hAnsi="Tahoma" w:cs="Tahoma"/>
      <w:sz w:val="16"/>
      <w:szCs w:val="16"/>
    </w:rPr>
  </w:style>
  <w:style w:type="character" w:styleId="CommentReference">
    <w:name w:val="annotation reference"/>
    <w:basedOn w:val="DefaultParagraphFont"/>
    <w:semiHidden/>
    <w:rsid w:val="003D1CC6"/>
    <w:rPr>
      <w:sz w:val="16"/>
      <w:szCs w:val="16"/>
    </w:rPr>
  </w:style>
  <w:style w:type="paragraph" w:styleId="CommentText">
    <w:name w:val="annotation text"/>
    <w:basedOn w:val="Normal"/>
    <w:semiHidden/>
    <w:rsid w:val="003D1CC6"/>
  </w:style>
  <w:style w:type="paragraph" w:styleId="CommentSubject">
    <w:name w:val="annotation subject"/>
    <w:basedOn w:val="CommentText"/>
    <w:next w:val="CommentText"/>
    <w:semiHidden/>
    <w:rsid w:val="003D1CC6"/>
    <w:rPr>
      <w:b/>
      <w:bCs/>
    </w:rPr>
  </w:style>
  <w:style w:type="character" w:styleId="Hyperlink">
    <w:name w:val="Hyperlink"/>
    <w:basedOn w:val="DefaultParagraphFont"/>
    <w:uiPriority w:val="99"/>
    <w:rsid w:val="005F6B8A"/>
    <w:rPr>
      <w:color w:val="0000FF" w:themeColor="hyperlink"/>
      <w:u w:val="single"/>
    </w:rPr>
  </w:style>
  <w:style w:type="character" w:styleId="FollowedHyperlink">
    <w:name w:val="FollowedHyperlink"/>
    <w:basedOn w:val="DefaultParagraphFont"/>
    <w:rsid w:val="00FF46CC"/>
    <w:rPr>
      <w:color w:val="800080" w:themeColor="followedHyperlink"/>
      <w:u w:val="single"/>
    </w:rPr>
  </w:style>
  <w:style w:type="paragraph" w:styleId="ListParagraph">
    <w:name w:val="List Paragraph"/>
    <w:basedOn w:val="Normal"/>
    <w:uiPriority w:val="34"/>
    <w:qFormat/>
    <w:rsid w:val="00134B8D"/>
    <w:pPr>
      <w:ind w:left="720"/>
      <w:contextualSpacing/>
    </w:pPr>
  </w:style>
  <w:style w:type="paragraph" w:styleId="Revision">
    <w:name w:val="Revision"/>
    <w:hidden/>
    <w:uiPriority w:val="99"/>
    <w:semiHidden/>
    <w:rsid w:val="00FD22B7"/>
  </w:style>
  <w:style w:type="paragraph" w:customStyle="1" w:styleId="Default">
    <w:name w:val="Default"/>
    <w:rsid w:val="00DC45E3"/>
    <w:pPr>
      <w:autoSpaceDE w:val="0"/>
      <w:autoSpaceDN w:val="0"/>
      <w:adjustRightInd w:val="0"/>
    </w:pPr>
    <w:rPr>
      <w:rFonts w:ascii="Arial" w:hAnsi="Arial" w:cs="Arial"/>
      <w:color w:val="000000"/>
      <w:sz w:val="24"/>
      <w:szCs w:val="24"/>
    </w:rPr>
  </w:style>
  <w:style w:type="table" w:styleId="TableGrid">
    <w:name w:val="Table Grid"/>
    <w:basedOn w:val="TableNormal"/>
    <w:rsid w:val="00D0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AExecSummary">
    <w:name w:val="PRA Exec Summary"/>
    <w:basedOn w:val="DefaultParagraphFont"/>
    <w:uiPriority w:val="1"/>
    <w:rsid w:val="0045228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992355">
      <w:bodyDiv w:val="1"/>
      <w:marLeft w:val="0"/>
      <w:marRight w:val="0"/>
      <w:marTop w:val="0"/>
      <w:marBottom w:val="0"/>
      <w:divBdr>
        <w:top w:val="none" w:sz="0" w:space="0" w:color="auto"/>
        <w:left w:val="none" w:sz="0" w:space="0" w:color="auto"/>
        <w:bottom w:val="none" w:sz="0" w:space="0" w:color="auto"/>
        <w:right w:val="none" w:sz="0" w:space="0" w:color="auto"/>
      </w:divBdr>
      <w:divsChild>
        <w:div w:id="584190342">
          <w:marLeft w:val="0"/>
          <w:marRight w:val="0"/>
          <w:marTop w:val="0"/>
          <w:marBottom w:val="0"/>
          <w:divBdr>
            <w:top w:val="none" w:sz="0" w:space="0" w:color="auto"/>
            <w:left w:val="none" w:sz="0" w:space="0" w:color="auto"/>
            <w:bottom w:val="none" w:sz="0" w:space="0" w:color="auto"/>
            <w:right w:val="none" w:sz="0" w:space="0" w:color="auto"/>
          </w:divBdr>
          <w:divsChild>
            <w:div w:id="938876761">
              <w:marLeft w:val="0"/>
              <w:marRight w:val="0"/>
              <w:marTop w:val="0"/>
              <w:marBottom w:val="0"/>
              <w:divBdr>
                <w:top w:val="none" w:sz="0" w:space="0" w:color="auto"/>
                <w:left w:val="single" w:sz="6" w:space="0" w:color="E2E2E2"/>
                <w:bottom w:val="none" w:sz="0" w:space="0" w:color="auto"/>
                <w:right w:val="single" w:sz="6" w:space="0" w:color="E2E2E2"/>
              </w:divBdr>
              <w:divsChild>
                <w:div w:id="1795362732">
                  <w:marLeft w:val="0"/>
                  <w:marRight w:val="0"/>
                  <w:marTop w:val="0"/>
                  <w:marBottom w:val="0"/>
                  <w:divBdr>
                    <w:top w:val="none" w:sz="0" w:space="0" w:color="auto"/>
                    <w:left w:val="none" w:sz="0" w:space="0" w:color="auto"/>
                    <w:bottom w:val="none" w:sz="0" w:space="0" w:color="auto"/>
                    <w:right w:val="none" w:sz="0" w:space="0" w:color="auto"/>
                  </w:divBdr>
                  <w:divsChild>
                    <w:div w:id="15694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7890">
      <w:bodyDiv w:val="1"/>
      <w:marLeft w:val="0"/>
      <w:marRight w:val="0"/>
      <w:marTop w:val="0"/>
      <w:marBottom w:val="0"/>
      <w:divBdr>
        <w:top w:val="none" w:sz="0" w:space="0" w:color="auto"/>
        <w:left w:val="none" w:sz="0" w:space="0" w:color="auto"/>
        <w:bottom w:val="none" w:sz="0" w:space="0" w:color="auto"/>
        <w:right w:val="none" w:sz="0" w:space="0" w:color="auto"/>
      </w:divBdr>
    </w:div>
    <w:div w:id="1914702610">
      <w:bodyDiv w:val="1"/>
      <w:marLeft w:val="0"/>
      <w:marRight w:val="0"/>
      <w:marTop w:val="0"/>
      <w:marBottom w:val="0"/>
      <w:divBdr>
        <w:top w:val="none" w:sz="0" w:space="0" w:color="auto"/>
        <w:left w:val="none" w:sz="0" w:space="0" w:color="auto"/>
        <w:bottom w:val="none" w:sz="0" w:space="0" w:color="auto"/>
        <w:right w:val="none" w:sz="0" w:space="0" w:color="auto"/>
      </w:divBdr>
    </w:div>
    <w:div w:id="2065374331">
      <w:bodyDiv w:val="1"/>
      <w:marLeft w:val="0"/>
      <w:marRight w:val="0"/>
      <w:marTop w:val="0"/>
      <w:marBottom w:val="0"/>
      <w:divBdr>
        <w:top w:val="none" w:sz="0" w:space="0" w:color="auto"/>
        <w:left w:val="none" w:sz="0" w:space="0" w:color="auto"/>
        <w:bottom w:val="none" w:sz="0" w:space="0" w:color="auto"/>
        <w:right w:val="none" w:sz="0" w:space="0" w:color="auto"/>
      </w:divBdr>
      <w:divsChild>
        <w:div w:id="2143881086">
          <w:marLeft w:val="0"/>
          <w:marRight w:val="0"/>
          <w:marTop w:val="0"/>
          <w:marBottom w:val="0"/>
          <w:divBdr>
            <w:top w:val="none" w:sz="0" w:space="0" w:color="auto"/>
            <w:left w:val="none" w:sz="0" w:space="0" w:color="auto"/>
            <w:bottom w:val="none" w:sz="0" w:space="0" w:color="auto"/>
            <w:right w:val="none" w:sz="0" w:space="0" w:color="auto"/>
          </w:divBdr>
          <w:divsChild>
            <w:div w:id="1034355362">
              <w:marLeft w:val="0"/>
              <w:marRight w:val="0"/>
              <w:marTop w:val="0"/>
              <w:marBottom w:val="0"/>
              <w:divBdr>
                <w:top w:val="none" w:sz="0" w:space="0" w:color="auto"/>
                <w:left w:val="single" w:sz="6" w:space="0" w:color="E2E2E2"/>
                <w:bottom w:val="none" w:sz="0" w:space="0" w:color="auto"/>
                <w:right w:val="single" w:sz="6" w:space="0" w:color="E2E2E2"/>
              </w:divBdr>
              <w:divsChild>
                <w:div w:id="2007050678">
                  <w:marLeft w:val="0"/>
                  <w:marRight w:val="0"/>
                  <w:marTop w:val="0"/>
                  <w:marBottom w:val="0"/>
                  <w:divBdr>
                    <w:top w:val="none" w:sz="0" w:space="0" w:color="auto"/>
                    <w:left w:val="none" w:sz="0" w:space="0" w:color="auto"/>
                    <w:bottom w:val="none" w:sz="0" w:space="0" w:color="auto"/>
                    <w:right w:val="none" w:sz="0" w:space="0" w:color="auto"/>
                  </w:divBdr>
                  <w:divsChild>
                    <w:div w:id="5575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ederalregister.gov/documents/2016/12/08/2016-29395/proposed-information-collection-comment-request-longitudinal-employer-household-dynamics-le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57DD6-6BE7-45B0-B1CC-D8BD2F8A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2064</Words>
  <Characters>11767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Ann Forquer</dc:creator>
  <cp:lastModifiedBy>SYSTEM</cp:lastModifiedBy>
  <cp:revision>2</cp:revision>
  <cp:lastPrinted>2015-12-08T23:58:00Z</cp:lastPrinted>
  <dcterms:created xsi:type="dcterms:W3CDTF">2017-12-28T15:54:00Z</dcterms:created>
  <dcterms:modified xsi:type="dcterms:W3CDTF">2017-12-28T15:54:00Z</dcterms:modified>
</cp:coreProperties>
</file>