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8D3" w:rsidRPr="00184423" w:rsidRDefault="005728D3" w:rsidP="005728D3">
      <w:pPr>
        <w:spacing w:line="276" w:lineRule="auto"/>
        <w:jc w:val="center"/>
      </w:pPr>
      <w:bookmarkStart w:id="0" w:name="_GoBack"/>
      <w:bookmarkEnd w:id="0"/>
      <w:r w:rsidRPr="00184423">
        <w:t>National Credit Union Administration</w:t>
      </w:r>
    </w:p>
    <w:p w:rsidR="005728D3" w:rsidRPr="00184423" w:rsidRDefault="005728D3" w:rsidP="005728D3">
      <w:pPr>
        <w:spacing w:line="276" w:lineRule="auto"/>
        <w:jc w:val="center"/>
      </w:pPr>
      <w:r w:rsidRPr="00184423">
        <w:t xml:space="preserve">Supporting Statement </w:t>
      </w:r>
    </w:p>
    <w:p w:rsidR="001A03E7" w:rsidRPr="00753B95" w:rsidRDefault="001A03E7" w:rsidP="005728D3">
      <w:pPr>
        <w:spacing w:line="276" w:lineRule="auto"/>
        <w:jc w:val="center"/>
        <w:rPr>
          <w:b/>
        </w:rPr>
      </w:pPr>
    </w:p>
    <w:p w:rsidR="001C45AE" w:rsidRDefault="00C259E3" w:rsidP="005728D3">
      <w:pPr>
        <w:spacing w:line="276" w:lineRule="auto"/>
        <w:jc w:val="center"/>
        <w:rPr>
          <w:b/>
        </w:rPr>
      </w:pPr>
      <w:r>
        <w:rPr>
          <w:b/>
        </w:rPr>
        <w:t>Capital Planning and Stress Testing</w:t>
      </w:r>
    </w:p>
    <w:p w:rsidR="008155FD" w:rsidRPr="00753B95" w:rsidRDefault="001A03E7" w:rsidP="008155FD">
      <w:pPr>
        <w:spacing w:line="276" w:lineRule="auto"/>
        <w:jc w:val="center"/>
        <w:rPr>
          <w:b/>
        </w:rPr>
      </w:pPr>
      <w:r>
        <w:rPr>
          <w:b/>
        </w:rPr>
        <w:t>12 CFR</w:t>
      </w:r>
      <w:r w:rsidR="008155FD" w:rsidRPr="00753B95">
        <w:rPr>
          <w:b/>
        </w:rPr>
        <w:t xml:space="preserve"> Part </w:t>
      </w:r>
      <w:r w:rsidR="00C259E3">
        <w:rPr>
          <w:b/>
        </w:rPr>
        <w:t>702</w:t>
      </w:r>
      <w:r w:rsidR="001C45AE">
        <w:rPr>
          <w:b/>
        </w:rPr>
        <w:t xml:space="preserve">, Subpart </w:t>
      </w:r>
      <w:r w:rsidR="00C259E3">
        <w:rPr>
          <w:b/>
        </w:rPr>
        <w:t>E</w:t>
      </w:r>
    </w:p>
    <w:p w:rsidR="00753B95" w:rsidRPr="00753B95" w:rsidRDefault="00753B95" w:rsidP="008155FD">
      <w:pPr>
        <w:spacing w:line="276" w:lineRule="auto"/>
        <w:jc w:val="center"/>
        <w:rPr>
          <w:b/>
        </w:rPr>
      </w:pPr>
      <w:r w:rsidRPr="00753B95">
        <w:rPr>
          <w:b/>
        </w:rPr>
        <w:t>OMB No. 3133-</w:t>
      </w:r>
      <w:r w:rsidR="001C45AE">
        <w:rPr>
          <w:b/>
        </w:rPr>
        <w:t>NEW</w:t>
      </w:r>
    </w:p>
    <w:p w:rsidR="00DE3633" w:rsidRDefault="00DE3633" w:rsidP="00225761">
      <w:pPr>
        <w:autoSpaceDE w:val="0"/>
        <w:autoSpaceDN w:val="0"/>
        <w:adjustRightInd w:val="0"/>
      </w:pPr>
    </w:p>
    <w:p w:rsidR="00D05C04" w:rsidRPr="00753B95" w:rsidRDefault="00027E19" w:rsidP="00027E19">
      <w:pPr>
        <w:tabs>
          <w:tab w:val="left" w:pos="540"/>
        </w:tabs>
        <w:ind w:left="540" w:hanging="540"/>
        <w:rPr>
          <w:b/>
        </w:rPr>
      </w:pPr>
      <w:r>
        <w:rPr>
          <w:b/>
        </w:rPr>
        <w:t>A.</w:t>
      </w:r>
      <w:r>
        <w:rPr>
          <w:b/>
        </w:rPr>
        <w:tab/>
      </w:r>
      <w:r w:rsidR="00D05C04" w:rsidRPr="00753B95">
        <w:rPr>
          <w:b/>
        </w:rPr>
        <w:t>Justification</w:t>
      </w:r>
    </w:p>
    <w:p w:rsidR="00D05C04" w:rsidRPr="00753B95" w:rsidRDefault="00D05C04" w:rsidP="00027E19">
      <w:pPr>
        <w:tabs>
          <w:tab w:val="left" w:pos="540"/>
        </w:tabs>
        <w:ind w:left="540" w:hanging="540"/>
      </w:pPr>
    </w:p>
    <w:p w:rsidR="0061487C" w:rsidRDefault="00D05C04" w:rsidP="00027E19">
      <w:pPr>
        <w:tabs>
          <w:tab w:val="left" w:pos="540"/>
        </w:tabs>
        <w:ind w:left="540" w:hanging="540"/>
        <w:rPr>
          <w:b/>
        </w:rPr>
      </w:pPr>
      <w:r w:rsidRPr="00753B95">
        <w:rPr>
          <w:b/>
        </w:rPr>
        <w:t>1.</w:t>
      </w:r>
      <w:r w:rsidR="00027E19">
        <w:tab/>
      </w:r>
      <w:r w:rsidR="0098730C" w:rsidRPr="00753B95">
        <w:rPr>
          <w:b/>
        </w:rPr>
        <w:t>C</w:t>
      </w:r>
      <w:r w:rsidRPr="00753B95">
        <w:rPr>
          <w:b/>
        </w:rPr>
        <w:t>ircumstances that make the coll</w:t>
      </w:r>
      <w:r w:rsidR="00027E19">
        <w:rPr>
          <w:b/>
        </w:rPr>
        <w:t>ection of information necessary</w:t>
      </w:r>
    </w:p>
    <w:p w:rsidR="0061487C" w:rsidRPr="00286513" w:rsidRDefault="0061487C" w:rsidP="00027E19">
      <w:pPr>
        <w:tabs>
          <w:tab w:val="left" w:pos="540"/>
        </w:tabs>
        <w:ind w:left="540" w:hanging="540"/>
      </w:pPr>
    </w:p>
    <w:p w:rsidR="00C259E3" w:rsidRPr="00286513" w:rsidRDefault="00C259E3" w:rsidP="00C259E3">
      <w:pPr>
        <w:autoSpaceDE w:val="0"/>
        <w:autoSpaceDN w:val="0"/>
        <w:adjustRightInd w:val="0"/>
      </w:pPr>
      <w:r w:rsidRPr="00286513">
        <w:t xml:space="preserve">The NCUA Board (Board) has determined, to protect the National Credit Union Share Insurance Fund (NCUSIF) and the credit union system, that the largest </w:t>
      </w:r>
      <w:r w:rsidR="00286513">
        <w:t>Federally Insured Credit Unions (</w:t>
      </w:r>
      <w:r w:rsidRPr="00286513">
        <w:t>FICUs</w:t>
      </w:r>
      <w:r w:rsidR="00286513">
        <w:t>)</w:t>
      </w:r>
      <w:r w:rsidRPr="00286513">
        <w:t xml:space="preserve"> should have systems and processes to monitor and maintain their capital adequacy. </w:t>
      </w:r>
      <w:r w:rsidR="00613996" w:rsidRPr="00286513">
        <w:t xml:space="preserve"> </w:t>
      </w:r>
      <w:r w:rsidRPr="00286513">
        <w:t>This</w:t>
      </w:r>
      <w:r w:rsidR="00613996" w:rsidRPr="00286513">
        <w:t xml:space="preserve"> rule </w:t>
      </w:r>
      <w:r w:rsidRPr="00286513">
        <w:t>requires FICUs with assets of $10 billion</w:t>
      </w:r>
      <w:r w:rsidR="00613996" w:rsidRPr="00286513">
        <w:t xml:space="preserve"> </w:t>
      </w:r>
      <w:r w:rsidRPr="00286513">
        <w:t>or more (covered credit unions) to</w:t>
      </w:r>
      <w:r w:rsidR="00613996" w:rsidRPr="00286513">
        <w:t xml:space="preserve"> </w:t>
      </w:r>
      <w:r w:rsidRPr="00286513">
        <w:t>submit capital plans annually to NCUA.</w:t>
      </w:r>
      <w:r w:rsidR="00613996" w:rsidRPr="00286513">
        <w:t xml:space="preserve"> </w:t>
      </w:r>
      <w:r w:rsidR="00286513">
        <w:t xml:space="preserve"> </w:t>
      </w:r>
      <w:r w:rsidRPr="00286513">
        <w:t>The Board has also determined that</w:t>
      </w:r>
      <w:r w:rsidR="00613996" w:rsidRPr="00286513">
        <w:t xml:space="preserve"> </w:t>
      </w:r>
      <w:r w:rsidRPr="00286513">
        <w:t>stress testing of these larger FICUs</w:t>
      </w:r>
      <w:r w:rsidR="00613996" w:rsidRPr="00286513">
        <w:t xml:space="preserve"> </w:t>
      </w:r>
      <w:r w:rsidRPr="00286513">
        <w:t>would provide useful information for</w:t>
      </w:r>
      <w:r w:rsidR="00613996" w:rsidRPr="00286513">
        <w:t xml:space="preserve"> </w:t>
      </w:r>
      <w:r w:rsidRPr="00286513">
        <w:t xml:space="preserve">both NCUA and the FICUs. </w:t>
      </w:r>
    </w:p>
    <w:p w:rsidR="00613996" w:rsidRPr="00286513" w:rsidRDefault="00613996" w:rsidP="00C259E3">
      <w:pPr>
        <w:autoSpaceDE w:val="0"/>
        <w:autoSpaceDN w:val="0"/>
        <w:adjustRightInd w:val="0"/>
      </w:pPr>
    </w:p>
    <w:p w:rsidR="00BA62AD" w:rsidRPr="00286513" w:rsidRDefault="00C259E3" w:rsidP="00C259E3">
      <w:pPr>
        <w:autoSpaceDE w:val="0"/>
        <w:autoSpaceDN w:val="0"/>
        <w:adjustRightInd w:val="0"/>
      </w:pPr>
      <w:r w:rsidRPr="00286513">
        <w:t>The Board of Governors of the Federal</w:t>
      </w:r>
      <w:r w:rsidR="00613996" w:rsidRPr="00286513">
        <w:t xml:space="preserve"> </w:t>
      </w:r>
      <w:r w:rsidRPr="00286513">
        <w:t>Reserve System (Federal Reserve)</w:t>
      </w:r>
      <w:r w:rsidR="00613996" w:rsidRPr="00286513">
        <w:t xml:space="preserve"> </w:t>
      </w:r>
      <w:r w:rsidRPr="00286513">
        <w:t>requires large bank holding companies</w:t>
      </w:r>
      <w:r w:rsidR="00613996" w:rsidRPr="00286513">
        <w:t xml:space="preserve"> </w:t>
      </w:r>
      <w:r w:rsidRPr="00286513">
        <w:t>to submit capital plans to the Federal</w:t>
      </w:r>
      <w:r w:rsidR="00613996" w:rsidRPr="00286513">
        <w:t xml:space="preserve"> </w:t>
      </w:r>
      <w:r w:rsidRPr="00286513">
        <w:t>Reserve.</w:t>
      </w:r>
      <w:r w:rsidR="00286513">
        <w:rPr>
          <w:rStyle w:val="FootnoteReference"/>
        </w:rPr>
        <w:footnoteReference w:id="1"/>
      </w:r>
      <w:r w:rsidR="00286513">
        <w:t xml:space="preserve"> </w:t>
      </w:r>
      <w:r w:rsidRPr="00286513">
        <w:t xml:space="preserve"> The requirement supports the</w:t>
      </w:r>
      <w:r w:rsidR="00613996" w:rsidRPr="00286513">
        <w:t xml:space="preserve"> </w:t>
      </w:r>
      <w:r w:rsidRPr="00286513">
        <w:t>Federal Reserve’s expectation that large</w:t>
      </w:r>
      <w:r w:rsidR="00613996" w:rsidRPr="00286513">
        <w:t xml:space="preserve"> </w:t>
      </w:r>
      <w:r w:rsidRPr="00286513">
        <w:t>bank holding companies have robust</w:t>
      </w:r>
      <w:r w:rsidR="00613996" w:rsidRPr="00286513">
        <w:t xml:space="preserve"> </w:t>
      </w:r>
      <w:r w:rsidRPr="00286513">
        <w:t>systems and processes that incorporate</w:t>
      </w:r>
      <w:r w:rsidR="00286513" w:rsidRPr="00286513">
        <w:t xml:space="preserve"> </w:t>
      </w:r>
      <w:r w:rsidRPr="00286513">
        <w:t>forward-looking projections of revenue</w:t>
      </w:r>
      <w:r w:rsidR="00613996" w:rsidRPr="00286513">
        <w:t xml:space="preserve"> </w:t>
      </w:r>
      <w:r w:rsidRPr="00286513">
        <w:t>and losses to monitor and maintain their</w:t>
      </w:r>
      <w:r w:rsidR="00286513" w:rsidRPr="00286513">
        <w:t xml:space="preserve"> </w:t>
      </w:r>
      <w:r w:rsidRPr="00286513">
        <w:t>internal capital adequacy.</w:t>
      </w:r>
      <w:r w:rsidR="00286513" w:rsidRPr="00286513">
        <w:t xml:space="preserve">  </w:t>
      </w:r>
      <w:r w:rsidRPr="00286513">
        <w:t>The Federal</w:t>
      </w:r>
      <w:r w:rsidR="00613996" w:rsidRPr="00286513">
        <w:t xml:space="preserve"> </w:t>
      </w:r>
      <w:r w:rsidRPr="00286513">
        <w:t>Reserve, the Federal Deposit Insurance</w:t>
      </w:r>
      <w:r w:rsidR="00286513" w:rsidRPr="00286513">
        <w:t xml:space="preserve"> </w:t>
      </w:r>
      <w:r w:rsidRPr="00286513">
        <w:t>Corporation (FDIC), and the Office of</w:t>
      </w:r>
      <w:r w:rsidR="00286513" w:rsidRPr="00286513">
        <w:t xml:space="preserve"> </w:t>
      </w:r>
      <w:r w:rsidRPr="00286513">
        <w:t>the Comptroller of the Currency (OCC)</w:t>
      </w:r>
      <w:r w:rsidR="00286513" w:rsidRPr="00286513">
        <w:t xml:space="preserve"> </w:t>
      </w:r>
      <w:r w:rsidRPr="00286513">
        <w:t>have issued regulations, pursuant to the</w:t>
      </w:r>
      <w:r w:rsidR="00286513" w:rsidRPr="00286513">
        <w:t xml:space="preserve"> </w:t>
      </w:r>
      <w:r w:rsidRPr="00286513">
        <w:t>Dodd-Frank Wall Street Reform and</w:t>
      </w:r>
      <w:r w:rsidR="00286513" w:rsidRPr="00286513">
        <w:t xml:space="preserve"> </w:t>
      </w:r>
      <w:r w:rsidRPr="00286513">
        <w:t>Consumer Protection Act (the Dodd-Frank Act), requiring their supervised</w:t>
      </w:r>
      <w:r w:rsidR="00286513" w:rsidRPr="00286513">
        <w:t xml:space="preserve"> </w:t>
      </w:r>
      <w:r w:rsidRPr="00286513">
        <w:t>institutions to conduct annual stress</w:t>
      </w:r>
      <w:r w:rsidR="00286513">
        <w:t xml:space="preserve"> </w:t>
      </w:r>
      <w:r w:rsidRPr="00286513">
        <w:t>tests.</w:t>
      </w:r>
      <w:r w:rsidR="00286513">
        <w:rPr>
          <w:rStyle w:val="FootnoteReference"/>
        </w:rPr>
        <w:footnoteReference w:id="2"/>
      </w:r>
      <w:r w:rsidR="00184C06">
        <w:t xml:space="preserve">  NCUA issues </w:t>
      </w:r>
      <w:r w:rsidR="003503DD">
        <w:t>these regulations under the authority of Sections 120(a) and 216 of the Federal Credit Union Act (12 U.S.C. 1766a and 1990d).</w:t>
      </w:r>
    </w:p>
    <w:p w:rsidR="00286513" w:rsidRDefault="00286513" w:rsidP="00C259E3">
      <w:pPr>
        <w:autoSpaceDE w:val="0"/>
        <w:autoSpaceDN w:val="0"/>
        <w:adjustRightInd w:val="0"/>
        <w:rPr>
          <w:color w:val="000000"/>
        </w:rPr>
      </w:pPr>
    </w:p>
    <w:p w:rsidR="0098730C" w:rsidRPr="00753B95" w:rsidRDefault="00D05C04" w:rsidP="00027E19">
      <w:pPr>
        <w:pStyle w:val="NoSpacing"/>
        <w:tabs>
          <w:tab w:val="left" w:pos="540"/>
        </w:tabs>
        <w:ind w:left="540" w:hanging="540"/>
        <w:rPr>
          <w:b/>
        </w:rPr>
      </w:pPr>
      <w:r w:rsidRPr="00753B95">
        <w:rPr>
          <w:b/>
        </w:rPr>
        <w:t>2.</w:t>
      </w:r>
      <w:r w:rsidR="00027E19">
        <w:tab/>
      </w:r>
      <w:r w:rsidR="00027E19">
        <w:rPr>
          <w:b/>
        </w:rPr>
        <w:t>P</w:t>
      </w:r>
      <w:r w:rsidR="0098730C" w:rsidRPr="00753B95">
        <w:rPr>
          <w:b/>
        </w:rPr>
        <w:t xml:space="preserve">urpose </w:t>
      </w:r>
      <w:r w:rsidR="00027E19">
        <w:rPr>
          <w:b/>
        </w:rPr>
        <w:t>and Use of the Information</w:t>
      </w:r>
    </w:p>
    <w:p w:rsidR="00CB6997" w:rsidRDefault="00CB6997" w:rsidP="00CB6997">
      <w:pPr>
        <w:autoSpaceDE w:val="0"/>
        <w:autoSpaceDN w:val="0"/>
        <w:adjustRightInd w:val="0"/>
      </w:pPr>
    </w:p>
    <w:p w:rsidR="00CB6997" w:rsidRDefault="00CB6997" w:rsidP="00CB6997">
      <w:pPr>
        <w:autoSpaceDE w:val="0"/>
        <w:autoSpaceDN w:val="0"/>
        <w:adjustRightInd w:val="0"/>
      </w:pPr>
      <w:r w:rsidRPr="00CB6997">
        <w:t xml:space="preserve">The rule requires covered credit unions to develop and maintain a capital plan and submit this plan to NCUA by March 31 of each year. </w:t>
      </w:r>
      <w:r>
        <w:t xml:space="preserve"> </w:t>
      </w:r>
      <w:r w:rsidRPr="00CB6997">
        <w:t xml:space="preserve">NCUA took into account the risk to the NCUSIF of the largest FICUs as it considered the need for capital plans at these institutions. </w:t>
      </w:r>
      <w:r w:rsidR="00363E43">
        <w:t xml:space="preserve"> </w:t>
      </w:r>
      <w:r w:rsidRPr="00CB6997">
        <w:t xml:space="preserve">The size of these institutions relative to the NCUSIF makes capital planning essential. </w:t>
      </w:r>
    </w:p>
    <w:p w:rsidR="00CB6997" w:rsidRDefault="00CB6997" w:rsidP="00CB6997">
      <w:pPr>
        <w:autoSpaceDE w:val="0"/>
        <w:autoSpaceDN w:val="0"/>
        <w:adjustRightInd w:val="0"/>
      </w:pPr>
    </w:p>
    <w:p w:rsidR="00CB6997" w:rsidRDefault="00CB6997" w:rsidP="00CB6997">
      <w:pPr>
        <w:autoSpaceDE w:val="0"/>
        <w:autoSpaceDN w:val="0"/>
        <w:adjustRightInd w:val="0"/>
      </w:pPr>
      <w:r w:rsidRPr="000D573B">
        <w:t>As of June 201</w:t>
      </w:r>
      <w:r w:rsidR="000D573B" w:rsidRPr="005353A4">
        <w:t>7</w:t>
      </w:r>
      <w:r w:rsidRPr="000D573B">
        <w:t xml:space="preserve">, NCUSIF equity </w:t>
      </w:r>
      <w:r w:rsidRPr="00EA3632">
        <w:t>was $1</w:t>
      </w:r>
      <w:r w:rsidR="000D573B" w:rsidRPr="005353A4">
        <w:t>3</w:t>
      </w:r>
      <w:r w:rsidRPr="00EA3632">
        <w:t>.2 billion, and the assets of the largest FICUs that would be covered by this rule totaled $1</w:t>
      </w:r>
      <w:r w:rsidR="00EA3632" w:rsidRPr="005353A4">
        <w:t>84</w:t>
      </w:r>
      <w:r w:rsidRPr="00EA3632">
        <w:t xml:space="preserve"> billion—nearly 10 times the size of the NCUSIF.  The net worth of these FICUs was $1</w:t>
      </w:r>
      <w:r w:rsidR="00EA3632" w:rsidRPr="005353A4">
        <w:t>9</w:t>
      </w:r>
      <w:r w:rsidRPr="00EA3632">
        <w:t>.</w:t>
      </w:r>
      <w:r w:rsidR="00EA3632" w:rsidRPr="005353A4">
        <w:t>2</w:t>
      </w:r>
      <w:r w:rsidRPr="00EA3632">
        <w:t xml:space="preserve"> billion as</w:t>
      </w:r>
      <w:r w:rsidRPr="000D573B">
        <w:t xml:space="preserve"> a cushion against the risks of these assets.</w:t>
      </w:r>
      <w:r w:rsidR="00A01F9D">
        <w:t xml:space="preserve"> </w:t>
      </w:r>
      <w:r w:rsidRPr="000D573B">
        <w:t xml:space="preserve"> At the same time, </w:t>
      </w:r>
      <w:r w:rsidRPr="00413506">
        <w:t xml:space="preserve">NCUA must maintain the NCUSIF against the risks of all FICUs, large and small. </w:t>
      </w:r>
      <w:r w:rsidR="00A01F9D">
        <w:t xml:space="preserve"> </w:t>
      </w:r>
      <w:r w:rsidRPr="00413506">
        <w:t>As of June 201</w:t>
      </w:r>
      <w:r w:rsidR="000D573B" w:rsidRPr="005353A4">
        <w:t>7</w:t>
      </w:r>
      <w:r w:rsidRPr="00413506">
        <w:t>, the aggregate assets of all FICUs in the system was $1.</w:t>
      </w:r>
      <w:r w:rsidR="00EA3632" w:rsidRPr="005353A4">
        <w:t>35</w:t>
      </w:r>
      <w:r w:rsidRPr="00413506">
        <w:t xml:space="preserve"> trillion, with a net worth of $1</w:t>
      </w:r>
      <w:r w:rsidR="00413506" w:rsidRPr="005353A4">
        <w:t>42</w:t>
      </w:r>
      <w:r w:rsidRPr="00413506">
        <w:t xml:space="preserve"> billion.  The concentration of the NCUSIF’s exposure to risks at the largest FICUs </w:t>
      </w:r>
      <w:r w:rsidRPr="00413506">
        <w:lastRenderedPageBreak/>
        <w:t>is therefore clear, as is</w:t>
      </w:r>
      <w:r w:rsidRPr="00EA3632">
        <w:t xml:space="preserve"> the associated need for safe and sound capital planning at these FICUs to ensure the adequacy of their net worth.  Losses by FICUs with assets of $10 billion or more would likely require replenishment of the NCUSIF by all FICUs through assessments.</w:t>
      </w:r>
      <w:r w:rsidR="00A01F9D">
        <w:t xml:space="preserve"> </w:t>
      </w:r>
      <w:r w:rsidRPr="00EA3632">
        <w:t xml:space="preserve"> NCUA is protecting the NCUSIF and the interests of all FICU members by making this rule applicable to the largest FICUs.</w:t>
      </w:r>
    </w:p>
    <w:p w:rsidR="00CB6997" w:rsidRPr="00CB6997" w:rsidRDefault="00CB6997" w:rsidP="00CB6997">
      <w:pPr>
        <w:autoSpaceDE w:val="0"/>
        <w:autoSpaceDN w:val="0"/>
        <w:adjustRightInd w:val="0"/>
      </w:pPr>
    </w:p>
    <w:p w:rsidR="00CB6997" w:rsidRPr="00CB6997" w:rsidRDefault="00CB6997" w:rsidP="00CB6997">
      <w:pPr>
        <w:autoSpaceDE w:val="0"/>
        <w:autoSpaceDN w:val="0"/>
        <w:adjustRightInd w:val="0"/>
      </w:pPr>
      <w:r w:rsidRPr="00CB6997">
        <w:t>Under the rule, mandatory</w:t>
      </w:r>
      <w:r>
        <w:t xml:space="preserve"> </w:t>
      </w:r>
      <w:r w:rsidRPr="00CB6997">
        <w:t>elements of the covered credit unions’</w:t>
      </w:r>
      <w:r>
        <w:t xml:space="preserve"> </w:t>
      </w:r>
      <w:r w:rsidRPr="00CB6997">
        <w:t>capital plans start with an assessment of</w:t>
      </w:r>
      <w:r>
        <w:t xml:space="preserve"> </w:t>
      </w:r>
      <w:r w:rsidRPr="00CB6997">
        <w:t>each credit union’s sources and levels of</w:t>
      </w:r>
      <w:r>
        <w:t xml:space="preserve"> </w:t>
      </w:r>
      <w:r w:rsidRPr="00CB6997">
        <w:t>capital over the planning horizon,</w:t>
      </w:r>
      <w:r>
        <w:t xml:space="preserve"> </w:t>
      </w:r>
      <w:r w:rsidRPr="00CB6997">
        <w:t>taking into consideration its financial</w:t>
      </w:r>
      <w:r>
        <w:t xml:space="preserve"> </w:t>
      </w:r>
      <w:r w:rsidRPr="00CB6997">
        <w:t>condition, size, risk profile, scope of</w:t>
      </w:r>
      <w:r>
        <w:t xml:space="preserve"> </w:t>
      </w:r>
      <w:r w:rsidRPr="00CB6997">
        <w:t xml:space="preserve">operations, and existing capital. </w:t>
      </w:r>
      <w:r w:rsidR="006A3F93">
        <w:t xml:space="preserve"> </w:t>
      </w:r>
      <w:r w:rsidRPr="00CB6997">
        <w:t>The</w:t>
      </w:r>
      <w:r>
        <w:t xml:space="preserve"> </w:t>
      </w:r>
      <w:r w:rsidRPr="00CB6997">
        <w:t>credit union must assume both expected</w:t>
      </w:r>
      <w:r>
        <w:t xml:space="preserve"> </w:t>
      </w:r>
      <w:r w:rsidRPr="00CB6997">
        <w:t>and adverse conditions.</w:t>
      </w:r>
      <w:r w:rsidR="00363E43">
        <w:t xml:space="preserve"> </w:t>
      </w:r>
      <w:r w:rsidRPr="00CB6997">
        <w:t xml:space="preserve"> The credit</w:t>
      </w:r>
      <w:r>
        <w:t xml:space="preserve"> </w:t>
      </w:r>
      <w:r w:rsidRPr="00CB6997">
        <w:t>union must also discuss in its capital</w:t>
      </w:r>
      <w:r>
        <w:t xml:space="preserve"> </w:t>
      </w:r>
      <w:r w:rsidRPr="00CB6997">
        <w:t>plan how it will maintain ready access</w:t>
      </w:r>
      <w:r>
        <w:t xml:space="preserve"> </w:t>
      </w:r>
      <w:r w:rsidRPr="00CB6997">
        <w:t>to funding to meet its obligations and</w:t>
      </w:r>
      <w:r>
        <w:t xml:space="preserve"> </w:t>
      </w:r>
      <w:r w:rsidRPr="00CB6997">
        <w:t>continue to serve as an intermediary for</w:t>
      </w:r>
      <w:r>
        <w:t xml:space="preserve"> </w:t>
      </w:r>
      <w:r w:rsidRPr="00CB6997">
        <w:t xml:space="preserve">its members. </w:t>
      </w:r>
      <w:r>
        <w:t xml:space="preserve"> </w:t>
      </w:r>
      <w:r w:rsidRPr="00CB6997">
        <w:t>The capital plan must also</w:t>
      </w:r>
      <w:r>
        <w:t xml:space="preserve"> </w:t>
      </w:r>
      <w:r w:rsidRPr="00CB6997">
        <w:t>take into account any expected changes</w:t>
      </w:r>
      <w:r>
        <w:t xml:space="preserve"> </w:t>
      </w:r>
      <w:r w:rsidRPr="00CB6997">
        <w:t>to the credit union’s business plan that</w:t>
      </w:r>
      <w:r>
        <w:t xml:space="preserve"> </w:t>
      </w:r>
      <w:r w:rsidRPr="00CB6997">
        <w:t>will materially affect the capital</w:t>
      </w:r>
      <w:r>
        <w:t xml:space="preserve"> </w:t>
      </w:r>
      <w:r w:rsidRPr="00CB6997">
        <w:t>adequacy or liquidity of the credit</w:t>
      </w:r>
      <w:r>
        <w:t xml:space="preserve"> </w:t>
      </w:r>
      <w:r w:rsidRPr="00CB6997">
        <w:t>union.</w:t>
      </w:r>
    </w:p>
    <w:p w:rsidR="00CB6997" w:rsidRPr="00CB6997" w:rsidRDefault="00CB6997" w:rsidP="005353A4">
      <w:pPr>
        <w:autoSpaceDE w:val="0"/>
        <w:autoSpaceDN w:val="0"/>
        <w:adjustRightInd w:val="0"/>
      </w:pPr>
    </w:p>
    <w:p w:rsidR="00CB6997" w:rsidRPr="00CB6997" w:rsidRDefault="00CB6997" w:rsidP="00CB6997">
      <w:pPr>
        <w:autoSpaceDE w:val="0"/>
        <w:autoSpaceDN w:val="0"/>
        <w:adjustRightInd w:val="0"/>
      </w:pPr>
      <w:r w:rsidRPr="00CB6997">
        <w:t>The rule requires a covered</w:t>
      </w:r>
      <w:r>
        <w:t xml:space="preserve"> </w:t>
      </w:r>
      <w:r w:rsidRPr="00CB6997">
        <w:t>credit union to perform specific capital</w:t>
      </w:r>
      <w:r>
        <w:t xml:space="preserve"> </w:t>
      </w:r>
      <w:r w:rsidRPr="00CB6997">
        <w:t xml:space="preserve">analyses. </w:t>
      </w:r>
      <w:r>
        <w:t xml:space="preserve"> </w:t>
      </w:r>
      <w:r w:rsidRPr="00CB6997">
        <w:t>At a minimum, covered credit</w:t>
      </w:r>
      <w:r>
        <w:t xml:space="preserve"> </w:t>
      </w:r>
      <w:r w:rsidRPr="00CB6997">
        <w:t xml:space="preserve">unions must conduct a </w:t>
      </w:r>
      <w:r>
        <w:t xml:space="preserve">sensitivity </w:t>
      </w:r>
      <w:r w:rsidRPr="00CB6997">
        <w:t>analysis to evaluate the effect on capital</w:t>
      </w:r>
      <w:r>
        <w:t xml:space="preserve"> </w:t>
      </w:r>
      <w:r w:rsidRPr="00CB6997">
        <w:t>of changes in variables, parameters, and</w:t>
      </w:r>
      <w:r>
        <w:t xml:space="preserve"> </w:t>
      </w:r>
      <w:r w:rsidRPr="00CB6997">
        <w:t>inputs used by the credit union in its</w:t>
      </w:r>
      <w:r>
        <w:t xml:space="preserve"> </w:t>
      </w:r>
      <w:r w:rsidRPr="00CB6997">
        <w:t xml:space="preserve">capital plans. </w:t>
      </w:r>
      <w:r>
        <w:t xml:space="preserve"> </w:t>
      </w:r>
      <w:r w:rsidRPr="00CB6997">
        <w:t>Covered</w:t>
      </w:r>
      <w:r>
        <w:t xml:space="preserve"> </w:t>
      </w:r>
      <w:r w:rsidRPr="00CB6997">
        <w:t>credit unions must also analyze the</w:t>
      </w:r>
      <w:r>
        <w:t xml:space="preserve"> </w:t>
      </w:r>
      <w:r w:rsidRPr="00CB6997">
        <w:t>impact of credit risk to capital under</w:t>
      </w:r>
      <w:r>
        <w:t xml:space="preserve"> </w:t>
      </w:r>
      <w:r w:rsidRPr="00CB6997">
        <w:t>unfavorable conditions, both separately</w:t>
      </w:r>
      <w:r>
        <w:t xml:space="preserve"> </w:t>
      </w:r>
      <w:r w:rsidRPr="00CB6997">
        <w:t>and in combination with unfavorable</w:t>
      </w:r>
      <w:r>
        <w:t xml:space="preserve"> </w:t>
      </w:r>
      <w:r w:rsidRPr="00CB6997">
        <w:t>interest rate scenarios.</w:t>
      </w:r>
    </w:p>
    <w:p w:rsidR="00CB6997" w:rsidRPr="00CB6997" w:rsidRDefault="00CB6997" w:rsidP="005353A4">
      <w:pPr>
        <w:autoSpaceDE w:val="0"/>
        <w:autoSpaceDN w:val="0"/>
        <w:adjustRightInd w:val="0"/>
      </w:pPr>
    </w:p>
    <w:p w:rsidR="00CB6997" w:rsidRPr="00CB6997" w:rsidRDefault="00CB6997" w:rsidP="00CB6997">
      <w:pPr>
        <w:autoSpaceDE w:val="0"/>
        <w:autoSpaceDN w:val="0"/>
        <w:adjustRightInd w:val="0"/>
        <w:rPr>
          <w:color w:val="000000"/>
        </w:rPr>
      </w:pPr>
      <w:r w:rsidRPr="00CB6997">
        <w:rPr>
          <w:color w:val="000000"/>
        </w:rPr>
        <w:t xml:space="preserve">The rule </w:t>
      </w:r>
      <w:r w:rsidR="006A3F93">
        <w:rPr>
          <w:color w:val="000000"/>
        </w:rPr>
        <w:t>applies</w:t>
      </w:r>
      <w:r w:rsidRPr="00CB6997">
        <w:rPr>
          <w:color w:val="000000"/>
        </w:rPr>
        <w:t xml:space="preserve"> to all FICUs that report $10 billion or more in assets on their March 31 Call Report.</w:t>
      </w:r>
    </w:p>
    <w:p w:rsidR="00D05C04" w:rsidRDefault="00D05C04" w:rsidP="00DE3633">
      <w:pPr>
        <w:pStyle w:val="NoSpacing"/>
        <w:tabs>
          <w:tab w:val="left" w:pos="540"/>
        </w:tabs>
      </w:pPr>
    </w:p>
    <w:p w:rsidR="00027E19" w:rsidRPr="00027E19" w:rsidRDefault="00027E19" w:rsidP="00027E19">
      <w:pPr>
        <w:tabs>
          <w:tab w:val="left" w:pos="540"/>
        </w:tabs>
        <w:ind w:left="540" w:hanging="540"/>
      </w:pPr>
      <w:r>
        <w:rPr>
          <w:b/>
        </w:rPr>
        <w:t>3.</w:t>
      </w:r>
      <w:r>
        <w:rPr>
          <w:b/>
        </w:rPr>
        <w:tab/>
      </w:r>
      <w:r w:rsidRPr="000849EB">
        <w:rPr>
          <w:b/>
        </w:rPr>
        <w:t>Consideration Given to Information Technology</w:t>
      </w:r>
    </w:p>
    <w:p w:rsidR="005353A4" w:rsidRDefault="005353A4" w:rsidP="00363E43"/>
    <w:p w:rsidR="005E0A35" w:rsidRDefault="0034466C" w:rsidP="00363E43">
      <w:r>
        <w:t>Covered credit unions may use any information technology that permits review by NCUA examiners</w:t>
      </w:r>
      <w:r w:rsidR="005E0A35">
        <w:t>.</w:t>
      </w:r>
    </w:p>
    <w:p w:rsidR="002C62D9" w:rsidRPr="00753B95" w:rsidRDefault="002C62D9"/>
    <w:p w:rsidR="00D05C04" w:rsidRPr="00753B95" w:rsidRDefault="00D05C04" w:rsidP="002C62D9">
      <w:pPr>
        <w:ind w:left="540" w:hanging="540"/>
        <w:rPr>
          <w:b/>
        </w:rPr>
      </w:pPr>
      <w:r w:rsidRPr="00753B95">
        <w:rPr>
          <w:b/>
        </w:rPr>
        <w:t>4.</w:t>
      </w:r>
      <w:r w:rsidR="00027E19">
        <w:rPr>
          <w:b/>
        </w:rPr>
        <w:tab/>
      </w:r>
      <w:r w:rsidR="00323E48" w:rsidRPr="00753B95">
        <w:rPr>
          <w:b/>
        </w:rPr>
        <w:t>E</w:t>
      </w:r>
      <w:r w:rsidR="00027E19">
        <w:rPr>
          <w:b/>
        </w:rPr>
        <w:t>fforts to Identify D</w:t>
      </w:r>
      <w:r w:rsidRPr="00753B95">
        <w:rPr>
          <w:b/>
        </w:rPr>
        <w:t>uplication</w:t>
      </w:r>
    </w:p>
    <w:p w:rsidR="005353A4" w:rsidRDefault="005353A4" w:rsidP="00FD108C">
      <w:pPr>
        <w:widowControl w:val="0"/>
        <w:ind w:hanging="7"/>
      </w:pPr>
    </w:p>
    <w:p w:rsidR="00DF2C1A" w:rsidRDefault="00DF2C1A" w:rsidP="00FD108C">
      <w:pPr>
        <w:widowControl w:val="0"/>
        <w:ind w:hanging="7"/>
      </w:pPr>
      <w:r w:rsidRPr="00753B95">
        <w:t xml:space="preserve">The collection of information is unique to the circumstances of each credit union.  </w:t>
      </w:r>
      <w:r w:rsidR="00FD108C">
        <w:t>It is not duplicated elsewhere.</w:t>
      </w:r>
    </w:p>
    <w:p w:rsidR="00FD108C" w:rsidRPr="00753B95" w:rsidRDefault="00FD108C" w:rsidP="00FD108C">
      <w:pPr>
        <w:widowControl w:val="0"/>
        <w:ind w:hanging="7"/>
      </w:pPr>
    </w:p>
    <w:p w:rsidR="00DF2C1A" w:rsidRPr="00753B95" w:rsidRDefault="00027E19" w:rsidP="00027E19">
      <w:pPr>
        <w:widowControl w:val="0"/>
        <w:ind w:left="540" w:hanging="540"/>
        <w:rPr>
          <w:b/>
        </w:rPr>
      </w:pPr>
      <w:r>
        <w:rPr>
          <w:b/>
        </w:rPr>
        <w:t>5.</w:t>
      </w:r>
      <w:r>
        <w:rPr>
          <w:b/>
        </w:rPr>
        <w:tab/>
        <w:t>Effect on Small Entities</w:t>
      </w:r>
    </w:p>
    <w:p w:rsidR="00DF2C1A" w:rsidRPr="00753B95" w:rsidRDefault="00DF2C1A" w:rsidP="00027E19">
      <w:pPr>
        <w:widowControl w:val="0"/>
        <w:ind w:left="540" w:hanging="540"/>
      </w:pPr>
    </w:p>
    <w:p w:rsidR="00DF2C1A" w:rsidRPr="00753B95" w:rsidRDefault="0034466C" w:rsidP="00363E43">
      <w:pPr>
        <w:widowControl w:val="0"/>
      </w:pPr>
      <w:r>
        <w:t>Not applicable.  The information collection affects only large institutions that are greater than $10 billion in assets</w:t>
      </w:r>
      <w:r w:rsidR="004F5743">
        <w:t>.</w:t>
      </w:r>
    </w:p>
    <w:p w:rsidR="00DF2C1A" w:rsidRPr="00753B95" w:rsidRDefault="00DF2C1A" w:rsidP="00027E19">
      <w:pPr>
        <w:widowControl w:val="0"/>
        <w:ind w:left="540" w:hanging="540"/>
      </w:pPr>
    </w:p>
    <w:p w:rsidR="00DF2C1A" w:rsidRPr="00753B95" w:rsidRDefault="00027E19" w:rsidP="00027E19">
      <w:pPr>
        <w:widowControl w:val="0"/>
        <w:ind w:left="540" w:hanging="540"/>
        <w:rPr>
          <w:b/>
        </w:rPr>
      </w:pPr>
      <w:r>
        <w:rPr>
          <w:b/>
        </w:rPr>
        <w:t>6.</w:t>
      </w:r>
      <w:r>
        <w:rPr>
          <w:b/>
        </w:rPr>
        <w:tab/>
      </w:r>
      <w:r w:rsidR="00DF2C1A" w:rsidRPr="00753B95">
        <w:rPr>
          <w:b/>
        </w:rPr>
        <w:t xml:space="preserve">Consequences </w:t>
      </w:r>
      <w:r>
        <w:rPr>
          <w:b/>
        </w:rPr>
        <w:t>of Not Conducting this Collection</w:t>
      </w:r>
    </w:p>
    <w:p w:rsidR="005353A4" w:rsidRDefault="005353A4" w:rsidP="0034466C"/>
    <w:p w:rsidR="0034466C" w:rsidRDefault="0034466C" w:rsidP="0034466C">
      <w:r w:rsidRPr="00850D6B">
        <w:t xml:space="preserve">Conducting the collection </w:t>
      </w:r>
      <w:r>
        <w:t xml:space="preserve">is required by law to be on an annual basis.  Conducting the collection </w:t>
      </w:r>
      <w:r w:rsidRPr="00850D6B">
        <w:t xml:space="preserve">less frequently would </w:t>
      </w:r>
      <w:r>
        <w:t xml:space="preserve">also </w:t>
      </w:r>
      <w:r w:rsidRPr="00850D6B">
        <w:t>present safety and soundness risks.</w:t>
      </w:r>
    </w:p>
    <w:p w:rsidR="00DF2C1A" w:rsidRPr="00753B95" w:rsidRDefault="00DF2C1A" w:rsidP="00027E19">
      <w:pPr>
        <w:widowControl w:val="0"/>
        <w:ind w:left="540" w:hanging="540"/>
      </w:pPr>
    </w:p>
    <w:p w:rsidR="005353A4" w:rsidRDefault="005353A4">
      <w:pPr>
        <w:rPr>
          <w:b/>
        </w:rPr>
      </w:pPr>
      <w:r>
        <w:rPr>
          <w:b/>
        </w:rPr>
        <w:br w:type="page"/>
      </w:r>
    </w:p>
    <w:p w:rsidR="00DF2C1A" w:rsidRPr="00753B95" w:rsidRDefault="00027E19" w:rsidP="00027E19">
      <w:pPr>
        <w:widowControl w:val="0"/>
        <w:ind w:left="540" w:hanging="540"/>
        <w:rPr>
          <w:b/>
        </w:rPr>
      </w:pPr>
      <w:r>
        <w:rPr>
          <w:b/>
        </w:rPr>
        <w:lastRenderedPageBreak/>
        <w:t>7.</w:t>
      </w:r>
      <w:r>
        <w:rPr>
          <w:b/>
        </w:rPr>
        <w:tab/>
        <w:t>I</w:t>
      </w:r>
      <w:r w:rsidR="00DF2C1A" w:rsidRPr="00753B95">
        <w:rPr>
          <w:b/>
        </w:rPr>
        <w:t xml:space="preserve">nconsistent with </w:t>
      </w:r>
      <w:r>
        <w:rPr>
          <w:b/>
        </w:rPr>
        <w:t xml:space="preserve">Guidelines </w:t>
      </w:r>
      <w:r w:rsidR="00DF2C1A" w:rsidRPr="00753B95">
        <w:rPr>
          <w:b/>
        </w:rPr>
        <w:t>5 CF</w:t>
      </w:r>
      <w:r>
        <w:rPr>
          <w:b/>
        </w:rPr>
        <w:t>R §1320.5(d)(2)</w:t>
      </w:r>
    </w:p>
    <w:p w:rsidR="005353A4" w:rsidRDefault="005353A4" w:rsidP="0034466C">
      <w:pPr>
        <w:widowControl w:val="0"/>
      </w:pPr>
    </w:p>
    <w:p w:rsidR="00DF2C1A" w:rsidRPr="00753B95" w:rsidRDefault="002268CC" w:rsidP="0034466C">
      <w:pPr>
        <w:widowControl w:val="0"/>
      </w:pPr>
      <w:r>
        <w:t>The</w:t>
      </w:r>
      <w:r w:rsidR="00DF2C1A" w:rsidRPr="00753B95">
        <w:t xml:space="preserve"> collection </w:t>
      </w:r>
      <w:r>
        <w:t>of information is conducted in a manner consistent with the guidelines in §1320.5(d)(2).</w:t>
      </w:r>
    </w:p>
    <w:p w:rsidR="00DF2C1A" w:rsidRPr="00753B95" w:rsidRDefault="00DF2C1A" w:rsidP="00027E19">
      <w:pPr>
        <w:widowControl w:val="0"/>
        <w:ind w:left="540" w:hanging="540"/>
      </w:pPr>
    </w:p>
    <w:p w:rsidR="00DF2C1A" w:rsidRPr="00753B95" w:rsidRDefault="00027E19" w:rsidP="00027E19">
      <w:pPr>
        <w:widowControl w:val="0"/>
        <w:tabs>
          <w:tab w:val="left" w:pos="-1440"/>
        </w:tabs>
        <w:ind w:left="540" w:hanging="540"/>
        <w:rPr>
          <w:b/>
        </w:rPr>
      </w:pPr>
      <w:r>
        <w:rPr>
          <w:b/>
        </w:rPr>
        <w:t>8.</w:t>
      </w:r>
      <w:r>
        <w:rPr>
          <w:b/>
        </w:rPr>
        <w:tab/>
        <w:t>Consultations Outside of the Agency</w:t>
      </w:r>
    </w:p>
    <w:p w:rsidR="00DF2C1A" w:rsidRPr="00753B95" w:rsidRDefault="00DF2C1A" w:rsidP="00027E19">
      <w:pPr>
        <w:widowControl w:val="0"/>
        <w:ind w:left="540" w:hanging="540"/>
      </w:pPr>
    </w:p>
    <w:p w:rsidR="00833EDC" w:rsidRDefault="001A1AC3" w:rsidP="0034466C">
      <w:pPr>
        <w:widowControl w:val="0"/>
      </w:pPr>
      <w:r>
        <w:t xml:space="preserve">A notice of proposed rulemaking was published on </w:t>
      </w:r>
      <w:r w:rsidR="00833EDC">
        <w:t>November 1, 2013, at 78 FR 65583</w:t>
      </w:r>
      <w:r w:rsidR="0078257D">
        <w:t>,</w:t>
      </w:r>
      <w:r>
        <w:t xml:space="preserve"> soliciting comments </w:t>
      </w:r>
      <w:r w:rsidR="0078257D">
        <w:t>from the public, including the information collection requirements</w:t>
      </w:r>
      <w:r>
        <w:t xml:space="preserve">.  Comments received in response to the rule </w:t>
      </w:r>
      <w:r w:rsidR="00833EDC">
        <w:t xml:space="preserve">were addressed in the final rule published </w:t>
      </w:r>
    </w:p>
    <w:p w:rsidR="00DF2C1A" w:rsidRPr="00753B95" w:rsidRDefault="00833EDC" w:rsidP="0034466C">
      <w:pPr>
        <w:widowControl w:val="0"/>
      </w:pPr>
      <w:r>
        <w:t>April 30, 2014, at 79 FR 24311</w:t>
      </w:r>
      <w:r w:rsidR="001A1AC3">
        <w:t xml:space="preserve">. </w:t>
      </w:r>
    </w:p>
    <w:p w:rsidR="00DF2C1A" w:rsidRPr="00753B95" w:rsidRDefault="00DF2C1A" w:rsidP="00027E19">
      <w:pPr>
        <w:ind w:left="540" w:hanging="540"/>
      </w:pPr>
    </w:p>
    <w:p w:rsidR="00D05C04" w:rsidRPr="00753B95" w:rsidRDefault="00D05C04" w:rsidP="00027E19">
      <w:pPr>
        <w:ind w:left="540" w:hanging="540"/>
        <w:rPr>
          <w:b/>
        </w:rPr>
      </w:pPr>
      <w:r w:rsidRPr="00753B95">
        <w:rPr>
          <w:b/>
        </w:rPr>
        <w:t>9.</w:t>
      </w:r>
      <w:r w:rsidR="00027E19">
        <w:rPr>
          <w:b/>
        </w:rPr>
        <w:tab/>
        <w:t>Payment or Gift to R</w:t>
      </w:r>
      <w:r w:rsidRPr="00753B95">
        <w:rPr>
          <w:b/>
        </w:rPr>
        <w:t>espondents</w:t>
      </w:r>
    </w:p>
    <w:p w:rsidR="0088606D" w:rsidRPr="00753B95" w:rsidRDefault="0088606D" w:rsidP="00027E19">
      <w:pPr>
        <w:ind w:left="540" w:hanging="540"/>
      </w:pPr>
    </w:p>
    <w:p w:rsidR="00D05C04" w:rsidRPr="00753B95" w:rsidRDefault="002E4F2B" w:rsidP="00027E19">
      <w:pPr>
        <w:ind w:left="540" w:hanging="540"/>
      </w:pPr>
      <w:r>
        <w:t xml:space="preserve">No </w:t>
      </w:r>
      <w:r w:rsidR="001D3C24" w:rsidRPr="00753B95">
        <w:t>payment or gift to respondents</w:t>
      </w:r>
      <w:r>
        <w:t xml:space="preserve"> are made</w:t>
      </w:r>
      <w:r w:rsidR="00C053C1">
        <w:t>.</w:t>
      </w:r>
    </w:p>
    <w:p w:rsidR="00D05C04" w:rsidRPr="00753B95" w:rsidRDefault="00D05C04" w:rsidP="00027E19">
      <w:pPr>
        <w:ind w:left="540" w:hanging="540"/>
      </w:pPr>
    </w:p>
    <w:p w:rsidR="00D05C04" w:rsidRPr="00753B95" w:rsidRDefault="00D05C04" w:rsidP="00027E19">
      <w:pPr>
        <w:ind w:left="540" w:hanging="540"/>
        <w:rPr>
          <w:b/>
        </w:rPr>
      </w:pPr>
      <w:r w:rsidRPr="00753B95">
        <w:rPr>
          <w:b/>
        </w:rPr>
        <w:t>10.</w:t>
      </w:r>
      <w:r w:rsidR="00027E19">
        <w:rPr>
          <w:b/>
        </w:rPr>
        <w:tab/>
        <w:t>Assurance of Confidentiality</w:t>
      </w:r>
      <w:r w:rsidRPr="00753B95">
        <w:rPr>
          <w:b/>
        </w:rPr>
        <w:t xml:space="preserve"> </w:t>
      </w:r>
    </w:p>
    <w:p w:rsidR="00D05C04" w:rsidRPr="00753B95" w:rsidRDefault="00D05C04" w:rsidP="00027E19">
      <w:pPr>
        <w:ind w:left="540" w:hanging="540"/>
      </w:pPr>
    </w:p>
    <w:p w:rsidR="00833EDC" w:rsidRPr="002E62E5" w:rsidRDefault="00833EDC" w:rsidP="00833EDC">
      <w:pPr>
        <w:rPr>
          <w:rFonts w:ascii="Times New Roman TUR" w:hAnsi="Times New Roman TUR" w:cs="Times New Roman TUR"/>
          <w:bCs/>
        </w:rPr>
      </w:pPr>
      <w:r>
        <w:rPr>
          <w:rFonts w:ascii="Times New Roman TUR" w:hAnsi="Times New Roman TUR" w:cs="Times New Roman TUR"/>
          <w:bCs/>
        </w:rPr>
        <w:t>To the extent NCUA collects information during an examination of a credit union, confidential treatment may be afforded to the records under exemption 8 of the Freedom of Information Act, 5 U.S.C. 552(b)(8).</w:t>
      </w:r>
    </w:p>
    <w:p w:rsidR="00D05C04" w:rsidRPr="00753B95" w:rsidRDefault="00D05C04" w:rsidP="00027E19">
      <w:pPr>
        <w:ind w:left="540" w:hanging="540"/>
      </w:pPr>
    </w:p>
    <w:p w:rsidR="00D05C04" w:rsidRPr="00753B95" w:rsidRDefault="00D05C04" w:rsidP="00027E19">
      <w:pPr>
        <w:ind w:left="540" w:hanging="540"/>
        <w:rPr>
          <w:b/>
        </w:rPr>
      </w:pPr>
      <w:r w:rsidRPr="00753B95">
        <w:rPr>
          <w:b/>
        </w:rPr>
        <w:t>11.</w:t>
      </w:r>
      <w:r w:rsidR="00027E19">
        <w:rPr>
          <w:b/>
        </w:rPr>
        <w:tab/>
        <w:t>Q</w:t>
      </w:r>
      <w:r w:rsidRPr="00753B95">
        <w:rPr>
          <w:b/>
        </w:rPr>
        <w:t>uestion</w:t>
      </w:r>
      <w:r w:rsidR="00027E19">
        <w:rPr>
          <w:b/>
        </w:rPr>
        <w:t>s of a Sensitive N</w:t>
      </w:r>
      <w:r w:rsidRPr="00753B95">
        <w:rPr>
          <w:b/>
        </w:rPr>
        <w:t>ature</w:t>
      </w:r>
    </w:p>
    <w:p w:rsidR="00D05C04" w:rsidRPr="00753B95" w:rsidRDefault="00D05C04" w:rsidP="00027E19">
      <w:pPr>
        <w:ind w:left="540" w:hanging="540"/>
      </w:pPr>
    </w:p>
    <w:p w:rsidR="00D05C04" w:rsidRPr="00753B95" w:rsidRDefault="00AD7ADE" w:rsidP="00AD7ADE">
      <w:r>
        <w:t>No questions of a sensitive nature are being asked; n</w:t>
      </w:r>
      <w:r w:rsidR="002E4F2B">
        <w:t>o personally identifiable information (PII) is collected.</w:t>
      </w:r>
    </w:p>
    <w:p w:rsidR="00D05C04" w:rsidRPr="00753B95" w:rsidRDefault="00D05C04" w:rsidP="00027E19">
      <w:pPr>
        <w:ind w:left="540" w:hanging="540"/>
      </w:pPr>
    </w:p>
    <w:p w:rsidR="00027E19" w:rsidRDefault="00D05C04" w:rsidP="001A1AC3">
      <w:pPr>
        <w:ind w:left="540" w:hanging="540"/>
        <w:rPr>
          <w:b/>
        </w:rPr>
      </w:pPr>
      <w:r w:rsidRPr="00753B95">
        <w:rPr>
          <w:b/>
        </w:rPr>
        <w:t>12.</w:t>
      </w:r>
      <w:r w:rsidR="00027E19">
        <w:rPr>
          <w:b/>
        </w:rPr>
        <w:tab/>
      </w:r>
      <w:r w:rsidR="00F2748C" w:rsidRPr="00753B95">
        <w:rPr>
          <w:b/>
        </w:rPr>
        <w:t>E</w:t>
      </w:r>
      <w:r w:rsidR="00027E19">
        <w:rPr>
          <w:b/>
        </w:rPr>
        <w:t>stimated Burden of Information Collection</w:t>
      </w:r>
    </w:p>
    <w:p w:rsidR="00A236DE" w:rsidRDefault="00A236DE" w:rsidP="00AD7ADE"/>
    <w:p w:rsidR="0074102F" w:rsidRDefault="00A01F9D" w:rsidP="00322763">
      <w:r>
        <w:t>Section 702.504 prescribes</w:t>
      </w:r>
      <w:r w:rsidR="0074102F">
        <w:t xml:space="preserve"> the information collectio</w:t>
      </w:r>
      <w:r w:rsidR="002F3551">
        <w:t>n requirements and mandatory elements to be covered in a capital plan.</w:t>
      </w:r>
    </w:p>
    <w:p w:rsidR="002F3551" w:rsidRDefault="002F3551" w:rsidP="00322763"/>
    <w:p w:rsidR="006179D8" w:rsidRDefault="002F3551" w:rsidP="00322763">
      <w:r>
        <w:t xml:space="preserve">It is estimated that </w:t>
      </w:r>
      <w:r w:rsidR="006179D8">
        <w:t>zero to one</w:t>
      </w:r>
      <w:r>
        <w:t xml:space="preserve"> credit union may fall within the definition of a “covered credit union” whose </w:t>
      </w:r>
      <w:r w:rsidR="006179D8">
        <w:t xml:space="preserve">assets are $10 billion or more within a 3-year cycle.  This credit union </w:t>
      </w:r>
      <w:r>
        <w:t xml:space="preserve">would be required to </w:t>
      </w:r>
      <w:r w:rsidR="006179D8">
        <w:t>develop an initial capital plan.  For the purposes of the PRA, NCUA is reflecting one respondent annually.</w:t>
      </w:r>
    </w:p>
    <w:p w:rsidR="006179D8" w:rsidRDefault="006179D8" w:rsidP="00322763"/>
    <w:p w:rsidR="002F3551" w:rsidRDefault="002F3551" w:rsidP="00322763">
      <w:r>
        <w:t xml:space="preserve">Data from the most current Call Report identify six covered credit unions </w:t>
      </w:r>
      <w:r w:rsidR="003E78EC">
        <w:t xml:space="preserve">that </w:t>
      </w:r>
      <w:r>
        <w:t>fall within the $10 billion threshold.  These credit union</w:t>
      </w:r>
      <w:r w:rsidR="003E78EC">
        <w:t>s</w:t>
      </w:r>
      <w:r>
        <w:t xml:space="preserve"> have a plan in place and are required to update data and submit to NCUA annually.  </w:t>
      </w:r>
    </w:p>
    <w:p w:rsidR="006179D8" w:rsidRPr="00753B95" w:rsidRDefault="006179D8" w:rsidP="00322763"/>
    <w:tbl>
      <w:tblPr>
        <w:tblStyle w:val="TableGrid"/>
        <w:tblW w:w="95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2790"/>
        <w:gridCol w:w="1170"/>
        <w:gridCol w:w="990"/>
        <w:gridCol w:w="990"/>
        <w:gridCol w:w="1170"/>
        <w:gridCol w:w="1260"/>
      </w:tblGrid>
      <w:tr w:rsidR="001E26D4" w:rsidRPr="00753B95" w:rsidTr="00E34678">
        <w:tc>
          <w:tcPr>
            <w:tcW w:w="117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26D4" w:rsidRPr="00060C64" w:rsidRDefault="00322763" w:rsidP="00322763">
            <w:pPr>
              <w:ind w:lef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CFR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1E26D4" w:rsidRPr="00322763" w:rsidRDefault="00322763" w:rsidP="002A6CD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22763">
              <w:rPr>
                <w:rFonts w:ascii="Arial Narrow" w:hAnsi="Arial Narrow"/>
                <w:sz w:val="20"/>
                <w:szCs w:val="20"/>
              </w:rPr>
              <w:t xml:space="preserve">Information Collection 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1E26D4" w:rsidRPr="001E26D4" w:rsidRDefault="001E26D4" w:rsidP="002A6CD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E26D4">
              <w:rPr>
                <w:rFonts w:ascii="Arial Narrow" w:hAnsi="Arial Narrow"/>
                <w:sz w:val="18"/>
                <w:szCs w:val="18"/>
              </w:rPr>
              <w:t>Number of Respondents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1E26D4" w:rsidRPr="001E26D4" w:rsidRDefault="001E26D4" w:rsidP="00060C6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E26D4">
              <w:rPr>
                <w:rFonts w:ascii="Arial Narrow" w:hAnsi="Arial Narrow"/>
                <w:sz w:val="18"/>
                <w:szCs w:val="18"/>
              </w:rPr>
              <w:t xml:space="preserve">Annual Frequency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E26D4" w:rsidRPr="001E26D4" w:rsidRDefault="00C053C1" w:rsidP="0038244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Annual Responses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1E26D4" w:rsidRPr="001E26D4" w:rsidRDefault="001E26D4" w:rsidP="0038244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E26D4">
              <w:rPr>
                <w:rFonts w:ascii="Arial Narrow" w:hAnsi="Arial Narrow"/>
                <w:sz w:val="18"/>
                <w:szCs w:val="18"/>
              </w:rPr>
              <w:t>Hours per Response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1E26D4" w:rsidRPr="001E26D4" w:rsidRDefault="001E26D4" w:rsidP="002A6CD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E26D4">
              <w:rPr>
                <w:rFonts w:ascii="Arial Narrow" w:hAnsi="Arial Narrow"/>
                <w:sz w:val="18"/>
                <w:szCs w:val="18"/>
              </w:rPr>
              <w:t>Total Annual Burden Hours</w:t>
            </w:r>
          </w:p>
        </w:tc>
      </w:tr>
      <w:tr w:rsidR="002B05B0" w:rsidRPr="00753B95" w:rsidTr="001B07C9">
        <w:trPr>
          <w:trHeight w:val="287"/>
        </w:trPr>
        <w:tc>
          <w:tcPr>
            <w:tcW w:w="1170" w:type="dxa"/>
            <w:vMerge w:val="restart"/>
            <w:vAlign w:val="center"/>
          </w:tcPr>
          <w:p w:rsidR="002B05B0" w:rsidRPr="002B05B0" w:rsidRDefault="0074102F" w:rsidP="00322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702.504</w:t>
            </w:r>
          </w:p>
        </w:tc>
        <w:tc>
          <w:tcPr>
            <w:tcW w:w="2790" w:type="dxa"/>
          </w:tcPr>
          <w:p w:rsidR="002B05B0" w:rsidRPr="00060C64" w:rsidRDefault="002B05B0" w:rsidP="002B05B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Develop initial Capital Plan</w:t>
            </w:r>
          </w:p>
        </w:tc>
        <w:tc>
          <w:tcPr>
            <w:tcW w:w="1170" w:type="dxa"/>
            <w:vAlign w:val="center"/>
          </w:tcPr>
          <w:p w:rsidR="002B05B0" w:rsidRPr="00060C64" w:rsidRDefault="002B05B0" w:rsidP="00833E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vAlign w:val="center"/>
          </w:tcPr>
          <w:p w:rsidR="002B05B0" w:rsidRPr="00060C64" w:rsidRDefault="002B05B0" w:rsidP="00833EDC">
            <w:pPr>
              <w:jc w:val="right"/>
              <w:rPr>
                <w:sz w:val="20"/>
                <w:szCs w:val="20"/>
              </w:rPr>
            </w:pPr>
            <w:r w:rsidRPr="00060C64"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vAlign w:val="center"/>
          </w:tcPr>
          <w:p w:rsidR="002B05B0" w:rsidRDefault="002B05B0" w:rsidP="00833E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2B05B0" w:rsidRPr="00060C64" w:rsidRDefault="002B05B0" w:rsidP="00833E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1260" w:type="dxa"/>
            <w:vAlign w:val="center"/>
          </w:tcPr>
          <w:p w:rsidR="002B05B0" w:rsidRPr="00060C64" w:rsidRDefault="002B05B0" w:rsidP="00833E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</w:tr>
      <w:tr w:rsidR="002B05B0" w:rsidRPr="00753B95" w:rsidTr="001B07C9">
        <w:trPr>
          <w:trHeight w:val="260"/>
        </w:trPr>
        <w:tc>
          <w:tcPr>
            <w:tcW w:w="1170" w:type="dxa"/>
            <w:vMerge/>
          </w:tcPr>
          <w:p w:rsidR="002B05B0" w:rsidRPr="002B05B0" w:rsidRDefault="002B05B0" w:rsidP="002A6CDC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2B05B0" w:rsidRPr="002B05B0" w:rsidRDefault="002B05B0" w:rsidP="00833EDC">
            <w:pPr>
              <w:rPr>
                <w:rFonts w:ascii="Arial Narrow" w:hAnsi="Arial Narrow"/>
                <w:sz w:val="20"/>
                <w:szCs w:val="20"/>
              </w:rPr>
            </w:pPr>
            <w:r w:rsidRPr="002B05B0">
              <w:rPr>
                <w:rFonts w:ascii="Arial Narrow" w:hAnsi="Arial Narrow"/>
                <w:sz w:val="20"/>
                <w:szCs w:val="20"/>
              </w:rPr>
              <w:t>Submit plan annually to NCUA</w:t>
            </w:r>
          </w:p>
        </w:tc>
        <w:tc>
          <w:tcPr>
            <w:tcW w:w="1170" w:type="dxa"/>
            <w:vAlign w:val="center"/>
          </w:tcPr>
          <w:p w:rsidR="002B05B0" w:rsidRPr="00060C64" w:rsidRDefault="002B05B0" w:rsidP="002B05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6</w:t>
            </w:r>
          </w:p>
        </w:tc>
        <w:tc>
          <w:tcPr>
            <w:tcW w:w="990" w:type="dxa"/>
            <w:vAlign w:val="center"/>
          </w:tcPr>
          <w:p w:rsidR="002B05B0" w:rsidRPr="00060C64" w:rsidRDefault="002B05B0" w:rsidP="00833E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vAlign w:val="center"/>
          </w:tcPr>
          <w:p w:rsidR="002B05B0" w:rsidRDefault="002B05B0" w:rsidP="00833E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70" w:type="dxa"/>
            <w:vAlign w:val="center"/>
          </w:tcPr>
          <w:p w:rsidR="002B05B0" w:rsidRPr="00060C64" w:rsidRDefault="002B05B0" w:rsidP="00833E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260" w:type="dxa"/>
            <w:vAlign w:val="center"/>
          </w:tcPr>
          <w:p w:rsidR="002B05B0" w:rsidRPr="00060C64" w:rsidRDefault="002B05B0" w:rsidP="00833E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1,500</w:t>
            </w:r>
          </w:p>
        </w:tc>
      </w:tr>
      <w:tr w:rsidR="001E26D4" w:rsidRPr="00753B95" w:rsidTr="001B07C9">
        <w:trPr>
          <w:trHeight w:val="395"/>
        </w:trPr>
        <w:tc>
          <w:tcPr>
            <w:tcW w:w="3960" w:type="dxa"/>
            <w:gridSpan w:val="2"/>
            <w:vAlign w:val="center"/>
          </w:tcPr>
          <w:p w:rsidR="001E26D4" w:rsidRPr="00875DCD" w:rsidRDefault="001E26D4" w:rsidP="001E26D4">
            <w:pPr>
              <w:jc w:val="right"/>
              <w:rPr>
                <w:sz w:val="20"/>
                <w:szCs w:val="20"/>
              </w:rPr>
            </w:pPr>
            <w:r w:rsidRPr="00875DCD">
              <w:rPr>
                <w:sz w:val="20"/>
                <w:szCs w:val="20"/>
              </w:rPr>
              <w:t>Total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1E26D4" w:rsidRPr="00060C64" w:rsidRDefault="002B05B0" w:rsidP="00833E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1E26D4" w:rsidRPr="00060C64" w:rsidRDefault="001E26D4" w:rsidP="00833E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1E26D4" w:rsidRPr="00060C64" w:rsidRDefault="002B05B0" w:rsidP="00833E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1E26D4" w:rsidRPr="00060C64" w:rsidRDefault="001E26D4" w:rsidP="00833E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E26D4" w:rsidRPr="00060C64" w:rsidRDefault="002B05B0" w:rsidP="00833E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2,250</w:t>
            </w:r>
          </w:p>
        </w:tc>
      </w:tr>
    </w:tbl>
    <w:p w:rsidR="006179D8" w:rsidRDefault="006179D8" w:rsidP="001B07C9">
      <w:r>
        <w:t>Based on the labor wage rate $90 per hours, the cost to respondent is $202,500.</w:t>
      </w:r>
    </w:p>
    <w:p w:rsidR="00833EDC" w:rsidRDefault="00833EDC" w:rsidP="00833EDC"/>
    <w:p w:rsidR="00D728DA" w:rsidRPr="00753B95" w:rsidRDefault="00D05C04" w:rsidP="00027E19">
      <w:pPr>
        <w:ind w:left="540" w:hanging="540"/>
        <w:rPr>
          <w:b/>
        </w:rPr>
      </w:pPr>
      <w:r w:rsidRPr="00753B95">
        <w:rPr>
          <w:b/>
        </w:rPr>
        <w:t>13.</w:t>
      </w:r>
      <w:r w:rsidR="00027E19">
        <w:rPr>
          <w:b/>
        </w:rPr>
        <w:tab/>
      </w:r>
      <w:r w:rsidR="00F2748C" w:rsidRPr="00753B95">
        <w:rPr>
          <w:b/>
        </w:rPr>
        <w:t>E</w:t>
      </w:r>
      <w:r w:rsidRPr="00753B95">
        <w:rPr>
          <w:b/>
        </w:rPr>
        <w:t>stimate</w:t>
      </w:r>
      <w:r w:rsidR="00F2748C" w:rsidRPr="00753B95">
        <w:rPr>
          <w:b/>
        </w:rPr>
        <w:t>s</w:t>
      </w:r>
      <w:r w:rsidRPr="00753B95">
        <w:rPr>
          <w:b/>
        </w:rPr>
        <w:t xml:space="preserve"> of </w:t>
      </w:r>
      <w:r w:rsidR="00027E19">
        <w:rPr>
          <w:b/>
        </w:rPr>
        <w:t>Capital S</w:t>
      </w:r>
      <w:r w:rsidR="00F2748C" w:rsidRPr="00753B95">
        <w:rPr>
          <w:b/>
        </w:rPr>
        <w:t xml:space="preserve">tart-up </w:t>
      </w:r>
      <w:r w:rsidR="00027E19">
        <w:rPr>
          <w:b/>
        </w:rPr>
        <w:t>and Maintenance Costs</w:t>
      </w:r>
    </w:p>
    <w:p w:rsidR="00F2748C" w:rsidRPr="00753B95" w:rsidRDefault="00F2748C" w:rsidP="00027E19">
      <w:pPr>
        <w:ind w:left="540" w:hanging="540"/>
      </w:pPr>
    </w:p>
    <w:p w:rsidR="00D728DA" w:rsidRPr="00753B95" w:rsidRDefault="00875DCD" w:rsidP="00322763">
      <w:r>
        <w:t>There are no capital start-up or maintenance costs.</w:t>
      </w:r>
    </w:p>
    <w:p w:rsidR="00AA42B0" w:rsidRDefault="00AA42B0" w:rsidP="00027E19">
      <w:pPr>
        <w:ind w:left="540" w:hanging="540"/>
      </w:pPr>
    </w:p>
    <w:p w:rsidR="00D05C04" w:rsidRPr="00753B95" w:rsidRDefault="00027E19" w:rsidP="00027E19">
      <w:pPr>
        <w:ind w:left="540" w:hanging="540"/>
        <w:rPr>
          <w:b/>
        </w:rPr>
      </w:pPr>
      <w:r>
        <w:rPr>
          <w:b/>
        </w:rPr>
        <w:t>14.</w:t>
      </w:r>
      <w:r>
        <w:rPr>
          <w:b/>
        </w:rPr>
        <w:tab/>
        <w:t>Costs to the</w:t>
      </w:r>
      <w:r w:rsidR="00D05C04" w:rsidRPr="00753B95">
        <w:rPr>
          <w:b/>
        </w:rPr>
        <w:t xml:space="preserve"> </w:t>
      </w:r>
      <w:r>
        <w:rPr>
          <w:b/>
        </w:rPr>
        <w:t>Federal Government</w:t>
      </w:r>
    </w:p>
    <w:p w:rsidR="001B07C9" w:rsidRPr="00753B95" w:rsidRDefault="001B07C9" w:rsidP="00027E19">
      <w:pPr>
        <w:ind w:left="540" w:hanging="540"/>
        <w:rPr>
          <w:b/>
        </w:rPr>
      </w:pPr>
    </w:p>
    <w:p w:rsidR="00C60EF2" w:rsidRDefault="00C60EF2" w:rsidP="00322763">
      <w:r>
        <w:t xml:space="preserve">NCUA estimates that, on average, approximately </w:t>
      </w:r>
      <w:r w:rsidR="006C32A2">
        <w:t xml:space="preserve">70 </w:t>
      </w:r>
      <w:r>
        <w:t xml:space="preserve">employee-hours will be spent in the review and </w:t>
      </w:r>
      <w:r w:rsidR="006C32A2">
        <w:t>assessment of a single credit union’s capital plan</w:t>
      </w:r>
      <w:r w:rsidR="007525A6">
        <w:t>.  The wage rate for the processing is approximately $</w:t>
      </w:r>
      <w:r w:rsidR="006C32A2">
        <w:t>85</w:t>
      </w:r>
      <w:r w:rsidR="007525A6">
        <w:t xml:space="preserve"> per hour.  </w:t>
      </w:r>
      <w:r w:rsidR="006C32A2">
        <w:t>Estimated t</w:t>
      </w:r>
      <w:r w:rsidR="007525A6">
        <w:t xml:space="preserve">otal cost to NCUA for </w:t>
      </w:r>
      <w:r w:rsidR="006C32A2">
        <w:t xml:space="preserve">the review and assessment of a single capital plan is $5,950.  The estimated aggregate annual cost for NCUA to review and assess </w:t>
      </w:r>
      <w:r w:rsidR="003554C3">
        <w:t>7</w:t>
      </w:r>
      <w:r w:rsidR="006C32A2">
        <w:t xml:space="preserve"> covered credit union capital plans is $</w:t>
      </w:r>
      <w:r w:rsidR="003554C3">
        <w:t>41,650</w:t>
      </w:r>
      <w:r w:rsidR="006C32A2">
        <w:t xml:space="preserve">. </w:t>
      </w:r>
    </w:p>
    <w:p w:rsidR="007A5630" w:rsidRPr="00753B95" w:rsidRDefault="007A5630" w:rsidP="000849EB">
      <w:pPr>
        <w:ind w:left="540" w:hanging="540"/>
      </w:pPr>
    </w:p>
    <w:p w:rsidR="00D05C04" w:rsidRPr="00753B95" w:rsidRDefault="00D05C04" w:rsidP="00027E19">
      <w:pPr>
        <w:tabs>
          <w:tab w:val="left" w:pos="540"/>
        </w:tabs>
        <w:ind w:left="540" w:hanging="540"/>
        <w:rPr>
          <w:b/>
        </w:rPr>
      </w:pPr>
      <w:r w:rsidRPr="00753B95">
        <w:rPr>
          <w:b/>
        </w:rPr>
        <w:t>15.</w:t>
      </w:r>
      <w:r w:rsidR="00027E19">
        <w:rPr>
          <w:b/>
        </w:rPr>
        <w:tab/>
        <w:t>Change in Burden</w:t>
      </w:r>
    </w:p>
    <w:p w:rsidR="00F2748C" w:rsidRPr="00753B95" w:rsidRDefault="00F2748C" w:rsidP="00027E19">
      <w:pPr>
        <w:tabs>
          <w:tab w:val="left" w:pos="540"/>
        </w:tabs>
        <w:ind w:left="540" w:hanging="540"/>
      </w:pPr>
    </w:p>
    <w:p w:rsidR="003062A2" w:rsidRDefault="006A3F93" w:rsidP="00322763">
      <w:pPr>
        <w:autoSpaceDE w:val="0"/>
        <w:autoSpaceDN w:val="0"/>
        <w:adjustRightInd w:val="0"/>
      </w:pPr>
      <w:r>
        <w:t>This is a request for emergency approval</w:t>
      </w:r>
      <w:r w:rsidR="005F48D8" w:rsidRPr="005F48D8">
        <w:t xml:space="preserve">.  </w:t>
      </w:r>
      <w:r w:rsidR="0014443E">
        <w:t xml:space="preserve">The information collection requirements prescribed under subpart E of part 702 was published as final on April 30, 2014, at 79 FR 243111 (effective May 20, 2014), and were set-out in the preamble.  </w:t>
      </w:r>
      <w:r w:rsidR="00A21DD2">
        <w:t>The public was provide an opportunity to comment on the proposed collection (NPRM November 1, 2013, at 78 FR 65583) and comments were summarized and addressed in the final rule; but n</w:t>
      </w:r>
      <w:r w:rsidR="00057471">
        <w:t xml:space="preserve">o </w:t>
      </w:r>
      <w:r w:rsidR="00A21DD2">
        <w:t xml:space="preserve">formal </w:t>
      </w:r>
      <w:r w:rsidR="00057471">
        <w:t>PRA submission was made to the Office</w:t>
      </w:r>
      <w:r w:rsidR="00A21DD2">
        <w:t xml:space="preserve"> of Management and Budget (OMB). </w:t>
      </w:r>
      <w:r w:rsidR="00057471">
        <w:t xml:space="preserve"> </w:t>
      </w:r>
      <w:r w:rsidR="008A068D">
        <w:t xml:space="preserve">These regulations were promulgated in the wake of the Dodd-Frank Act (Pub.L. 111-203, H.R. 4173) and were put in place to protect the National Credit Union Share Insurance Fund (NCUSIF) and the credit union system.  </w:t>
      </w:r>
      <w:r w:rsidR="00A21DD2">
        <w:t xml:space="preserve">Changes are being proposed to this subpart that would impact </w:t>
      </w:r>
      <w:r w:rsidR="00C65966">
        <w:t xml:space="preserve">paperwork </w:t>
      </w:r>
      <w:r w:rsidR="00A21DD2">
        <w:t>burden</w:t>
      </w:r>
      <w:r w:rsidR="003062A2">
        <w:t xml:space="preserve">.  NCUA requests emergency consideration to </w:t>
      </w:r>
      <w:r w:rsidR="00322763">
        <w:t>bring the information collection requirement into compliance under the PRA.</w:t>
      </w:r>
    </w:p>
    <w:p w:rsidR="00D05C04" w:rsidRPr="00753B95" w:rsidRDefault="00D05C04" w:rsidP="00027E19">
      <w:pPr>
        <w:tabs>
          <w:tab w:val="left" w:pos="540"/>
        </w:tabs>
        <w:ind w:left="540" w:hanging="540"/>
      </w:pPr>
    </w:p>
    <w:p w:rsidR="00D05C04" w:rsidRPr="00753B95" w:rsidRDefault="00D05C04" w:rsidP="00027E19">
      <w:pPr>
        <w:tabs>
          <w:tab w:val="left" w:pos="540"/>
        </w:tabs>
        <w:ind w:left="540" w:hanging="540"/>
        <w:rPr>
          <w:b/>
        </w:rPr>
      </w:pPr>
      <w:r w:rsidRPr="00753B95">
        <w:rPr>
          <w:b/>
        </w:rPr>
        <w:t>16.</w:t>
      </w:r>
      <w:r w:rsidR="00027E19">
        <w:rPr>
          <w:b/>
        </w:rPr>
        <w:tab/>
        <w:t>Plans for Publication</w:t>
      </w:r>
    </w:p>
    <w:p w:rsidR="00F2748C" w:rsidRPr="00753B95" w:rsidRDefault="00F2748C" w:rsidP="00027E19">
      <w:pPr>
        <w:tabs>
          <w:tab w:val="left" w:pos="540"/>
        </w:tabs>
        <w:ind w:left="540" w:hanging="540"/>
      </w:pPr>
    </w:p>
    <w:p w:rsidR="00D05C04" w:rsidRPr="00753B95" w:rsidRDefault="006A3F93" w:rsidP="00027E19">
      <w:pPr>
        <w:tabs>
          <w:tab w:val="left" w:pos="540"/>
        </w:tabs>
        <w:ind w:left="540" w:hanging="540"/>
      </w:pPr>
      <w:r>
        <w:t>The information is not planned for publication.</w:t>
      </w:r>
    </w:p>
    <w:p w:rsidR="00D05C04" w:rsidRPr="00753B95" w:rsidRDefault="00D05C04" w:rsidP="00027E19">
      <w:pPr>
        <w:tabs>
          <w:tab w:val="left" w:pos="540"/>
        </w:tabs>
        <w:ind w:left="540" w:hanging="540"/>
      </w:pPr>
    </w:p>
    <w:p w:rsidR="00F2748C" w:rsidRPr="00753B95" w:rsidRDefault="00D05C04" w:rsidP="00027E19">
      <w:pPr>
        <w:tabs>
          <w:tab w:val="left" w:pos="540"/>
        </w:tabs>
        <w:ind w:left="540" w:hanging="540"/>
        <w:rPr>
          <w:b/>
        </w:rPr>
      </w:pPr>
      <w:r w:rsidRPr="00753B95">
        <w:rPr>
          <w:b/>
        </w:rPr>
        <w:t>17.</w:t>
      </w:r>
      <w:r w:rsidR="00027E19">
        <w:rPr>
          <w:b/>
        </w:rPr>
        <w:tab/>
      </w:r>
      <w:r w:rsidR="00C97F91">
        <w:rPr>
          <w:b/>
        </w:rPr>
        <w:t>Request Non-display of the Expiration date of the OMB Control Number</w:t>
      </w:r>
      <w:r w:rsidR="00F2748C" w:rsidRPr="00753B95">
        <w:rPr>
          <w:b/>
        </w:rPr>
        <w:t xml:space="preserve"> </w:t>
      </w:r>
    </w:p>
    <w:p w:rsidR="00F2748C" w:rsidRPr="00753B95" w:rsidRDefault="00F2748C" w:rsidP="00027E19">
      <w:pPr>
        <w:tabs>
          <w:tab w:val="left" w:pos="540"/>
        </w:tabs>
        <w:ind w:left="540" w:hanging="540"/>
      </w:pPr>
    </w:p>
    <w:p w:rsidR="005728D3" w:rsidRDefault="00942D05" w:rsidP="000C53D1">
      <w:r>
        <w:t xml:space="preserve">The OMB control number and expiration date associated with this PRA submission will be displayed on the Federal Government’s electronic PRA docket at </w:t>
      </w:r>
      <w:hyperlink r:id="rId9" w:history="1">
        <w:r w:rsidRPr="007F1BFB">
          <w:rPr>
            <w:rStyle w:val="Hyperlink"/>
          </w:rPr>
          <w:t>www.reginfo.gov</w:t>
        </w:r>
      </w:hyperlink>
      <w:r>
        <w:t>.</w:t>
      </w:r>
    </w:p>
    <w:p w:rsidR="007118F8" w:rsidRDefault="007118F8" w:rsidP="00027E19">
      <w:pPr>
        <w:tabs>
          <w:tab w:val="left" w:pos="540"/>
        </w:tabs>
        <w:ind w:left="540" w:hanging="540"/>
        <w:rPr>
          <w:b/>
        </w:rPr>
      </w:pPr>
    </w:p>
    <w:p w:rsidR="00D05C04" w:rsidRPr="00753B95" w:rsidRDefault="00C97F91" w:rsidP="00027E19">
      <w:pPr>
        <w:tabs>
          <w:tab w:val="left" w:pos="540"/>
        </w:tabs>
        <w:ind w:left="540" w:hanging="540"/>
        <w:rPr>
          <w:b/>
        </w:rPr>
      </w:pPr>
      <w:r>
        <w:rPr>
          <w:b/>
        </w:rPr>
        <w:t>18.</w:t>
      </w:r>
      <w:r>
        <w:rPr>
          <w:b/>
        </w:rPr>
        <w:tab/>
      </w:r>
      <w:r w:rsidR="00F2748C" w:rsidRPr="00753B95">
        <w:rPr>
          <w:b/>
        </w:rPr>
        <w:t>Exception</w:t>
      </w:r>
      <w:r>
        <w:rPr>
          <w:b/>
        </w:rPr>
        <w:t>s to the C</w:t>
      </w:r>
      <w:r w:rsidR="00F2748C" w:rsidRPr="00753B95">
        <w:rPr>
          <w:b/>
        </w:rPr>
        <w:t xml:space="preserve">ertification </w:t>
      </w:r>
      <w:r>
        <w:rPr>
          <w:b/>
        </w:rPr>
        <w:t>for the Paperwork Reduction Act Submission</w:t>
      </w:r>
    </w:p>
    <w:p w:rsidR="005728D3" w:rsidRPr="00753B95" w:rsidRDefault="005728D3" w:rsidP="00027E19">
      <w:pPr>
        <w:tabs>
          <w:tab w:val="left" w:pos="540"/>
        </w:tabs>
        <w:ind w:left="540" w:hanging="540"/>
      </w:pPr>
    </w:p>
    <w:p w:rsidR="005728D3" w:rsidRPr="00753B95" w:rsidRDefault="004369F4" w:rsidP="000C53D1">
      <w:r>
        <w:t>There are no exceptions</w:t>
      </w:r>
      <w:r w:rsidR="00F2748C" w:rsidRPr="00753B95">
        <w:t xml:space="preserve"> to the certification </w:t>
      </w:r>
      <w:r>
        <w:t xml:space="preserve">statement. </w:t>
      </w:r>
    </w:p>
    <w:p w:rsidR="00436192" w:rsidRDefault="00436192" w:rsidP="00027E19">
      <w:pPr>
        <w:tabs>
          <w:tab w:val="left" w:pos="540"/>
        </w:tabs>
        <w:ind w:left="540" w:hanging="540"/>
      </w:pPr>
    </w:p>
    <w:p w:rsidR="005353A4" w:rsidRDefault="005353A4" w:rsidP="00027E19">
      <w:pPr>
        <w:tabs>
          <w:tab w:val="left" w:pos="540"/>
        </w:tabs>
        <w:ind w:left="540" w:hanging="540"/>
      </w:pPr>
    </w:p>
    <w:p w:rsidR="005353A4" w:rsidRPr="00753B95" w:rsidRDefault="005353A4" w:rsidP="00027E19">
      <w:pPr>
        <w:tabs>
          <w:tab w:val="left" w:pos="540"/>
        </w:tabs>
        <w:ind w:left="540" w:hanging="540"/>
      </w:pPr>
    </w:p>
    <w:p w:rsidR="009C5E9F" w:rsidRPr="00753B95" w:rsidRDefault="00C97F91" w:rsidP="00027E19">
      <w:pPr>
        <w:widowControl w:val="0"/>
        <w:tabs>
          <w:tab w:val="left" w:pos="-1440"/>
          <w:tab w:val="left" w:pos="540"/>
        </w:tabs>
        <w:ind w:left="540" w:hanging="540"/>
        <w:rPr>
          <w:b/>
        </w:rPr>
      </w:pPr>
      <w:r>
        <w:rPr>
          <w:b/>
        </w:rPr>
        <w:t>B.</w:t>
      </w:r>
      <w:r>
        <w:rPr>
          <w:b/>
        </w:rPr>
        <w:tab/>
      </w:r>
      <w:r w:rsidR="009C5E9F" w:rsidRPr="00753B95">
        <w:rPr>
          <w:b/>
        </w:rPr>
        <w:t>Collections of Information Employing Statistical Methods.</w:t>
      </w:r>
    </w:p>
    <w:p w:rsidR="009C5E9F" w:rsidRPr="00753B95" w:rsidRDefault="009C5E9F" w:rsidP="00027E19">
      <w:pPr>
        <w:widowControl w:val="0"/>
        <w:tabs>
          <w:tab w:val="left" w:pos="540"/>
        </w:tabs>
        <w:ind w:left="540" w:hanging="540"/>
        <w:rPr>
          <w:u w:val="single"/>
        </w:rPr>
      </w:pPr>
    </w:p>
    <w:p w:rsidR="00A771D6" w:rsidRPr="00753B95" w:rsidRDefault="009C5E9F" w:rsidP="005353A4">
      <w:pPr>
        <w:widowControl w:val="0"/>
        <w:tabs>
          <w:tab w:val="left" w:pos="540"/>
        </w:tabs>
        <w:ind w:left="540" w:hanging="540"/>
      </w:pPr>
      <w:r w:rsidRPr="00753B95">
        <w:t>This collection does not employ statistical methods.</w:t>
      </w:r>
    </w:p>
    <w:sectPr w:rsidR="00A771D6" w:rsidRPr="00753B95" w:rsidSect="006B3D5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ADC" w:rsidRDefault="003B7ADC" w:rsidP="00534F2A">
      <w:r>
        <w:separator/>
      </w:r>
    </w:p>
  </w:endnote>
  <w:endnote w:type="continuationSeparator" w:id="0">
    <w:p w:rsidR="003B7ADC" w:rsidRDefault="003B7ADC" w:rsidP="0053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TUR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81883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62AD" w:rsidRDefault="00BA62AD" w:rsidP="008155FD">
        <w:pPr>
          <w:pStyle w:val="Footer"/>
        </w:pPr>
        <w:r w:rsidRPr="00486345">
          <w:rPr>
            <w:i/>
            <w:sz w:val="22"/>
            <w:szCs w:val="22"/>
          </w:rPr>
          <w:t>OMB No. 3133-</w:t>
        </w:r>
        <w:r>
          <w:rPr>
            <w:i/>
            <w:sz w:val="22"/>
            <w:szCs w:val="22"/>
          </w:rPr>
          <w:t>NEW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4B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ADC" w:rsidRDefault="003B7ADC" w:rsidP="00534F2A">
      <w:r>
        <w:separator/>
      </w:r>
    </w:p>
  </w:footnote>
  <w:footnote w:type="continuationSeparator" w:id="0">
    <w:p w:rsidR="003B7ADC" w:rsidRDefault="003B7ADC" w:rsidP="00534F2A">
      <w:r>
        <w:continuationSeparator/>
      </w:r>
    </w:p>
  </w:footnote>
  <w:footnote w:id="1">
    <w:p w:rsidR="00286513" w:rsidRDefault="00286513">
      <w:pPr>
        <w:pStyle w:val="FootnoteText"/>
      </w:pPr>
      <w:r>
        <w:rPr>
          <w:rStyle w:val="FootnoteReference"/>
        </w:rPr>
        <w:footnoteRef/>
      </w:r>
      <w:r>
        <w:t xml:space="preserve"> 76 FR 74631 (Dec. 1, 2011)</w:t>
      </w:r>
    </w:p>
  </w:footnote>
  <w:footnote w:id="2">
    <w:p w:rsidR="00286513" w:rsidRDefault="00286513" w:rsidP="00286513">
      <w:pPr>
        <w:autoSpaceDE w:val="0"/>
        <w:autoSpaceDN w:val="0"/>
        <w:adjustRightInd w:val="0"/>
      </w:pPr>
      <w:r>
        <w:rPr>
          <w:rStyle w:val="FootnoteReference"/>
        </w:rPr>
        <w:footnoteRef/>
      </w:r>
      <w:r>
        <w:t xml:space="preserve"> </w:t>
      </w:r>
      <w:r w:rsidRPr="00286513">
        <w:rPr>
          <w:i/>
          <w:sz w:val="20"/>
          <w:szCs w:val="20"/>
        </w:rPr>
        <w:t>See</w:t>
      </w:r>
      <w:r w:rsidRPr="00286513">
        <w:rPr>
          <w:sz w:val="20"/>
          <w:szCs w:val="20"/>
        </w:rPr>
        <w:t xml:space="preserve"> 77 FR 61238 (Oct. 9, 2012); 77 FR 62378 (Oct. 12 2012); 77 FR 62396 (Oct. 12 2012); 77 FR 62417 (Oct. 15, 2012).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C7E3050"/>
    <w:lvl w:ilvl="0">
      <w:numFmt w:val="decimal"/>
      <w:lvlText w:val="*"/>
      <w:lvlJc w:val="left"/>
    </w:lvl>
  </w:abstractNum>
  <w:abstractNum w:abstractNumId="1">
    <w:nsid w:val="00000009"/>
    <w:multiLevelType w:val="multilevel"/>
    <w:tmpl w:val="00000000"/>
    <w:lvl w:ilvl="0">
      <w:start w:val="1"/>
      <w:numFmt w:val="decimal"/>
      <w:pStyle w:val="Level1"/>
      <w:lvlText w:val="%1)"/>
      <w:lvlJc w:val="left"/>
      <w:pPr>
        <w:tabs>
          <w:tab w:val="num" w:pos="722"/>
        </w:tabs>
        <w:ind w:left="722" w:hanging="361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>
    <w:nsid w:val="01153387"/>
    <w:multiLevelType w:val="hybridMultilevel"/>
    <w:tmpl w:val="C2E8F03A"/>
    <w:lvl w:ilvl="0" w:tplc="C308B50A">
      <w:start w:val="1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7F437F"/>
    <w:multiLevelType w:val="hybridMultilevel"/>
    <w:tmpl w:val="909C1D12"/>
    <w:lvl w:ilvl="0" w:tplc="470E469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CB05CA"/>
    <w:multiLevelType w:val="hybridMultilevel"/>
    <w:tmpl w:val="EB4A2640"/>
    <w:lvl w:ilvl="0" w:tplc="FA32E4A4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C923F7E"/>
    <w:multiLevelType w:val="hybridMultilevel"/>
    <w:tmpl w:val="E81031D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C555B6"/>
    <w:multiLevelType w:val="hybridMultilevel"/>
    <w:tmpl w:val="A0FEDFAC"/>
    <w:lvl w:ilvl="0" w:tplc="0F34B1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7E739E"/>
    <w:multiLevelType w:val="hybridMultilevel"/>
    <w:tmpl w:val="E7FAECEA"/>
    <w:lvl w:ilvl="0" w:tplc="6BAC2A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FD36BE"/>
    <w:multiLevelType w:val="hybridMultilevel"/>
    <w:tmpl w:val="91A8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4F726D"/>
    <w:multiLevelType w:val="hybridMultilevel"/>
    <w:tmpl w:val="5400036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208D48">
      <w:start w:val="7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E64541"/>
    <w:multiLevelType w:val="hybridMultilevel"/>
    <w:tmpl w:val="04B044D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9F22FE7"/>
    <w:multiLevelType w:val="hybridMultilevel"/>
    <w:tmpl w:val="1D56E9AA"/>
    <w:lvl w:ilvl="0" w:tplc="B6B821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D246C1"/>
    <w:multiLevelType w:val="hybridMultilevel"/>
    <w:tmpl w:val="AF62CBB6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C21563"/>
    <w:multiLevelType w:val="hybridMultilevel"/>
    <w:tmpl w:val="7C0E8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810911"/>
    <w:multiLevelType w:val="hybridMultilevel"/>
    <w:tmpl w:val="83D06052"/>
    <w:lvl w:ilvl="0" w:tplc="CE0EA5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98624ED"/>
    <w:multiLevelType w:val="hybridMultilevel"/>
    <w:tmpl w:val="ABD806A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3E3578"/>
    <w:multiLevelType w:val="hybridMultilevel"/>
    <w:tmpl w:val="D5BC27DC"/>
    <w:lvl w:ilvl="0" w:tplc="366635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66A03EA"/>
    <w:multiLevelType w:val="hybridMultilevel"/>
    <w:tmpl w:val="BE5A0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A14AC9"/>
    <w:multiLevelType w:val="hybridMultilevel"/>
    <w:tmpl w:val="E328F4C2"/>
    <w:lvl w:ilvl="0" w:tplc="BC6E69E4">
      <w:start w:val="9"/>
      <w:numFmt w:val="lowerLetter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>
    <w:nsid w:val="7CD42F58"/>
    <w:multiLevelType w:val="hybridMultilevel"/>
    <w:tmpl w:val="E00011C6"/>
    <w:lvl w:ilvl="0" w:tplc="4FEC9F9C">
      <w:start w:val="1"/>
      <w:numFmt w:val="bullet"/>
      <w:lvlText w:val=""/>
      <w:lvlJc w:val="left"/>
      <w:pPr>
        <w:tabs>
          <w:tab w:val="num" w:pos="865"/>
        </w:tabs>
        <w:ind w:left="865" w:hanging="144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1"/>
        </w:tabs>
        <w:ind w:left="180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1"/>
        </w:tabs>
        <w:ind w:left="2521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1"/>
        </w:tabs>
        <w:ind w:left="324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1"/>
        </w:tabs>
        <w:ind w:left="396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1"/>
        </w:tabs>
        <w:ind w:left="4681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1"/>
        </w:tabs>
        <w:ind w:left="540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1"/>
        </w:tabs>
        <w:ind w:left="612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1"/>
        </w:tabs>
        <w:ind w:left="6841" w:hanging="180"/>
      </w:pPr>
    </w:lvl>
  </w:abstractNum>
  <w:num w:numId="1">
    <w:abstractNumId w:val="15"/>
  </w:num>
  <w:num w:numId="2">
    <w:abstractNumId w:val="3"/>
  </w:num>
  <w:num w:numId="3">
    <w:abstractNumId w:val="13"/>
  </w:num>
  <w:num w:numId="4">
    <w:abstractNumId w:val="2"/>
  </w:num>
  <w:num w:numId="5">
    <w:abstractNumId w:val="12"/>
  </w:num>
  <w:num w:numId="6">
    <w:abstractNumId w:val="5"/>
  </w:num>
  <w:num w:numId="7">
    <w:abstractNumId w:val="17"/>
  </w:num>
  <w:num w:numId="8">
    <w:abstractNumId w:val="8"/>
  </w:num>
  <w:num w:numId="9">
    <w:abstractNumId w:val="11"/>
  </w:num>
  <w:num w:numId="10">
    <w:abstractNumId w:val="6"/>
  </w:num>
  <w:num w:numId="11">
    <w:abstractNumId w:val="16"/>
  </w:num>
  <w:num w:numId="12">
    <w:abstractNumId w:val="14"/>
  </w:num>
  <w:num w:numId="13">
    <w:abstractNumId w:val="7"/>
  </w:num>
  <w:num w:numId="14">
    <w:abstractNumId w:val="10"/>
  </w:num>
  <w:num w:numId="15">
    <w:abstractNumId w:val="1"/>
    <w:lvlOverride w:ilvl="0">
      <w:startOverride w:val="1"/>
      <w:lvl w:ilvl="0">
        <w:start w:val="1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6">
    <w:abstractNumId w:val="19"/>
  </w:num>
  <w:num w:numId="17">
    <w:abstractNumId w:val="9"/>
  </w:num>
  <w:num w:numId="18">
    <w:abstractNumId w:val="0"/>
    <w:lvlOverride w:ilvl="0">
      <w:lvl w:ilvl="0">
        <w:numFmt w:val="bullet"/>
        <w:lvlText w:val="­"/>
        <w:legacy w:legacy="1" w:legacySpace="0" w:legacyIndent="361"/>
        <w:lvlJc w:val="left"/>
        <w:pPr>
          <w:ind w:left="722" w:hanging="361"/>
        </w:pPr>
        <w:rPr>
          <w:rFonts w:ascii="Times New Roman" w:hAnsi="Times New Roman" w:cs="Times New Roman" w:hint="default"/>
        </w:rPr>
      </w:lvl>
    </w:lvlOverride>
  </w:num>
  <w:num w:numId="19">
    <w:abstractNumId w:val="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DEB"/>
    <w:rsid w:val="00002E37"/>
    <w:rsid w:val="00005ABC"/>
    <w:rsid w:val="0002057F"/>
    <w:rsid w:val="00027E19"/>
    <w:rsid w:val="00036F5E"/>
    <w:rsid w:val="00037B8F"/>
    <w:rsid w:val="0004169B"/>
    <w:rsid w:val="00057471"/>
    <w:rsid w:val="00060C64"/>
    <w:rsid w:val="00077A56"/>
    <w:rsid w:val="00077CBD"/>
    <w:rsid w:val="000849EB"/>
    <w:rsid w:val="000969CF"/>
    <w:rsid w:val="000B105F"/>
    <w:rsid w:val="000C16EE"/>
    <w:rsid w:val="000C2CAD"/>
    <w:rsid w:val="000C53D1"/>
    <w:rsid w:val="000D398C"/>
    <w:rsid w:val="000D573B"/>
    <w:rsid w:val="000E3900"/>
    <w:rsid w:val="000F317A"/>
    <w:rsid w:val="000F3286"/>
    <w:rsid w:val="00101432"/>
    <w:rsid w:val="00115D08"/>
    <w:rsid w:val="00131AA9"/>
    <w:rsid w:val="001344D6"/>
    <w:rsid w:val="0013597A"/>
    <w:rsid w:val="0014443E"/>
    <w:rsid w:val="00144F67"/>
    <w:rsid w:val="001505A7"/>
    <w:rsid w:val="00157D13"/>
    <w:rsid w:val="0016629C"/>
    <w:rsid w:val="00180D22"/>
    <w:rsid w:val="00184423"/>
    <w:rsid w:val="00184B1B"/>
    <w:rsid w:val="00184C06"/>
    <w:rsid w:val="00196BDF"/>
    <w:rsid w:val="001A03E7"/>
    <w:rsid w:val="001A1AC3"/>
    <w:rsid w:val="001A7C05"/>
    <w:rsid w:val="001B07C9"/>
    <w:rsid w:val="001C11EA"/>
    <w:rsid w:val="001C45AE"/>
    <w:rsid w:val="001C629C"/>
    <w:rsid w:val="001C77C2"/>
    <w:rsid w:val="001D1632"/>
    <w:rsid w:val="001D3C24"/>
    <w:rsid w:val="001E0D1E"/>
    <w:rsid w:val="001E0E76"/>
    <w:rsid w:val="001E26D4"/>
    <w:rsid w:val="001F0DB5"/>
    <w:rsid w:val="001F2EAF"/>
    <w:rsid w:val="00202708"/>
    <w:rsid w:val="00205E9C"/>
    <w:rsid w:val="00225761"/>
    <w:rsid w:val="002268CC"/>
    <w:rsid w:val="00237129"/>
    <w:rsid w:val="00243D74"/>
    <w:rsid w:val="00257D33"/>
    <w:rsid w:val="00261125"/>
    <w:rsid w:val="00284608"/>
    <w:rsid w:val="002861E9"/>
    <w:rsid w:val="00286513"/>
    <w:rsid w:val="00287852"/>
    <w:rsid w:val="002920ED"/>
    <w:rsid w:val="00294C79"/>
    <w:rsid w:val="002A6CDC"/>
    <w:rsid w:val="002B05B0"/>
    <w:rsid w:val="002B6B75"/>
    <w:rsid w:val="002C2ADF"/>
    <w:rsid w:val="002C62D9"/>
    <w:rsid w:val="002D128E"/>
    <w:rsid w:val="002E4F2B"/>
    <w:rsid w:val="002F3551"/>
    <w:rsid w:val="003062A2"/>
    <w:rsid w:val="00322763"/>
    <w:rsid w:val="00323E48"/>
    <w:rsid w:val="003349EB"/>
    <w:rsid w:val="00341B1D"/>
    <w:rsid w:val="0034466C"/>
    <w:rsid w:val="003503DD"/>
    <w:rsid w:val="003554C3"/>
    <w:rsid w:val="00363E43"/>
    <w:rsid w:val="003740DB"/>
    <w:rsid w:val="00382444"/>
    <w:rsid w:val="0038462C"/>
    <w:rsid w:val="003859DC"/>
    <w:rsid w:val="00392050"/>
    <w:rsid w:val="00393F37"/>
    <w:rsid w:val="0039479A"/>
    <w:rsid w:val="003A092E"/>
    <w:rsid w:val="003B2E1C"/>
    <w:rsid w:val="003B5370"/>
    <w:rsid w:val="003B7ADC"/>
    <w:rsid w:val="003C27B0"/>
    <w:rsid w:val="003C496D"/>
    <w:rsid w:val="003D1FE0"/>
    <w:rsid w:val="003D59AC"/>
    <w:rsid w:val="003E78EC"/>
    <w:rsid w:val="00413506"/>
    <w:rsid w:val="0042419D"/>
    <w:rsid w:val="00425AEB"/>
    <w:rsid w:val="00425FAA"/>
    <w:rsid w:val="00436192"/>
    <w:rsid w:val="00436787"/>
    <w:rsid w:val="004369F4"/>
    <w:rsid w:val="00444214"/>
    <w:rsid w:val="00453E27"/>
    <w:rsid w:val="0048594F"/>
    <w:rsid w:val="00486345"/>
    <w:rsid w:val="004914EC"/>
    <w:rsid w:val="004B0C46"/>
    <w:rsid w:val="004B58A3"/>
    <w:rsid w:val="004C1161"/>
    <w:rsid w:val="004C7977"/>
    <w:rsid w:val="004D0000"/>
    <w:rsid w:val="004F5743"/>
    <w:rsid w:val="004F73C7"/>
    <w:rsid w:val="00514FAA"/>
    <w:rsid w:val="00521175"/>
    <w:rsid w:val="005300AF"/>
    <w:rsid w:val="005320FD"/>
    <w:rsid w:val="00534F2A"/>
    <w:rsid w:val="005353A4"/>
    <w:rsid w:val="005728D3"/>
    <w:rsid w:val="00574211"/>
    <w:rsid w:val="00576D8B"/>
    <w:rsid w:val="005915A7"/>
    <w:rsid w:val="005A0446"/>
    <w:rsid w:val="005A4BAB"/>
    <w:rsid w:val="005A5945"/>
    <w:rsid w:val="005D5EC4"/>
    <w:rsid w:val="005D7247"/>
    <w:rsid w:val="005E0A35"/>
    <w:rsid w:val="005F48D8"/>
    <w:rsid w:val="00606B9F"/>
    <w:rsid w:val="00613996"/>
    <w:rsid w:val="0061487C"/>
    <w:rsid w:val="0061542E"/>
    <w:rsid w:val="006179D8"/>
    <w:rsid w:val="0062295A"/>
    <w:rsid w:val="00622981"/>
    <w:rsid w:val="00650EA0"/>
    <w:rsid w:val="00667E5A"/>
    <w:rsid w:val="00680820"/>
    <w:rsid w:val="00692C69"/>
    <w:rsid w:val="00693A9C"/>
    <w:rsid w:val="006958BC"/>
    <w:rsid w:val="006A3F93"/>
    <w:rsid w:val="006A745E"/>
    <w:rsid w:val="006B1F29"/>
    <w:rsid w:val="006B233F"/>
    <w:rsid w:val="006B2771"/>
    <w:rsid w:val="006B3D52"/>
    <w:rsid w:val="006C32A2"/>
    <w:rsid w:val="006D087C"/>
    <w:rsid w:val="006D462A"/>
    <w:rsid w:val="006F3CB6"/>
    <w:rsid w:val="006F4C4B"/>
    <w:rsid w:val="007118F8"/>
    <w:rsid w:val="00722F39"/>
    <w:rsid w:val="007251BF"/>
    <w:rsid w:val="0074102F"/>
    <w:rsid w:val="007525A6"/>
    <w:rsid w:val="00753B95"/>
    <w:rsid w:val="00770F2E"/>
    <w:rsid w:val="0078257D"/>
    <w:rsid w:val="0078544F"/>
    <w:rsid w:val="007931B8"/>
    <w:rsid w:val="007A5630"/>
    <w:rsid w:val="007B0C02"/>
    <w:rsid w:val="007D1391"/>
    <w:rsid w:val="007D514B"/>
    <w:rsid w:val="007E10A1"/>
    <w:rsid w:val="007F3E38"/>
    <w:rsid w:val="007F4ED7"/>
    <w:rsid w:val="00806E73"/>
    <w:rsid w:val="008155FD"/>
    <w:rsid w:val="00820C2A"/>
    <w:rsid w:val="00821FD0"/>
    <w:rsid w:val="00833EDC"/>
    <w:rsid w:val="0084030C"/>
    <w:rsid w:val="0084133C"/>
    <w:rsid w:val="0085137F"/>
    <w:rsid w:val="008714EE"/>
    <w:rsid w:val="00875DCD"/>
    <w:rsid w:val="00880319"/>
    <w:rsid w:val="0088606D"/>
    <w:rsid w:val="008A068D"/>
    <w:rsid w:val="008B2819"/>
    <w:rsid w:val="00914119"/>
    <w:rsid w:val="00940951"/>
    <w:rsid w:val="00942A07"/>
    <w:rsid w:val="00942D05"/>
    <w:rsid w:val="0094386E"/>
    <w:rsid w:val="00956E4A"/>
    <w:rsid w:val="00966905"/>
    <w:rsid w:val="009739E0"/>
    <w:rsid w:val="0098332B"/>
    <w:rsid w:val="0098730C"/>
    <w:rsid w:val="009A22F2"/>
    <w:rsid w:val="009A5162"/>
    <w:rsid w:val="009B01B0"/>
    <w:rsid w:val="009C09EE"/>
    <w:rsid w:val="009C5E9F"/>
    <w:rsid w:val="009D5313"/>
    <w:rsid w:val="009E348C"/>
    <w:rsid w:val="009E4BF2"/>
    <w:rsid w:val="00A01F9D"/>
    <w:rsid w:val="00A10142"/>
    <w:rsid w:val="00A11628"/>
    <w:rsid w:val="00A16028"/>
    <w:rsid w:val="00A16C5D"/>
    <w:rsid w:val="00A21DD2"/>
    <w:rsid w:val="00A236DE"/>
    <w:rsid w:val="00A25306"/>
    <w:rsid w:val="00A3321F"/>
    <w:rsid w:val="00A44ACA"/>
    <w:rsid w:val="00A52969"/>
    <w:rsid w:val="00A5296C"/>
    <w:rsid w:val="00A541DC"/>
    <w:rsid w:val="00A62F23"/>
    <w:rsid w:val="00A771D6"/>
    <w:rsid w:val="00A84669"/>
    <w:rsid w:val="00A84925"/>
    <w:rsid w:val="00A91B29"/>
    <w:rsid w:val="00A94477"/>
    <w:rsid w:val="00A96632"/>
    <w:rsid w:val="00AA42B0"/>
    <w:rsid w:val="00AA4FF2"/>
    <w:rsid w:val="00AC7396"/>
    <w:rsid w:val="00AD6D80"/>
    <w:rsid w:val="00AD7ADE"/>
    <w:rsid w:val="00B048D1"/>
    <w:rsid w:val="00B04F7E"/>
    <w:rsid w:val="00B21361"/>
    <w:rsid w:val="00B41267"/>
    <w:rsid w:val="00B61960"/>
    <w:rsid w:val="00B70A4B"/>
    <w:rsid w:val="00B87625"/>
    <w:rsid w:val="00B94D99"/>
    <w:rsid w:val="00B951AF"/>
    <w:rsid w:val="00BA5D7C"/>
    <w:rsid w:val="00BA62AD"/>
    <w:rsid w:val="00BC0456"/>
    <w:rsid w:val="00BE7CB5"/>
    <w:rsid w:val="00BF0158"/>
    <w:rsid w:val="00C03455"/>
    <w:rsid w:val="00C050D3"/>
    <w:rsid w:val="00C053C1"/>
    <w:rsid w:val="00C13DEB"/>
    <w:rsid w:val="00C17FEE"/>
    <w:rsid w:val="00C259E3"/>
    <w:rsid w:val="00C263DF"/>
    <w:rsid w:val="00C337B7"/>
    <w:rsid w:val="00C3620D"/>
    <w:rsid w:val="00C57B92"/>
    <w:rsid w:val="00C60EF2"/>
    <w:rsid w:val="00C6348E"/>
    <w:rsid w:val="00C65966"/>
    <w:rsid w:val="00C6650F"/>
    <w:rsid w:val="00C742D0"/>
    <w:rsid w:val="00C84F13"/>
    <w:rsid w:val="00C857B7"/>
    <w:rsid w:val="00C97F91"/>
    <w:rsid w:val="00CA5C2D"/>
    <w:rsid w:val="00CB6256"/>
    <w:rsid w:val="00CB6997"/>
    <w:rsid w:val="00CE76BD"/>
    <w:rsid w:val="00CF558C"/>
    <w:rsid w:val="00CF6886"/>
    <w:rsid w:val="00D05C04"/>
    <w:rsid w:val="00D1311E"/>
    <w:rsid w:val="00D25919"/>
    <w:rsid w:val="00D339A2"/>
    <w:rsid w:val="00D728DA"/>
    <w:rsid w:val="00D74D2C"/>
    <w:rsid w:val="00D87E6A"/>
    <w:rsid w:val="00D94BA5"/>
    <w:rsid w:val="00D95123"/>
    <w:rsid w:val="00DB022B"/>
    <w:rsid w:val="00DE3633"/>
    <w:rsid w:val="00DE4C01"/>
    <w:rsid w:val="00DF142A"/>
    <w:rsid w:val="00DF2C1A"/>
    <w:rsid w:val="00E1454E"/>
    <w:rsid w:val="00E31E47"/>
    <w:rsid w:val="00E34678"/>
    <w:rsid w:val="00E41832"/>
    <w:rsid w:val="00E437D0"/>
    <w:rsid w:val="00E55E2C"/>
    <w:rsid w:val="00E708FD"/>
    <w:rsid w:val="00E80C21"/>
    <w:rsid w:val="00EA3632"/>
    <w:rsid w:val="00F01803"/>
    <w:rsid w:val="00F05241"/>
    <w:rsid w:val="00F220F2"/>
    <w:rsid w:val="00F2748C"/>
    <w:rsid w:val="00F27F56"/>
    <w:rsid w:val="00F44855"/>
    <w:rsid w:val="00F507AB"/>
    <w:rsid w:val="00F655FB"/>
    <w:rsid w:val="00F731AD"/>
    <w:rsid w:val="00F76E3B"/>
    <w:rsid w:val="00F80045"/>
    <w:rsid w:val="00FA3A11"/>
    <w:rsid w:val="00FC43A1"/>
    <w:rsid w:val="00FD108C"/>
    <w:rsid w:val="00FD5E62"/>
    <w:rsid w:val="00FF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3D59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4F2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34F2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4F2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34F2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728D3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table" w:styleId="TableGrid">
    <w:name w:val="Table Grid"/>
    <w:basedOn w:val="TableNormal"/>
    <w:uiPriority w:val="59"/>
    <w:rsid w:val="0038462C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40951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D53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3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31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3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313"/>
    <w:rPr>
      <w:b/>
      <w:bCs/>
    </w:rPr>
  </w:style>
  <w:style w:type="paragraph" w:styleId="FootnoteText">
    <w:name w:val="footnote text"/>
    <w:basedOn w:val="Normal"/>
    <w:link w:val="FootnoteTextChar"/>
    <w:semiHidden/>
    <w:unhideWhenUsed/>
    <w:rsid w:val="00806E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06E73"/>
  </w:style>
  <w:style w:type="character" w:styleId="FootnoteReference">
    <w:name w:val="footnote reference"/>
    <w:aliases w:val="fr,12"/>
    <w:basedOn w:val="DefaultParagraphFont"/>
    <w:uiPriority w:val="99"/>
    <w:semiHidden/>
    <w:unhideWhenUsed/>
    <w:rsid w:val="00806E7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42D05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84C0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84C06"/>
    <w:rPr>
      <w:sz w:val="24"/>
      <w:szCs w:val="24"/>
    </w:rPr>
  </w:style>
  <w:style w:type="paragraph" w:customStyle="1" w:styleId="smindent">
    <w:name w:val="smindent"/>
    <w:basedOn w:val="Normal"/>
    <w:rsid w:val="003503DD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paragraph" w:customStyle="1" w:styleId="Level1">
    <w:name w:val="Level 1"/>
    <w:basedOn w:val="Normal"/>
    <w:rsid w:val="003503DD"/>
    <w:pPr>
      <w:widowControl w:val="0"/>
      <w:numPr>
        <w:numId w:val="15"/>
      </w:numPr>
      <w:autoSpaceDE w:val="0"/>
      <w:autoSpaceDN w:val="0"/>
      <w:adjustRightInd w:val="0"/>
      <w:ind w:left="474" w:hanging="186"/>
      <w:outlineLvl w:val="0"/>
    </w:pPr>
  </w:style>
  <w:style w:type="paragraph" w:customStyle="1" w:styleId="Level2">
    <w:name w:val="Level 2"/>
    <w:basedOn w:val="Normal"/>
    <w:rsid w:val="003503DD"/>
    <w:pPr>
      <w:widowControl w:val="0"/>
      <w:autoSpaceDE w:val="0"/>
      <w:autoSpaceDN w:val="0"/>
      <w:adjustRightInd w:val="0"/>
      <w:ind w:left="722" w:hanging="36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3D59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4F2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34F2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4F2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34F2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728D3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table" w:styleId="TableGrid">
    <w:name w:val="Table Grid"/>
    <w:basedOn w:val="TableNormal"/>
    <w:uiPriority w:val="59"/>
    <w:rsid w:val="0038462C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40951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D53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3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31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3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313"/>
    <w:rPr>
      <w:b/>
      <w:bCs/>
    </w:rPr>
  </w:style>
  <w:style w:type="paragraph" w:styleId="FootnoteText">
    <w:name w:val="footnote text"/>
    <w:basedOn w:val="Normal"/>
    <w:link w:val="FootnoteTextChar"/>
    <w:semiHidden/>
    <w:unhideWhenUsed/>
    <w:rsid w:val="00806E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06E73"/>
  </w:style>
  <w:style w:type="character" w:styleId="FootnoteReference">
    <w:name w:val="footnote reference"/>
    <w:aliases w:val="fr,12"/>
    <w:basedOn w:val="DefaultParagraphFont"/>
    <w:uiPriority w:val="99"/>
    <w:semiHidden/>
    <w:unhideWhenUsed/>
    <w:rsid w:val="00806E7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42D05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84C0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84C06"/>
    <w:rPr>
      <w:sz w:val="24"/>
      <w:szCs w:val="24"/>
    </w:rPr>
  </w:style>
  <w:style w:type="paragraph" w:customStyle="1" w:styleId="smindent">
    <w:name w:val="smindent"/>
    <w:basedOn w:val="Normal"/>
    <w:rsid w:val="003503DD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paragraph" w:customStyle="1" w:styleId="Level1">
    <w:name w:val="Level 1"/>
    <w:basedOn w:val="Normal"/>
    <w:rsid w:val="003503DD"/>
    <w:pPr>
      <w:widowControl w:val="0"/>
      <w:numPr>
        <w:numId w:val="15"/>
      </w:numPr>
      <w:autoSpaceDE w:val="0"/>
      <w:autoSpaceDN w:val="0"/>
      <w:adjustRightInd w:val="0"/>
      <w:ind w:left="474" w:hanging="186"/>
      <w:outlineLvl w:val="0"/>
    </w:pPr>
  </w:style>
  <w:style w:type="paragraph" w:customStyle="1" w:styleId="Level2">
    <w:name w:val="Level 2"/>
    <w:basedOn w:val="Normal"/>
    <w:rsid w:val="003503DD"/>
    <w:pPr>
      <w:widowControl w:val="0"/>
      <w:autoSpaceDE w:val="0"/>
      <w:autoSpaceDN w:val="0"/>
      <w:adjustRightInd w:val="0"/>
      <w:ind w:left="722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reginf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8D205-A7CF-444D-A658-5285AD98D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Paperwork Reduction Act Submission Mergers of Federally-Insured Credit Union OMB Control Number 3133-</vt:lpstr>
    </vt:vector>
  </TitlesOfParts>
  <Company>NCUA</Company>
  <LinksUpToDate>false</LinksUpToDate>
  <CharactersWithSpaces>9093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Paperwork Reduction Act Submission Mergers of Federally-Insured Credit Union OMB Control Number 3133-</dc:title>
  <dc:creator>NCUA</dc:creator>
  <cp:lastModifiedBy>SYSTEM</cp:lastModifiedBy>
  <cp:revision>2</cp:revision>
  <cp:lastPrinted>2017-06-09T15:13:00Z</cp:lastPrinted>
  <dcterms:created xsi:type="dcterms:W3CDTF">2017-09-28T12:54:00Z</dcterms:created>
  <dcterms:modified xsi:type="dcterms:W3CDTF">2017-09-28T12:54:00Z</dcterms:modified>
</cp:coreProperties>
</file>