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C4794" w14:textId="77777777" w:rsidR="00D73EE7" w:rsidRDefault="00D73E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bookmarkStart w:id="0" w:name="_GoBack"/>
      <w:bookmarkEnd w:id="0"/>
    </w:p>
    <w:p w14:paraId="6262C50A" w14:textId="77777777" w:rsidR="00D73EE7" w:rsidRDefault="00D73E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14:paraId="0210A2EB" w14:textId="77777777" w:rsidR="009174AD" w:rsidRDefault="00D73EE7" w:rsidP="006A6949">
      <w:pPr>
        <w:pStyle w:val="Heading1"/>
        <w:rPr>
          <w:rFonts w:ascii="Times New Roman" w:hAnsi="Times New Roman"/>
        </w:rPr>
      </w:pPr>
      <w:r w:rsidRPr="000D2DF6">
        <w:rPr>
          <w:rFonts w:ascii="Times New Roman" w:hAnsi="Times New Roman"/>
        </w:rPr>
        <w:t>Supporting Statement for Paperwork Reduction Act Submission</w:t>
      </w:r>
      <w:r w:rsidR="006A6949" w:rsidRPr="000D2DF6">
        <w:rPr>
          <w:rFonts w:ascii="Times New Roman" w:hAnsi="Times New Roman"/>
        </w:rPr>
        <w:t xml:space="preserve"> – Housing Opportunities for Persons With AIDS (HOPWA) </w:t>
      </w:r>
    </w:p>
    <w:p w14:paraId="022E0D64" w14:textId="69627ADF" w:rsidR="006A6949" w:rsidRPr="000D2DF6" w:rsidRDefault="006A6949" w:rsidP="006A6949">
      <w:pPr>
        <w:pStyle w:val="Heading1"/>
        <w:rPr>
          <w:rFonts w:ascii="Times New Roman" w:hAnsi="Times New Roman"/>
        </w:rPr>
      </w:pPr>
      <w:r w:rsidRPr="000D2DF6">
        <w:rPr>
          <w:rFonts w:ascii="Times New Roman" w:hAnsi="Times New Roman"/>
        </w:rPr>
        <w:t>OMB Control No. 2506-0133</w:t>
      </w:r>
    </w:p>
    <w:p w14:paraId="3BC4795D" w14:textId="77777777" w:rsidR="00D73EE7" w:rsidRDefault="00D73EE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14:paraId="2EE66D75" w14:textId="77777777" w:rsidR="004E185B" w:rsidRDefault="004E185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14:paraId="5901ECCE" w14:textId="77777777" w:rsidR="00D73EE7" w:rsidRPr="000D2DF6" w:rsidRDefault="00D73EE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rPr>
      </w:pPr>
      <w:r w:rsidRPr="000D2DF6">
        <w:rPr>
          <w:color w:val="000000"/>
          <w:sz w:val="22"/>
          <w:szCs w:val="22"/>
        </w:rPr>
        <w:t xml:space="preserve">A. </w:t>
      </w:r>
      <w:r w:rsidRPr="000D2DF6">
        <w:rPr>
          <w:color w:val="000000"/>
          <w:sz w:val="22"/>
          <w:szCs w:val="22"/>
        </w:rPr>
        <w:tab/>
        <w:t>Justification</w:t>
      </w:r>
    </w:p>
    <w:p w14:paraId="39E689BB" w14:textId="77777777" w:rsidR="004E185B" w:rsidRPr="000D2DF6" w:rsidRDefault="004E185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rPr>
      </w:pPr>
    </w:p>
    <w:p w14:paraId="5C3E9E2D" w14:textId="77777777" w:rsidR="004E185B" w:rsidRPr="000D2DF6" w:rsidRDefault="004E185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color w:val="000000"/>
          <w:sz w:val="22"/>
          <w:szCs w:val="22"/>
        </w:rPr>
      </w:pPr>
      <w:r w:rsidRPr="000D2DF6">
        <w:rPr>
          <w:b/>
          <w:color w:val="000000"/>
          <w:sz w:val="22"/>
          <w:szCs w:val="22"/>
        </w:rPr>
        <w:t>Introduction</w:t>
      </w:r>
    </w:p>
    <w:p w14:paraId="69471CFB" w14:textId="22FB5B58" w:rsidR="000B5C46" w:rsidRPr="00E2682D" w:rsidRDefault="000B5C46" w:rsidP="000B5C46">
      <w:pPr>
        <w:pStyle w:val="BodyTextIndent"/>
        <w:tabs>
          <w:tab w:val="clear" w:pos="360"/>
          <w:tab w:val="left" w:pos="0"/>
        </w:tabs>
        <w:ind w:left="0" w:firstLine="0"/>
        <w:rPr>
          <w:szCs w:val="22"/>
        </w:rPr>
      </w:pPr>
      <w:r w:rsidRPr="00E2682D">
        <w:rPr>
          <w:szCs w:val="22"/>
        </w:rPr>
        <w:t xml:space="preserve">This submission </w:t>
      </w:r>
      <w:r>
        <w:rPr>
          <w:szCs w:val="22"/>
        </w:rPr>
        <w:t xml:space="preserve">is to request </w:t>
      </w:r>
      <w:r w:rsidR="00796EE6">
        <w:rPr>
          <w:szCs w:val="22"/>
        </w:rPr>
        <w:t xml:space="preserve">an extension with </w:t>
      </w:r>
      <w:r>
        <w:rPr>
          <w:szCs w:val="22"/>
        </w:rPr>
        <w:t xml:space="preserve">revision </w:t>
      </w:r>
      <w:r w:rsidR="002E1334">
        <w:rPr>
          <w:szCs w:val="22"/>
        </w:rPr>
        <w:t xml:space="preserve">of a </w:t>
      </w:r>
      <w:r>
        <w:rPr>
          <w:szCs w:val="22"/>
        </w:rPr>
        <w:t xml:space="preserve">currently approved collection for the </w:t>
      </w:r>
      <w:r w:rsidR="002E1334">
        <w:rPr>
          <w:szCs w:val="22"/>
        </w:rPr>
        <w:t xml:space="preserve">application submission and </w:t>
      </w:r>
      <w:r>
        <w:rPr>
          <w:szCs w:val="22"/>
        </w:rPr>
        <w:t xml:space="preserve">reporting burden associated with </w:t>
      </w:r>
      <w:r w:rsidR="002E1334">
        <w:rPr>
          <w:szCs w:val="22"/>
        </w:rPr>
        <w:t xml:space="preserve">the Housing Opportunities for Persons </w:t>
      </w:r>
      <w:r w:rsidR="003016EA">
        <w:rPr>
          <w:szCs w:val="22"/>
        </w:rPr>
        <w:t>With</w:t>
      </w:r>
      <w:r w:rsidR="002E1334">
        <w:rPr>
          <w:szCs w:val="22"/>
        </w:rPr>
        <w:t xml:space="preserve"> AIDS (</w:t>
      </w:r>
      <w:r>
        <w:rPr>
          <w:szCs w:val="22"/>
        </w:rPr>
        <w:t>HOPWA</w:t>
      </w:r>
      <w:r w:rsidR="002E1334">
        <w:rPr>
          <w:szCs w:val="22"/>
        </w:rPr>
        <w:t>)</w:t>
      </w:r>
      <w:r>
        <w:rPr>
          <w:szCs w:val="22"/>
        </w:rPr>
        <w:t xml:space="preserve"> program. </w:t>
      </w:r>
      <w:r w:rsidRPr="00E2682D">
        <w:rPr>
          <w:szCs w:val="22"/>
        </w:rPr>
        <w:t xml:space="preserve">This submission </w:t>
      </w:r>
      <w:r w:rsidR="00116FD8">
        <w:rPr>
          <w:szCs w:val="22"/>
        </w:rPr>
        <w:t xml:space="preserve">will seek to maintain the current approval with </w:t>
      </w:r>
      <w:r>
        <w:rPr>
          <w:szCs w:val="22"/>
        </w:rPr>
        <w:t xml:space="preserve">a revision </w:t>
      </w:r>
      <w:r w:rsidR="00116FD8">
        <w:rPr>
          <w:szCs w:val="22"/>
        </w:rPr>
        <w:t>to add</w:t>
      </w:r>
      <w:r>
        <w:rPr>
          <w:szCs w:val="22"/>
        </w:rPr>
        <w:t xml:space="preserve"> application narratives </w:t>
      </w:r>
      <w:r w:rsidR="0088526D">
        <w:rPr>
          <w:szCs w:val="22"/>
        </w:rPr>
        <w:t xml:space="preserve">and all required forms </w:t>
      </w:r>
      <w:r>
        <w:rPr>
          <w:szCs w:val="22"/>
        </w:rPr>
        <w:t xml:space="preserve">for HOPWA competitive funding to </w:t>
      </w:r>
      <w:r w:rsidRPr="00E2682D">
        <w:rPr>
          <w:szCs w:val="22"/>
        </w:rPr>
        <w:t>the reporting burden</w:t>
      </w:r>
      <w:r w:rsidR="00D25D75">
        <w:rPr>
          <w:szCs w:val="22"/>
        </w:rPr>
        <w:t>,</w:t>
      </w:r>
      <w:r w:rsidR="00496EF5">
        <w:rPr>
          <w:szCs w:val="22"/>
        </w:rPr>
        <w:t xml:space="preserve"> and adjust</w:t>
      </w:r>
      <w:r w:rsidR="00116FD8">
        <w:rPr>
          <w:szCs w:val="22"/>
        </w:rPr>
        <w:t xml:space="preserve"> </w:t>
      </w:r>
      <w:r w:rsidR="00496EF5">
        <w:rPr>
          <w:szCs w:val="22"/>
        </w:rPr>
        <w:t xml:space="preserve">the public burden hours for actual number of </w:t>
      </w:r>
      <w:r w:rsidR="00183FA6">
        <w:rPr>
          <w:szCs w:val="22"/>
        </w:rPr>
        <w:t>respondents</w:t>
      </w:r>
      <w:r w:rsidRPr="00E2682D">
        <w:rPr>
          <w:szCs w:val="22"/>
        </w:rPr>
        <w:t xml:space="preserve"> covered by OMB control number 2506-</w:t>
      </w:r>
      <w:r>
        <w:rPr>
          <w:szCs w:val="22"/>
        </w:rPr>
        <w:t>0133</w:t>
      </w:r>
      <w:r w:rsidRPr="00E2682D">
        <w:rPr>
          <w:szCs w:val="22"/>
        </w:rPr>
        <w:t>.</w:t>
      </w:r>
      <w:r w:rsidR="002E1334">
        <w:rPr>
          <w:szCs w:val="22"/>
        </w:rPr>
        <w:t xml:space="preserve"> Additionally, the Department proposes minor revisions and technical edits to the forms covered under the current approval HUD-40110-B (HOPWA Competitive Application &amp; Renewal of Permanent Supportive Housing Project Budget Summary), HUD-40110-C (Annual Progress Report (APR) for competitive and renewal grantees), HUD-40110-D (</w:t>
      </w:r>
      <w:r w:rsidR="000D4B55">
        <w:rPr>
          <w:szCs w:val="22"/>
        </w:rPr>
        <w:t>Consolidated Annual Performance and Evaluation Report (CAPER) for formula grantees</w:t>
      </w:r>
      <w:r w:rsidR="002E1334">
        <w:rPr>
          <w:szCs w:val="22"/>
        </w:rPr>
        <w:t>). HUD is requesting a three</w:t>
      </w:r>
      <w:r w:rsidR="00136362">
        <w:rPr>
          <w:szCs w:val="22"/>
        </w:rPr>
        <w:t>-</w:t>
      </w:r>
      <w:r w:rsidR="002E1334">
        <w:rPr>
          <w:szCs w:val="22"/>
        </w:rPr>
        <w:t>year approval timeframe.</w:t>
      </w:r>
      <w:r w:rsidRPr="00E2682D">
        <w:rPr>
          <w:szCs w:val="22"/>
        </w:rPr>
        <w:t xml:space="preserve">  </w:t>
      </w:r>
    </w:p>
    <w:p w14:paraId="682FB3F4" w14:textId="77777777" w:rsidR="00D73EE7" w:rsidRPr="003B27A6" w:rsidRDefault="00D73E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rPr>
      </w:pPr>
    </w:p>
    <w:p w14:paraId="091791A1" w14:textId="77777777" w:rsidR="006A6949" w:rsidRPr="003B27A6" w:rsidRDefault="00D73EE7" w:rsidP="004E185B">
      <w:pPr>
        <w:pStyle w:val="BodyTextIndent"/>
        <w:rPr>
          <w:szCs w:val="22"/>
        </w:rPr>
      </w:pPr>
      <w:r w:rsidRPr="003B27A6">
        <w:rPr>
          <w:szCs w:val="22"/>
        </w:rPr>
        <w:t>1.</w:t>
      </w:r>
      <w:r w:rsidRPr="003B27A6">
        <w:rPr>
          <w:szCs w:val="22"/>
        </w:rPr>
        <w:tab/>
      </w:r>
      <w:r w:rsidR="004E185B" w:rsidRPr="003B27A6">
        <w:rPr>
          <w:szCs w:val="22"/>
        </w:rPr>
        <w:t>Need for Information Collection.</w:t>
      </w:r>
    </w:p>
    <w:p w14:paraId="683A75DF" w14:textId="5D28886F" w:rsidR="003B00BA" w:rsidRDefault="006A6949" w:rsidP="006A6949">
      <w:pPr>
        <w:rPr>
          <w:color w:val="000000"/>
          <w:sz w:val="22"/>
          <w:szCs w:val="22"/>
        </w:rPr>
      </w:pPr>
      <w:r w:rsidRPr="003B27A6">
        <w:rPr>
          <w:color w:val="000000"/>
          <w:sz w:val="22"/>
          <w:szCs w:val="22"/>
        </w:rPr>
        <w:t>The currently approved HOPWA paperwork collection expires on December 31, 2017, under OMB Control Number 2506-0133. HUD is requesting a revision of currently approved collection</w:t>
      </w:r>
      <w:r w:rsidR="000D4B55">
        <w:rPr>
          <w:color w:val="000000"/>
          <w:sz w:val="22"/>
          <w:szCs w:val="22"/>
        </w:rPr>
        <w:t xml:space="preserve"> and technical edits to currently approved forms HUD-40110-B, C, and D</w:t>
      </w:r>
      <w:r w:rsidRPr="003B27A6">
        <w:rPr>
          <w:color w:val="000000"/>
          <w:sz w:val="22"/>
          <w:szCs w:val="22"/>
        </w:rPr>
        <w:t xml:space="preserve">. </w:t>
      </w:r>
      <w:r w:rsidR="00696B16" w:rsidRPr="003B27A6">
        <w:rPr>
          <w:color w:val="000000"/>
          <w:sz w:val="22"/>
          <w:szCs w:val="22"/>
        </w:rPr>
        <w:t xml:space="preserve">This revision request is for competitive grant application narratives </w:t>
      </w:r>
      <w:r w:rsidR="00183FA6">
        <w:rPr>
          <w:color w:val="000000"/>
          <w:sz w:val="22"/>
          <w:szCs w:val="22"/>
        </w:rPr>
        <w:t>and</w:t>
      </w:r>
      <w:r w:rsidR="0088526D">
        <w:rPr>
          <w:color w:val="000000"/>
          <w:sz w:val="22"/>
          <w:szCs w:val="22"/>
        </w:rPr>
        <w:t xml:space="preserve"> all required forms </w:t>
      </w:r>
      <w:r w:rsidR="00696B16" w:rsidRPr="003B27A6">
        <w:rPr>
          <w:color w:val="000000"/>
          <w:sz w:val="22"/>
          <w:szCs w:val="22"/>
        </w:rPr>
        <w:t xml:space="preserve">to be added to the current approval. This revision would allow HOPWA to solicit applications for </w:t>
      </w:r>
      <w:r w:rsidR="005D1AB4">
        <w:rPr>
          <w:color w:val="000000"/>
          <w:sz w:val="22"/>
          <w:szCs w:val="22"/>
        </w:rPr>
        <w:t xml:space="preserve">a </w:t>
      </w:r>
      <w:r w:rsidR="00696B16" w:rsidRPr="003B27A6">
        <w:rPr>
          <w:color w:val="000000"/>
          <w:sz w:val="22"/>
          <w:szCs w:val="22"/>
        </w:rPr>
        <w:t>HOPWA grant competition</w:t>
      </w:r>
      <w:r w:rsidR="005D1AB4">
        <w:rPr>
          <w:color w:val="000000"/>
          <w:sz w:val="22"/>
          <w:szCs w:val="22"/>
        </w:rPr>
        <w:t xml:space="preserve"> (pending funding availability)</w:t>
      </w:r>
      <w:r w:rsidR="00696B16" w:rsidRPr="003B27A6">
        <w:rPr>
          <w:color w:val="000000"/>
          <w:sz w:val="22"/>
          <w:szCs w:val="22"/>
        </w:rPr>
        <w:t xml:space="preserve"> with an insignificant change to the current approval.</w:t>
      </w:r>
      <w:r w:rsidR="004E185B" w:rsidRPr="003B27A6">
        <w:rPr>
          <w:color w:val="000000"/>
          <w:sz w:val="22"/>
          <w:szCs w:val="22"/>
        </w:rPr>
        <w:t xml:space="preserve"> </w:t>
      </w:r>
      <w:r w:rsidRPr="003B27A6">
        <w:rPr>
          <w:color w:val="000000"/>
          <w:sz w:val="22"/>
          <w:szCs w:val="22"/>
        </w:rPr>
        <w:t xml:space="preserve">Due to lack of funding availability for a new HOPWA grant competition in recent years, grant application narratives have not been needed or included in this PRA request. </w:t>
      </w:r>
      <w:r w:rsidR="00915D7F">
        <w:rPr>
          <w:color w:val="000000"/>
          <w:sz w:val="22"/>
          <w:szCs w:val="22"/>
        </w:rPr>
        <w:t>Previously narratives</w:t>
      </w:r>
      <w:r w:rsidR="0088526D">
        <w:rPr>
          <w:color w:val="000000"/>
          <w:sz w:val="22"/>
          <w:szCs w:val="22"/>
        </w:rPr>
        <w:t xml:space="preserve"> and other requirements</w:t>
      </w:r>
      <w:r w:rsidR="00915D7F">
        <w:rPr>
          <w:color w:val="000000"/>
          <w:sz w:val="22"/>
          <w:szCs w:val="22"/>
        </w:rPr>
        <w:t xml:space="preserve"> were </w:t>
      </w:r>
      <w:r w:rsidR="0088526D">
        <w:rPr>
          <w:color w:val="000000"/>
          <w:sz w:val="22"/>
          <w:szCs w:val="22"/>
        </w:rPr>
        <w:t xml:space="preserve">covered by other information collection approvals </w:t>
      </w:r>
      <w:r w:rsidR="00D25D75">
        <w:rPr>
          <w:color w:val="000000"/>
          <w:sz w:val="22"/>
          <w:szCs w:val="22"/>
        </w:rPr>
        <w:t xml:space="preserve">through </w:t>
      </w:r>
      <w:r w:rsidR="00915D7F">
        <w:rPr>
          <w:color w:val="000000"/>
          <w:sz w:val="22"/>
          <w:szCs w:val="22"/>
        </w:rPr>
        <w:t xml:space="preserve">a </w:t>
      </w:r>
      <w:r w:rsidR="000C2A55">
        <w:rPr>
          <w:color w:val="000000"/>
          <w:sz w:val="22"/>
          <w:szCs w:val="22"/>
        </w:rPr>
        <w:t xml:space="preserve">Super Notice of Funding Availability (SuperNOFA) </w:t>
      </w:r>
      <w:r w:rsidR="00915D7F">
        <w:rPr>
          <w:color w:val="000000"/>
          <w:sz w:val="22"/>
          <w:szCs w:val="22"/>
        </w:rPr>
        <w:t xml:space="preserve">for Housing and Community Development Programs, but now HOPWA must </w:t>
      </w:r>
      <w:r w:rsidR="0088526D">
        <w:rPr>
          <w:color w:val="000000"/>
          <w:sz w:val="22"/>
          <w:szCs w:val="22"/>
        </w:rPr>
        <w:t xml:space="preserve">publish an individual program </w:t>
      </w:r>
      <w:r w:rsidR="002C06E8">
        <w:rPr>
          <w:color w:val="000000"/>
          <w:sz w:val="22"/>
          <w:szCs w:val="22"/>
        </w:rPr>
        <w:t>Notice of Funding Availability (</w:t>
      </w:r>
      <w:r w:rsidR="0088526D">
        <w:rPr>
          <w:color w:val="000000"/>
          <w:sz w:val="22"/>
          <w:szCs w:val="22"/>
        </w:rPr>
        <w:t>NOFA</w:t>
      </w:r>
      <w:r w:rsidR="002C06E8">
        <w:rPr>
          <w:color w:val="000000"/>
          <w:sz w:val="22"/>
          <w:szCs w:val="22"/>
        </w:rPr>
        <w:t>)</w:t>
      </w:r>
      <w:r w:rsidR="0088526D">
        <w:rPr>
          <w:color w:val="000000"/>
          <w:sz w:val="22"/>
          <w:szCs w:val="22"/>
        </w:rPr>
        <w:t xml:space="preserve"> and </w:t>
      </w:r>
      <w:r w:rsidR="00915D7F">
        <w:rPr>
          <w:color w:val="000000"/>
          <w:sz w:val="22"/>
          <w:szCs w:val="22"/>
        </w:rPr>
        <w:t xml:space="preserve">establish criteria for each rating factor in a HOPWA NOFA. </w:t>
      </w:r>
      <w:r w:rsidRPr="003B27A6">
        <w:rPr>
          <w:color w:val="000000"/>
          <w:sz w:val="22"/>
          <w:szCs w:val="22"/>
        </w:rPr>
        <w:t xml:space="preserve">Application Requirements for HOPWA competitive grants are addressed </w:t>
      </w:r>
      <w:r w:rsidR="003B00BA">
        <w:rPr>
          <w:color w:val="000000"/>
          <w:sz w:val="22"/>
          <w:szCs w:val="22"/>
        </w:rPr>
        <w:t xml:space="preserve">in the HOPWA statute at </w:t>
      </w:r>
      <w:r w:rsidR="003B00BA">
        <w:t>42 U.S.C. 12901-12</w:t>
      </w:r>
      <w:r w:rsidR="003B00BA">
        <w:rPr>
          <w:color w:val="000000"/>
          <w:sz w:val="22"/>
          <w:szCs w:val="22"/>
        </w:rPr>
        <w:t xml:space="preserve"> and the corresponding regulations at </w:t>
      </w:r>
      <w:r w:rsidR="00696B16" w:rsidRPr="003B27A6">
        <w:rPr>
          <w:color w:val="000000"/>
          <w:sz w:val="22"/>
          <w:szCs w:val="22"/>
        </w:rPr>
        <w:t xml:space="preserve">24 CFR </w:t>
      </w:r>
      <w:r w:rsidR="0088526D">
        <w:rPr>
          <w:color w:val="000000"/>
          <w:sz w:val="22"/>
          <w:szCs w:val="22"/>
        </w:rPr>
        <w:t xml:space="preserve">Part </w:t>
      </w:r>
      <w:r w:rsidR="00696B16" w:rsidRPr="003B27A6">
        <w:rPr>
          <w:color w:val="000000"/>
          <w:sz w:val="22"/>
          <w:szCs w:val="22"/>
        </w:rPr>
        <w:t>574.</w:t>
      </w:r>
      <w:r w:rsidR="003B00BA">
        <w:rPr>
          <w:color w:val="000000"/>
          <w:sz w:val="22"/>
          <w:szCs w:val="22"/>
        </w:rPr>
        <w:t xml:space="preserve"> The statute includes:</w:t>
      </w:r>
    </w:p>
    <w:p w14:paraId="25C8E88B" w14:textId="77777777" w:rsidR="003B00BA" w:rsidRDefault="003B00BA" w:rsidP="006A6949">
      <w:pPr>
        <w:rPr>
          <w:color w:val="000000"/>
          <w:sz w:val="22"/>
          <w:szCs w:val="22"/>
        </w:rPr>
      </w:pPr>
    </w:p>
    <w:p w14:paraId="278DF1FE" w14:textId="77777777" w:rsidR="003B00BA" w:rsidRPr="000D2DF6" w:rsidRDefault="003B00BA" w:rsidP="000D2DF6">
      <w:pPr>
        <w:numPr>
          <w:ilvl w:val="0"/>
          <w:numId w:val="15"/>
        </w:numPr>
        <w:ind w:left="720"/>
        <w:rPr>
          <w:color w:val="000000"/>
          <w:sz w:val="22"/>
          <w:szCs w:val="22"/>
        </w:rPr>
      </w:pPr>
      <w:r w:rsidRPr="000D2DF6">
        <w:rPr>
          <w:color w:val="000000"/>
          <w:sz w:val="22"/>
          <w:szCs w:val="22"/>
        </w:rPr>
        <w:t>42 U.S.C. 12903(d). Applications. Funds made available under this section shall be allocated among applications submitted by applicants and approved by the Secretary. Applications for assistance under this section shall be submitted by an applicant in such form and in accordance with such procedures as the Secretary shall establish. Such applications shall contain—</w:t>
      </w:r>
    </w:p>
    <w:p w14:paraId="0B895A6B" w14:textId="77777777" w:rsidR="003B00BA" w:rsidRPr="000D2DF6" w:rsidRDefault="003B00BA" w:rsidP="000D2DF6">
      <w:pPr>
        <w:pStyle w:val="statutory-body-1em"/>
        <w:spacing w:before="0" w:beforeAutospacing="0" w:after="0" w:afterAutospacing="0"/>
        <w:ind w:left="990" w:hanging="30"/>
        <w:rPr>
          <w:color w:val="000000"/>
          <w:sz w:val="22"/>
          <w:szCs w:val="22"/>
        </w:rPr>
      </w:pPr>
      <w:bookmarkStart w:id="1" w:name="substructure-location_d_1"/>
      <w:bookmarkStart w:id="2" w:name="substructure-location_d_2"/>
      <w:bookmarkStart w:id="3" w:name="substructure-location_d_3"/>
      <w:bookmarkStart w:id="4" w:name="substructure-location_d_4"/>
      <w:bookmarkStart w:id="5" w:name="substructure-location_d_5"/>
      <w:bookmarkStart w:id="6" w:name="substructure-location_d_6"/>
      <w:bookmarkEnd w:id="1"/>
      <w:bookmarkEnd w:id="2"/>
      <w:bookmarkEnd w:id="3"/>
      <w:bookmarkEnd w:id="4"/>
      <w:bookmarkEnd w:id="5"/>
      <w:bookmarkEnd w:id="6"/>
      <w:r w:rsidRPr="000D2DF6">
        <w:rPr>
          <w:color w:val="000000"/>
          <w:sz w:val="22"/>
          <w:szCs w:val="22"/>
        </w:rPr>
        <w:t>(1) a description of the proposed activities;</w:t>
      </w:r>
    </w:p>
    <w:p w14:paraId="2F5E76BD" w14:textId="77777777" w:rsidR="003B00BA" w:rsidRPr="000D2DF6" w:rsidRDefault="003B00BA" w:rsidP="000D2DF6">
      <w:pPr>
        <w:pStyle w:val="statutory-body-1em"/>
        <w:spacing w:before="0" w:beforeAutospacing="0" w:after="0" w:afterAutospacing="0"/>
        <w:ind w:left="990" w:hanging="30"/>
        <w:rPr>
          <w:color w:val="000000"/>
          <w:sz w:val="22"/>
          <w:szCs w:val="22"/>
        </w:rPr>
      </w:pPr>
      <w:r w:rsidRPr="000D2DF6">
        <w:rPr>
          <w:color w:val="000000"/>
          <w:sz w:val="22"/>
          <w:szCs w:val="22"/>
        </w:rPr>
        <w:t>(2) a description of the size and characteristics of the population that would be served by the proposed activities;</w:t>
      </w:r>
    </w:p>
    <w:p w14:paraId="55FE0F85" w14:textId="77777777" w:rsidR="003B00BA" w:rsidRPr="000D2DF6" w:rsidRDefault="003B00BA" w:rsidP="000D2DF6">
      <w:pPr>
        <w:pStyle w:val="statutory-body-1em"/>
        <w:spacing w:before="0" w:beforeAutospacing="0" w:after="0" w:afterAutospacing="0"/>
        <w:ind w:left="990" w:hanging="30"/>
        <w:rPr>
          <w:color w:val="000000"/>
          <w:sz w:val="22"/>
          <w:szCs w:val="22"/>
        </w:rPr>
      </w:pPr>
      <w:r w:rsidRPr="000D2DF6">
        <w:rPr>
          <w:color w:val="000000"/>
          <w:sz w:val="22"/>
          <w:szCs w:val="22"/>
        </w:rPr>
        <w:t>(3) a description of the public and private resources that are expected to be made available in connection with the proposed activities;</w:t>
      </w:r>
    </w:p>
    <w:p w14:paraId="0EA63983" w14:textId="77777777" w:rsidR="003B00BA" w:rsidRPr="000D2DF6" w:rsidRDefault="003B00BA" w:rsidP="000D2DF6">
      <w:pPr>
        <w:pStyle w:val="statutory-body-1em"/>
        <w:spacing w:before="0" w:beforeAutospacing="0" w:after="0" w:afterAutospacing="0"/>
        <w:ind w:left="990" w:hanging="30"/>
        <w:rPr>
          <w:color w:val="000000"/>
          <w:sz w:val="22"/>
          <w:szCs w:val="22"/>
        </w:rPr>
      </w:pPr>
      <w:r w:rsidRPr="000D2DF6">
        <w:rPr>
          <w:color w:val="000000"/>
          <w:sz w:val="22"/>
          <w:szCs w:val="22"/>
        </w:rPr>
        <w:t>(4) assurances satisfactory to the Secretary that any property purchased, leased, rehabilitated, renovated, or converted with assistance under this section shall be operated for not less than 10 years for the purpose specified in the application, except as otherwise specified in this chapter;</w:t>
      </w:r>
    </w:p>
    <w:p w14:paraId="19F9020D" w14:textId="77777777" w:rsidR="003B00BA" w:rsidRPr="000D2DF6" w:rsidRDefault="003B00BA" w:rsidP="000D2DF6">
      <w:pPr>
        <w:pStyle w:val="statutory-body-1em"/>
        <w:spacing w:before="0" w:beforeAutospacing="0" w:after="0" w:afterAutospacing="0"/>
        <w:ind w:left="990" w:hanging="30"/>
        <w:rPr>
          <w:color w:val="000000"/>
          <w:sz w:val="22"/>
          <w:szCs w:val="22"/>
        </w:rPr>
      </w:pPr>
      <w:r w:rsidRPr="000D2DF6">
        <w:rPr>
          <w:color w:val="000000"/>
          <w:sz w:val="22"/>
          <w:szCs w:val="22"/>
        </w:rPr>
        <w:t>(5) evidence in a form acceptable to the Secretary that the proposed activities will meet urgent needs that are not being met by available public and private sources; and</w:t>
      </w:r>
    </w:p>
    <w:p w14:paraId="00D06DB1" w14:textId="77777777" w:rsidR="003B00BA" w:rsidRPr="000D2DF6" w:rsidRDefault="003B00BA" w:rsidP="000D2DF6">
      <w:pPr>
        <w:pStyle w:val="statutory-body-1em"/>
        <w:spacing w:before="0" w:beforeAutospacing="0" w:after="0" w:afterAutospacing="0"/>
        <w:ind w:left="990" w:hanging="30"/>
        <w:rPr>
          <w:color w:val="000000"/>
          <w:sz w:val="22"/>
          <w:szCs w:val="22"/>
        </w:rPr>
      </w:pPr>
      <w:r w:rsidRPr="000D2DF6">
        <w:rPr>
          <w:color w:val="000000"/>
          <w:sz w:val="22"/>
          <w:szCs w:val="22"/>
        </w:rPr>
        <w:t>(6) such other information or certifications that the Secretary determines to be necessary to achieve the purposes of this section.</w:t>
      </w:r>
    </w:p>
    <w:p w14:paraId="570CBEEB" w14:textId="77777777" w:rsidR="003B00BA" w:rsidRDefault="003B00BA" w:rsidP="006A6949">
      <w:pPr>
        <w:rPr>
          <w:color w:val="000000"/>
          <w:sz w:val="22"/>
          <w:szCs w:val="22"/>
        </w:rPr>
      </w:pPr>
    </w:p>
    <w:p w14:paraId="1F05303D" w14:textId="77777777" w:rsidR="00696B16" w:rsidRPr="003B27A6" w:rsidRDefault="004E185B" w:rsidP="006A6949">
      <w:pPr>
        <w:rPr>
          <w:color w:val="000000"/>
          <w:sz w:val="22"/>
          <w:szCs w:val="22"/>
        </w:rPr>
      </w:pPr>
      <w:r w:rsidRPr="003B27A6">
        <w:rPr>
          <w:color w:val="000000"/>
          <w:sz w:val="22"/>
          <w:szCs w:val="22"/>
        </w:rPr>
        <w:lastRenderedPageBreak/>
        <w:t>The regulations requiring narratives for HOPWA grant applications include:</w:t>
      </w:r>
    </w:p>
    <w:p w14:paraId="2518648F" w14:textId="77777777" w:rsidR="004E185B" w:rsidRPr="003B27A6" w:rsidRDefault="004E185B" w:rsidP="006A6949">
      <w:pPr>
        <w:rPr>
          <w:color w:val="000000"/>
          <w:sz w:val="22"/>
          <w:szCs w:val="22"/>
        </w:rPr>
      </w:pPr>
    </w:p>
    <w:p w14:paraId="33D697F8" w14:textId="77070581" w:rsidR="004E185B" w:rsidRPr="003B27A6" w:rsidRDefault="004E185B" w:rsidP="004E185B">
      <w:pPr>
        <w:numPr>
          <w:ilvl w:val="0"/>
          <w:numId w:val="12"/>
        </w:numPr>
        <w:rPr>
          <w:color w:val="000000"/>
          <w:sz w:val="22"/>
          <w:szCs w:val="22"/>
        </w:rPr>
      </w:pPr>
      <w:r w:rsidRPr="003B27A6">
        <w:rPr>
          <w:color w:val="000000"/>
          <w:sz w:val="22"/>
          <w:szCs w:val="22"/>
        </w:rPr>
        <w:t xml:space="preserve">24 CFR 574.200(c). The competitive grants are awarded based on applications, as described in subpart C of this part, submitted in response to a </w:t>
      </w:r>
      <w:r w:rsidR="000C2A55">
        <w:rPr>
          <w:color w:val="000000"/>
          <w:sz w:val="22"/>
          <w:szCs w:val="22"/>
        </w:rPr>
        <w:t>NOFA</w:t>
      </w:r>
      <w:r w:rsidRPr="003B27A6">
        <w:rPr>
          <w:color w:val="000000"/>
          <w:sz w:val="22"/>
          <w:szCs w:val="22"/>
        </w:rPr>
        <w:t xml:space="preserve"> published in the FEDERAL REGISTER. All States and units of general local government and nonprofit organizations are eligible to apply for competitive grants to fund projects of national significance. Only those States and units of general local government that do not qualify for formula allocations are eligible to apply for competitive grants to fund other projects.</w:t>
      </w:r>
    </w:p>
    <w:p w14:paraId="4A90CCA6" w14:textId="1E6CC546" w:rsidR="00696B16" w:rsidRPr="003B27A6" w:rsidRDefault="004E185B" w:rsidP="004E185B">
      <w:pPr>
        <w:numPr>
          <w:ilvl w:val="0"/>
          <w:numId w:val="12"/>
        </w:numPr>
        <w:rPr>
          <w:color w:val="000000"/>
          <w:sz w:val="22"/>
          <w:szCs w:val="22"/>
        </w:rPr>
      </w:pPr>
      <w:r w:rsidRPr="003B27A6">
        <w:rPr>
          <w:color w:val="000000"/>
          <w:sz w:val="22"/>
          <w:szCs w:val="22"/>
        </w:rPr>
        <w:t xml:space="preserve">24 CFR </w:t>
      </w:r>
      <w:r w:rsidR="00696B16" w:rsidRPr="003B27A6">
        <w:rPr>
          <w:color w:val="000000"/>
          <w:sz w:val="22"/>
          <w:szCs w:val="22"/>
        </w:rPr>
        <w:t>574.240</w:t>
      </w:r>
      <w:r w:rsidR="005D1AB4">
        <w:rPr>
          <w:color w:val="000000"/>
          <w:sz w:val="22"/>
          <w:szCs w:val="22"/>
        </w:rPr>
        <w:t>.</w:t>
      </w:r>
      <w:r w:rsidR="00696B16" w:rsidRPr="003B27A6">
        <w:rPr>
          <w:color w:val="000000"/>
          <w:sz w:val="22"/>
          <w:szCs w:val="22"/>
        </w:rPr>
        <w:t> Application requirements. Applications must comply with the provisions of the Department's NOFA for the fiscal year published in the Federal Register in accordance with 24 CFR part 12. The rating criteria, including the point value for each, are described in the NOFA, including criteria determined by the Secretary.</w:t>
      </w:r>
    </w:p>
    <w:p w14:paraId="3007E80E" w14:textId="77777777" w:rsidR="00696B16" w:rsidRPr="003B27A6" w:rsidRDefault="00696B16" w:rsidP="006A6949">
      <w:pPr>
        <w:rPr>
          <w:color w:val="000000"/>
          <w:sz w:val="22"/>
          <w:szCs w:val="22"/>
        </w:rPr>
      </w:pPr>
    </w:p>
    <w:p w14:paraId="3A5E1C34" w14:textId="77777777" w:rsidR="00796EE6" w:rsidRDefault="00796EE6" w:rsidP="006A6949">
      <w:r>
        <w:rPr>
          <w:color w:val="000000"/>
          <w:sz w:val="22"/>
          <w:szCs w:val="22"/>
        </w:rPr>
        <w:t xml:space="preserve">The regulations cited above refer to the FEDERAL REGISTER, but it should be clarified that NOFAs are now published on Grants.gov. </w:t>
      </w:r>
      <w:r>
        <w:t>HUD is no longer required to publish NOFAs in the Federal Register. Section 233 of the Department of HUD Appropriations Act, 2009, Pub. L. No. 111-8, Div. I, Title II (Mar. 11, 2009) authorized HUD in 2009 and thereafter to publish NOFAs on the web.</w:t>
      </w:r>
    </w:p>
    <w:p w14:paraId="476CDCCB" w14:textId="77777777" w:rsidR="00796EE6" w:rsidRDefault="00796EE6" w:rsidP="006A6949">
      <w:pPr>
        <w:rPr>
          <w:color w:val="000000"/>
          <w:sz w:val="22"/>
          <w:szCs w:val="22"/>
        </w:rPr>
      </w:pPr>
    </w:p>
    <w:p w14:paraId="365F32C9" w14:textId="77777777" w:rsidR="006A6949" w:rsidRPr="003B27A6" w:rsidRDefault="006A6949" w:rsidP="006A6949">
      <w:pPr>
        <w:rPr>
          <w:color w:val="000000"/>
          <w:sz w:val="22"/>
          <w:szCs w:val="22"/>
        </w:rPr>
      </w:pPr>
      <w:r w:rsidRPr="003B27A6">
        <w:rPr>
          <w:color w:val="000000"/>
          <w:sz w:val="22"/>
          <w:szCs w:val="22"/>
        </w:rPr>
        <w:t xml:space="preserve">HUD has established five standard rating factors to evaluate applications and determine whether an applicant will be awarded funding in the General Section to HUD's </w:t>
      </w:r>
      <w:r w:rsidR="00A833A7">
        <w:rPr>
          <w:color w:val="000000"/>
          <w:sz w:val="22"/>
          <w:szCs w:val="22"/>
        </w:rPr>
        <w:t xml:space="preserve">annual </w:t>
      </w:r>
      <w:r w:rsidRPr="003B27A6">
        <w:rPr>
          <w:color w:val="000000"/>
          <w:sz w:val="22"/>
          <w:szCs w:val="22"/>
        </w:rPr>
        <w:t>Notice[s] of Funding Availability for Discretionary Programs (General Section)</w:t>
      </w:r>
      <w:r w:rsidR="00A833A7">
        <w:rPr>
          <w:color w:val="000000"/>
          <w:sz w:val="22"/>
          <w:szCs w:val="22"/>
        </w:rPr>
        <w:t xml:space="preserve">. </w:t>
      </w:r>
      <w:r w:rsidRPr="003B27A6">
        <w:rPr>
          <w:color w:val="000000"/>
          <w:sz w:val="22"/>
          <w:szCs w:val="22"/>
        </w:rPr>
        <w:t xml:space="preserve">Applicants applying for HUD competitive funds are required to respond to these five rating factors in narrative form. These narratives complement the </w:t>
      </w:r>
      <w:r w:rsidR="00A833A7">
        <w:rPr>
          <w:color w:val="000000"/>
          <w:sz w:val="22"/>
          <w:szCs w:val="22"/>
        </w:rPr>
        <w:t xml:space="preserve">HOPWA </w:t>
      </w:r>
      <w:r w:rsidRPr="003B27A6">
        <w:rPr>
          <w:color w:val="000000"/>
          <w:sz w:val="22"/>
          <w:szCs w:val="22"/>
        </w:rPr>
        <w:t>budget form</w:t>
      </w:r>
      <w:r w:rsidR="00A833A7">
        <w:rPr>
          <w:color w:val="000000"/>
          <w:sz w:val="22"/>
          <w:szCs w:val="22"/>
        </w:rPr>
        <w:t xml:space="preserve"> (HUD-40110-B)</w:t>
      </w:r>
      <w:r w:rsidRPr="003B27A6">
        <w:rPr>
          <w:color w:val="000000"/>
          <w:sz w:val="22"/>
          <w:szCs w:val="22"/>
        </w:rPr>
        <w:t xml:space="preserve"> currently approved, and allow HOPWA to determine if applicants are proposing projects within statutory and regulatory limitations. The five HUD standard rating factors include: Factor 1: Capacity of the Applicant and Relevant Organizational Staff; Factor 2: Need/Extent of the Problem; Factor 3: Soundness of Approach; Factor 4: Leveraging Resources; and Factor 5: Achieving Results and Program Evaluation. Applicants will be required to respond to each rating factor within the page limits establish in the grant solicitation.</w:t>
      </w:r>
    </w:p>
    <w:p w14:paraId="7D2C1717" w14:textId="77777777" w:rsidR="00062554" w:rsidRDefault="00062554" w:rsidP="00345A0F">
      <w:pPr>
        <w:pStyle w:val="BodyTextIndent2"/>
        <w:ind w:left="0"/>
        <w:rPr>
          <w:szCs w:val="22"/>
        </w:rPr>
      </w:pPr>
    </w:p>
    <w:p w14:paraId="1F7ED7E6" w14:textId="77777777" w:rsidR="00062554" w:rsidRDefault="00062554" w:rsidP="00345A0F">
      <w:pPr>
        <w:pStyle w:val="BodyTextIndent2"/>
        <w:ind w:left="0"/>
        <w:rPr>
          <w:szCs w:val="22"/>
        </w:rPr>
      </w:pPr>
      <w:r>
        <w:rPr>
          <w:szCs w:val="22"/>
        </w:rPr>
        <w:t xml:space="preserve">The </w:t>
      </w:r>
      <w:r w:rsidRPr="003B27A6">
        <w:rPr>
          <w:szCs w:val="22"/>
        </w:rPr>
        <w:t xml:space="preserve">currently approved HOPWA paperwork collection </w:t>
      </w:r>
      <w:r>
        <w:rPr>
          <w:szCs w:val="22"/>
        </w:rPr>
        <w:t xml:space="preserve">also covers reporting and recordkeeping requirements for both HOPWA formula and competitive grant programs. The </w:t>
      </w:r>
      <w:r w:rsidR="00DB2F37">
        <w:rPr>
          <w:szCs w:val="22"/>
        </w:rPr>
        <w:t xml:space="preserve">HOPWA statute and corresponding </w:t>
      </w:r>
      <w:r>
        <w:rPr>
          <w:szCs w:val="22"/>
        </w:rPr>
        <w:t>regulations requiring reporting and recordkeeping are listed below:</w:t>
      </w:r>
    </w:p>
    <w:p w14:paraId="602D66D9" w14:textId="77777777" w:rsidR="003B00BA" w:rsidRPr="002E1334" w:rsidRDefault="00DB2F37" w:rsidP="000D2DF6">
      <w:pPr>
        <w:pStyle w:val="BodyTextIndent2"/>
        <w:numPr>
          <w:ilvl w:val="0"/>
          <w:numId w:val="16"/>
        </w:numPr>
        <w:tabs>
          <w:tab w:val="clear" w:pos="360"/>
        </w:tabs>
        <w:spacing w:after="0"/>
        <w:rPr>
          <w:szCs w:val="22"/>
        </w:rPr>
      </w:pPr>
      <w:r w:rsidRPr="002E1334">
        <w:rPr>
          <w:szCs w:val="22"/>
        </w:rPr>
        <w:t xml:space="preserve">42 U.S.C. 12911. Report. </w:t>
      </w:r>
      <w:r w:rsidR="003B00BA" w:rsidRPr="000D2DF6">
        <w:rPr>
          <w:szCs w:val="22"/>
        </w:rPr>
        <w:t>Any organization or agency that receives a grant under this chapter shall submit to the Secretary, for any fiscal year in which the organization or agency receives a grant under this chapter, a report describing the use of the amounts received, which shall include the number of individuals assisted, the types of assistance provided, and any other information that the Secretary determines to be appropriate.</w:t>
      </w:r>
    </w:p>
    <w:p w14:paraId="48CF79EF" w14:textId="77777777" w:rsidR="00062554" w:rsidRDefault="00062554" w:rsidP="000D2DF6">
      <w:pPr>
        <w:pStyle w:val="Heading2"/>
        <w:numPr>
          <w:ilvl w:val="0"/>
          <w:numId w:val="14"/>
        </w:numPr>
        <w:shd w:val="clear" w:color="auto" w:fill="FFFFFF"/>
        <w:spacing w:before="0" w:after="0"/>
        <w:rPr>
          <w:rFonts w:ascii="Times New Roman" w:hAnsi="Times New Roman"/>
          <w:b w:val="0"/>
          <w:bCs w:val="0"/>
          <w:i w:val="0"/>
          <w:iCs w:val="0"/>
          <w:color w:val="000000"/>
          <w:sz w:val="22"/>
          <w:szCs w:val="22"/>
        </w:rPr>
      </w:pPr>
      <w:r>
        <w:rPr>
          <w:rFonts w:ascii="Times New Roman" w:hAnsi="Times New Roman"/>
          <w:b w:val="0"/>
          <w:bCs w:val="0"/>
          <w:i w:val="0"/>
          <w:iCs w:val="0"/>
          <w:color w:val="000000"/>
          <w:sz w:val="22"/>
          <w:szCs w:val="22"/>
        </w:rPr>
        <w:t xml:space="preserve">24 CFR </w:t>
      </w:r>
      <w:r w:rsidRPr="000D2DF6">
        <w:rPr>
          <w:rFonts w:ascii="Times New Roman" w:hAnsi="Times New Roman"/>
          <w:b w:val="0"/>
          <w:bCs w:val="0"/>
          <w:i w:val="0"/>
          <w:iCs w:val="0"/>
          <w:color w:val="000000"/>
          <w:sz w:val="22"/>
          <w:szCs w:val="22"/>
        </w:rPr>
        <w:t xml:space="preserve">574.520. Performance reports. </w:t>
      </w:r>
    </w:p>
    <w:p w14:paraId="5A859D44" w14:textId="77777777" w:rsidR="00062554" w:rsidRDefault="00062554" w:rsidP="000D2DF6">
      <w:pPr>
        <w:pStyle w:val="Heading2"/>
        <w:shd w:val="clear" w:color="auto" w:fill="FFFFFF"/>
        <w:spacing w:before="0" w:after="0"/>
        <w:ind w:left="1080"/>
        <w:rPr>
          <w:rFonts w:ascii="Times New Roman" w:hAnsi="Times New Roman"/>
          <w:b w:val="0"/>
          <w:bCs w:val="0"/>
          <w:i w:val="0"/>
          <w:iCs w:val="0"/>
          <w:color w:val="000000"/>
          <w:sz w:val="22"/>
          <w:szCs w:val="22"/>
        </w:rPr>
      </w:pPr>
      <w:r w:rsidRPr="000D2DF6">
        <w:rPr>
          <w:rFonts w:ascii="Times New Roman" w:hAnsi="Times New Roman"/>
          <w:b w:val="0"/>
          <w:bCs w:val="0"/>
          <w:i w:val="0"/>
          <w:iCs w:val="0"/>
          <w:color w:val="000000"/>
          <w:sz w:val="22"/>
          <w:szCs w:val="22"/>
        </w:rPr>
        <w:t>(a)</w:t>
      </w:r>
      <w:r w:rsidRPr="000D2DF6">
        <w:rPr>
          <w:rFonts w:ascii="Times New Roman" w:hAnsi="Times New Roman"/>
          <w:b w:val="0"/>
          <w:bCs w:val="0"/>
          <w:i w:val="0"/>
          <w:iCs w:val="0"/>
          <w:sz w:val="22"/>
          <w:szCs w:val="22"/>
        </w:rPr>
        <w:t> </w:t>
      </w:r>
      <w:r w:rsidRPr="000D2DF6">
        <w:rPr>
          <w:rFonts w:ascii="Times New Roman" w:hAnsi="Times New Roman"/>
          <w:b w:val="0"/>
          <w:bCs w:val="0"/>
          <w:i w:val="0"/>
          <w:iCs w:val="0"/>
          <w:color w:val="000000"/>
          <w:sz w:val="22"/>
          <w:szCs w:val="22"/>
        </w:rPr>
        <w:t>Formula grants.</w:t>
      </w:r>
      <w:r w:rsidRPr="000D2DF6">
        <w:rPr>
          <w:rFonts w:ascii="Times New Roman" w:hAnsi="Times New Roman"/>
          <w:b w:val="0"/>
          <w:bCs w:val="0"/>
          <w:i w:val="0"/>
          <w:iCs w:val="0"/>
          <w:sz w:val="22"/>
          <w:szCs w:val="22"/>
        </w:rPr>
        <w:t> </w:t>
      </w:r>
      <w:r w:rsidRPr="000D2DF6">
        <w:rPr>
          <w:rFonts w:ascii="Times New Roman" w:hAnsi="Times New Roman"/>
          <w:b w:val="0"/>
          <w:bCs w:val="0"/>
          <w:i w:val="0"/>
          <w:iCs w:val="0"/>
          <w:color w:val="000000"/>
          <w:sz w:val="22"/>
          <w:szCs w:val="22"/>
        </w:rPr>
        <w:t>For a formula grant recipient, the performance reporting requirements are specified in 24 CFR part 91.</w:t>
      </w:r>
    </w:p>
    <w:p w14:paraId="52EF1291" w14:textId="77777777" w:rsidR="00062554" w:rsidRDefault="00062554" w:rsidP="000D2DF6">
      <w:pPr>
        <w:pStyle w:val="Heading2"/>
        <w:shd w:val="clear" w:color="auto" w:fill="FFFFFF"/>
        <w:spacing w:before="0" w:after="0"/>
        <w:ind w:left="1080"/>
        <w:rPr>
          <w:rFonts w:ascii="Times New Roman" w:hAnsi="Times New Roman"/>
          <w:b w:val="0"/>
          <w:bCs w:val="0"/>
          <w:i w:val="0"/>
          <w:iCs w:val="0"/>
          <w:color w:val="000000"/>
          <w:sz w:val="22"/>
          <w:szCs w:val="22"/>
        </w:rPr>
      </w:pPr>
      <w:r w:rsidRPr="000D2DF6">
        <w:rPr>
          <w:rFonts w:ascii="Times New Roman" w:hAnsi="Times New Roman"/>
          <w:b w:val="0"/>
          <w:bCs w:val="0"/>
          <w:i w:val="0"/>
          <w:iCs w:val="0"/>
          <w:color w:val="000000"/>
          <w:sz w:val="22"/>
          <w:szCs w:val="22"/>
        </w:rPr>
        <w:t>(b)</w:t>
      </w:r>
      <w:r w:rsidRPr="000D2DF6">
        <w:rPr>
          <w:rFonts w:ascii="Times New Roman" w:hAnsi="Times New Roman"/>
          <w:b w:val="0"/>
          <w:bCs w:val="0"/>
          <w:i w:val="0"/>
          <w:iCs w:val="0"/>
          <w:sz w:val="22"/>
          <w:szCs w:val="22"/>
        </w:rPr>
        <w:t> </w:t>
      </w:r>
      <w:r w:rsidRPr="000D2DF6">
        <w:rPr>
          <w:rFonts w:ascii="Times New Roman" w:hAnsi="Times New Roman"/>
          <w:b w:val="0"/>
          <w:bCs w:val="0"/>
          <w:i w:val="0"/>
          <w:iCs w:val="0"/>
          <w:color w:val="000000"/>
          <w:sz w:val="22"/>
          <w:szCs w:val="22"/>
        </w:rPr>
        <w:t>Competitive grants.</w:t>
      </w:r>
      <w:r w:rsidRPr="000D2DF6">
        <w:rPr>
          <w:rFonts w:ascii="Times New Roman" w:hAnsi="Times New Roman"/>
          <w:b w:val="0"/>
          <w:bCs w:val="0"/>
          <w:i w:val="0"/>
          <w:iCs w:val="0"/>
          <w:sz w:val="22"/>
          <w:szCs w:val="22"/>
        </w:rPr>
        <w:t> </w:t>
      </w:r>
      <w:r w:rsidRPr="000D2DF6">
        <w:rPr>
          <w:rFonts w:ascii="Times New Roman" w:hAnsi="Times New Roman"/>
          <w:b w:val="0"/>
          <w:bCs w:val="0"/>
          <w:i w:val="0"/>
          <w:iCs w:val="0"/>
          <w:color w:val="000000"/>
          <w:sz w:val="22"/>
          <w:szCs w:val="22"/>
        </w:rPr>
        <w:t>A grantee shall submit to HUD annually a report describing the use of the amounts received, including the number of individuals assisted, the types of assistance provided, data on emergency transfers requested under 24 CFR 5.2005(e), pertaining to victims of domestic violence, dating violence, sexual assault, or stalking, including data on the outcomes of such requests, and any other information that HUD may require. Annual reports are required until all grant funds are expended.</w:t>
      </w:r>
    </w:p>
    <w:p w14:paraId="38A82EDA" w14:textId="4DD8CA86" w:rsidR="00116FD8" w:rsidRPr="000D2DF6" w:rsidRDefault="00116FD8" w:rsidP="000D2DF6">
      <w:pPr>
        <w:numPr>
          <w:ilvl w:val="0"/>
          <w:numId w:val="14"/>
        </w:numPr>
        <w:rPr>
          <w:color w:val="000000"/>
          <w:sz w:val="22"/>
          <w:szCs w:val="22"/>
        </w:rPr>
      </w:pPr>
      <w:r w:rsidRPr="000D2DF6">
        <w:rPr>
          <w:color w:val="000000"/>
          <w:sz w:val="22"/>
          <w:szCs w:val="22"/>
        </w:rPr>
        <w:t>24 CFR 91.520(f). HOPWA.</w:t>
      </w:r>
      <w:r w:rsidRPr="000D2DF6">
        <w:rPr>
          <w:sz w:val="22"/>
          <w:szCs w:val="22"/>
        </w:rPr>
        <w:t> </w:t>
      </w:r>
      <w:r w:rsidRPr="000D2DF6">
        <w:rPr>
          <w:color w:val="000000"/>
          <w:sz w:val="22"/>
          <w:szCs w:val="22"/>
        </w:rPr>
        <w:t xml:space="preserve">For jurisdictions receiving funding under the </w:t>
      </w:r>
      <w:r w:rsidR="000C2A55">
        <w:rPr>
          <w:color w:val="000000"/>
          <w:sz w:val="22"/>
          <w:szCs w:val="22"/>
        </w:rPr>
        <w:t>HOPWA</w:t>
      </w:r>
      <w:r w:rsidRPr="000D2DF6">
        <w:rPr>
          <w:color w:val="000000"/>
          <w:sz w:val="22"/>
          <w:szCs w:val="22"/>
        </w:rPr>
        <w:t xml:space="preserve"> program, the report must include the number of individuals assisted and the types of assistance provided, as well as data on emergency transfers requested under 24 CFR 5.2005(e), pertaining to victims of domestic violence, dating violence, sexual assault, or stalking, including data on the outcomes of such requests.</w:t>
      </w:r>
    </w:p>
    <w:p w14:paraId="271A236F" w14:textId="77777777" w:rsidR="00062554" w:rsidRPr="000D2DF6" w:rsidRDefault="00062554" w:rsidP="000D2DF6">
      <w:pPr>
        <w:pStyle w:val="Heading2"/>
        <w:numPr>
          <w:ilvl w:val="0"/>
          <w:numId w:val="14"/>
        </w:numPr>
        <w:shd w:val="clear" w:color="auto" w:fill="FFFFFF"/>
        <w:spacing w:before="0" w:after="0"/>
        <w:rPr>
          <w:rFonts w:ascii="Times New Roman" w:hAnsi="Times New Roman"/>
          <w:b w:val="0"/>
          <w:bCs w:val="0"/>
          <w:i w:val="0"/>
          <w:iCs w:val="0"/>
          <w:color w:val="000000"/>
          <w:sz w:val="22"/>
          <w:szCs w:val="22"/>
        </w:rPr>
      </w:pPr>
      <w:bookmarkStart w:id="7" w:name="se24.3.574_1530"/>
      <w:bookmarkEnd w:id="7"/>
      <w:r>
        <w:rPr>
          <w:rFonts w:ascii="Times New Roman" w:hAnsi="Times New Roman"/>
          <w:b w:val="0"/>
          <w:bCs w:val="0"/>
          <w:i w:val="0"/>
          <w:iCs w:val="0"/>
          <w:color w:val="000000"/>
          <w:sz w:val="22"/>
          <w:szCs w:val="22"/>
        </w:rPr>
        <w:lastRenderedPageBreak/>
        <w:t xml:space="preserve">24 CFR </w:t>
      </w:r>
      <w:r w:rsidRPr="000D2DF6">
        <w:rPr>
          <w:rFonts w:ascii="Times New Roman" w:hAnsi="Times New Roman"/>
          <w:b w:val="0"/>
          <w:bCs w:val="0"/>
          <w:i w:val="0"/>
          <w:iCs w:val="0"/>
          <w:color w:val="000000"/>
          <w:sz w:val="22"/>
          <w:szCs w:val="22"/>
        </w:rPr>
        <w:t>574.530. Recordkeeping. Each grantee must ensure that records are maintained for a 4-year period to document compliance with the provisions of this part. Grantees must maintain the following:</w:t>
      </w:r>
    </w:p>
    <w:p w14:paraId="30CE22AE" w14:textId="77777777" w:rsidR="00062554" w:rsidRPr="000D2DF6" w:rsidRDefault="00062554" w:rsidP="000D2DF6">
      <w:pPr>
        <w:pStyle w:val="Heading2"/>
        <w:shd w:val="clear" w:color="auto" w:fill="FFFFFF"/>
        <w:spacing w:before="0" w:after="0"/>
        <w:ind w:left="1080"/>
        <w:rPr>
          <w:rFonts w:ascii="Times New Roman" w:hAnsi="Times New Roman"/>
          <w:b w:val="0"/>
          <w:bCs w:val="0"/>
          <w:i w:val="0"/>
          <w:iCs w:val="0"/>
          <w:color w:val="000000"/>
          <w:sz w:val="22"/>
          <w:szCs w:val="22"/>
        </w:rPr>
      </w:pPr>
      <w:r w:rsidRPr="000D2DF6">
        <w:rPr>
          <w:rFonts w:ascii="Times New Roman" w:hAnsi="Times New Roman"/>
          <w:b w:val="0"/>
          <w:bCs w:val="0"/>
          <w:i w:val="0"/>
          <w:iCs w:val="0"/>
          <w:color w:val="000000"/>
          <w:sz w:val="22"/>
          <w:szCs w:val="22"/>
        </w:rPr>
        <w:t>(a) Current and accurate data on the race and ethnicity of program participants.</w:t>
      </w:r>
    </w:p>
    <w:p w14:paraId="6F154061" w14:textId="77777777" w:rsidR="00062554" w:rsidRPr="000D2DF6" w:rsidRDefault="00062554" w:rsidP="000D2DF6">
      <w:pPr>
        <w:pStyle w:val="Heading2"/>
        <w:shd w:val="clear" w:color="auto" w:fill="FFFFFF"/>
        <w:spacing w:before="0" w:after="0"/>
        <w:ind w:left="1080"/>
        <w:rPr>
          <w:rFonts w:ascii="Times New Roman" w:hAnsi="Times New Roman"/>
          <w:b w:val="0"/>
          <w:bCs w:val="0"/>
          <w:i w:val="0"/>
          <w:iCs w:val="0"/>
          <w:color w:val="000000"/>
          <w:sz w:val="22"/>
          <w:szCs w:val="22"/>
        </w:rPr>
      </w:pPr>
      <w:r w:rsidRPr="000D2DF6">
        <w:rPr>
          <w:rFonts w:ascii="Times New Roman" w:hAnsi="Times New Roman"/>
          <w:b w:val="0"/>
          <w:bCs w:val="0"/>
          <w:i w:val="0"/>
          <w:iCs w:val="0"/>
          <w:color w:val="000000"/>
          <w:sz w:val="22"/>
          <w:szCs w:val="22"/>
        </w:rPr>
        <w:t>(b) Documentation related to the formula grantee's Assessment of Fair Housing, as described in 24 CFR 5.168.</w:t>
      </w:r>
    </w:p>
    <w:p w14:paraId="1D53BAE8" w14:textId="77777777" w:rsidR="00062554" w:rsidRPr="000D2DF6" w:rsidRDefault="00062554" w:rsidP="000D2DF6">
      <w:pPr>
        <w:pStyle w:val="Heading2"/>
        <w:shd w:val="clear" w:color="auto" w:fill="FFFFFF"/>
        <w:spacing w:before="0" w:after="0"/>
        <w:ind w:left="1080"/>
        <w:rPr>
          <w:rFonts w:ascii="Times New Roman" w:hAnsi="Times New Roman"/>
          <w:b w:val="0"/>
          <w:bCs w:val="0"/>
          <w:i w:val="0"/>
          <w:iCs w:val="0"/>
          <w:color w:val="000000"/>
          <w:sz w:val="22"/>
          <w:szCs w:val="22"/>
        </w:rPr>
      </w:pPr>
      <w:r w:rsidRPr="000D2DF6">
        <w:rPr>
          <w:rFonts w:ascii="Times New Roman" w:hAnsi="Times New Roman"/>
          <w:b w:val="0"/>
          <w:bCs w:val="0"/>
          <w:i w:val="0"/>
          <w:iCs w:val="0"/>
          <w:color w:val="000000"/>
          <w:sz w:val="22"/>
          <w:szCs w:val="22"/>
        </w:rPr>
        <w:t>(c) Data on emergency transfers requested under 24 CFR 5.2005(e), pertaining to victims of domestic violence, dating violence, sexual assault, or stalking, including data on the outcomes of such requests.</w:t>
      </w:r>
    </w:p>
    <w:p w14:paraId="30361EE3" w14:textId="77777777" w:rsidR="00D73EE7" w:rsidRPr="003B27A6" w:rsidRDefault="00D73EE7">
      <w:pPr>
        <w:tabs>
          <w:tab w:val="left" w:pos="360"/>
        </w:tabs>
        <w:rPr>
          <w:color w:val="000000"/>
          <w:sz w:val="22"/>
          <w:szCs w:val="22"/>
        </w:rPr>
      </w:pPr>
    </w:p>
    <w:p w14:paraId="274BC4AE" w14:textId="77777777" w:rsidR="00D73EE7" w:rsidRPr="003B27A6" w:rsidRDefault="00D73EE7" w:rsidP="003B27A6">
      <w:pPr>
        <w:keepLines/>
        <w:tabs>
          <w:tab w:val="left" w:pos="360"/>
        </w:tabs>
        <w:spacing w:after="80"/>
        <w:ind w:left="360" w:hanging="360"/>
        <w:rPr>
          <w:color w:val="000000"/>
          <w:sz w:val="22"/>
          <w:szCs w:val="22"/>
        </w:rPr>
      </w:pPr>
      <w:r w:rsidRPr="003B27A6">
        <w:rPr>
          <w:color w:val="000000"/>
          <w:sz w:val="22"/>
          <w:szCs w:val="22"/>
        </w:rPr>
        <w:t>2.</w:t>
      </w:r>
      <w:r w:rsidRPr="003B27A6">
        <w:rPr>
          <w:color w:val="000000"/>
          <w:sz w:val="22"/>
          <w:szCs w:val="22"/>
        </w:rPr>
        <w:tab/>
      </w:r>
      <w:r w:rsidR="003B27A6" w:rsidRPr="002E1334">
        <w:rPr>
          <w:sz w:val="22"/>
          <w:szCs w:val="22"/>
        </w:rPr>
        <w:t>How the information is or will be used.</w:t>
      </w:r>
    </w:p>
    <w:p w14:paraId="20C5155D" w14:textId="38736615" w:rsidR="00156405" w:rsidRDefault="00B4088E" w:rsidP="00696B16">
      <w:pPr>
        <w:rPr>
          <w:color w:val="000000"/>
          <w:sz w:val="22"/>
          <w:szCs w:val="22"/>
        </w:rPr>
      </w:pPr>
      <w:r>
        <w:rPr>
          <w:color w:val="000000"/>
          <w:sz w:val="22"/>
          <w:szCs w:val="22"/>
        </w:rPr>
        <w:t xml:space="preserve">The current </w:t>
      </w:r>
      <w:r w:rsidR="000C67AE">
        <w:rPr>
          <w:color w:val="000000"/>
          <w:sz w:val="22"/>
          <w:szCs w:val="22"/>
        </w:rPr>
        <w:t>Paperwork R</w:t>
      </w:r>
      <w:r>
        <w:rPr>
          <w:color w:val="000000"/>
          <w:sz w:val="22"/>
          <w:szCs w:val="22"/>
        </w:rPr>
        <w:t xml:space="preserve">eduction </w:t>
      </w:r>
      <w:r w:rsidR="000C67AE">
        <w:rPr>
          <w:color w:val="000000"/>
          <w:sz w:val="22"/>
          <w:szCs w:val="22"/>
        </w:rPr>
        <w:t xml:space="preserve">Act </w:t>
      </w:r>
      <w:r>
        <w:rPr>
          <w:color w:val="000000"/>
          <w:sz w:val="22"/>
          <w:szCs w:val="22"/>
        </w:rPr>
        <w:t xml:space="preserve">approval under OMB Control No. 2506-0133 covers both the HOPWA formula and competitive grant programs. The competitive grant program includes new competitive grants and renewal grants. </w:t>
      </w:r>
      <w:r w:rsidR="00915D7F">
        <w:rPr>
          <w:color w:val="000000"/>
          <w:sz w:val="22"/>
          <w:szCs w:val="22"/>
        </w:rPr>
        <w:t>The information collection requirements pertain to grant application submission requirements which will be used to rate applications, determine eligibility, and establish grant amounts. HOPWA plans to continue using form HUD-40110-B, HOPWA Competitive Application &amp; Renewal of Permanent Supportive</w:t>
      </w:r>
      <w:r w:rsidR="00DF03EB">
        <w:rPr>
          <w:color w:val="000000"/>
          <w:sz w:val="22"/>
          <w:szCs w:val="22"/>
        </w:rPr>
        <w:t xml:space="preserve"> Housing Project Budget Summary, as a component of determining applicant eligibility and establishing grant amounts for competitive grants. </w:t>
      </w:r>
      <w:r w:rsidR="00B91F12">
        <w:rPr>
          <w:color w:val="000000"/>
          <w:sz w:val="22"/>
          <w:szCs w:val="22"/>
        </w:rPr>
        <w:t>Limited t</w:t>
      </w:r>
      <w:r w:rsidR="00156405">
        <w:rPr>
          <w:color w:val="000000"/>
          <w:sz w:val="22"/>
          <w:szCs w:val="22"/>
        </w:rPr>
        <w:t>echnical edits are proposed for form HUD-40110-B</w:t>
      </w:r>
      <w:r w:rsidR="00C35DAA">
        <w:rPr>
          <w:color w:val="000000"/>
          <w:sz w:val="22"/>
          <w:szCs w:val="22"/>
        </w:rPr>
        <w:t>.</w:t>
      </w:r>
      <w:r w:rsidR="0088526D">
        <w:rPr>
          <w:color w:val="000000"/>
          <w:sz w:val="22"/>
          <w:szCs w:val="22"/>
        </w:rPr>
        <w:t xml:space="preserve"> HOPWA competitive and renewal application submission also require submission of the following forms: SF424</w:t>
      </w:r>
      <w:r w:rsidR="00880B5D">
        <w:rPr>
          <w:color w:val="000000"/>
          <w:sz w:val="22"/>
          <w:szCs w:val="22"/>
        </w:rPr>
        <w:t xml:space="preserve"> and SF424b assurances</w:t>
      </w:r>
      <w:r w:rsidR="0088526D">
        <w:rPr>
          <w:color w:val="000000"/>
          <w:sz w:val="22"/>
          <w:szCs w:val="22"/>
        </w:rPr>
        <w:t xml:space="preserve">; SFLLL; and HUD-2991. Form HUD-2991 is currently covered under OMB approval number 2506-0112. </w:t>
      </w:r>
    </w:p>
    <w:p w14:paraId="43D15592" w14:textId="77777777" w:rsidR="00156405" w:rsidRDefault="00156405" w:rsidP="00696B16">
      <w:pPr>
        <w:rPr>
          <w:color w:val="000000"/>
          <w:sz w:val="22"/>
          <w:szCs w:val="22"/>
        </w:rPr>
      </w:pPr>
    </w:p>
    <w:p w14:paraId="50CC9223" w14:textId="3E200B25" w:rsidR="00116FD8" w:rsidRPr="003B27A6" w:rsidRDefault="00DF03EB" w:rsidP="00116FD8">
      <w:pPr>
        <w:rPr>
          <w:color w:val="000000"/>
          <w:sz w:val="22"/>
          <w:szCs w:val="22"/>
        </w:rPr>
      </w:pPr>
      <w:r>
        <w:rPr>
          <w:color w:val="000000"/>
          <w:sz w:val="22"/>
          <w:szCs w:val="22"/>
        </w:rPr>
        <w:t>The addition of narratives to address the five HUD standard rating factors will allow HUD</w:t>
      </w:r>
      <w:r w:rsidR="00797F82">
        <w:rPr>
          <w:color w:val="000000"/>
          <w:sz w:val="22"/>
          <w:szCs w:val="22"/>
        </w:rPr>
        <w:t xml:space="preserve"> to rate application and further determine eligibility and establish grant amounts.</w:t>
      </w:r>
      <w:r w:rsidR="00156405">
        <w:rPr>
          <w:color w:val="000000"/>
          <w:sz w:val="22"/>
          <w:szCs w:val="22"/>
        </w:rPr>
        <w:t xml:space="preserve"> </w:t>
      </w:r>
      <w:r w:rsidR="00116FD8" w:rsidRPr="003B27A6">
        <w:rPr>
          <w:color w:val="000000"/>
          <w:sz w:val="22"/>
          <w:szCs w:val="22"/>
        </w:rPr>
        <w:t xml:space="preserve">Applicants applying for HUD competitive funds are required to respond to these five rating factors in narrative form. These narratives will complement the currently approved budget summary form, and allow HUD to determine if applicants are proposing projects within statutory and regulatory limitations.  The five HUD standard rating factors include: Factor 1: Capacity of the Applicant and Relevant Organizational Staff; Factor 2: Need/Extent of the Problem; Factor 3: Soundness of Approach; Factor 4: Leveraging Resources; and Factor 5: Achieving Results and Program Evaluation. </w:t>
      </w:r>
      <w:r w:rsidR="000D4B55">
        <w:rPr>
          <w:color w:val="000000"/>
          <w:sz w:val="22"/>
          <w:szCs w:val="22"/>
        </w:rPr>
        <w:t>New HOPWA competitive a</w:t>
      </w:r>
      <w:r w:rsidR="00116FD8" w:rsidRPr="003B27A6">
        <w:rPr>
          <w:color w:val="000000"/>
          <w:sz w:val="22"/>
          <w:szCs w:val="22"/>
        </w:rPr>
        <w:t>pplicants will be required to respond to each rating factor within the page limits establish</w:t>
      </w:r>
      <w:r w:rsidR="000C67AE">
        <w:rPr>
          <w:color w:val="000000"/>
          <w:sz w:val="22"/>
          <w:szCs w:val="22"/>
        </w:rPr>
        <w:t>ed</w:t>
      </w:r>
      <w:r w:rsidR="00116FD8" w:rsidRPr="003B27A6">
        <w:rPr>
          <w:color w:val="000000"/>
          <w:sz w:val="22"/>
          <w:szCs w:val="22"/>
        </w:rPr>
        <w:t xml:space="preserve"> in the grant solicitation.</w:t>
      </w:r>
      <w:r w:rsidR="000D4B55">
        <w:rPr>
          <w:color w:val="000000"/>
          <w:sz w:val="22"/>
          <w:szCs w:val="22"/>
        </w:rPr>
        <w:t xml:space="preserve"> HOPWA renewal applicants will also be required to respond with narratives, but</w:t>
      </w:r>
      <w:r w:rsidR="00156405">
        <w:rPr>
          <w:color w:val="000000"/>
          <w:sz w:val="22"/>
          <w:szCs w:val="22"/>
        </w:rPr>
        <w:t xml:space="preserve"> the information will be more limited and focused on continued compliance with the HOPWA program activit</w:t>
      </w:r>
      <w:r w:rsidR="00934B38">
        <w:rPr>
          <w:color w:val="000000"/>
          <w:sz w:val="22"/>
          <w:szCs w:val="22"/>
        </w:rPr>
        <w:t>i</w:t>
      </w:r>
      <w:r w:rsidR="00156405">
        <w:rPr>
          <w:color w:val="000000"/>
          <w:sz w:val="22"/>
          <w:szCs w:val="22"/>
        </w:rPr>
        <w:t xml:space="preserve">es originally awarded </w:t>
      </w:r>
      <w:r w:rsidR="000C67AE">
        <w:rPr>
          <w:color w:val="000000"/>
          <w:sz w:val="22"/>
          <w:szCs w:val="22"/>
        </w:rPr>
        <w:t xml:space="preserve">under </w:t>
      </w:r>
      <w:r w:rsidR="00156405">
        <w:rPr>
          <w:color w:val="000000"/>
          <w:sz w:val="22"/>
          <w:szCs w:val="22"/>
        </w:rPr>
        <w:t>their initial grant application.</w:t>
      </w:r>
    </w:p>
    <w:p w14:paraId="530F2939" w14:textId="77777777" w:rsidR="00116FD8" w:rsidRDefault="00116FD8" w:rsidP="00696B16">
      <w:pPr>
        <w:rPr>
          <w:color w:val="000000"/>
          <w:sz w:val="22"/>
          <w:szCs w:val="22"/>
        </w:rPr>
      </w:pPr>
    </w:p>
    <w:p w14:paraId="07AD47C0" w14:textId="6ACB9DC7" w:rsidR="00466396" w:rsidRDefault="00BE001F" w:rsidP="00BE001F">
      <w:pPr>
        <w:rPr>
          <w:color w:val="000000"/>
          <w:sz w:val="22"/>
          <w:szCs w:val="22"/>
        </w:rPr>
      </w:pPr>
      <w:r>
        <w:rPr>
          <w:color w:val="000000"/>
          <w:sz w:val="22"/>
          <w:szCs w:val="22"/>
        </w:rPr>
        <w:t xml:space="preserve">The reporting and recordkeeping for both HOPWA formula and competitive grant programs are also included in this approval. </w:t>
      </w:r>
      <w:r w:rsidR="00C35DAA">
        <w:rPr>
          <w:color w:val="000000"/>
          <w:sz w:val="22"/>
          <w:szCs w:val="22"/>
        </w:rPr>
        <w:t>Technical edits are proposed for forms HUD-40110-C and HUD-40110-D, and are limited to updating outdated references and information currently contained in the forms.</w:t>
      </w:r>
      <w:r w:rsidR="00E10F05">
        <w:rPr>
          <w:color w:val="000000"/>
          <w:sz w:val="22"/>
          <w:szCs w:val="22"/>
        </w:rPr>
        <w:t xml:space="preserve"> </w:t>
      </w:r>
      <w:r w:rsidR="00E10F05" w:rsidRPr="002971AC">
        <w:rPr>
          <w:color w:val="000000"/>
          <w:sz w:val="22"/>
          <w:szCs w:val="22"/>
        </w:rPr>
        <w:t>Grantee</w:t>
      </w:r>
      <w:r w:rsidR="00D25D75">
        <w:rPr>
          <w:color w:val="000000"/>
          <w:sz w:val="22"/>
          <w:szCs w:val="22"/>
        </w:rPr>
        <w:t>s</w:t>
      </w:r>
      <w:r w:rsidR="00D25D75" w:rsidRPr="00FE04B9">
        <w:rPr>
          <w:color w:val="000000"/>
          <w:sz w:val="22"/>
          <w:szCs w:val="22"/>
        </w:rPr>
        <w:t xml:space="preserve"> provide</w:t>
      </w:r>
      <w:r w:rsidRPr="000D2DF6">
        <w:rPr>
          <w:color w:val="000000"/>
          <w:sz w:val="22"/>
          <w:szCs w:val="22"/>
        </w:rPr>
        <w:t xml:space="preserve"> annual information on program accomplishments that supports program evaluation and the ability to measure program beneficiary outcomes related to: maintain</w:t>
      </w:r>
      <w:r w:rsidR="00116FD8">
        <w:rPr>
          <w:color w:val="000000"/>
          <w:sz w:val="22"/>
          <w:szCs w:val="22"/>
        </w:rPr>
        <w:t>ing</w:t>
      </w:r>
      <w:r w:rsidRPr="000D2DF6">
        <w:rPr>
          <w:color w:val="000000"/>
          <w:sz w:val="22"/>
          <w:szCs w:val="22"/>
        </w:rPr>
        <w:t xml:space="preserve"> housing stability; prevent</w:t>
      </w:r>
      <w:r w:rsidR="00116FD8">
        <w:rPr>
          <w:color w:val="000000"/>
          <w:sz w:val="22"/>
          <w:szCs w:val="22"/>
        </w:rPr>
        <w:t>ing</w:t>
      </w:r>
      <w:r w:rsidRPr="000D2DF6">
        <w:rPr>
          <w:color w:val="000000"/>
          <w:sz w:val="22"/>
          <w:szCs w:val="22"/>
        </w:rPr>
        <w:t xml:space="preserve"> homelessness; and improv</w:t>
      </w:r>
      <w:r w:rsidR="00116FD8">
        <w:rPr>
          <w:color w:val="000000"/>
          <w:sz w:val="22"/>
          <w:szCs w:val="22"/>
        </w:rPr>
        <w:t>ing</w:t>
      </w:r>
      <w:r w:rsidRPr="000D2DF6">
        <w:rPr>
          <w:color w:val="000000"/>
          <w:sz w:val="22"/>
          <w:szCs w:val="22"/>
        </w:rPr>
        <w:t xml:space="preserve"> access to care and support.</w:t>
      </w:r>
      <w:r>
        <w:rPr>
          <w:color w:val="000000"/>
          <w:sz w:val="22"/>
          <w:szCs w:val="22"/>
        </w:rPr>
        <w:t xml:space="preserve"> Competitive grantees report through HUD-40110-C, the HOPWA APR; Formula grantees report through HUD-40110-D, the HOPWA </w:t>
      </w:r>
      <w:r w:rsidRPr="00BE001F">
        <w:rPr>
          <w:color w:val="000000"/>
          <w:sz w:val="22"/>
          <w:szCs w:val="22"/>
        </w:rPr>
        <w:t>CAPER</w:t>
      </w:r>
      <w:r>
        <w:rPr>
          <w:color w:val="000000"/>
          <w:sz w:val="22"/>
          <w:szCs w:val="22"/>
        </w:rPr>
        <w:t xml:space="preserve">. </w:t>
      </w:r>
      <w:r w:rsidRPr="00BE001F">
        <w:rPr>
          <w:color w:val="000000"/>
          <w:sz w:val="22"/>
          <w:szCs w:val="22"/>
        </w:rPr>
        <w:t>Grantees are required to report on the activities und</w:t>
      </w:r>
      <w:r>
        <w:rPr>
          <w:color w:val="000000"/>
          <w:sz w:val="22"/>
          <w:szCs w:val="22"/>
        </w:rPr>
        <w:t>ertaken only</w:t>
      </w:r>
      <w:r w:rsidR="00967AED">
        <w:rPr>
          <w:szCs w:val="22"/>
        </w:rPr>
        <w:t>, thus there may be components of these reporting requirements that may not be applicable</w:t>
      </w:r>
      <w:r w:rsidR="00062554">
        <w:rPr>
          <w:color w:val="000000"/>
          <w:sz w:val="22"/>
          <w:szCs w:val="22"/>
        </w:rPr>
        <w:t>.</w:t>
      </w:r>
      <w:r w:rsidR="00466396">
        <w:rPr>
          <w:color w:val="000000"/>
          <w:sz w:val="22"/>
          <w:szCs w:val="22"/>
        </w:rPr>
        <w:t xml:space="preserve"> </w:t>
      </w:r>
      <w:r w:rsidR="00C35DAA">
        <w:rPr>
          <w:color w:val="000000"/>
          <w:sz w:val="22"/>
          <w:szCs w:val="22"/>
        </w:rPr>
        <w:t xml:space="preserve">HUD systematically reviews and conducts data analysis in order to prepare national and individual grantee performance profiles that are not only used to measure program performance against benchmark goals and objectives, but also to communicate </w:t>
      </w:r>
      <w:r w:rsidR="00934B38">
        <w:rPr>
          <w:color w:val="000000"/>
          <w:sz w:val="22"/>
          <w:szCs w:val="22"/>
        </w:rPr>
        <w:t>the program</w:t>
      </w:r>
      <w:r w:rsidR="00C35DAA">
        <w:rPr>
          <w:color w:val="000000"/>
          <w:sz w:val="22"/>
          <w:szCs w:val="22"/>
        </w:rPr>
        <w:t>’s achievement and contributions towards Departmental strategic goals.</w:t>
      </w:r>
    </w:p>
    <w:p w14:paraId="1DA654A3" w14:textId="77777777" w:rsidR="00D76070" w:rsidRDefault="00D76070" w:rsidP="00BE001F">
      <w:pPr>
        <w:rPr>
          <w:color w:val="000000"/>
          <w:sz w:val="22"/>
          <w:szCs w:val="22"/>
        </w:rPr>
      </w:pPr>
    </w:p>
    <w:p w14:paraId="1109BA6C" w14:textId="77777777" w:rsidR="00D76070" w:rsidRDefault="00D76070" w:rsidP="00BE001F">
      <w:pPr>
        <w:rPr>
          <w:color w:val="000000"/>
          <w:sz w:val="22"/>
          <w:szCs w:val="22"/>
        </w:rPr>
      </w:pPr>
      <w:r>
        <w:rPr>
          <w:color w:val="000000"/>
          <w:sz w:val="22"/>
          <w:szCs w:val="22"/>
        </w:rPr>
        <w:t>The Office of HIV/AIDS Housing is currently working to further update and streamline forms HUD-40110-C and HUD-40110-D into one reporting form for all HOPWA grantees. HUD continues to strive toward reducing grantee reporting burden by ensuring all reporting requirements and guidance are clear and succinct. The Department is consulting with HOPWA stakeholders, particularly the team of HOPWA national technical assistance providers, to provide feedback and recommendations for consolidation and ease of HOPWA reporting. HUD will be seeking public comment through a Federal Register Notice once the consolidation of these forms have been completed.</w:t>
      </w:r>
    </w:p>
    <w:p w14:paraId="3D418678" w14:textId="77777777" w:rsidR="00D76070" w:rsidRDefault="00D76070" w:rsidP="00BE001F">
      <w:pPr>
        <w:rPr>
          <w:color w:val="000000"/>
          <w:sz w:val="22"/>
          <w:szCs w:val="22"/>
        </w:rPr>
      </w:pPr>
    </w:p>
    <w:p w14:paraId="15D07D24" w14:textId="77777777" w:rsidR="00760373" w:rsidRDefault="00D76070" w:rsidP="00BE001F">
      <w:pPr>
        <w:rPr>
          <w:b/>
          <w:color w:val="000000"/>
          <w:sz w:val="22"/>
          <w:szCs w:val="22"/>
        </w:rPr>
      </w:pPr>
      <w:r w:rsidRPr="000D2DF6">
        <w:rPr>
          <w:b/>
          <w:color w:val="000000"/>
          <w:sz w:val="22"/>
          <w:szCs w:val="22"/>
        </w:rPr>
        <w:t xml:space="preserve">Completed technical edits </w:t>
      </w:r>
      <w:r w:rsidR="00760373" w:rsidRPr="000D2DF6">
        <w:rPr>
          <w:b/>
          <w:color w:val="000000"/>
          <w:sz w:val="22"/>
          <w:szCs w:val="22"/>
        </w:rPr>
        <w:t xml:space="preserve">incorporated into forms </w:t>
      </w:r>
      <w:r w:rsidR="00D14244">
        <w:rPr>
          <w:b/>
          <w:color w:val="000000"/>
          <w:sz w:val="22"/>
          <w:szCs w:val="22"/>
        </w:rPr>
        <w:t xml:space="preserve">covered by this proposed information collection, </w:t>
      </w:r>
      <w:r w:rsidR="00760373" w:rsidRPr="000D2DF6">
        <w:rPr>
          <w:b/>
          <w:color w:val="000000"/>
          <w:sz w:val="22"/>
          <w:szCs w:val="22"/>
        </w:rPr>
        <w:t>as discussed above.</w:t>
      </w:r>
    </w:p>
    <w:p w14:paraId="7A5D95DB" w14:textId="77777777" w:rsidR="00D14244" w:rsidRDefault="00D14244" w:rsidP="00BE001F">
      <w:pPr>
        <w:rPr>
          <w:b/>
          <w:color w:val="000000"/>
          <w:sz w:val="22"/>
          <w:szCs w:val="22"/>
        </w:rPr>
      </w:pPr>
    </w:p>
    <w:p w14:paraId="734AF335" w14:textId="77777777" w:rsidR="000B5411" w:rsidRDefault="00760373" w:rsidP="000D2DF6">
      <w:pPr>
        <w:numPr>
          <w:ilvl w:val="0"/>
          <w:numId w:val="17"/>
        </w:numPr>
        <w:ind w:left="720" w:hanging="360"/>
        <w:rPr>
          <w:b/>
          <w:color w:val="000000"/>
          <w:sz w:val="22"/>
          <w:szCs w:val="22"/>
        </w:rPr>
      </w:pPr>
      <w:r>
        <w:rPr>
          <w:color w:val="000000"/>
          <w:sz w:val="22"/>
          <w:szCs w:val="22"/>
        </w:rPr>
        <w:t xml:space="preserve">HUD-40110-B, HOPWA Competitive Application &amp; Renewal of Permanent Supportive Housing </w:t>
      </w:r>
      <w:r w:rsidRPr="002971AC">
        <w:rPr>
          <w:color w:val="000000"/>
          <w:sz w:val="22"/>
          <w:szCs w:val="22"/>
        </w:rPr>
        <w:t>Project Budget Summary</w:t>
      </w:r>
    </w:p>
    <w:p w14:paraId="1D6133D0" w14:textId="2179AD4D" w:rsidR="000B5411" w:rsidRDefault="00760373" w:rsidP="000D2DF6">
      <w:pPr>
        <w:numPr>
          <w:ilvl w:val="1"/>
          <w:numId w:val="17"/>
        </w:numPr>
        <w:rPr>
          <w:b/>
          <w:color w:val="000000"/>
          <w:sz w:val="22"/>
          <w:szCs w:val="22"/>
        </w:rPr>
      </w:pPr>
      <w:r w:rsidRPr="000D2DF6">
        <w:rPr>
          <w:color w:val="000000"/>
          <w:sz w:val="22"/>
          <w:szCs w:val="22"/>
        </w:rPr>
        <w:t>Cover page description</w:t>
      </w:r>
      <w:r w:rsidRPr="002971AC">
        <w:rPr>
          <w:color w:val="000000"/>
          <w:sz w:val="22"/>
          <w:szCs w:val="22"/>
        </w:rPr>
        <w:t>. The statement,</w:t>
      </w:r>
      <w:r w:rsidRPr="00D25D75">
        <w:rPr>
          <w:color w:val="000000"/>
          <w:sz w:val="22"/>
          <w:szCs w:val="22"/>
        </w:rPr>
        <w:t xml:space="preserve"> “</w:t>
      </w:r>
      <w:r w:rsidRPr="00FE04B9">
        <w:rPr>
          <w:color w:val="000000"/>
          <w:sz w:val="22"/>
          <w:szCs w:val="22"/>
        </w:rPr>
        <w:t xml:space="preserve">Selections of applications for funding under the HOPWA Program are based on the rating factors set forth in the SuperNOFA for Housing and Community Development </w:t>
      </w:r>
      <w:r w:rsidR="003016EA" w:rsidRPr="000E29EE">
        <w:rPr>
          <w:color w:val="000000"/>
          <w:sz w:val="22"/>
          <w:szCs w:val="22"/>
        </w:rPr>
        <w:t>Programs</w:t>
      </w:r>
      <w:r w:rsidRPr="000E29EE">
        <w:rPr>
          <w:color w:val="000000"/>
          <w:sz w:val="22"/>
          <w:szCs w:val="22"/>
        </w:rPr>
        <w:t xml:space="preserve"> and the criteria established in the annual HOPWA renewal notice for thos</w:t>
      </w:r>
      <w:r w:rsidRPr="00425F2F">
        <w:rPr>
          <w:color w:val="000000"/>
          <w:sz w:val="22"/>
          <w:szCs w:val="22"/>
        </w:rPr>
        <w:t xml:space="preserve">e permanent supportive housing grantee’s seeking renewal funding.” </w:t>
      </w:r>
      <w:r w:rsidR="005722F6">
        <w:rPr>
          <w:color w:val="000000"/>
          <w:sz w:val="22"/>
          <w:szCs w:val="22"/>
        </w:rPr>
        <w:t xml:space="preserve">changed </w:t>
      </w:r>
      <w:r w:rsidRPr="00FE04B9">
        <w:rPr>
          <w:color w:val="000000"/>
          <w:sz w:val="22"/>
          <w:szCs w:val="22"/>
        </w:rPr>
        <w:t>to, “Selections of applications for funding under the HOPWA Program are based on the rating factors set forth in the published NOFA and the criteria establ</w:t>
      </w:r>
      <w:r w:rsidRPr="000E29EE">
        <w:rPr>
          <w:color w:val="000000"/>
          <w:sz w:val="22"/>
          <w:szCs w:val="22"/>
        </w:rPr>
        <w:t>ished in the annual HOPWA renewal notice for eligible permanent supportive housing grantees seeking renewal funding.” This edit reflects a change in Departmental process that now each program office releases a NOFA when funding is available to be awarded.</w:t>
      </w:r>
    </w:p>
    <w:p w14:paraId="350D7A45" w14:textId="77777777" w:rsidR="00760373" w:rsidRPr="000D2DF6" w:rsidRDefault="00760373" w:rsidP="000D2DF6">
      <w:pPr>
        <w:numPr>
          <w:ilvl w:val="1"/>
          <w:numId w:val="17"/>
        </w:numPr>
        <w:rPr>
          <w:b/>
          <w:color w:val="000000"/>
          <w:sz w:val="22"/>
          <w:szCs w:val="22"/>
        </w:rPr>
      </w:pPr>
      <w:r w:rsidRPr="002971AC">
        <w:rPr>
          <w:color w:val="000000"/>
          <w:sz w:val="22"/>
          <w:szCs w:val="22"/>
        </w:rPr>
        <w:t xml:space="preserve">Cover page description. The </w:t>
      </w:r>
      <w:r w:rsidR="00136362" w:rsidRPr="002971AC">
        <w:rPr>
          <w:color w:val="000000"/>
          <w:sz w:val="22"/>
          <w:szCs w:val="22"/>
        </w:rPr>
        <w:t>public reporting burden was updated on the budget form to show the number of hours it would take to complete the renewal grant application versus the new competitive grant application.</w:t>
      </w:r>
    </w:p>
    <w:p w14:paraId="61187C63" w14:textId="177BAF01" w:rsidR="00053B4C" w:rsidRPr="000D2DF6" w:rsidRDefault="00053B4C" w:rsidP="000D2DF6">
      <w:pPr>
        <w:numPr>
          <w:ilvl w:val="1"/>
          <w:numId w:val="17"/>
        </w:numPr>
        <w:rPr>
          <w:b/>
          <w:color w:val="000000"/>
          <w:sz w:val="22"/>
          <w:szCs w:val="22"/>
        </w:rPr>
      </w:pPr>
      <w:r>
        <w:rPr>
          <w:color w:val="000000"/>
          <w:sz w:val="22"/>
          <w:szCs w:val="22"/>
        </w:rPr>
        <w:t>Transparency Act Compliance. This section of the form was removed. All grantees are required to enter this information into F</w:t>
      </w:r>
      <w:r w:rsidRPr="000D2DF6">
        <w:rPr>
          <w:color w:val="000000"/>
          <w:sz w:val="22"/>
          <w:szCs w:val="22"/>
        </w:rPr>
        <w:t xml:space="preserve">ederal Funding Accountability and Transparency Act (FFATA) </w:t>
      </w:r>
      <w:r w:rsidR="000C2A55">
        <w:rPr>
          <w:color w:val="000000"/>
          <w:sz w:val="22"/>
          <w:szCs w:val="22"/>
        </w:rPr>
        <w:t xml:space="preserve">Federal </w:t>
      </w:r>
      <w:r w:rsidRPr="000D2DF6">
        <w:rPr>
          <w:color w:val="000000"/>
          <w:sz w:val="22"/>
          <w:szCs w:val="22"/>
        </w:rPr>
        <w:t>Subaward Reporting System (FSRS)</w:t>
      </w:r>
      <w:r w:rsidRPr="00D25D75">
        <w:rPr>
          <w:color w:val="000000"/>
          <w:sz w:val="22"/>
          <w:szCs w:val="22"/>
        </w:rPr>
        <w:t xml:space="preserve"> so it is no longer necessary to collect this information here.</w:t>
      </w:r>
    </w:p>
    <w:p w14:paraId="0368BB35" w14:textId="50F1E57B" w:rsidR="007A4639" w:rsidRPr="000D2DF6" w:rsidRDefault="007A4639" w:rsidP="000D2DF6">
      <w:pPr>
        <w:numPr>
          <w:ilvl w:val="1"/>
          <w:numId w:val="17"/>
        </w:numPr>
        <w:rPr>
          <w:b/>
          <w:color w:val="000000"/>
          <w:sz w:val="22"/>
          <w:szCs w:val="22"/>
        </w:rPr>
      </w:pPr>
      <w:r>
        <w:rPr>
          <w:color w:val="000000"/>
          <w:sz w:val="22"/>
          <w:szCs w:val="22"/>
        </w:rPr>
        <w:t xml:space="preserve">Applicant Certifications. </w:t>
      </w:r>
      <w:r w:rsidR="00F477DD">
        <w:rPr>
          <w:color w:val="000000"/>
          <w:sz w:val="22"/>
          <w:szCs w:val="22"/>
        </w:rPr>
        <w:t>These certifications were removed</w:t>
      </w:r>
      <w:r w:rsidR="006160B8">
        <w:rPr>
          <w:color w:val="000000"/>
          <w:sz w:val="22"/>
          <w:szCs w:val="22"/>
        </w:rPr>
        <w:t>.  The certifications are covered through</w:t>
      </w:r>
      <w:r w:rsidR="00F477DD">
        <w:rPr>
          <w:color w:val="000000"/>
          <w:sz w:val="22"/>
          <w:szCs w:val="22"/>
        </w:rPr>
        <w:t xml:space="preserve"> form SF424b assurances.</w:t>
      </w:r>
      <w:r>
        <w:rPr>
          <w:color w:val="000000"/>
          <w:sz w:val="22"/>
          <w:szCs w:val="22"/>
        </w:rPr>
        <w:t xml:space="preserve"> </w:t>
      </w:r>
    </w:p>
    <w:p w14:paraId="63E2A08A" w14:textId="77777777" w:rsidR="00D14244" w:rsidRPr="000D2DF6" w:rsidRDefault="00D14244" w:rsidP="000D2DF6">
      <w:pPr>
        <w:ind w:left="1440"/>
        <w:rPr>
          <w:b/>
          <w:color w:val="000000"/>
          <w:sz w:val="22"/>
          <w:szCs w:val="22"/>
        </w:rPr>
      </w:pPr>
    </w:p>
    <w:p w14:paraId="0835C87F" w14:textId="5C33D419" w:rsidR="00760373" w:rsidRDefault="00760373" w:rsidP="000D2DF6">
      <w:pPr>
        <w:numPr>
          <w:ilvl w:val="0"/>
          <w:numId w:val="17"/>
        </w:numPr>
        <w:rPr>
          <w:color w:val="000000"/>
          <w:sz w:val="22"/>
          <w:szCs w:val="22"/>
        </w:rPr>
      </w:pPr>
      <w:r>
        <w:rPr>
          <w:color w:val="000000"/>
          <w:sz w:val="22"/>
          <w:szCs w:val="22"/>
        </w:rPr>
        <w:t xml:space="preserve">HUD-40110-C, HOPWA </w:t>
      </w:r>
      <w:r w:rsidR="00934CD0">
        <w:rPr>
          <w:color w:val="000000"/>
          <w:sz w:val="22"/>
          <w:szCs w:val="22"/>
        </w:rPr>
        <w:t>APR</w:t>
      </w:r>
    </w:p>
    <w:p w14:paraId="12595501" w14:textId="77777777" w:rsidR="00C9012F" w:rsidRDefault="00C9012F" w:rsidP="000D2DF6">
      <w:pPr>
        <w:numPr>
          <w:ilvl w:val="1"/>
          <w:numId w:val="17"/>
        </w:numPr>
        <w:rPr>
          <w:color w:val="000000"/>
          <w:sz w:val="22"/>
          <w:szCs w:val="22"/>
        </w:rPr>
      </w:pPr>
      <w:r>
        <w:rPr>
          <w:color w:val="000000"/>
          <w:sz w:val="22"/>
          <w:szCs w:val="22"/>
        </w:rPr>
        <w:t>Cover page and Overview pages.</w:t>
      </w:r>
    </w:p>
    <w:p w14:paraId="081EC8EE" w14:textId="77777777" w:rsidR="000B5411" w:rsidRDefault="00344FE4" w:rsidP="000D2DF6">
      <w:pPr>
        <w:numPr>
          <w:ilvl w:val="2"/>
          <w:numId w:val="17"/>
        </w:numPr>
        <w:rPr>
          <w:color w:val="000000"/>
          <w:sz w:val="22"/>
          <w:szCs w:val="22"/>
        </w:rPr>
      </w:pPr>
      <w:r>
        <w:rPr>
          <w:color w:val="000000"/>
          <w:sz w:val="22"/>
          <w:szCs w:val="22"/>
        </w:rPr>
        <w:t>Descriptive paragraph</w:t>
      </w:r>
      <w:r w:rsidR="000B5411">
        <w:rPr>
          <w:color w:val="000000"/>
          <w:sz w:val="22"/>
          <w:szCs w:val="22"/>
        </w:rPr>
        <w:t xml:space="preserve">. The </w:t>
      </w:r>
      <w:r>
        <w:rPr>
          <w:color w:val="000000"/>
          <w:sz w:val="22"/>
          <w:szCs w:val="22"/>
        </w:rPr>
        <w:t>number of burden hours was updated</w:t>
      </w:r>
      <w:r w:rsidR="000B5411">
        <w:rPr>
          <w:color w:val="000000"/>
          <w:sz w:val="22"/>
          <w:szCs w:val="22"/>
        </w:rPr>
        <w:t>.</w:t>
      </w:r>
    </w:p>
    <w:p w14:paraId="200F0377" w14:textId="77777777" w:rsidR="000B5411" w:rsidRDefault="000B5411" w:rsidP="000D2DF6">
      <w:pPr>
        <w:numPr>
          <w:ilvl w:val="2"/>
          <w:numId w:val="17"/>
        </w:numPr>
        <w:rPr>
          <w:color w:val="000000"/>
          <w:sz w:val="22"/>
          <w:szCs w:val="22"/>
        </w:rPr>
      </w:pPr>
      <w:r>
        <w:rPr>
          <w:color w:val="000000"/>
          <w:sz w:val="22"/>
          <w:szCs w:val="22"/>
        </w:rPr>
        <w:t>Recordkeeping. HMIS overview of HOPWA elements were updated to reflect current HMIS elements.</w:t>
      </w:r>
    </w:p>
    <w:p w14:paraId="25E5718E" w14:textId="6EA82E2F" w:rsidR="006160B8" w:rsidRPr="006160B8" w:rsidRDefault="006160B8" w:rsidP="006160B8">
      <w:pPr>
        <w:numPr>
          <w:ilvl w:val="2"/>
          <w:numId w:val="17"/>
        </w:numPr>
        <w:rPr>
          <w:color w:val="000000"/>
          <w:sz w:val="22"/>
          <w:szCs w:val="22"/>
        </w:rPr>
      </w:pPr>
      <w:r>
        <w:rPr>
          <w:color w:val="000000"/>
          <w:sz w:val="22"/>
          <w:szCs w:val="22"/>
        </w:rPr>
        <w:t>Operating Year. This definition was updated to keep program terminology consistent through out the form.</w:t>
      </w:r>
    </w:p>
    <w:p w14:paraId="7B04BE20" w14:textId="33502D45" w:rsidR="000B5411" w:rsidRDefault="000B5411" w:rsidP="000D2DF6">
      <w:pPr>
        <w:numPr>
          <w:ilvl w:val="2"/>
          <w:numId w:val="17"/>
        </w:numPr>
        <w:rPr>
          <w:color w:val="000000"/>
          <w:sz w:val="22"/>
          <w:szCs w:val="22"/>
        </w:rPr>
      </w:pPr>
      <w:r>
        <w:rPr>
          <w:color w:val="000000"/>
          <w:sz w:val="22"/>
          <w:szCs w:val="22"/>
        </w:rPr>
        <w:t xml:space="preserve">Filing Requirements. The physical address was </w:t>
      </w:r>
      <w:r w:rsidR="00344FE4">
        <w:rPr>
          <w:color w:val="000000"/>
          <w:sz w:val="22"/>
          <w:szCs w:val="22"/>
        </w:rPr>
        <w:t>updated to include the correct room number.</w:t>
      </w:r>
    </w:p>
    <w:p w14:paraId="4EA513D4" w14:textId="4188D2B0" w:rsidR="006160B8" w:rsidRDefault="006160B8" w:rsidP="00200913">
      <w:pPr>
        <w:numPr>
          <w:ilvl w:val="2"/>
          <w:numId w:val="17"/>
        </w:numPr>
        <w:rPr>
          <w:color w:val="000000"/>
          <w:sz w:val="22"/>
          <w:szCs w:val="22"/>
        </w:rPr>
      </w:pPr>
      <w:r>
        <w:rPr>
          <w:color w:val="000000"/>
          <w:sz w:val="22"/>
          <w:szCs w:val="22"/>
        </w:rPr>
        <w:t xml:space="preserve">Central Contractor Registration (CCR) and </w:t>
      </w:r>
      <w:r w:rsidR="00200913" w:rsidRPr="00200913">
        <w:rPr>
          <w:color w:val="000000"/>
          <w:sz w:val="22"/>
          <w:szCs w:val="22"/>
        </w:rPr>
        <w:t xml:space="preserve">System of Award Management </w:t>
      </w:r>
      <w:r w:rsidR="00200913">
        <w:rPr>
          <w:color w:val="000000"/>
          <w:sz w:val="22"/>
          <w:szCs w:val="22"/>
        </w:rPr>
        <w:t>(</w:t>
      </w:r>
      <w:r>
        <w:rPr>
          <w:color w:val="000000"/>
          <w:sz w:val="22"/>
          <w:szCs w:val="22"/>
        </w:rPr>
        <w:t>SAM</w:t>
      </w:r>
      <w:r w:rsidR="00200913">
        <w:rPr>
          <w:color w:val="000000"/>
          <w:sz w:val="22"/>
          <w:szCs w:val="22"/>
        </w:rPr>
        <w:t>)</w:t>
      </w:r>
      <w:r>
        <w:rPr>
          <w:color w:val="000000"/>
          <w:sz w:val="22"/>
          <w:szCs w:val="22"/>
        </w:rPr>
        <w:t>. All references to CCR were removed and replaced with SAM.  CCR was incorporated into SAM and is no longer relevant to reference.</w:t>
      </w:r>
    </w:p>
    <w:p w14:paraId="7FFEBFEA" w14:textId="6EE41762" w:rsidR="00C9012F" w:rsidRDefault="00C9012F" w:rsidP="000D2DF6">
      <w:pPr>
        <w:numPr>
          <w:ilvl w:val="2"/>
          <w:numId w:val="17"/>
        </w:numPr>
        <w:rPr>
          <w:color w:val="000000"/>
          <w:sz w:val="22"/>
          <w:szCs w:val="22"/>
        </w:rPr>
      </w:pPr>
      <w:r>
        <w:rPr>
          <w:color w:val="000000"/>
          <w:sz w:val="22"/>
          <w:szCs w:val="22"/>
        </w:rPr>
        <w:t xml:space="preserve">Program Income. The citation was updated to reflect new 2 CFR </w:t>
      </w:r>
      <w:r w:rsidR="000C67AE">
        <w:rPr>
          <w:color w:val="000000"/>
          <w:sz w:val="22"/>
          <w:szCs w:val="22"/>
        </w:rPr>
        <w:t xml:space="preserve">part </w:t>
      </w:r>
      <w:r>
        <w:rPr>
          <w:color w:val="000000"/>
          <w:sz w:val="22"/>
          <w:szCs w:val="22"/>
        </w:rPr>
        <w:t>200 requirements.</w:t>
      </w:r>
    </w:p>
    <w:p w14:paraId="3F61F3F3" w14:textId="42D6D8A9" w:rsidR="006160B8" w:rsidRDefault="006160B8" w:rsidP="000D2DF6">
      <w:pPr>
        <w:numPr>
          <w:ilvl w:val="2"/>
          <w:numId w:val="17"/>
        </w:numPr>
        <w:rPr>
          <w:color w:val="000000"/>
          <w:sz w:val="22"/>
          <w:szCs w:val="22"/>
        </w:rPr>
      </w:pPr>
      <w:r>
        <w:rPr>
          <w:color w:val="000000"/>
          <w:sz w:val="22"/>
          <w:szCs w:val="22"/>
        </w:rPr>
        <w:t>Subrecipient. All references to subrecipients were removed</w:t>
      </w:r>
      <w:r w:rsidR="003124EE">
        <w:rPr>
          <w:color w:val="000000"/>
          <w:sz w:val="22"/>
          <w:szCs w:val="22"/>
        </w:rPr>
        <w:t xml:space="preserve">, including charts for subrecipients. This form will only capture information from the grantee and project sponsor. </w:t>
      </w:r>
    </w:p>
    <w:p w14:paraId="6B158298" w14:textId="77777777" w:rsidR="00C9012F" w:rsidRDefault="00C9012F" w:rsidP="000D2DF6">
      <w:pPr>
        <w:numPr>
          <w:ilvl w:val="1"/>
          <w:numId w:val="17"/>
        </w:numPr>
        <w:rPr>
          <w:color w:val="000000"/>
          <w:sz w:val="22"/>
          <w:szCs w:val="22"/>
        </w:rPr>
      </w:pPr>
      <w:r>
        <w:rPr>
          <w:color w:val="000000"/>
          <w:sz w:val="22"/>
          <w:szCs w:val="22"/>
        </w:rPr>
        <w:t xml:space="preserve">Part 2: Grantee Narrative and Assessment </w:t>
      </w:r>
    </w:p>
    <w:p w14:paraId="333FF489" w14:textId="77777777" w:rsidR="00C9012F" w:rsidRDefault="00344FE4" w:rsidP="000D2DF6">
      <w:pPr>
        <w:numPr>
          <w:ilvl w:val="2"/>
          <w:numId w:val="17"/>
        </w:numPr>
        <w:rPr>
          <w:color w:val="000000"/>
          <w:sz w:val="22"/>
          <w:szCs w:val="22"/>
        </w:rPr>
      </w:pPr>
      <w:r>
        <w:rPr>
          <w:color w:val="000000"/>
          <w:sz w:val="22"/>
          <w:szCs w:val="22"/>
        </w:rPr>
        <w:t>E</w:t>
      </w:r>
      <w:r w:rsidR="00C9012F">
        <w:rPr>
          <w:color w:val="000000"/>
          <w:sz w:val="22"/>
          <w:szCs w:val="22"/>
        </w:rPr>
        <w:t>. Unmet Housing Need. This section was removed. Grantees are no longer required to report on local unmet need.</w:t>
      </w:r>
    </w:p>
    <w:p w14:paraId="3794F43A" w14:textId="77777777" w:rsidR="00C9012F" w:rsidRDefault="00C9012F" w:rsidP="000D2DF6">
      <w:pPr>
        <w:numPr>
          <w:ilvl w:val="1"/>
          <w:numId w:val="17"/>
        </w:numPr>
        <w:rPr>
          <w:color w:val="000000"/>
          <w:sz w:val="22"/>
          <w:szCs w:val="22"/>
        </w:rPr>
      </w:pPr>
      <w:r>
        <w:rPr>
          <w:color w:val="000000"/>
          <w:sz w:val="22"/>
          <w:szCs w:val="22"/>
        </w:rPr>
        <w:t>Part 3: Summary Overview of Grant Activities</w:t>
      </w:r>
    </w:p>
    <w:p w14:paraId="686A2158" w14:textId="77777777" w:rsidR="00D14244" w:rsidRPr="000E29EE" w:rsidRDefault="00C9012F" w:rsidP="000D2DF6">
      <w:pPr>
        <w:numPr>
          <w:ilvl w:val="2"/>
          <w:numId w:val="17"/>
        </w:numPr>
        <w:rPr>
          <w:color w:val="000000"/>
          <w:sz w:val="22"/>
          <w:szCs w:val="22"/>
        </w:rPr>
      </w:pPr>
      <w:r>
        <w:rPr>
          <w:color w:val="000000"/>
          <w:sz w:val="22"/>
          <w:szCs w:val="22"/>
        </w:rPr>
        <w:t>Section 3: Households. The link to HUD-published area median income was updated.</w:t>
      </w:r>
    </w:p>
    <w:p w14:paraId="4A8E29B9" w14:textId="7F6310BD" w:rsidR="00760373" w:rsidRDefault="00760373" w:rsidP="000D2DF6">
      <w:pPr>
        <w:numPr>
          <w:ilvl w:val="0"/>
          <w:numId w:val="17"/>
        </w:numPr>
        <w:rPr>
          <w:color w:val="000000"/>
          <w:sz w:val="22"/>
          <w:szCs w:val="22"/>
        </w:rPr>
      </w:pPr>
      <w:r>
        <w:rPr>
          <w:color w:val="000000"/>
          <w:sz w:val="22"/>
          <w:szCs w:val="22"/>
        </w:rPr>
        <w:t xml:space="preserve">HUD-40110-D, HOPWA </w:t>
      </w:r>
      <w:r w:rsidR="00934CD0">
        <w:rPr>
          <w:color w:val="000000"/>
          <w:sz w:val="22"/>
          <w:szCs w:val="22"/>
        </w:rPr>
        <w:t>CAPER</w:t>
      </w:r>
    </w:p>
    <w:p w14:paraId="4AE3889B" w14:textId="77777777" w:rsidR="00D25D75" w:rsidRDefault="00D25D75" w:rsidP="00D25D75">
      <w:pPr>
        <w:numPr>
          <w:ilvl w:val="1"/>
          <w:numId w:val="17"/>
        </w:numPr>
        <w:rPr>
          <w:color w:val="000000"/>
          <w:sz w:val="22"/>
          <w:szCs w:val="22"/>
        </w:rPr>
      </w:pPr>
      <w:r>
        <w:rPr>
          <w:color w:val="000000"/>
          <w:sz w:val="22"/>
          <w:szCs w:val="22"/>
        </w:rPr>
        <w:t>Cover page and Overview pages.</w:t>
      </w:r>
    </w:p>
    <w:p w14:paraId="15FC7974" w14:textId="77777777" w:rsidR="00260D23" w:rsidRDefault="00260D23" w:rsidP="00260D23">
      <w:pPr>
        <w:numPr>
          <w:ilvl w:val="2"/>
          <w:numId w:val="17"/>
        </w:numPr>
        <w:rPr>
          <w:color w:val="000000"/>
          <w:sz w:val="22"/>
          <w:szCs w:val="22"/>
        </w:rPr>
      </w:pPr>
      <w:r>
        <w:rPr>
          <w:color w:val="000000"/>
          <w:sz w:val="22"/>
          <w:szCs w:val="22"/>
        </w:rPr>
        <w:t>Descriptive paragraph. The number of burden hours was updated.</w:t>
      </w:r>
    </w:p>
    <w:p w14:paraId="11CC1423" w14:textId="77777777" w:rsidR="00260D23" w:rsidRDefault="00260D23" w:rsidP="00260D23">
      <w:pPr>
        <w:numPr>
          <w:ilvl w:val="2"/>
          <w:numId w:val="17"/>
        </w:numPr>
        <w:rPr>
          <w:color w:val="000000"/>
          <w:sz w:val="22"/>
          <w:szCs w:val="22"/>
        </w:rPr>
      </w:pPr>
      <w:r>
        <w:rPr>
          <w:color w:val="000000"/>
          <w:sz w:val="22"/>
          <w:szCs w:val="22"/>
        </w:rPr>
        <w:t>Recordkeeping. HMIS overview of HOPWA elements were updated to reflect current HMIS elements.</w:t>
      </w:r>
    </w:p>
    <w:p w14:paraId="566315D2" w14:textId="7C1E195A" w:rsidR="006160B8" w:rsidRDefault="006160B8" w:rsidP="00260D23">
      <w:pPr>
        <w:numPr>
          <w:ilvl w:val="2"/>
          <w:numId w:val="17"/>
        </w:numPr>
        <w:rPr>
          <w:color w:val="000000"/>
          <w:sz w:val="22"/>
          <w:szCs w:val="22"/>
        </w:rPr>
      </w:pPr>
      <w:r>
        <w:rPr>
          <w:color w:val="000000"/>
          <w:sz w:val="22"/>
          <w:szCs w:val="22"/>
        </w:rPr>
        <w:t>Operating Year. This definition was updated to keep program terminology consistent through out the form.</w:t>
      </w:r>
    </w:p>
    <w:p w14:paraId="5D2D30A5" w14:textId="5DAD24A1" w:rsidR="00260D23" w:rsidRDefault="00260D23" w:rsidP="00260D23">
      <w:pPr>
        <w:numPr>
          <w:ilvl w:val="2"/>
          <w:numId w:val="17"/>
        </w:numPr>
        <w:rPr>
          <w:color w:val="000000"/>
          <w:sz w:val="22"/>
          <w:szCs w:val="22"/>
        </w:rPr>
      </w:pPr>
      <w:r>
        <w:rPr>
          <w:color w:val="000000"/>
          <w:sz w:val="22"/>
          <w:szCs w:val="22"/>
        </w:rPr>
        <w:t>Filing Requirements. The physical address was updated to include the correct room number.</w:t>
      </w:r>
    </w:p>
    <w:p w14:paraId="0BB44DAA" w14:textId="7103B334" w:rsidR="006160B8" w:rsidRPr="006160B8" w:rsidRDefault="006160B8" w:rsidP="006160B8">
      <w:pPr>
        <w:numPr>
          <w:ilvl w:val="2"/>
          <w:numId w:val="17"/>
        </w:numPr>
        <w:rPr>
          <w:color w:val="000000"/>
          <w:sz w:val="22"/>
          <w:szCs w:val="22"/>
        </w:rPr>
      </w:pPr>
      <w:r>
        <w:rPr>
          <w:color w:val="000000"/>
          <w:sz w:val="22"/>
          <w:szCs w:val="22"/>
        </w:rPr>
        <w:t>CCR and SAM. All references to CCR were removed and replaced with SAM. CCR was incorporated into SAM and is no longer relevant to reference.</w:t>
      </w:r>
    </w:p>
    <w:p w14:paraId="29B0110B" w14:textId="6000E08A" w:rsidR="00260D23" w:rsidRDefault="00260D23" w:rsidP="00260D23">
      <w:pPr>
        <w:numPr>
          <w:ilvl w:val="2"/>
          <w:numId w:val="17"/>
        </w:numPr>
        <w:rPr>
          <w:color w:val="000000"/>
          <w:sz w:val="22"/>
          <w:szCs w:val="22"/>
        </w:rPr>
      </w:pPr>
      <w:r>
        <w:rPr>
          <w:color w:val="000000"/>
          <w:sz w:val="22"/>
          <w:szCs w:val="22"/>
        </w:rPr>
        <w:t xml:space="preserve">Program Income. The citation was updated to reflect new 2 CFR </w:t>
      </w:r>
      <w:r w:rsidR="000C67AE">
        <w:rPr>
          <w:color w:val="000000"/>
          <w:sz w:val="22"/>
          <w:szCs w:val="22"/>
        </w:rPr>
        <w:t xml:space="preserve">part </w:t>
      </w:r>
      <w:r>
        <w:rPr>
          <w:color w:val="000000"/>
          <w:sz w:val="22"/>
          <w:szCs w:val="22"/>
        </w:rPr>
        <w:t>200 requirements.</w:t>
      </w:r>
    </w:p>
    <w:p w14:paraId="1CB3001A" w14:textId="5FB2CAEC" w:rsidR="003124EE" w:rsidRPr="003124EE" w:rsidRDefault="003124EE" w:rsidP="003124EE">
      <w:pPr>
        <w:numPr>
          <w:ilvl w:val="2"/>
          <w:numId w:val="17"/>
        </w:numPr>
        <w:rPr>
          <w:color w:val="000000"/>
          <w:sz w:val="22"/>
          <w:szCs w:val="22"/>
        </w:rPr>
      </w:pPr>
      <w:r>
        <w:rPr>
          <w:color w:val="000000"/>
          <w:sz w:val="22"/>
          <w:szCs w:val="22"/>
        </w:rPr>
        <w:t xml:space="preserve">Subrecipient. All references to subrecipients were removed, including charts for subrecipients. This form will only capture information from the grantee and project sponsor. </w:t>
      </w:r>
    </w:p>
    <w:p w14:paraId="628AAA70" w14:textId="77777777" w:rsidR="00D25D75" w:rsidRDefault="00D25D75" w:rsidP="00D25D75">
      <w:pPr>
        <w:numPr>
          <w:ilvl w:val="1"/>
          <w:numId w:val="17"/>
        </w:numPr>
        <w:rPr>
          <w:color w:val="000000"/>
          <w:sz w:val="22"/>
          <w:szCs w:val="22"/>
        </w:rPr>
      </w:pPr>
      <w:r>
        <w:rPr>
          <w:color w:val="000000"/>
          <w:sz w:val="22"/>
          <w:szCs w:val="22"/>
        </w:rPr>
        <w:t xml:space="preserve">Part </w:t>
      </w:r>
      <w:r w:rsidR="00B43A9B">
        <w:rPr>
          <w:color w:val="000000"/>
          <w:sz w:val="22"/>
          <w:szCs w:val="22"/>
        </w:rPr>
        <w:t>1</w:t>
      </w:r>
      <w:r>
        <w:rPr>
          <w:color w:val="000000"/>
          <w:sz w:val="22"/>
          <w:szCs w:val="22"/>
        </w:rPr>
        <w:t xml:space="preserve">: </w:t>
      </w:r>
      <w:r w:rsidR="00B43A9B">
        <w:rPr>
          <w:color w:val="000000"/>
          <w:sz w:val="22"/>
          <w:szCs w:val="22"/>
        </w:rPr>
        <w:t xml:space="preserve">5. </w:t>
      </w:r>
      <w:r>
        <w:rPr>
          <w:color w:val="000000"/>
          <w:sz w:val="22"/>
          <w:szCs w:val="22"/>
        </w:rPr>
        <w:t xml:space="preserve">Grantee Narrative and </w:t>
      </w:r>
      <w:r w:rsidR="00B43A9B">
        <w:rPr>
          <w:color w:val="000000"/>
          <w:sz w:val="22"/>
          <w:szCs w:val="22"/>
        </w:rPr>
        <w:t xml:space="preserve">Performance </w:t>
      </w:r>
      <w:r>
        <w:rPr>
          <w:color w:val="000000"/>
          <w:sz w:val="22"/>
          <w:szCs w:val="22"/>
        </w:rPr>
        <w:t xml:space="preserve">Assessment </w:t>
      </w:r>
    </w:p>
    <w:p w14:paraId="7CB9638D" w14:textId="77777777" w:rsidR="00D25D75" w:rsidRDefault="00B43A9B" w:rsidP="00D25D75">
      <w:pPr>
        <w:numPr>
          <w:ilvl w:val="2"/>
          <w:numId w:val="17"/>
        </w:numPr>
        <w:rPr>
          <w:color w:val="000000"/>
          <w:sz w:val="22"/>
          <w:szCs w:val="22"/>
        </w:rPr>
      </w:pPr>
      <w:r>
        <w:rPr>
          <w:color w:val="000000"/>
          <w:sz w:val="22"/>
          <w:szCs w:val="22"/>
        </w:rPr>
        <w:t>d</w:t>
      </w:r>
      <w:r w:rsidR="00D25D75">
        <w:rPr>
          <w:color w:val="000000"/>
          <w:sz w:val="22"/>
          <w:szCs w:val="22"/>
        </w:rPr>
        <w:t>. Unmet Housing Need. This section was removed. Grantees are no longer required to report on local unmet need.</w:t>
      </w:r>
    </w:p>
    <w:p w14:paraId="6F2D0265" w14:textId="77777777" w:rsidR="002F4F33" w:rsidRDefault="002F4F33" w:rsidP="000D2DF6">
      <w:pPr>
        <w:numPr>
          <w:ilvl w:val="1"/>
          <w:numId w:val="17"/>
        </w:numPr>
        <w:rPr>
          <w:color w:val="000000"/>
          <w:sz w:val="22"/>
          <w:szCs w:val="22"/>
        </w:rPr>
      </w:pPr>
      <w:r>
        <w:rPr>
          <w:color w:val="000000"/>
          <w:sz w:val="22"/>
          <w:szCs w:val="22"/>
        </w:rPr>
        <w:t>Part 3. Accomplishment Data</w:t>
      </w:r>
    </w:p>
    <w:p w14:paraId="2CC1C55E" w14:textId="77777777" w:rsidR="002F4F33" w:rsidRPr="000D2DF6" w:rsidRDefault="002F4F33" w:rsidP="00FE04B9">
      <w:pPr>
        <w:numPr>
          <w:ilvl w:val="2"/>
          <w:numId w:val="17"/>
        </w:numPr>
        <w:rPr>
          <w:color w:val="000000"/>
          <w:sz w:val="22"/>
          <w:szCs w:val="22"/>
        </w:rPr>
      </w:pPr>
      <w:r>
        <w:rPr>
          <w:color w:val="000000"/>
          <w:sz w:val="22"/>
          <w:szCs w:val="22"/>
        </w:rPr>
        <w:t>Opening paragraph. References to reporting in IDIS were removed.</w:t>
      </w:r>
      <w:r w:rsidR="0080589B">
        <w:rPr>
          <w:color w:val="000000"/>
          <w:sz w:val="22"/>
          <w:szCs w:val="22"/>
        </w:rPr>
        <w:t xml:space="preserve"> </w:t>
      </w:r>
      <w:r w:rsidR="0080589B" w:rsidRPr="000D2DF6">
        <w:rPr>
          <w:color w:val="000000"/>
          <w:sz w:val="22"/>
          <w:szCs w:val="22"/>
        </w:rPr>
        <w:t>Grantees are no longer required to use IDIS for the reporting of Accomplishment Data.</w:t>
      </w:r>
    </w:p>
    <w:p w14:paraId="20BD778C" w14:textId="77777777" w:rsidR="002F4F33" w:rsidRDefault="002F4F33" w:rsidP="002F4F33">
      <w:pPr>
        <w:numPr>
          <w:ilvl w:val="1"/>
          <w:numId w:val="17"/>
        </w:numPr>
        <w:rPr>
          <w:color w:val="000000"/>
          <w:sz w:val="22"/>
          <w:szCs w:val="22"/>
        </w:rPr>
      </w:pPr>
      <w:r>
        <w:rPr>
          <w:color w:val="000000"/>
          <w:sz w:val="22"/>
          <w:szCs w:val="22"/>
        </w:rPr>
        <w:t xml:space="preserve">Part </w:t>
      </w:r>
      <w:r w:rsidR="00B43A9B">
        <w:rPr>
          <w:color w:val="000000"/>
          <w:sz w:val="22"/>
          <w:szCs w:val="22"/>
        </w:rPr>
        <w:t>7</w:t>
      </w:r>
      <w:r>
        <w:rPr>
          <w:color w:val="000000"/>
          <w:sz w:val="22"/>
          <w:szCs w:val="22"/>
        </w:rPr>
        <w:t xml:space="preserve">: </w:t>
      </w:r>
      <w:r w:rsidR="00B43A9B">
        <w:rPr>
          <w:color w:val="000000"/>
          <w:sz w:val="22"/>
          <w:szCs w:val="22"/>
        </w:rPr>
        <w:t>Summary Overview of Grant Activities</w:t>
      </w:r>
    </w:p>
    <w:p w14:paraId="1FA00BE1" w14:textId="77777777" w:rsidR="00B43A9B" w:rsidRPr="00B54C04" w:rsidRDefault="00B43A9B" w:rsidP="00B43A9B">
      <w:pPr>
        <w:numPr>
          <w:ilvl w:val="2"/>
          <w:numId w:val="17"/>
        </w:numPr>
        <w:rPr>
          <w:color w:val="000000"/>
          <w:sz w:val="22"/>
          <w:szCs w:val="22"/>
        </w:rPr>
      </w:pPr>
      <w:r>
        <w:rPr>
          <w:color w:val="000000"/>
          <w:sz w:val="22"/>
          <w:szCs w:val="22"/>
        </w:rPr>
        <w:t>Section 3: Households. The link to HUD-published area median income was updated.</w:t>
      </w:r>
    </w:p>
    <w:p w14:paraId="59F47E4B" w14:textId="77777777" w:rsidR="00696B16" w:rsidRPr="003B27A6" w:rsidRDefault="00D76070">
      <w:pPr>
        <w:tabs>
          <w:tab w:val="left" w:pos="360"/>
        </w:tabs>
        <w:rPr>
          <w:color w:val="000000"/>
          <w:sz w:val="22"/>
          <w:szCs w:val="22"/>
        </w:rPr>
      </w:pPr>
      <w:r>
        <w:rPr>
          <w:color w:val="000000"/>
          <w:sz w:val="22"/>
          <w:szCs w:val="22"/>
        </w:rPr>
        <w:t xml:space="preserve">  </w:t>
      </w:r>
    </w:p>
    <w:p w14:paraId="139DEEFF" w14:textId="77777777" w:rsidR="00D73EE7" w:rsidRPr="003B27A6" w:rsidRDefault="00D73EE7" w:rsidP="003B27A6">
      <w:pPr>
        <w:pStyle w:val="BodyTextIndent"/>
        <w:rPr>
          <w:szCs w:val="22"/>
        </w:rPr>
      </w:pPr>
      <w:r w:rsidRPr="003B27A6">
        <w:rPr>
          <w:szCs w:val="22"/>
        </w:rPr>
        <w:t>3.</w:t>
      </w:r>
      <w:r w:rsidRPr="003B27A6">
        <w:rPr>
          <w:szCs w:val="22"/>
        </w:rPr>
        <w:tab/>
      </w:r>
      <w:r w:rsidR="003B27A6">
        <w:rPr>
          <w:szCs w:val="22"/>
        </w:rPr>
        <w:t>Electronic submission of information.</w:t>
      </w:r>
    </w:p>
    <w:p w14:paraId="2CE667C2" w14:textId="77777777" w:rsidR="00A141E6" w:rsidRDefault="00A72A07" w:rsidP="00A72A07">
      <w:pPr>
        <w:tabs>
          <w:tab w:val="left" w:pos="0"/>
        </w:tabs>
        <w:rPr>
          <w:color w:val="000000"/>
          <w:sz w:val="22"/>
          <w:szCs w:val="22"/>
        </w:rPr>
      </w:pPr>
      <w:r w:rsidRPr="003B27A6">
        <w:rPr>
          <w:color w:val="000000"/>
          <w:sz w:val="22"/>
          <w:szCs w:val="22"/>
        </w:rPr>
        <w:t xml:space="preserve">All competitive grant applications are submitted electronically. The </w:t>
      </w:r>
      <w:r w:rsidR="00466396">
        <w:rPr>
          <w:color w:val="000000"/>
          <w:sz w:val="22"/>
          <w:szCs w:val="22"/>
        </w:rPr>
        <w:t>applications</w:t>
      </w:r>
      <w:r w:rsidR="00466396" w:rsidRPr="003B27A6">
        <w:rPr>
          <w:color w:val="000000"/>
          <w:sz w:val="22"/>
          <w:szCs w:val="22"/>
        </w:rPr>
        <w:t xml:space="preserve"> </w:t>
      </w:r>
      <w:r w:rsidRPr="003B27A6">
        <w:rPr>
          <w:color w:val="000000"/>
          <w:sz w:val="22"/>
          <w:szCs w:val="22"/>
        </w:rPr>
        <w:t xml:space="preserve">for new competitive grants </w:t>
      </w:r>
      <w:r w:rsidR="00466396">
        <w:rPr>
          <w:color w:val="000000"/>
          <w:sz w:val="22"/>
          <w:szCs w:val="22"/>
        </w:rPr>
        <w:t>are</w:t>
      </w:r>
      <w:r w:rsidRPr="003B27A6">
        <w:rPr>
          <w:color w:val="000000"/>
          <w:sz w:val="22"/>
          <w:szCs w:val="22"/>
        </w:rPr>
        <w:t xml:space="preserve"> submitted through Grants.gov</w:t>
      </w:r>
      <w:r w:rsidR="00466396">
        <w:rPr>
          <w:color w:val="000000"/>
          <w:sz w:val="22"/>
          <w:szCs w:val="22"/>
        </w:rPr>
        <w:t>, and starting in FY17</w:t>
      </w:r>
      <w:r w:rsidR="00A3391A">
        <w:rPr>
          <w:color w:val="000000"/>
          <w:sz w:val="22"/>
          <w:szCs w:val="22"/>
        </w:rPr>
        <w:t>,</w:t>
      </w:r>
      <w:r w:rsidR="00466396">
        <w:rPr>
          <w:color w:val="000000"/>
          <w:sz w:val="22"/>
          <w:szCs w:val="22"/>
        </w:rPr>
        <w:t xml:space="preserve"> renewal applicants will submit applications through </w:t>
      </w:r>
      <w:r w:rsidR="00E9425C">
        <w:rPr>
          <w:color w:val="000000"/>
          <w:sz w:val="22"/>
          <w:szCs w:val="22"/>
        </w:rPr>
        <w:t xml:space="preserve">the </w:t>
      </w:r>
      <w:r w:rsidR="00466396">
        <w:rPr>
          <w:color w:val="000000"/>
          <w:sz w:val="22"/>
          <w:szCs w:val="22"/>
        </w:rPr>
        <w:t xml:space="preserve">GrantSolutions online system, Grants </w:t>
      </w:r>
      <w:r w:rsidR="003016EA">
        <w:rPr>
          <w:color w:val="000000"/>
          <w:sz w:val="22"/>
          <w:szCs w:val="22"/>
        </w:rPr>
        <w:t>Management</w:t>
      </w:r>
      <w:r w:rsidR="00466396">
        <w:rPr>
          <w:color w:val="000000"/>
          <w:sz w:val="22"/>
          <w:szCs w:val="22"/>
        </w:rPr>
        <w:t xml:space="preserve"> Module</w:t>
      </w:r>
      <w:r w:rsidR="00E9425C">
        <w:rPr>
          <w:color w:val="000000"/>
          <w:sz w:val="22"/>
          <w:szCs w:val="22"/>
        </w:rPr>
        <w:t xml:space="preserve"> (GMM)</w:t>
      </w:r>
      <w:r w:rsidR="00466396">
        <w:rPr>
          <w:color w:val="000000"/>
          <w:sz w:val="22"/>
          <w:szCs w:val="22"/>
        </w:rPr>
        <w:t>. The only forms currently fillable</w:t>
      </w:r>
      <w:r w:rsidR="00E9425C">
        <w:rPr>
          <w:color w:val="000000"/>
          <w:sz w:val="22"/>
          <w:szCs w:val="22"/>
        </w:rPr>
        <w:t xml:space="preserve"> through these systems</w:t>
      </w:r>
      <w:r w:rsidR="00466396">
        <w:rPr>
          <w:color w:val="000000"/>
          <w:sz w:val="22"/>
          <w:szCs w:val="22"/>
        </w:rPr>
        <w:t xml:space="preserve"> for the online submission are the SF424 and the SFLLL. </w:t>
      </w:r>
      <w:r w:rsidR="00A141E6">
        <w:rPr>
          <w:color w:val="000000"/>
          <w:sz w:val="22"/>
          <w:szCs w:val="22"/>
        </w:rPr>
        <w:t>All forms covered under this approval will be uploaded to these online systems once completed.</w:t>
      </w:r>
    </w:p>
    <w:p w14:paraId="1E273D05" w14:textId="77777777" w:rsidR="00A141E6" w:rsidRDefault="00A141E6" w:rsidP="00A72A07">
      <w:pPr>
        <w:tabs>
          <w:tab w:val="left" w:pos="0"/>
        </w:tabs>
        <w:rPr>
          <w:color w:val="000000"/>
          <w:sz w:val="22"/>
          <w:szCs w:val="22"/>
        </w:rPr>
      </w:pPr>
    </w:p>
    <w:p w14:paraId="625C9D7D" w14:textId="77777777" w:rsidR="00D73EE7" w:rsidRPr="003B27A6" w:rsidRDefault="00E9425C" w:rsidP="00267E0E">
      <w:pPr>
        <w:tabs>
          <w:tab w:val="left" w:pos="0"/>
        </w:tabs>
        <w:rPr>
          <w:color w:val="000000"/>
          <w:sz w:val="22"/>
          <w:szCs w:val="22"/>
        </w:rPr>
      </w:pPr>
      <w:r>
        <w:rPr>
          <w:color w:val="000000"/>
          <w:sz w:val="22"/>
          <w:szCs w:val="22"/>
        </w:rPr>
        <w:t>At this time, the APR and CAPER are utilize</w:t>
      </w:r>
      <w:r w:rsidR="003016EA">
        <w:rPr>
          <w:color w:val="000000"/>
          <w:sz w:val="22"/>
          <w:szCs w:val="22"/>
        </w:rPr>
        <w:t>d</w:t>
      </w:r>
      <w:r>
        <w:rPr>
          <w:color w:val="000000"/>
          <w:sz w:val="22"/>
          <w:szCs w:val="22"/>
        </w:rPr>
        <w:t xml:space="preserve"> through a paper-based information collecting system in which </w:t>
      </w:r>
      <w:r w:rsidR="003016EA">
        <w:rPr>
          <w:color w:val="000000"/>
          <w:sz w:val="22"/>
          <w:szCs w:val="22"/>
        </w:rPr>
        <w:t>performance</w:t>
      </w:r>
      <w:r>
        <w:rPr>
          <w:color w:val="000000"/>
          <w:sz w:val="22"/>
          <w:szCs w:val="22"/>
        </w:rPr>
        <w:t xml:space="preserve"> data is entered into an </w:t>
      </w:r>
      <w:r w:rsidR="003016EA">
        <w:rPr>
          <w:color w:val="000000"/>
          <w:sz w:val="22"/>
          <w:szCs w:val="22"/>
        </w:rPr>
        <w:t>Access</w:t>
      </w:r>
      <w:r>
        <w:rPr>
          <w:color w:val="000000"/>
          <w:sz w:val="22"/>
          <w:szCs w:val="22"/>
        </w:rPr>
        <w:t xml:space="preserve"> database system after the grantee submits their report to HUD. Part of the work to further update and streamline the APR and CAPER involves making the reporting form available in an electronic form that allows completion electronically. Currently, grantees submit completed APRs and CAPERs via email to HUD.</w:t>
      </w:r>
    </w:p>
    <w:p w14:paraId="1612B8DA" w14:textId="77777777" w:rsidR="00696B16" w:rsidRPr="003B27A6" w:rsidRDefault="00696B16">
      <w:pPr>
        <w:tabs>
          <w:tab w:val="left" w:pos="360"/>
        </w:tabs>
        <w:ind w:left="360" w:hanging="360"/>
        <w:rPr>
          <w:color w:val="000000"/>
          <w:sz w:val="22"/>
          <w:szCs w:val="22"/>
        </w:rPr>
      </w:pPr>
    </w:p>
    <w:p w14:paraId="674A4102" w14:textId="77777777" w:rsidR="00D73EE7" w:rsidRPr="003B27A6" w:rsidRDefault="00D73EE7">
      <w:pPr>
        <w:keepLines/>
        <w:tabs>
          <w:tab w:val="left" w:pos="360"/>
        </w:tabs>
        <w:spacing w:after="80"/>
        <w:ind w:left="360" w:hanging="360"/>
        <w:rPr>
          <w:color w:val="000000"/>
          <w:sz w:val="22"/>
          <w:szCs w:val="22"/>
        </w:rPr>
      </w:pPr>
      <w:r w:rsidRPr="003B27A6">
        <w:rPr>
          <w:color w:val="000000"/>
          <w:sz w:val="22"/>
          <w:szCs w:val="22"/>
        </w:rPr>
        <w:t>4.</w:t>
      </w:r>
      <w:r w:rsidRPr="003B27A6">
        <w:rPr>
          <w:color w:val="000000"/>
          <w:sz w:val="22"/>
          <w:szCs w:val="22"/>
        </w:rPr>
        <w:tab/>
      </w:r>
      <w:r w:rsidR="003B27A6">
        <w:rPr>
          <w:color w:val="000000"/>
          <w:sz w:val="22"/>
          <w:szCs w:val="22"/>
        </w:rPr>
        <w:t>Identification of information duplication.</w:t>
      </w:r>
    </w:p>
    <w:p w14:paraId="26ACE450" w14:textId="6AFD88CE" w:rsidR="00A72A07" w:rsidRDefault="00A72A07" w:rsidP="000D2DF6">
      <w:pPr>
        <w:keepLines/>
        <w:tabs>
          <w:tab w:val="left" w:pos="0"/>
        </w:tabs>
        <w:spacing w:before="240" w:after="80"/>
        <w:rPr>
          <w:color w:val="000000"/>
          <w:sz w:val="22"/>
          <w:szCs w:val="22"/>
        </w:rPr>
      </w:pPr>
      <w:r w:rsidRPr="003B27A6">
        <w:rPr>
          <w:color w:val="000000"/>
          <w:sz w:val="22"/>
          <w:szCs w:val="22"/>
        </w:rPr>
        <w:t>Competitive grant application information</w:t>
      </w:r>
      <w:r w:rsidR="00867DDE" w:rsidRPr="003B27A6">
        <w:rPr>
          <w:color w:val="000000"/>
          <w:sz w:val="22"/>
          <w:szCs w:val="22"/>
        </w:rPr>
        <w:t xml:space="preserve"> (including narratives)</w:t>
      </w:r>
      <w:r w:rsidRPr="003B27A6">
        <w:rPr>
          <w:color w:val="000000"/>
          <w:sz w:val="22"/>
          <w:szCs w:val="22"/>
        </w:rPr>
        <w:t xml:space="preserve"> is only collected when applicants choose to apply for a HOPWA competitive grant. This information is not collected elsewhere. </w:t>
      </w:r>
      <w:r w:rsidR="00A141E6">
        <w:rPr>
          <w:color w:val="000000"/>
          <w:sz w:val="22"/>
          <w:szCs w:val="22"/>
        </w:rPr>
        <w:t>With the introduction of the GrantSolutions online system</w:t>
      </w:r>
      <w:r w:rsidR="00E9425C">
        <w:rPr>
          <w:color w:val="000000"/>
          <w:sz w:val="22"/>
          <w:szCs w:val="22"/>
        </w:rPr>
        <w:t xml:space="preserve"> </w:t>
      </w:r>
      <w:r w:rsidR="00A141E6">
        <w:rPr>
          <w:color w:val="000000"/>
          <w:sz w:val="22"/>
          <w:szCs w:val="22"/>
        </w:rPr>
        <w:t xml:space="preserve">for HOPWA competitive renewal grants in FY17, renewal grantee accounts will be linked to the System of Award Management (SAM). The </w:t>
      </w:r>
      <w:r w:rsidR="003016EA">
        <w:rPr>
          <w:color w:val="000000"/>
          <w:sz w:val="22"/>
          <w:szCs w:val="22"/>
        </w:rPr>
        <w:t>initial</w:t>
      </w:r>
      <w:r w:rsidR="00A141E6">
        <w:rPr>
          <w:color w:val="000000"/>
          <w:sz w:val="22"/>
          <w:szCs w:val="22"/>
        </w:rPr>
        <w:t xml:space="preserve"> renewal application in GrantSolutions will require grantee verification by HUD, then subsequent renewal applications will only require verification of the already submitted information by the renewal applicant.   </w:t>
      </w:r>
    </w:p>
    <w:p w14:paraId="51BF8AD5" w14:textId="30B843B2" w:rsidR="00053B4C" w:rsidRDefault="00053B4C" w:rsidP="000D2DF6">
      <w:pPr>
        <w:keepLines/>
        <w:tabs>
          <w:tab w:val="left" w:pos="0"/>
        </w:tabs>
        <w:spacing w:before="240" w:after="80"/>
        <w:rPr>
          <w:color w:val="000000"/>
          <w:sz w:val="22"/>
          <w:szCs w:val="22"/>
        </w:rPr>
      </w:pPr>
      <w:r>
        <w:rPr>
          <w:color w:val="000000"/>
          <w:sz w:val="22"/>
          <w:szCs w:val="22"/>
        </w:rPr>
        <w:t xml:space="preserve">The Transparency Act Compliance section was removed from the form HUD-40110-B to reduce duplication of information submitted by applicants and grantees. </w:t>
      </w:r>
      <w:r w:rsidRPr="00053B4C">
        <w:rPr>
          <w:color w:val="000000"/>
          <w:sz w:val="22"/>
          <w:szCs w:val="22"/>
        </w:rPr>
        <w:t xml:space="preserve">All grantees are required to enter this information </w:t>
      </w:r>
      <w:r w:rsidR="00934CD0">
        <w:rPr>
          <w:color w:val="000000"/>
          <w:sz w:val="22"/>
          <w:szCs w:val="22"/>
        </w:rPr>
        <w:t xml:space="preserve">into </w:t>
      </w:r>
      <w:r w:rsidR="000C2A55">
        <w:rPr>
          <w:color w:val="000000"/>
          <w:sz w:val="22"/>
          <w:szCs w:val="22"/>
        </w:rPr>
        <w:t>FSRS</w:t>
      </w:r>
      <w:r w:rsidRPr="00053B4C">
        <w:rPr>
          <w:color w:val="000000"/>
          <w:sz w:val="22"/>
          <w:szCs w:val="22"/>
        </w:rPr>
        <w:t xml:space="preserve"> so it is no longer necessary to collect this information here.</w:t>
      </w:r>
      <w:r>
        <w:rPr>
          <w:color w:val="000000"/>
          <w:sz w:val="22"/>
          <w:szCs w:val="22"/>
        </w:rPr>
        <w:t xml:space="preserve"> </w:t>
      </w:r>
    </w:p>
    <w:p w14:paraId="3C3DE8F1" w14:textId="77777777" w:rsidR="00183FA6" w:rsidRDefault="00183FA6" w:rsidP="000D2DF6">
      <w:pPr>
        <w:keepLines/>
        <w:tabs>
          <w:tab w:val="left" w:pos="0"/>
        </w:tabs>
        <w:spacing w:before="240" w:after="80"/>
        <w:rPr>
          <w:color w:val="000000"/>
          <w:sz w:val="22"/>
          <w:szCs w:val="22"/>
        </w:rPr>
      </w:pPr>
      <w:r>
        <w:rPr>
          <w:color w:val="000000"/>
          <w:sz w:val="22"/>
          <w:szCs w:val="22"/>
        </w:rPr>
        <w:t xml:space="preserve">The unmet need assessment was also removed in the APR and CAPER. This information will now be provided by HUD to grantees so there is a uniform calculation of unmet </w:t>
      </w:r>
      <w:r w:rsidR="00A3391A">
        <w:rPr>
          <w:color w:val="000000"/>
          <w:sz w:val="22"/>
          <w:szCs w:val="22"/>
        </w:rPr>
        <w:t xml:space="preserve">need </w:t>
      </w:r>
      <w:r>
        <w:rPr>
          <w:color w:val="000000"/>
          <w:sz w:val="22"/>
          <w:szCs w:val="22"/>
        </w:rPr>
        <w:t>across the nation. Grantees will not be asked to duplicate work being done at the national level.</w:t>
      </w:r>
    </w:p>
    <w:p w14:paraId="2E1E3E0B" w14:textId="77777777" w:rsidR="00D73EE7" w:rsidRPr="003B27A6" w:rsidRDefault="00D73EE7">
      <w:pPr>
        <w:tabs>
          <w:tab w:val="left" w:pos="360"/>
        </w:tabs>
        <w:ind w:left="360" w:hanging="360"/>
        <w:rPr>
          <w:color w:val="000000"/>
          <w:sz w:val="22"/>
          <w:szCs w:val="22"/>
        </w:rPr>
      </w:pPr>
    </w:p>
    <w:p w14:paraId="593EF354" w14:textId="77777777" w:rsidR="00D73EE7" w:rsidRPr="003B27A6" w:rsidRDefault="00D73EE7">
      <w:pPr>
        <w:keepLines/>
        <w:tabs>
          <w:tab w:val="left" w:pos="360"/>
        </w:tabs>
        <w:spacing w:after="80"/>
        <w:ind w:left="360" w:hanging="360"/>
        <w:rPr>
          <w:color w:val="000000"/>
          <w:sz w:val="22"/>
          <w:szCs w:val="22"/>
        </w:rPr>
      </w:pPr>
      <w:r w:rsidRPr="003B27A6">
        <w:rPr>
          <w:color w:val="000000"/>
          <w:sz w:val="22"/>
          <w:szCs w:val="22"/>
        </w:rPr>
        <w:t>5.</w:t>
      </w:r>
      <w:r w:rsidRPr="003B27A6">
        <w:rPr>
          <w:color w:val="000000"/>
          <w:sz w:val="22"/>
          <w:szCs w:val="22"/>
        </w:rPr>
        <w:tab/>
      </w:r>
      <w:r w:rsidR="003B27A6">
        <w:rPr>
          <w:color w:val="000000"/>
          <w:sz w:val="22"/>
          <w:szCs w:val="22"/>
        </w:rPr>
        <w:t>I</w:t>
      </w:r>
      <w:r w:rsidRPr="003B27A6">
        <w:rPr>
          <w:color w:val="000000"/>
          <w:sz w:val="22"/>
          <w:szCs w:val="22"/>
        </w:rPr>
        <w:t xml:space="preserve">mpact </w:t>
      </w:r>
      <w:r w:rsidR="003B27A6">
        <w:rPr>
          <w:color w:val="000000"/>
          <w:sz w:val="22"/>
          <w:szCs w:val="22"/>
        </w:rPr>
        <w:t xml:space="preserve">on </w:t>
      </w:r>
      <w:r w:rsidRPr="003B27A6">
        <w:rPr>
          <w:color w:val="000000"/>
          <w:sz w:val="22"/>
          <w:szCs w:val="22"/>
        </w:rPr>
        <w:t>small bus</w:t>
      </w:r>
      <w:r w:rsidR="003B27A6">
        <w:rPr>
          <w:color w:val="000000"/>
          <w:sz w:val="22"/>
          <w:szCs w:val="22"/>
        </w:rPr>
        <w:t>inesses or other small entities.</w:t>
      </w:r>
    </w:p>
    <w:p w14:paraId="5F09B45B" w14:textId="77777777" w:rsidR="00867DDE" w:rsidRPr="003B27A6" w:rsidRDefault="00867DDE" w:rsidP="00867DDE">
      <w:pPr>
        <w:keepLines/>
        <w:tabs>
          <w:tab w:val="left" w:pos="0"/>
        </w:tabs>
        <w:spacing w:after="80"/>
        <w:rPr>
          <w:color w:val="000000"/>
          <w:sz w:val="22"/>
          <w:szCs w:val="22"/>
        </w:rPr>
      </w:pPr>
      <w:r w:rsidRPr="003B27A6">
        <w:rPr>
          <w:color w:val="000000"/>
          <w:sz w:val="22"/>
          <w:szCs w:val="22"/>
        </w:rPr>
        <w:t xml:space="preserve">Small businesses or other small entities will not be impacted by the </w:t>
      </w:r>
      <w:r w:rsidR="00DB2F37">
        <w:rPr>
          <w:color w:val="000000"/>
          <w:sz w:val="22"/>
          <w:szCs w:val="22"/>
        </w:rPr>
        <w:t xml:space="preserve">revision to </w:t>
      </w:r>
      <w:r w:rsidRPr="003B27A6">
        <w:rPr>
          <w:color w:val="000000"/>
          <w:sz w:val="22"/>
          <w:szCs w:val="22"/>
        </w:rPr>
        <w:t xml:space="preserve">collect narratives for HOPWA competitive grants. Eligibility for HOPWA competitive grants is limited to States, units of local governments, and nonprofits. While some nonprofits may be small </w:t>
      </w:r>
      <w:r w:rsidR="003016EA" w:rsidRPr="003B27A6">
        <w:rPr>
          <w:color w:val="000000"/>
          <w:sz w:val="22"/>
          <w:szCs w:val="22"/>
        </w:rPr>
        <w:t>entities</w:t>
      </w:r>
      <w:r w:rsidRPr="003B27A6">
        <w:rPr>
          <w:color w:val="000000"/>
          <w:sz w:val="22"/>
          <w:szCs w:val="22"/>
        </w:rPr>
        <w:t xml:space="preserve">, narratives in competitive grant applications will only ask for specific responses to rating factors with page limits. </w:t>
      </w:r>
    </w:p>
    <w:p w14:paraId="1258F4E8" w14:textId="77777777" w:rsidR="00D73EE7" w:rsidRPr="003B27A6" w:rsidRDefault="00D73EE7">
      <w:pPr>
        <w:tabs>
          <w:tab w:val="left" w:pos="360"/>
        </w:tabs>
        <w:ind w:left="360" w:hanging="360"/>
        <w:rPr>
          <w:color w:val="000000"/>
          <w:sz w:val="22"/>
          <w:szCs w:val="22"/>
        </w:rPr>
      </w:pPr>
    </w:p>
    <w:p w14:paraId="79B826B1" w14:textId="77777777" w:rsidR="00D73EE7" w:rsidRPr="003B27A6" w:rsidRDefault="00D73EE7" w:rsidP="00F15B40">
      <w:pPr>
        <w:pStyle w:val="BodyTextIndent"/>
        <w:rPr>
          <w:szCs w:val="22"/>
        </w:rPr>
      </w:pPr>
      <w:r w:rsidRPr="003B27A6">
        <w:rPr>
          <w:szCs w:val="22"/>
        </w:rPr>
        <w:t>6.</w:t>
      </w:r>
      <w:r w:rsidRPr="003B27A6">
        <w:rPr>
          <w:szCs w:val="22"/>
        </w:rPr>
        <w:tab/>
        <w:t>Describe the consequence to Federal program or policy activities if the collection is not conducted or is conducted less frequently, as well as any technical or legal obstacles to reducing burden.</w:t>
      </w:r>
    </w:p>
    <w:p w14:paraId="28B16045" w14:textId="77777777" w:rsidR="00E40AE1" w:rsidRDefault="00E40AE1" w:rsidP="000D2DF6">
      <w:pPr>
        <w:keepLines/>
        <w:tabs>
          <w:tab w:val="left" w:pos="360"/>
        </w:tabs>
        <w:spacing w:before="240" w:after="80"/>
        <w:rPr>
          <w:color w:val="000000"/>
          <w:sz w:val="22"/>
          <w:szCs w:val="22"/>
        </w:rPr>
      </w:pPr>
      <w:r>
        <w:rPr>
          <w:color w:val="000000"/>
          <w:sz w:val="22"/>
          <w:szCs w:val="22"/>
        </w:rPr>
        <w:t>HOPWA new competitive and renewal grant applications are only collected when funding is available to award these grants. Information collected through new competitive and renewal grant applications are used to rate applications, determine eligibility, and establish grant amounts to ensure HOPWA appropriations are implemented correctly.</w:t>
      </w:r>
      <w:r w:rsidR="006F6265">
        <w:rPr>
          <w:color w:val="000000"/>
          <w:sz w:val="22"/>
          <w:szCs w:val="22"/>
        </w:rPr>
        <w:t xml:space="preserve"> If information was not captured in the application package </w:t>
      </w:r>
      <w:r w:rsidR="00183FA6">
        <w:rPr>
          <w:color w:val="000000"/>
          <w:sz w:val="22"/>
          <w:szCs w:val="22"/>
        </w:rPr>
        <w:t>(</w:t>
      </w:r>
      <w:r w:rsidR="006F6265">
        <w:rPr>
          <w:color w:val="000000"/>
          <w:sz w:val="22"/>
          <w:szCs w:val="22"/>
        </w:rPr>
        <w:t xml:space="preserve">including </w:t>
      </w:r>
      <w:r w:rsidR="00183FA6">
        <w:rPr>
          <w:color w:val="000000"/>
          <w:sz w:val="22"/>
          <w:szCs w:val="22"/>
        </w:rPr>
        <w:t>form</w:t>
      </w:r>
      <w:r w:rsidR="006F6265">
        <w:rPr>
          <w:color w:val="000000"/>
          <w:sz w:val="22"/>
          <w:szCs w:val="22"/>
        </w:rPr>
        <w:t xml:space="preserve"> HUD-40110-B</w:t>
      </w:r>
      <w:r w:rsidR="00183FA6">
        <w:rPr>
          <w:color w:val="000000"/>
          <w:sz w:val="22"/>
          <w:szCs w:val="22"/>
        </w:rPr>
        <w:t>,</w:t>
      </w:r>
      <w:r w:rsidR="006F6265">
        <w:rPr>
          <w:color w:val="000000"/>
          <w:sz w:val="22"/>
          <w:szCs w:val="22"/>
        </w:rPr>
        <w:t xml:space="preserve"> narratives</w:t>
      </w:r>
      <w:r w:rsidR="00183FA6">
        <w:rPr>
          <w:color w:val="000000"/>
          <w:sz w:val="22"/>
          <w:szCs w:val="22"/>
        </w:rPr>
        <w:t>, and other required forms)</w:t>
      </w:r>
      <w:r w:rsidR="006F6265">
        <w:rPr>
          <w:color w:val="000000"/>
          <w:sz w:val="22"/>
          <w:szCs w:val="22"/>
        </w:rPr>
        <w:t xml:space="preserve">, the Department would be hindered in its effort to determine and assess grantee </w:t>
      </w:r>
      <w:r w:rsidR="00183FA6">
        <w:rPr>
          <w:color w:val="000000"/>
          <w:sz w:val="22"/>
          <w:szCs w:val="22"/>
        </w:rPr>
        <w:t>eligibility,</w:t>
      </w:r>
      <w:r w:rsidR="006F6265">
        <w:rPr>
          <w:color w:val="000000"/>
          <w:sz w:val="22"/>
          <w:szCs w:val="22"/>
        </w:rPr>
        <w:t xml:space="preserve"> and </w:t>
      </w:r>
      <w:r w:rsidR="00183FA6">
        <w:rPr>
          <w:color w:val="000000"/>
          <w:sz w:val="22"/>
          <w:szCs w:val="22"/>
        </w:rPr>
        <w:t>award</w:t>
      </w:r>
      <w:r w:rsidR="006F6265">
        <w:rPr>
          <w:color w:val="000000"/>
          <w:sz w:val="22"/>
          <w:szCs w:val="22"/>
        </w:rPr>
        <w:t xml:space="preserve"> new competitive grant applications and existing renewal applications.  </w:t>
      </w:r>
      <w:r>
        <w:rPr>
          <w:color w:val="000000"/>
          <w:sz w:val="22"/>
          <w:szCs w:val="22"/>
        </w:rPr>
        <w:t xml:space="preserve"> </w:t>
      </w:r>
    </w:p>
    <w:p w14:paraId="37C6F63B" w14:textId="77777777" w:rsidR="00867DDE" w:rsidRPr="003B27A6" w:rsidRDefault="00E40AE1" w:rsidP="000D2DF6">
      <w:pPr>
        <w:keepLines/>
        <w:tabs>
          <w:tab w:val="left" w:pos="360"/>
        </w:tabs>
        <w:spacing w:before="240" w:after="80"/>
        <w:rPr>
          <w:color w:val="000000"/>
          <w:sz w:val="22"/>
          <w:szCs w:val="22"/>
        </w:rPr>
      </w:pPr>
      <w:r>
        <w:rPr>
          <w:color w:val="000000"/>
          <w:sz w:val="22"/>
          <w:szCs w:val="22"/>
        </w:rPr>
        <w:t>All grantees receiving HOPWA funding must maintain compliance throu</w:t>
      </w:r>
      <w:r w:rsidR="00DB2F37">
        <w:rPr>
          <w:color w:val="000000"/>
          <w:sz w:val="22"/>
          <w:szCs w:val="22"/>
        </w:rPr>
        <w:t>gh reporting and recordkeeping as required through HOPWA statute and regulations.</w:t>
      </w:r>
      <w:r w:rsidR="006F6265">
        <w:rPr>
          <w:color w:val="000000"/>
          <w:sz w:val="22"/>
          <w:szCs w:val="22"/>
        </w:rPr>
        <w:t xml:space="preserve"> APR and CAPER performance reports are collected and analyzed on an annual basis and are used to assess grantee performance, draft budget justifications, and to report to congress on program activities and performance measurement accomplishments. Less frequent submission of information would considerably hinder the mission, efficiency, and legal aspects of program management. Information on the performance reports are posted on the HOPWA </w:t>
      </w:r>
      <w:r w:rsidR="00A3391A">
        <w:rPr>
          <w:color w:val="000000"/>
          <w:sz w:val="22"/>
          <w:szCs w:val="22"/>
        </w:rPr>
        <w:t xml:space="preserve">page on the </w:t>
      </w:r>
      <w:r w:rsidR="006F6265">
        <w:rPr>
          <w:color w:val="000000"/>
          <w:sz w:val="22"/>
          <w:szCs w:val="22"/>
        </w:rPr>
        <w:t xml:space="preserve">HUD </w:t>
      </w:r>
      <w:r w:rsidR="00A3391A">
        <w:rPr>
          <w:color w:val="000000"/>
          <w:sz w:val="22"/>
          <w:szCs w:val="22"/>
        </w:rPr>
        <w:t xml:space="preserve">Exchange </w:t>
      </w:r>
      <w:r w:rsidR="006F6265">
        <w:rPr>
          <w:color w:val="000000"/>
          <w:sz w:val="22"/>
          <w:szCs w:val="22"/>
        </w:rPr>
        <w:t>website and are used by HUD field offices, grantees, and the public. These forms serve as an accountability tool and allow HUD to monitor and evaluate the HOPWA Program. HOPWA grantees may also use the information to justify additional resources from state and local government and also to inform public awareness and support of their program.</w:t>
      </w:r>
      <w:r>
        <w:rPr>
          <w:color w:val="000000"/>
          <w:sz w:val="22"/>
          <w:szCs w:val="22"/>
        </w:rPr>
        <w:t xml:space="preserve"> </w:t>
      </w:r>
    </w:p>
    <w:p w14:paraId="66E113FE" w14:textId="77777777" w:rsidR="00D73EE7" w:rsidRPr="003B27A6" w:rsidRDefault="00D73EE7">
      <w:pPr>
        <w:tabs>
          <w:tab w:val="left" w:pos="360"/>
        </w:tabs>
        <w:ind w:left="360" w:hanging="360"/>
        <w:rPr>
          <w:color w:val="000000"/>
          <w:sz w:val="22"/>
          <w:szCs w:val="22"/>
        </w:rPr>
      </w:pPr>
    </w:p>
    <w:p w14:paraId="63C8D9F4" w14:textId="77777777" w:rsidR="00D73EE7" w:rsidRPr="003B27A6" w:rsidRDefault="00D73EE7" w:rsidP="00F15B40">
      <w:pPr>
        <w:tabs>
          <w:tab w:val="left" w:pos="360"/>
        </w:tabs>
        <w:rPr>
          <w:color w:val="000000"/>
          <w:sz w:val="22"/>
          <w:szCs w:val="22"/>
        </w:rPr>
      </w:pPr>
      <w:r w:rsidRPr="00267E0E">
        <w:rPr>
          <w:color w:val="000000"/>
          <w:sz w:val="22"/>
          <w:szCs w:val="22"/>
        </w:rPr>
        <w:t>7.</w:t>
      </w:r>
      <w:r w:rsidRPr="003B27A6">
        <w:rPr>
          <w:color w:val="000000"/>
          <w:sz w:val="22"/>
          <w:szCs w:val="22"/>
        </w:rPr>
        <w:tab/>
      </w:r>
      <w:r w:rsidR="00F15B40">
        <w:rPr>
          <w:color w:val="000000"/>
          <w:sz w:val="22"/>
          <w:szCs w:val="22"/>
        </w:rPr>
        <w:t>Special circumstances</w:t>
      </w:r>
      <w:r w:rsidR="00323F07">
        <w:rPr>
          <w:sz w:val="22"/>
          <w:szCs w:val="22"/>
        </w:rPr>
        <w:t>.</w:t>
      </w:r>
    </w:p>
    <w:p w14:paraId="2B5E47F3" w14:textId="77777777" w:rsidR="00422A44" w:rsidRPr="003B27A6" w:rsidRDefault="00422A44" w:rsidP="00422A44">
      <w:pPr>
        <w:tabs>
          <w:tab w:val="left" w:pos="600"/>
        </w:tabs>
        <w:rPr>
          <w:color w:val="000000"/>
          <w:sz w:val="22"/>
          <w:szCs w:val="22"/>
        </w:rPr>
      </w:pPr>
    </w:p>
    <w:p w14:paraId="5AFAF4BE" w14:textId="77777777" w:rsidR="00393A57" w:rsidRDefault="00393A57" w:rsidP="00393A57">
      <w:pPr>
        <w:overflowPunct w:val="0"/>
        <w:autoSpaceDE w:val="0"/>
        <w:autoSpaceDN w:val="0"/>
        <w:adjustRightInd w:val="0"/>
        <w:textAlignment w:val="baseline"/>
        <w:rPr>
          <w:sz w:val="22"/>
          <w:szCs w:val="22"/>
        </w:rPr>
      </w:pPr>
      <w:r>
        <w:rPr>
          <w:sz w:val="22"/>
          <w:szCs w:val="22"/>
        </w:rPr>
        <w:t>In accordance to HOPWA regulation at 24 CFR 574.530, HOPWA grantees must ensure that records are maintained for a four-year period to document compliance. No other</w:t>
      </w:r>
      <w:r w:rsidRPr="00F15B40">
        <w:rPr>
          <w:sz w:val="22"/>
          <w:szCs w:val="22"/>
        </w:rPr>
        <w:t xml:space="preserve"> special circumstances </w:t>
      </w:r>
      <w:r>
        <w:rPr>
          <w:sz w:val="22"/>
          <w:szCs w:val="22"/>
        </w:rPr>
        <w:t xml:space="preserve">for the HOPWA program </w:t>
      </w:r>
      <w:r w:rsidRPr="00F15B40">
        <w:rPr>
          <w:sz w:val="22"/>
          <w:szCs w:val="22"/>
        </w:rPr>
        <w:t>would cause this information collection to be conducted in a manner that would impose additional requirements identified under this item.</w:t>
      </w:r>
      <w:r>
        <w:rPr>
          <w:sz w:val="22"/>
          <w:szCs w:val="22"/>
        </w:rPr>
        <w:t xml:space="preserve"> Special circumstances not required for this information collection are listed below.</w:t>
      </w:r>
    </w:p>
    <w:p w14:paraId="688BF117" w14:textId="77777777" w:rsidR="00393A57" w:rsidRDefault="00393A57" w:rsidP="00393A57">
      <w:pPr>
        <w:overflowPunct w:val="0"/>
        <w:autoSpaceDE w:val="0"/>
        <w:autoSpaceDN w:val="0"/>
        <w:adjustRightInd w:val="0"/>
        <w:textAlignment w:val="baseline"/>
      </w:pPr>
    </w:p>
    <w:p w14:paraId="5BACF7EA" w14:textId="77777777" w:rsidR="00393A57" w:rsidRPr="007A7053" w:rsidRDefault="00393A57" w:rsidP="00393A57">
      <w:pPr>
        <w:numPr>
          <w:ilvl w:val="0"/>
          <w:numId w:val="24"/>
        </w:numPr>
        <w:overflowPunct w:val="0"/>
        <w:autoSpaceDE w:val="0"/>
        <w:autoSpaceDN w:val="0"/>
        <w:adjustRightInd w:val="0"/>
        <w:textAlignment w:val="baseline"/>
        <w:rPr>
          <w:sz w:val="22"/>
          <w:szCs w:val="22"/>
        </w:rPr>
      </w:pPr>
      <w:r w:rsidRPr="007A7053">
        <w:rPr>
          <w:sz w:val="22"/>
          <w:szCs w:val="22"/>
        </w:rPr>
        <w:t xml:space="preserve">This information collection does not require respondents to report information more often than quarterly. </w:t>
      </w:r>
    </w:p>
    <w:p w14:paraId="15AFAFD1" w14:textId="77777777" w:rsidR="00393A57" w:rsidRPr="007A7053" w:rsidRDefault="00393A57" w:rsidP="00393A57">
      <w:pPr>
        <w:numPr>
          <w:ilvl w:val="0"/>
          <w:numId w:val="24"/>
        </w:numPr>
        <w:overflowPunct w:val="0"/>
        <w:autoSpaceDE w:val="0"/>
        <w:autoSpaceDN w:val="0"/>
        <w:adjustRightInd w:val="0"/>
        <w:textAlignment w:val="baseline"/>
        <w:rPr>
          <w:sz w:val="22"/>
          <w:szCs w:val="22"/>
        </w:rPr>
      </w:pPr>
      <w:r w:rsidRPr="007A7053">
        <w:rPr>
          <w:sz w:val="22"/>
          <w:szCs w:val="22"/>
        </w:rPr>
        <w:t xml:space="preserve">This information collection does not require respondents to prepare a written response in fewer than thirty days after they receive the request. </w:t>
      </w:r>
    </w:p>
    <w:p w14:paraId="0FF8964F" w14:textId="77777777" w:rsidR="00393A57" w:rsidRPr="007A7053" w:rsidRDefault="00393A57" w:rsidP="00393A57">
      <w:pPr>
        <w:numPr>
          <w:ilvl w:val="0"/>
          <w:numId w:val="24"/>
        </w:numPr>
        <w:overflowPunct w:val="0"/>
        <w:autoSpaceDE w:val="0"/>
        <w:autoSpaceDN w:val="0"/>
        <w:adjustRightInd w:val="0"/>
        <w:textAlignment w:val="baseline"/>
        <w:rPr>
          <w:sz w:val="22"/>
          <w:szCs w:val="22"/>
        </w:rPr>
      </w:pPr>
      <w:r w:rsidRPr="007A7053">
        <w:rPr>
          <w:sz w:val="22"/>
          <w:szCs w:val="22"/>
        </w:rPr>
        <w:t xml:space="preserve">This information collection does not require respondents to submit more than an original and two copies of any document. </w:t>
      </w:r>
    </w:p>
    <w:p w14:paraId="40EF33B8" w14:textId="22A746EF" w:rsidR="0062515B" w:rsidRPr="00F477DD" w:rsidRDefault="00393A57" w:rsidP="00F477DD">
      <w:pPr>
        <w:numPr>
          <w:ilvl w:val="0"/>
          <w:numId w:val="24"/>
        </w:numPr>
        <w:overflowPunct w:val="0"/>
        <w:autoSpaceDE w:val="0"/>
        <w:autoSpaceDN w:val="0"/>
        <w:adjustRightInd w:val="0"/>
        <w:textAlignment w:val="baseline"/>
        <w:rPr>
          <w:sz w:val="22"/>
          <w:szCs w:val="22"/>
        </w:rPr>
      </w:pPr>
      <w:r w:rsidRPr="00F477DD">
        <w:rPr>
          <w:sz w:val="22"/>
          <w:szCs w:val="22"/>
        </w:rPr>
        <w:t xml:space="preserve">This information collection does not </w:t>
      </w:r>
      <w:r w:rsidR="0062515B" w:rsidRPr="0062515B">
        <w:rPr>
          <w:sz w:val="22"/>
          <w:szCs w:val="22"/>
        </w:rPr>
        <w:t>include</w:t>
      </w:r>
      <w:r w:rsidRPr="0062515B">
        <w:rPr>
          <w:sz w:val="22"/>
          <w:szCs w:val="22"/>
        </w:rPr>
        <w:t xml:space="preserve"> </w:t>
      </w:r>
      <w:r w:rsidR="0062515B" w:rsidRPr="0062515B">
        <w:rPr>
          <w:color w:val="000000"/>
          <w:sz w:val="22"/>
        </w:rPr>
        <w:t xml:space="preserve">statistical surveys </w:t>
      </w:r>
      <w:r w:rsidR="0062515B">
        <w:rPr>
          <w:color w:val="000000"/>
          <w:sz w:val="22"/>
        </w:rPr>
        <w:t xml:space="preserve">not </w:t>
      </w:r>
      <w:r w:rsidR="0062515B" w:rsidRPr="00F477DD">
        <w:rPr>
          <w:color w:val="000000"/>
          <w:sz w:val="22"/>
        </w:rPr>
        <w:t>designed to produce results tha</w:t>
      </w:r>
      <w:r w:rsidR="0062515B">
        <w:rPr>
          <w:color w:val="000000"/>
          <w:sz w:val="22"/>
        </w:rPr>
        <w:t>t</w:t>
      </w:r>
      <w:r w:rsidR="0062515B" w:rsidRPr="00F477DD">
        <w:rPr>
          <w:color w:val="000000"/>
          <w:sz w:val="22"/>
        </w:rPr>
        <w:t xml:space="preserve"> can be generalized to the universe of study</w:t>
      </w:r>
      <w:r w:rsidR="0062515B">
        <w:rPr>
          <w:color w:val="000000"/>
          <w:sz w:val="22"/>
        </w:rPr>
        <w:t>.</w:t>
      </w:r>
    </w:p>
    <w:p w14:paraId="10ADABCF" w14:textId="77777777" w:rsidR="00393A57" w:rsidRPr="007A7053" w:rsidRDefault="00393A57" w:rsidP="00393A57">
      <w:pPr>
        <w:numPr>
          <w:ilvl w:val="0"/>
          <w:numId w:val="24"/>
        </w:numPr>
        <w:overflowPunct w:val="0"/>
        <w:autoSpaceDE w:val="0"/>
        <w:autoSpaceDN w:val="0"/>
        <w:adjustRightInd w:val="0"/>
        <w:textAlignment w:val="baseline"/>
        <w:rPr>
          <w:sz w:val="22"/>
          <w:szCs w:val="22"/>
        </w:rPr>
      </w:pPr>
      <w:r w:rsidRPr="007A7053">
        <w:rPr>
          <w:sz w:val="22"/>
          <w:szCs w:val="22"/>
        </w:rPr>
        <w:t xml:space="preserve">This information collection does not require the use of a statistical data classification that has not been reviewed and approved by OMB. </w:t>
      </w:r>
    </w:p>
    <w:p w14:paraId="71A4E7EF" w14:textId="77777777" w:rsidR="00393A57" w:rsidRPr="007A7053" w:rsidRDefault="00393A57" w:rsidP="00393A57">
      <w:pPr>
        <w:numPr>
          <w:ilvl w:val="0"/>
          <w:numId w:val="24"/>
        </w:numPr>
        <w:overflowPunct w:val="0"/>
        <w:autoSpaceDE w:val="0"/>
        <w:autoSpaceDN w:val="0"/>
        <w:adjustRightInd w:val="0"/>
        <w:textAlignment w:val="baseline"/>
        <w:rPr>
          <w:sz w:val="22"/>
          <w:szCs w:val="22"/>
        </w:rPr>
      </w:pPr>
      <w:r w:rsidRPr="007A7053">
        <w:rPr>
          <w:sz w:val="22"/>
          <w:szCs w:val="22"/>
        </w:rPr>
        <w:t xml:space="preserve">This information collection does not include a pledge of confidentiality that is not supported by authority established in statute or regulation, that is not supported by disclosure and security policies that are consistent with the pledge, or which unnecessarily impedes sharing of data with other agencies for compatible confidential use. </w:t>
      </w:r>
    </w:p>
    <w:p w14:paraId="5E629D74" w14:textId="77777777" w:rsidR="00393A57" w:rsidRPr="00F15B40" w:rsidRDefault="00393A57" w:rsidP="00393A57">
      <w:pPr>
        <w:numPr>
          <w:ilvl w:val="0"/>
          <w:numId w:val="24"/>
        </w:numPr>
        <w:overflowPunct w:val="0"/>
        <w:autoSpaceDE w:val="0"/>
        <w:autoSpaceDN w:val="0"/>
        <w:adjustRightInd w:val="0"/>
        <w:textAlignment w:val="baseline"/>
        <w:rPr>
          <w:sz w:val="22"/>
          <w:szCs w:val="22"/>
        </w:rPr>
      </w:pPr>
      <w:r w:rsidRPr="007A7053">
        <w:rPr>
          <w:sz w:val="22"/>
          <w:szCs w:val="22"/>
        </w:rPr>
        <w:t>This information collection does not require respondents to submit proprietary, trade secret, or other confidential information unless the agency can demonstrate that it has instituted (and not just planned) procedures to protect its confidentiality to the extent permitted by law.</w:t>
      </w:r>
    </w:p>
    <w:p w14:paraId="083F5F0F" w14:textId="77777777" w:rsidR="00393A57" w:rsidRPr="00F15B40" w:rsidRDefault="00393A57" w:rsidP="00393A57">
      <w:pPr>
        <w:overflowPunct w:val="0"/>
        <w:autoSpaceDE w:val="0"/>
        <w:autoSpaceDN w:val="0"/>
        <w:adjustRightInd w:val="0"/>
        <w:textAlignment w:val="baseline"/>
        <w:rPr>
          <w:sz w:val="22"/>
          <w:szCs w:val="22"/>
        </w:rPr>
      </w:pPr>
    </w:p>
    <w:p w14:paraId="022E75DB" w14:textId="77777777" w:rsidR="00393A57" w:rsidRDefault="00393A57" w:rsidP="00323F07">
      <w:pPr>
        <w:overflowPunct w:val="0"/>
        <w:autoSpaceDE w:val="0"/>
        <w:autoSpaceDN w:val="0"/>
        <w:adjustRightInd w:val="0"/>
        <w:textAlignment w:val="baseline"/>
        <w:rPr>
          <w:sz w:val="22"/>
          <w:szCs w:val="22"/>
        </w:rPr>
      </w:pPr>
    </w:p>
    <w:p w14:paraId="4B6BF6E6" w14:textId="77777777" w:rsidR="00D73EE7" w:rsidRPr="003B27A6" w:rsidRDefault="00D73EE7">
      <w:pPr>
        <w:keepLines/>
        <w:tabs>
          <w:tab w:val="left" w:pos="360"/>
        </w:tabs>
        <w:spacing w:after="80"/>
        <w:ind w:left="360" w:hanging="360"/>
        <w:rPr>
          <w:color w:val="000000"/>
          <w:sz w:val="22"/>
          <w:szCs w:val="22"/>
        </w:rPr>
      </w:pPr>
      <w:r w:rsidRPr="00FD526B">
        <w:rPr>
          <w:color w:val="000000"/>
          <w:sz w:val="22"/>
          <w:szCs w:val="22"/>
        </w:rPr>
        <w:t>8.</w:t>
      </w:r>
      <w:r w:rsidRPr="003B27A6">
        <w:rPr>
          <w:color w:val="000000"/>
          <w:sz w:val="22"/>
          <w:szCs w:val="22"/>
        </w:rPr>
        <w:tab/>
        <w:t>Date and page number of the Federal Register notice (provide a copy) soliciting comments and public input</w:t>
      </w:r>
      <w:r w:rsidR="000007ED">
        <w:rPr>
          <w:color w:val="000000"/>
          <w:sz w:val="22"/>
          <w:szCs w:val="22"/>
        </w:rPr>
        <w:t>.</w:t>
      </w:r>
      <w:r w:rsidRPr="003B27A6">
        <w:rPr>
          <w:color w:val="000000"/>
          <w:sz w:val="22"/>
          <w:szCs w:val="22"/>
        </w:rPr>
        <w:t xml:space="preserve"> Summarize any public comments and describe response to comments.  Describe all efforts to consult with persons outside the agency to obtain their input. </w:t>
      </w:r>
    </w:p>
    <w:p w14:paraId="07EBB312" w14:textId="45AD0A47" w:rsidR="006F6265" w:rsidRDefault="000007ED" w:rsidP="00ED2128">
      <w:pPr>
        <w:keepLines/>
        <w:tabs>
          <w:tab w:val="left" w:pos="0"/>
        </w:tabs>
        <w:spacing w:after="80"/>
        <w:rPr>
          <w:color w:val="000000"/>
          <w:sz w:val="22"/>
          <w:szCs w:val="22"/>
        </w:rPr>
      </w:pPr>
      <w:r>
        <w:rPr>
          <w:color w:val="000000"/>
          <w:sz w:val="22"/>
          <w:szCs w:val="22"/>
        </w:rPr>
        <w:t xml:space="preserve">HUD published a notice in the Federal Register to solicit public comment on </w:t>
      </w:r>
      <w:r w:rsidR="00FD526B" w:rsidRPr="00FD526B">
        <w:rPr>
          <w:sz w:val="22"/>
          <w:szCs w:val="22"/>
        </w:rPr>
        <w:t>June 16, 2017</w:t>
      </w:r>
      <w:r>
        <w:rPr>
          <w:color w:val="000000"/>
          <w:sz w:val="22"/>
          <w:szCs w:val="22"/>
        </w:rPr>
        <w:t xml:space="preserve"> in </w:t>
      </w:r>
      <w:r w:rsidR="00A8191C">
        <w:rPr>
          <w:color w:val="000000"/>
          <w:sz w:val="22"/>
          <w:szCs w:val="22"/>
        </w:rPr>
        <w:t>Vol. 82, No.115</w:t>
      </w:r>
      <w:r>
        <w:rPr>
          <w:color w:val="000000"/>
          <w:sz w:val="22"/>
          <w:szCs w:val="22"/>
        </w:rPr>
        <w:t>, page</w:t>
      </w:r>
      <w:r w:rsidR="00A8191C">
        <w:rPr>
          <w:color w:val="000000"/>
          <w:sz w:val="22"/>
          <w:szCs w:val="22"/>
        </w:rPr>
        <w:t>s</w:t>
      </w:r>
      <w:r>
        <w:rPr>
          <w:color w:val="000000"/>
          <w:sz w:val="22"/>
          <w:szCs w:val="22"/>
        </w:rPr>
        <w:t xml:space="preserve"> </w:t>
      </w:r>
      <w:r w:rsidR="00A8191C">
        <w:rPr>
          <w:color w:val="000000"/>
          <w:sz w:val="22"/>
          <w:szCs w:val="22"/>
        </w:rPr>
        <w:t>27716-27718</w:t>
      </w:r>
      <w:r>
        <w:rPr>
          <w:color w:val="000000"/>
          <w:sz w:val="22"/>
          <w:szCs w:val="22"/>
        </w:rPr>
        <w:t xml:space="preserve">. HUD received </w:t>
      </w:r>
      <w:r w:rsidR="00A8191C">
        <w:rPr>
          <w:color w:val="000000"/>
          <w:sz w:val="22"/>
          <w:szCs w:val="22"/>
        </w:rPr>
        <w:t>no</w:t>
      </w:r>
      <w:r>
        <w:rPr>
          <w:color w:val="000000"/>
          <w:sz w:val="22"/>
          <w:szCs w:val="22"/>
        </w:rPr>
        <w:t xml:space="preserve"> comments. </w:t>
      </w:r>
    </w:p>
    <w:p w14:paraId="78417807" w14:textId="77777777" w:rsidR="00D73EE7" w:rsidRPr="003B27A6" w:rsidRDefault="00D73EE7">
      <w:pPr>
        <w:tabs>
          <w:tab w:val="left" w:pos="360"/>
        </w:tabs>
        <w:ind w:left="360" w:hanging="360"/>
        <w:rPr>
          <w:color w:val="000000"/>
          <w:sz w:val="22"/>
          <w:szCs w:val="22"/>
        </w:rPr>
      </w:pPr>
    </w:p>
    <w:p w14:paraId="02A6911E" w14:textId="77777777" w:rsidR="00D73EE7" w:rsidRPr="003B27A6" w:rsidRDefault="00D73EE7">
      <w:pPr>
        <w:keepLines/>
        <w:tabs>
          <w:tab w:val="left" w:pos="360"/>
        </w:tabs>
        <w:spacing w:after="80"/>
        <w:ind w:left="360" w:hanging="360"/>
        <w:rPr>
          <w:color w:val="000000"/>
          <w:sz w:val="22"/>
          <w:szCs w:val="22"/>
        </w:rPr>
      </w:pPr>
      <w:r w:rsidRPr="003B27A6">
        <w:rPr>
          <w:color w:val="000000"/>
          <w:sz w:val="22"/>
          <w:szCs w:val="22"/>
        </w:rPr>
        <w:t>9.</w:t>
      </w:r>
      <w:r w:rsidRPr="003B27A6">
        <w:rPr>
          <w:color w:val="000000"/>
          <w:sz w:val="22"/>
          <w:szCs w:val="22"/>
        </w:rPr>
        <w:tab/>
        <w:t>Explain any payments or gifts to respondents, other than remuneration of contractors or grantees.</w:t>
      </w:r>
    </w:p>
    <w:p w14:paraId="4B19E704" w14:textId="77777777" w:rsidR="00F15B40" w:rsidRPr="00F15B40" w:rsidRDefault="000007ED" w:rsidP="00F15B40">
      <w:pPr>
        <w:tabs>
          <w:tab w:val="left" w:pos="0"/>
        </w:tabs>
        <w:overflowPunct w:val="0"/>
        <w:autoSpaceDE w:val="0"/>
        <w:autoSpaceDN w:val="0"/>
        <w:adjustRightInd w:val="0"/>
        <w:textAlignment w:val="baseline"/>
        <w:rPr>
          <w:sz w:val="22"/>
          <w:szCs w:val="22"/>
        </w:rPr>
      </w:pPr>
      <w:r>
        <w:rPr>
          <w:sz w:val="22"/>
          <w:szCs w:val="22"/>
        </w:rPr>
        <w:t>These circumstances are not applicable to the HOPWA program since HUD does not provide payment.</w:t>
      </w:r>
    </w:p>
    <w:p w14:paraId="3BC06A5C" w14:textId="77777777" w:rsidR="00D73EE7" w:rsidRPr="003B27A6" w:rsidRDefault="00D73EE7">
      <w:pPr>
        <w:tabs>
          <w:tab w:val="left" w:pos="360"/>
        </w:tabs>
        <w:ind w:left="360" w:hanging="360"/>
        <w:rPr>
          <w:color w:val="000000"/>
          <w:sz w:val="22"/>
          <w:szCs w:val="22"/>
        </w:rPr>
      </w:pPr>
    </w:p>
    <w:p w14:paraId="5FBD1719" w14:textId="77777777" w:rsidR="00D73EE7" w:rsidRPr="003B27A6" w:rsidRDefault="00D73EE7">
      <w:pPr>
        <w:keepLines/>
        <w:tabs>
          <w:tab w:val="left" w:pos="360"/>
        </w:tabs>
        <w:spacing w:after="80"/>
        <w:ind w:left="360" w:hanging="360"/>
        <w:rPr>
          <w:color w:val="000000"/>
          <w:sz w:val="22"/>
          <w:szCs w:val="22"/>
        </w:rPr>
      </w:pPr>
      <w:r w:rsidRPr="003B27A6">
        <w:rPr>
          <w:color w:val="000000"/>
          <w:sz w:val="22"/>
          <w:szCs w:val="22"/>
        </w:rPr>
        <w:t>10.</w:t>
      </w:r>
      <w:r w:rsidRPr="003B27A6">
        <w:rPr>
          <w:color w:val="000000"/>
          <w:sz w:val="22"/>
          <w:szCs w:val="22"/>
        </w:rPr>
        <w:tab/>
        <w:t>Describe any assurance of confidentiality provided to respondents and the basis for assurance in statute, regulation or agency policy.</w:t>
      </w:r>
    </w:p>
    <w:p w14:paraId="742C0574" w14:textId="77777777" w:rsidR="00ED2128" w:rsidRDefault="00ED2128" w:rsidP="000D2DF6">
      <w:pPr>
        <w:keepLines/>
        <w:tabs>
          <w:tab w:val="left" w:pos="0"/>
        </w:tabs>
        <w:spacing w:before="240" w:after="80"/>
        <w:rPr>
          <w:color w:val="000000"/>
          <w:sz w:val="22"/>
          <w:szCs w:val="22"/>
        </w:rPr>
      </w:pPr>
      <w:r w:rsidRPr="003B27A6">
        <w:rPr>
          <w:color w:val="000000"/>
          <w:sz w:val="22"/>
          <w:szCs w:val="22"/>
        </w:rPr>
        <w:t xml:space="preserve">HOPWA competitive application </w:t>
      </w:r>
      <w:r w:rsidR="00A3391A">
        <w:rPr>
          <w:color w:val="000000"/>
          <w:sz w:val="22"/>
          <w:szCs w:val="22"/>
        </w:rPr>
        <w:t>applications</w:t>
      </w:r>
      <w:r w:rsidR="00A3391A" w:rsidRPr="003B27A6">
        <w:rPr>
          <w:color w:val="000000"/>
          <w:sz w:val="22"/>
          <w:szCs w:val="22"/>
        </w:rPr>
        <w:t xml:space="preserve"> </w:t>
      </w:r>
      <w:r w:rsidRPr="003B27A6">
        <w:rPr>
          <w:color w:val="000000"/>
          <w:sz w:val="22"/>
          <w:szCs w:val="22"/>
        </w:rPr>
        <w:t xml:space="preserve">are reviewed by HUD staff or other reviewers defined in the </w:t>
      </w:r>
      <w:r w:rsidR="000007ED">
        <w:rPr>
          <w:color w:val="000000"/>
          <w:sz w:val="22"/>
          <w:szCs w:val="22"/>
        </w:rPr>
        <w:t>NOFA or renewal notice</w:t>
      </w:r>
      <w:r w:rsidR="00EA28BB" w:rsidRPr="003B27A6">
        <w:rPr>
          <w:color w:val="000000"/>
          <w:sz w:val="22"/>
          <w:szCs w:val="22"/>
        </w:rPr>
        <w:t xml:space="preserve">. </w:t>
      </w:r>
      <w:r w:rsidR="00724680" w:rsidRPr="003B27A6">
        <w:rPr>
          <w:color w:val="000000"/>
          <w:sz w:val="22"/>
          <w:szCs w:val="22"/>
        </w:rPr>
        <w:t xml:space="preserve">The </w:t>
      </w:r>
      <w:r w:rsidR="00A3391A">
        <w:rPr>
          <w:color w:val="000000"/>
          <w:sz w:val="22"/>
          <w:szCs w:val="22"/>
        </w:rPr>
        <w:t>applications</w:t>
      </w:r>
      <w:r w:rsidR="00A3391A" w:rsidRPr="003B27A6">
        <w:rPr>
          <w:color w:val="000000"/>
          <w:sz w:val="22"/>
          <w:szCs w:val="22"/>
        </w:rPr>
        <w:t xml:space="preserve"> </w:t>
      </w:r>
      <w:r w:rsidR="000007ED">
        <w:rPr>
          <w:color w:val="000000"/>
          <w:sz w:val="22"/>
          <w:szCs w:val="22"/>
        </w:rPr>
        <w:t>for</w:t>
      </w:r>
      <w:r w:rsidR="000007ED" w:rsidRPr="003B27A6">
        <w:rPr>
          <w:color w:val="000000"/>
          <w:sz w:val="22"/>
          <w:szCs w:val="22"/>
        </w:rPr>
        <w:t xml:space="preserve"> </w:t>
      </w:r>
      <w:r w:rsidR="00724680" w:rsidRPr="003B27A6">
        <w:rPr>
          <w:color w:val="000000"/>
          <w:sz w:val="22"/>
          <w:szCs w:val="22"/>
        </w:rPr>
        <w:t>awarded grants will serve as the grant project plan and be incorpor</w:t>
      </w:r>
      <w:r w:rsidR="00EA28BB" w:rsidRPr="003B27A6">
        <w:rPr>
          <w:color w:val="000000"/>
          <w:sz w:val="22"/>
          <w:szCs w:val="22"/>
        </w:rPr>
        <w:t xml:space="preserve">ated into the grant agreement. </w:t>
      </w:r>
      <w:r w:rsidR="00724680" w:rsidRPr="003B27A6">
        <w:rPr>
          <w:color w:val="000000"/>
          <w:sz w:val="22"/>
          <w:szCs w:val="22"/>
        </w:rPr>
        <w:t xml:space="preserve">The </w:t>
      </w:r>
      <w:r w:rsidR="00A3391A">
        <w:rPr>
          <w:color w:val="000000"/>
          <w:sz w:val="22"/>
          <w:szCs w:val="22"/>
        </w:rPr>
        <w:t>applications</w:t>
      </w:r>
      <w:r w:rsidR="00A3391A" w:rsidRPr="003B27A6">
        <w:rPr>
          <w:color w:val="000000"/>
          <w:sz w:val="22"/>
          <w:szCs w:val="22"/>
        </w:rPr>
        <w:t xml:space="preserve"> </w:t>
      </w:r>
      <w:r w:rsidR="00724680" w:rsidRPr="003B27A6">
        <w:rPr>
          <w:color w:val="000000"/>
          <w:sz w:val="22"/>
          <w:szCs w:val="22"/>
        </w:rPr>
        <w:t xml:space="preserve">of </w:t>
      </w:r>
      <w:r w:rsidR="000007ED">
        <w:rPr>
          <w:color w:val="000000"/>
          <w:sz w:val="22"/>
          <w:szCs w:val="22"/>
        </w:rPr>
        <w:t xml:space="preserve">unawarded </w:t>
      </w:r>
      <w:r w:rsidR="00724680" w:rsidRPr="003B27A6">
        <w:rPr>
          <w:color w:val="000000"/>
          <w:sz w:val="22"/>
          <w:szCs w:val="22"/>
        </w:rPr>
        <w:t>grants will</w:t>
      </w:r>
      <w:r w:rsidR="000007ED">
        <w:rPr>
          <w:color w:val="000000"/>
          <w:sz w:val="22"/>
          <w:szCs w:val="22"/>
        </w:rPr>
        <w:t xml:space="preserve"> be</w:t>
      </w:r>
      <w:r w:rsidR="00724680" w:rsidRPr="003B27A6">
        <w:rPr>
          <w:color w:val="000000"/>
          <w:sz w:val="22"/>
          <w:szCs w:val="22"/>
        </w:rPr>
        <w:t xml:space="preserve"> filed for the required 3-year record keeping period, and then destroyed. The unawarded </w:t>
      </w:r>
      <w:r w:rsidR="00A3391A">
        <w:rPr>
          <w:color w:val="000000"/>
          <w:sz w:val="22"/>
          <w:szCs w:val="22"/>
        </w:rPr>
        <w:t>applications</w:t>
      </w:r>
      <w:r w:rsidR="00A3391A" w:rsidRPr="003B27A6">
        <w:rPr>
          <w:color w:val="000000"/>
          <w:sz w:val="22"/>
          <w:szCs w:val="22"/>
        </w:rPr>
        <w:t xml:space="preserve"> </w:t>
      </w:r>
      <w:r w:rsidR="00724680" w:rsidRPr="003B27A6">
        <w:rPr>
          <w:color w:val="000000"/>
          <w:sz w:val="22"/>
          <w:szCs w:val="22"/>
        </w:rPr>
        <w:t xml:space="preserve">will only be accessible </w:t>
      </w:r>
      <w:r w:rsidR="00A3391A">
        <w:rPr>
          <w:color w:val="000000"/>
          <w:sz w:val="22"/>
          <w:szCs w:val="22"/>
        </w:rPr>
        <w:t>to</w:t>
      </w:r>
      <w:r w:rsidR="00A3391A" w:rsidRPr="003B27A6">
        <w:rPr>
          <w:color w:val="000000"/>
          <w:sz w:val="22"/>
          <w:szCs w:val="22"/>
        </w:rPr>
        <w:t xml:space="preserve"> </w:t>
      </w:r>
      <w:r w:rsidR="00724680" w:rsidRPr="003B27A6">
        <w:rPr>
          <w:color w:val="000000"/>
          <w:sz w:val="22"/>
          <w:szCs w:val="22"/>
        </w:rPr>
        <w:t xml:space="preserve">the public through an approved FOIA request. </w:t>
      </w:r>
    </w:p>
    <w:p w14:paraId="57DA1825" w14:textId="193AA735" w:rsidR="000007ED" w:rsidRPr="003B27A6" w:rsidRDefault="000C67AE" w:rsidP="000D2DF6">
      <w:pPr>
        <w:keepLines/>
        <w:tabs>
          <w:tab w:val="left" w:pos="0"/>
        </w:tabs>
        <w:spacing w:before="240" w:after="80"/>
        <w:rPr>
          <w:color w:val="000000"/>
          <w:sz w:val="22"/>
          <w:szCs w:val="22"/>
        </w:rPr>
      </w:pPr>
      <w:r>
        <w:rPr>
          <w:color w:val="000000"/>
          <w:sz w:val="22"/>
          <w:szCs w:val="22"/>
        </w:rPr>
        <w:t xml:space="preserve">42 U.S.C. § 12905(e) and </w:t>
      </w:r>
      <w:r w:rsidR="000007ED">
        <w:rPr>
          <w:color w:val="000000"/>
          <w:sz w:val="22"/>
          <w:szCs w:val="22"/>
        </w:rPr>
        <w:t xml:space="preserve">24 CFR 574.440 </w:t>
      </w:r>
      <w:r>
        <w:rPr>
          <w:color w:val="000000"/>
          <w:sz w:val="22"/>
          <w:szCs w:val="22"/>
        </w:rPr>
        <w:t>require</w:t>
      </w:r>
      <w:r w:rsidR="000007ED">
        <w:rPr>
          <w:color w:val="000000"/>
          <w:sz w:val="22"/>
          <w:szCs w:val="22"/>
        </w:rPr>
        <w:t xml:space="preserve"> that grantees and their respective project sponsors maintain the confidentiality and identities of HOPWA program participants</w:t>
      </w:r>
      <w:r>
        <w:rPr>
          <w:color w:val="000000"/>
          <w:sz w:val="22"/>
          <w:szCs w:val="22"/>
        </w:rPr>
        <w:t>, which includes</w:t>
      </w:r>
      <w:r w:rsidR="000007ED">
        <w:rPr>
          <w:color w:val="000000"/>
          <w:sz w:val="22"/>
          <w:szCs w:val="22"/>
        </w:rPr>
        <w:t xml:space="preserve"> that sufficient processes are in place to ensure sound confidential recordkeeping. </w:t>
      </w:r>
      <w:r>
        <w:rPr>
          <w:color w:val="000000"/>
          <w:sz w:val="22"/>
          <w:szCs w:val="22"/>
        </w:rPr>
        <w:t>A</w:t>
      </w:r>
      <w:r w:rsidR="000007ED">
        <w:rPr>
          <w:color w:val="000000"/>
          <w:sz w:val="22"/>
          <w:szCs w:val="22"/>
        </w:rPr>
        <w:t xml:space="preserve">ll forms are in compliance </w:t>
      </w:r>
      <w:r w:rsidR="00F7313B">
        <w:rPr>
          <w:color w:val="000000"/>
          <w:sz w:val="22"/>
          <w:szCs w:val="22"/>
        </w:rPr>
        <w:t xml:space="preserve">with this requirement. </w:t>
      </w:r>
    </w:p>
    <w:p w14:paraId="64DD1795" w14:textId="77777777" w:rsidR="00D73EE7" w:rsidRPr="003B27A6" w:rsidRDefault="00D73EE7">
      <w:pPr>
        <w:tabs>
          <w:tab w:val="left" w:pos="360"/>
        </w:tabs>
        <w:ind w:left="360" w:hanging="360"/>
        <w:rPr>
          <w:color w:val="000000"/>
          <w:sz w:val="22"/>
          <w:szCs w:val="22"/>
        </w:rPr>
      </w:pPr>
    </w:p>
    <w:p w14:paraId="10DEAEA9" w14:textId="77777777" w:rsidR="00B1027E" w:rsidRPr="003B27A6" w:rsidRDefault="00D73EE7" w:rsidP="00267E0E">
      <w:pPr>
        <w:keepLines/>
        <w:tabs>
          <w:tab w:val="left" w:pos="360"/>
          <w:tab w:val="left" w:pos="720"/>
        </w:tabs>
        <w:ind w:left="360" w:hanging="360"/>
        <w:rPr>
          <w:color w:val="000000"/>
          <w:sz w:val="22"/>
          <w:szCs w:val="22"/>
        </w:rPr>
      </w:pPr>
      <w:r w:rsidRPr="003B27A6">
        <w:rPr>
          <w:color w:val="000000"/>
          <w:sz w:val="22"/>
          <w:szCs w:val="22"/>
        </w:rPr>
        <w:t>11.</w:t>
      </w:r>
      <w:r w:rsidRPr="003B27A6">
        <w:rPr>
          <w:color w:val="000000"/>
          <w:sz w:val="22"/>
          <w:szCs w:val="22"/>
        </w:rPr>
        <w:tab/>
        <w:t>Justify any questions of a sensitive nature, such as sexual, religious beliefs, and other matters that are commonly considered private</w:t>
      </w:r>
      <w:r w:rsidR="00B1027E" w:rsidRPr="003B27A6">
        <w:rPr>
          <w:color w:val="000000"/>
          <w:sz w:val="22"/>
          <w:szCs w:val="22"/>
        </w:rPr>
        <w:t>.</w:t>
      </w:r>
    </w:p>
    <w:p w14:paraId="49DF42B7" w14:textId="77777777" w:rsidR="00B1027E" w:rsidRPr="003B27A6" w:rsidRDefault="00F7313B" w:rsidP="000D2DF6">
      <w:pPr>
        <w:keepLines/>
        <w:tabs>
          <w:tab w:val="left" w:pos="0"/>
          <w:tab w:val="left" w:pos="720"/>
        </w:tabs>
        <w:spacing w:before="240"/>
        <w:rPr>
          <w:color w:val="000000"/>
          <w:sz w:val="22"/>
          <w:szCs w:val="22"/>
        </w:rPr>
      </w:pPr>
      <w:r>
        <w:rPr>
          <w:color w:val="000000"/>
          <w:sz w:val="22"/>
          <w:szCs w:val="22"/>
        </w:rPr>
        <w:t xml:space="preserve">No questions of a sensitive matter are included as part of the requested or required submission of these application submission or reporting requirements. </w:t>
      </w:r>
    </w:p>
    <w:p w14:paraId="150F3E99" w14:textId="77777777" w:rsidR="00D73EE7" w:rsidRPr="003B27A6" w:rsidRDefault="00D73EE7">
      <w:pPr>
        <w:keepLines/>
        <w:tabs>
          <w:tab w:val="left" w:pos="360"/>
        </w:tabs>
        <w:ind w:left="360" w:hanging="360"/>
        <w:rPr>
          <w:color w:val="000000"/>
          <w:sz w:val="22"/>
          <w:szCs w:val="22"/>
        </w:rPr>
      </w:pPr>
    </w:p>
    <w:p w14:paraId="04E13E70" w14:textId="77777777" w:rsidR="00E86574" w:rsidRDefault="00D73EE7">
      <w:pPr>
        <w:keepLines/>
        <w:tabs>
          <w:tab w:val="left" w:pos="360"/>
          <w:tab w:val="left" w:pos="720"/>
        </w:tabs>
        <w:ind w:left="360" w:hanging="360"/>
        <w:rPr>
          <w:color w:val="000000"/>
          <w:sz w:val="22"/>
          <w:szCs w:val="22"/>
        </w:rPr>
      </w:pPr>
      <w:r w:rsidRPr="003B27A6">
        <w:rPr>
          <w:color w:val="000000"/>
          <w:sz w:val="22"/>
          <w:szCs w:val="22"/>
        </w:rPr>
        <w:t>12.</w:t>
      </w:r>
      <w:r w:rsidRPr="003B27A6">
        <w:rPr>
          <w:color w:val="000000"/>
          <w:sz w:val="22"/>
          <w:szCs w:val="22"/>
        </w:rPr>
        <w:tab/>
      </w:r>
      <w:r w:rsidR="00F7313B">
        <w:rPr>
          <w:color w:val="000000"/>
          <w:sz w:val="22"/>
          <w:szCs w:val="22"/>
        </w:rPr>
        <w:t>Hour and Cost Burden Estimates to Grant Recipients:</w:t>
      </w:r>
    </w:p>
    <w:p w14:paraId="502513C5" w14:textId="77777777" w:rsidR="00F7313B" w:rsidRDefault="00F7313B">
      <w:pPr>
        <w:keepLines/>
        <w:tabs>
          <w:tab w:val="left" w:pos="360"/>
          <w:tab w:val="left" w:pos="720"/>
        </w:tabs>
        <w:ind w:left="360" w:hanging="360"/>
        <w:rPr>
          <w:color w:val="000000"/>
          <w:sz w:val="22"/>
          <w:szCs w:val="22"/>
        </w:rPr>
      </w:pPr>
    </w:p>
    <w:tbl>
      <w:tblPr>
        <w:tblW w:w="996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1260"/>
        <w:gridCol w:w="1080"/>
        <w:gridCol w:w="1350"/>
        <w:gridCol w:w="1080"/>
        <w:gridCol w:w="1080"/>
        <w:gridCol w:w="810"/>
        <w:gridCol w:w="1350"/>
      </w:tblGrid>
      <w:tr w:rsidR="002702B6" w:rsidRPr="00517720" w14:paraId="43058354" w14:textId="77777777" w:rsidTr="009174AD">
        <w:tc>
          <w:tcPr>
            <w:tcW w:w="1957" w:type="dxa"/>
            <w:shd w:val="clear" w:color="auto" w:fill="auto"/>
          </w:tcPr>
          <w:p w14:paraId="3974588A" w14:textId="2809C527" w:rsidR="002702B6" w:rsidRPr="009174AD" w:rsidRDefault="002702B6" w:rsidP="009174AD">
            <w:pPr>
              <w:jc w:val="center"/>
              <w:rPr>
                <w:color w:val="000000"/>
                <w:sz w:val="20"/>
                <w:szCs w:val="20"/>
              </w:rPr>
            </w:pPr>
            <w:r w:rsidRPr="009174AD">
              <w:rPr>
                <w:color w:val="000000"/>
                <w:sz w:val="20"/>
                <w:szCs w:val="20"/>
              </w:rPr>
              <w:t>Information Collection</w:t>
            </w:r>
          </w:p>
        </w:tc>
        <w:tc>
          <w:tcPr>
            <w:tcW w:w="1260" w:type="dxa"/>
            <w:shd w:val="clear" w:color="auto" w:fill="auto"/>
          </w:tcPr>
          <w:p w14:paraId="3F757628" w14:textId="7603EE20" w:rsidR="002702B6" w:rsidRPr="009174AD" w:rsidRDefault="002702B6" w:rsidP="009174AD">
            <w:pPr>
              <w:jc w:val="center"/>
              <w:rPr>
                <w:color w:val="000000"/>
                <w:sz w:val="20"/>
                <w:szCs w:val="20"/>
              </w:rPr>
            </w:pPr>
            <w:r w:rsidRPr="009174AD">
              <w:rPr>
                <w:color w:val="000000"/>
                <w:sz w:val="20"/>
                <w:szCs w:val="20"/>
              </w:rPr>
              <w:t>Number of Respondents</w:t>
            </w:r>
          </w:p>
        </w:tc>
        <w:tc>
          <w:tcPr>
            <w:tcW w:w="1080" w:type="dxa"/>
            <w:shd w:val="clear" w:color="auto" w:fill="auto"/>
          </w:tcPr>
          <w:p w14:paraId="1842B613" w14:textId="77777777" w:rsidR="002702B6" w:rsidRPr="009174AD" w:rsidRDefault="002702B6" w:rsidP="009174AD">
            <w:pPr>
              <w:jc w:val="center"/>
              <w:rPr>
                <w:color w:val="000000"/>
                <w:sz w:val="20"/>
                <w:szCs w:val="20"/>
              </w:rPr>
            </w:pPr>
            <w:r w:rsidRPr="009174AD">
              <w:rPr>
                <w:color w:val="000000"/>
                <w:sz w:val="20"/>
                <w:szCs w:val="20"/>
              </w:rPr>
              <w:t>Responses per Year</w:t>
            </w:r>
          </w:p>
        </w:tc>
        <w:tc>
          <w:tcPr>
            <w:tcW w:w="1350" w:type="dxa"/>
            <w:shd w:val="clear" w:color="auto" w:fill="auto"/>
          </w:tcPr>
          <w:p w14:paraId="524FACB3" w14:textId="77777777" w:rsidR="002702B6" w:rsidRPr="009174AD" w:rsidRDefault="002702B6" w:rsidP="009174AD">
            <w:pPr>
              <w:jc w:val="center"/>
              <w:rPr>
                <w:color w:val="000000"/>
                <w:sz w:val="20"/>
                <w:szCs w:val="20"/>
              </w:rPr>
            </w:pPr>
            <w:r w:rsidRPr="009174AD">
              <w:rPr>
                <w:color w:val="000000"/>
                <w:sz w:val="20"/>
                <w:szCs w:val="20"/>
              </w:rPr>
              <w:t>Total Annual Responses</w:t>
            </w:r>
          </w:p>
        </w:tc>
        <w:tc>
          <w:tcPr>
            <w:tcW w:w="1080" w:type="dxa"/>
            <w:shd w:val="clear" w:color="auto" w:fill="auto"/>
          </w:tcPr>
          <w:p w14:paraId="55A138E6" w14:textId="0FD34607" w:rsidR="002702B6" w:rsidRPr="009174AD" w:rsidRDefault="002702B6" w:rsidP="009174AD">
            <w:pPr>
              <w:jc w:val="center"/>
              <w:rPr>
                <w:color w:val="000000"/>
                <w:sz w:val="20"/>
                <w:szCs w:val="20"/>
              </w:rPr>
            </w:pPr>
            <w:r w:rsidRPr="009174AD">
              <w:rPr>
                <w:color w:val="000000"/>
                <w:sz w:val="20"/>
                <w:szCs w:val="20"/>
              </w:rPr>
              <w:t>Hours per Response</w:t>
            </w:r>
          </w:p>
        </w:tc>
        <w:tc>
          <w:tcPr>
            <w:tcW w:w="1080" w:type="dxa"/>
            <w:shd w:val="clear" w:color="auto" w:fill="auto"/>
          </w:tcPr>
          <w:p w14:paraId="2510C2A6" w14:textId="708BEE5B" w:rsidR="002702B6" w:rsidRPr="009174AD" w:rsidRDefault="002702B6" w:rsidP="009174AD">
            <w:pPr>
              <w:jc w:val="center"/>
              <w:rPr>
                <w:color w:val="000000"/>
                <w:sz w:val="20"/>
                <w:szCs w:val="20"/>
              </w:rPr>
            </w:pPr>
            <w:r w:rsidRPr="009174AD">
              <w:rPr>
                <w:color w:val="000000"/>
                <w:sz w:val="20"/>
                <w:szCs w:val="20"/>
              </w:rPr>
              <w:t>Total Hours</w:t>
            </w:r>
          </w:p>
        </w:tc>
        <w:tc>
          <w:tcPr>
            <w:tcW w:w="810" w:type="dxa"/>
          </w:tcPr>
          <w:p w14:paraId="3782F0E2" w14:textId="1687562C" w:rsidR="002702B6" w:rsidRPr="009174AD" w:rsidRDefault="002702B6" w:rsidP="009174AD">
            <w:pPr>
              <w:jc w:val="center"/>
              <w:rPr>
                <w:color w:val="000000"/>
                <w:sz w:val="20"/>
                <w:szCs w:val="20"/>
              </w:rPr>
            </w:pPr>
            <w:r w:rsidRPr="009174AD">
              <w:rPr>
                <w:sz w:val="20"/>
                <w:szCs w:val="20"/>
              </w:rPr>
              <w:t>Hourly Cost</w:t>
            </w:r>
          </w:p>
        </w:tc>
        <w:tc>
          <w:tcPr>
            <w:tcW w:w="1350" w:type="dxa"/>
          </w:tcPr>
          <w:p w14:paraId="0F080DC9" w14:textId="6065ABF6" w:rsidR="002702B6" w:rsidRPr="009174AD" w:rsidRDefault="002702B6" w:rsidP="009174AD">
            <w:pPr>
              <w:jc w:val="center"/>
              <w:rPr>
                <w:color w:val="000000"/>
                <w:sz w:val="20"/>
                <w:szCs w:val="20"/>
              </w:rPr>
            </w:pPr>
            <w:r w:rsidRPr="009174AD">
              <w:rPr>
                <w:color w:val="000000"/>
                <w:sz w:val="20"/>
                <w:szCs w:val="20"/>
              </w:rPr>
              <w:t>Annualized Cost</w:t>
            </w:r>
          </w:p>
        </w:tc>
      </w:tr>
      <w:tr w:rsidR="002702B6" w:rsidRPr="00517720" w14:paraId="2AE9189B" w14:textId="77777777" w:rsidTr="009174AD">
        <w:trPr>
          <w:trHeight w:val="1152"/>
        </w:trPr>
        <w:tc>
          <w:tcPr>
            <w:tcW w:w="1957" w:type="dxa"/>
            <w:shd w:val="clear" w:color="auto" w:fill="auto"/>
          </w:tcPr>
          <w:p w14:paraId="458C06E8" w14:textId="77777777" w:rsidR="002702B6" w:rsidRPr="009174AD" w:rsidRDefault="002702B6" w:rsidP="002702B6">
            <w:pPr>
              <w:rPr>
                <w:color w:val="000000"/>
                <w:sz w:val="20"/>
                <w:szCs w:val="20"/>
              </w:rPr>
            </w:pPr>
            <w:r w:rsidRPr="009174AD">
              <w:rPr>
                <w:color w:val="000000"/>
                <w:sz w:val="20"/>
                <w:szCs w:val="20"/>
              </w:rPr>
              <w:t>HOPWA Renewal Application (including HUD-40110-B, narratives, and other requirements listed in the renewal notice)</w:t>
            </w:r>
          </w:p>
        </w:tc>
        <w:tc>
          <w:tcPr>
            <w:tcW w:w="1260" w:type="dxa"/>
            <w:shd w:val="clear" w:color="auto" w:fill="auto"/>
          </w:tcPr>
          <w:p w14:paraId="27F1C082" w14:textId="5717ED0A" w:rsidR="002702B6" w:rsidRPr="009174AD" w:rsidRDefault="002702B6" w:rsidP="009174AD">
            <w:pPr>
              <w:pStyle w:val="NoSpacing"/>
              <w:jc w:val="right"/>
              <w:rPr>
                <w:sz w:val="20"/>
                <w:szCs w:val="20"/>
              </w:rPr>
            </w:pPr>
            <w:r w:rsidRPr="009174AD">
              <w:rPr>
                <w:sz w:val="20"/>
                <w:szCs w:val="20"/>
              </w:rPr>
              <w:t>28</w:t>
            </w:r>
            <w:r w:rsidR="00C1682B">
              <w:rPr>
                <w:sz w:val="20"/>
                <w:szCs w:val="20"/>
              </w:rPr>
              <w:t>.00</w:t>
            </w:r>
          </w:p>
        </w:tc>
        <w:tc>
          <w:tcPr>
            <w:tcW w:w="1080" w:type="dxa"/>
            <w:shd w:val="clear" w:color="auto" w:fill="auto"/>
          </w:tcPr>
          <w:p w14:paraId="007306FC" w14:textId="7A663047" w:rsidR="002702B6" w:rsidRPr="009174AD" w:rsidRDefault="002702B6" w:rsidP="009174AD">
            <w:pPr>
              <w:pStyle w:val="NoSpacing"/>
              <w:jc w:val="right"/>
              <w:rPr>
                <w:sz w:val="20"/>
                <w:szCs w:val="20"/>
              </w:rPr>
            </w:pPr>
            <w:r w:rsidRPr="009174AD">
              <w:rPr>
                <w:sz w:val="20"/>
                <w:szCs w:val="20"/>
              </w:rPr>
              <w:t>1</w:t>
            </w:r>
            <w:r w:rsidR="00C1682B">
              <w:rPr>
                <w:sz w:val="20"/>
                <w:szCs w:val="20"/>
              </w:rPr>
              <w:t>.00</w:t>
            </w:r>
          </w:p>
        </w:tc>
        <w:tc>
          <w:tcPr>
            <w:tcW w:w="1350" w:type="dxa"/>
            <w:shd w:val="clear" w:color="auto" w:fill="auto"/>
          </w:tcPr>
          <w:p w14:paraId="57DF9729" w14:textId="2B6C9AD5" w:rsidR="002702B6" w:rsidRPr="009174AD" w:rsidRDefault="002702B6" w:rsidP="009174AD">
            <w:pPr>
              <w:pStyle w:val="NoSpacing"/>
              <w:jc w:val="right"/>
              <w:rPr>
                <w:sz w:val="20"/>
                <w:szCs w:val="20"/>
              </w:rPr>
            </w:pPr>
            <w:r w:rsidRPr="009174AD">
              <w:rPr>
                <w:sz w:val="20"/>
                <w:szCs w:val="20"/>
              </w:rPr>
              <w:t>28</w:t>
            </w:r>
            <w:r w:rsidR="00C1682B">
              <w:rPr>
                <w:sz w:val="20"/>
                <w:szCs w:val="20"/>
              </w:rPr>
              <w:t>.00</w:t>
            </w:r>
          </w:p>
        </w:tc>
        <w:tc>
          <w:tcPr>
            <w:tcW w:w="1080" w:type="dxa"/>
            <w:shd w:val="clear" w:color="auto" w:fill="auto"/>
          </w:tcPr>
          <w:p w14:paraId="37B6E0C7" w14:textId="19D8C230" w:rsidR="002702B6" w:rsidRPr="009174AD" w:rsidRDefault="002702B6" w:rsidP="009174AD">
            <w:pPr>
              <w:pStyle w:val="NoSpacing"/>
              <w:jc w:val="right"/>
              <w:rPr>
                <w:sz w:val="20"/>
                <w:szCs w:val="20"/>
              </w:rPr>
            </w:pPr>
            <w:r w:rsidRPr="009174AD">
              <w:rPr>
                <w:sz w:val="20"/>
                <w:szCs w:val="20"/>
              </w:rPr>
              <w:t>15</w:t>
            </w:r>
            <w:r w:rsidR="00C1682B">
              <w:rPr>
                <w:sz w:val="20"/>
                <w:szCs w:val="20"/>
              </w:rPr>
              <w:t>.00</w:t>
            </w:r>
          </w:p>
        </w:tc>
        <w:tc>
          <w:tcPr>
            <w:tcW w:w="1080" w:type="dxa"/>
            <w:shd w:val="clear" w:color="auto" w:fill="auto"/>
          </w:tcPr>
          <w:p w14:paraId="7DDA1246" w14:textId="2858D48C" w:rsidR="002702B6" w:rsidRPr="009174AD" w:rsidRDefault="002702B6" w:rsidP="009174AD">
            <w:pPr>
              <w:pStyle w:val="NoSpacing"/>
              <w:jc w:val="right"/>
              <w:rPr>
                <w:sz w:val="20"/>
                <w:szCs w:val="20"/>
              </w:rPr>
            </w:pPr>
            <w:r w:rsidRPr="009174AD">
              <w:rPr>
                <w:sz w:val="20"/>
                <w:szCs w:val="20"/>
              </w:rPr>
              <w:t>420</w:t>
            </w:r>
            <w:r w:rsidR="00C1682B">
              <w:rPr>
                <w:sz w:val="20"/>
                <w:szCs w:val="20"/>
              </w:rPr>
              <w:t>.00</w:t>
            </w:r>
          </w:p>
        </w:tc>
        <w:tc>
          <w:tcPr>
            <w:tcW w:w="810" w:type="dxa"/>
          </w:tcPr>
          <w:p w14:paraId="382A1E90" w14:textId="61018736" w:rsidR="002702B6" w:rsidRPr="009174AD" w:rsidRDefault="002702B6" w:rsidP="009174AD">
            <w:pPr>
              <w:pStyle w:val="NoSpacing"/>
              <w:jc w:val="right"/>
              <w:rPr>
                <w:sz w:val="20"/>
                <w:szCs w:val="20"/>
              </w:rPr>
            </w:pPr>
            <w:r w:rsidRPr="009174AD">
              <w:rPr>
                <w:sz w:val="20"/>
                <w:szCs w:val="20"/>
              </w:rPr>
              <w:t>$23.85</w:t>
            </w:r>
          </w:p>
        </w:tc>
        <w:tc>
          <w:tcPr>
            <w:tcW w:w="1350" w:type="dxa"/>
          </w:tcPr>
          <w:p w14:paraId="31FBFB6B" w14:textId="355FD2E3" w:rsidR="002702B6" w:rsidRPr="009174AD" w:rsidDel="00F7313B" w:rsidRDefault="002702B6" w:rsidP="009174AD">
            <w:pPr>
              <w:pStyle w:val="NoSpacing"/>
              <w:jc w:val="right"/>
              <w:rPr>
                <w:sz w:val="20"/>
                <w:szCs w:val="20"/>
              </w:rPr>
            </w:pPr>
            <w:r w:rsidRPr="009174AD">
              <w:rPr>
                <w:sz w:val="20"/>
                <w:szCs w:val="20"/>
              </w:rPr>
              <w:t xml:space="preserve">$10,017.00 </w:t>
            </w:r>
          </w:p>
        </w:tc>
      </w:tr>
      <w:tr w:rsidR="002702B6" w:rsidRPr="00517720" w14:paraId="61C5E111" w14:textId="77777777" w:rsidTr="009174AD">
        <w:tc>
          <w:tcPr>
            <w:tcW w:w="1957" w:type="dxa"/>
            <w:shd w:val="clear" w:color="auto" w:fill="auto"/>
          </w:tcPr>
          <w:p w14:paraId="4B61B8E4" w14:textId="77777777" w:rsidR="002702B6" w:rsidRPr="009174AD" w:rsidRDefault="002702B6" w:rsidP="002702B6">
            <w:pPr>
              <w:rPr>
                <w:color w:val="000000"/>
                <w:sz w:val="20"/>
                <w:szCs w:val="20"/>
              </w:rPr>
            </w:pPr>
            <w:r w:rsidRPr="009174AD">
              <w:rPr>
                <w:color w:val="000000"/>
                <w:sz w:val="20"/>
                <w:szCs w:val="20"/>
              </w:rPr>
              <w:t>HOPWA Competitive Application (including HUD-40110-B, narratives, and other requirements listed in the NOFA)</w:t>
            </w:r>
          </w:p>
        </w:tc>
        <w:tc>
          <w:tcPr>
            <w:tcW w:w="1260" w:type="dxa"/>
            <w:shd w:val="clear" w:color="auto" w:fill="auto"/>
          </w:tcPr>
          <w:p w14:paraId="7EFEE0B6" w14:textId="1FE194F3" w:rsidR="002702B6" w:rsidRPr="009174AD" w:rsidRDefault="002702B6" w:rsidP="009174AD">
            <w:pPr>
              <w:pStyle w:val="NoSpacing"/>
              <w:jc w:val="right"/>
              <w:rPr>
                <w:sz w:val="20"/>
                <w:szCs w:val="20"/>
              </w:rPr>
            </w:pPr>
            <w:r w:rsidRPr="009174AD">
              <w:rPr>
                <w:sz w:val="20"/>
                <w:szCs w:val="20"/>
              </w:rPr>
              <w:t>40</w:t>
            </w:r>
            <w:r w:rsidR="00C1682B">
              <w:rPr>
                <w:sz w:val="20"/>
                <w:szCs w:val="20"/>
              </w:rPr>
              <w:t>.00</w:t>
            </w:r>
          </w:p>
        </w:tc>
        <w:tc>
          <w:tcPr>
            <w:tcW w:w="1080" w:type="dxa"/>
            <w:shd w:val="clear" w:color="auto" w:fill="auto"/>
          </w:tcPr>
          <w:p w14:paraId="12FF96D0" w14:textId="0A4FA405" w:rsidR="002702B6" w:rsidRPr="009174AD" w:rsidRDefault="002702B6" w:rsidP="009174AD">
            <w:pPr>
              <w:pStyle w:val="NoSpacing"/>
              <w:jc w:val="right"/>
              <w:rPr>
                <w:sz w:val="20"/>
                <w:szCs w:val="20"/>
              </w:rPr>
            </w:pPr>
            <w:r w:rsidRPr="009174AD">
              <w:rPr>
                <w:sz w:val="20"/>
                <w:szCs w:val="20"/>
              </w:rPr>
              <w:t>1</w:t>
            </w:r>
            <w:r w:rsidR="00C1682B">
              <w:rPr>
                <w:sz w:val="20"/>
                <w:szCs w:val="20"/>
              </w:rPr>
              <w:t>.00</w:t>
            </w:r>
          </w:p>
        </w:tc>
        <w:tc>
          <w:tcPr>
            <w:tcW w:w="1350" w:type="dxa"/>
            <w:shd w:val="clear" w:color="auto" w:fill="auto"/>
          </w:tcPr>
          <w:p w14:paraId="7249643B" w14:textId="49F510C5" w:rsidR="002702B6" w:rsidRPr="009174AD" w:rsidRDefault="002702B6" w:rsidP="009174AD">
            <w:pPr>
              <w:pStyle w:val="NoSpacing"/>
              <w:jc w:val="right"/>
              <w:rPr>
                <w:sz w:val="20"/>
                <w:szCs w:val="20"/>
              </w:rPr>
            </w:pPr>
            <w:r w:rsidRPr="009174AD">
              <w:rPr>
                <w:sz w:val="20"/>
                <w:szCs w:val="20"/>
              </w:rPr>
              <w:t>40</w:t>
            </w:r>
            <w:r w:rsidR="00C1682B">
              <w:rPr>
                <w:sz w:val="20"/>
                <w:szCs w:val="20"/>
              </w:rPr>
              <w:t>.00</w:t>
            </w:r>
          </w:p>
        </w:tc>
        <w:tc>
          <w:tcPr>
            <w:tcW w:w="1080" w:type="dxa"/>
            <w:shd w:val="clear" w:color="auto" w:fill="auto"/>
          </w:tcPr>
          <w:p w14:paraId="04970DE5" w14:textId="692DF779" w:rsidR="002702B6" w:rsidRPr="009174AD" w:rsidRDefault="002702B6" w:rsidP="009174AD">
            <w:pPr>
              <w:pStyle w:val="NoSpacing"/>
              <w:jc w:val="right"/>
              <w:rPr>
                <w:sz w:val="20"/>
                <w:szCs w:val="20"/>
              </w:rPr>
            </w:pPr>
            <w:r w:rsidRPr="009174AD">
              <w:rPr>
                <w:sz w:val="20"/>
                <w:szCs w:val="20"/>
              </w:rPr>
              <w:t>45</w:t>
            </w:r>
            <w:r w:rsidR="00C1682B">
              <w:rPr>
                <w:sz w:val="20"/>
                <w:szCs w:val="20"/>
              </w:rPr>
              <w:t>.00</w:t>
            </w:r>
          </w:p>
        </w:tc>
        <w:tc>
          <w:tcPr>
            <w:tcW w:w="1080" w:type="dxa"/>
            <w:shd w:val="clear" w:color="auto" w:fill="auto"/>
          </w:tcPr>
          <w:p w14:paraId="31FCB161" w14:textId="18C9FBC7" w:rsidR="002702B6" w:rsidRPr="009174AD" w:rsidRDefault="002702B6" w:rsidP="009174AD">
            <w:pPr>
              <w:pStyle w:val="NoSpacing"/>
              <w:jc w:val="right"/>
              <w:rPr>
                <w:sz w:val="20"/>
                <w:szCs w:val="20"/>
              </w:rPr>
            </w:pPr>
            <w:r w:rsidRPr="009174AD">
              <w:rPr>
                <w:sz w:val="20"/>
                <w:szCs w:val="20"/>
              </w:rPr>
              <w:t>1,800</w:t>
            </w:r>
            <w:r w:rsidR="00C1682B">
              <w:rPr>
                <w:sz w:val="20"/>
                <w:szCs w:val="20"/>
              </w:rPr>
              <w:t>.00</w:t>
            </w:r>
          </w:p>
        </w:tc>
        <w:tc>
          <w:tcPr>
            <w:tcW w:w="810" w:type="dxa"/>
          </w:tcPr>
          <w:p w14:paraId="27200255" w14:textId="15B5C3A4" w:rsidR="002702B6" w:rsidRPr="009174AD" w:rsidRDefault="00C1682B" w:rsidP="009174AD">
            <w:pPr>
              <w:pStyle w:val="NoSpacing"/>
              <w:jc w:val="right"/>
              <w:rPr>
                <w:sz w:val="20"/>
                <w:szCs w:val="20"/>
              </w:rPr>
            </w:pPr>
            <w:r w:rsidRPr="00C1682B">
              <w:rPr>
                <w:sz w:val="20"/>
                <w:szCs w:val="20"/>
              </w:rPr>
              <w:t>$23.85</w:t>
            </w:r>
          </w:p>
        </w:tc>
        <w:tc>
          <w:tcPr>
            <w:tcW w:w="1350" w:type="dxa"/>
          </w:tcPr>
          <w:p w14:paraId="462DB001" w14:textId="42E35AD2" w:rsidR="002702B6" w:rsidRPr="009174AD" w:rsidDel="00283F75" w:rsidRDefault="002702B6" w:rsidP="009174AD">
            <w:pPr>
              <w:pStyle w:val="NoSpacing"/>
              <w:jc w:val="right"/>
              <w:rPr>
                <w:sz w:val="20"/>
                <w:szCs w:val="20"/>
              </w:rPr>
            </w:pPr>
            <w:r w:rsidRPr="009174AD">
              <w:rPr>
                <w:sz w:val="20"/>
                <w:szCs w:val="20"/>
              </w:rPr>
              <w:t xml:space="preserve">$42,930.00 </w:t>
            </w:r>
          </w:p>
        </w:tc>
      </w:tr>
      <w:tr w:rsidR="002702B6" w:rsidRPr="00517720" w14:paraId="5200933E" w14:textId="77777777" w:rsidTr="009174AD">
        <w:tc>
          <w:tcPr>
            <w:tcW w:w="1957" w:type="dxa"/>
            <w:shd w:val="clear" w:color="auto" w:fill="auto"/>
          </w:tcPr>
          <w:p w14:paraId="7F5826AF" w14:textId="77777777" w:rsidR="002702B6" w:rsidRPr="009174AD" w:rsidRDefault="002702B6" w:rsidP="002702B6">
            <w:pPr>
              <w:rPr>
                <w:color w:val="000000"/>
                <w:sz w:val="20"/>
                <w:szCs w:val="20"/>
              </w:rPr>
            </w:pPr>
            <w:r w:rsidRPr="009174AD">
              <w:rPr>
                <w:color w:val="000000"/>
                <w:sz w:val="20"/>
                <w:szCs w:val="20"/>
              </w:rPr>
              <w:t>HUD-40110-C Annual Progress Report (APR)</w:t>
            </w:r>
          </w:p>
        </w:tc>
        <w:tc>
          <w:tcPr>
            <w:tcW w:w="1260" w:type="dxa"/>
            <w:shd w:val="clear" w:color="auto" w:fill="auto"/>
          </w:tcPr>
          <w:p w14:paraId="73D0FBC9" w14:textId="41BD565F" w:rsidR="002702B6" w:rsidRPr="009174AD" w:rsidRDefault="002702B6" w:rsidP="009174AD">
            <w:pPr>
              <w:pStyle w:val="NoSpacing"/>
              <w:jc w:val="right"/>
              <w:rPr>
                <w:sz w:val="20"/>
                <w:szCs w:val="20"/>
              </w:rPr>
            </w:pPr>
            <w:r w:rsidRPr="009174AD">
              <w:rPr>
                <w:sz w:val="20"/>
                <w:szCs w:val="20"/>
              </w:rPr>
              <w:t>99</w:t>
            </w:r>
            <w:r w:rsidR="00C1682B">
              <w:rPr>
                <w:sz w:val="20"/>
                <w:szCs w:val="20"/>
              </w:rPr>
              <w:t>.00</w:t>
            </w:r>
          </w:p>
        </w:tc>
        <w:tc>
          <w:tcPr>
            <w:tcW w:w="1080" w:type="dxa"/>
            <w:shd w:val="clear" w:color="auto" w:fill="auto"/>
          </w:tcPr>
          <w:p w14:paraId="335843BC" w14:textId="7F376448" w:rsidR="002702B6" w:rsidRPr="009174AD" w:rsidRDefault="002702B6" w:rsidP="009174AD">
            <w:pPr>
              <w:pStyle w:val="NoSpacing"/>
              <w:jc w:val="right"/>
              <w:rPr>
                <w:sz w:val="20"/>
                <w:szCs w:val="20"/>
              </w:rPr>
            </w:pPr>
            <w:r w:rsidRPr="009174AD">
              <w:rPr>
                <w:sz w:val="20"/>
                <w:szCs w:val="20"/>
              </w:rPr>
              <w:t>1</w:t>
            </w:r>
            <w:r w:rsidR="00C1682B">
              <w:rPr>
                <w:sz w:val="20"/>
                <w:szCs w:val="20"/>
              </w:rPr>
              <w:t>.00</w:t>
            </w:r>
          </w:p>
        </w:tc>
        <w:tc>
          <w:tcPr>
            <w:tcW w:w="1350" w:type="dxa"/>
            <w:shd w:val="clear" w:color="auto" w:fill="auto"/>
          </w:tcPr>
          <w:p w14:paraId="5C2B448F" w14:textId="1966D8F1" w:rsidR="002702B6" w:rsidRPr="009174AD" w:rsidRDefault="002702B6" w:rsidP="009174AD">
            <w:pPr>
              <w:pStyle w:val="NoSpacing"/>
              <w:jc w:val="right"/>
              <w:rPr>
                <w:sz w:val="20"/>
                <w:szCs w:val="20"/>
              </w:rPr>
            </w:pPr>
            <w:r w:rsidRPr="009174AD">
              <w:rPr>
                <w:sz w:val="20"/>
                <w:szCs w:val="20"/>
              </w:rPr>
              <w:t>99</w:t>
            </w:r>
            <w:r w:rsidR="00C1682B">
              <w:rPr>
                <w:sz w:val="20"/>
                <w:szCs w:val="20"/>
              </w:rPr>
              <w:t>.00</w:t>
            </w:r>
          </w:p>
        </w:tc>
        <w:tc>
          <w:tcPr>
            <w:tcW w:w="1080" w:type="dxa"/>
            <w:shd w:val="clear" w:color="auto" w:fill="auto"/>
          </w:tcPr>
          <w:p w14:paraId="02F203CF" w14:textId="3C5BDB2E" w:rsidR="002702B6" w:rsidRPr="009174AD" w:rsidRDefault="002702B6" w:rsidP="009174AD">
            <w:pPr>
              <w:pStyle w:val="NoSpacing"/>
              <w:jc w:val="right"/>
              <w:rPr>
                <w:sz w:val="20"/>
                <w:szCs w:val="20"/>
              </w:rPr>
            </w:pPr>
            <w:r w:rsidRPr="009174AD">
              <w:rPr>
                <w:sz w:val="20"/>
                <w:szCs w:val="20"/>
              </w:rPr>
              <w:t>55</w:t>
            </w:r>
            <w:r w:rsidR="00C1682B">
              <w:rPr>
                <w:sz w:val="20"/>
                <w:szCs w:val="20"/>
              </w:rPr>
              <w:t>.00</w:t>
            </w:r>
          </w:p>
        </w:tc>
        <w:tc>
          <w:tcPr>
            <w:tcW w:w="1080" w:type="dxa"/>
            <w:shd w:val="clear" w:color="auto" w:fill="auto"/>
          </w:tcPr>
          <w:p w14:paraId="1988D838" w14:textId="0DC8349B" w:rsidR="002702B6" w:rsidRPr="009174AD" w:rsidRDefault="002702B6" w:rsidP="009174AD">
            <w:pPr>
              <w:pStyle w:val="NoSpacing"/>
              <w:jc w:val="right"/>
              <w:rPr>
                <w:sz w:val="20"/>
                <w:szCs w:val="20"/>
              </w:rPr>
            </w:pPr>
            <w:r w:rsidRPr="009174AD">
              <w:rPr>
                <w:sz w:val="20"/>
                <w:szCs w:val="20"/>
              </w:rPr>
              <w:t>5,445</w:t>
            </w:r>
            <w:r w:rsidR="00C1682B">
              <w:rPr>
                <w:sz w:val="20"/>
                <w:szCs w:val="20"/>
              </w:rPr>
              <w:t>.00</w:t>
            </w:r>
          </w:p>
        </w:tc>
        <w:tc>
          <w:tcPr>
            <w:tcW w:w="810" w:type="dxa"/>
          </w:tcPr>
          <w:p w14:paraId="14093A69" w14:textId="12AD096C" w:rsidR="002702B6" w:rsidRPr="009174AD" w:rsidRDefault="002702B6" w:rsidP="009174AD">
            <w:pPr>
              <w:pStyle w:val="NoSpacing"/>
              <w:jc w:val="right"/>
              <w:rPr>
                <w:sz w:val="20"/>
                <w:szCs w:val="20"/>
              </w:rPr>
            </w:pPr>
            <w:r w:rsidRPr="009174AD">
              <w:rPr>
                <w:sz w:val="20"/>
                <w:szCs w:val="20"/>
              </w:rPr>
              <w:t>$23.85</w:t>
            </w:r>
          </w:p>
        </w:tc>
        <w:tc>
          <w:tcPr>
            <w:tcW w:w="1350" w:type="dxa"/>
          </w:tcPr>
          <w:p w14:paraId="31DBA2C8" w14:textId="12063AC4" w:rsidR="002702B6" w:rsidRPr="009174AD" w:rsidRDefault="002702B6" w:rsidP="009174AD">
            <w:pPr>
              <w:pStyle w:val="NoSpacing"/>
              <w:jc w:val="right"/>
              <w:rPr>
                <w:sz w:val="20"/>
                <w:szCs w:val="20"/>
              </w:rPr>
            </w:pPr>
            <w:r w:rsidRPr="009174AD">
              <w:rPr>
                <w:sz w:val="20"/>
                <w:szCs w:val="20"/>
              </w:rPr>
              <w:t xml:space="preserve">$129,863.25 </w:t>
            </w:r>
          </w:p>
        </w:tc>
      </w:tr>
      <w:tr w:rsidR="002702B6" w:rsidRPr="00517720" w14:paraId="58DEE66D" w14:textId="77777777" w:rsidTr="009174AD">
        <w:tc>
          <w:tcPr>
            <w:tcW w:w="1957" w:type="dxa"/>
            <w:shd w:val="clear" w:color="auto" w:fill="auto"/>
          </w:tcPr>
          <w:p w14:paraId="7B1DA163" w14:textId="77777777" w:rsidR="002702B6" w:rsidRPr="009174AD" w:rsidRDefault="002702B6" w:rsidP="002702B6">
            <w:pPr>
              <w:rPr>
                <w:color w:val="000000"/>
                <w:sz w:val="20"/>
                <w:szCs w:val="20"/>
              </w:rPr>
            </w:pPr>
            <w:r w:rsidRPr="009174AD">
              <w:rPr>
                <w:color w:val="000000"/>
                <w:sz w:val="20"/>
                <w:szCs w:val="20"/>
              </w:rPr>
              <w:t>HUD-40110-D Consolidated Annual Performance and Evaluation Report (CAPER)</w:t>
            </w:r>
          </w:p>
        </w:tc>
        <w:tc>
          <w:tcPr>
            <w:tcW w:w="1260" w:type="dxa"/>
            <w:shd w:val="clear" w:color="auto" w:fill="auto"/>
          </w:tcPr>
          <w:p w14:paraId="3AC55A70" w14:textId="2897EE81" w:rsidR="002702B6" w:rsidRPr="009174AD" w:rsidRDefault="002702B6" w:rsidP="009174AD">
            <w:pPr>
              <w:pStyle w:val="NoSpacing"/>
              <w:jc w:val="right"/>
              <w:rPr>
                <w:sz w:val="20"/>
                <w:szCs w:val="20"/>
              </w:rPr>
            </w:pPr>
            <w:r w:rsidRPr="009174AD">
              <w:rPr>
                <w:sz w:val="20"/>
                <w:szCs w:val="20"/>
              </w:rPr>
              <w:t>128</w:t>
            </w:r>
            <w:r w:rsidR="00C1682B">
              <w:rPr>
                <w:sz w:val="20"/>
                <w:szCs w:val="20"/>
              </w:rPr>
              <w:t>.00</w:t>
            </w:r>
          </w:p>
        </w:tc>
        <w:tc>
          <w:tcPr>
            <w:tcW w:w="1080" w:type="dxa"/>
            <w:shd w:val="clear" w:color="auto" w:fill="auto"/>
          </w:tcPr>
          <w:p w14:paraId="402B3DC0" w14:textId="6B8E9325" w:rsidR="002702B6" w:rsidRPr="009174AD" w:rsidRDefault="002702B6" w:rsidP="009174AD">
            <w:pPr>
              <w:pStyle w:val="NoSpacing"/>
              <w:jc w:val="right"/>
              <w:rPr>
                <w:sz w:val="20"/>
                <w:szCs w:val="20"/>
              </w:rPr>
            </w:pPr>
            <w:r w:rsidRPr="009174AD">
              <w:rPr>
                <w:sz w:val="20"/>
                <w:szCs w:val="20"/>
              </w:rPr>
              <w:t>1</w:t>
            </w:r>
            <w:r w:rsidR="00C1682B">
              <w:rPr>
                <w:sz w:val="20"/>
                <w:szCs w:val="20"/>
              </w:rPr>
              <w:t>.00</w:t>
            </w:r>
          </w:p>
        </w:tc>
        <w:tc>
          <w:tcPr>
            <w:tcW w:w="1350" w:type="dxa"/>
            <w:shd w:val="clear" w:color="auto" w:fill="auto"/>
          </w:tcPr>
          <w:p w14:paraId="55ECB807" w14:textId="36A70237" w:rsidR="002702B6" w:rsidRPr="009174AD" w:rsidRDefault="002702B6" w:rsidP="009174AD">
            <w:pPr>
              <w:pStyle w:val="NoSpacing"/>
              <w:jc w:val="right"/>
              <w:rPr>
                <w:sz w:val="20"/>
                <w:szCs w:val="20"/>
              </w:rPr>
            </w:pPr>
            <w:r w:rsidRPr="009174AD">
              <w:rPr>
                <w:sz w:val="20"/>
                <w:szCs w:val="20"/>
              </w:rPr>
              <w:t>128</w:t>
            </w:r>
            <w:r w:rsidR="00C1682B">
              <w:rPr>
                <w:sz w:val="20"/>
                <w:szCs w:val="20"/>
              </w:rPr>
              <w:t>.00</w:t>
            </w:r>
          </w:p>
        </w:tc>
        <w:tc>
          <w:tcPr>
            <w:tcW w:w="1080" w:type="dxa"/>
            <w:shd w:val="clear" w:color="auto" w:fill="auto"/>
          </w:tcPr>
          <w:p w14:paraId="755CD71B" w14:textId="0F093FCB" w:rsidR="002702B6" w:rsidRPr="009174AD" w:rsidRDefault="002702B6" w:rsidP="009174AD">
            <w:pPr>
              <w:pStyle w:val="NoSpacing"/>
              <w:jc w:val="right"/>
              <w:rPr>
                <w:sz w:val="20"/>
                <w:szCs w:val="20"/>
              </w:rPr>
            </w:pPr>
            <w:r w:rsidRPr="009174AD">
              <w:rPr>
                <w:sz w:val="20"/>
                <w:szCs w:val="20"/>
              </w:rPr>
              <w:t>41</w:t>
            </w:r>
            <w:r w:rsidR="00C1682B">
              <w:rPr>
                <w:sz w:val="20"/>
                <w:szCs w:val="20"/>
              </w:rPr>
              <w:t>.00</w:t>
            </w:r>
          </w:p>
        </w:tc>
        <w:tc>
          <w:tcPr>
            <w:tcW w:w="1080" w:type="dxa"/>
            <w:shd w:val="clear" w:color="auto" w:fill="auto"/>
          </w:tcPr>
          <w:p w14:paraId="05B51C9A" w14:textId="32CDDAD3" w:rsidR="002702B6" w:rsidRPr="009174AD" w:rsidRDefault="002702B6" w:rsidP="009174AD">
            <w:pPr>
              <w:pStyle w:val="NoSpacing"/>
              <w:jc w:val="right"/>
              <w:rPr>
                <w:sz w:val="20"/>
                <w:szCs w:val="20"/>
              </w:rPr>
            </w:pPr>
            <w:r w:rsidRPr="009174AD">
              <w:rPr>
                <w:sz w:val="20"/>
                <w:szCs w:val="20"/>
              </w:rPr>
              <w:t>5,248</w:t>
            </w:r>
            <w:r w:rsidR="00C1682B">
              <w:rPr>
                <w:sz w:val="20"/>
                <w:szCs w:val="20"/>
              </w:rPr>
              <w:t>.00</w:t>
            </w:r>
          </w:p>
        </w:tc>
        <w:tc>
          <w:tcPr>
            <w:tcW w:w="810" w:type="dxa"/>
          </w:tcPr>
          <w:p w14:paraId="00ACC3CA" w14:textId="79987A80" w:rsidR="002702B6" w:rsidRPr="009174AD" w:rsidRDefault="00C1682B" w:rsidP="009174AD">
            <w:pPr>
              <w:pStyle w:val="NoSpacing"/>
              <w:jc w:val="right"/>
              <w:rPr>
                <w:sz w:val="20"/>
                <w:szCs w:val="20"/>
              </w:rPr>
            </w:pPr>
            <w:r w:rsidRPr="00C1682B">
              <w:rPr>
                <w:sz w:val="20"/>
                <w:szCs w:val="20"/>
              </w:rPr>
              <w:t>$23.85</w:t>
            </w:r>
          </w:p>
        </w:tc>
        <w:tc>
          <w:tcPr>
            <w:tcW w:w="1350" w:type="dxa"/>
          </w:tcPr>
          <w:p w14:paraId="1016E1BE" w14:textId="41129361" w:rsidR="002702B6" w:rsidRPr="009174AD" w:rsidRDefault="002702B6" w:rsidP="009174AD">
            <w:pPr>
              <w:pStyle w:val="NoSpacing"/>
              <w:jc w:val="right"/>
              <w:rPr>
                <w:sz w:val="20"/>
                <w:szCs w:val="20"/>
              </w:rPr>
            </w:pPr>
            <w:r w:rsidRPr="009174AD">
              <w:rPr>
                <w:sz w:val="20"/>
                <w:szCs w:val="20"/>
              </w:rPr>
              <w:t xml:space="preserve">$125,164.80 </w:t>
            </w:r>
          </w:p>
        </w:tc>
      </w:tr>
      <w:tr w:rsidR="002702B6" w:rsidRPr="00517720" w14:paraId="2DDED037" w14:textId="77777777" w:rsidTr="009174AD">
        <w:tc>
          <w:tcPr>
            <w:tcW w:w="1957" w:type="dxa"/>
            <w:shd w:val="clear" w:color="auto" w:fill="auto"/>
          </w:tcPr>
          <w:p w14:paraId="7A3ACA79" w14:textId="77777777" w:rsidR="002702B6" w:rsidRPr="009174AD" w:rsidRDefault="002702B6" w:rsidP="002702B6">
            <w:pPr>
              <w:rPr>
                <w:color w:val="000000"/>
                <w:sz w:val="20"/>
                <w:szCs w:val="20"/>
              </w:rPr>
            </w:pPr>
            <w:r w:rsidRPr="009174AD">
              <w:rPr>
                <w:color w:val="000000"/>
                <w:sz w:val="20"/>
                <w:szCs w:val="20"/>
              </w:rPr>
              <w:t>Recordkeeping for Competitive, Renewal, and Formula Grantees</w:t>
            </w:r>
          </w:p>
        </w:tc>
        <w:tc>
          <w:tcPr>
            <w:tcW w:w="1260" w:type="dxa"/>
            <w:shd w:val="clear" w:color="auto" w:fill="auto"/>
          </w:tcPr>
          <w:p w14:paraId="3C766CDB" w14:textId="3833D51F" w:rsidR="002702B6" w:rsidRPr="009174AD" w:rsidDel="00283F75" w:rsidRDefault="002702B6" w:rsidP="009174AD">
            <w:pPr>
              <w:pStyle w:val="NoSpacing"/>
              <w:jc w:val="right"/>
              <w:rPr>
                <w:sz w:val="20"/>
                <w:szCs w:val="20"/>
              </w:rPr>
            </w:pPr>
            <w:r w:rsidRPr="009174AD">
              <w:rPr>
                <w:sz w:val="20"/>
                <w:szCs w:val="20"/>
              </w:rPr>
              <w:t>227</w:t>
            </w:r>
            <w:r w:rsidR="00C1682B">
              <w:rPr>
                <w:sz w:val="20"/>
                <w:szCs w:val="20"/>
              </w:rPr>
              <w:t>.00</w:t>
            </w:r>
          </w:p>
        </w:tc>
        <w:tc>
          <w:tcPr>
            <w:tcW w:w="1080" w:type="dxa"/>
            <w:shd w:val="clear" w:color="auto" w:fill="auto"/>
          </w:tcPr>
          <w:p w14:paraId="263AF2CA" w14:textId="31DBE8E0" w:rsidR="002702B6" w:rsidRPr="009174AD" w:rsidRDefault="002702B6" w:rsidP="009174AD">
            <w:pPr>
              <w:pStyle w:val="NoSpacing"/>
              <w:jc w:val="right"/>
              <w:rPr>
                <w:sz w:val="20"/>
                <w:szCs w:val="20"/>
              </w:rPr>
            </w:pPr>
            <w:r w:rsidRPr="009174AD">
              <w:rPr>
                <w:sz w:val="20"/>
                <w:szCs w:val="20"/>
              </w:rPr>
              <w:t>1</w:t>
            </w:r>
            <w:r w:rsidR="00C1682B">
              <w:rPr>
                <w:sz w:val="20"/>
                <w:szCs w:val="20"/>
              </w:rPr>
              <w:t>.00</w:t>
            </w:r>
          </w:p>
        </w:tc>
        <w:tc>
          <w:tcPr>
            <w:tcW w:w="1350" w:type="dxa"/>
            <w:shd w:val="clear" w:color="auto" w:fill="auto"/>
          </w:tcPr>
          <w:p w14:paraId="3E80F212" w14:textId="59385CF7" w:rsidR="002702B6" w:rsidRPr="009174AD" w:rsidDel="00283F75" w:rsidRDefault="002702B6" w:rsidP="009174AD">
            <w:pPr>
              <w:pStyle w:val="NoSpacing"/>
              <w:jc w:val="right"/>
              <w:rPr>
                <w:sz w:val="20"/>
                <w:szCs w:val="20"/>
              </w:rPr>
            </w:pPr>
            <w:r w:rsidRPr="009174AD">
              <w:rPr>
                <w:sz w:val="20"/>
                <w:szCs w:val="20"/>
              </w:rPr>
              <w:t>227</w:t>
            </w:r>
            <w:r w:rsidR="00C1682B">
              <w:rPr>
                <w:sz w:val="20"/>
                <w:szCs w:val="20"/>
              </w:rPr>
              <w:t>.00</w:t>
            </w:r>
          </w:p>
        </w:tc>
        <w:tc>
          <w:tcPr>
            <w:tcW w:w="1080" w:type="dxa"/>
            <w:shd w:val="clear" w:color="auto" w:fill="auto"/>
          </w:tcPr>
          <w:p w14:paraId="73D36956" w14:textId="67309815" w:rsidR="002702B6" w:rsidRPr="009174AD" w:rsidRDefault="002702B6" w:rsidP="009174AD">
            <w:pPr>
              <w:pStyle w:val="NoSpacing"/>
              <w:jc w:val="right"/>
              <w:rPr>
                <w:sz w:val="20"/>
                <w:szCs w:val="20"/>
              </w:rPr>
            </w:pPr>
            <w:r w:rsidRPr="009174AD">
              <w:rPr>
                <w:sz w:val="20"/>
                <w:szCs w:val="20"/>
              </w:rPr>
              <w:t>60</w:t>
            </w:r>
            <w:r w:rsidR="00C1682B">
              <w:rPr>
                <w:sz w:val="20"/>
                <w:szCs w:val="20"/>
              </w:rPr>
              <w:t>.00</w:t>
            </w:r>
          </w:p>
        </w:tc>
        <w:tc>
          <w:tcPr>
            <w:tcW w:w="1080" w:type="dxa"/>
            <w:shd w:val="clear" w:color="auto" w:fill="auto"/>
          </w:tcPr>
          <w:p w14:paraId="107D0F6B" w14:textId="5CB7B0DE" w:rsidR="002702B6" w:rsidRPr="009174AD" w:rsidRDefault="002702B6" w:rsidP="009174AD">
            <w:pPr>
              <w:pStyle w:val="NoSpacing"/>
              <w:jc w:val="right"/>
              <w:rPr>
                <w:sz w:val="20"/>
                <w:szCs w:val="20"/>
              </w:rPr>
            </w:pPr>
            <w:r w:rsidRPr="009174AD">
              <w:rPr>
                <w:sz w:val="20"/>
                <w:szCs w:val="20"/>
              </w:rPr>
              <w:t>13,620</w:t>
            </w:r>
            <w:r w:rsidR="00C1682B">
              <w:rPr>
                <w:sz w:val="20"/>
                <w:szCs w:val="20"/>
              </w:rPr>
              <w:t>.00</w:t>
            </w:r>
          </w:p>
        </w:tc>
        <w:tc>
          <w:tcPr>
            <w:tcW w:w="810" w:type="dxa"/>
          </w:tcPr>
          <w:p w14:paraId="68813BC3" w14:textId="134F2FCE" w:rsidR="002702B6" w:rsidRPr="009174AD" w:rsidRDefault="002702B6" w:rsidP="009174AD">
            <w:pPr>
              <w:pStyle w:val="NoSpacing"/>
              <w:jc w:val="right"/>
              <w:rPr>
                <w:sz w:val="20"/>
                <w:szCs w:val="20"/>
              </w:rPr>
            </w:pPr>
            <w:r w:rsidRPr="009174AD">
              <w:rPr>
                <w:sz w:val="20"/>
                <w:szCs w:val="20"/>
              </w:rPr>
              <w:t>$23.85</w:t>
            </w:r>
          </w:p>
        </w:tc>
        <w:tc>
          <w:tcPr>
            <w:tcW w:w="1350" w:type="dxa"/>
          </w:tcPr>
          <w:p w14:paraId="28C5230F" w14:textId="7EDFBDCC" w:rsidR="002702B6" w:rsidRPr="009174AD" w:rsidRDefault="002702B6" w:rsidP="009174AD">
            <w:pPr>
              <w:pStyle w:val="NoSpacing"/>
              <w:jc w:val="right"/>
              <w:rPr>
                <w:sz w:val="20"/>
                <w:szCs w:val="20"/>
              </w:rPr>
            </w:pPr>
            <w:r w:rsidRPr="009174AD">
              <w:rPr>
                <w:sz w:val="20"/>
                <w:szCs w:val="20"/>
              </w:rPr>
              <w:t xml:space="preserve">$324,837.00 </w:t>
            </w:r>
          </w:p>
        </w:tc>
      </w:tr>
      <w:tr w:rsidR="00C1682B" w:rsidRPr="00517720" w14:paraId="14DFED93" w14:textId="77777777" w:rsidTr="009174AD">
        <w:tc>
          <w:tcPr>
            <w:tcW w:w="1957" w:type="dxa"/>
            <w:shd w:val="clear" w:color="auto" w:fill="auto"/>
          </w:tcPr>
          <w:p w14:paraId="57E698AF" w14:textId="77777777" w:rsidR="00C1682B" w:rsidRPr="009174AD" w:rsidRDefault="00C1682B" w:rsidP="00C1682B">
            <w:pPr>
              <w:rPr>
                <w:color w:val="000000"/>
                <w:sz w:val="20"/>
                <w:szCs w:val="20"/>
              </w:rPr>
            </w:pPr>
            <w:r w:rsidRPr="009174AD">
              <w:rPr>
                <w:color w:val="000000"/>
                <w:sz w:val="20"/>
                <w:szCs w:val="20"/>
              </w:rPr>
              <w:t>Grant Amendments (budget change, extension, or early termination)</w:t>
            </w:r>
          </w:p>
        </w:tc>
        <w:tc>
          <w:tcPr>
            <w:tcW w:w="1260" w:type="dxa"/>
            <w:shd w:val="clear" w:color="auto" w:fill="auto"/>
          </w:tcPr>
          <w:p w14:paraId="447C4F16" w14:textId="390D82CE" w:rsidR="00C1682B" w:rsidRPr="009174AD" w:rsidRDefault="00C1682B" w:rsidP="009174AD">
            <w:pPr>
              <w:pStyle w:val="NoSpacing"/>
              <w:jc w:val="right"/>
              <w:rPr>
                <w:sz w:val="20"/>
                <w:szCs w:val="20"/>
              </w:rPr>
            </w:pPr>
            <w:r w:rsidRPr="009174AD">
              <w:rPr>
                <w:sz w:val="20"/>
                <w:szCs w:val="20"/>
              </w:rPr>
              <w:t>30</w:t>
            </w:r>
            <w:r>
              <w:rPr>
                <w:sz w:val="20"/>
                <w:szCs w:val="20"/>
              </w:rPr>
              <w:t>.00</w:t>
            </w:r>
          </w:p>
        </w:tc>
        <w:tc>
          <w:tcPr>
            <w:tcW w:w="1080" w:type="dxa"/>
            <w:shd w:val="clear" w:color="auto" w:fill="auto"/>
          </w:tcPr>
          <w:p w14:paraId="6FF2CCD7" w14:textId="42B56A8D" w:rsidR="00C1682B" w:rsidRPr="009174AD" w:rsidRDefault="00C1682B" w:rsidP="009174AD">
            <w:pPr>
              <w:pStyle w:val="NoSpacing"/>
              <w:jc w:val="right"/>
              <w:rPr>
                <w:sz w:val="20"/>
                <w:szCs w:val="20"/>
              </w:rPr>
            </w:pPr>
            <w:r w:rsidRPr="009174AD">
              <w:rPr>
                <w:sz w:val="20"/>
                <w:szCs w:val="20"/>
              </w:rPr>
              <w:t>1</w:t>
            </w:r>
            <w:r>
              <w:rPr>
                <w:sz w:val="20"/>
                <w:szCs w:val="20"/>
              </w:rPr>
              <w:t>.00</w:t>
            </w:r>
          </w:p>
        </w:tc>
        <w:tc>
          <w:tcPr>
            <w:tcW w:w="1350" w:type="dxa"/>
            <w:shd w:val="clear" w:color="auto" w:fill="auto"/>
          </w:tcPr>
          <w:p w14:paraId="50A949BE" w14:textId="5A5E97B1" w:rsidR="00C1682B" w:rsidRPr="009174AD" w:rsidRDefault="00C1682B" w:rsidP="009174AD">
            <w:pPr>
              <w:pStyle w:val="NoSpacing"/>
              <w:jc w:val="right"/>
              <w:rPr>
                <w:sz w:val="20"/>
                <w:szCs w:val="20"/>
              </w:rPr>
            </w:pPr>
            <w:r w:rsidRPr="009174AD">
              <w:rPr>
                <w:sz w:val="20"/>
                <w:szCs w:val="20"/>
              </w:rPr>
              <w:t>30</w:t>
            </w:r>
            <w:r>
              <w:rPr>
                <w:sz w:val="20"/>
                <w:szCs w:val="20"/>
              </w:rPr>
              <w:t>.00</w:t>
            </w:r>
          </w:p>
        </w:tc>
        <w:tc>
          <w:tcPr>
            <w:tcW w:w="1080" w:type="dxa"/>
            <w:shd w:val="clear" w:color="auto" w:fill="auto"/>
          </w:tcPr>
          <w:p w14:paraId="097EDEC2" w14:textId="73FED96E" w:rsidR="00C1682B" w:rsidRPr="009174AD" w:rsidRDefault="00C1682B" w:rsidP="009174AD">
            <w:pPr>
              <w:pStyle w:val="NoSpacing"/>
              <w:jc w:val="right"/>
              <w:rPr>
                <w:sz w:val="20"/>
                <w:szCs w:val="20"/>
              </w:rPr>
            </w:pPr>
            <w:r w:rsidRPr="009174AD">
              <w:rPr>
                <w:sz w:val="20"/>
                <w:szCs w:val="20"/>
              </w:rPr>
              <w:t>6</w:t>
            </w:r>
            <w:r>
              <w:rPr>
                <w:sz w:val="20"/>
                <w:szCs w:val="20"/>
              </w:rPr>
              <w:t>.00</w:t>
            </w:r>
          </w:p>
        </w:tc>
        <w:tc>
          <w:tcPr>
            <w:tcW w:w="1080" w:type="dxa"/>
            <w:shd w:val="clear" w:color="auto" w:fill="auto"/>
          </w:tcPr>
          <w:p w14:paraId="63347F0F" w14:textId="0920B162" w:rsidR="00C1682B" w:rsidRPr="009174AD" w:rsidRDefault="00C1682B" w:rsidP="009174AD">
            <w:pPr>
              <w:pStyle w:val="NoSpacing"/>
              <w:jc w:val="right"/>
              <w:rPr>
                <w:sz w:val="20"/>
                <w:szCs w:val="20"/>
              </w:rPr>
            </w:pPr>
            <w:r w:rsidRPr="009174AD">
              <w:rPr>
                <w:sz w:val="20"/>
                <w:szCs w:val="20"/>
              </w:rPr>
              <w:t>180</w:t>
            </w:r>
            <w:r>
              <w:rPr>
                <w:sz w:val="20"/>
                <w:szCs w:val="20"/>
              </w:rPr>
              <w:t>.00</w:t>
            </w:r>
          </w:p>
        </w:tc>
        <w:tc>
          <w:tcPr>
            <w:tcW w:w="810" w:type="dxa"/>
          </w:tcPr>
          <w:p w14:paraId="342A35FC" w14:textId="31CF6C9D" w:rsidR="00C1682B" w:rsidRPr="009174AD" w:rsidRDefault="00C1682B" w:rsidP="009174AD">
            <w:pPr>
              <w:pStyle w:val="NoSpacing"/>
              <w:jc w:val="right"/>
              <w:rPr>
                <w:sz w:val="20"/>
                <w:szCs w:val="20"/>
              </w:rPr>
            </w:pPr>
            <w:r w:rsidRPr="00CF1AB4">
              <w:rPr>
                <w:sz w:val="20"/>
                <w:szCs w:val="20"/>
              </w:rPr>
              <w:t>$23.85</w:t>
            </w:r>
          </w:p>
        </w:tc>
        <w:tc>
          <w:tcPr>
            <w:tcW w:w="1350" w:type="dxa"/>
          </w:tcPr>
          <w:p w14:paraId="6FFB4055" w14:textId="40DE8893" w:rsidR="00C1682B" w:rsidRPr="009174AD" w:rsidRDefault="00C1682B" w:rsidP="009174AD">
            <w:pPr>
              <w:pStyle w:val="NoSpacing"/>
              <w:jc w:val="right"/>
              <w:rPr>
                <w:sz w:val="20"/>
                <w:szCs w:val="20"/>
              </w:rPr>
            </w:pPr>
            <w:r w:rsidRPr="009174AD">
              <w:rPr>
                <w:sz w:val="20"/>
                <w:szCs w:val="20"/>
              </w:rPr>
              <w:t xml:space="preserve">$4,293.00 </w:t>
            </w:r>
          </w:p>
        </w:tc>
      </w:tr>
      <w:tr w:rsidR="00C1682B" w:rsidRPr="00517720" w14:paraId="716E5C5E" w14:textId="77777777" w:rsidTr="009174AD">
        <w:trPr>
          <w:trHeight w:val="272"/>
        </w:trPr>
        <w:tc>
          <w:tcPr>
            <w:tcW w:w="1957" w:type="dxa"/>
            <w:shd w:val="clear" w:color="auto" w:fill="auto"/>
            <w:vAlign w:val="center"/>
          </w:tcPr>
          <w:p w14:paraId="6DA9DB12" w14:textId="77777777" w:rsidR="00C1682B" w:rsidRPr="009174AD" w:rsidRDefault="00C1682B" w:rsidP="00C1682B">
            <w:pPr>
              <w:rPr>
                <w:b/>
                <w:color w:val="000000"/>
                <w:sz w:val="20"/>
                <w:szCs w:val="20"/>
              </w:rPr>
            </w:pPr>
            <w:r w:rsidRPr="009174AD">
              <w:rPr>
                <w:b/>
                <w:color w:val="000000"/>
                <w:sz w:val="20"/>
                <w:szCs w:val="20"/>
              </w:rPr>
              <w:t>Total</w:t>
            </w:r>
          </w:p>
        </w:tc>
        <w:tc>
          <w:tcPr>
            <w:tcW w:w="1260" w:type="dxa"/>
            <w:shd w:val="clear" w:color="auto" w:fill="auto"/>
          </w:tcPr>
          <w:p w14:paraId="284623FF" w14:textId="1203D0D7" w:rsidR="00C1682B" w:rsidRPr="009174AD" w:rsidRDefault="009174AD" w:rsidP="009174AD">
            <w:pPr>
              <w:pStyle w:val="NoSpacing"/>
              <w:jc w:val="right"/>
              <w:rPr>
                <w:sz w:val="20"/>
                <w:szCs w:val="20"/>
              </w:rPr>
            </w:pPr>
            <w:r>
              <w:rPr>
                <w:sz w:val="20"/>
                <w:szCs w:val="20"/>
              </w:rPr>
              <w:t>5</w:t>
            </w:r>
            <w:r w:rsidR="00C1682B" w:rsidRPr="009174AD">
              <w:rPr>
                <w:sz w:val="20"/>
                <w:szCs w:val="20"/>
              </w:rPr>
              <w:t>5</w:t>
            </w:r>
            <w:r>
              <w:rPr>
                <w:sz w:val="20"/>
                <w:szCs w:val="20"/>
              </w:rPr>
              <w:t>2</w:t>
            </w:r>
            <w:r w:rsidR="00C1682B">
              <w:rPr>
                <w:sz w:val="20"/>
                <w:szCs w:val="20"/>
              </w:rPr>
              <w:t>.00</w:t>
            </w:r>
          </w:p>
        </w:tc>
        <w:tc>
          <w:tcPr>
            <w:tcW w:w="1080" w:type="dxa"/>
            <w:shd w:val="clear" w:color="auto" w:fill="auto"/>
          </w:tcPr>
          <w:p w14:paraId="25DFBB30" w14:textId="77777777" w:rsidR="00C1682B" w:rsidRPr="009174AD" w:rsidRDefault="00C1682B" w:rsidP="009174AD">
            <w:pPr>
              <w:pStyle w:val="NoSpacing"/>
              <w:jc w:val="right"/>
              <w:rPr>
                <w:sz w:val="20"/>
                <w:szCs w:val="20"/>
              </w:rPr>
            </w:pPr>
            <w:r w:rsidRPr="009174AD">
              <w:rPr>
                <w:sz w:val="20"/>
                <w:szCs w:val="20"/>
              </w:rPr>
              <w:t>-</w:t>
            </w:r>
          </w:p>
        </w:tc>
        <w:tc>
          <w:tcPr>
            <w:tcW w:w="1350" w:type="dxa"/>
            <w:shd w:val="clear" w:color="auto" w:fill="auto"/>
          </w:tcPr>
          <w:p w14:paraId="131CFA34" w14:textId="7A3F3307" w:rsidR="00C1682B" w:rsidRPr="009174AD" w:rsidRDefault="00C1682B" w:rsidP="009174AD">
            <w:pPr>
              <w:pStyle w:val="NoSpacing"/>
              <w:jc w:val="right"/>
              <w:rPr>
                <w:sz w:val="20"/>
                <w:szCs w:val="20"/>
              </w:rPr>
            </w:pPr>
            <w:r w:rsidRPr="009174AD">
              <w:rPr>
                <w:sz w:val="20"/>
                <w:szCs w:val="20"/>
              </w:rPr>
              <w:t>552</w:t>
            </w:r>
            <w:r>
              <w:rPr>
                <w:sz w:val="20"/>
                <w:szCs w:val="20"/>
              </w:rPr>
              <w:t>.00</w:t>
            </w:r>
          </w:p>
        </w:tc>
        <w:tc>
          <w:tcPr>
            <w:tcW w:w="1080" w:type="dxa"/>
            <w:shd w:val="clear" w:color="auto" w:fill="auto"/>
          </w:tcPr>
          <w:p w14:paraId="59B76798" w14:textId="77777777" w:rsidR="00C1682B" w:rsidRPr="009174AD" w:rsidRDefault="00C1682B" w:rsidP="009174AD">
            <w:pPr>
              <w:pStyle w:val="NoSpacing"/>
              <w:jc w:val="right"/>
              <w:rPr>
                <w:sz w:val="20"/>
                <w:szCs w:val="20"/>
              </w:rPr>
            </w:pPr>
            <w:r w:rsidRPr="009174AD">
              <w:rPr>
                <w:sz w:val="20"/>
                <w:szCs w:val="20"/>
              </w:rPr>
              <w:t>-</w:t>
            </w:r>
          </w:p>
        </w:tc>
        <w:tc>
          <w:tcPr>
            <w:tcW w:w="1080" w:type="dxa"/>
            <w:shd w:val="clear" w:color="auto" w:fill="auto"/>
          </w:tcPr>
          <w:p w14:paraId="6C0E0FBA" w14:textId="3E4D572B" w:rsidR="00C1682B" w:rsidRPr="009174AD" w:rsidRDefault="00C1682B" w:rsidP="009174AD">
            <w:pPr>
              <w:pStyle w:val="NoSpacing"/>
              <w:jc w:val="right"/>
              <w:rPr>
                <w:sz w:val="20"/>
                <w:szCs w:val="20"/>
              </w:rPr>
            </w:pPr>
            <w:r w:rsidRPr="009174AD">
              <w:rPr>
                <w:sz w:val="20"/>
                <w:szCs w:val="20"/>
              </w:rPr>
              <w:t>26,713</w:t>
            </w:r>
            <w:r>
              <w:rPr>
                <w:sz w:val="20"/>
                <w:szCs w:val="20"/>
              </w:rPr>
              <w:t>.00</w:t>
            </w:r>
          </w:p>
        </w:tc>
        <w:tc>
          <w:tcPr>
            <w:tcW w:w="810" w:type="dxa"/>
          </w:tcPr>
          <w:p w14:paraId="29AC86A8" w14:textId="791F21DF" w:rsidR="00C1682B" w:rsidRPr="009174AD" w:rsidRDefault="00C1682B" w:rsidP="009174AD">
            <w:pPr>
              <w:pStyle w:val="NoSpacing"/>
              <w:jc w:val="right"/>
              <w:rPr>
                <w:sz w:val="20"/>
                <w:szCs w:val="20"/>
              </w:rPr>
            </w:pPr>
            <w:r>
              <w:rPr>
                <w:sz w:val="20"/>
                <w:szCs w:val="20"/>
              </w:rPr>
              <w:t>-</w:t>
            </w:r>
          </w:p>
        </w:tc>
        <w:tc>
          <w:tcPr>
            <w:tcW w:w="1350" w:type="dxa"/>
          </w:tcPr>
          <w:p w14:paraId="727E46C8" w14:textId="5265E26E" w:rsidR="00C1682B" w:rsidRPr="009174AD" w:rsidRDefault="00C1682B" w:rsidP="009174AD">
            <w:pPr>
              <w:pStyle w:val="NoSpacing"/>
              <w:jc w:val="right"/>
              <w:rPr>
                <w:sz w:val="20"/>
                <w:szCs w:val="20"/>
              </w:rPr>
            </w:pPr>
            <w:r w:rsidRPr="009174AD">
              <w:rPr>
                <w:sz w:val="20"/>
                <w:szCs w:val="20"/>
              </w:rPr>
              <w:t xml:space="preserve">$637,105.05 </w:t>
            </w:r>
          </w:p>
        </w:tc>
      </w:tr>
    </w:tbl>
    <w:p w14:paraId="31DA69C7" w14:textId="77777777" w:rsidR="00D73EE7" w:rsidRDefault="00D73EE7">
      <w:pPr>
        <w:keepLines/>
        <w:tabs>
          <w:tab w:val="left" w:pos="360"/>
          <w:tab w:val="left" w:pos="720"/>
        </w:tabs>
        <w:ind w:left="360" w:hanging="360"/>
        <w:rPr>
          <w:color w:val="000000"/>
          <w:sz w:val="22"/>
          <w:szCs w:val="22"/>
        </w:rPr>
      </w:pPr>
      <w:r w:rsidRPr="003B27A6">
        <w:rPr>
          <w:color w:val="000000"/>
          <w:sz w:val="22"/>
          <w:szCs w:val="22"/>
        </w:rPr>
        <w:t xml:space="preserve"> </w:t>
      </w:r>
    </w:p>
    <w:p w14:paraId="2318B2DD" w14:textId="77777777" w:rsidR="0061056B" w:rsidRDefault="00A50D0D" w:rsidP="00496EF5">
      <w:pPr>
        <w:keepLines/>
        <w:tabs>
          <w:tab w:val="left" w:pos="0"/>
          <w:tab w:val="left" w:pos="720"/>
        </w:tabs>
        <w:rPr>
          <w:color w:val="000000"/>
          <w:sz w:val="22"/>
          <w:szCs w:val="22"/>
        </w:rPr>
      </w:pPr>
      <w:r>
        <w:rPr>
          <w:color w:val="000000"/>
          <w:sz w:val="22"/>
          <w:szCs w:val="22"/>
        </w:rPr>
        <w:t>This chart reflects the public burden for OMB approval 2506-0133 adjusted for the revision to add application narratives</w:t>
      </w:r>
      <w:r w:rsidR="00183FA6">
        <w:rPr>
          <w:color w:val="000000"/>
          <w:sz w:val="22"/>
          <w:szCs w:val="22"/>
        </w:rPr>
        <w:t xml:space="preserve"> and other required forms,</w:t>
      </w:r>
      <w:r>
        <w:rPr>
          <w:color w:val="000000"/>
          <w:sz w:val="22"/>
          <w:szCs w:val="22"/>
        </w:rPr>
        <w:t xml:space="preserve"> and update</w:t>
      </w:r>
      <w:r w:rsidR="004051C1">
        <w:rPr>
          <w:color w:val="000000"/>
          <w:sz w:val="22"/>
          <w:szCs w:val="22"/>
        </w:rPr>
        <w:t>d with a more accurate</w:t>
      </w:r>
      <w:r>
        <w:rPr>
          <w:color w:val="000000"/>
          <w:sz w:val="22"/>
          <w:szCs w:val="22"/>
        </w:rPr>
        <w:t xml:space="preserve"> number of respondents. </w:t>
      </w:r>
      <w:r w:rsidR="004051C1">
        <w:rPr>
          <w:color w:val="000000"/>
          <w:sz w:val="22"/>
          <w:szCs w:val="22"/>
        </w:rPr>
        <w:t>Renewal applications and new competitive applications were also separated out to better reflect the number of hours required to renew a HOPWA grant versus applying for a new HOPWA grant award. There were two grantees from New Orleans, LA and San Jose, CA who submitted both a HOPWA renewal grant application and a new HOPWA competitive grant application in FY16. These grantees were consulted to understand the number of hours needed to complete both applications. Their responses were used</w:t>
      </w:r>
      <w:r w:rsidR="00C00B7F">
        <w:rPr>
          <w:color w:val="000000"/>
          <w:sz w:val="22"/>
          <w:szCs w:val="22"/>
        </w:rPr>
        <w:t xml:space="preserve"> </w:t>
      </w:r>
      <w:r w:rsidR="00F673E0">
        <w:rPr>
          <w:color w:val="000000"/>
          <w:sz w:val="22"/>
          <w:szCs w:val="22"/>
        </w:rPr>
        <w:t xml:space="preserve">to </w:t>
      </w:r>
      <w:r w:rsidR="00C00B7F">
        <w:rPr>
          <w:color w:val="000000"/>
          <w:sz w:val="22"/>
          <w:szCs w:val="22"/>
        </w:rPr>
        <w:t>estimate the number of hours needed to complete a renewal and a new competitive application.</w:t>
      </w:r>
      <w:r w:rsidR="0061056B">
        <w:rPr>
          <w:color w:val="000000"/>
          <w:sz w:val="22"/>
          <w:szCs w:val="22"/>
        </w:rPr>
        <w:t xml:space="preserve">  </w:t>
      </w:r>
    </w:p>
    <w:p w14:paraId="05928B46" w14:textId="77777777" w:rsidR="003126EB" w:rsidRDefault="003D50AE" w:rsidP="000D2DF6">
      <w:pPr>
        <w:keepLines/>
        <w:tabs>
          <w:tab w:val="left" w:pos="0"/>
          <w:tab w:val="left" w:pos="720"/>
        </w:tabs>
        <w:spacing w:before="240"/>
        <w:rPr>
          <w:color w:val="000000"/>
          <w:sz w:val="22"/>
          <w:szCs w:val="22"/>
        </w:rPr>
      </w:pPr>
      <w:r>
        <w:rPr>
          <w:color w:val="000000"/>
          <w:sz w:val="22"/>
          <w:szCs w:val="22"/>
        </w:rPr>
        <w:t>Renewal grants are awarded for a three</w:t>
      </w:r>
      <w:r w:rsidR="00A3391A">
        <w:rPr>
          <w:color w:val="000000"/>
          <w:sz w:val="22"/>
          <w:szCs w:val="22"/>
        </w:rPr>
        <w:t>-</w:t>
      </w:r>
      <w:r>
        <w:rPr>
          <w:color w:val="000000"/>
          <w:sz w:val="22"/>
          <w:szCs w:val="22"/>
        </w:rPr>
        <w:t>year operating period. Currently, there are 8</w:t>
      </w:r>
      <w:r w:rsidR="00183FA6">
        <w:rPr>
          <w:color w:val="000000"/>
          <w:sz w:val="22"/>
          <w:szCs w:val="22"/>
        </w:rPr>
        <w:t>2</w:t>
      </w:r>
      <w:r>
        <w:rPr>
          <w:color w:val="000000"/>
          <w:sz w:val="22"/>
          <w:szCs w:val="22"/>
        </w:rPr>
        <w:t xml:space="preserve"> eligible renewal grantees. The number of respondents listed for HOPWA renewal applications represents one-third of the renewal grantees</w:t>
      </w:r>
      <w:r w:rsidR="00A3391A">
        <w:rPr>
          <w:color w:val="000000"/>
          <w:sz w:val="22"/>
          <w:szCs w:val="22"/>
        </w:rPr>
        <w:t>, or the estimated number of grantees projected to renew HOPWA grants each year</w:t>
      </w:r>
      <w:r>
        <w:rPr>
          <w:color w:val="000000"/>
          <w:sz w:val="22"/>
          <w:szCs w:val="22"/>
        </w:rPr>
        <w:t xml:space="preserve">. The number of respondents listed for HOPWA competitive applications represents the number of respondents expected to submit an application if funding becomes available in the next three years. </w:t>
      </w:r>
      <w:r w:rsidR="00F673E0">
        <w:rPr>
          <w:color w:val="000000"/>
          <w:sz w:val="22"/>
          <w:szCs w:val="22"/>
        </w:rPr>
        <w:t>Form HUD-40110-C, the APR is submitted by all renewal and competitive grantees on an annual basis. The number of respondents for the APR include 8</w:t>
      </w:r>
      <w:r w:rsidR="0061056B">
        <w:rPr>
          <w:color w:val="000000"/>
          <w:sz w:val="22"/>
          <w:szCs w:val="22"/>
        </w:rPr>
        <w:t>2</w:t>
      </w:r>
      <w:r w:rsidR="00F673E0">
        <w:rPr>
          <w:color w:val="000000"/>
          <w:sz w:val="22"/>
          <w:szCs w:val="22"/>
        </w:rPr>
        <w:t xml:space="preserve"> renewal grantees, eight (8) current HOPWA competitive grantees, and nine (9) potential competitive grantees, if funding becomes available. </w:t>
      </w:r>
    </w:p>
    <w:p w14:paraId="61F5BEBD" w14:textId="77777777" w:rsidR="0061056B" w:rsidRDefault="003126EB" w:rsidP="000D2DF6">
      <w:pPr>
        <w:keepLines/>
        <w:tabs>
          <w:tab w:val="left" w:pos="0"/>
          <w:tab w:val="left" w:pos="720"/>
        </w:tabs>
        <w:spacing w:before="240"/>
        <w:rPr>
          <w:color w:val="000000"/>
          <w:sz w:val="22"/>
          <w:szCs w:val="22"/>
        </w:rPr>
      </w:pPr>
      <w:r>
        <w:rPr>
          <w:color w:val="000000"/>
          <w:sz w:val="22"/>
          <w:szCs w:val="22"/>
        </w:rPr>
        <w:t xml:space="preserve">HOPWA grantees and applicants may be required to respond to more than one piece of information </w:t>
      </w:r>
      <w:r w:rsidR="00BF1C14">
        <w:rPr>
          <w:color w:val="000000"/>
          <w:sz w:val="22"/>
          <w:szCs w:val="22"/>
        </w:rPr>
        <w:t>collection</w:t>
      </w:r>
      <w:r>
        <w:rPr>
          <w:color w:val="000000"/>
          <w:sz w:val="22"/>
          <w:szCs w:val="22"/>
        </w:rPr>
        <w:t xml:space="preserve">. The total number of respondents include: 82 renewal grantees, eight (8) current HOPWA competitive grantees, 40 potential competitive applicants, and 128 current HOPWA formula grantees.  The total of 552 total annual reponses captures each unique response from the 258 respondents.  </w:t>
      </w:r>
      <w:r w:rsidR="0061056B">
        <w:rPr>
          <w:color w:val="000000"/>
          <w:sz w:val="22"/>
          <w:szCs w:val="22"/>
        </w:rPr>
        <w:t xml:space="preserve">All annualized costs reflect staff time spent on tasks in the table. The hourly rate is based on a GS-9 for Rest of United States. </w:t>
      </w:r>
      <w:r w:rsidR="0061056B" w:rsidRPr="00305E84">
        <w:rPr>
          <w:color w:val="000000"/>
          <w:sz w:val="22"/>
          <w:szCs w:val="22"/>
        </w:rPr>
        <w:t>2</w:t>
      </w:r>
      <w:r w:rsidR="00FE04B9">
        <w:rPr>
          <w:color w:val="000000"/>
          <w:sz w:val="22"/>
          <w:szCs w:val="22"/>
        </w:rPr>
        <w:t>6</w:t>
      </w:r>
      <w:r w:rsidR="0061056B" w:rsidRPr="00305E84">
        <w:rPr>
          <w:color w:val="000000"/>
          <w:sz w:val="22"/>
          <w:szCs w:val="22"/>
        </w:rPr>
        <w:t>,</w:t>
      </w:r>
      <w:r w:rsidR="00FE04B9">
        <w:rPr>
          <w:color w:val="000000"/>
          <w:sz w:val="22"/>
          <w:szCs w:val="22"/>
        </w:rPr>
        <w:t>713</w:t>
      </w:r>
      <w:r w:rsidR="0061056B" w:rsidRPr="00305E84">
        <w:rPr>
          <w:color w:val="000000"/>
          <w:sz w:val="22"/>
          <w:szCs w:val="22"/>
        </w:rPr>
        <w:t xml:space="preserve"> hours * $23.85 = $</w:t>
      </w:r>
      <w:r w:rsidR="00FE04B9">
        <w:rPr>
          <w:color w:val="000000"/>
          <w:sz w:val="22"/>
          <w:szCs w:val="22"/>
        </w:rPr>
        <w:t>637</w:t>
      </w:r>
      <w:r w:rsidR="0061056B" w:rsidRPr="00305E84">
        <w:rPr>
          <w:color w:val="000000"/>
          <w:sz w:val="22"/>
          <w:szCs w:val="22"/>
        </w:rPr>
        <w:t>,</w:t>
      </w:r>
      <w:r w:rsidR="00FE04B9">
        <w:rPr>
          <w:color w:val="000000"/>
          <w:sz w:val="22"/>
          <w:szCs w:val="22"/>
        </w:rPr>
        <w:t>105</w:t>
      </w:r>
      <w:r w:rsidR="0061056B" w:rsidRPr="00305E84">
        <w:rPr>
          <w:color w:val="000000"/>
          <w:sz w:val="22"/>
          <w:szCs w:val="22"/>
        </w:rPr>
        <w:t>.</w:t>
      </w:r>
      <w:r w:rsidR="00FE04B9">
        <w:rPr>
          <w:color w:val="000000"/>
          <w:sz w:val="22"/>
          <w:szCs w:val="22"/>
        </w:rPr>
        <w:t>0</w:t>
      </w:r>
      <w:r w:rsidR="0061056B" w:rsidRPr="00305E84">
        <w:rPr>
          <w:color w:val="000000"/>
          <w:sz w:val="22"/>
          <w:szCs w:val="22"/>
        </w:rPr>
        <w:t>5</w:t>
      </w:r>
    </w:p>
    <w:p w14:paraId="2BA34F59" w14:textId="77777777" w:rsidR="0061056B" w:rsidRDefault="0061056B" w:rsidP="00496EF5">
      <w:pPr>
        <w:keepLines/>
        <w:tabs>
          <w:tab w:val="left" w:pos="0"/>
          <w:tab w:val="left" w:pos="720"/>
        </w:tabs>
        <w:rPr>
          <w:color w:val="000000"/>
          <w:sz w:val="22"/>
          <w:szCs w:val="22"/>
        </w:rPr>
      </w:pPr>
    </w:p>
    <w:p w14:paraId="3327D862" w14:textId="77777777" w:rsidR="00F673E0" w:rsidRDefault="004051C1">
      <w:pPr>
        <w:tabs>
          <w:tab w:val="left" w:pos="360"/>
        </w:tabs>
        <w:ind w:left="360" w:hanging="360"/>
        <w:rPr>
          <w:color w:val="000000"/>
          <w:sz w:val="22"/>
          <w:szCs w:val="22"/>
        </w:rPr>
      </w:pPr>
      <w:r>
        <w:rPr>
          <w:color w:val="000000"/>
          <w:sz w:val="22"/>
          <w:szCs w:val="22"/>
        </w:rPr>
        <w:t xml:space="preserve"> </w:t>
      </w:r>
      <w:r w:rsidR="00D73EE7" w:rsidRPr="003B27A6">
        <w:rPr>
          <w:color w:val="000000"/>
          <w:sz w:val="22"/>
          <w:szCs w:val="22"/>
        </w:rPr>
        <w:t>13.</w:t>
      </w:r>
      <w:r w:rsidR="00D73EE7" w:rsidRPr="003B27A6">
        <w:rPr>
          <w:color w:val="000000"/>
          <w:sz w:val="22"/>
          <w:szCs w:val="22"/>
        </w:rPr>
        <w:tab/>
        <w:t xml:space="preserve">Estimate of the average, annual cost beyond the cost of hour burden shown in Items 12.  </w:t>
      </w:r>
    </w:p>
    <w:p w14:paraId="1AA4F348" w14:textId="77777777" w:rsidR="00F673E0" w:rsidRDefault="00F673E0" w:rsidP="000D2DF6">
      <w:pPr>
        <w:tabs>
          <w:tab w:val="left" w:pos="360"/>
        </w:tabs>
        <w:spacing w:before="240"/>
        <w:ind w:left="360" w:hanging="360"/>
        <w:rPr>
          <w:color w:val="000000"/>
          <w:sz w:val="22"/>
          <w:szCs w:val="22"/>
        </w:rPr>
      </w:pPr>
      <w:r>
        <w:rPr>
          <w:color w:val="000000"/>
          <w:sz w:val="22"/>
          <w:szCs w:val="22"/>
        </w:rPr>
        <w:t>There are no known additional costs to respondents.</w:t>
      </w:r>
    </w:p>
    <w:p w14:paraId="4515D62A" w14:textId="77777777" w:rsidR="00D73EE7" w:rsidRPr="003B27A6" w:rsidRDefault="00D73EE7">
      <w:pPr>
        <w:tabs>
          <w:tab w:val="left" w:pos="360"/>
        </w:tabs>
        <w:ind w:left="360" w:hanging="360"/>
        <w:rPr>
          <w:color w:val="000000"/>
          <w:sz w:val="22"/>
          <w:szCs w:val="22"/>
        </w:rPr>
      </w:pPr>
    </w:p>
    <w:p w14:paraId="71C5EE42" w14:textId="77777777" w:rsidR="00D73EE7" w:rsidRDefault="00D73EE7">
      <w:pPr>
        <w:keepLines/>
        <w:tabs>
          <w:tab w:val="left" w:pos="360"/>
        </w:tabs>
        <w:spacing w:after="80"/>
        <w:ind w:left="360" w:hanging="360"/>
        <w:rPr>
          <w:color w:val="000000"/>
          <w:sz w:val="22"/>
          <w:szCs w:val="22"/>
        </w:rPr>
      </w:pPr>
      <w:r w:rsidRPr="003B27A6">
        <w:rPr>
          <w:color w:val="000000"/>
          <w:sz w:val="22"/>
          <w:szCs w:val="22"/>
        </w:rPr>
        <w:t>14.</w:t>
      </w:r>
      <w:r w:rsidRPr="003B27A6">
        <w:rPr>
          <w:color w:val="000000"/>
          <w:sz w:val="22"/>
          <w:szCs w:val="22"/>
        </w:rPr>
        <w:tab/>
        <w:t xml:space="preserve">Estimate annualized costs to HUD of collecting the information, including processing the information. </w:t>
      </w:r>
    </w:p>
    <w:tbl>
      <w:tblPr>
        <w:tblW w:w="100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1440"/>
        <w:gridCol w:w="1417"/>
        <w:gridCol w:w="1530"/>
        <w:gridCol w:w="1260"/>
        <w:gridCol w:w="1476"/>
      </w:tblGrid>
      <w:tr w:rsidR="00934CD0" w:rsidRPr="00517720" w14:paraId="225F13F1" w14:textId="77777777" w:rsidTr="009174AD">
        <w:tc>
          <w:tcPr>
            <w:tcW w:w="2898" w:type="dxa"/>
            <w:shd w:val="clear" w:color="auto" w:fill="auto"/>
          </w:tcPr>
          <w:p w14:paraId="5152547C" w14:textId="77777777" w:rsidR="00934CD0" w:rsidRPr="009174AD" w:rsidRDefault="00934CD0" w:rsidP="008466EA">
            <w:pPr>
              <w:rPr>
                <w:b/>
                <w:color w:val="000000"/>
                <w:sz w:val="20"/>
                <w:szCs w:val="20"/>
              </w:rPr>
            </w:pPr>
            <w:r w:rsidRPr="009174AD">
              <w:rPr>
                <w:b/>
                <w:color w:val="000000"/>
                <w:sz w:val="20"/>
                <w:szCs w:val="20"/>
              </w:rPr>
              <w:t xml:space="preserve">Type of Collection </w:t>
            </w:r>
          </w:p>
        </w:tc>
        <w:tc>
          <w:tcPr>
            <w:tcW w:w="1440" w:type="dxa"/>
            <w:shd w:val="clear" w:color="auto" w:fill="auto"/>
          </w:tcPr>
          <w:p w14:paraId="5E7FF249" w14:textId="77777777" w:rsidR="00934CD0" w:rsidRPr="009174AD" w:rsidRDefault="00934CD0" w:rsidP="00267E0E">
            <w:pPr>
              <w:rPr>
                <w:b/>
                <w:color w:val="000000"/>
                <w:sz w:val="20"/>
                <w:szCs w:val="20"/>
              </w:rPr>
            </w:pPr>
            <w:r w:rsidRPr="009174AD">
              <w:rPr>
                <w:b/>
                <w:color w:val="000000"/>
                <w:sz w:val="20"/>
                <w:szCs w:val="20"/>
              </w:rPr>
              <w:t>Number of Respondents</w:t>
            </w:r>
          </w:p>
        </w:tc>
        <w:tc>
          <w:tcPr>
            <w:tcW w:w="1417" w:type="dxa"/>
            <w:shd w:val="clear" w:color="auto" w:fill="auto"/>
          </w:tcPr>
          <w:p w14:paraId="6D7EC12B" w14:textId="77777777" w:rsidR="00934CD0" w:rsidRPr="009174AD" w:rsidRDefault="00934CD0" w:rsidP="002971AC">
            <w:pPr>
              <w:rPr>
                <w:b/>
                <w:color w:val="000000"/>
                <w:sz w:val="20"/>
                <w:szCs w:val="20"/>
              </w:rPr>
            </w:pPr>
            <w:r w:rsidRPr="009174AD">
              <w:rPr>
                <w:b/>
                <w:color w:val="000000"/>
                <w:sz w:val="20"/>
                <w:szCs w:val="20"/>
              </w:rPr>
              <w:t>Hours per Respondent</w:t>
            </w:r>
          </w:p>
        </w:tc>
        <w:tc>
          <w:tcPr>
            <w:tcW w:w="1530" w:type="dxa"/>
            <w:shd w:val="clear" w:color="auto" w:fill="auto"/>
          </w:tcPr>
          <w:p w14:paraId="32C588FB" w14:textId="77777777" w:rsidR="00934CD0" w:rsidRPr="009174AD" w:rsidRDefault="00934CD0" w:rsidP="00FE04B9">
            <w:pPr>
              <w:rPr>
                <w:b/>
                <w:color w:val="000000"/>
                <w:sz w:val="20"/>
                <w:szCs w:val="20"/>
              </w:rPr>
            </w:pPr>
            <w:r w:rsidRPr="009174AD">
              <w:rPr>
                <w:b/>
                <w:color w:val="000000"/>
                <w:sz w:val="20"/>
                <w:szCs w:val="20"/>
              </w:rPr>
              <w:t>Total Annual Hours</w:t>
            </w:r>
          </w:p>
        </w:tc>
        <w:tc>
          <w:tcPr>
            <w:tcW w:w="1260" w:type="dxa"/>
            <w:vAlign w:val="center"/>
          </w:tcPr>
          <w:p w14:paraId="0CD8F40C" w14:textId="60E9878A" w:rsidR="00934CD0" w:rsidRPr="009174AD" w:rsidRDefault="00934CD0">
            <w:pPr>
              <w:rPr>
                <w:b/>
                <w:color w:val="000000"/>
                <w:sz w:val="20"/>
                <w:szCs w:val="20"/>
              </w:rPr>
            </w:pPr>
            <w:r w:rsidRPr="009174AD">
              <w:rPr>
                <w:b/>
                <w:color w:val="000000"/>
                <w:sz w:val="20"/>
                <w:szCs w:val="20"/>
              </w:rPr>
              <w:t>Hourly Cost</w:t>
            </w:r>
          </w:p>
        </w:tc>
        <w:tc>
          <w:tcPr>
            <w:tcW w:w="1476" w:type="dxa"/>
          </w:tcPr>
          <w:p w14:paraId="5F24D07C" w14:textId="16852494" w:rsidR="00934CD0" w:rsidRPr="009174AD" w:rsidRDefault="00934CD0" w:rsidP="000E29EE">
            <w:pPr>
              <w:rPr>
                <w:b/>
                <w:color w:val="000000"/>
                <w:sz w:val="20"/>
                <w:szCs w:val="20"/>
              </w:rPr>
            </w:pPr>
            <w:r w:rsidRPr="009174AD">
              <w:rPr>
                <w:b/>
                <w:color w:val="000000"/>
                <w:sz w:val="20"/>
                <w:szCs w:val="20"/>
              </w:rPr>
              <w:t xml:space="preserve">Estimated Cost </w:t>
            </w:r>
          </w:p>
        </w:tc>
      </w:tr>
      <w:tr w:rsidR="00934CD0" w:rsidRPr="00517720" w14:paraId="1FE847D1" w14:textId="77777777" w:rsidTr="009174AD">
        <w:tc>
          <w:tcPr>
            <w:tcW w:w="2898" w:type="dxa"/>
            <w:shd w:val="clear" w:color="auto" w:fill="auto"/>
          </w:tcPr>
          <w:p w14:paraId="348CD7CC" w14:textId="77777777" w:rsidR="00934CD0" w:rsidRPr="009174AD" w:rsidRDefault="00934CD0" w:rsidP="00267E0E">
            <w:pPr>
              <w:rPr>
                <w:color w:val="000000"/>
                <w:sz w:val="20"/>
                <w:szCs w:val="20"/>
              </w:rPr>
            </w:pPr>
            <w:r w:rsidRPr="009174AD">
              <w:rPr>
                <w:color w:val="000000"/>
                <w:sz w:val="20"/>
                <w:szCs w:val="20"/>
              </w:rPr>
              <w:t>Review of Renewal Application (including HUD-40110-B and narratives)</w:t>
            </w:r>
          </w:p>
        </w:tc>
        <w:tc>
          <w:tcPr>
            <w:tcW w:w="1440" w:type="dxa"/>
            <w:shd w:val="clear" w:color="auto" w:fill="auto"/>
          </w:tcPr>
          <w:p w14:paraId="1A3F7F62" w14:textId="446CB466" w:rsidR="00934CD0" w:rsidRPr="009174AD" w:rsidRDefault="00934CD0" w:rsidP="009174AD">
            <w:pPr>
              <w:jc w:val="right"/>
              <w:rPr>
                <w:color w:val="000000"/>
                <w:sz w:val="20"/>
                <w:szCs w:val="20"/>
              </w:rPr>
            </w:pPr>
            <w:r w:rsidRPr="009174AD">
              <w:rPr>
                <w:color w:val="000000"/>
                <w:sz w:val="20"/>
                <w:szCs w:val="20"/>
              </w:rPr>
              <w:t>28</w:t>
            </w:r>
            <w:r w:rsidR="00C1682B">
              <w:rPr>
                <w:color w:val="000000"/>
                <w:sz w:val="20"/>
                <w:szCs w:val="20"/>
              </w:rPr>
              <w:t>.00</w:t>
            </w:r>
          </w:p>
        </w:tc>
        <w:tc>
          <w:tcPr>
            <w:tcW w:w="1417" w:type="dxa"/>
            <w:shd w:val="clear" w:color="auto" w:fill="auto"/>
          </w:tcPr>
          <w:p w14:paraId="11069704" w14:textId="566D0312" w:rsidR="00934CD0" w:rsidRPr="009174AD" w:rsidRDefault="00934CD0" w:rsidP="009174AD">
            <w:pPr>
              <w:jc w:val="right"/>
              <w:rPr>
                <w:color w:val="000000"/>
                <w:sz w:val="20"/>
                <w:szCs w:val="20"/>
              </w:rPr>
            </w:pPr>
            <w:r w:rsidRPr="009174AD">
              <w:rPr>
                <w:color w:val="000000"/>
                <w:sz w:val="20"/>
                <w:szCs w:val="20"/>
              </w:rPr>
              <w:t>20</w:t>
            </w:r>
            <w:r w:rsidR="00C1682B">
              <w:rPr>
                <w:color w:val="000000"/>
                <w:sz w:val="20"/>
                <w:szCs w:val="20"/>
              </w:rPr>
              <w:t>.00</w:t>
            </w:r>
          </w:p>
        </w:tc>
        <w:tc>
          <w:tcPr>
            <w:tcW w:w="1530" w:type="dxa"/>
            <w:shd w:val="clear" w:color="auto" w:fill="auto"/>
          </w:tcPr>
          <w:p w14:paraId="44DC21B6" w14:textId="7C101507" w:rsidR="00934CD0" w:rsidRPr="009174AD" w:rsidRDefault="00934CD0" w:rsidP="009174AD">
            <w:pPr>
              <w:jc w:val="right"/>
              <w:rPr>
                <w:color w:val="000000"/>
                <w:sz w:val="20"/>
                <w:szCs w:val="20"/>
              </w:rPr>
            </w:pPr>
            <w:r w:rsidRPr="009174AD">
              <w:rPr>
                <w:color w:val="000000"/>
                <w:sz w:val="20"/>
                <w:szCs w:val="20"/>
              </w:rPr>
              <w:t>560</w:t>
            </w:r>
            <w:r w:rsidR="00C1682B">
              <w:rPr>
                <w:color w:val="000000"/>
                <w:sz w:val="20"/>
                <w:szCs w:val="20"/>
              </w:rPr>
              <w:t>.00</w:t>
            </w:r>
          </w:p>
        </w:tc>
        <w:tc>
          <w:tcPr>
            <w:tcW w:w="1260" w:type="dxa"/>
          </w:tcPr>
          <w:p w14:paraId="6417424D" w14:textId="19DD3992" w:rsidR="00934CD0" w:rsidRPr="009174AD" w:rsidRDefault="00934CD0" w:rsidP="009174AD">
            <w:pPr>
              <w:jc w:val="right"/>
              <w:rPr>
                <w:color w:val="000000"/>
                <w:sz w:val="20"/>
                <w:szCs w:val="20"/>
              </w:rPr>
            </w:pPr>
            <w:r w:rsidRPr="009174AD">
              <w:rPr>
                <w:color w:val="000000"/>
                <w:sz w:val="20"/>
                <w:szCs w:val="20"/>
              </w:rPr>
              <w:t>$38.20</w:t>
            </w:r>
          </w:p>
        </w:tc>
        <w:tc>
          <w:tcPr>
            <w:tcW w:w="1476" w:type="dxa"/>
          </w:tcPr>
          <w:p w14:paraId="4C0611DE" w14:textId="53CDDC85" w:rsidR="00934CD0" w:rsidRPr="009174AD" w:rsidDel="00F7313B" w:rsidRDefault="00934CD0" w:rsidP="009174AD">
            <w:pPr>
              <w:jc w:val="right"/>
              <w:rPr>
                <w:color w:val="000000"/>
                <w:sz w:val="20"/>
                <w:szCs w:val="20"/>
              </w:rPr>
            </w:pPr>
            <w:r w:rsidRPr="009174AD">
              <w:rPr>
                <w:color w:val="000000"/>
                <w:sz w:val="20"/>
                <w:szCs w:val="20"/>
              </w:rPr>
              <w:t>$21,392.00</w:t>
            </w:r>
          </w:p>
        </w:tc>
      </w:tr>
      <w:tr w:rsidR="00934CD0" w:rsidRPr="00517720" w14:paraId="4BD02FE2" w14:textId="77777777" w:rsidTr="009174AD">
        <w:tc>
          <w:tcPr>
            <w:tcW w:w="2898" w:type="dxa"/>
            <w:shd w:val="clear" w:color="auto" w:fill="auto"/>
          </w:tcPr>
          <w:p w14:paraId="2D17F26C" w14:textId="77777777" w:rsidR="00934CD0" w:rsidRPr="009174AD" w:rsidRDefault="00934CD0" w:rsidP="00267E0E">
            <w:pPr>
              <w:rPr>
                <w:color w:val="000000"/>
                <w:sz w:val="20"/>
                <w:szCs w:val="20"/>
              </w:rPr>
            </w:pPr>
            <w:r w:rsidRPr="009174AD">
              <w:rPr>
                <w:color w:val="000000"/>
                <w:sz w:val="20"/>
                <w:szCs w:val="20"/>
              </w:rPr>
              <w:t>Review of HOPWA Competitive Application (including HUD-40110-B and narratives)</w:t>
            </w:r>
          </w:p>
        </w:tc>
        <w:tc>
          <w:tcPr>
            <w:tcW w:w="1440" w:type="dxa"/>
            <w:shd w:val="clear" w:color="auto" w:fill="auto"/>
          </w:tcPr>
          <w:p w14:paraId="0ABBD661" w14:textId="67199994" w:rsidR="00934CD0" w:rsidRPr="009174AD" w:rsidRDefault="00934CD0" w:rsidP="009174AD">
            <w:pPr>
              <w:jc w:val="right"/>
              <w:rPr>
                <w:color w:val="000000"/>
                <w:sz w:val="20"/>
                <w:szCs w:val="20"/>
              </w:rPr>
            </w:pPr>
            <w:r w:rsidRPr="009174AD">
              <w:rPr>
                <w:color w:val="000000"/>
                <w:sz w:val="20"/>
                <w:szCs w:val="20"/>
              </w:rPr>
              <w:t>40</w:t>
            </w:r>
            <w:r w:rsidR="00C1682B">
              <w:rPr>
                <w:color w:val="000000"/>
                <w:sz w:val="20"/>
                <w:szCs w:val="20"/>
              </w:rPr>
              <w:t>.00</w:t>
            </w:r>
          </w:p>
        </w:tc>
        <w:tc>
          <w:tcPr>
            <w:tcW w:w="1417" w:type="dxa"/>
            <w:shd w:val="clear" w:color="auto" w:fill="auto"/>
          </w:tcPr>
          <w:p w14:paraId="631C031B" w14:textId="680832B3" w:rsidR="00934CD0" w:rsidRPr="009174AD" w:rsidRDefault="00934CD0" w:rsidP="009174AD">
            <w:pPr>
              <w:jc w:val="right"/>
              <w:rPr>
                <w:color w:val="000000"/>
                <w:sz w:val="20"/>
                <w:szCs w:val="20"/>
              </w:rPr>
            </w:pPr>
            <w:r w:rsidRPr="009174AD">
              <w:rPr>
                <w:color w:val="000000"/>
                <w:sz w:val="20"/>
                <w:szCs w:val="20"/>
              </w:rPr>
              <w:t>30</w:t>
            </w:r>
            <w:r w:rsidR="00C1682B">
              <w:rPr>
                <w:color w:val="000000"/>
                <w:sz w:val="20"/>
                <w:szCs w:val="20"/>
              </w:rPr>
              <w:t>.00</w:t>
            </w:r>
          </w:p>
        </w:tc>
        <w:tc>
          <w:tcPr>
            <w:tcW w:w="1530" w:type="dxa"/>
            <w:shd w:val="clear" w:color="auto" w:fill="auto"/>
          </w:tcPr>
          <w:p w14:paraId="44B001AB" w14:textId="04EF6B9A" w:rsidR="00934CD0" w:rsidRPr="009174AD" w:rsidRDefault="00934CD0" w:rsidP="009174AD">
            <w:pPr>
              <w:jc w:val="right"/>
              <w:rPr>
                <w:color w:val="000000"/>
                <w:sz w:val="20"/>
                <w:szCs w:val="20"/>
              </w:rPr>
            </w:pPr>
            <w:r w:rsidRPr="009174AD">
              <w:rPr>
                <w:color w:val="000000"/>
                <w:sz w:val="20"/>
                <w:szCs w:val="20"/>
              </w:rPr>
              <w:t>1200</w:t>
            </w:r>
            <w:r w:rsidR="00C1682B">
              <w:rPr>
                <w:color w:val="000000"/>
                <w:sz w:val="20"/>
                <w:szCs w:val="20"/>
              </w:rPr>
              <w:t>.00</w:t>
            </w:r>
          </w:p>
        </w:tc>
        <w:tc>
          <w:tcPr>
            <w:tcW w:w="1260" w:type="dxa"/>
          </w:tcPr>
          <w:p w14:paraId="1AA78765" w14:textId="77777777" w:rsidR="00934CD0" w:rsidRPr="009174AD" w:rsidRDefault="00934CD0" w:rsidP="009174AD">
            <w:pPr>
              <w:jc w:val="right"/>
              <w:rPr>
                <w:color w:val="000000"/>
                <w:sz w:val="20"/>
                <w:szCs w:val="20"/>
              </w:rPr>
            </w:pPr>
            <w:r w:rsidRPr="009174AD">
              <w:rPr>
                <w:color w:val="000000"/>
                <w:sz w:val="20"/>
                <w:szCs w:val="20"/>
              </w:rPr>
              <w:t>$38.20</w:t>
            </w:r>
          </w:p>
          <w:p w14:paraId="14D5E249" w14:textId="77777777" w:rsidR="00934CD0" w:rsidRPr="009174AD" w:rsidRDefault="00934CD0" w:rsidP="009174AD">
            <w:pPr>
              <w:jc w:val="right"/>
              <w:rPr>
                <w:color w:val="000000"/>
                <w:sz w:val="20"/>
                <w:szCs w:val="20"/>
              </w:rPr>
            </w:pPr>
          </w:p>
        </w:tc>
        <w:tc>
          <w:tcPr>
            <w:tcW w:w="1476" w:type="dxa"/>
          </w:tcPr>
          <w:p w14:paraId="2F3CD550" w14:textId="1B91C94A" w:rsidR="00934CD0" w:rsidRPr="009174AD" w:rsidDel="00283F75" w:rsidRDefault="00934CD0" w:rsidP="009174AD">
            <w:pPr>
              <w:jc w:val="right"/>
              <w:rPr>
                <w:color w:val="000000"/>
                <w:sz w:val="20"/>
                <w:szCs w:val="20"/>
              </w:rPr>
            </w:pPr>
            <w:r w:rsidRPr="009174AD">
              <w:rPr>
                <w:color w:val="000000"/>
                <w:sz w:val="20"/>
                <w:szCs w:val="20"/>
              </w:rPr>
              <w:t>$45,840.00</w:t>
            </w:r>
          </w:p>
        </w:tc>
      </w:tr>
      <w:tr w:rsidR="00934CD0" w:rsidRPr="00517720" w14:paraId="6DEADD46" w14:textId="77777777" w:rsidTr="009174AD">
        <w:tc>
          <w:tcPr>
            <w:tcW w:w="2898" w:type="dxa"/>
            <w:shd w:val="clear" w:color="auto" w:fill="auto"/>
          </w:tcPr>
          <w:p w14:paraId="0CC9D86E" w14:textId="77777777" w:rsidR="00934CD0" w:rsidRPr="009174AD" w:rsidRDefault="00934CD0" w:rsidP="00267E0E">
            <w:pPr>
              <w:rPr>
                <w:color w:val="000000"/>
                <w:sz w:val="20"/>
                <w:szCs w:val="20"/>
              </w:rPr>
            </w:pPr>
            <w:r w:rsidRPr="009174AD">
              <w:rPr>
                <w:color w:val="000000"/>
                <w:sz w:val="20"/>
                <w:szCs w:val="20"/>
              </w:rPr>
              <w:t>Awarding of Competitive and Renewal Grants</w:t>
            </w:r>
          </w:p>
        </w:tc>
        <w:tc>
          <w:tcPr>
            <w:tcW w:w="1440" w:type="dxa"/>
            <w:shd w:val="clear" w:color="auto" w:fill="auto"/>
          </w:tcPr>
          <w:p w14:paraId="3680B9F2" w14:textId="01900E92" w:rsidR="00934CD0" w:rsidRPr="009174AD" w:rsidRDefault="00934CD0" w:rsidP="009174AD">
            <w:pPr>
              <w:jc w:val="right"/>
              <w:rPr>
                <w:color w:val="000000"/>
                <w:sz w:val="20"/>
                <w:szCs w:val="20"/>
              </w:rPr>
            </w:pPr>
            <w:r w:rsidRPr="009174AD">
              <w:rPr>
                <w:color w:val="000000"/>
                <w:sz w:val="20"/>
                <w:szCs w:val="20"/>
              </w:rPr>
              <w:t>37</w:t>
            </w:r>
            <w:r w:rsidR="00C1682B">
              <w:rPr>
                <w:color w:val="000000"/>
                <w:sz w:val="20"/>
                <w:szCs w:val="20"/>
              </w:rPr>
              <w:t>.00</w:t>
            </w:r>
          </w:p>
        </w:tc>
        <w:tc>
          <w:tcPr>
            <w:tcW w:w="1417" w:type="dxa"/>
            <w:shd w:val="clear" w:color="auto" w:fill="auto"/>
          </w:tcPr>
          <w:p w14:paraId="036A456B" w14:textId="25475EEF" w:rsidR="00934CD0" w:rsidRPr="009174AD" w:rsidRDefault="00934CD0" w:rsidP="009174AD">
            <w:pPr>
              <w:jc w:val="right"/>
              <w:rPr>
                <w:color w:val="000000"/>
                <w:sz w:val="20"/>
                <w:szCs w:val="20"/>
              </w:rPr>
            </w:pPr>
            <w:r w:rsidRPr="009174AD">
              <w:rPr>
                <w:color w:val="000000"/>
                <w:sz w:val="20"/>
                <w:szCs w:val="20"/>
              </w:rPr>
              <w:t>10</w:t>
            </w:r>
            <w:r w:rsidR="00C1682B">
              <w:rPr>
                <w:color w:val="000000"/>
                <w:sz w:val="20"/>
                <w:szCs w:val="20"/>
              </w:rPr>
              <w:t>.00</w:t>
            </w:r>
          </w:p>
        </w:tc>
        <w:tc>
          <w:tcPr>
            <w:tcW w:w="1530" w:type="dxa"/>
            <w:shd w:val="clear" w:color="auto" w:fill="auto"/>
          </w:tcPr>
          <w:p w14:paraId="1EF5DECF" w14:textId="1CC0A17C" w:rsidR="00934CD0" w:rsidRPr="009174AD" w:rsidRDefault="00934CD0" w:rsidP="009174AD">
            <w:pPr>
              <w:jc w:val="right"/>
              <w:rPr>
                <w:color w:val="000000"/>
                <w:sz w:val="20"/>
                <w:szCs w:val="20"/>
              </w:rPr>
            </w:pPr>
            <w:r w:rsidRPr="009174AD">
              <w:rPr>
                <w:color w:val="000000"/>
                <w:sz w:val="20"/>
                <w:szCs w:val="20"/>
              </w:rPr>
              <w:t>370</w:t>
            </w:r>
            <w:r w:rsidR="00C1682B">
              <w:rPr>
                <w:color w:val="000000"/>
                <w:sz w:val="20"/>
                <w:szCs w:val="20"/>
              </w:rPr>
              <w:t>.00</w:t>
            </w:r>
          </w:p>
        </w:tc>
        <w:tc>
          <w:tcPr>
            <w:tcW w:w="1260" w:type="dxa"/>
          </w:tcPr>
          <w:p w14:paraId="2801EAAF" w14:textId="77777777" w:rsidR="00934CD0" w:rsidRPr="009174AD" w:rsidRDefault="00934CD0" w:rsidP="009174AD">
            <w:pPr>
              <w:jc w:val="right"/>
              <w:rPr>
                <w:color w:val="000000"/>
                <w:sz w:val="20"/>
                <w:szCs w:val="20"/>
              </w:rPr>
            </w:pPr>
            <w:r w:rsidRPr="009174AD">
              <w:rPr>
                <w:color w:val="000000"/>
                <w:sz w:val="20"/>
                <w:szCs w:val="20"/>
              </w:rPr>
              <w:t>$38.20</w:t>
            </w:r>
          </w:p>
          <w:p w14:paraId="577BA908" w14:textId="77777777" w:rsidR="00934CD0" w:rsidRPr="009174AD" w:rsidRDefault="00934CD0" w:rsidP="009174AD">
            <w:pPr>
              <w:jc w:val="right"/>
              <w:rPr>
                <w:color w:val="000000"/>
                <w:sz w:val="20"/>
                <w:szCs w:val="20"/>
              </w:rPr>
            </w:pPr>
          </w:p>
        </w:tc>
        <w:tc>
          <w:tcPr>
            <w:tcW w:w="1476" w:type="dxa"/>
          </w:tcPr>
          <w:p w14:paraId="597162DF" w14:textId="42E3CFBC" w:rsidR="00934CD0" w:rsidRPr="009174AD" w:rsidRDefault="00934CD0" w:rsidP="009174AD">
            <w:pPr>
              <w:jc w:val="right"/>
              <w:rPr>
                <w:color w:val="000000"/>
                <w:sz w:val="20"/>
                <w:szCs w:val="20"/>
              </w:rPr>
            </w:pPr>
            <w:r w:rsidRPr="009174AD">
              <w:rPr>
                <w:color w:val="000000"/>
                <w:sz w:val="20"/>
                <w:szCs w:val="20"/>
              </w:rPr>
              <w:t>$14,134.00</w:t>
            </w:r>
          </w:p>
        </w:tc>
      </w:tr>
      <w:tr w:rsidR="00934CD0" w:rsidRPr="00517720" w14:paraId="2A02FFD0" w14:textId="77777777" w:rsidTr="009174AD">
        <w:tc>
          <w:tcPr>
            <w:tcW w:w="2898" w:type="dxa"/>
            <w:shd w:val="clear" w:color="auto" w:fill="auto"/>
          </w:tcPr>
          <w:p w14:paraId="6637C595" w14:textId="77777777" w:rsidR="00934CD0" w:rsidRPr="009174AD" w:rsidRDefault="00934CD0" w:rsidP="00267E0E">
            <w:pPr>
              <w:rPr>
                <w:color w:val="000000"/>
                <w:sz w:val="20"/>
                <w:szCs w:val="20"/>
              </w:rPr>
            </w:pPr>
            <w:r w:rsidRPr="009174AD">
              <w:rPr>
                <w:color w:val="000000"/>
                <w:sz w:val="20"/>
                <w:szCs w:val="20"/>
              </w:rPr>
              <w:t>Review of HUD-40110-C Annual Progress Report (APR)</w:t>
            </w:r>
          </w:p>
        </w:tc>
        <w:tc>
          <w:tcPr>
            <w:tcW w:w="1440" w:type="dxa"/>
            <w:shd w:val="clear" w:color="auto" w:fill="auto"/>
          </w:tcPr>
          <w:p w14:paraId="04A3C86A" w14:textId="44282606" w:rsidR="00934CD0" w:rsidRPr="009174AD" w:rsidRDefault="00934CD0" w:rsidP="009174AD">
            <w:pPr>
              <w:jc w:val="right"/>
              <w:rPr>
                <w:color w:val="000000"/>
                <w:sz w:val="20"/>
                <w:szCs w:val="20"/>
              </w:rPr>
            </w:pPr>
            <w:r w:rsidRPr="009174AD">
              <w:rPr>
                <w:color w:val="000000"/>
                <w:sz w:val="20"/>
                <w:szCs w:val="20"/>
              </w:rPr>
              <w:t>99</w:t>
            </w:r>
            <w:r w:rsidR="00C1682B">
              <w:rPr>
                <w:color w:val="000000"/>
                <w:sz w:val="20"/>
                <w:szCs w:val="20"/>
              </w:rPr>
              <w:t>.00</w:t>
            </w:r>
          </w:p>
        </w:tc>
        <w:tc>
          <w:tcPr>
            <w:tcW w:w="1417" w:type="dxa"/>
            <w:shd w:val="clear" w:color="auto" w:fill="auto"/>
          </w:tcPr>
          <w:p w14:paraId="1A4C3179" w14:textId="25778B71" w:rsidR="00934CD0" w:rsidRPr="009174AD" w:rsidRDefault="00934CD0" w:rsidP="009174AD">
            <w:pPr>
              <w:jc w:val="right"/>
              <w:rPr>
                <w:color w:val="000000"/>
                <w:sz w:val="20"/>
                <w:szCs w:val="20"/>
              </w:rPr>
            </w:pPr>
            <w:r w:rsidRPr="009174AD">
              <w:rPr>
                <w:color w:val="000000"/>
                <w:sz w:val="20"/>
                <w:szCs w:val="20"/>
              </w:rPr>
              <w:t>16</w:t>
            </w:r>
            <w:r w:rsidR="00C1682B">
              <w:rPr>
                <w:color w:val="000000"/>
                <w:sz w:val="20"/>
                <w:szCs w:val="20"/>
              </w:rPr>
              <w:t>.00</w:t>
            </w:r>
          </w:p>
        </w:tc>
        <w:tc>
          <w:tcPr>
            <w:tcW w:w="1530" w:type="dxa"/>
            <w:shd w:val="clear" w:color="auto" w:fill="auto"/>
          </w:tcPr>
          <w:p w14:paraId="7812B3D0" w14:textId="6DDB03F7" w:rsidR="00934CD0" w:rsidRPr="009174AD" w:rsidRDefault="00934CD0" w:rsidP="009174AD">
            <w:pPr>
              <w:jc w:val="right"/>
              <w:rPr>
                <w:color w:val="000000"/>
                <w:sz w:val="20"/>
                <w:szCs w:val="20"/>
              </w:rPr>
            </w:pPr>
            <w:r w:rsidRPr="009174AD">
              <w:rPr>
                <w:color w:val="000000"/>
                <w:sz w:val="20"/>
                <w:szCs w:val="20"/>
              </w:rPr>
              <w:t>1584</w:t>
            </w:r>
            <w:r w:rsidR="00C1682B">
              <w:rPr>
                <w:color w:val="000000"/>
                <w:sz w:val="20"/>
                <w:szCs w:val="20"/>
              </w:rPr>
              <w:t>.00</w:t>
            </w:r>
          </w:p>
        </w:tc>
        <w:tc>
          <w:tcPr>
            <w:tcW w:w="1260" w:type="dxa"/>
          </w:tcPr>
          <w:p w14:paraId="6C950FDE" w14:textId="77777777" w:rsidR="00934CD0" w:rsidRPr="009174AD" w:rsidRDefault="00934CD0" w:rsidP="009174AD">
            <w:pPr>
              <w:jc w:val="right"/>
              <w:rPr>
                <w:color w:val="000000"/>
                <w:sz w:val="20"/>
                <w:szCs w:val="20"/>
              </w:rPr>
            </w:pPr>
            <w:r w:rsidRPr="009174AD">
              <w:rPr>
                <w:color w:val="000000"/>
                <w:sz w:val="20"/>
                <w:szCs w:val="20"/>
              </w:rPr>
              <w:t>$38.20</w:t>
            </w:r>
          </w:p>
          <w:p w14:paraId="1894F64D" w14:textId="77777777" w:rsidR="00934CD0" w:rsidRPr="009174AD" w:rsidRDefault="00934CD0" w:rsidP="009174AD">
            <w:pPr>
              <w:jc w:val="right"/>
              <w:rPr>
                <w:color w:val="000000"/>
                <w:sz w:val="20"/>
                <w:szCs w:val="20"/>
              </w:rPr>
            </w:pPr>
          </w:p>
        </w:tc>
        <w:tc>
          <w:tcPr>
            <w:tcW w:w="1476" w:type="dxa"/>
          </w:tcPr>
          <w:p w14:paraId="00892FFF" w14:textId="38A52D73" w:rsidR="00934CD0" w:rsidRPr="009174AD" w:rsidRDefault="00934CD0" w:rsidP="009174AD">
            <w:pPr>
              <w:jc w:val="right"/>
              <w:rPr>
                <w:color w:val="000000"/>
                <w:sz w:val="20"/>
                <w:szCs w:val="20"/>
              </w:rPr>
            </w:pPr>
            <w:r w:rsidRPr="009174AD">
              <w:rPr>
                <w:color w:val="000000"/>
                <w:sz w:val="20"/>
                <w:szCs w:val="20"/>
              </w:rPr>
              <w:t>$60,508.80</w:t>
            </w:r>
          </w:p>
        </w:tc>
      </w:tr>
      <w:tr w:rsidR="00934CD0" w:rsidRPr="00517720" w14:paraId="59DB80C0" w14:textId="77777777" w:rsidTr="009174AD">
        <w:tc>
          <w:tcPr>
            <w:tcW w:w="2898" w:type="dxa"/>
            <w:shd w:val="clear" w:color="auto" w:fill="auto"/>
          </w:tcPr>
          <w:p w14:paraId="501C8E8D" w14:textId="77777777" w:rsidR="00934CD0" w:rsidRPr="009174AD" w:rsidRDefault="00934CD0" w:rsidP="00267E0E">
            <w:pPr>
              <w:rPr>
                <w:color w:val="000000"/>
                <w:sz w:val="20"/>
                <w:szCs w:val="20"/>
              </w:rPr>
            </w:pPr>
            <w:r w:rsidRPr="009174AD">
              <w:rPr>
                <w:color w:val="000000"/>
                <w:sz w:val="20"/>
                <w:szCs w:val="20"/>
              </w:rPr>
              <w:t>Review of HUD-40110-D Consolidated Annual Performance and Evaluation Report (CAPER)</w:t>
            </w:r>
          </w:p>
        </w:tc>
        <w:tc>
          <w:tcPr>
            <w:tcW w:w="1440" w:type="dxa"/>
            <w:shd w:val="clear" w:color="auto" w:fill="auto"/>
          </w:tcPr>
          <w:p w14:paraId="7295A135" w14:textId="5295BC8F" w:rsidR="00934CD0" w:rsidRPr="009174AD" w:rsidRDefault="00934CD0" w:rsidP="009174AD">
            <w:pPr>
              <w:jc w:val="right"/>
              <w:rPr>
                <w:color w:val="000000"/>
                <w:sz w:val="20"/>
                <w:szCs w:val="20"/>
              </w:rPr>
            </w:pPr>
            <w:r w:rsidRPr="009174AD">
              <w:rPr>
                <w:color w:val="000000"/>
                <w:sz w:val="20"/>
                <w:szCs w:val="20"/>
              </w:rPr>
              <w:t>128</w:t>
            </w:r>
            <w:r w:rsidR="00C1682B">
              <w:rPr>
                <w:color w:val="000000"/>
                <w:sz w:val="20"/>
                <w:szCs w:val="20"/>
              </w:rPr>
              <w:t>.00</w:t>
            </w:r>
          </w:p>
        </w:tc>
        <w:tc>
          <w:tcPr>
            <w:tcW w:w="1417" w:type="dxa"/>
            <w:shd w:val="clear" w:color="auto" w:fill="auto"/>
          </w:tcPr>
          <w:p w14:paraId="715658A6" w14:textId="601FDFF5" w:rsidR="00934CD0" w:rsidRPr="009174AD" w:rsidRDefault="00934CD0" w:rsidP="009174AD">
            <w:pPr>
              <w:jc w:val="right"/>
              <w:rPr>
                <w:color w:val="000000"/>
                <w:sz w:val="20"/>
                <w:szCs w:val="20"/>
              </w:rPr>
            </w:pPr>
            <w:r w:rsidRPr="009174AD">
              <w:rPr>
                <w:color w:val="000000"/>
                <w:sz w:val="20"/>
                <w:szCs w:val="20"/>
              </w:rPr>
              <w:t>12</w:t>
            </w:r>
            <w:r w:rsidR="00C1682B">
              <w:rPr>
                <w:color w:val="000000"/>
                <w:sz w:val="20"/>
                <w:szCs w:val="20"/>
              </w:rPr>
              <w:t>.00</w:t>
            </w:r>
          </w:p>
        </w:tc>
        <w:tc>
          <w:tcPr>
            <w:tcW w:w="1530" w:type="dxa"/>
            <w:shd w:val="clear" w:color="auto" w:fill="auto"/>
          </w:tcPr>
          <w:p w14:paraId="1893D5D0" w14:textId="18E769C4" w:rsidR="00934CD0" w:rsidRPr="009174AD" w:rsidRDefault="00934CD0" w:rsidP="009174AD">
            <w:pPr>
              <w:jc w:val="right"/>
              <w:rPr>
                <w:color w:val="000000"/>
                <w:sz w:val="20"/>
                <w:szCs w:val="20"/>
              </w:rPr>
            </w:pPr>
            <w:r w:rsidRPr="009174AD">
              <w:rPr>
                <w:color w:val="000000"/>
                <w:sz w:val="20"/>
                <w:szCs w:val="20"/>
              </w:rPr>
              <w:t>1536</w:t>
            </w:r>
            <w:r w:rsidR="00C1682B">
              <w:rPr>
                <w:color w:val="000000"/>
                <w:sz w:val="20"/>
                <w:szCs w:val="20"/>
              </w:rPr>
              <w:t>.00</w:t>
            </w:r>
          </w:p>
        </w:tc>
        <w:tc>
          <w:tcPr>
            <w:tcW w:w="1260" w:type="dxa"/>
          </w:tcPr>
          <w:p w14:paraId="2D8E9EC0" w14:textId="77777777" w:rsidR="00934CD0" w:rsidRPr="009174AD" w:rsidRDefault="00934CD0" w:rsidP="009174AD">
            <w:pPr>
              <w:jc w:val="right"/>
              <w:rPr>
                <w:color w:val="000000"/>
                <w:sz w:val="20"/>
                <w:szCs w:val="20"/>
              </w:rPr>
            </w:pPr>
            <w:r w:rsidRPr="009174AD">
              <w:rPr>
                <w:color w:val="000000"/>
                <w:sz w:val="20"/>
                <w:szCs w:val="20"/>
              </w:rPr>
              <w:t>$38.20</w:t>
            </w:r>
          </w:p>
          <w:p w14:paraId="5FAC787F" w14:textId="77777777" w:rsidR="00934CD0" w:rsidRPr="009174AD" w:rsidRDefault="00934CD0" w:rsidP="009174AD">
            <w:pPr>
              <w:jc w:val="right"/>
              <w:rPr>
                <w:color w:val="000000"/>
                <w:sz w:val="20"/>
                <w:szCs w:val="20"/>
              </w:rPr>
            </w:pPr>
          </w:p>
        </w:tc>
        <w:tc>
          <w:tcPr>
            <w:tcW w:w="1476" w:type="dxa"/>
          </w:tcPr>
          <w:p w14:paraId="7A7E49A0" w14:textId="33CD5990" w:rsidR="00934CD0" w:rsidRPr="009174AD" w:rsidRDefault="00934CD0" w:rsidP="009174AD">
            <w:pPr>
              <w:jc w:val="right"/>
              <w:rPr>
                <w:color w:val="000000"/>
                <w:sz w:val="20"/>
                <w:szCs w:val="20"/>
              </w:rPr>
            </w:pPr>
            <w:r w:rsidRPr="009174AD">
              <w:rPr>
                <w:color w:val="000000"/>
                <w:sz w:val="20"/>
                <w:szCs w:val="20"/>
              </w:rPr>
              <w:t>$58,675.20</w:t>
            </w:r>
          </w:p>
        </w:tc>
      </w:tr>
      <w:tr w:rsidR="00934CD0" w:rsidRPr="00517720" w14:paraId="13B18033" w14:textId="77777777" w:rsidTr="009174AD">
        <w:tc>
          <w:tcPr>
            <w:tcW w:w="2898" w:type="dxa"/>
            <w:shd w:val="clear" w:color="auto" w:fill="auto"/>
          </w:tcPr>
          <w:p w14:paraId="54E728E1" w14:textId="77777777" w:rsidR="00934CD0" w:rsidRPr="009174AD" w:rsidRDefault="00934CD0" w:rsidP="00267E0E">
            <w:pPr>
              <w:rPr>
                <w:color w:val="000000"/>
                <w:sz w:val="20"/>
                <w:szCs w:val="20"/>
              </w:rPr>
            </w:pPr>
            <w:r w:rsidRPr="009174AD">
              <w:rPr>
                <w:color w:val="000000"/>
                <w:sz w:val="20"/>
                <w:szCs w:val="20"/>
              </w:rPr>
              <w:t>Compiling and publicly publishing grantee performance and accomplishment summaries</w:t>
            </w:r>
          </w:p>
        </w:tc>
        <w:tc>
          <w:tcPr>
            <w:tcW w:w="1440" w:type="dxa"/>
            <w:shd w:val="clear" w:color="auto" w:fill="auto"/>
          </w:tcPr>
          <w:p w14:paraId="4318257E" w14:textId="6E56F6F0" w:rsidR="00934CD0" w:rsidRPr="009174AD" w:rsidDel="00283F75" w:rsidRDefault="00934CD0" w:rsidP="009174AD">
            <w:pPr>
              <w:jc w:val="right"/>
              <w:rPr>
                <w:color w:val="000000"/>
                <w:sz w:val="20"/>
                <w:szCs w:val="20"/>
              </w:rPr>
            </w:pPr>
            <w:r w:rsidRPr="009174AD">
              <w:rPr>
                <w:color w:val="000000"/>
                <w:sz w:val="20"/>
                <w:szCs w:val="20"/>
              </w:rPr>
              <w:t>227</w:t>
            </w:r>
            <w:r w:rsidR="00C1682B">
              <w:rPr>
                <w:color w:val="000000"/>
                <w:sz w:val="20"/>
                <w:szCs w:val="20"/>
              </w:rPr>
              <w:t>.00</w:t>
            </w:r>
          </w:p>
        </w:tc>
        <w:tc>
          <w:tcPr>
            <w:tcW w:w="1417" w:type="dxa"/>
            <w:shd w:val="clear" w:color="auto" w:fill="auto"/>
          </w:tcPr>
          <w:p w14:paraId="10631FE1" w14:textId="53832270" w:rsidR="00934CD0" w:rsidRPr="009174AD" w:rsidRDefault="00934CD0" w:rsidP="009174AD">
            <w:pPr>
              <w:jc w:val="right"/>
              <w:rPr>
                <w:color w:val="000000"/>
                <w:sz w:val="20"/>
                <w:szCs w:val="20"/>
              </w:rPr>
            </w:pPr>
            <w:r w:rsidRPr="009174AD">
              <w:rPr>
                <w:color w:val="000000"/>
                <w:sz w:val="20"/>
                <w:szCs w:val="20"/>
              </w:rPr>
              <w:t>4</w:t>
            </w:r>
            <w:r w:rsidR="00C1682B">
              <w:rPr>
                <w:color w:val="000000"/>
                <w:sz w:val="20"/>
                <w:szCs w:val="20"/>
              </w:rPr>
              <w:t>.00</w:t>
            </w:r>
          </w:p>
        </w:tc>
        <w:tc>
          <w:tcPr>
            <w:tcW w:w="1530" w:type="dxa"/>
            <w:shd w:val="clear" w:color="auto" w:fill="auto"/>
          </w:tcPr>
          <w:p w14:paraId="45CAAAB1" w14:textId="3E1527C6" w:rsidR="00934CD0" w:rsidRPr="009174AD" w:rsidDel="00283F75" w:rsidRDefault="00934CD0" w:rsidP="009174AD">
            <w:pPr>
              <w:jc w:val="right"/>
              <w:rPr>
                <w:color w:val="000000"/>
                <w:sz w:val="20"/>
                <w:szCs w:val="20"/>
              </w:rPr>
            </w:pPr>
            <w:r w:rsidRPr="009174AD">
              <w:rPr>
                <w:color w:val="000000"/>
                <w:sz w:val="20"/>
                <w:szCs w:val="20"/>
              </w:rPr>
              <w:t>908</w:t>
            </w:r>
            <w:r w:rsidR="00C1682B">
              <w:rPr>
                <w:color w:val="000000"/>
                <w:sz w:val="20"/>
                <w:szCs w:val="20"/>
              </w:rPr>
              <w:t>.00</w:t>
            </w:r>
          </w:p>
        </w:tc>
        <w:tc>
          <w:tcPr>
            <w:tcW w:w="1260" w:type="dxa"/>
          </w:tcPr>
          <w:p w14:paraId="536D0331" w14:textId="77777777" w:rsidR="00934CD0" w:rsidRPr="009174AD" w:rsidRDefault="00934CD0" w:rsidP="009174AD">
            <w:pPr>
              <w:jc w:val="right"/>
              <w:rPr>
                <w:color w:val="000000"/>
                <w:sz w:val="20"/>
                <w:szCs w:val="20"/>
              </w:rPr>
            </w:pPr>
            <w:r w:rsidRPr="009174AD">
              <w:rPr>
                <w:color w:val="000000"/>
                <w:sz w:val="20"/>
                <w:szCs w:val="20"/>
              </w:rPr>
              <w:t>$38.20</w:t>
            </w:r>
          </w:p>
          <w:p w14:paraId="2CE73538" w14:textId="77777777" w:rsidR="00934CD0" w:rsidRPr="009174AD" w:rsidRDefault="00934CD0" w:rsidP="009174AD">
            <w:pPr>
              <w:jc w:val="right"/>
              <w:rPr>
                <w:color w:val="000000"/>
                <w:sz w:val="20"/>
                <w:szCs w:val="20"/>
              </w:rPr>
            </w:pPr>
          </w:p>
        </w:tc>
        <w:tc>
          <w:tcPr>
            <w:tcW w:w="1476" w:type="dxa"/>
          </w:tcPr>
          <w:p w14:paraId="0B032BBC" w14:textId="67F1B969" w:rsidR="00934CD0" w:rsidRPr="009174AD" w:rsidRDefault="00934CD0" w:rsidP="009174AD">
            <w:pPr>
              <w:jc w:val="right"/>
              <w:rPr>
                <w:color w:val="000000"/>
                <w:sz w:val="20"/>
                <w:szCs w:val="20"/>
              </w:rPr>
            </w:pPr>
            <w:r w:rsidRPr="009174AD">
              <w:rPr>
                <w:color w:val="000000"/>
                <w:sz w:val="20"/>
                <w:szCs w:val="20"/>
              </w:rPr>
              <w:t>$34,685.60</w:t>
            </w:r>
          </w:p>
        </w:tc>
      </w:tr>
      <w:tr w:rsidR="00934CD0" w:rsidRPr="00517720" w14:paraId="04D7F669" w14:textId="77777777" w:rsidTr="009174AD">
        <w:tc>
          <w:tcPr>
            <w:tcW w:w="2898" w:type="dxa"/>
            <w:shd w:val="clear" w:color="auto" w:fill="auto"/>
          </w:tcPr>
          <w:p w14:paraId="1B8FE126" w14:textId="77777777" w:rsidR="00934CD0" w:rsidRPr="009174AD" w:rsidRDefault="00934CD0" w:rsidP="00267E0E">
            <w:pPr>
              <w:rPr>
                <w:color w:val="000000"/>
                <w:sz w:val="20"/>
                <w:szCs w:val="20"/>
              </w:rPr>
            </w:pPr>
            <w:r w:rsidRPr="009174AD">
              <w:rPr>
                <w:color w:val="000000"/>
                <w:sz w:val="20"/>
                <w:szCs w:val="20"/>
              </w:rPr>
              <w:t>Execution of Grant Amendments (budget change, extension, or early termination)</w:t>
            </w:r>
          </w:p>
        </w:tc>
        <w:tc>
          <w:tcPr>
            <w:tcW w:w="1440" w:type="dxa"/>
            <w:shd w:val="clear" w:color="auto" w:fill="auto"/>
          </w:tcPr>
          <w:p w14:paraId="79BD2041" w14:textId="11C4C50A" w:rsidR="00934CD0" w:rsidRPr="009174AD" w:rsidRDefault="00934CD0" w:rsidP="009174AD">
            <w:pPr>
              <w:jc w:val="right"/>
              <w:rPr>
                <w:color w:val="000000"/>
                <w:sz w:val="20"/>
                <w:szCs w:val="20"/>
              </w:rPr>
            </w:pPr>
            <w:r w:rsidRPr="009174AD">
              <w:rPr>
                <w:color w:val="000000"/>
                <w:sz w:val="20"/>
                <w:szCs w:val="20"/>
              </w:rPr>
              <w:t>30</w:t>
            </w:r>
            <w:r w:rsidR="00C1682B">
              <w:rPr>
                <w:color w:val="000000"/>
                <w:sz w:val="20"/>
                <w:szCs w:val="20"/>
              </w:rPr>
              <w:t>.00</w:t>
            </w:r>
          </w:p>
        </w:tc>
        <w:tc>
          <w:tcPr>
            <w:tcW w:w="1417" w:type="dxa"/>
            <w:shd w:val="clear" w:color="auto" w:fill="auto"/>
          </w:tcPr>
          <w:p w14:paraId="678B5951" w14:textId="4C5E043E" w:rsidR="00934CD0" w:rsidRPr="009174AD" w:rsidRDefault="00934CD0" w:rsidP="009174AD">
            <w:pPr>
              <w:jc w:val="right"/>
              <w:rPr>
                <w:color w:val="000000"/>
                <w:sz w:val="20"/>
                <w:szCs w:val="20"/>
              </w:rPr>
            </w:pPr>
            <w:r w:rsidRPr="009174AD">
              <w:rPr>
                <w:color w:val="000000"/>
                <w:sz w:val="20"/>
                <w:szCs w:val="20"/>
              </w:rPr>
              <w:t>6</w:t>
            </w:r>
            <w:r w:rsidR="00C1682B">
              <w:rPr>
                <w:color w:val="000000"/>
                <w:sz w:val="20"/>
                <w:szCs w:val="20"/>
              </w:rPr>
              <w:t>.00</w:t>
            </w:r>
          </w:p>
        </w:tc>
        <w:tc>
          <w:tcPr>
            <w:tcW w:w="1530" w:type="dxa"/>
            <w:shd w:val="clear" w:color="auto" w:fill="auto"/>
          </w:tcPr>
          <w:p w14:paraId="67EE746E" w14:textId="553240BB" w:rsidR="00934CD0" w:rsidRPr="009174AD" w:rsidRDefault="00934CD0" w:rsidP="009174AD">
            <w:pPr>
              <w:jc w:val="right"/>
              <w:rPr>
                <w:color w:val="000000"/>
                <w:sz w:val="20"/>
                <w:szCs w:val="20"/>
              </w:rPr>
            </w:pPr>
            <w:r w:rsidRPr="009174AD">
              <w:rPr>
                <w:color w:val="000000"/>
                <w:sz w:val="20"/>
                <w:szCs w:val="20"/>
              </w:rPr>
              <w:t>180</w:t>
            </w:r>
            <w:r w:rsidR="00C1682B">
              <w:rPr>
                <w:color w:val="000000"/>
                <w:sz w:val="20"/>
                <w:szCs w:val="20"/>
              </w:rPr>
              <w:t>.00</w:t>
            </w:r>
          </w:p>
        </w:tc>
        <w:tc>
          <w:tcPr>
            <w:tcW w:w="1260" w:type="dxa"/>
          </w:tcPr>
          <w:p w14:paraId="182047AB" w14:textId="77777777" w:rsidR="00934CD0" w:rsidRPr="009174AD" w:rsidRDefault="00934CD0" w:rsidP="009174AD">
            <w:pPr>
              <w:jc w:val="right"/>
              <w:rPr>
                <w:color w:val="000000"/>
                <w:sz w:val="20"/>
                <w:szCs w:val="20"/>
              </w:rPr>
            </w:pPr>
            <w:r w:rsidRPr="009174AD">
              <w:rPr>
                <w:color w:val="000000"/>
                <w:sz w:val="20"/>
                <w:szCs w:val="20"/>
              </w:rPr>
              <w:t>$38.20</w:t>
            </w:r>
          </w:p>
          <w:p w14:paraId="1295BA34" w14:textId="77777777" w:rsidR="00934CD0" w:rsidRPr="009174AD" w:rsidRDefault="00934CD0" w:rsidP="009174AD">
            <w:pPr>
              <w:jc w:val="right"/>
              <w:rPr>
                <w:color w:val="000000"/>
                <w:sz w:val="20"/>
                <w:szCs w:val="20"/>
              </w:rPr>
            </w:pPr>
          </w:p>
        </w:tc>
        <w:tc>
          <w:tcPr>
            <w:tcW w:w="1476" w:type="dxa"/>
          </w:tcPr>
          <w:p w14:paraId="41F59167" w14:textId="3F62D1A7" w:rsidR="00934CD0" w:rsidRPr="009174AD" w:rsidRDefault="00934CD0" w:rsidP="009174AD">
            <w:pPr>
              <w:jc w:val="right"/>
              <w:rPr>
                <w:color w:val="000000"/>
                <w:sz w:val="20"/>
                <w:szCs w:val="20"/>
              </w:rPr>
            </w:pPr>
            <w:r w:rsidRPr="009174AD">
              <w:rPr>
                <w:color w:val="000000"/>
                <w:sz w:val="20"/>
                <w:szCs w:val="20"/>
              </w:rPr>
              <w:t>$6,876.00</w:t>
            </w:r>
          </w:p>
        </w:tc>
      </w:tr>
      <w:tr w:rsidR="00934CD0" w:rsidRPr="00517720" w14:paraId="0D05EF19" w14:textId="77777777" w:rsidTr="009174AD">
        <w:tc>
          <w:tcPr>
            <w:tcW w:w="2898" w:type="dxa"/>
            <w:shd w:val="clear" w:color="auto" w:fill="auto"/>
          </w:tcPr>
          <w:p w14:paraId="6C14D363" w14:textId="77777777" w:rsidR="00934CD0" w:rsidRPr="009174AD" w:rsidRDefault="00934CD0" w:rsidP="00267E0E">
            <w:pPr>
              <w:rPr>
                <w:b/>
                <w:color w:val="000000"/>
                <w:sz w:val="20"/>
                <w:szCs w:val="20"/>
              </w:rPr>
            </w:pPr>
            <w:r w:rsidRPr="009174AD">
              <w:rPr>
                <w:b/>
                <w:color w:val="000000"/>
                <w:sz w:val="20"/>
                <w:szCs w:val="20"/>
              </w:rPr>
              <w:t>Total</w:t>
            </w:r>
          </w:p>
        </w:tc>
        <w:tc>
          <w:tcPr>
            <w:tcW w:w="1440" w:type="dxa"/>
            <w:shd w:val="clear" w:color="auto" w:fill="auto"/>
          </w:tcPr>
          <w:p w14:paraId="75FE7479" w14:textId="220D2E43" w:rsidR="00934CD0" w:rsidRPr="009174AD" w:rsidRDefault="00934CD0" w:rsidP="009174AD">
            <w:pPr>
              <w:jc w:val="right"/>
              <w:rPr>
                <w:b/>
                <w:color w:val="000000"/>
                <w:sz w:val="20"/>
                <w:szCs w:val="20"/>
              </w:rPr>
            </w:pPr>
            <w:r w:rsidRPr="009174AD">
              <w:rPr>
                <w:b/>
                <w:color w:val="000000"/>
                <w:sz w:val="20"/>
                <w:szCs w:val="20"/>
              </w:rPr>
              <w:t>58</w:t>
            </w:r>
            <w:r w:rsidR="009174AD">
              <w:rPr>
                <w:b/>
                <w:color w:val="000000"/>
                <w:sz w:val="20"/>
                <w:szCs w:val="20"/>
              </w:rPr>
              <w:t>9</w:t>
            </w:r>
            <w:r w:rsidR="00C1682B">
              <w:rPr>
                <w:b/>
                <w:color w:val="000000"/>
                <w:sz w:val="20"/>
                <w:szCs w:val="20"/>
              </w:rPr>
              <w:t>.00</w:t>
            </w:r>
          </w:p>
        </w:tc>
        <w:tc>
          <w:tcPr>
            <w:tcW w:w="1417" w:type="dxa"/>
            <w:shd w:val="clear" w:color="auto" w:fill="auto"/>
          </w:tcPr>
          <w:p w14:paraId="3DC73B5F" w14:textId="77777777" w:rsidR="00934CD0" w:rsidRPr="009174AD" w:rsidRDefault="00934CD0" w:rsidP="009174AD">
            <w:pPr>
              <w:numPr>
                <w:ilvl w:val="0"/>
                <w:numId w:val="23"/>
              </w:numPr>
              <w:jc w:val="right"/>
              <w:rPr>
                <w:b/>
                <w:color w:val="000000"/>
                <w:sz w:val="20"/>
                <w:szCs w:val="20"/>
              </w:rPr>
            </w:pPr>
          </w:p>
        </w:tc>
        <w:tc>
          <w:tcPr>
            <w:tcW w:w="1530" w:type="dxa"/>
            <w:shd w:val="clear" w:color="auto" w:fill="auto"/>
          </w:tcPr>
          <w:p w14:paraId="1F3D7744" w14:textId="5D7B2FF9" w:rsidR="00934CD0" w:rsidRPr="009174AD" w:rsidRDefault="00934CD0" w:rsidP="009174AD">
            <w:pPr>
              <w:jc w:val="right"/>
              <w:rPr>
                <w:b/>
                <w:color w:val="000000"/>
                <w:sz w:val="20"/>
                <w:szCs w:val="20"/>
              </w:rPr>
            </w:pPr>
            <w:r w:rsidRPr="009174AD">
              <w:rPr>
                <w:b/>
                <w:color w:val="000000"/>
                <w:sz w:val="20"/>
                <w:szCs w:val="20"/>
              </w:rPr>
              <w:t>6,338</w:t>
            </w:r>
            <w:r w:rsidR="00C1682B">
              <w:rPr>
                <w:b/>
                <w:color w:val="000000"/>
                <w:sz w:val="20"/>
                <w:szCs w:val="20"/>
              </w:rPr>
              <w:t>.00</w:t>
            </w:r>
          </w:p>
        </w:tc>
        <w:tc>
          <w:tcPr>
            <w:tcW w:w="1260" w:type="dxa"/>
          </w:tcPr>
          <w:p w14:paraId="6740D3DE" w14:textId="6BDAB42A" w:rsidR="00934CD0" w:rsidRPr="009174AD" w:rsidRDefault="00934CD0" w:rsidP="009174AD">
            <w:pPr>
              <w:pStyle w:val="ListParagraph"/>
              <w:numPr>
                <w:ilvl w:val="0"/>
                <w:numId w:val="23"/>
              </w:numPr>
              <w:jc w:val="right"/>
              <w:rPr>
                <w:b/>
                <w:color w:val="000000"/>
                <w:sz w:val="20"/>
                <w:szCs w:val="20"/>
              </w:rPr>
            </w:pPr>
          </w:p>
        </w:tc>
        <w:tc>
          <w:tcPr>
            <w:tcW w:w="1476" w:type="dxa"/>
          </w:tcPr>
          <w:p w14:paraId="141537AF" w14:textId="4D11CBB5" w:rsidR="00934CD0" w:rsidRPr="009174AD" w:rsidRDefault="00934CD0" w:rsidP="009174AD">
            <w:pPr>
              <w:jc w:val="right"/>
              <w:rPr>
                <w:b/>
                <w:color w:val="000000"/>
                <w:sz w:val="20"/>
                <w:szCs w:val="20"/>
              </w:rPr>
            </w:pPr>
            <w:r w:rsidRPr="009174AD">
              <w:rPr>
                <w:b/>
                <w:color w:val="000000"/>
                <w:sz w:val="20"/>
                <w:szCs w:val="20"/>
              </w:rPr>
              <w:t>$242,111.60</w:t>
            </w:r>
          </w:p>
        </w:tc>
      </w:tr>
    </w:tbl>
    <w:p w14:paraId="37B2403D" w14:textId="77777777" w:rsidR="00BA4EF7" w:rsidRPr="003B27A6" w:rsidRDefault="00BA4EF7">
      <w:pPr>
        <w:keepLines/>
        <w:tabs>
          <w:tab w:val="left" w:pos="360"/>
        </w:tabs>
        <w:spacing w:after="80"/>
        <w:ind w:left="360" w:hanging="360"/>
        <w:rPr>
          <w:color w:val="000000"/>
          <w:sz w:val="22"/>
          <w:szCs w:val="22"/>
        </w:rPr>
      </w:pPr>
    </w:p>
    <w:p w14:paraId="4C5739CE" w14:textId="775511A5" w:rsidR="0061056B" w:rsidRDefault="00994883" w:rsidP="0061056B">
      <w:pPr>
        <w:keepLines/>
        <w:tabs>
          <w:tab w:val="left" w:pos="0"/>
          <w:tab w:val="left" w:pos="720"/>
        </w:tabs>
        <w:spacing w:before="240"/>
        <w:rPr>
          <w:color w:val="000000"/>
          <w:sz w:val="22"/>
          <w:szCs w:val="22"/>
        </w:rPr>
      </w:pPr>
      <w:r>
        <w:rPr>
          <w:color w:val="000000"/>
          <w:sz w:val="22"/>
          <w:szCs w:val="22"/>
        </w:rPr>
        <w:t>All annualized costs reflect staff time spent on tasks in the table.</w:t>
      </w:r>
      <w:r w:rsidR="0061056B">
        <w:rPr>
          <w:color w:val="000000"/>
          <w:sz w:val="22"/>
          <w:szCs w:val="22"/>
        </w:rPr>
        <w:t xml:space="preserve"> The hourly rate is based on a GS-12 in Washington, DC. 6,338</w:t>
      </w:r>
      <w:r w:rsidR="00C1682B">
        <w:rPr>
          <w:color w:val="000000"/>
          <w:sz w:val="22"/>
          <w:szCs w:val="22"/>
        </w:rPr>
        <w:t>.00</w:t>
      </w:r>
      <w:r w:rsidR="0061056B" w:rsidRPr="00305E84">
        <w:rPr>
          <w:color w:val="000000"/>
          <w:sz w:val="22"/>
          <w:szCs w:val="22"/>
        </w:rPr>
        <w:t xml:space="preserve"> hours * $</w:t>
      </w:r>
      <w:r w:rsidR="0061056B">
        <w:rPr>
          <w:color w:val="000000"/>
          <w:sz w:val="22"/>
          <w:szCs w:val="22"/>
        </w:rPr>
        <w:t>38.20</w:t>
      </w:r>
      <w:r w:rsidR="0061056B" w:rsidRPr="00305E84">
        <w:rPr>
          <w:color w:val="000000"/>
          <w:sz w:val="22"/>
          <w:szCs w:val="22"/>
        </w:rPr>
        <w:t xml:space="preserve"> = $</w:t>
      </w:r>
      <w:r w:rsidR="0061056B">
        <w:rPr>
          <w:color w:val="000000"/>
          <w:sz w:val="22"/>
          <w:szCs w:val="22"/>
        </w:rPr>
        <w:t>242</w:t>
      </w:r>
      <w:r w:rsidR="0061056B" w:rsidRPr="00305E84">
        <w:rPr>
          <w:color w:val="000000"/>
          <w:sz w:val="22"/>
          <w:szCs w:val="22"/>
        </w:rPr>
        <w:t>,</w:t>
      </w:r>
      <w:r w:rsidR="0061056B">
        <w:rPr>
          <w:color w:val="000000"/>
          <w:sz w:val="22"/>
          <w:szCs w:val="22"/>
        </w:rPr>
        <w:t>11</w:t>
      </w:r>
      <w:r w:rsidR="0061056B" w:rsidRPr="00305E84">
        <w:rPr>
          <w:color w:val="000000"/>
          <w:sz w:val="22"/>
          <w:szCs w:val="22"/>
        </w:rPr>
        <w:t>.6</w:t>
      </w:r>
      <w:r w:rsidR="0061056B">
        <w:rPr>
          <w:color w:val="000000"/>
          <w:sz w:val="22"/>
          <w:szCs w:val="22"/>
        </w:rPr>
        <w:t>0</w:t>
      </w:r>
    </w:p>
    <w:p w14:paraId="49515EEA" w14:textId="77777777" w:rsidR="00994883" w:rsidRPr="003B27A6" w:rsidRDefault="00994883">
      <w:pPr>
        <w:tabs>
          <w:tab w:val="left" w:pos="360"/>
        </w:tabs>
        <w:ind w:left="360" w:hanging="360"/>
        <w:rPr>
          <w:color w:val="000000"/>
          <w:sz w:val="22"/>
          <w:szCs w:val="22"/>
        </w:rPr>
      </w:pPr>
    </w:p>
    <w:p w14:paraId="51B310FF" w14:textId="77777777" w:rsidR="00D73EE7" w:rsidRPr="003B27A6" w:rsidRDefault="00D73EE7">
      <w:pPr>
        <w:pStyle w:val="BodyTextIndent"/>
        <w:rPr>
          <w:szCs w:val="22"/>
        </w:rPr>
      </w:pPr>
      <w:r w:rsidRPr="00FE04B9">
        <w:rPr>
          <w:szCs w:val="22"/>
        </w:rPr>
        <w:t>15.</w:t>
      </w:r>
      <w:r w:rsidRPr="003B27A6">
        <w:rPr>
          <w:szCs w:val="22"/>
        </w:rPr>
        <w:tab/>
        <w:t>Explain any program changes or adjustments reported in items 13 and 14 of the OMB Form 83i.</w:t>
      </w:r>
    </w:p>
    <w:p w14:paraId="5D9FE63E" w14:textId="77777777" w:rsidR="00D73EE7" w:rsidRDefault="00D73EE7" w:rsidP="000D2DF6">
      <w:pPr>
        <w:keepLines/>
        <w:tabs>
          <w:tab w:val="left" w:pos="360"/>
        </w:tabs>
        <w:spacing w:after="80"/>
        <w:rPr>
          <w:color w:val="000000"/>
          <w:sz w:val="22"/>
          <w:szCs w:val="22"/>
        </w:rPr>
      </w:pPr>
      <w:r w:rsidRPr="003B27A6">
        <w:rPr>
          <w:color w:val="000000"/>
          <w:sz w:val="22"/>
          <w:szCs w:val="22"/>
        </w:rPr>
        <w:t>Also explain any other changes/revisions to the information collection.</w:t>
      </w:r>
    </w:p>
    <w:p w14:paraId="5A50D008" w14:textId="77777777" w:rsidR="0083523E" w:rsidRDefault="0083523E" w:rsidP="000D2DF6">
      <w:pPr>
        <w:keepLines/>
        <w:tabs>
          <w:tab w:val="left" w:pos="360"/>
        </w:tabs>
        <w:spacing w:before="240" w:after="80"/>
        <w:rPr>
          <w:color w:val="000000"/>
          <w:sz w:val="22"/>
          <w:szCs w:val="22"/>
        </w:rPr>
      </w:pPr>
      <w:r>
        <w:rPr>
          <w:color w:val="000000"/>
          <w:sz w:val="22"/>
          <w:szCs w:val="22"/>
        </w:rPr>
        <w:t xml:space="preserve">This submission is requesting an increase in burden hours </w:t>
      </w:r>
      <w:r w:rsidR="00495ADC">
        <w:rPr>
          <w:color w:val="000000"/>
          <w:sz w:val="22"/>
          <w:szCs w:val="22"/>
        </w:rPr>
        <w:t>to account for</w:t>
      </w:r>
      <w:r>
        <w:rPr>
          <w:color w:val="000000"/>
          <w:sz w:val="22"/>
          <w:szCs w:val="22"/>
        </w:rPr>
        <w:t xml:space="preserve"> all aspects of information collection</w:t>
      </w:r>
      <w:r w:rsidR="00495ADC">
        <w:rPr>
          <w:color w:val="000000"/>
          <w:sz w:val="22"/>
          <w:szCs w:val="22"/>
        </w:rPr>
        <w:t xml:space="preserve"> under this approval including</w:t>
      </w:r>
      <w:r>
        <w:rPr>
          <w:color w:val="000000"/>
          <w:sz w:val="22"/>
          <w:szCs w:val="22"/>
        </w:rPr>
        <w:t xml:space="preserve"> HOPWA competitive and renewal grant applications, recordkeeping, and reporting. </w:t>
      </w:r>
      <w:r w:rsidR="00495ADC">
        <w:rPr>
          <w:color w:val="000000"/>
          <w:sz w:val="22"/>
          <w:szCs w:val="22"/>
        </w:rPr>
        <w:t>The burden hours for renewal and competitive applications have been separated out under this request to reflect the difference between the two application. Also u</w:t>
      </w:r>
      <w:r>
        <w:rPr>
          <w:color w:val="000000"/>
          <w:sz w:val="22"/>
          <w:szCs w:val="22"/>
        </w:rPr>
        <w:t xml:space="preserve">nder this </w:t>
      </w:r>
      <w:r w:rsidR="00495ADC">
        <w:rPr>
          <w:color w:val="000000"/>
          <w:sz w:val="22"/>
          <w:szCs w:val="22"/>
        </w:rPr>
        <w:t>request</w:t>
      </w:r>
      <w:r>
        <w:rPr>
          <w:color w:val="000000"/>
          <w:sz w:val="22"/>
          <w:szCs w:val="22"/>
        </w:rPr>
        <w:t>, there will be a slight decrease in hours required to complete forms HUD-40110- C and D due to the removal of unmet need assessment in both forms.</w:t>
      </w:r>
    </w:p>
    <w:p w14:paraId="6949B83E" w14:textId="77777777" w:rsidR="0083523E" w:rsidRDefault="0083523E" w:rsidP="000D2DF6">
      <w:pPr>
        <w:keepLines/>
        <w:tabs>
          <w:tab w:val="left" w:pos="360"/>
        </w:tabs>
        <w:spacing w:before="240" w:after="80"/>
        <w:rPr>
          <w:color w:val="000000"/>
          <w:sz w:val="22"/>
          <w:szCs w:val="22"/>
        </w:rPr>
      </w:pPr>
      <w:r>
        <w:rPr>
          <w:color w:val="000000"/>
          <w:sz w:val="22"/>
          <w:szCs w:val="22"/>
        </w:rPr>
        <w:t xml:space="preserve">It is projected that the </w:t>
      </w:r>
      <w:r w:rsidR="007E4664">
        <w:rPr>
          <w:color w:val="000000"/>
          <w:sz w:val="22"/>
          <w:szCs w:val="22"/>
        </w:rPr>
        <w:t>proposed</w:t>
      </w:r>
      <w:r>
        <w:rPr>
          <w:color w:val="000000"/>
          <w:sz w:val="22"/>
          <w:szCs w:val="22"/>
        </w:rPr>
        <w:t xml:space="preserve"> revisions will increase the overall burden requirement shown below, but more accurate</w:t>
      </w:r>
      <w:r w:rsidR="007C46C1">
        <w:rPr>
          <w:color w:val="000000"/>
          <w:sz w:val="22"/>
          <w:szCs w:val="22"/>
        </w:rPr>
        <w:t>ly</w:t>
      </w:r>
      <w:r>
        <w:rPr>
          <w:color w:val="000000"/>
          <w:sz w:val="22"/>
          <w:szCs w:val="22"/>
        </w:rPr>
        <w:t xml:space="preserve"> reflect the actual burden hours and responses</w:t>
      </w:r>
      <w:r w:rsidR="007E4664">
        <w:rPr>
          <w:color w:val="000000"/>
          <w:sz w:val="22"/>
          <w:szCs w:val="22"/>
        </w:rPr>
        <w:t xml:space="preserve"> for this approval.</w:t>
      </w:r>
    </w:p>
    <w:p w14:paraId="4C2E0D98" w14:textId="77777777" w:rsidR="007E4664" w:rsidRDefault="007E4664" w:rsidP="000D2DF6">
      <w:pPr>
        <w:keepLines/>
        <w:tabs>
          <w:tab w:val="left" w:pos="360"/>
        </w:tabs>
        <w:spacing w:after="80"/>
        <w:rPr>
          <w:color w:val="000000"/>
          <w:sz w:val="22"/>
          <w:szCs w:val="22"/>
        </w:rPr>
      </w:pPr>
    </w:p>
    <w:p w14:paraId="1DCC6FB7" w14:textId="77777777" w:rsidR="007E4664" w:rsidRPr="000D2DF6" w:rsidRDefault="0083523E" w:rsidP="000D2DF6">
      <w:pPr>
        <w:keepLines/>
        <w:tabs>
          <w:tab w:val="left" w:pos="360"/>
        </w:tabs>
        <w:spacing w:after="80"/>
        <w:rPr>
          <w:sz w:val="22"/>
          <w:szCs w:val="22"/>
        </w:rPr>
      </w:pPr>
      <w:r w:rsidRPr="000D2DF6">
        <w:rPr>
          <w:sz w:val="22"/>
          <w:szCs w:val="22"/>
        </w:rPr>
        <w:t xml:space="preserve">BURDEN: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2630"/>
        <w:gridCol w:w="2520"/>
      </w:tblGrid>
      <w:tr w:rsidR="007E4664" w:rsidRPr="00517720" w14:paraId="5958FF95" w14:textId="77777777" w:rsidTr="009174AD">
        <w:tc>
          <w:tcPr>
            <w:tcW w:w="3125" w:type="dxa"/>
            <w:shd w:val="clear" w:color="auto" w:fill="auto"/>
          </w:tcPr>
          <w:p w14:paraId="46E67DBF" w14:textId="77777777" w:rsidR="007E4664" w:rsidRPr="009174AD" w:rsidRDefault="007E4664" w:rsidP="009174AD">
            <w:pPr>
              <w:keepLines/>
              <w:tabs>
                <w:tab w:val="left" w:pos="360"/>
              </w:tabs>
              <w:spacing w:after="80"/>
              <w:jc w:val="center"/>
              <w:rPr>
                <w:sz w:val="20"/>
                <w:szCs w:val="20"/>
              </w:rPr>
            </w:pPr>
          </w:p>
        </w:tc>
        <w:tc>
          <w:tcPr>
            <w:tcW w:w="2630" w:type="dxa"/>
            <w:shd w:val="clear" w:color="auto" w:fill="auto"/>
          </w:tcPr>
          <w:p w14:paraId="1372E00E" w14:textId="77777777" w:rsidR="007E4664" w:rsidRPr="009174AD" w:rsidRDefault="007E4664" w:rsidP="009174AD">
            <w:pPr>
              <w:keepLines/>
              <w:tabs>
                <w:tab w:val="left" w:pos="360"/>
              </w:tabs>
              <w:spacing w:after="80"/>
              <w:jc w:val="center"/>
              <w:rPr>
                <w:b/>
                <w:sz w:val="20"/>
                <w:szCs w:val="20"/>
              </w:rPr>
            </w:pPr>
            <w:r w:rsidRPr="009174AD">
              <w:rPr>
                <w:b/>
                <w:sz w:val="20"/>
                <w:szCs w:val="20"/>
              </w:rPr>
              <w:t>Responses</w:t>
            </w:r>
          </w:p>
        </w:tc>
        <w:tc>
          <w:tcPr>
            <w:tcW w:w="2520" w:type="dxa"/>
            <w:shd w:val="clear" w:color="auto" w:fill="auto"/>
          </w:tcPr>
          <w:p w14:paraId="390A407E" w14:textId="77777777" w:rsidR="007E4664" w:rsidRPr="009174AD" w:rsidRDefault="007E4664" w:rsidP="009174AD">
            <w:pPr>
              <w:keepLines/>
              <w:tabs>
                <w:tab w:val="left" w:pos="360"/>
              </w:tabs>
              <w:spacing w:after="80"/>
              <w:jc w:val="center"/>
              <w:rPr>
                <w:b/>
                <w:sz w:val="20"/>
                <w:szCs w:val="20"/>
              </w:rPr>
            </w:pPr>
            <w:r w:rsidRPr="009174AD">
              <w:rPr>
                <w:b/>
                <w:sz w:val="20"/>
                <w:szCs w:val="20"/>
              </w:rPr>
              <w:t>Hours</w:t>
            </w:r>
          </w:p>
        </w:tc>
      </w:tr>
      <w:tr w:rsidR="007E4664" w:rsidRPr="00517720" w14:paraId="38A27B6E" w14:textId="77777777" w:rsidTr="009174AD">
        <w:tc>
          <w:tcPr>
            <w:tcW w:w="3125" w:type="dxa"/>
            <w:shd w:val="clear" w:color="auto" w:fill="auto"/>
          </w:tcPr>
          <w:p w14:paraId="4651E0DA" w14:textId="77777777" w:rsidR="007E4664" w:rsidRPr="009174AD" w:rsidRDefault="007E4664" w:rsidP="00A54704">
            <w:pPr>
              <w:keepLines/>
              <w:tabs>
                <w:tab w:val="left" w:pos="360"/>
              </w:tabs>
              <w:spacing w:after="80"/>
              <w:rPr>
                <w:b/>
                <w:sz w:val="20"/>
                <w:szCs w:val="20"/>
              </w:rPr>
            </w:pPr>
            <w:r w:rsidRPr="009174AD">
              <w:rPr>
                <w:b/>
                <w:sz w:val="20"/>
                <w:szCs w:val="20"/>
              </w:rPr>
              <w:t>Previous</w:t>
            </w:r>
          </w:p>
        </w:tc>
        <w:tc>
          <w:tcPr>
            <w:tcW w:w="2630" w:type="dxa"/>
            <w:shd w:val="clear" w:color="auto" w:fill="auto"/>
          </w:tcPr>
          <w:p w14:paraId="4E2BF059" w14:textId="77777777" w:rsidR="007E4664" w:rsidRPr="009174AD" w:rsidRDefault="007E4664" w:rsidP="009174AD">
            <w:pPr>
              <w:keepLines/>
              <w:tabs>
                <w:tab w:val="left" w:pos="360"/>
              </w:tabs>
              <w:spacing w:after="80"/>
              <w:jc w:val="right"/>
              <w:rPr>
                <w:sz w:val="20"/>
                <w:szCs w:val="20"/>
              </w:rPr>
            </w:pPr>
            <w:r w:rsidRPr="009174AD">
              <w:rPr>
                <w:sz w:val="20"/>
                <w:szCs w:val="20"/>
              </w:rPr>
              <w:t>253</w:t>
            </w:r>
          </w:p>
        </w:tc>
        <w:tc>
          <w:tcPr>
            <w:tcW w:w="2520" w:type="dxa"/>
            <w:shd w:val="clear" w:color="auto" w:fill="auto"/>
          </w:tcPr>
          <w:p w14:paraId="06B0686B" w14:textId="77777777" w:rsidR="007E4664" w:rsidRPr="009174AD" w:rsidRDefault="007E4664" w:rsidP="009174AD">
            <w:pPr>
              <w:keepLines/>
              <w:tabs>
                <w:tab w:val="left" w:pos="360"/>
              </w:tabs>
              <w:spacing w:after="80"/>
              <w:jc w:val="right"/>
              <w:rPr>
                <w:sz w:val="20"/>
                <w:szCs w:val="20"/>
              </w:rPr>
            </w:pPr>
            <w:r w:rsidRPr="009174AD">
              <w:rPr>
                <w:sz w:val="20"/>
                <w:szCs w:val="20"/>
              </w:rPr>
              <w:t>10,864</w:t>
            </w:r>
          </w:p>
        </w:tc>
      </w:tr>
      <w:tr w:rsidR="007E4664" w:rsidRPr="00517720" w14:paraId="3B1E0D73" w14:textId="77777777" w:rsidTr="009174AD">
        <w:tc>
          <w:tcPr>
            <w:tcW w:w="3125" w:type="dxa"/>
            <w:shd w:val="clear" w:color="auto" w:fill="auto"/>
          </w:tcPr>
          <w:p w14:paraId="4C660B65" w14:textId="77777777" w:rsidR="007E4664" w:rsidRPr="009174AD" w:rsidRDefault="007E4664" w:rsidP="00A54704">
            <w:pPr>
              <w:keepLines/>
              <w:tabs>
                <w:tab w:val="left" w:pos="360"/>
              </w:tabs>
              <w:spacing w:after="80"/>
              <w:rPr>
                <w:b/>
                <w:sz w:val="20"/>
                <w:szCs w:val="20"/>
              </w:rPr>
            </w:pPr>
            <w:r w:rsidRPr="009174AD">
              <w:rPr>
                <w:b/>
                <w:sz w:val="20"/>
                <w:szCs w:val="20"/>
              </w:rPr>
              <w:t>New</w:t>
            </w:r>
          </w:p>
        </w:tc>
        <w:tc>
          <w:tcPr>
            <w:tcW w:w="2630" w:type="dxa"/>
            <w:shd w:val="clear" w:color="auto" w:fill="auto"/>
          </w:tcPr>
          <w:p w14:paraId="01CFF2C5" w14:textId="77777777" w:rsidR="007E4664" w:rsidRPr="009174AD" w:rsidRDefault="007E4664" w:rsidP="009174AD">
            <w:pPr>
              <w:keepLines/>
              <w:tabs>
                <w:tab w:val="left" w:pos="360"/>
              </w:tabs>
              <w:spacing w:after="80"/>
              <w:jc w:val="right"/>
              <w:rPr>
                <w:sz w:val="20"/>
                <w:szCs w:val="20"/>
              </w:rPr>
            </w:pPr>
            <w:r w:rsidRPr="009174AD">
              <w:rPr>
                <w:sz w:val="20"/>
                <w:szCs w:val="20"/>
              </w:rPr>
              <w:t>258</w:t>
            </w:r>
          </w:p>
        </w:tc>
        <w:tc>
          <w:tcPr>
            <w:tcW w:w="2520" w:type="dxa"/>
            <w:shd w:val="clear" w:color="auto" w:fill="auto"/>
          </w:tcPr>
          <w:p w14:paraId="21A11136" w14:textId="77777777" w:rsidR="007E4664" w:rsidRPr="009174AD" w:rsidRDefault="00030661" w:rsidP="009174AD">
            <w:pPr>
              <w:keepLines/>
              <w:tabs>
                <w:tab w:val="left" w:pos="360"/>
              </w:tabs>
              <w:spacing w:after="80"/>
              <w:jc w:val="right"/>
              <w:rPr>
                <w:sz w:val="20"/>
                <w:szCs w:val="20"/>
              </w:rPr>
            </w:pPr>
            <w:r w:rsidRPr="009174AD">
              <w:rPr>
                <w:bCs/>
                <w:color w:val="000000"/>
                <w:sz w:val="20"/>
                <w:szCs w:val="20"/>
              </w:rPr>
              <w:t>26,713</w:t>
            </w:r>
          </w:p>
        </w:tc>
      </w:tr>
      <w:tr w:rsidR="007E4664" w:rsidRPr="00517720" w14:paraId="173174B5" w14:textId="77777777" w:rsidTr="009174AD">
        <w:tc>
          <w:tcPr>
            <w:tcW w:w="3125" w:type="dxa"/>
            <w:shd w:val="clear" w:color="auto" w:fill="auto"/>
          </w:tcPr>
          <w:p w14:paraId="0AF6D48A" w14:textId="77777777" w:rsidR="007E4664" w:rsidRPr="009174AD" w:rsidRDefault="007E4664" w:rsidP="00A54704">
            <w:pPr>
              <w:keepLines/>
              <w:tabs>
                <w:tab w:val="left" w:pos="360"/>
              </w:tabs>
              <w:spacing w:after="80"/>
              <w:rPr>
                <w:b/>
                <w:sz w:val="20"/>
                <w:szCs w:val="20"/>
              </w:rPr>
            </w:pPr>
            <w:r w:rsidRPr="009174AD">
              <w:rPr>
                <w:b/>
                <w:sz w:val="20"/>
                <w:szCs w:val="20"/>
              </w:rPr>
              <w:t>Adjustment</w:t>
            </w:r>
          </w:p>
        </w:tc>
        <w:tc>
          <w:tcPr>
            <w:tcW w:w="2630" w:type="dxa"/>
            <w:shd w:val="clear" w:color="auto" w:fill="auto"/>
          </w:tcPr>
          <w:p w14:paraId="3A446ADB" w14:textId="77777777" w:rsidR="007E4664" w:rsidRPr="009174AD" w:rsidRDefault="007E4664" w:rsidP="009174AD">
            <w:pPr>
              <w:keepLines/>
              <w:tabs>
                <w:tab w:val="left" w:pos="360"/>
              </w:tabs>
              <w:spacing w:after="80"/>
              <w:jc w:val="right"/>
              <w:rPr>
                <w:sz w:val="20"/>
                <w:szCs w:val="20"/>
              </w:rPr>
            </w:pPr>
            <w:r w:rsidRPr="009174AD">
              <w:rPr>
                <w:sz w:val="20"/>
                <w:szCs w:val="20"/>
              </w:rPr>
              <w:t>+ 5</w:t>
            </w:r>
          </w:p>
        </w:tc>
        <w:tc>
          <w:tcPr>
            <w:tcW w:w="2520" w:type="dxa"/>
            <w:shd w:val="clear" w:color="auto" w:fill="auto"/>
          </w:tcPr>
          <w:p w14:paraId="6DC41A4A" w14:textId="77777777" w:rsidR="007E4664" w:rsidRPr="009174AD" w:rsidRDefault="007E4664" w:rsidP="009174AD">
            <w:pPr>
              <w:keepLines/>
              <w:tabs>
                <w:tab w:val="left" w:pos="360"/>
              </w:tabs>
              <w:spacing w:after="80"/>
              <w:jc w:val="right"/>
              <w:rPr>
                <w:sz w:val="20"/>
                <w:szCs w:val="20"/>
              </w:rPr>
            </w:pPr>
            <w:r w:rsidRPr="009174AD">
              <w:rPr>
                <w:sz w:val="20"/>
                <w:szCs w:val="20"/>
              </w:rPr>
              <w:t>+ 1</w:t>
            </w:r>
            <w:r w:rsidR="00030661" w:rsidRPr="009174AD">
              <w:rPr>
                <w:sz w:val="20"/>
                <w:szCs w:val="20"/>
              </w:rPr>
              <w:t>5</w:t>
            </w:r>
            <w:r w:rsidRPr="009174AD">
              <w:rPr>
                <w:sz w:val="20"/>
                <w:szCs w:val="20"/>
              </w:rPr>
              <w:t>,</w:t>
            </w:r>
            <w:r w:rsidR="00030661" w:rsidRPr="009174AD">
              <w:rPr>
                <w:sz w:val="20"/>
                <w:szCs w:val="20"/>
              </w:rPr>
              <w:t>849</w:t>
            </w:r>
          </w:p>
        </w:tc>
      </w:tr>
    </w:tbl>
    <w:p w14:paraId="5F5705EA" w14:textId="77777777" w:rsidR="00D73EE7" w:rsidRPr="003B27A6" w:rsidRDefault="00D73EE7">
      <w:pPr>
        <w:tabs>
          <w:tab w:val="left" w:pos="360"/>
        </w:tabs>
        <w:ind w:left="360" w:hanging="360"/>
        <w:rPr>
          <w:color w:val="000000"/>
          <w:sz w:val="22"/>
          <w:szCs w:val="22"/>
        </w:rPr>
      </w:pPr>
    </w:p>
    <w:p w14:paraId="288ACAC2" w14:textId="77777777" w:rsidR="00D73EE7" w:rsidRDefault="00D73EE7">
      <w:pPr>
        <w:keepLines/>
        <w:tabs>
          <w:tab w:val="left" w:pos="360"/>
          <w:tab w:val="left" w:pos="720"/>
        </w:tabs>
        <w:ind w:left="360" w:hanging="360"/>
        <w:rPr>
          <w:color w:val="000000"/>
          <w:sz w:val="22"/>
          <w:szCs w:val="22"/>
        </w:rPr>
      </w:pPr>
      <w:r w:rsidRPr="00FE04B9">
        <w:rPr>
          <w:color w:val="000000"/>
          <w:sz w:val="22"/>
          <w:szCs w:val="22"/>
        </w:rPr>
        <w:t>16.</w:t>
      </w:r>
      <w:r w:rsidRPr="003B27A6">
        <w:rPr>
          <w:color w:val="000000"/>
          <w:sz w:val="22"/>
          <w:szCs w:val="22"/>
        </w:rPr>
        <w:tab/>
        <w:t xml:space="preserve">If the information will be published, outline plans for tabulation and publication.  </w:t>
      </w:r>
    </w:p>
    <w:p w14:paraId="6F914BC4" w14:textId="72C164D2" w:rsidR="00994883" w:rsidRDefault="00B37D9B" w:rsidP="000D2DF6">
      <w:pPr>
        <w:keepLines/>
        <w:tabs>
          <w:tab w:val="left" w:pos="0"/>
          <w:tab w:val="left" w:pos="720"/>
        </w:tabs>
        <w:spacing w:before="240"/>
        <w:rPr>
          <w:color w:val="000000"/>
          <w:sz w:val="22"/>
          <w:szCs w:val="22"/>
        </w:rPr>
      </w:pPr>
      <w:r w:rsidRPr="000D2DF6">
        <w:rPr>
          <w:color w:val="000000"/>
          <w:sz w:val="22"/>
          <w:szCs w:val="22"/>
        </w:rPr>
        <w:t>The Department analyzes grantee performance and accomplishment data on an annual basis and responds to congressional and budget inquiries for specific reporting of program accomplishments.</w:t>
      </w:r>
      <w:r w:rsidR="007E4664">
        <w:rPr>
          <w:color w:val="000000"/>
          <w:sz w:val="22"/>
          <w:szCs w:val="22"/>
        </w:rPr>
        <w:t xml:space="preserve"> National and grantee-level performance profiles based on information submitted in the APR and CAPER are posted on the HOPWA page on the HUD Exchange website</w:t>
      </w:r>
      <w:r w:rsidR="000D5F4F">
        <w:rPr>
          <w:color w:val="000000"/>
          <w:sz w:val="22"/>
          <w:szCs w:val="22"/>
        </w:rPr>
        <w:t xml:space="preserve"> </w:t>
      </w:r>
      <w:r w:rsidR="000D5F4F" w:rsidRPr="000D5F4F">
        <w:rPr>
          <w:color w:val="000000"/>
          <w:sz w:val="22"/>
          <w:szCs w:val="22"/>
        </w:rPr>
        <w:t>quarterly</w:t>
      </w:r>
      <w:r w:rsidR="00FD695F" w:rsidRPr="00FD695F">
        <w:t xml:space="preserve"> </w:t>
      </w:r>
      <w:r w:rsidR="00FD695F" w:rsidRPr="00FD695F">
        <w:rPr>
          <w:color w:val="000000"/>
          <w:sz w:val="22"/>
          <w:szCs w:val="22"/>
        </w:rPr>
        <w:t>in March, June, September, and December</w:t>
      </w:r>
      <w:r w:rsidR="007E4664">
        <w:rPr>
          <w:color w:val="000000"/>
          <w:sz w:val="22"/>
          <w:szCs w:val="22"/>
        </w:rPr>
        <w:t>.</w:t>
      </w:r>
    </w:p>
    <w:p w14:paraId="34148F7F" w14:textId="77777777" w:rsidR="00D73EE7" w:rsidRPr="003B27A6" w:rsidRDefault="00D73EE7">
      <w:pPr>
        <w:tabs>
          <w:tab w:val="left" w:pos="360"/>
        </w:tabs>
        <w:ind w:left="360" w:hanging="360"/>
        <w:rPr>
          <w:color w:val="000000"/>
          <w:sz w:val="22"/>
          <w:szCs w:val="22"/>
        </w:rPr>
      </w:pPr>
    </w:p>
    <w:p w14:paraId="13D1C731" w14:textId="77777777" w:rsidR="00D73EE7" w:rsidRPr="003B27A6" w:rsidRDefault="00D73EE7">
      <w:pPr>
        <w:keepLines/>
        <w:tabs>
          <w:tab w:val="left" w:pos="360"/>
          <w:tab w:val="left" w:pos="720"/>
        </w:tabs>
        <w:ind w:left="360" w:hanging="360"/>
        <w:rPr>
          <w:color w:val="000000"/>
          <w:sz w:val="22"/>
          <w:szCs w:val="22"/>
        </w:rPr>
      </w:pPr>
      <w:r w:rsidRPr="003B27A6">
        <w:rPr>
          <w:color w:val="000000"/>
          <w:sz w:val="22"/>
          <w:szCs w:val="22"/>
        </w:rPr>
        <w:t>17.</w:t>
      </w:r>
      <w:r w:rsidRPr="003B27A6">
        <w:rPr>
          <w:color w:val="000000"/>
          <w:sz w:val="22"/>
          <w:szCs w:val="22"/>
        </w:rPr>
        <w:tab/>
        <w:t xml:space="preserve">Explain any request to not display the expiration date. </w:t>
      </w:r>
    </w:p>
    <w:p w14:paraId="71D36449" w14:textId="77777777" w:rsidR="00994883" w:rsidRPr="003B27A6" w:rsidRDefault="00994883" w:rsidP="000D2DF6">
      <w:pPr>
        <w:tabs>
          <w:tab w:val="left" w:pos="0"/>
        </w:tabs>
        <w:spacing w:before="240" w:after="240"/>
        <w:rPr>
          <w:color w:val="000000"/>
          <w:sz w:val="22"/>
          <w:szCs w:val="22"/>
        </w:rPr>
      </w:pPr>
      <w:r>
        <w:rPr>
          <w:color w:val="000000"/>
          <w:sz w:val="22"/>
          <w:szCs w:val="22"/>
        </w:rPr>
        <w:t>No approval is sought to not display the expiration date for the OMB approval of the information collected.</w:t>
      </w:r>
    </w:p>
    <w:p w14:paraId="55BB3B48" w14:textId="77777777" w:rsidR="00D73EE7" w:rsidRPr="003B27A6" w:rsidRDefault="00D73EE7" w:rsidP="000D2DF6">
      <w:pPr>
        <w:pStyle w:val="BodyTextIndent"/>
        <w:keepLines w:val="0"/>
        <w:spacing w:before="240"/>
        <w:rPr>
          <w:szCs w:val="22"/>
        </w:rPr>
      </w:pPr>
      <w:r w:rsidRPr="003B27A6">
        <w:rPr>
          <w:szCs w:val="22"/>
        </w:rPr>
        <w:t>18.</w:t>
      </w:r>
      <w:r w:rsidRPr="003B27A6">
        <w:rPr>
          <w:szCs w:val="22"/>
        </w:rPr>
        <w:tab/>
        <w:t xml:space="preserve">Explain each exception to the certification statement identified in item 83i-19.  </w:t>
      </w:r>
    </w:p>
    <w:p w14:paraId="0ADE0F41" w14:textId="77777777" w:rsidR="002260F4" w:rsidRDefault="001A62FC" w:rsidP="000D2DF6">
      <w:pPr>
        <w:spacing w:before="240"/>
        <w:rPr>
          <w:color w:val="000000"/>
          <w:sz w:val="22"/>
          <w:szCs w:val="22"/>
        </w:rPr>
      </w:pPr>
      <w:r>
        <w:rPr>
          <w:color w:val="000000"/>
          <w:sz w:val="22"/>
          <w:szCs w:val="22"/>
        </w:rPr>
        <w:t>No exception is sought to the certification statement.</w:t>
      </w:r>
      <w:r w:rsidR="00D73EE7" w:rsidRPr="003B27A6">
        <w:rPr>
          <w:color w:val="000000"/>
          <w:sz w:val="22"/>
          <w:szCs w:val="22"/>
        </w:rPr>
        <w:t xml:space="preserve"> </w:t>
      </w:r>
    </w:p>
    <w:p w14:paraId="03FBD8C7" w14:textId="77777777" w:rsidR="00B37D9B" w:rsidRDefault="00B37D9B" w:rsidP="000D2DF6">
      <w:pPr>
        <w:spacing w:before="240"/>
        <w:jc w:val="both"/>
        <w:rPr>
          <w:color w:val="000000"/>
          <w:sz w:val="22"/>
          <w:szCs w:val="22"/>
        </w:rPr>
      </w:pPr>
    </w:p>
    <w:p w14:paraId="6FB80B8E" w14:textId="77777777" w:rsidR="00B37D9B" w:rsidRPr="000D2DF6" w:rsidRDefault="00B37D9B" w:rsidP="000D2DF6">
      <w:pPr>
        <w:spacing w:before="240"/>
        <w:jc w:val="both"/>
        <w:rPr>
          <w:color w:val="000000"/>
          <w:sz w:val="22"/>
          <w:szCs w:val="22"/>
        </w:rPr>
      </w:pPr>
      <w:r w:rsidRPr="000D2DF6">
        <w:rPr>
          <w:color w:val="000000"/>
          <w:sz w:val="22"/>
          <w:szCs w:val="22"/>
        </w:rPr>
        <w:t>B. Collections of Information Employing Statistical Methods</w:t>
      </w:r>
    </w:p>
    <w:p w14:paraId="02A02872" w14:textId="77777777" w:rsidR="00B37D9B" w:rsidRDefault="00B37D9B" w:rsidP="000D2DF6">
      <w:pPr>
        <w:spacing w:before="240"/>
        <w:jc w:val="both"/>
        <w:rPr>
          <w:color w:val="000000"/>
          <w:sz w:val="22"/>
          <w:szCs w:val="22"/>
        </w:rPr>
      </w:pPr>
      <w:r w:rsidRPr="000D2DF6">
        <w:rPr>
          <w:color w:val="000000"/>
          <w:sz w:val="22"/>
          <w:szCs w:val="22"/>
        </w:rPr>
        <w:t>The HOPWA program does not use statistical methods.</w:t>
      </w:r>
    </w:p>
    <w:p w14:paraId="553C5995" w14:textId="77777777" w:rsidR="00B37D9B" w:rsidRPr="003B27A6" w:rsidRDefault="00B37D9B" w:rsidP="000D2DF6">
      <w:pPr>
        <w:rPr>
          <w:color w:val="000000"/>
          <w:sz w:val="22"/>
          <w:szCs w:val="22"/>
        </w:rPr>
      </w:pPr>
    </w:p>
    <w:sectPr w:rsidR="00B37D9B" w:rsidRPr="003B27A6">
      <w:headerReference w:type="even" r:id="rId10"/>
      <w:headerReference w:type="default" r:id="rId11"/>
      <w:footerReference w:type="even" r:id="rId12"/>
      <w:footerReference w:type="default" r:id="rId13"/>
      <w:headerReference w:type="first" r:id="rId14"/>
      <w:footerReference w:type="first" r:id="rId15"/>
      <w:pgSz w:w="12240" w:h="15840"/>
      <w:pgMar w:top="960" w:right="1440" w:bottom="9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C5D5D6" w14:textId="77777777" w:rsidR="0042682E" w:rsidRDefault="0042682E" w:rsidP="000D2DF6">
      <w:r>
        <w:separator/>
      </w:r>
    </w:p>
  </w:endnote>
  <w:endnote w:type="continuationSeparator" w:id="0">
    <w:p w14:paraId="32F50F74" w14:textId="77777777" w:rsidR="0042682E" w:rsidRDefault="0042682E" w:rsidP="000D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C03BE" w14:textId="77777777" w:rsidR="000D2DF6" w:rsidRDefault="000D2D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22584" w14:textId="77777777" w:rsidR="000D2DF6" w:rsidRDefault="000D2D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8CE95" w14:textId="77777777" w:rsidR="000D2DF6" w:rsidRDefault="000D2D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90DA0E" w14:textId="77777777" w:rsidR="0042682E" w:rsidRDefault="0042682E" w:rsidP="000D2DF6">
      <w:r>
        <w:separator/>
      </w:r>
    </w:p>
  </w:footnote>
  <w:footnote w:type="continuationSeparator" w:id="0">
    <w:p w14:paraId="6E4ADAD2" w14:textId="77777777" w:rsidR="0042682E" w:rsidRDefault="0042682E" w:rsidP="000D2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EFD53" w14:textId="77777777" w:rsidR="000D2DF6" w:rsidRDefault="000D2D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0A77A" w14:textId="77777777" w:rsidR="000D2DF6" w:rsidRDefault="000D2D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ADAF6" w14:textId="77777777" w:rsidR="000D2DF6" w:rsidRDefault="000D2D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FAE59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B26EA4E0"/>
    <w:lvl w:ilvl="0">
      <w:numFmt w:val="decimal"/>
      <w:lvlText w:val="*"/>
      <w:lvlJc w:val="left"/>
    </w:lvl>
  </w:abstractNum>
  <w:abstractNum w:abstractNumId="2">
    <w:nsid w:val="07FC7495"/>
    <w:multiLevelType w:val="hybridMultilevel"/>
    <w:tmpl w:val="E2C40664"/>
    <w:lvl w:ilvl="0" w:tplc="77708098">
      <w:start w:val="18"/>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4C6E04"/>
    <w:multiLevelType w:val="hybridMultilevel"/>
    <w:tmpl w:val="BCEEB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982209"/>
    <w:multiLevelType w:val="hybridMultilevel"/>
    <w:tmpl w:val="BA249918"/>
    <w:lvl w:ilvl="0" w:tplc="42DECB1E">
      <w:start w:val="3"/>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9D59FC"/>
    <w:multiLevelType w:val="hybridMultilevel"/>
    <w:tmpl w:val="A8AC6B02"/>
    <w:lvl w:ilvl="0" w:tplc="5A18D9C8">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C2C3703"/>
    <w:multiLevelType w:val="hybridMultilevel"/>
    <w:tmpl w:val="364A2B8E"/>
    <w:lvl w:ilvl="0" w:tplc="BB621BD6">
      <w:start w:val="1"/>
      <w:numFmt w:val="upperRoman"/>
      <w:lvlText w:val="%1."/>
      <w:lvlJc w:val="left"/>
      <w:pPr>
        <w:ind w:left="829" w:hanging="360"/>
      </w:pPr>
      <w:rPr>
        <w:rFonts w:ascii="Times New Roman" w:hAnsi="Times New Roman" w:cs="Times New Roman" w:hint="default"/>
        <w:sz w:val="40"/>
      </w:r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7">
    <w:nsid w:val="109E242E"/>
    <w:multiLevelType w:val="hybridMultilevel"/>
    <w:tmpl w:val="1DD4C2A0"/>
    <w:lvl w:ilvl="0" w:tplc="07C6A42A">
      <w:start w:val="1"/>
      <w:numFmt w:val="upperRoman"/>
      <w:lvlText w:val="%1."/>
      <w:lvlJc w:val="left"/>
      <w:pPr>
        <w:ind w:left="1080" w:hanging="720"/>
      </w:pPr>
      <w:rPr>
        <w:rFonts w:hint="default"/>
        <w:b w:val="0"/>
      </w:rPr>
    </w:lvl>
    <w:lvl w:ilvl="1" w:tplc="1A8A619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E9756C"/>
    <w:multiLevelType w:val="hybridMultilevel"/>
    <w:tmpl w:val="E564D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F971A5"/>
    <w:multiLevelType w:val="hybridMultilevel"/>
    <w:tmpl w:val="87B83E00"/>
    <w:lvl w:ilvl="0" w:tplc="71DA1588">
      <w:start w:val="8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2F0811"/>
    <w:multiLevelType w:val="hybridMultilevel"/>
    <w:tmpl w:val="30FED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96F0B2A"/>
    <w:multiLevelType w:val="hybridMultilevel"/>
    <w:tmpl w:val="F8A09BD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AE77525"/>
    <w:multiLevelType w:val="hybridMultilevel"/>
    <w:tmpl w:val="757698F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03D2C1A"/>
    <w:multiLevelType w:val="hybridMultilevel"/>
    <w:tmpl w:val="6F7C82EC"/>
    <w:lvl w:ilvl="0" w:tplc="14EAAE26">
      <w:start w:val="8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E046FE"/>
    <w:multiLevelType w:val="hybridMultilevel"/>
    <w:tmpl w:val="9650F3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4C337F69"/>
    <w:multiLevelType w:val="hybridMultilevel"/>
    <w:tmpl w:val="785CC204"/>
    <w:lvl w:ilvl="0" w:tplc="DE761544">
      <w:start w:val="1"/>
      <w:numFmt w:val="bullet"/>
      <w:lvlText w:val=""/>
      <w:lvlJc w:val="left"/>
      <w:pPr>
        <w:tabs>
          <w:tab w:val="num" w:pos="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5D461C8"/>
    <w:multiLevelType w:val="hybridMultilevel"/>
    <w:tmpl w:val="EECE0A5E"/>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7">
    <w:nsid w:val="5B1D3F69"/>
    <w:multiLevelType w:val="hybridMultilevel"/>
    <w:tmpl w:val="298652C2"/>
    <w:lvl w:ilvl="0" w:tplc="78C6D55E">
      <w:start w:val="15"/>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2343427"/>
    <w:multiLevelType w:val="hybridMultilevel"/>
    <w:tmpl w:val="AA5E6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AB7C70"/>
    <w:multiLevelType w:val="hybridMultilevel"/>
    <w:tmpl w:val="398053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47C37CA"/>
    <w:multiLevelType w:val="hybridMultilevel"/>
    <w:tmpl w:val="71007460"/>
    <w:lvl w:ilvl="0" w:tplc="9BEC3D50">
      <w:start w:val="1"/>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4C07339"/>
    <w:multiLevelType w:val="hybridMultilevel"/>
    <w:tmpl w:val="54F0D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3">
    <w:nsid w:val="7CC44AC7"/>
    <w:multiLevelType w:val="hybridMultilevel"/>
    <w:tmpl w:val="114AA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2">
    <w:abstractNumId w:val="20"/>
  </w:num>
  <w:num w:numId="3">
    <w:abstractNumId w:val="4"/>
  </w:num>
  <w:num w:numId="4">
    <w:abstractNumId w:val="17"/>
  </w:num>
  <w:num w:numId="5">
    <w:abstractNumId w:val="12"/>
  </w:num>
  <w:num w:numId="6">
    <w:abstractNumId w:val="11"/>
  </w:num>
  <w:num w:numId="7">
    <w:abstractNumId w:val="2"/>
  </w:num>
  <w:num w:numId="8">
    <w:abstractNumId w:val="22"/>
  </w:num>
  <w:num w:numId="9">
    <w:abstractNumId w:val="15"/>
  </w:num>
  <w:num w:numId="10">
    <w:abstractNumId w:val="5"/>
  </w:num>
  <w:num w:numId="11">
    <w:abstractNumId w:val="0"/>
  </w:num>
  <w:num w:numId="12">
    <w:abstractNumId w:val="21"/>
  </w:num>
  <w:num w:numId="13">
    <w:abstractNumId w:val="14"/>
  </w:num>
  <w:num w:numId="14">
    <w:abstractNumId w:val="18"/>
  </w:num>
  <w:num w:numId="15">
    <w:abstractNumId w:val="16"/>
  </w:num>
  <w:num w:numId="16">
    <w:abstractNumId w:val="3"/>
  </w:num>
  <w:num w:numId="17">
    <w:abstractNumId w:val="7"/>
  </w:num>
  <w:num w:numId="18">
    <w:abstractNumId w:val="10"/>
  </w:num>
  <w:num w:numId="19">
    <w:abstractNumId w:val="6"/>
  </w:num>
  <w:num w:numId="20">
    <w:abstractNumId w:val="19"/>
  </w:num>
  <w:num w:numId="21">
    <w:abstractNumId w:val="23"/>
  </w:num>
  <w:num w:numId="22">
    <w:abstractNumId w:val="13"/>
  </w:num>
  <w:num w:numId="23">
    <w:abstractNumId w:val="9"/>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85F"/>
    <w:rsid w:val="000007ED"/>
    <w:rsid w:val="00030661"/>
    <w:rsid w:val="00053B4C"/>
    <w:rsid w:val="00062554"/>
    <w:rsid w:val="000B5411"/>
    <w:rsid w:val="000B5C46"/>
    <w:rsid w:val="000C14CE"/>
    <w:rsid w:val="000C2A55"/>
    <w:rsid w:val="000C67AE"/>
    <w:rsid w:val="000D2DF6"/>
    <w:rsid w:val="000D4B55"/>
    <w:rsid w:val="000D5F4F"/>
    <w:rsid w:val="000E0627"/>
    <w:rsid w:val="000E29EE"/>
    <w:rsid w:val="00116FD8"/>
    <w:rsid w:val="00136362"/>
    <w:rsid w:val="00145EE0"/>
    <w:rsid w:val="00156405"/>
    <w:rsid w:val="00175586"/>
    <w:rsid w:val="00181A8D"/>
    <w:rsid w:val="00183FA6"/>
    <w:rsid w:val="00186758"/>
    <w:rsid w:val="001A62FC"/>
    <w:rsid w:val="001C7B64"/>
    <w:rsid w:val="001F3738"/>
    <w:rsid w:val="00200913"/>
    <w:rsid w:val="00213D25"/>
    <w:rsid w:val="002260F4"/>
    <w:rsid w:val="002271FD"/>
    <w:rsid w:val="002561CC"/>
    <w:rsid w:val="00260D23"/>
    <w:rsid w:val="00267E0E"/>
    <w:rsid w:val="002702B6"/>
    <w:rsid w:val="00283F75"/>
    <w:rsid w:val="00286022"/>
    <w:rsid w:val="002971AC"/>
    <w:rsid w:val="002C06E8"/>
    <w:rsid w:val="002C0D66"/>
    <w:rsid w:val="002E1334"/>
    <w:rsid w:val="002F4F33"/>
    <w:rsid w:val="003016EA"/>
    <w:rsid w:val="003124EE"/>
    <w:rsid w:val="003126EB"/>
    <w:rsid w:val="00323F07"/>
    <w:rsid w:val="00344FE4"/>
    <w:rsid w:val="00345A0F"/>
    <w:rsid w:val="00393A57"/>
    <w:rsid w:val="003B00BA"/>
    <w:rsid w:val="003B27A6"/>
    <w:rsid w:val="003D3AA1"/>
    <w:rsid w:val="003D50AE"/>
    <w:rsid w:val="00404849"/>
    <w:rsid w:val="004051C1"/>
    <w:rsid w:val="00422A44"/>
    <w:rsid w:val="00425F2F"/>
    <w:rsid w:val="0042682E"/>
    <w:rsid w:val="00466396"/>
    <w:rsid w:val="00495ADC"/>
    <w:rsid w:val="00496EF5"/>
    <w:rsid w:val="004E185B"/>
    <w:rsid w:val="00517720"/>
    <w:rsid w:val="00526AC0"/>
    <w:rsid w:val="00540B0A"/>
    <w:rsid w:val="005722F6"/>
    <w:rsid w:val="00583DBD"/>
    <w:rsid w:val="005C17CF"/>
    <w:rsid w:val="005D1AB4"/>
    <w:rsid w:val="005E062F"/>
    <w:rsid w:val="0061056B"/>
    <w:rsid w:val="006160B8"/>
    <w:rsid w:val="0062515B"/>
    <w:rsid w:val="00631CF9"/>
    <w:rsid w:val="00663F72"/>
    <w:rsid w:val="00691073"/>
    <w:rsid w:val="00696B16"/>
    <w:rsid w:val="006A6949"/>
    <w:rsid w:val="006B743E"/>
    <w:rsid w:val="006F6265"/>
    <w:rsid w:val="00724680"/>
    <w:rsid w:val="0075494F"/>
    <w:rsid w:val="00760373"/>
    <w:rsid w:val="00766BA6"/>
    <w:rsid w:val="00780022"/>
    <w:rsid w:val="00796EE6"/>
    <w:rsid w:val="00797F82"/>
    <w:rsid w:val="007A14E8"/>
    <w:rsid w:val="007A3FED"/>
    <w:rsid w:val="007A4639"/>
    <w:rsid w:val="007C46C1"/>
    <w:rsid w:val="007E0075"/>
    <w:rsid w:val="007E2B9D"/>
    <w:rsid w:val="007E4664"/>
    <w:rsid w:val="0080589B"/>
    <w:rsid w:val="008252CE"/>
    <w:rsid w:val="0083523E"/>
    <w:rsid w:val="008466EA"/>
    <w:rsid w:val="00864DF9"/>
    <w:rsid w:val="00867DDE"/>
    <w:rsid w:val="00880B5D"/>
    <w:rsid w:val="0088526D"/>
    <w:rsid w:val="008C6005"/>
    <w:rsid w:val="008C6F27"/>
    <w:rsid w:val="008F2547"/>
    <w:rsid w:val="00903C4D"/>
    <w:rsid w:val="0090425C"/>
    <w:rsid w:val="00904730"/>
    <w:rsid w:val="00915D7F"/>
    <w:rsid w:val="009174AD"/>
    <w:rsid w:val="00934B38"/>
    <w:rsid w:val="00934CD0"/>
    <w:rsid w:val="00961750"/>
    <w:rsid w:val="00967AED"/>
    <w:rsid w:val="009812FD"/>
    <w:rsid w:val="00994883"/>
    <w:rsid w:val="009A046F"/>
    <w:rsid w:val="00A141E6"/>
    <w:rsid w:val="00A3391A"/>
    <w:rsid w:val="00A50D0D"/>
    <w:rsid w:val="00A54704"/>
    <w:rsid w:val="00A72A07"/>
    <w:rsid w:val="00A73F47"/>
    <w:rsid w:val="00A8191C"/>
    <w:rsid w:val="00A833A7"/>
    <w:rsid w:val="00B1027E"/>
    <w:rsid w:val="00B35F6F"/>
    <w:rsid w:val="00B37D9B"/>
    <w:rsid w:val="00B4088E"/>
    <w:rsid w:val="00B43A9B"/>
    <w:rsid w:val="00B563D8"/>
    <w:rsid w:val="00B81FF7"/>
    <w:rsid w:val="00B91F12"/>
    <w:rsid w:val="00BA4EF7"/>
    <w:rsid w:val="00BE001F"/>
    <w:rsid w:val="00BF1C14"/>
    <w:rsid w:val="00C00B7F"/>
    <w:rsid w:val="00C1682B"/>
    <w:rsid w:val="00C35DAA"/>
    <w:rsid w:val="00C76D72"/>
    <w:rsid w:val="00C9012F"/>
    <w:rsid w:val="00CD303F"/>
    <w:rsid w:val="00CE1D3C"/>
    <w:rsid w:val="00D14244"/>
    <w:rsid w:val="00D14F7B"/>
    <w:rsid w:val="00D16E22"/>
    <w:rsid w:val="00D25D75"/>
    <w:rsid w:val="00D34E92"/>
    <w:rsid w:val="00D5015D"/>
    <w:rsid w:val="00D73D85"/>
    <w:rsid w:val="00D73EE7"/>
    <w:rsid w:val="00D76070"/>
    <w:rsid w:val="00DB2F37"/>
    <w:rsid w:val="00DC1697"/>
    <w:rsid w:val="00DD1804"/>
    <w:rsid w:val="00DD45E8"/>
    <w:rsid w:val="00DF03EB"/>
    <w:rsid w:val="00E10951"/>
    <w:rsid w:val="00E10F05"/>
    <w:rsid w:val="00E13AC5"/>
    <w:rsid w:val="00E156BC"/>
    <w:rsid w:val="00E40AE1"/>
    <w:rsid w:val="00E5285F"/>
    <w:rsid w:val="00E86574"/>
    <w:rsid w:val="00E9425C"/>
    <w:rsid w:val="00EA28BB"/>
    <w:rsid w:val="00ED2128"/>
    <w:rsid w:val="00F1280D"/>
    <w:rsid w:val="00F13C09"/>
    <w:rsid w:val="00F15B40"/>
    <w:rsid w:val="00F15FEF"/>
    <w:rsid w:val="00F219B5"/>
    <w:rsid w:val="00F44758"/>
    <w:rsid w:val="00F477DD"/>
    <w:rsid w:val="00F673E0"/>
    <w:rsid w:val="00F7313B"/>
    <w:rsid w:val="00F8142F"/>
    <w:rsid w:val="00FD526B"/>
    <w:rsid w:val="00FD695F"/>
    <w:rsid w:val="00FE01E1"/>
    <w:rsid w:val="00FE04B9"/>
    <w:rsid w:val="00FF7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0B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rPr>
  </w:style>
  <w:style w:type="paragraph" w:styleId="Heading2">
    <w:name w:val="heading 2"/>
    <w:basedOn w:val="Normal"/>
    <w:next w:val="Normal"/>
    <w:link w:val="Heading2Char"/>
    <w:uiPriority w:val="9"/>
    <w:unhideWhenUsed/>
    <w:qFormat/>
    <w:rsid w:val="006A6949"/>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3B00BA"/>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3B00B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keepLines/>
      <w:tabs>
        <w:tab w:val="left" w:pos="360"/>
      </w:tabs>
      <w:spacing w:after="80"/>
      <w:ind w:left="360" w:hanging="360"/>
    </w:pPr>
    <w:rPr>
      <w:color w:val="000000"/>
      <w:sz w:val="22"/>
    </w:rPr>
  </w:style>
  <w:style w:type="paragraph" w:styleId="BodyTextIndent2">
    <w:name w:val="Body Text Indent 2"/>
    <w:basedOn w:val="Normal"/>
    <w:semiHidden/>
    <w:pPr>
      <w:keepLines/>
      <w:tabs>
        <w:tab w:val="left" w:pos="360"/>
      </w:tabs>
      <w:spacing w:after="80"/>
      <w:ind w:left="360"/>
    </w:pPr>
    <w:rPr>
      <w:color w:val="000000"/>
      <w:sz w:val="22"/>
    </w:rPr>
  </w:style>
  <w:style w:type="paragraph" w:styleId="BalloonText">
    <w:name w:val="Balloon Text"/>
    <w:basedOn w:val="Normal"/>
    <w:link w:val="BalloonTextChar"/>
    <w:uiPriority w:val="99"/>
    <w:semiHidden/>
    <w:unhideWhenUsed/>
    <w:rsid w:val="007E0075"/>
    <w:rPr>
      <w:rFonts w:ascii="Segoe UI" w:hAnsi="Segoe UI" w:cs="Segoe UI"/>
      <w:sz w:val="18"/>
      <w:szCs w:val="18"/>
    </w:rPr>
  </w:style>
  <w:style w:type="character" w:customStyle="1" w:styleId="BalloonTextChar">
    <w:name w:val="Balloon Text Char"/>
    <w:link w:val="BalloonText"/>
    <w:uiPriority w:val="99"/>
    <w:semiHidden/>
    <w:rsid w:val="007E0075"/>
    <w:rPr>
      <w:rFonts w:ascii="Segoe UI" w:hAnsi="Segoe UI" w:cs="Segoe UI"/>
      <w:sz w:val="18"/>
      <w:szCs w:val="18"/>
    </w:rPr>
  </w:style>
  <w:style w:type="character" w:styleId="Hyperlink">
    <w:name w:val="Hyperlink"/>
    <w:uiPriority w:val="99"/>
    <w:unhideWhenUsed/>
    <w:rsid w:val="006A6949"/>
    <w:rPr>
      <w:color w:val="0000FF"/>
      <w:u w:val="single"/>
    </w:rPr>
  </w:style>
  <w:style w:type="character" w:customStyle="1" w:styleId="Heading2Char">
    <w:name w:val="Heading 2 Char"/>
    <w:link w:val="Heading2"/>
    <w:uiPriority w:val="9"/>
    <w:rsid w:val="006A6949"/>
    <w:rPr>
      <w:rFonts w:ascii="Calibri Light" w:eastAsia="Times New Roman" w:hAnsi="Calibri Light" w:cs="Times New Roman"/>
      <w:b/>
      <w:bCs/>
      <w:i/>
      <w:iCs/>
      <w:sz w:val="28"/>
      <w:szCs w:val="28"/>
    </w:rPr>
  </w:style>
  <w:style w:type="paragraph" w:styleId="NormalWeb">
    <w:name w:val="Normal (Web)"/>
    <w:basedOn w:val="Normal"/>
    <w:uiPriority w:val="99"/>
    <w:semiHidden/>
    <w:unhideWhenUsed/>
    <w:rsid w:val="006A6949"/>
    <w:pPr>
      <w:spacing w:before="100" w:beforeAutospacing="1" w:after="100" w:afterAutospacing="1"/>
    </w:pPr>
  </w:style>
  <w:style w:type="character" w:customStyle="1" w:styleId="apple-converted-space">
    <w:name w:val="apple-converted-space"/>
    <w:rsid w:val="006A6949"/>
  </w:style>
  <w:style w:type="character" w:styleId="CommentReference">
    <w:name w:val="annotation reference"/>
    <w:uiPriority w:val="99"/>
    <w:semiHidden/>
    <w:unhideWhenUsed/>
    <w:rsid w:val="00696B16"/>
    <w:rPr>
      <w:sz w:val="16"/>
      <w:szCs w:val="16"/>
    </w:rPr>
  </w:style>
  <w:style w:type="paragraph" w:styleId="CommentText">
    <w:name w:val="annotation text"/>
    <w:basedOn w:val="Normal"/>
    <w:link w:val="CommentTextChar"/>
    <w:uiPriority w:val="99"/>
    <w:semiHidden/>
    <w:unhideWhenUsed/>
    <w:rsid w:val="00696B16"/>
    <w:rPr>
      <w:sz w:val="20"/>
      <w:szCs w:val="20"/>
    </w:rPr>
  </w:style>
  <w:style w:type="character" w:customStyle="1" w:styleId="CommentTextChar">
    <w:name w:val="Comment Text Char"/>
    <w:basedOn w:val="DefaultParagraphFont"/>
    <w:link w:val="CommentText"/>
    <w:uiPriority w:val="99"/>
    <w:semiHidden/>
    <w:rsid w:val="00696B16"/>
  </w:style>
  <w:style w:type="paragraph" w:styleId="CommentSubject">
    <w:name w:val="annotation subject"/>
    <w:basedOn w:val="CommentText"/>
    <w:next w:val="CommentText"/>
    <w:link w:val="CommentSubjectChar"/>
    <w:uiPriority w:val="99"/>
    <w:semiHidden/>
    <w:unhideWhenUsed/>
    <w:rsid w:val="00696B16"/>
    <w:rPr>
      <w:b/>
      <w:bCs/>
    </w:rPr>
  </w:style>
  <w:style w:type="character" w:customStyle="1" w:styleId="CommentSubjectChar">
    <w:name w:val="Comment Subject Char"/>
    <w:link w:val="CommentSubject"/>
    <w:uiPriority w:val="99"/>
    <w:semiHidden/>
    <w:rsid w:val="00696B16"/>
    <w:rPr>
      <w:b/>
      <w:bCs/>
    </w:rPr>
  </w:style>
  <w:style w:type="table" w:styleId="TableGrid">
    <w:name w:val="Table Grid"/>
    <w:basedOn w:val="TableNormal"/>
    <w:uiPriority w:val="59"/>
    <w:rsid w:val="00E8657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
    <w:name w:val="cita"/>
    <w:basedOn w:val="Normal"/>
    <w:rsid w:val="00062554"/>
    <w:pPr>
      <w:spacing w:before="100" w:beforeAutospacing="1" w:after="100" w:afterAutospacing="1"/>
    </w:pPr>
  </w:style>
  <w:style w:type="paragraph" w:customStyle="1" w:styleId="fp">
    <w:name w:val="fp"/>
    <w:basedOn w:val="Normal"/>
    <w:rsid w:val="00062554"/>
    <w:pPr>
      <w:spacing w:before="100" w:beforeAutospacing="1" w:after="100" w:afterAutospacing="1"/>
    </w:pPr>
  </w:style>
  <w:style w:type="character" w:customStyle="1" w:styleId="Heading4Char">
    <w:name w:val="Heading 4 Char"/>
    <w:link w:val="Heading4"/>
    <w:uiPriority w:val="9"/>
    <w:semiHidden/>
    <w:rsid w:val="003B00BA"/>
    <w:rPr>
      <w:rFonts w:ascii="Calibri" w:eastAsia="Times New Roman" w:hAnsi="Calibri" w:cs="Times New Roman"/>
      <w:b/>
      <w:bCs/>
      <w:sz w:val="28"/>
      <w:szCs w:val="28"/>
    </w:rPr>
  </w:style>
  <w:style w:type="paragraph" w:customStyle="1" w:styleId="statutory-body">
    <w:name w:val="statutory-body"/>
    <w:basedOn w:val="Normal"/>
    <w:rsid w:val="003B00BA"/>
    <w:pPr>
      <w:spacing w:before="100" w:beforeAutospacing="1" w:after="100" w:afterAutospacing="1"/>
    </w:pPr>
  </w:style>
  <w:style w:type="paragraph" w:customStyle="1" w:styleId="statutory-body-1em">
    <w:name w:val="statutory-body-1em"/>
    <w:basedOn w:val="Normal"/>
    <w:rsid w:val="003B00BA"/>
    <w:pPr>
      <w:spacing w:before="100" w:beforeAutospacing="1" w:after="100" w:afterAutospacing="1"/>
    </w:pPr>
  </w:style>
  <w:style w:type="character" w:customStyle="1" w:styleId="Heading3Char">
    <w:name w:val="Heading 3 Char"/>
    <w:link w:val="Heading3"/>
    <w:uiPriority w:val="9"/>
    <w:semiHidden/>
    <w:rsid w:val="003B00BA"/>
    <w:rPr>
      <w:rFonts w:ascii="Calibri Light" w:eastAsia="Times New Roman" w:hAnsi="Calibri Light" w:cs="Times New Roman"/>
      <w:b/>
      <w:bCs/>
      <w:sz w:val="26"/>
      <w:szCs w:val="26"/>
    </w:rPr>
  </w:style>
  <w:style w:type="paragraph" w:styleId="Revision">
    <w:name w:val="Revision"/>
    <w:hidden/>
    <w:uiPriority w:val="99"/>
    <w:semiHidden/>
    <w:rsid w:val="00425F2F"/>
    <w:rPr>
      <w:sz w:val="24"/>
      <w:szCs w:val="24"/>
    </w:rPr>
  </w:style>
  <w:style w:type="paragraph" w:styleId="Header">
    <w:name w:val="header"/>
    <w:basedOn w:val="Normal"/>
    <w:link w:val="HeaderChar"/>
    <w:uiPriority w:val="99"/>
    <w:unhideWhenUsed/>
    <w:rsid w:val="000D2DF6"/>
    <w:pPr>
      <w:tabs>
        <w:tab w:val="center" w:pos="4680"/>
        <w:tab w:val="right" w:pos="9360"/>
      </w:tabs>
    </w:pPr>
  </w:style>
  <w:style w:type="character" w:customStyle="1" w:styleId="HeaderChar">
    <w:name w:val="Header Char"/>
    <w:link w:val="Header"/>
    <w:uiPriority w:val="99"/>
    <w:rsid w:val="000D2DF6"/>
    <w:rPr>
      <w:sz w:val="24"/>
      <w:szCs w:val="24"/>
    </w:rPr>
  </w:style>
  <w:style w:type="paragraph" w:styleId="Footer">
    <w:name w:val="footer"/>
    <w:basedOn w:val="Normal"/>
    <w:link w:val="FooterChar"/>
    <w:uiPriority w:val="99"/>
    <w:unhideWhenUsed/>
    <w:rsid w:val="000D2DF6"/>
    <w:pPr>
      <w:tabs>
        <w:tab w:val="center" w:pos="4680"/>
        <w:tab w:val="right" w:pos="9360"/>
      </w:tabs>
    </w:pPr>
  </w:style>
  <w:style w:type="character" w:customStyle="1" w:styleId="FooterChar">
    <w:name w:val="Footer Char"/>
    <w:link w:val="Footer"/>
    <w:uiPriority w:val="99"/>
    <w:rsid w:val="000D2DF6"/>
    <w:rPr>
      <w:sz w:val="24"/>
      <w:szCs w:val="24"/>
    </w:rPr>
  </w:style>
  <w:style w:type="paragraph" w:styleId="DocumentMap">
    <w:name w:val="Document Map"/>
    <w:basedOn w:val="Normal"/>
    <w:link w:val="DocumentMapChar"/>
    <w:uiPriority w:val="99"/>
    <w:semiHidden/>
    <w:unhideWhenUsed/>
    <w:rsid w:val="000C67AE"/>
    <w:rPr>
      <w:rFonts w:ascii="Tahoma" w:hAnsi="Tahoma" w:cs="Tahoma"/>
      <w:sz w:val="16"/>
      <w:szCs w:val="16"/>
    </w:rPr>
  </w:style>
  <w:style w:type="character" w:customStyle="1" w:styleId="DocumentMapChar">
    <w:name w:val="Document Map Char"/>
    <w:basedOn w:val="DefaultParagraphFont"/>
    <w:link w:val="DocumentMap"/>
    <w:uiPriority w:val="99"/>
    <w:semiHidden/>
    <w:rsid w:val="000C67AE"/>
    <w:rPr>
      <w:rFonts w:ascii="Tahoma" w:hAnsi="Tahoma" w:cs="Tahoma"/>
      <w:sz w:val="16"/>
      <w:szCs w:val="16"/>
    </w:rPr>
  </w:style>
  <w:style w:type="paragraph" w:styleId="ListParagraph">
    <w:name w:val="List Paragraph"/>
    <w:basedOn w:val="Normal"/>
    <w:uiPriority w:val="34"/>
    <w:qFormat/>
    <w:rsid w:val="00934CD0"/>
    <w:pPr>
      <w:ind w:left="720"/>
      <w:contextualSpacing/>
    </w:pPr>
  </w:style>
  <w:style w:type="paragraph" w:styleId="NoSpacing">
    <w:name w:val="No Spacing"/>
    <w:uiPriority w:val="1"/>
    <w:qFormat/>
    <w:rsid w:val="002702B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rPr>
  </w:style>
  <w:style w:type="paragraph" w:styleId="Heading2">
    <w:name w:val="heading 2"/>
    <w:basedOn w:val="Normal"/>
    <w:next w:val="Normal"/>
    <w:link w:val="Heading2Char"/>
    <w:uiPriority w:val="9"/>
    <w:unhideWhenUsed/>
    <w:qFormat/>
    <w:rsid w:val="006A6949"/>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3B00BA"/>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3B00B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keepLines/>
      <w:tabs>
        <w:tab w:val="left" w:pos="360"/>
      </w:tabs>
      <w:spacing w:after="80"/>
      <w:ind w:left="360" w:hanging="360"/>
    </w:pPr>
    <w:rPr>
      <w:color w:val="000000"/>
      <w:sz w:val="22"/>
    </w:rPr>
  </w:style>
  <w:style w:type="paragraph" w:styleId="BodyTextIndent2">
    <w:name w:val="Body Text Indent 2"/>
    <w:basedOn w:val="Normal"/>
    <w:semiHidden/>
    <w:pPr>
      <w:keepLines/>
      <w:tabs>
        <w:tab w:val="left" w:pos="360"/>
      </w:tabs>
      <w:spacing w:after="80"/>
      <w:ind w:left="360"/>
    </w:pPr>
    <w:rPr>
      <w:color w:val="000000"/>
      <w:sz w:val="22"/>
    </w:rPr>
  </w:style>
  <w:style w:type="paragraph" w:styleId="BalloonText">
    <w:name w:val="Balloon Text"/>
    <w:basedOn w:val="Normal"/>
    <w:link w:val="BalloonTextChar"/>
    <w:uiPriority w:val="99"/>
    <w:semiHidden/>
    <w:unhideWhenUsed/>
    <w:rsid w:val="007E0075"/>
    <w:rPr>
      <w:rFonts w:ascii="Segoe UI" w:hAnsi="Segoe UI" w:cs="Segoe UI"/>
      <w:sz w:val="18"/>
      <w:szCs w:val="18"/>
    </w:rPr>
  </w:style>
  <w:style w:type="character" w:customStyle="1" w:styleId="BalloonTextChar">
    <w:name w:val="Balloon Text Char"/>
    <w:link w:val="BalloonText"/>
    <w:uiPriority w:val="99"/>
    <w:semiHidden/>
    <w:rsid w:val="007E0075"/>
    <w:rPr>
      <w:rFonts w:ascii="Segoe UI" w:hAnsi="Segoe UI" w:cs="Segoe UI"/>
      <w:sz w:val="18"/>
      <w:szCs w:val="18"/>
    </w:rPr>
  </w:style>
  <w:style w:type="character" w:styleId="Hyperlink">
    <w:name w:val="Hyperlink"/>
    <w:uiPriority w:val="99"/>
    <w:unhideWhenUsed/>
    <w:rsid w:val="006A6949"/>
    <w:rPr>
      <w:color w:val="0000FF"/>
      <w:u w:val="single"/>
    </w:rPr>
  </w:style>
  <w:style w:type="character" w:customStyle="1" w:styleId="Heading2Char">
    <w:name w:val="Heading 2 Char"/>
    <w:link w:val="Heading2"/>
    <w:uiPriority w:val="9"/>
    <w:rsid w:val="006A6949"/>
    <w:rPr>
      <w:rFonts w:ascii="Calibri Light" w:eastAsia="Times New Roman" w:hAnsi="Calibri Light" w:cs="Times New Roman"/>
      <w:b/>
      <w:bCs/>
      <w:i/>
      <w:iCs/>
      <w:sz w:val="28"/>
      <w:szCs w:val="28"/>
    </w:rPr>
  </w:style>
  <w:style w:type="paragraph" w:styleId="NormalWeb">
    <w:name w:val="Normal (Web)"/>
    <w:basedOn w:val="Normal"/>
    <w:uiPriority w:val="99"/>
    <w:semiHidden/>
    <w:unhideWhenUsed/>
    <w:rsid w:val="006A6949"/>
    <w:pPr>
      <w:spacing w:before="100" w:beforeAutospacing="1" w:after="100" w:afterAutospacing="1"/>
    </w:pPr>
  </w:style>
  <w:style w:type="character" w:customStyle="1" w:styleId="apple-converted-space">
    <w:name w:val="apple-converted-space"/>
    <w:rsid w:val="006A6949"/>
  </w:style>
  <w:style w:type="character" w:styleId="CommentReference">
    <w:name w:val="annotation reference"/>
    <w:uiPriority w:val="99"/>
    <w:semiHidden/>
    <w:unhideWhenUsed/>
    <w:rsid w:val="00696B16"/>
    <w:rPr>
      <w:sz w:val="16"/>
      <w:szCs w:val="16"/>
    </w:rPr>
  </w:style>
  <w:style w:type="paragraph" w:styleId="CommentText">
    <w:name w:val="annotation text"/>
    <w:basedOn w:val="Normal"/>
    <w:link w:val="CommentTextChar"/>
    <w:uiPriority w:val="99"/>
    <w:semiHidden/>
    <w:unhideWhenUsed/>
    <w:rsid w:val="00696B16"/>
    <w:rPr>
      <w:sz w:val="20"/>
      <w:szCs w:val="20"/>
    </w:rPr>
  </w:style>
  <w:style w:type="character" w:customStyle="1" w:styleId="CommentTextChar">
    <w:name w:val="Comment Text Char"/>
    <w:basedOn w:val="DefaultParagraphFont"/>
    <w:link w:val="CommentText"/>
    <w:uiPriority w:val="99"/>
    <w:semiHidden/>
    <w:rsid w:val="00696B16"/>
  </w:style>
  <w:style w:type="paragraph" w:styleId="CommentSubject">
    <w:name w:val="annotation subject"/>
    <w:basedOn w:val="CommentText"/>
    <w:next w:val="CommentText"/>
    <w:link w:val="CommentSubjectChar"/>
    <w:uiPriority w:val="99"/>
    <w:semiHidden/>
    <w:unhideWhenUsed/>
    <w:rsid w:val="00696B16"/>
    <w:rPr>
      <w:b/>
      <w:bCs/>
    </w:rPr>
  </w:style>
  <w:style w:type="character" w:customStyle="1" w:styleId="CommentSubjectChar">
    <w:name w:val="Comment Subject Char"/>
    <w:link w:val="CommentSubject"/>
    <w:uiPriority w:val="99"/>
    <w:semiHidden/>
    <w:rsid w:val="00696B16"/>
    <w:rPr>
      <w:b/>
      <w:bCs/>
    </w:rPr>
  </w:style>
  <w:style w:type="table" w:styleId="TableGrid">
    <w:name w:val="Table Grid"/>
    <w:basedOn w:val="TableNormal"/>
    <w:uiPriority w:val="59"/>
    <w:rsid w:val="00E8657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
    <w:name w:val="cita"/>
    <w:basedOn w:val="Normal"/>
    <w:rsid w:val="00062554"/>
    <w:pPr>
      <w:spacing w:before="100" w:beforeAutospacing="1" w:after="100" w:afterAutospacing="1"/>
    </w:pPr>
  </w:style>
  <w:style w:type="paragraph" w:customStyle="1" w:styleId="fp">
    <w:name w:val="fp"/>
    <w:basedOn w:val="Normal"/>
    <w:rsid w:val="00062554"/>
    <w:pPr>
      <w:spacing w:before="100" w:beforeAutospacing="1" w:after="100" w:afterAutospacing="1"/>
    </w:pPr>
  </w:style>
  <w:style w:type="character" w:customStyle="1" w:styleId="Heading4Char">
    <w:name w:val="Heading 4 Char"/>
    <w:link w:val="Heading4"/>
    <w:uiPriority w:val="9"/>
    <w:semiHidden/>
    <w:rsid w:val="003B00BA"/>
    <w:rPr>
      <w:rFonts w:ascii="Calibri" w:eastAsia="Times New Roman" w:hAnsi="Calibri" w:cs="Times New Roman"/>
      <w:b/>
      <w:bCs/>
      <w:sz w:val="28"/>
      <w:szCs w:val="28"/>
    </w:rPr>
  </w:style>
  <w:style w:type="paragraph" w:customStyle="1" w:styleId="statutory-body">
    <w:name w:val="statutory-body"/>
    <w:basedOn w:val="Normal"/>
    <w:rsid w:val="003B00BA"/>
    <w:pPr>
      <w:spacing w:before="100" w:beforeAutospacing="1" w:after="100" w:afterAutospacing="1"/>
    </w:pPr>
  </w:style>
  <w:style w:type="paragraph" w:customStyle="1" w:styleId="statutory-body-1em">
    <w:name w:val="statutory-body-1em"/>
    <w:basedOn w:val="Normal"/>
    <w:rsid w:val="003B00BA"/>
    <w:pPr>
      <w:spacing w:before="100" w:beforeAutospacing="1" w:after="100" w:afterAutospacing="1"/>
    </w:pPr>
  </w:style>
  <w:style w:type="character" w:customStyle="1" w:styleId="Heading3Char">
    <w:name w:val="Heading 3 Char"/>
    <w:link w:val="Heading3"/>
    <w:uiPriority w:val="9"/>
    <w:semiHidden/>
    <w:rsid w:val="003B00BA"/>
    <w:rPr>
      <w:rFonts w:ascii="Calibri Light" w:eastAsia="Times New Roman" w:hAnsi="Calibri Light" w:cs="Times New Roman"/>
      <w:b/>
      <w:bCs/>
      <w:sz w:val="26"/>
      <w:szCs w:val="26"/>
    </w:rPr>
  </w:style>
  <w:style w:type="paragraph" w:styleId="Revision">
    <w:name w:val="Revision"/>
    <w:hidden/>
    <w:uiPriority w:val="99"/>
    <w:semiHidden/>
    <w:rsid w:val="00425F2F"/>
    <w:rPr>
      <w:sz w:val="24"/>
      <w:szCs w:val="24"/>
    </w:rPr>
  </w:style>
  <w:style w:type="paragraph" w:styleId="Header">
    <w:name w:val="header"/>
    <w:basedOn w:val="Normal"/>
    <w:link w:val="HeaderChar"/>
    <w:uiPriority w:val="99"/>
    <w:unhideWhenUsed/>
    <w:rsid w:val="000D2DF6"/>
    <w:pPr>
      <w:tabs>
        <w:tab w:val="center" w:pos="4680"/>
        <w:tab w:val="right" w:pos="9360"/>
      </w:tabs>
    </w:pPr>
  </w:style>
  <w:style w:type="character" w:customStyle="1" w:styleId="HeaderChar">
    <w:name w:val="Header Char"/>
    <w:link w:val="Header"/>
    <w:uiPriority w:val="99"/>
    <w:rsid w:val="000D2DF6"/>
    <w:rPr>
      <w:sz w:val="24"/>
      <w:szCs w:val="24"/>
    </w:rPr>
  </w:style>
  <w:style w:type="paragraph" w:styleId="Footer">
    <w:name w:val="footer"/>
    <w:basedOn w:val="Normal"/>
    <w:link w:val="FooterChar"/>
    <w:uiPriority w:val="99"/>
    <w:unhideWhenUsed/>
    <w:rsid w:val="000D2DF6"/>
    <w:pPr>
      <w:tabs>
        <w:tab w:val="center" w:pos="4680"/>
        <w:tab w:val="right" w:pos="9360"/>
      </w:tabs>
    </w:pPr>
  </w:style>
  <w:style w:type="character" w:customStyle="1" w:styleId="FooterChar">
    <w:name w:val="Footer Char"/>
    <w:link w:val="Footer"/>
    <w:uiPriority w:val="99"/>
    <w:rsid w:val="000D2DF6"/>
    <w:rPr>
      <w:sz w:val="24"/>
      <w:szCs w:val="24"/>
    </w:rPr>
  </w:style>
  <w:style w:type="paragraph" w:styleId="DocumentMap">
    <w:name w:val="Document Map"/>
    <w:basedOn w:val="Normal"/>
    <w:link w:val="DocumentMapChar"/>
    <w:uiPriority w:val="99"/>
    <w:semiHidden/>
    <w:unhideWhenUsed/>
    <w:rsid w:val="000C67AE"/>
    <w:rPr>
      <w:rFonts w:ascii="Tahoma" w:hAnsi="Tahoma" w:cs="Tahoma"/>
      <w:sz w:val="16"/>
      <w:szCs w:val="16"/>
    </w:rPr>
  </w:style>
  <w:style w:type="character" w:customStyle="1" w:styleId="DocumentMapChar">
    <w:name w:val="Document Map Char"/>
    <w:basedOn w:val="DefaultParagraphFont"/>
    <w:link w:val="DocumentMap"/>
    <w:uiPriority w:val="99"/>
    <w:semiHidden/>
    <w:rsid w:val="000C67AE"/>
    <w:rPr>
      <w:rFonts w:ascii="Tahoma" w:hAnsi="Tahoma" w:cs="Tahoma"/>
      <w:sz w:val="16"/>
      <w:szCs w:val="16"/>
    </w:rPr>
  </w:style>
  <w:style w:type="paragraph" w:styleId="ListParagraph">
    <w:name w:val="List Paragraph"/>
    <w:basedOn w:val="Normal"/>
    <w:uiPriority w:val="34"/>
    <w:qFormat/>
    <w:rsid w:val="00934CD0"/>
    <w:pPr>
      <w:ind w:left="720"/>
      <w:contextualSpacing/>
    </w:pPr>
  </w:style>
  <w:style w:type="paragraph" w:styleId="NoSpacing">
    <w:name w:val="No Spacing"/>
    <w:uiPriority w:val="1"/>
    <w:qFormat/>
    <w:rsid w:val="002702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93180">
      <w:bodyDiv w:val="1"/>
      <w:marLeft w:val="0"/>
      <w:marRight w:val="0"/>
      <w:marTop w:val="0"/>
      <w:marBottom w:val="0"/>
      <w:divBdr>
        <w:top w:val="none" w:sz="0" w:space="0" w:color="auto"/>
        <w:left w:val="none" w:sz="0" w:space="0" w:color="auto"/>
        <w:bottom w:val="none" w:sz="0" w:space="0" w:color="auto"/>
        <w:right w:val="none" w:sz="0" w:space="0" w:color="auto"/>
      </w:divBdr>
    </w:div>
    <w:div w:id="453867954">
      <w:bodyDiv w:val="1"/>
      <w:marLeft w:val="0"/>
      <w:marRight w:val="0"/>
      <w:marTop w:val="0"/>
      <w:marBottom w:val="0"/>
      <w:divBdr>
        <w:top w:val="none" w:sz="0" w:space="0" w:color="auto"/>
        <w:left w:val="none" w:sz="0" w:space="0" w:color="auto"/>
        <w:bottom w:val="none" w:sz="0" w:space="0" w:color="auto"/>
        <w:right w:val="none" w:sz="0" w:space="0" w:color="auto"/>
      </w:divBdr>
    </w:div>
    <w:div w:id="718359741">
      <w:bodyDiv w:val="1"/>
      <w:marLeft w:val="0"/>
      <w:marRight w:val="0"/>
      <w:marTop w:val="0"/>
      <w:marBottom w:val="0"/>
      <w:divBdr>
        <w:top w:val="none" w:sz="0" w:space="0" w:color="auto"/>
        <w:left w:val="none" w:sz="0" w:space="0" w:color="auto"/>
        <w:bottom w:val="none" w:sz="0" w:space="0" w:color="auto"/>
        <w:right w:val="none" w:sz="0" w:space="0" w:color="auto"/>
      </w:divBdr>
    </w:div>
    <w:div w:id="854538458">
      <w:bodyDiv w:val="1"/>
      <w:marLeft w:val="0"/>
      <w:marRight w:val="0"/>
      <w:marTop w:val="0"/>
      <w:marBottom w:val="0"/>
      <w:divBdr>
        <w:top w:val="none" w:sz="0" w:space="0" w:color="auto"/>
        <w:left w:val="none" w:sz="0" w:space="0" w:color="auto"/>
        <w:bottom w:val="none" w:sz="0" w:space="0" w:color="auto"/>
        <w:right w:val="none" w:sz="0" w:space="0" w:color="auto"/>
      </w:divBdr>
    </w:div>
    <w:div w:id="1094470642">
      <w:bodyDiv w:val="1"/>
      <w:marLeft w:val="0"/>
      <w:marRight w:val="0"/>
      <w:marTop w:val="0"/>
      <w:marBottom w:val="0"/>
      <w:divBdr>
        <w:top w:val="none" w:sz="0" w:space="0" w:color="auto"/>
        <w:left w:val="none" w:sz="0" w:space="0" w:color="auto"/>
        <w:bottom w:val="none" w:sz="0" w:space="0" w:color="auto"/>
        <w:right w:val="none" w:sz="0" w:space="0" w:color="auto"/>
      </w:divBdr>
    </w:div>
    <w:div w:id="1132670037">
      <w:bodyDiv w:val="1"/>
      <w:marLeft w:val="0"/>
      <w:marRight w:val="0"/>
      <w:marTop w:val="0"/>
      <w:marBottom w:val="0"/>
      <w:divBdr>
        <w:top w:val="none" w:sz="0" w:space="0" w:color="auto"/>
        <w:left w:val="none" w:sz="0" w:space="0" w:color="auto"/>
        <w:bottom w:val="none" w:sz="0" w:space="0" w:color="auto"/>
        <w:right w:val="none" w:sz="0" w:space="0" w:color="auto"/>
      </w:divBdr>
    </w:div>
    <w:div w:id="1428889792">
      <w:bodyDiv w:val="1"/>
      <w:marLeft w:val="0"/>
      <w:marRight w:val="0"/>
      <w:marTop w:val="0"/>
      <w:marBottom w:val="0"/>
      <w:divBdr>
        <w:top w:val="none" w:sz="0" w:space="0" w:color="auto"/>
        <w:left w:val="none" w:sz="0" w:space="0" w:color="auto"/>
        <w:bottom w:val="none" w:sz="0" w:space="0" w:color="auto"/>
        <w:right w:val="none" w:sz="0" w:space="0" w:color="auto"/>
      </w:divBdr>
    </w:div>
    <w:div w:id="190005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129AA-2B47-406B-A9AF-34EB906A67D1}">
  <ds:schemaRefs>
    <ds:schemaRef ds:uri="http://schemas.microsoft.com/office/2006/metadata/longProperties"/>
  </ds:schemaRefs>
</ds:datastoreItem>
</file>

<file path=customXml/itemProps2.xml><?xml version="1.0" encoding="utf-8"?>
<ds:datastoreItem xmlns:ds="http://schemas.openxmlformats.org/officeDocument/2006/customXml" ds:itemID="{D7032957-6427-46E7-86AB-442F41AD7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4595</Words>
  <Characters>26196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2017-11-09T16:16:00Z</dcterms:created>
  <dcterms:modified xsi:type="dcterms:W3CDTF">2017-11-09T16:16:00Z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