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14" w:rsidRDefault="008B3414" w:rsidP="008B3414">
      <w:pPr>
        <w:pStyle w:val="Title"/>
        <w:rPr>
          <w:rFonts w:ascii="Arial" w:hAnsi="Arial" w:cs="Arial"/>
          <w:sz w:val="24"/>
          <w:szCs w:val="24"/>
        </w:rPr>
      </w:pPr>
      <w:bookmarkStart w:id="0" w:name="_GoBack"/>
      <w:bookmarkEnd w:id="0"/>
      <w:r w:rsidRPr="009B7DF3">
        <w:rPr>
          <w:rFonts w:ascii="Arial" w:hAnsi="Arial" w:cs="Arial"/>
          <w:sz w:val="24"/>
          <w:szCs w:val="24"/>
        </w:rPr>
        <w:t>INFORMATION COLLECTION SUPPORTING STATEMENT</w:t>
      </w:r>
    </w:p>
    <w:p w:rsidR="00FB379F" w:rsidRPr="009B7DF3" w:rsidRDefault="00FB379F" w:rsidP="008B3414">
      <w:pPr>
        <w:pStyle w:val="Title"/>
        <w:rPr>
          <w:rFonts w:ascii="Arial" w:hAnsi="Arial" w:cs="Arial"/>
          <w:sz w:val="24"/>
          <w:szCs w:val="24"/>
        </w:rPr>
      </w:pPr>
      <w:r>
        <w:rPr>
          <w:rFonts w:ascii="Arial" w:hAnsi="Arial" w:cs="Arial"/>
          <w:sz w:val="24"/>
          <w:szCs w:val="24"/>
        </w:rPr>
        <w:t>To Extend Without Change</w:t>
      </w:r>
    </w:p>
    <w:p w:rsidR="008B3414" w:rsidRPr="009B7DF3" w:rsidRDefault="008B3414" w:rsidP="008B3414">
      <w:pPr>
        <w:jc w:val="center"/>
        <w:rPr>
          <w:rFonts w:ascii="Arial" w:hAnsi="Arial" w:cs="Arial"/>
          <w:b/>
          <w:sz w:val="24"/>
          <w:szCs w:val="24"/>
        </w:rPr>
      </w:pPr>
      <w:r w:rsidRPr="009B7DF3">
        <w:rPr>
          <w:rFonts w:ascii="Arial" w:hAnsi="Arial" w:cs="Arial"/>
          <w:b/>
          <w:sz w:val="24"/>
          <w:szCs w:val="24"/>
        </w:rPr>
        <w:t>Safe Disposition of Life-Limited Aircraft Parts</w:t>
      </w:r>
    </w:p>
    <w:p w:rsidR="008B3414" w:rsidRPr="009B7DF3" w:rsidRDefault="008B3414" w:rsidP="008B3414">
      <w:pPr>
        <w:pStyle w:val="Header"/>
        <w:jc w:val="center"/>
        <w:rPr>
          <w:rFonts w:ascii="Arial" w:hAnsi="Arial" w:cs="Arial"/>
          <w:b/>
          <w:sz w:val="24"/>
          <w:szCs w:val="24"/>
        </w:rPr>
      </w:pPr>
      <w:r w:rsidRPr="009B7DF3">
        <w:rPr>
          <w:rFonts w:ascii="Arial" w:hAnsi="Arial" w:cs="Arial"/>
          <w:b/>
          <w:sz w:val="24"/>
          <w:szCs w:val="24"/>
        </w:rPr>
        <w:t>2120-0665</w:t>
      </w:r>
    </w:p>
    <w:p w:rsidR="000C5E11" w:rsidRPr="009B7DF3" w:rsidRDefault="000C5E11" w:rsidP="000C5E11">
      <w:pPr>
        <w:pStyle w:val="Title"/>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000C5E11" w:rsidRPr="009B7DF3" w:rsidRDefault="000C5E11" w:rsidP="000C5E11">
      <w:pPr>
        <w:numPr>
          <w:ilvl w:val="12"/>
          <w:numId w:val="0"/>
        </w:numPr>
        <w:ind w:left="360"/>
        <w:rPr>
          <w:rFonts w:ascii="Arial" w:hAnsi="Arial" w:cs="Arial"/>
          <w:sz w:val="24"/>
          <w:szCs w:val="24"/>
        </w:rPr>
      </w:pPr>
    </w:p>
    <w:p w:rsidR="00A1091D" w:rsidRPr="009B7DF3" w:rsidRDefault="000C5E11" w:rsidP="000C5E11">
      <w:pPr>
        <w:ind w:left="360"/>
        <w:rPr>
          <w:rFonts w:ascii="Arial" w:hAnsi="Arial" w:cs="Arial"/>
          <w:sz w:val="24"/>
          <w:szCs w:val="24"/>
        </w:rPr>
      </w:pPr>
      <w:r w:rsidRPr="009B7DF3">
        <w:rPr>
          <w:rFonts w:ascii="Arial" w:hAnsi="Arial" w:cs="Arial"/>
          <w:sz w:val="24"/>
          <w:szCs w:val="24"/>
          <w:u w:val="single"/>
        </w:rPr>
        <w:t>14 CFR Parts 43 and 45</w:t>
      </w:r>
      <w:r w:rsidRPr="009B7DF3">
        <w:rPr>
          <w:rFonts w:ascii="Arial" w:hAnsi="Arial" w:cs="Arial"/>
          <w:sz w:val="24"/>
          <w:szCs w:val="24"/>
        </w:rPr>
        <w:t>.  The FAA has found life-limited parts that exceeded their operating limitations installed on aircraft through accident investigations, Suspected Unapproved Parts reports and routine su</w:t>
      </w:r>
      <w:r w:rsidR="000603BB" w:rsidRPr="009B7DF3">
        <w:rPr>
          <w:rFonts w:ascii="Arial" w:hAnsi="Arial" w:cs="Arial"/>
          <w:sz w:val="24"/>
          <w:szCs w:val="24"/>
        </w:rPr>
        <w:t xml:space="preserve">rveillance activities.  This </w:t>
      </w:r>
      <w:r w:rsidRPr="009B7DF3">
        <w:rPr>
          <w:rFonts w:ascii="Arial" w:hAnsi="Arial" w:cs="Arial"/>
          <w:sz w:val="24"/>
          <w:szCs w:val="24"/>
        </w:rPr>
        <w:t>regulation ensures positive control and safe disposition of all life-limited parts until they are mutilated or destroyed</w:t>
      </w:r>
      <w:r w:rsidR="00973631" w:rsidRPr="009B7DF3">
        <w:rPr>
          <w:rFonts w:ascii="Arial" w:hAnsi="Arial" w:cs="Arial"/>
          <w:sz w:val="24"/>
          <w:szCs w:val="24"/>
        </w:rPr>
        <w:t>,</w:t>
      </w:r>
      <w:r w:rsidRPr="009B7DF3">
        <w:rPr>
          <w:rFonts w:ascii="Arial" w:hAnsi="Arial" w:cs="Arial"/>
          <w:sz w:val="24"/>
          <w:szCs w:val="24"/>
        </w:rPr>
        <w:t xml:space="preserve"> after </w:t>
      </w:r>
      <w:r w:rsidR="00973631" w:rsidRPr="009B7DF3">
        <w:rPr>
          <w:rFonts w:ascii="Arial" w:hAnsi="Arial" w:cs="Arial"/>
          <w:sz w:val="24"/>
          <w:szCs w:val="24"/>
        </w:rPr>
        <w:t xml:space="preserve">having </w:t>
      </w:r>
      <w:r w:rsidRPr="009B7DF3">
        <w:rPr>
          <w:rFonts w:ascii="Arial" w:hAnsi="Arial" w:cs="Arial"/>
          <w:sz w:val="24"/>
          <w:szCs w:val="24"/>
        </w:rPr>
        <w:t>reached their mandatory operating life limits</w:t>
      </w:r>
      <w:r w:rsidR="00973631" w:rsidRPr="009B7DF3">
        <w:rPr>
          <w:rFonts w:ascii="Arial" w:hAnsi="Arial" w:cs="Arial"/>
          <w:sz w:val="24"/>
          <w:szCs w:val="24"/>
        </w:rPr>
        <w:t>,</w:t>
      </w:r>
      <w:r w:rsidRPr="009B7DF3">
        <w:rPr>
          <w:rFonts w:ascii="Arial" w:hAnsi="Arial" w:cs="Arial"/>
          <w:sz w:val="24"/>
          <w:szCs w:val="24"/>
        </w:rPr>
        <w:t xml:space="preserve"> by preventing them from being accidentally installed.  This regulation requires that records be maintained showing the current status of the part regardless of time remaining</w:t>
      </w:r>
      <w:r w:rsidR="00424083" w:rsidRPr="009B7DF3">
        <w:rPr>
          <w:rFonts w:ascii="Arial" w:hAnsi="Arial" w:cs="Arial"/>
          <w:sz w:val="24"/>
          <w:szCs w:val="24"/>
        </w:rPr>
        <w:t>,</w:t>
      </w:r>
      <w:r w:rsidRPr="009B7DF3">
        <w:rPr>
          <w:rFonts w:ascii="Arial" w:hAnsi="Arial" w:cs="Arial"/>
          <w:sz w:val="24"/>
          <w:szCs w:val="24"/>
        </w:rPr>
        <w:t xml:space="preserve"> if any.  This collection of information supports the Department of Transportation’s strategic goal on safety.</w:t>
      </w:r>
    </w:p>
    <w:p w:rsidR="00A1091D" w:rsidRPr="009B7DF3" w:rsidRDefault="00A1091D" w:rsidP="000C5E11">
      <w:pPr>
        <w:ind w:left="360"/>
        <w:rPr>
          <w:rFonts w:ascii="Arial" w:hAnsi="Arial" w:cs="Arial"/>
          <w:sz w:val="24"/>
          <w:szCs w:val="24"/>
        </w:rPr>
      </w:pPr>
    </w:p>
    <w:p w:rsidR="00A1091D" w:rsidRPr="009B7DF3" w:rsidRDefault="00A1091D" w:rsidP="00A1091D">
      <w:pPr>
        <w:ind w:left="360"/>
        <w:rPr>
          <w:rFonts w:ascii="Arial" w:hAnsi="Arial" w:cs="Arial"/>
          <w:b/>
          <w:sz w:val="24"/>
          <w:szCs w:val="24"/>
        </w:rPr>
      </w:pPr>
      <w:r w:rsidRPr="009B7DF3">
        <w:rPr>
          <w:rFonts w:ascii="Arial" w:hAnsi="Arial" w:cs="Arial"/>
          <w:sz w:val="24"/>
          <w:szCs w:val="24"/>
        </w:rPr>
        <w:t>This data collection applies to maintenance provider</w:t>
      </w:r>
      <w:r w:rsidR="000A5654" w:rsidRPr="009B7DF3">
        <w:rPr>
          <w:rFonts w:ascii="Arial" w:hAnsi="Arial" w:cs="Arial"/>
          <w:sz w:val="24"/>
          <w:szCs w:val="24"/>
        </w:rPr>
        <w:t>s</w:t>
      </w:r>
      <w:r w:rsidRPr="009B7DF3">
        <w:rPr>
          <w:rFonts w:ascii="Arial" w:hAnsi="Arial" w:cs="Arial"/>
          <w:sz w:val="24"/>
          <w:szCs w:val="24"/>
        </w:rPr>
        <w:t xml:space="preserve"> authorized to perform maintenance, preventive maintenance, rebuilding, and alterations in accordance with 14 CFR </w:t>
      </w:r>
      <w:r w:rsidR="00876124" w:rsidRPr="009B7DF3">
        <w:rPr>
          <w:rFonts w:ascii="Arial" w:hAnsi="Arial" w:cs="Arial"/>
          <w:sz w:val="24"/>
          <w:szCs w:val="24"/>
        </w:rPr>
        <w:t>Part</w:t>
      </w:r>
      <w:r w:rsidRPr="009B7DF3">
        <w:rPr>
          <w:rFonts w:ascii="Arial" w:hAnsi="Arial" w:cs="Arial"/>
          <w:sz w:val="24"/>
          <w:szCs w:val="24"/>
        </w:rPr>
        <w:t xml:space="preserve"> 43.3. This section includes certificate</w:t>
      </w:r>
      <w:r w:rsidR="00E57E57" w:rsidRPr="009B7DF3">
        <w:rPr>
          <w:rFonts w:ascii="Arial" w:hAnsi="Arial" w:cs="Arial"/>
          <w:sz w:val="24"/>
          <w:szCs w:val="24"/>
        </w:rPr>
        <w:t>d</w:t>
      </w:r>
      <w:r w:rsidRPr="009B7DF3">
        <w:rPr>
          <w:rFonts w:ascii="Arial" w:hAnsi="Arial" w:cs="Arial"/>
          <w:sz w:val="24"/>
          <w:szCs w:val="24"/>
        </w:rPr>
        <w:t xml:space="preserve"> mechanics, certificated repairman; pilots certificated under 14 CFR </w:t>
      </w:r>
      <w:r w:rsidR="00876124" w:rsidRPr="009B7DF3">
        <w:rPr>
          <w:rFonts w:ascii="Arial" w:hAnsi="Arial" w:cs="Arial"/>
          <w:sz w:val="24"/>
          <w:szCs w:val="24"/>
        </w:rPr>
        <w:t>P</w:t>
      </w:r>
      <w:r w:rsidRPr="009B7DF3">
        <w:rPr>
          <w:rFonts w:ascii="Arial" w:hAnsi="Arial" w:cs="Arial"/>
          <w:sz w:val="24"/>
          <w:szCs w:val="24"/>
        </w:rPr>
        <w:t>art 61, repair stations, air carr</w:t>
      </w:r>
      <w:r w:rsidR="00876124" w:rsidRPr="009B7DF3">
        <w:rPr>
          <w:rFonts w:ascii="Arial" w:hAnsi="Arial" w:cs="Arial"/>
          <w:sz w:val="24"/>
          <w:szCs w:val="24"/>
        </w:rPr>
        <w:t>iers certificated under 14 CFR P</w:t>
      </w:r>
      <w:r w:rsidRPr="009B7DF3">
        <w:rPr>
          <w:rFonts w:ascii="Arial" w:hAnsi="Arial" w:cs="Arial"/>
          <w:sz w:val="24"/>
          <w:szCs w:val="24"/>
        </w:rPr>
        <w:t>arts 121 and 135 with approved maintenance program</w:t>
      </w:r>
      <w:r w:rsidR="000A5654" w:rsidRPr="009B7DF3">
        <w:rPr>
          <w:rFonts w:ascii="Arial" w:hAnsi="Arial" w:cs="Arial"/>
          <w:sz w:val="24"/>
          <w:szCs w:val="24"/>
        </w:rPr>
        <w:t>s</w:t>
      </w:r>
      <w:r w:rsidRPr="009B7DF3">
        <w:rPr>
          <w:rFonts w:ascii="Arial" w:hAnsi="Arial" w:cs="Arial"/>
          <w:sz w:val="24"/>
          <w:szCs w:val="24"/>
        </w:rPr>
        <w:t xml:space="preserve"> and manufacturers performing inspection</w:t>
      </w:r>
      <w:r w:rsidR="00E57E57" w:rsidRPr="009B7DF3">
        <w:rPr>
          <w:rFonts w:ascii="Arial" w:hAnsi="Arial" w:cs="Arial"/>
          <w:sz w:val="24"/>
          <w:szCs w:val="24"/>
        </w:rPr>
        <w:t>s</w:t>
      </w:r>
      <w:r w:rsidRPr="009B7DF3">
        <w:rPr>
          <w:rFonts w:ascii="Arial" w:hAnsi="Arial" w:cs="Arial"/>
          <w:sz w:val="24"/>
          <w:szCs w:val="24"/>
        </w:rPr>
        <w:t xml:space="preserve"> or alterations for operators conducting operations in accordance with 14 CFR </w:t>
      </w:r>
      <w:r w:rsidR="00876124" w:rsidRPr="009B7DF3">
        <w:rPr>
          <w:rFonts w:ascii="Arial" w:hAnsi="Arial" w:cs="Arial"/>
          <w:sz w:val="24"/>
          <w:szCs w:val="24"/>
        </w:rPr>
        <w:t>P</w:t>
      </w:r>
      <w:r w:rsidRPr="009B7DF3">
        <w:rPr>
          <w:rFonts w:ascii="Arial" w:hAnsi="Arial" w:cs="Arial"/>
          <w:sz w:val="24"/>
          <w:szCs w:val="24"/>
        </w:rPr>
        <w:t>arts 91 and 125.</w:t>
      </w:r>
    </w:p>
    <w:p w:rsidR="000C5E11" w:rsidRPr="009B7DF3" w:rsidRDefault="000C5E11" w:rsidP="00A1091D">
      <w:pPr>
        <w:ind w:left="360"/>
        <w:rPr>
          <w:rFonts w:ascii="Arial" w:hAnsi="Arial" w:cs="Arial"/>
          <w:sz w:val="24"/>
          <w:szCs w:val="24"/>
        </w:rPr>
      </w:pPr>
      <w:r w:rsidRPr="009B7DF3">
        <w:rPr>
          <w:rFonts w:ascii="Arial" w:hAnsi="Arial" w:cs="Arial"/>
          <w:sz w:val="24"/>
          <w:szCs w:val="24"/>
        </w:rPr>
        <w:t xml:space="preserve">     </w:t>
      </w:r>
    </w:p>
    <w:p w:rsidR="000C5E11" w:rsidRPr="009B7DF3" w:rsidRDefault="000C5E11" w:rsidP="000C5E11">
      <w:pPr>
        <w:ind w:left="360"/>
        <w:rPr>
          <w:rFonts w:ascii="Arial" w:hAnsi="Arial" w:cs="Arial"/>
          <w:sz w:val="24"/>
          <w:szCs w:val="24"/>
        </w:rPr>
      </w:pPr>
      <w:r w:rsidRPr="009B7DF3">
        <w:rPr>
          <w:rFonts w:ascii="Arial" w:hAnsi="Arial" w:cs="Arial"/>
          <w:sz w:val="24"/>
          <w:szCs w:val="24"/>
          <w:u w:val="single"/>
        </w:rPr>
        <w:t>49 U.S.C. Section 40113(a)</w:t>
      </w:r>
      <w:r w:rsidRPr="009B7DF3">
        <w:rPr>
          <w:rFonts w:ascii="Arial" w:hAnsi="Arial" w:cs="Arial"/>
          <w:sz w:val="24"/>
          <w:szCs w:val="24"/>
        </w:rPr>
        <w:t xml:space="preserve"> empowers the Administrator of the Federal Aviation Administration to issue such regulations as he/she shall deem necessary to carry out the provisions of the Act.</w:t>
      </w:r>
    </w:p>
    <w:p w:rsidR="000C5E11" w:rsidRPr="009B7DF3" w:rsidRDefault="000C5E11" w:rsidP="000C5E11">
      <w:pPr>
        <w:pStyle w:val="IndexHeading"/>
        <w:keepNext w:val="0"/>
        <w:tabs>
          <w:tab w:val="left" w:pos="360"/>
        </w:tabs>
        <w:spacing w:line="240" w:lineRule="auto"/>
        <w:rPr>
          <w:rFonts w:ascii="Arial" w:hAnsi="Arial" w:cs="Arial"/>
          <w:spacing w:val="0"/>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5C7CD4" w:rsidRPr="009B7DF3" w:rsidRDefault="005C7CD4" w:rsidP="005C7CD4">
      <w:pPr>
        <w:rPr>
          <w:rFonts w:ascii="Arial" w:hAnsi="Arial" w:cs="Arial"/>
          <w:sz w:val="24"/>
          <w:szCs w:val="24"/>
        </w:rPr>
      </w:pPr>
    </w:p>
    <w:p w:rsidR="000C5E11" w:rsidRPr="009B7DF3" w:rsidRDefault="005C7CD4" w:rsidP="005C7CD4">
      <w:pPr>
        <w:ind w:left="450"/>
        <w:rPr>
          <w:rFonts w:ascii="Arial" w:hAnsi="Arial" w:cs="Arial"/>
          <w:sz w:val="24"/>
          <w:szCs w:val="24"/>
        </w:rPr>
      </w:pPr>
      <w:r w:rsidRPr="009B7DF3">
        <w:rPr>
          <w:rFonts w:ascii="Arial" w:hAnsi="Arial" w:cs="Arial"/>
          <w:sz w:val="24"/>
          <w:szCs w:val="24"/>
        </w:rPr>
        <w:t>This collection</w:t>
      </w:r>
      <w:r w:rsidR="00536F3B" w:rsidRPr="009B7DF3">
        <w:rPr>
          <w:rFonts w:ascii="Arial" w:hAnsi="Arial" w:cs="Arial"/>
          <w:sz w:val="24"/>
          <w:szCs w:val="24"/>
        </w:rPr>
        <w:t xml:space="preserve"> requires a record</w:t>
      </w:r>
      <w:r w:rsidR="000C5E11" w:rsidRPr="009B7DF3">
        <w:rPr>
          <w:rFonts w:ascii="Arial" w:hAnsi="Arial" w:cs="Arial"/>
          <w:sz w:val="24"/>
          <w:szCs w:val="24"/>
        </w:rPr>
        <w:t>keeping system to be maintained that will aid aircraft operators in determining the status of the life-limited parts</w:t>
      </w:r>
      <w:r w:rsidR="00536F3B" w:rsidRPr="009B7DF3">
        <w:rPr>
          <w:rFonts w:ascii="Arial" w:hAnsi="Arial" w:cs="Arial"/>
          <w:sz w:val="24"/>
          <w:szCs w:val="24"/>
        </w:rPr>
        <w:t xml:space="preserve">, </w:t>
      </w:r>
      <w:r w:rsidR="00AB77B4" w:rsidRPr="009B7DF3">
        <w:rPr>
          <w:rFonts w:ascii="Arial" w:hAnsi="Arial" w:cs="Arial"/>
          <w:sz w:val="24"/>
          <w:szCs w:val="24"/>
        </w:rPr>
        <w:t xml:space="preserve">so </w:t>
      </w:r>
      <w:r w:rsidR="00536F3B" w:rsidRPr="009B7DF3">
        <w:rPr>
          <w:rFonts w:ascii="Arial" w:hAnsi="Arial" w:cs="Arial"/>
          <w:sz w:val="24"/>
          <w:szCs w:val="24"/>
        </w:rPr>
        <w:t>those</w:t>
      </w:r>
      <w:r w:rsidR="000C5E11" w:rsidRPr="009B7DF3">
        <w:rPr>
          <w:rFonts w:ascii="Arial" w:hAnsi="Arial" w:cs="Arial"/>
          <w:sz w:val="24"/>
          <w:szCs w:val="24"/>
        </w:rPr>
        <w:t xml:space="preserve"> </w:t>
      </w:r>
      <w:r w:rsidR="00536F3B" w:rsidRPr="009B7DF3">
        <w:rPr>
          <w:rFonts w:ascii="Arial" w:hAnsi="Arial" w:cs="Arial"/>
          <w:sz w:val="24"/>
          <w:szCs w:val="24"/>
        </w:rPr>
        <w:t xml:space="preserve">that have reached their life limit </w:t>
      </w:r>
      <w:r w:rsidR="00AB77B4" w:rsidRPr="009B7DF3">
        <w:rPr>
          <w:rFonts w:ascii="Arial" w:hAnsi="Arial" w:cs="Arial"/>
          <w:sz w:val="24"/>
          <w:szCs w:val="24"/>
        </w:rPr>
        <w:t xml:space="preserve">will not be </w:t>
      </w:r>
      <w:r w:rsidR="000C5E11" w:rsidRPr="009B7DF3">
        <w:rPr>
          <w:rFonts w:ascii="Arial" w:hAnsi="Arial" w:cs="Arial"/>
          <w:sz w:val="24"/>
          <w:szCs w:val="24"/>
        </w:rPr>
        <w:t>inadvertently installed.</w:t>
      </w:r>
      <w:r w:rsidRPr="009B7DF3">
        <w:rPr>
          <w:rFonts w:ascii="Arial" w:hAnsi="Arial" w:cs="Arial"/>
          <w:sz w:val="24"/>
          <w:szCs w:val="24"/>
        </w:rPr>
        <w:t xml:space="preserve">  This collection affects </w:t>
      </w:r>
      <w:r w:rsidRPr="009B7DF3">
        <w:rPr>
          <w:rFonts w:ascii="Arial" w:eastAsia="Calibri" w:hAnsi="Arial" w:cs="Arial"/>
          <w:sz w:val="24"/>
          <w:szCs w:val="24"/>
        </w:rPr>
        <w:t xml:space="preserve">owners, operators, repairman and service providers for aviation/aircraft airframes, engine, propellers, and appliances.   Persons performing the removal or installation of the parts and operators of the aircraft must keep a record.  </w:t>
      </w:r>
      <w:r w:rsidR="000603BB" w:rsidRPr="009B7DF3">
        <w:rPr>
          <w:rFonts w:ascii="Arial" w:eastAsia="Calibri" w:hAnsi="Arial" w:cs="Arial"/>
          <w:sz w:val="24"/>
          <w:szCs w:val="24"/>
        </w:rPr>
        <w:t>This collection requires r</w:t>
      </w:r>
      <w:r w:rsidRPr="009B7DF3">
        <w:rPr>
          <w:rFonts w:ascii="Arial" w:eastAsia="Calibri" w:hAnsi="Arial" w:cs="Arial"/>
          <w:sz w:val="24"/>
          <w:szCs w:val="24"/>
        </w:rPr>
        <w:t xml:space="preserve">ecordkeeping and or </w:t>
      </w:r>
      <w:r w:rsidRPr="009B7DF3">
        <w:rPr>
          <w:rFonts w:ascii="Arial" w:eastAsia="Calibri" w:hAnsi="Arial" w:cs="Arial"/>
          <w:sz w:val="24"/>
          <w:szCs w:val="24"/>
        </w:rPr>
        <w:lastRenderedPageBreak/>
        <w:t>disclosure of the disposition of parts removed or installed on type certificated products or deterrence of installation on type certificated products.</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5E11" w:rsidRPr="009B7DF3" w:rsidRDefault="000C5E11" w:rsidP="000C5E11">
      <w:pPr>
        <w:numPr>
          <w:ilvl w:val="12"/>
          <w:numId w:val="0"/>
        </w:numPr>
        <w:ind w:left="360"/>
        <w:rPr>
          <w:rFonts w:ascii="Arial" w:hAnsi="Arial" w:cs="Arial"/>
          <w:sz w:val="24"/>
          <w:szCs w:val="24"/>
        </w:rPr>
      </w:pPr>
    </w:p>
    <w:p w:rsidR="000C5E11" w:rsidRPr="009B7DF3" w:rsidRDefault="009B7DF3" w:rsidP="000C5E11">
      <w:pPr>
        <w:numPr>
          <w:ilvl w:val="12"/>
          <w:numId w:val="0"/>
        </w:numPr>
        <w:ind w:left="360"/>
        <w:rPr>
          <w:rFonts w:ascii="Arial" w:hAnsi="Arial" w:cs="Arial"/>
          <w:sz w:val="24"/>
          <w:szCs w:val="24"/>
        </w:rPr>
      </w:pPr>
      <w:r w:rsidRPr="009B7DF3">
        <w:rPr>
          <w:rFonts w:ascii="Arial" w:hAnsi="Arial" w:cs="Arial"/>
          <w:sz w:val="24"/>
          <w:szCs w:val="24"/>
        </w:rPr>
        <w:t>This collection</w:t>
      </w:r>
      <w:r w:rsidR="000C5E11" w:rsidRPr="009B7DF3">
        <w:rPr>
          <w:rFonts w:ascii="Arial" w:hAnsi="Arial" w:cs="Arial"/>
          <w:sz w:val="24"/>
          <w:szCs w:val="24"/>
        </w:rPr>
        <w:t xml:space="preserve"> permi</w:t>
      </w:r>
      <w:r w:rsidR="00557156" w:rsidRPr="009B7DF3">
        <w:rPr>
          <w:rFonts w:ascii="Arial" w:hAnsi="Arial" w:cs="Arial"/>
          <w:sz w:val="24"/>
          <w:szCs w:val="24"/>
        </w:rPr>
        <w:t>ts the use of electronic record</w:t>
      </w:r>
      <w:r w:rsidR="000C5E11" w:rsidRPr="009B7DF3">
        <w:rPr>
          <w:rFonts w:ascii="Arial" w:hAnsi="Arial" w:cs="Arial"/>
          <w:sz w:val="24"/>
          <w:szCs w:val="24"/>
        </w:rPr>
        <w:t>keeping for tracking of documents. In compliance with the Government Paperwork Elimination Act</w:t>
      </w:r>
      <w:r w:rsidR="00557156" w:rsidRPr="009B7DF3">
        <w:rPr>
          <w:rFonts w:ascii="Arial" w:hAnsi="Arial" w:cs="Arial"/>
          <w:sz w:val="24"/>
          <w:szCs w:val="24"/>
        </w:rPr>
        <w:t xml:space="preserve"> (GPEA), electronic record</w:t>
      </w:r>
      <w:r w:rsidR="000C5E11" w:rsidRPr="009B7DF3">
        <w:rPr>
          <w:rFonts w:ascii="Arial" w:hAnsi="Arial" w:cs="Arial"/>
          <w:sz w:val="24"/>
          <w:szCs w:val="24"/>
        </w:rPr>
        <w:t>keeping is available and is presently utilized by most aircraft o</w:t>
      </w:r>
      <w:r w:rsidR="008D6D0D" w:rsidRPr="009B7DF3">
        <w:rPr>
          <w:rFonts w:ascii="Arial" w:hAnsi="Arial" w:cs="Arial"/>
          <w:sz w:val="24"/>
          <w:szCs w:val="24"/>
        </w:rPr>
        <w:t>perators and repair facilities.  The electronic recordkeeping burden makes up 70% of the burden associated with this collection.</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 xml:space="preserve">This information collection is not a duplication of other reporting.  No other Federal Agency requires this </w:t>
      </w:r>
      <w:r w:rsidR="00C656FF" w:rsidRPr="009B7DF3">
        <w:rPr>
          <w:rFonts w:ascii="Arial" w:hAnsi="Arial" w:cs="Arial"/>
          <w:sz w:val="24"/>
          <w:szCs w:val="24"/>
        </w:rPr>
        <w:t>recordkeeping</w:t>
      </w:r>
      <w:r w:rsidRPr="009B7DF3">
        <w:rPr>
          <w:rFonts w:ascii="Arial" w:hAnsi="Arial" w:cs="Arial"/>
          <w:sz w:val="24"/>
          <w:szCs w:val="24"/>
        </w:rPr>
        <w:t xml:space="preserve"> procedure.</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If the collection of information has a significant impact on a substantial number of small businesses or other small entities (Item 5 of the Paperwork Reduction Act submission form), describe the methods used to minimize burden.</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 xml:space="preserve">This </w:t>
      </w:r>
      <w:r w:rsidR="00C656FF" w:rsidRPr="009B7DF3">
        <w:rPr>
          <w:rFonts w:ascii="Arial" w:hAnsi="Arial" w:cs="Arial"/>
          <w:sz w:val="24"/>
          <w:szCs w:val="24"/>
        </w:rPr>
        <w:t xml:space="preserve">collection </w:t>
      </w:r>
      <w:r w:rsidRPr="009B7DF3">
        <w:rPr>
          <w:rFonts w:ascii="Arial" w:hAnsi="Arial" w:cs="Arial"/>
          <w:sz w:val="24"/>
          <w:szCs w:val="24"/>
        </w:rPr>
        <w:t xml:space="preserve">has had minimal impact on small entities.  This is due to the fact that most operators had an acceptable </w:t>
      </w:r>
      <w:r w:rsidR="00C656FF" w:rsidRPr="009B7DF3">
        <w:rPr>
          <w:rFonts w:ascii="Arial" w:hAnsi="Arial" w:cs="Arial"/>
          <w:sz w:val="24"/>
          <w:szCs w:val="24"/>
        </w:rPr>
        <w:t>recordkeeping</w:t>
      </w:r>
      <w:r w:rsidRPr="009B7DF3">
        <w:rPr>
          <w:rFonts w:ascii="Arial" w:hAnsi="Arial" w:cs="Arial"/>
          <w:sz w:val="24"/>
          <w:szCs w:val="24"/>
        </w:rPr>
        <w:t xml:space="preserve"> system in place that met the requirements of the new rule for keeping records of time remaining on life-limited parts. The additional part marking requirement</w:t>
      </w:r>
      <w:r w:rsidR="00C656FF" w:rsidRPr="009B7DF3">
        <w:rPr>
          <w:rFonts w:ascii="Arial" w:hAnsi="Arial" w:cs="Arial"/>
          <w:sz w:val="24"/>
          <w:szCs w:val="24"/>
        </w:rPr>
        <w:t>,</w:t>
      </w:r>
      <w:r w:rsidRPr="009B7DF3">
        <w:rPr>
          <w:rFonts w:ascii="Arial" w:hAnsi="Arial" w:cs="Arial"/>
          <w:sz w:val="24"/>
          <w:szCs w:val="24"/>
        </w:rPr>
        <w:t xml:space="preserve"> when used</w:t>
      </w:r>
      <w:r w:rsidR="00C656FF" w:rsidRPr="009B7DF3">
        <w:rPr>
          <w:rFonts w:ascii="Arial" w:hAnsi="Arial" w:cs="Arial"/>
          <w:sz w:val="24"/>
          <w:szCs w:val="24"/>
        </w:rPr>
        <w:t>,</w:t>
      </w:r>
      <w:r w:rsidRPr="009B7DF3">
        <w:rPr>
          <w:rFonts w:ascii="Arial" w:hAnsi="Arial" w:cs="Arial"/>
          <w:sz w:val="24"/>
          <w:szCs w:val="24"/>
        </w:rPr>
        <w:t xml:space="preserve"> has had only minimal impact of small businesses.</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pStyle w:val="BodyTextIndent3"/>
        <w:rPr>
          <w:rFonts w:ascii="Arial" w:hAnsi="Arial" w:cs="Arial"/>
          <w:sz w:val="24"/>
          <w:szCs w:val="24"/>
        </w:rPr>
      </w:pPr>
      <w:r w:rsidRPr="009B7DF3">
        <w:rPr>
          <w:rFonts w:ascii="Arial" w:hAnsi="Arial" w:cs="Arial"/>
          <w:sz w:val="24"/>
          <w:szCs w:val="24"/>
        </w:rPr>
        <w:t xml:space="preserve">The regulation requires that the current status of life-limited parts be maintained to prevent installation after reaching or exceeding their authorized life limit.  </w:t>
      </w:r>
      <w:r w:rsidR="000603BB" w:rsidRPr="009B7DF3">
        <w:rPr>
          <w:rFonts w:ascii="Arial" w:hAnsi="Arial" w:cs="Arial"/>
          <w:sz w:val="24"/>
          <w:szCs w:val="24"/>
        </w:rPr>
        <w:t>Without this information life-limited parts that have exceeded their operating limitations may be installed on aircraft resulting in accidents.</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lastRenderedPageBreak/>
        <w:t>Explain any special circumstances that require the collection to be conducted in a manner inconsistent with the general information collection guidelines in 5 CFR 1320.5(d)(2).</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There are no special circumstances to require this data to be collected in manner inconsistent with 5 CFR 1320.5 (d) (2).</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9B7DF3">
        <w:rPr>
          <w:rFonts w:ascii="Arial" w:hAnsi="Arial" w:cs="Arial"/>
          <w:b/>
          <w:sz w:val="24"/>
          <w:szCs w:val="24"/>
          <w:u w:val="single"/>
        </w:rPr>
        <w:t>Federal Register</w:t>
      </w:r>
      <w:r w:rsidRPr="009B7DF3">
        <w:rPr>
          <w:rFonts w:ascii="Arial" w:hAnsi="Arial" w:cs="Arial"/>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 xml:space="preserve">A notice requesting public comment was published in the Federal Register on </w:t>
      </w:r>
      <w:r w:rsidR="000603BB" w:rsidRPr="009B7DF3">
        <w:rPr>
          <w:rFonts w:ascii="Arial" w:hAnsi="Arial" w:cs="Arial"/>
          <w:sz w:val="24"/>
          <w:szCs w:val="24"/>
        </w:rPr>
        <w:t xml:space="preserve">June 19, 2017 with the citation:  </w:t>
      </w:r>
      <w:r w:rsidR="00504427" w:rsidRPr="009B7DF3">
        <w:rPr>
          <w:rFonts w:ascii="Arial" w:hAnsi="Arial" w:cs="Arial"/>
          <w:sz w:val="24"/>
          <w:szCs w:val="24"/>
        </w:rPr>
        <w:t>82 FR 27951</w:t>
      </w:r>
      <w:r w:rsidR="00ED42D8" w:rsidRPr="009B7DF3">
        <w:rPr>
          <w:rFonts w:ascii="Arial" w:hAnsi="Arial" w:cs="Arial"/>
          <w:sz w:val="24"/>
          <w:szCs w:val="24"/>
        </w:rPr>
        <w:t>.  No comments were received.</w:t>
      </w:r>
    </w:p>
    <w:p w:rsidR="000C5E11" w:rsidRPr="009B7DF3" w:rsidRDefault="000C5E11" w:rsidP="000C5E11">
      <w:pPr>
        <w:pStyle w:val="IndexHeading"/>
        <w:keepNext w:val="0"/>
        <w:numPr>
          <w:ilvl w:val="12"/>
          <w:numId w:val="0"/>
        </w:numPr>
        <w:spacing w:line="240" w:lineRule="auto"/>
        <w:rPr>
          <w:rFonts w:ascii="Arial" w:hAnsi="Arial" w:cs="Arial"/>
          <w:spacing w:val="0"/>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Explain any decision to provide any payment or gift to respondents, other than remuneration of contractors or grantees.</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rPr>
          <w:rFonts w:ascii="Arial" w:hAnsi="Arial" w:cs="Arial"/>
          <w:sz w:val="24"/>
          <w:szCs w:val="24"/>
        </w:rPr>
      </w:pPr>
      <w:r w:rsidRPr="009B7DF3">
        <w:rPr>
          <w:rFonts w:ascii="Arial" w:hAnsi="Arial" w:cs="Arial"/>
          <w:sz w:val="24"/>
          <w:szCs w:val="24"/>
        </w:rPr>
        <w:t xml:space="preserve">      We do not provide any payments or gifts.</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any assurance of confidentiality provided to respondents and the basis for the assurance in statute, regulation, or agency policy.</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No assurance of confidentiality is necessary.</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Provide additional justification for any questions of sensitive nature, such as sexual behavior and attitudes, religious beliefs, and other matters that are commonly considered private.</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There are no sensitive questions in this collection of information.</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Provide estimates of hour burden of the collection of information.</w:t>
      </w:r>
    </w:p>
    <w:p w:rsidR="000C5E11" w:rsidRPr="009B7DF3" w:rsidRDefault="000C5E11" w:rsidP="000C5E11">
      <w:pPr>
        <w:numPr>
          <w:ilvl w:val="12"/>
          <w:numId w:val="0"/>
        </w:numPr>
        <w:ind w:left="360"/>
        <w:rPr>
          <w:rFonts w:ascii="Arial" w:hAnsi="Arial" w:cs="Arial"/>
          <w:sz w:val="24"/>
          <w:szCs w:val="24"/>
        </w:rPr>
      </w:pPr>
    </w:p>
    <w:p w:rsidR="00C4076A" w:rsidRPr="009B7DF3" w:rsidRDefault="00CC50E9" w:rsidP="00C4076A">
      <w:pPr>
        <w:rPr>
          <w:rFonts w:ascii="Arial" w:hAnsi="Arial" w:cs="Arial"/>
          <w:sz w:val="24"/>
          <w:szCs w:val="24"/>
        </w:rPr>
      </w:pPr>
      <w:r w:rsidRPr="009B7DF3">
        <w:rPr>
          <w:rFonts w:ascii="Arial" w:hAnsi="Arial" w:cs="Arial"/>
          <w:sz w:val="24"/>
          <w:szCs w:val="24"/>
        </w:rPr>
        <w:t xml:space="preserve">The cost estimate assumes that </w:t>
      </w:r>
      <w:r w:rsidRPr="009B7DF3">
        <w:rPr>
          <w:rFonts w:ascii="Arial" w:hAnsi="Arial" w:cs="Arial"/>
          <w:b/>
          <w:sz w:val="24"/>
          <w:szCs w:val="24"/>
        </w:rPr>
        <w:t>about 8,000 maintenance providers</w:t>
      </w:r>
      <w:r w:rsidRPr="009B7DF3">
        <w:rPr>
          <w:rFonts w:ascii="Arial" w:hAnsi="Arial" w:cs="Arial"/>
          <w:sz w:val="24"/>
          <w:szCs w:val="24"/>
        </w:rPr>
        <w:t xml:space="preserve"> would perform almost all of the activities subject to this data collection. Each removal was assumed to require an additional </w:t>
      </w:r>
      <w:r w:rsidR="00635DC1">
        <w:rPr>
          <w:rFonts w:ascii="Arial" w:hAnsi="Arial" w:cs="Arial"/>
          <w:b/>
          <w:sz w:val="24"/>
          <w:szCs w:val="24"/>
          <w:u w:val="single"/>
        </w:rPr>
        <w:t>half-hour</w:t>
      </w:r>
      <w:r w:rsidRPr="009B7DF3">
        <w:rPr>
          <w:rFonts w:ascii="Arial" w:hAnsi="Arial" w:cs="Arial"/>
          <w:sz w:val="24"/>
          <w:szCs w:val="24"/>
        </w:rPr>
        <w:t xml:space="preserve"> at $5</w:t>
      </w:r>
      <w:r w:rsidR="00ED42D8" w:rsidRPr="009B7DF3">
        <w:rPr>
          <w:rFonts w:ascii="Arial" w:hAnsi="Arial" w:cs="Arial"/>
          <w:sz w:val="24"/>
          <w:szCs w:val="24"/>
        </w:rPr>
        <w:t>4</w:t>
      </w:r>
      <w:r w:rsidRPr="009B7DF3">
        <w:rPr>
          <w:rFonts w:ascii="Arial" w:hAnsi="Arial" w:cs="Arial"/>
          <w:sz w:val="24"/>
          <w:szCs w:val="24"/>
        </w:rPr>
        <w:t xml:space="preserve"> per hour.</w:t>
      </w:r>
    </w:p>
    <w:p w:rsidR="00C4076A" w:rsidRPr="009B7DF3" w:rsidRDefault="00C4076A" w:rsidP="00C4076A">
      <w:pPr>
        <w:rPr>
          <w:rFonts w:ascii="Arial" w:hAnsi="Arial" w:cs="Arial"/>
          <w:sz w:val="24"/>
          <w:szCs w:val="24"/>
        </w:rPr>
      </w:pPr>
    </w:p>
    <w:p w:rsidR="000C5E11" w:rsidRPr="009B7DF3" w:rsidRDefault="000C5E11" w:rsidP="000C5E11">
      <w:pPr>
        <w:ind w:left="360"/>
        <w:rPr>
          <w:rFonts w:ascii="Arial" w:hAnsi="Arial" w:cs="Arial"/>
          <w:sz w:val="24"/>
          <w:szCs w:val="24"/>
        </w:rPr>
      </w:pPr>
    </w:p>
    <w:p w:rsidR="000C5E11" w:rsidRPr="009B7DF3" w:rsidRDefault="000C5E11" w:rsidP="008B3414">
      <w:pPr>
        <w:keepNext/>
        <w:ind w:firstLine="360"/>
        <w:rPr>
          <w:rFonts w:ascii="Arial" w:hAnsi="Arial" w:cs="Arial"/>
          <w:sz w:val="24"/>
          <w:szCs w:val="24"/>
        </w:rPr>
      </w:pPr>
      <w:r w:rsidRPr="009B7DF3">
        <w:rPr>
          <w:rFonts w:ascii="Arial" w:hAnsi="Arial" w:cs="Arial"/>
          <w:sz w:val="24"/>
          <w:szCs w:val="24"/>
        </w:rPr>
        <w:t>Estimated annual burden for marking and tagging:</w:t>
      </w:r>
    </w:p>
    <w:p w:rsidR="000C5E11" w:rsidRPr="009B7DF3" w:rsidRDefault="000C5E11" w:rsidP="000C5E11">
      <w:pPr>
        <w:keepNext/>
        <w:ind w:left="360"/>
        <w:rPr>
          <w:rFonts w:ascii="Arial" w:hAnsi="Arial" w:cs="Arial"/>
          <w:sz w:val="24"/>
          <w:szCs w:val="24"/>
        </w:rPr>
      </w:pPr>
    </w:p>
    <w:p w:rsidR="00C4076A" w:rsidRPr="009B7DF3" w:rsidRDefault="000C5E11" w:rsidP="00BC54ED">
      <w:pPr>
        <w:keepNext/>
        <w:numPr>
          <w:ilvl w:val="0"/>
          <w:numId w:val="1"/>
        </w:numPr>
        <w:tabs>
          <w:tab w:val="left" w:pos="5940"/>
          <w:tab w:val="left" w:pos="6300"/>
        </w:tabs>
        <w:ind w:left="720"/>
        <w:rPr>
          <w:rFonts w:ascii="Arial" w:hAnsi="Arial" w:cs="Arial"/>
          <w:b/>
          <w:sz w:val="24"/>
          <w:szCs w:val="24"/>
        </w:rPr>
      </w:pPr>
      <w:r w:rsidRPr="009B7DF3">
        <w:rPr>
          <w:rFonts w:ascii="Arial" w:hAnsi="Arial" w:cs="Arial"/>
          <w:b/>
          <w:sz w:val="24"/>
          <w:szCs w:val="24"/>
        </w:rPr>
        <w:t>Number of</w:t>
      </w:r>
      <w:r w:rsidR="00C4076A" w:rsidRPr="009B7DF3">
        <w:rPr>
          <w:rFonts w:ascii="Arial" w:hAnsi="Arial" w:cs="Arial"/>
          <w:b/>
          <w:sz w:val="24"/>
          <w:szCs w:val="24"/>
        </w:rPr>
        <w:t xml:space="preserve"> respondents:</w:t>
      </w:r>
      <w:r w:rsidR="00C4076A" w:rsidRPr="009B7DF3">
        <w:rPr>
          <w:rFonts w:ascii="Arial" w:hAnsi="Arial" w:cs="Arial"/>
          <w:b/>
          <w:sz w:val="24"/>
          <w:szCs w:val="24"/>
        </w:rPr>
        <w:tab/>
      </w:r>
      <w:r w:rsidR="00C4076A" w:rsidRPr="009B7DF3">
        <w:rPr>
          <w:rFonts w:ascii="Arial" w:hAnsi="Arial" w:cs="Arial"/>
          <w:b/>
          <w:sz w:val="24"/>
          <w:szCs w:val="24"/>
        </w:rPr>
        <w:tab/>
      </w:r>
      <w:r w:rsidR="0074046E" w:rsidRPr="009B7DF3">
        <w:rPr>
          <w:rFonts w:ascii="Arial" w:hAnsi="Arial" w:cs="Arial"/>
          <w:b/>
          <w:sz w:val="24"/>
          <w:szCs w:val="24"/>
        </w:rPr>
        <w:t xml:space="preserve"> </w:t>
      </w:r>
      <w:r w:rsidRPr="009B7DF3">
        <w:rPr>
          <w:rFonts w:ascii="Arial" w:hAnsi="Arial" w:cs="Arial"/>
          <w:b/>
          <w:sz w:val="24"/>
          <w:szCs w:val="24"/>
        </w:rPr>
        <w:t xml:space="preserve">8,000 </w:t>
      </w:r>
      <w:r w:rsidR="00C4076A" w:rsidRPr="009B7DF3">
        <w:rPr>
          <w:rFonts w:ascii="Arial" w:hAnsi="Arial" w:cs="Arial"/>
          <w:b/>
          <w:sz w:val="24"/>
          <w:szCs w:val="24"/>
        </w:rPr>
        <w:tab/>
      </w:r>
      <w:r w:rsidR="00C4076A" w:rsidRPr="009B7DF3">
        <w:rPr>
          <w:rFonts w:ascii="Arial" w:hAnsi="Arial" w:cs="Arial"/>
          <w:b/>
          <w:sz w:val="24"/>
          <w:szCs w:val="24"/>
        </w:rPr>
        <w:tab/>
      </w:r>
    </w:p>
    <w:p w:rsidR="000C5E11" w:rsidRPr="009B7DF3" w:rsidRDefault="00C4076A" w:rsidP="00BC54ED">
      <w:pPr>
        <w:keepNext/>
        <w:tabs>
          <w:tab w:val="left" w:pos="720"/>
          <w:tab w:val="left" w:pos="5940"/>
        </w:tabs>
        <w:ind w:left="720"/>
        <w:rPr>
          <w:rFonts w:ascii="Arial" w:hAnsi="Arial" w:cs="Arial"/>
          <w:sz w:val="24"/>
          <w:szCs w:val="24"/>
        </w:rPr>
      </w:pPr>
      <w:r w:rsidRPr="009B7DF3">
        <w:rPr>
          <w:rFonts w:ascii="Arial" w:hAnsi="Arial" w:cs="Arial"/>
          <w:sz w:val="24"/>
          <w:szCs w:val="24"/>
        </w:rPr>
        <w:t>(</w:t>
      </w:r>
      <w:r w:rsidR="00E03115" w:rsidRPr="009B7DF3">
        <w:rPr>
          <w:rFonts w:ascii="Arial" w:hAnsi="Arial" w:cs="Arial"/>
          <w:sz w:val="24"/>
          <w:szCs w:val="24"/>
        </w:rPr>
        <w:t>Includes</w:t>
      </w:r>
      <w:r w:rsidRPr="009B7DF3">
        <w:rPr>
          <w:rFonts w:ascii="Arial" w:hAnsi="Arial" w:cs="Arial"/>
          <w:sz w:val="24"/>
          <w:szCs w:val="24"/>
        </w:rPr>
        <w:t xml:space="preserve"> air carriers, repair stations, and </w:t>
      </w:r>
      <w:r w:rsidR="000C5E11" w:rsidRPr="009B7DF3">
        <w:rPr>
          <w:rFonts w:ascii="Arial" w:hAnsi="Arial" w:cs="Arial"/>
          <w:sz w:val="24"/>
          <w:szCs w:val="24"/>
        </w:rPr>
        <w:t>mechanics</w:t>
      </w:r>
      <w:r w:rsidRPr="009B7DF3">
        <w:rPr>
          <w:rFonts w:ascii="Arial" w:hAnsi="Arial" w:cs="Arial"/>
          <w:sz w:val="24"/>
          <w:szCs w:val="24"/>
        </w:rPr>
        <w:t>)</w:t>
      </w:r>
    </w:p>
    <w:p w:rsidR="000C5E11" w:rsidRPr="009B7DF3" w:rsidRDefault="000C5E11" w:rsidP="00BC54ED">
      <w:pPr>
        <w:keepNext/>
        <w:numPr>
          <w:ilvl w:val="0"/>
          <w:numId w:val="1"/>
        </w:numPr>
        <w:tabs>
          <w:tab w:val="left" w:pos="5940"/>
          <w:tab w:val="left" w:pos="6120"/>
        </w:tabs>
        <w:ind w:left="720"/>
        <w:rPr>
          <w:rFonts w:ascii="Arial" w:hAnsi="Arial" w:cs="Arial"/>
          <w:b/>
          <w:sz w:val="24"/>
          <w:szCs w:val="24"/>
        </w:rPr>
      </w:pPr>
      <w:r w:rsidRPr="009B7DF3">
        <w:rPr>
          <w:rFonts w:ascii="Arial" w:hAnsi="Arial" w:cs="Arial"/>
          <w:b/>
          <w:sz w:val="24"/>
          <w:szCs w:val="24"/>
        </w:rPr>
        <w:t>Estimated  annual items to be marked or tagged</w:t>
      </w:r>
      <w:r w:rsidRPr="009B7DF3">
        <w:rPr>
          <w:rFonts w:ascii="Arial" w:hAnsi="Arial" w:cs="Arial"/>
          <w:b/>
          <w:sz w:val="24"/>
          <w:szCs w:val="24"/>
        </w:rPr>
        <w:tab/>
      </w:r>
      <w:r w:rsidR="00BC54ED" w:rsidRPr="009B7DF3">
        <w:rPr>
          <w:rFonts w:ascii="Arial" w:hAnsi="Arial" w:cs="Arial"/>
          <w:b/>
          <w:sz w:val="24"/>
          <w:szCs w:val="24"/>
        </w:rPr>
        <w:tab/>
      </w:r>
      <w:r w:rsidRPr="009B7DF3">
        <w:rPr>
          <w:rFonts w:ascii="Arial" w:hAnsi="Arial" w:cs="Arial"/>
          <w:b/>
          <w:sz w:val="24"/>
          <w:szCs w:val="24"/>
        </w:rPr>
        <w:t>100,000</w:t>
      </w:r>
    </w:p>
    <w:p w:rsidR="000C5E11" w:rsidRPr="009B7DF3" w:rsidRDefault="000C5E11" w:rsidP="00BC54ED">
      <w:pPr>
        <w:keepNext/>
        <w:numPr>
          <w:ilvl w:val="0"/>
          <w:numId w:val="1"/>
        </w:numPr>
        <w:tabs>
          <w:tab w:val="left" w:pos="5940"/>
          <w:tab w:val="left" w:pos="6660"/>
        </w:tabs>
        <w:ind w:left="720"/>
        <w:rPr>
          <w:rFonts w:ascii="Arial" w:hAnsi="Arial" w:cs="Arial"/>
          <w:sz w:val="24"/>
          <w:szCs w:val="24"/>
        </w:rPr>
      </w:pPr>
      <w:r w:rsidRPr="009B7DF3">
        <w:rPr>
          <w:rFonts w:ascii="Arial" w:hAnsi="Arial" w:cs="Arial"/>
          <w:sz w:val="24"/>
          <w:szCs w:val="24"/>
        </w:rPr>
        <w:t xml:space="preserve">Percentage of these respondents </w:t>
      </w:r>
      <w:r w:rsidR="00C4076A" w:rsidRPr="009B7DF3">
        <w:rPr>
          <w:rFonts w:ascii="Arial" w:hAnsi="Arial" w:cs="Arial"/>
          <w:sz w:val="24"/>
          <w:szCs w:val="24"/>
        </w:rPr>
        <w:t>collected</w:t>
      </w:r>
      <w:r w:rsidR="00BC54ED" w:rsidRPr="009B7DF3">
        <w:rPr>
          <w:rFonts w:ascii="Arial" w:hAnsi="Arial" w:cs="Arial"/>
          <w:sz w:val="24"/>
          <w:szCs w:val="24"/>
        </w:rPr>
        <w:tab/>
      </w:r>
      <w:r w:rsidR="00BC54ED" w:rsidRPr="009B7DF3">
        <w:rPr>
          <w:rFonts w:ascii="Arial" w:hAnsi="Arial" w:cs="Arial"/>
          <w:sz w:val="24"/>
          <w:szCs w:val="24"/>
        </w:rPr>
        <w:tab/>
      </w:r>
      <w:r w:rsidR="00C4076A" w:rsidRPr="009B7DF3">
        <w:rPr>
          <w:rFonts w:ascii="Arial" w:hAnsi="Arial" w:cs="Arial"/>
          <w:sz w:val="24"/>
          <w:szCs w:val="24"/>
        </w:rPr>
        <w:t>70%</w:t>
      </w:r>
      <w:r w:rsidRPr="009B7DF3">
        <w:rPr>
          <w:rFonts w:ascii="Arial" w:hAnsi="Arial" w:cs="Arial"/>
          <w:sz w:val="24"/>
          <w:szCs w:val="24"/>
        </w:rPr>
        <w:br/>
        <w:t>electronically (marking burden)</w:t>
      </w:r>
      <w:r w:rsidRPr="009B7DF3">
        <w:rPr>
          <w:rFonts w:ascii="Arial" w:hAnsi="Arial" w:cs="Arial"/>
          <w:sz w:val="24"/>
          <w:szCs w:val="24"/>
        </w:rPr>
        <w:tab/>
      </w:r>
    </w:p>
    <w:p w:rsidR="000C5E11" w:rsidRPr="009B7DF3" w:rsidRDefault="000C5E11" w:rsidP="00BC54ED">
      <w:pPr>
        <w:numPr>
          <w:ilvl w:val="0"/>
          <w:numId w:val="1"/>
        </w:numPr>
        <w:tabs>
          <w:tab w:val="left" w:pos="5940"/>
          <w:tab w:val="left" w:pos="6120"/>
        </w:tabs>
        <w:ind w:left="720"/>
        <w:rPr>
          <w:rFonts w:ascii="Arial" w:hAnsi="Arial" w:cs="Arial"/>
          <w:b/>
          <w:sz w:val="24"/>
          <w:szCs w:val="24"/>
        </w:rPr>
      </w:pPr>
      <w:r w:rsidRPr="009B7DF3">
        <w:rPr>
          <w:rFonts w:ascii="Arial" w:hAnsi="Arial" w:cs="Arial"/>
          <w:b/>
          <w:sz w:val="24"/>
          <w:szCs w:val="24"/>
        </w:rPr>
        <w:t>Total annual hours requested</w:t>
      </w:r>
      <w:r w:rsidRPr="009B7DF3">
        <w:rPr>
          <w:rFonts w:ascii="Arial" w:hAnsi="Arial" w:cs="Arial"/>
          <w:b/>
          <w:sz w:val="24"/>
          <w:szCs w:val="24"/>
        </w:rPr>
        <w:tab/>
      </w:r>
      <w:r w:rsidR="00BC54ED" w:rsidRPr="009B7DF3">
        <w:rPr>
          <w:rFonts w:ascii="Arial" w:hAnsi="Arial" w:cs="Arial"/>
          <w:b/>
          <w:sz w:val="24"/>
          <w:szCs w:val="24"/>
        </w:rPr>
        <w:tab/>
      </w:r>
      <w:r w:rsidRPr="009B7DF3">
        <w:rPr>
          <w:rFonts w:ascii="Arial" w:hAnsi="Arial" w:cs="Arial"/>
          <w:b/>
          <w:sz w:val="24"/>
          <w:szCs w:val="24"/>
        </w:rPr>
        <w:t>104,000</w:t>
      </w:r>
    </w:p>
    <w:p w:rsidR="000C5E11" w:rsidRPr="009B7DF3" w:rsidRDefault="000C5E11" w:rsidP="00BC54ED">
      <w:pPr>
        <w:tabs>
          <w:tab w:val="left" w:pos="5940"/>
        </w:tabs>
        <w:ind w:left="360"/>
        <w:rPr>
          <w:rFonts w:ascii="Arial" w:hAnsi="Arial" w:cs="Arial"/>
          <w:sz w:val="24"/>
          <w:szCs w:val="24"/>
        </w:rPr>
      </w:pPr>
    </w:p>
    <w:p w:rsidR="00BC54ED" w:rsidRPr="009B7DF3" w:rsidRDefault="000C5E11" w:rsidP="00C1532B">
      <w:pPr>
        <w:numPr>
          <w:ilvl w:val="12"/>
          <w:numId w:val="0"/>
        </w:numPr>
        <w:tabs>
          <w:tab w:val="left" w:pos="5850"/>
          <w:tab w:val="left" w:pos="6210"/>
        </w:tabs>
        <w:ind w:left="360"/>
        <w:rPr>
          <w:rFonts w:ascii="Arial" w:hAnsi="Arial" w:cs="Arial"/>
          <w:sz w:val="24"/>
          <w:szCs w:val="24"/>
        </w:rPr>
      </w:pPr>
      <w:r w:rsidRPr="009B7DF3">
        <w:rPr>
          <w:rFonts w:ascii="Arial" w:hAnsi="Arial" w:cs="Arial"/>
          <w:sz w:val="24"/>
          <w:szCs w:val="24"/>
        </w:rPr>
        <w:t>At a fully burdened</w:t>
      </w:r>
      <w:r w:rsidR="00BC54ED" w:rsidRPr="009B7DF3">
        <w:rPr>
          <w:rFonts w:ascii="Arial" w:hAnsi="Arial" w:cs="Arial"/>
          <w:sz w:val="24"/>
          <w:szCs w:val="24"/>
        </w:rPr>
        <w:t xml:space="preserve"> industry overhead rate of:</w:t>
      </w:r>
      <w:r w:rsidR="00C1532B" w:rsidRPr="009B7DF3">
        <w:rPr>
          <w:rFonts w:ascii="Arial" w:hAnsi="Arial" w:cs="Arial"/>
          <w:sz w:val="24"/>
          <w:szCs w:val="24"/>
        </w:rPr>
        <w:tab/>
      </w:r>
      <w:r w:rsidR="00C1532B" w:rsidRPr="009B7DF3">
        <w:rPr>
          <w:rFonts w:ascii="Arial" w:hAnsi="Arial" w:cs="Arial"/>
          <w:sz w:val="24"/>
          <w:szCs w:val="24"/>
        </w:rPr>
        <w:tab/>
      </w:r>
      <w:r w:rsidRPr="009B7DF3">
        <w:rPr>
          <w:rFonts w:ascii="Arial" w:hAnsi="Arial" w:cs="Arial"/>
          <w:sz w:val="24"/>
          <w:szCs w:val="24"/>
        </w:rPr>
        <w:t xml:space="preserve"> $5</w:t>
      </w:r>
      <w:r w:rsidR="00876124" w:rsidRPr="009B7DF3">
        <w:rPr>
          <w:rFonts w:ascii="Arial" w:hAnsi="Arial" w:cs="Arial"/>
          <w:sz w:val="24"/>
          <w:szCs w:val="24"/>
        </w:rPr>
        <w:t>4</w:t>
      </w:r>
      <w:r w:rsidR="00A35B19" w:rsidRPr="009B7DF3">
        <w:rPr>
          <w:rFonts w:ascii="Arial" w:hAnsi="Arial" w:cs="Arial"/>
          <w:sz w:val="24"/>
          <w:szCs w:val="24"/>
        </w:rPr>
        <w:t>.00</w:t>
      </w:r>
      <w:r w:rsidRPr="009B7DF3">
        <w:rPr>
          <w:rFonts w:ascii="Arial" w:hAnsi="Arial" w:cs="Arial"/>
          <w:sz w:val="24"/>
          <w:szCs w:val="24"/>
        </w:rPr>
        <w:br/>
      </w:r>
    </w:p>
    <w:p w:rsidR="000C5E11" w:rsidRPr="009B7DF3" w:rsidRDefault="000C5E11" w:rsidP="00C1532B">
      <w:pPr>
        <w:numPr>
          <w:ilvl w:val="12"/>
          <w:numId w:val="0"/>
        </w:numPr>
        <w:tabs>
          <w:tab w:val="left" w:pos="5670"/>
        </w:tabs>
        <w:ind w:left="360"/>
        <w:rPr>
          <w:rFonts w:ascii="Arial" w:hAnsi="Arial" w:cs="Arial"/>
          <w:sz w:val="24"/>
          <w:szCs w:val="24"/>
        </w:rPr>
      </w:pPr>
      <w:r w:rsidRPr="009B7DF3">
        <w:rPr>
          <w:rFonts w:ascii="Arial" w:hAnsi="Arial" w:cs="Arial"/>
          <w:sz w:val="24"/>
          <w:szCs w:val="24"/>
        </w:rPr>
        <w:t xml:space="preserve">The annual </w:t>
      </w:r>
      <w:r w:rsidR="00C66C3C" w:rsidRPr="009B7DF3">
        <w:rPr>
          <w:rFonts w:ascii="Arial" w:hAnsi="Arial" w:cs="Arial"/>
          <w:sz w:val="24"/>
          <w:szCs w:val="24"/>
        </w:rPr>
        <w:t xml:space="preserve">labor </w:t>
      </w:r>
      <w:r w:rsidRPr="009B7DF3">
        <w:rPr>
          <w:rFonts w:ascii="Arial" w:hAnsi="Arial" w:cs="Arial"/>
          <w:sz w:val="24"/>
          <w:szCs w:val="24"/>
        </w:rPr>
        <w:t>c</w:t>
      </w:r>
      <w:r w:rsidR="00BC54ED" w:rsidRPr="009B7DF3">
        <w:rPr>
          <w:rFonts w:ascii="Arial" w:hAnsi="Arial" w:cs="Arial"/>
          <w:sz w:val="24"/>
          <w:szCs w:val="24"/>
        </w:rPr>
        <w:t>ost to the respondents is:</w:t>
      </w:r>
      <w:r w:rsidR="00C1532B" w:rsidRPr="009B7DF3">
        <w:rPr>
          <w:rFonts w:ascii="Arial" w:hAnsi="Arial" w:cs="Arial"/>
          <w:sz w:val="24"/>
          <w:szCs w:val="24"/>
        </w:rPr>
        <w:tab/>
      </w:r>
      <w:r w:rsidR="009B14EB" w:rsidRPr="009B7DF3">
        <w:rPr>
          <w:rFonts w:ascii="Arial" w:hAnsi="Arial" w:cs="Arial"/>
          <w:sz w:val="24"/>
          <w:szCs w:val="24"/>
        </w:rPr>
        <w:t xml:space="preserve">    </w:t>
      </w:r>
      <w:r w:rsidRPr="009B7DF3">
        <w:rPr>
          <w:rFonts w:ascii="Arial" w:hAnsi="Arial" w:cs="Arial"/>
          <w:sz w:val="24"/>
          <w:szCs w:val="24"/>
        </w:rPr>
        <w:t>$</w:t>
      </w:r>
      <w:r w:rsidR="00ED42D8" w:rsidRPr="009B7DF3">
        <w:rPr>
          <w:rFonts w:ascii="Arial" w:hAnsi="Arial" w:cs="Arial"/>
          <w:sz w:val="24"/>
          <w:szCs w:val="24"/>
        </w:rPr>
        <w:t>5,</w:t>
      </w:r>
      <w:r w:rsidR="00876124" w:rsidRPr="009B7DF3">
        <w:rPr>
          <w:rFonts w:ascii="Arial" w:hAnsi="Arial" w:cs="Arial"/>
          <w:sz w:val="24"/>
          <w:szCs w:val="24"/>
        </w:rPr>
        <w:t>616</w:t>
      </w:r>
      <w:r w:rsidR="00ED42D8" w:rsidRPr="009B7DF3">
        <w:rPr>
          <w:rFonts w:ascii="Arial" w:hAnsi="Arial" w:cs="Arial"/>
          <w:sz w:val="24"/>
          <w:szCs w:val="24"/>
        </w:rPr>
        <w:t>,000</w:t>
      </w:r>
    </w:p>
    <w:p w:rsidR="000C5E11" w:rsidRPr="009B7DF3" w:rsidRDefault="000C5E11" w:rsidP="000C5E11">
      <w:pPr>
        <w:numPr>
          <w:ilvl w:val="12"/>
          <w:numId w:val="0"/>
        </w:numPr>
        <w:rPr>
          <w:rFonts w:ascii="Arial" w:hAnsi="Arial" w:cs="Arial"/>
          <w:sz w:val="24"/>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Provide an estimate of the total annual cost burden to respondents or recordkeepers resulting from the collection of information.</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There are no additional costs not al</w:t>
      </w:r>
      <w:r w:rsidR="00E20C32" w:rsidRPr="009B7DF3">
        <w:rPr>
          <w:rFonts w:ascii="Arial" w:hAnsi="Arial" w:cs="Arial"/>
          <w:sz w:val="24"/>
          <w:szCs w:val="24"/>
        </w:rPr>
        <w:t>ready included in question 12.</w:t>
      </w:r>
    </w:p>
    <w:p w:rsidR="000C5E11" w:rsidRPr="009B7DF3" w:rsidRDefault="000C5E11" w:rsidP="000C5E11">
      <w:pPr>
        <w:pStyle w:val="IndexHeading"/>
        <w:keepNext w:val="0"/>
        <w:numPr>
          <w:ilvl w:val="12"/>
          <w:numId w:val="0"/>
        </w:numPr>
        <w:spacing w:line="240" w:lineRule="auto"/>
        <w:rPr>
          <w:rFonts w:ascii="Arial" w:hAnsi="Arial" w:cs="Arial"/>
          <w:spacing w:val="0"/>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Provide estimates of annualized cost to the Federal Government.  Also, provide a description of the method used to estimate cost, and other expenses that would not have been incurred without this collection of information.</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 xml:space="preserve">There is no annual cost to the Federal Government to analyze and process the information. The parts marking burden requirement is for industry operators. </w:t>
      </w:r>
    </w:p>
    <w:p w:rsidR="000C5E11" w:rsidRPr="009B7DF3" w:rsidRDefault="000C5E11" w:rsidP="000C5E11">
      <w:pPr>
        <w:pStyle w:val="IndexHeading"/>
        <w:keepNext w:val="0"/>
        <w:numPr>
          <w:ilvl w:val="12"/>
          <w:numId w:val="0"/>
        </w:numPr>
        <w:spacing w:line="240" w:lineRule="auto"/>
        <w:rPr>
          <w:rFonts w:ascii="Arial" w:hAnsi="Arial" w:cs="Arial"/>
          <w:spacing w:val="0"/>
          <w:szCs w:val="24"/>
        </w:rPr>
      </w:pPr>
    </w:p>
    <w:p w:rsidR="00FB366E" w:rsidRPr="009B7DF3" w:rsidRDefault="000C5E11" w:rsidP="00FB366E">
      <w:pPr>
        <w:keepNext/>
        <w:numPr>
          <w:ilvl w:val="0"/>
          <w:numId w:val="2"/>
        </w:numPr>
        <w:tabs>
          <w:tab w:val="left" w:pos="360"/>
        </w:tabs>
        <w:rPr>
          <w:rFonts w:ascii="Arial" w:hAnsi="Arial" w:cs="Arial"/>
          <w:sz w:val="24"/>
          <w:szCs w:val="24"/>
        </w:rPr>
      </w:pPr>
      <w:r w:rsidRPr="009B7DF3">
        <w:rPr>
          <w:rFonts w:ascii="Arial" w:hAnsi="Arial" w:cs="Arial"/>
          <w:b/>
          <w:sz w:val="24"/>
          <w:szCs w:val="24"/>
        </w:rPr>
        <w:t>Explain the reasons for any program changes or adjustments</w:t>
      </w:r>
    </w:p>
    <w:p w:rsidR="000C5E11" w:rsidRPr="009B7DF3" w:rsidRDefault="00FB366E" w:rsidP="00FB366E">
      <w:pPr>
        <w:keepNext/>
        <w:tabs>
          <w:tab w:val="left" w:pos="360"/>
        </w:tabs>
        <w:ind w:left="360"/>
        <w:rPr>
          <w:rFonts w:ascii="Arial" w:hAnsi="Arial" w:cs="Arial"/>
          <w:sz w:val="24"/>
          <w:szCs w:val="24"/>
        </w:rPr>
      </w:pPr>
      <w:r w:rsidRPr="009B7DF3">
        <w:rPr>
          <w:rFonts w:ascii="Arial" w:hAnsi="Arial" w:cs="Arial"/>
          <w:sz w:val="24"/>
          <w:szCs w:val="24"/>
        </w:rPr>
        <w:t>There are no changes at this time.  In previous collections sal</w:t>
      </w:r>
      <w:r w:rsidR="009B7DF3">
        <w:rPr>
          <w:rFonts w:ascii="Arial" w:hAnsi="Arial" w:cs="Arial"/>
          <w:sz w:val="24"/>
          <w:szCs w:val="24"/>
        </w:rPr>
        <w:t xml:space="preserve">ary costs were revised. However, </w:t>
      </w:r>
      <w:r w:rsidR="00ED42D8" w:rsidRPr="009B7DF3">
        <w:rPr>
          <w:rFonts w:ascii="Arial" w:hAnsi="Arial" w:cs="Arial"/>
          <w:sz w:val="24"/>
          <w:szCs w:val="24"/>
        </w:rPr>
        <w:t xml:space="preserve">salary cost for respondents has </w:t>
      </w:r>
      <w:r w:rsidRPr="009B7DF3">
        <w:rPr>
          <w:rFonts w:ascii="Arial" w:hAnsi="Arial" w:cs="Arial"/>
          <w:sz w:val="24"/>
          <w:szCs w:val="24"/>
        </w:rPr>
        <w:t>remained consistent</w:t>
      </w:r>
      <w:r w:rsidR="00ED42D8" w:rsidRPr="009B7DF3">
        <w:rPr>
          <w:rFonts w:ascii="Arial" w:hAnsi="Arial" w:cs="Arial"/>
          <w:sz w:val="24"/>
          <w:szCs w:val="24"/>
        </w:rPr>
        <w:t>.</w:t>
      </w:r>
    </w:p>
    <w:p w:rsidR="000C5E11" w:rsidRPr="009B7DF3" w:rsidRDefault="000C5E11" w:rsidP="000C5E11">
      <w:pPr>
        <w:pStyle w:val="IndexHeading"/>
        <w:keepNext w:val="0"/>
        <w:numPr>
          <w:ilvl w:val="12"/>
          <w:numId w:val="0"/>
        </w:numPr>
        <w:spacing w:line="240" w:lineRule="auto"/>
        <w:rPr>
          <w:rFonts w:ascii="Arial" w:hAnsi="Arial" w:cs="Arial"/>
          <w:spacing w:val="0"/>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No collections of information results are to be published.</w:t>
      </w:r>
    </w:p>
    <w:p w:rsidR="000C5E11" w:rsidRPr="009B7DF3" w:rsidRDefault="000C5E11" w:rsidP="000C5E11">
      <w:pPr>
        <w:pStyle w:val="IndexHeading"/>
        <w:keepNext w:val="0"/>
        <w:numPr>
          <w:ilvl w:val="12"/>
          <w:numId w:val="0"/>
        </w:numPr>
        <w:spacing w:line="240" w:lineRule="auto"/>
        <w:rPr>
          <w:rFonts w:ascii="Arial" w:hAnsi="Arial" w:cs="Arial"/>
          <w:spacing w:val="0"/>
          <w:szCs w:val="24"/>
        </w:rPr>
      </w:pPr>
    </w:p>
    <w:p w:rsidR="000C5E11" w:rsidRPr="009B7DF3" w:rsidRDefault="000C5E11" w:rsidP="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If seeking approval to not display the expiration date for OMB approval of the information collection, explain the reasons that display would be inappropriate.</w:t>
      </w:r>
    </w:p>
    <w:p w:rsidR="000C5E11" w:rsidRPr="009B7DF3" w:rsidRDefault="000C5E11" w:rsidP="000C5E11">
      <w:pPr>
        <w:numPr>
          <w:ilvl w:val="12"/>
          <w:numId w:val="0"/>
        </w:numPr>
        <w:ind w:left="360"/>
        <w:rPr>
          <w:rFonts w:ascii="Arial" w:hAnsi="Arial" w:cs="Arial"/>
          <w:sz w:val="24"/>
          <w:szCs w:val="24"/>
        </w:rPr>
      </w:pPr>
    </w:p>
    <w:p w:rsidR="000C5E11" w:rsidRPr="009B7DF3" w:rsidRDefault="000C5E11" w:rsidP="000C5E11">
      <w:pPr>
        <w:numPr>
          <w:ilvl w:val="12"/>
          <w:numId w:val="0"/>
        </w:numPr>
        <w:ind w:left="360"/>
        <w:rPr>
          <w:rFonts w:ascii="Arial" w:hAnsi="Arial" w:cs="Arial"/>
          <w:sz w:val="24"/>
          <w:szCs w:val="24"/>
        </w:rPr>
      </w:pPr>
      <w:r w:rsidRPr="009B7DF3">
        <w:rPr>
          <w:rFonts w:ascii="Arial" w:hAnsi="Arial" w:cs="Arial"/>
          <w:sz w:val="24"/>
          <w:szCs w:val="24"/>
        </w:rPr>
        <w:t>No request for seeking approval not to display expiration date for OMB.</w:t>
      </w:r>
    </w:p>
    <w:p w:rsidR="000C5E11" w:rsidRPr="009B7DF3" w:rsidRDefault="000C5E11" w:rsidP="000C5E11">
      <w:pPr>
        <w:numPr>
          <w:ilvl w:val="12"/>
          <w:numId w:val="0"/>
        </w:numPr>
        <w:tabs>
          <w:tab w:val="left" w:pos="360"/>
        </w:tabs>
        <w:rPr>
          <w:rFonts w:ascii="Arial" w:hAnsi="Arial" w:cs="Arial"/>
          <w:sz w:val="24"/>
          <w:szCs w:val="24"/>
        </w:rPr>
      </w:pPr>
    </w:p>
    <w:p w:rsidR="000C5E11" w:rsidRPr="009B7DF3" w:rsidRDefault="000C5E11" w:rsidP="00A913F6">
      <w:pPr>
        <w:keepNext/>
        <w:numPr>
          <w:ilvl w:val="12"/>
          <w:numId w:val="0"/>
        </w:numPr>
        <w:tabs>
          <w:tab w:val="left" w:pos="360"/>
        </w:tabs>
        <w:ind w:left="360"/>
        <w:rPr>
          <w:rFonts w:ascii="Arial" w:hAnsi="Arial" w:cs="Arial"/>
          <w:sz w:val="24"/>
          <w:szCs w:val="24"/>
        </w:rPr>
      </w:pPr>
      <w:r w:rsidRPr="009B7DF3">
        <w:rPr>
          <w:rFonts w:ascii="Arial" w:hAnsi="Arial" w:cs="Arial"/>
          <w:b/>
          <w:sz w:val="24"/>
          <w:szCs w:val="24"/>
        </w:rPr>
        <w:t>Explain each exception to the certification statement</w:t>
      </w:r>
      <w:r w:rsidR="009B7DF3" w:rsidRPr="009B7DF3">
        <w:rPr>
          <w:rFonts w:ascii="Arial" w:hAnsi="Arial" w:cs="Arial"/>
          <w:b/>
          <w:sz w:val="24"/>
          <w:szCs w:val="24"/>
        </w:rPr>
        <w:t>.</w:t>
      </w:r>
      <w:r w:rsidRPr="009B7DF3">
        <w:rPr>
          <w:rFonts w:ascii="Arial" w:hAnsi="Arial" w:cs="Arial"/>
          <w:b/>
          <w:sz w:val="24"/>
          <w:szCs w:val="24"/>
        </w:rPr>
        <w:t xml:space="preserve"> </w:t>
      </w:r>
    </w:p>
    <w:p w:rsidR="000C5E11" w:rsidRPr="009B7DF3" w:rsidRDefault="000C5E11" w:rsidP="00856E71">
      <w:pPr>
        <w:pStyle w:val="BodyTextIndent2"/>
        <w:numPr>
          <w:ilvl w:val="12"/>
          <w:numId w:val="0"/>
        </w:numPr>
        <w:ind w:left="360"/>
        <w:rPr>
          <w:rFonts w:ascii="Arial" w:hAnsi="Arial" w:cs="Arial"/>
          <w:szCs w:val="24"/>
        </w:rPr>
      </w:pPr>
      <w:r w:rsidRPr="009B7DF3">
        <w:rPr>
          <w:rFonts w:ascii="Arial" w:hAnsi="Arial" w:cs="Arial"/>
          <w:szCs w:val="24"/>
        </w:rPr>
        <w:t xml:space="preserve">No </w:t>
      </w:r>
      <w:r w:rsidR="009B7DF3" w:rsidRPr="009B7DF3">
        <w:rPr>
          <w:rFonts w:ascii="Arial" w:hAnsi="Arial" w:cs="Arial"/>
          <w:szCs w:val="24"/>
        </w:rPr>
        <w:t>exceptions.</w:t>
      </w:r>
    </w:p>
    <w:sectPr w:rsidR="000C5E11" w:rsidRPr="009B7DF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B7" w:rsidRDefault="00351FB7">
      <w:r>
        <w:separator/>
      </w:r>
    </w:p>
  </w:endnote>
  <w:endnote w:type="continuationSeparator" w:id="0">
    <w:p w:rsidR="00351FB7" w:rsidRDefault="0035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B7" w:rsidRDefault="00351FB7">
      <w:r>
        <w:separator/>
      </w:r>
    </w:p>
  </w:footnote>
  <w:footnote w:type="continuationSeparator" w:id="0">
    <w:p w:rsidR="00351FB7" w:rsidRDefault="00351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84" w:rsidRDefault="00761784">
    <w:pPr>
      <w:pStyle w:val="Header"/>
      <w:jc w:val="right"/>
    </w:pPr>
    <w:r>
      <w:fldChar w:fldCharType="begin"/>
    </w:r>
    <w:r>
      <w:instrText xml:space="preserve"> PAGE   \* MERGEFORMAT </w:instrText>
    </w:r>
    <w:r>
      <w:fldChar w:fldCharType="separate"/>
    </w:r>
    <w:r w:rsidR="007F62D1">
      <w:rPr>
        <w:noProof/>
      </w:rPr>
      <w:t>1</w:t>
    </w:r>
    <w:r>
      <w:rPr>
        <w:noProof/>
      </w:rPr>
      <w:fldChar w:fldCharType="end"/>
    </w:r>
  </w:p>
  <w:p w:rsidR="00761784" w:rsidRDefault="00761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60BC53F9"/>
    <w:multiLevelType w:val="singleLevel"/>
    <w:tmpl w:val="203AB600"/>
    <w:lvl w:ilvl="0">
      <w:start w:val="1"/>
      <w:numFmt w:val="lowerLetter"/>
      <w:lvlText w:val="%1."/>
      <w:legacy w:legacy="1" w:legacySpace="0" w:legacyIndent="360"/>
      <w:lvlJc w:val="left"/>
      <w:pPr>
        <w:ind w:left="360" w:hanging="360"/>
      </w:pPr>
    </w:lvl>
  </w:abstractNum>
  <w:abstractNum w:abstractNumId="2">
    <w:nsid w:val="68391CA7"/>
    <w:multiLevelType w:val="hybridMultilevel"/>
    <w:tmpl w:val="0AA6D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11"/>
    <w:rsid w:val="000603BB"/>
    <w:rsid w:val="000A5654"/>
    <w:rsid w:val="000C5E11"/>
    <w:rsid w:val="00132348"/>
    <w:rsid w:val="001679DE"/>
    <w:rsid w:val="001D2779"/>
    <w:rsid w:val="002D2E31"/>
    <w:rsid w:val="00323EAF"/>
    <w:rsid w:val="00351FB7"/>
    <w:rsid w:val="00424083"/>
    <w:rsid w:val="004E0300"/>
    <w:rsid w:val="00504427"/>
    <w:rsid w:val="005064AE"/>
    <w:rsid w:val="00536F3B"/>
    <w:rsid w:val="00557156"/>
    <w:rsid w:val="005C7CD4"/>
    <w:rsid w:val="00635DC1"/>
    <w:rsid w:val="0074046E"/>
    <w:rsid w:val="00761784"/>
    <w:rsid w:val="00772BBB"/>
    <w:rsid w:val="007E0705"/>
    <w:rsid w:val="007F62D1"/>
    <w:rsid w:val="00856E71"/>
    <w:rsid w:val="00876124"/>
    <w:rsid w:val="00895034"/>
    <w:rsid w:val="008B3414"/>
    <w:rsid w:val="008D6D0D"/>
    <w:rsid w:val="00973631"/>
    <w:rsid w:val="009B14EB"/>
    <w:rsid w:val="009B7DF3"/>
    <w:rsid w:val="00A1091D"/>
    <w:rsid w:val="00A35B19"/>
    <w:rsid w:val="00AB77B4"/>
    <w:rsid w:val="00B47657"/>
    <w:rsid w:val="00B50D71"/>
    <w:rsid w:val="00B52386"/>
    <w:rsid w:val="00B76770"/>
    <w:rsid w:val="00BC54ED"/>
    <w:rsid w:val="00C1532B"/>
    <w:rsid w:val="00C4076A"/>
    <w:rsid w:val="00C656FF"/>
    <w:rsid w:val="00C66C3C"/>
    <w:rsid w:val="00C77192"/>
    <w:rsid w:val="00CB0E13"/>
    <w:rsid w:val="00CC50E9"/>
    <w:rsid w:val="00D64F93"/>
    <w:rsid w:val="00DA75C6"/>
    <w:rsid w:val="00E03115"/>
    <w:rsid w:val="00E20C32"/>
    <w:rsid w:val="00E57E57"/>
    <w:rsid w:val="00EA0D86"/>
    <w:rsid w:val="00ED42D8"/>
    <w:rsid w:val="00F4178A"/>
    <w:rsid w:val="00F4453B"/>
    <w:rsid w:val="00FB366E"/>
    <w:rsid w:val="00FB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5E11"/>
    <w:pPr>
      <w:jc w:val="center"/>
    </w:pPr>
    <w:rPr>
      <w:b/>
      <w:sz w:val="32"/>
    </w:rPr>
  </w:style>
  <w:style w:type="paragraph" w:styleId="BodyTextIndent2">
    <w:name w:val="Body Text Indent 2"/>
    <w:basedOn w:val="Normal"/>
    <w:rsid w:val="000C5E11"/>
    <w:pPr>
      <w:ind w:left="360"/>
    </w:pPr>
    <w:rPr>
      <w:sz w:val="24"/>
    </w:rPr>
  </w:style>
  <w:style w:type="paragraph" w:styleId="Index1">
    <w:name w:val="index 1"/>
    <w:basedOn w:val="Normal"/>
    <w:next w:val="Normal"/>
    <w:autoRedefine/>
    <w:semiHidden/>
    <w:rsid w:val="000C5E11"/>
    <w:pPr>
      <w:ind w:left="200" w:hanging="200"/>
    </w:pPr>
  </w:style>
  <w:style w:type="paragraph" w:styleId="IndexHeading">
    <w:name w:val="index heading"/>
    <w:basedOn w:val="Normal"/>
    <w:next w:val="Index1"/>
    <w:semiHidden/>
    <w:rsid w:val="000C5E11"/>
    <w:pPr>
      <w:keepNext/>
      <w:spacing w:line="480" w:lineRule="atLeast"/>
    </w:pPr>
    <w:rPr>
      <w:rFonts w:ascii="Arial Black" w:hAnsi="Arial Black"/>
      <w:spacing w:val="-5"/>
      <w:sz w:val="24"/>
    </w:rPr>
  </w:style>
  <w:style w:type="paragraph" w:styleId="BodyTextIndent3">
    <w:name w:val="Body Text Indent 3"/>
    <w:basedOn w:val="Normal"/>
    <w:rsid w:val="000C5E11"/>
    <w:pPr>
      <w:numPr>
        <w:ilvl w:val="12"/>
      </w:numPr>
      <w:ind w:left="360"/>
    </w:pPr>
  </w:style>
  <w:style w:type="paragraph" w:styleId="Header">
    <w:name w:val="header"/>
    <w:basedOn w:val="Normal"/>
    <w:link w:val="HeaderChar"/>
    <w:uiPriority w:val="99"/>
    <w:rsid w:val="000C5E11"/>
    <w:pPr>
      <w:tabs>
        <w:tab w:val="center" w:pos="4320"/>
        <w:tab w:val="right" w:pos="8640"/>
      </w:tabs>
    </w:pPr>
  </w:style>
  <w:style w:type="paragraph" w:styleId="Footer">
    <w:name w:val="footer"/>
    <w:basedOn w:val="Normal"/>
    <w:rsid w:val="000C5E11"/>
    <w:pPr>
      <w:tabs>
        <w:tab w:val="center" w:pos="4320"/>
        <w:tab w:val="right" w:pos="8640"/>
      </w:tabs>
    </w:pPr>
  </w:style>
  <w:style w:type="paragraph" w:styleId="BalloonText">
    <w:name w:val="Balloon Text"/>
    <w:basedOn w:val="Normal"/>
    <w:link w:val="BalloonTextChar"/>
    <w:rsid w:val="00C4076A"/>
    <w:rPr>
      <w:rFonts w:ascii="Tahoma" w:hAnsi="Tahoma" w:cs="Tahoma"/>
      <w:sz w:val="16"/>
      <w:szCs w:val="16"/>
    </w:rPr>
  </w:style>
  <w:style w:type="character" w:customStyle="1" w:styleId="BalloonTextChar">
    <w:name w:val="Balloon Text Char"/>
    <w:link w:val="BalloonText"/>
    <w:rsid w:val="00C4076A"/>
    <w:rPr>
      <w:rFonts w:ascii="Tahoma" w:hAnsi="Tahoma" w:cs="Tahoma"/>
      <w:sz w:val="16"/>
      <w:szCs w:val="16"/>
    </w:rPr>
  </w:style>
  <w:style w:type="character" w:customStyle="1" w:styleId="HeaderChar">
    <w:name w:val="Header Char"/>
    <w:link w:val="Header"/>
    <w:uiPriority w:val="99"/>
    <w:rsid w:val="00761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5E11"/>
    <w:pPr>
      <w:jc w:val="center"/>
    </w:pPr>
    <w:rPr>
      <w:b/>
      <w:sz w:val="32"/>
    </w:rPr>
  </w:style>
  <w:style w:type="paragraph" w:styleId="BodyTextIndent2">
    <w:name w:val="Body Text Indent 2"/>
    <w:basedOn w:val="Normal"/>
    <w:rsid w:val="000C5E11"/>
    <w:pPr>
      <w:ind w:left="360"/>
    </w:pPr>
    <w:rPr>
      <w:sz w:val="24"/>
    </w:rPr>
  </w:style>
  <w:style w:type="paragraph" w:styleId="Index1">
    <w:name w:val="index 1"/>
    <w:basedOn w:val="Normal"/>
    <w:next w:val="Normal"/>
    <w:autoRedefine/>
    <w:semiHidden/>
    <w:rsid w:val="000C5E11"/>
    <w:pPr>
      <w:ind w:left="200" w:hanging="200"/>
    </w:pPr>
  </w:style>
  <w:style w:type="paragraph" w:styleId="IndexHeading">
    <w:name w:val="index heading"/>
    <w:basedOn w:val="Normal"/>
    <w:next w:val="Index1"/>
    <w:semiHidden/>
    <w:rsid w:val="000C5E11"/>
    <w:pPr>
      <w:keepNext/>
      <w:spacing w:line="480" w:lineRule="atLeast"/>
    </w:pPr>
    <w:rPr>
      <w:rFonts w:ascii="Arial Black" w:hAnsi="Arial Black"/>
      <w:spacing w:val="-5"/>
      <w:sz w:val="24"/>
    </w:rPr>
  </w:style>
  <w:style w:type="paragraph" w:styleId="BodyTextIndent3">
    <w:name w:val="Body Text Indent 3"/>
    <w:basedOn w:val="Normal"/>
    <w:rsid w:val="000C5E11"/>
    <w:pPr>
      <w:numPr>
        <w:ilvl w:val="12"/>
      </w:numPr>
      <w:ind w:left="360"/>
    </w:pPr>
  </w:style>
  <w:style w:type="paragraph" w:styleId="Header">
    <w:name w:val="header"/>
    <w:basedOn w:val="Normal"/>
    <w:link w:val="HeaderChar"/>
    <w:uiPriority w:val="99"/>
    <w:rsid w:val="000C5E11"/>
    <w:pPr>
      <w:tabs>
        <w:tab w:val="center" w:pos="4320"/>
        <w:tab w:val="right" w:pos="8640"/>
      </w:tabs>
    </w:pPr>
  </w:style>
  <w:style w:type="paragraph" w:styleId="Footer">
    <w:name w:val="footer"/>
    <w:basedOn w:val="Normal"/>
    <w:rsid w:val="000C5E11"/>
    <w:pPr>
      <w:tabs>
        <w:tab w:val="center" w:pos="4320"/>
        <w:tab w:val="right" w:pos="8640"/>
      </w:tabs>
    </w:pPr>
  </w:style>
  <w:style w:type="paragraph" w:styleId="BalloonText">
    <w:name w:val="Balloon Text"/>
    <w:basedOn w:val="Normal"/>
    <w:link w:val="BalloonTextChar"/>
    <w:rsid w:val="00C4076A"/>
    <w:rPr>
      <w:rFonts w:ascii="Tahoma" w:hAnsi="Tahoma" w:cs="Tahoma"/>
      <w:sz w:val="16"/>
      <w:szCs w:val="16"/>
    </w:rPr>
  </w:style>
  <w:style w:type="character" w:customStyle="1" w:styleId="BalloonTextChar">
    <w:name w:val="Balloon Text Char"/>
    <w:link w:val="BalloonText"/>
    <w:rsid w:val="00C4076A"/>
    <w:rPr>
      <w:rFonts w:ascii="Tahoma" w:hAnsi="Tahoma" w:cs="Tahoma"/>
      <w:sz w:val="16"/>
      <w:szCs w:val="16"/>
    </w:rPr>
  </w:style>
  <w:style w:type="character" w:customStyle="1" w:styleId="HeaderChar">
    <w:name w:val="Header Char"/>
    <w:link w:val="Header"/>
    <w:uiPriority w:val="99"/>
    <w:rsid w:val="0076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vt:lpstr>
    </vt:vector>
  </TitlesOfParts>
  <Company>Air Traffic Organization</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Taylor CTR Dahl</dc:creator>
  <cp:keywords/>
  <cp:lastModifiedBy>SYSTEM</cp:lastModifiedBy>
  <cp:revision>2</cp:revision>
  <dcterms:created xsi:type="dcterms:W3CDTF">2017-09-11T19:01:00Z</dcterms:created>
  <dcterms:modified xsi:type="dcterms:W3CDTF">2017-09-11T19:01:00Z</dcterms:modified>
</cp:coreProperties>
</file>