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CDB44" w14:textId="6F2A2F83" w:rsidR="00E90F3C" w:rsidRPr="00EB5FCE" w:rsidRDefault="00E90F3C" w:rsidP="00E90F3C">
      <w:pPr>
        <w:tabs>
          <w:tab w:val="left" w:pos="0"/>
          <w:tab w:val="left" w:pos="360"/>
          <w:tab w:val="left" w:pos="720"/>
        </w:tabs>
        <w:suppressAutoHyphens/>
        <w:spacing w:line="240" w:lineRule="atLeast"/>
        <w:jc w:val="center"/>
        <w:rPr>
          <w:sz w:val="24"/>
          <w:szCs w:val="24"/>
        </w:rPr>
      </w:pPr>
      <w:bookmarkStart w:id="0" w:name="_GoBack"/>
      <w:bookmarkEnd w:id="0"/>
      <w:r w:rsidRPr="00EB5FCE">
        <w:rPr>
          <w:b/>
          <w:bCs/>
          <w:sz w:val="24"/>
          <w:szCs w:val="24"/>
        </w:rPr>
        <w:t xml:space="preserve">SUPPORTING STATEMENT FOR </w:t>
      </w:r>
    </w:p>
    <w:p w14:paraId="4A0E9E9E" w14:textId="77777777" w:rsidR="002B04E9" w:rsidRDefault="004A1F50" w:rsidP="00EB5FCE">
      <w:pPr>
        <w:tabs>
          <w:tab w:val="left" w:pos="0"/>
          <w:tab w:val="left" w:pos="360"/>
          <w:tab w:val="left" w:pos="720"/>
        </w:tabs>
        <w:suppressAutoHyphens/>
        <w:spacing w:line="240" w:lineRule="atLeast"/>
        <w:jc w:val="center"/>
        <w:rPr>
          <w:b/>
          <w:bCs/>
          <w:sz w:val="24"/>
          <w:szCs w:val="24"/>
        </w:rPr>
      </w:pPr>
      <w:r>
        <w:rPr>
          <w:b/>
          <w:bCs/>
          <w:sz w:val="24"/>
          <w:szCs w:val="24"/>
        </w:rPr>
        <w:t>RURAL HEALTH CLINIC</w:t>
      </w:r>
      <w:r w:rsidR="00F52474">
        <w:rPr>
          <w:b/>
          <w:bCs/>
          <w:sz w:val="24"/>
          <w:szCs w:val="24"/>
        </w:rPr>
        <w:t xml:space="preserve"> C</w:t>
      </w:r>
      <w:r w:rsidR="00E90F3C" w:rsidRPr="00EB5FCE">
        <w:rPr>
          <w:b/>
          <w:bCs/>
          <w:sz w:val="24"/>
          <w:szCs w:val="24"/>
        </w:rPr>
        <w:t>OST REPORT</w:t>
      </w:r>
    </w:p>
    <w:p w14:paraId="38AFAA5D" w14:textId="77777777" w:rsidR="002B04E9" w:rsidRPr="00EB5FCE" w:rsidRDefault="002B04E9" w:rsidP="002B04E9">
      <w:pPr>
        <w:tabs>
          <w:tab w:val="left" w:pos="0"/>
          <w:tab w:val="left" w:pos="360"/>
          <w:tab w:val="left" w:pos="720"/>
        </w:tabs>
        <w:suppressAutoHyphens/>
        <w:spacing w:line="240" w:lineRule="atLeast"/>
        <w:jc w:val="center"/>
        <w:rPr>
          <w:sz w:val="24"/>
          <w:szCs w:val="24"/>
        </w:rPr>
      </w:pPr>
      <w:r w:rsidRPr="00EB5FCE">
        <w:rPr>
          <w:b/>
          <w:bCs/>
          <w:sz w:val="24"/>
          <w:szCs w:val="24"/>
        </w:rPr>
        <w:t>FORM CMS-</w:t>
      </w:r>
      <w:r>
        <w:rPr>
          <w:b/>
          <w:bCs/>
          <w:sz w:val="24"/>
          <w:szCs w:val="24"/>
        </w:rPr>
        <w:t>222-17</w:t>
      </w:r>
    </w:p>
    <w:p w14:paraId="14C4BDE3" w14:textId="2DE8025E" w:rsidR="00D22C70" w:rsidRPr="00EB5FCE" w:rsidRDefault="00E90F3C" w:rsidP="00EB5FCE">
      <w:pPr>
        <w:tabs>
          <w:tab w:val="left" w:pos="0"/>
          <w:tab w:val="left" w:pos="360"/>
          <w:tab w:val="left" w:pos="720"/>
        </w:tabs>
        <w:suppressAutoHyphens/>
        <w:spacing w:line="240" w:lineRule="atLeast"/>
        <w:jc w:val="center"/>
        <w:rPr>
          <w:b/>
          <w:bCs/>
          <w:sz w:val="24"/>
          <w:szCs w:val="24"/>
        </w:rPr>
      </w:pPr>
      <w:r w:rsidRPr="00EB5FCE">
        <w:rPr>
          <w:b/>
          <w:bCs/>
          <w:sz w:val="24"/>
          <w:szCs w:val="24"/>
        </w:rPr>
        <w:t xml:space="preserve"> </w:t>
      </w:r>
    </w:p>
    <w:p w14:paraId="5AB55C72" w14:textId="77777777" w:rsidR="00D22C70" w:rsidRDefault="00D22C70">
      <w:pPr>
        <w:tabs>
          <w:tab w:val="left" w:pos="0"/>
          <w:tab w:val="left" w:pos="360"/>
          <w:tab w:val="left" w:pos="720"/>
        </w:tabs>
        <w:suppressAutoHyphens/>
        <w:spacing w:line="240" w:lineRule="atLeast"/>
        <w:rPr>
          <w:sz w:val="24"/>
          <w:szCs w:val="24"/>
        </w:rPr>
      </w:pPr>
    </w:p>
    <w:p w14:paraId="7AA856FB" w14:textId="77777777" w:rsidR="00E17B95" w:rsidRPr="00A211BB" w:rsidRDefault="00E17B95">
      <w:pPr>
        <w:tabs>
          <w:tab w:val="left" w:pos="0"/>
          <w:tab w:val="left" w:pos="360"/>
          <w:tab w:val="left" w:pos="720"/>
        </w:tabs>
        <w:suppressAutoHyphens/>
        <w:spacing w:line="240" w:lineRule="atLeast"/>
        <w:rPr>
          <w:sz w:val="24"/>
          <w:szCs w:val="24"/>
        </w:rPr>
      </w:pPr>
    </w:p>
    <w:p w14:paraId="271DC5A9" w14:textId="533C7905" w:rsidR="00D22C70" w:rsidRPr="00A211BB" w:rsidRDefault="00B03FC2">
      <w:pPr>
        <w:tabs>
          <w:tab w:val="left" w:pos="0"/>
          <w:tab w:val="left" w:pos="360"/>
          <w:tab w:val="left" w:pos="720"/>
        </w:tabs>
        <w:suppressAutoHyphens/>
        <w:spacing w:line="240" w:lineRule="atLeast"/>
        <w:ind w:left="360" w:hanging="360"/>
        <w:rPr>
          <w:b/>
          <w:sz w:val="24"/>
          <w:szCs w:val="24"/>
        </w:rPr>
      </w:pPr>
      <w:r w:rsidRPr="00B03FC2">
        <w:rPr>
          <w:b/>
          <w:bCs/>
          <w:sz w:val="24"/>
          <w:szCs w:val="24"/>
        </w:rPr>
        <w:tab/>
      </w:r>
      <w:r w:rsidR="00D22C70" w:rsidRPr="00353735">
        <w:rPr>
          <w:b/>
          <w:bCs/>
          <w:sz w:val="24"/>
          <w:szCs w:val="24"/>
          <w:u w:val="single"/>
        </w:rPr>
        <w:t>BACKGROUND</w:t>
      </w:r>
    </w:p>
    <w:p w14:paraId="3C349C37" w14:textId="77777777" w:rsidR="00D22C70" w:rsidRPr="00A211BB" w:rsidRDefault="00D22C70" w:rsidP="00B03FC2">
      <w:pPr>
        <w:tabs>
          <w:tab w:val="left" w:pos="0"/>
          <w:tab w:val="left" w:pos="360"/>
          <w:tab w:val="left" w:pos="720"/>
        </w:tabs>
        <w:suppressAutoHyphens/>
        <w:spacing w:line="240" w:lineRule="atLeast"/>
        <w:rPr>
          <w:sz w:val="24"/>
          <w:szCs w:val="24"/>
        </w:rPr>
      </w:pPr>
    </w:p>
    <w:p w14:paraId="79F196B6" w14:textId="6BCACE0E" w:rsidR="00C76D2D" w:rsidRPr="00015120" w:rsidRDefault="00D22C70" w:rsidP="00420E87">
      <w:pPr>
        <w:tabs>
          <w:tab w:val="left" w:pos="0"/>
          <w:tab w:val="left" w:pos="360"/>
          <w:tab w:val="left" w:pos="720"/>
        </w:tabs>
        <w:suppressAutoHyphens/>
        <w:spacing w:line="240" w:lineRule="atLeast"/>
        <w:rPr>
          <w:sz w:val="24"/>
          <w:szCs w:val="24"/>
        </w:rPr>
      </w:pPr>
      <w:r w:rsidRPr="00A211BB">
        <w:rPr>
          <w:sz w:val="24"/>
          <w:szCs w:val="24"/>
        </w:rPr>
        <w:t>CMS is requesting the Office of Management and Budget (OMB) review and approv</w:t>
      </w:r>
      <w:r w:rsidR="00AD6821">
        <w:rPr>
          <w:sz w:val="24"/>
          <w:szCs w:val="24"/>
        </w:rPr>
        <w:t xml:space="preserve">e </w:t>
      </w:r>
      <w:r w:rsidR="006071A9" w:rsidRPr="006071A9">
        <w:rPr>
          <w:sz w:val="24"/>
        </w:rPr>
        <w:t>the revisions made to OMB No. 0938-0</w:t>
      </w:r>
      <w:r w:rsidR="006071A9">
        <w:rPr>
          <w:sz w:val="24"/>
        </w:rPr>
        <w:t xml:space="preserve">107, the </w:t>
      </w:r>
      <w:r w:rsidR="004A1F50">
        <w:rPr>
          <w:sz w:val="24"/>
          <w:szCs w:val="24"/>
        </w:rPr>
        <w:t>Rural Health Clinic</w:t>
      </w:r>
      <w:r w:rsidR="00B855C9">
        <w:rPr>
          <w:sz w:val="24"/>
          <w:szCs w:val="24"/>
        </w:rPr>
        <w:t xml:space="preserve"> </w:t>
      </w:r>
      <w:r w:rsidR="00F52474">
        <w:rPr>
          <w:sz w:val="24"/>
          <w:szCs w:val="24"/>
        </w:rPr>
        <w:t>(</w:t>
      </w:r>
      <w:r w:rsidR="004A1F50">
        <w:rPr>
          <w:sz w:val="24"/>
          <w:szCs w:val="24"/>
        </w:rPr>
        <w:t>RHC</w:t>
      </w:r>
      <w:r w:rsidR="00F52474">
        <w:rPr>
          <w:sz w:val="24"/>
          <w:szCs w:val="24"/>
        </w:rPr>
        <w:t xml:space="preserve">) </w:t>
      </w:r>
      <w:r w:rsidR="00CC1DEA">
        <w:rPr>
          <w:sz w:val="24"/>
          <w:szCs w:val="24"/>
        </w:rPr>
        <w:t>Cost R</w:t>
      </w:r>
      <w:r w:rsidR="00B855C9">
        <w:rPr>
          <w:sz w:val="24"/>
          <w:szCs w:val="24"/>
        </w:rPr>
        <w:t>eport</w:t>
      </w:r>
      <w:r w:rsidR="00AA63A7">
        <w:rPr>
          <w:sz w:val="24"/>
          <w:szCs w:val="24"/>
        </w:rPr>
        <w:t xml:space="preserve"> Form CMS</w:t>
      </w:r>
      <w:r w:rsidR="0089152D">
        <w:rPr>
          <w:sz w:val="24"/>
          <w:szCs w:val="24"/>
        </w:rPr>
        <w:noBreakHyphen/>
      </w:r>
      <w:r w:rsidR="004A1F50">
        <w:rPr>
          <w:sz w:val="24"/>
          <w:szCs w:val="24"/>
        </w:rPr>
        <w:t>222</w:t>
      </w:r>
      <w:r w:rsidR="00AA63A7">
        <w:rPr>
          <w:sz w:val="24"/>
          <w:szCs w:val="24"/>
        </w:rPr>
        <w:t>-17, which replaces the</w:t>
      </w:r>
      <w:r w:rsidR="00343AFC">
        <w:rPr>
          <w:sz w:val="24"/>
          <w:szCs w:val="24"/>
        </w:rPr>
        <w:t xml:space="preserve"> </w:t>
      </w:r>
      <w:r w:rsidR="004A1F50">
        <w:rPr>
          <w:sz w:val="24"/>
          <w:szCs w:val="24"/>
        </w:rPr>
        <w:t>RHC</w:t>
      </w:r>
      <w:r w:rsidR="00343AFC">
        <w:rPr>
          <w:sz w:val="24"/>
          <w:szCs w:val="24"/>
        </w:rPr>
        <w:t xml:space="preserve"> Cost Report Form CMS-</w:t>
      </w:r>
      <w:r w:rsidR="004A1F50">
        <w:rPr>
          <w:sz w:val="24"/>
          <w:szCs w:val="24"/>
        </w:rPr>
        <w:t>222-92</w:t>
      </w:r>
      <w:r w:rsidR="00AA63A7">
        <w:rPr>
          <w:sz w:val="24"/>
          <w:szCs w:val="24"/>
        </w:rPr>
        <w:t>.</w:t>
      </w:r>
      <w:r w:rsidR="00B855C9">
        <w:rPr>
          <w:sz w:val="24"/>
          <w:szCs w:val="24"/>
        </w:rPr>
        <w:t xml:space="preserve"> </w:t>
      </w:r>
      <w:r w:rsidR="0089152D">
        <w:rPr>
          <w:sz w:val="24"/>
          <w:szCs w:val="24"/>
        </w:rPr>
        <w:t xml:space="preserve"> </w:t>
      </w:r>
      <w:r w:rsidR="0089152D" w:rsidRPr="0089152D">
        <w:rPr>
          <w:sz w:val="24"/>
          <w:szCs w:val="24"/>
        </w:rPr>
        <w:t>Th</w:t>
      </w:r>
      <w:r w:rsidR="002B04E9">
        <w:rPr>
          <w:sz w:val="24"/>
          <w:szCs w:val="24"/>
        </w:rPr>
        <w:t>e forms are revised to capture medical and mental health visits by payer and to remove</w:t>
      </w:r>
      <w:r w:rsidR="0089152D" w:rsidRPr="0089152D">
        <w:rPr>
          <w:sz w:val="24"/>
          <w:szCs w:val="24"/>
        </w:rPr>
        <w:t xml:space="preserve"> all references to Federally Qualified Health Centers (FQHC)</w:t>
      </w:r>
      <w:r w:rsidR="002B04E9">
        <w:rPr>
          <w:sz w:val="24"/>
          <w:szCs w:val="24"/>
        </w:rPr>
        <w:t>,</w:t>
      </w:r>
      <w:r w:rsidR="0089152D" w:rsidRPr="0089152D">
        <w:rPr>
          <w:sz w:val="24"/>
          <w:szCs w:val="24"/>
        </w:rPr>
        <w:t xml:space="preserve"> as FQHCs are now required to complete </w:t>
      </w:r>
      <w:r w:rsidR="00981C55" w:rsidRPr="0089152D">
        <w:rPr>
          <w:sz w:val="24"/>
          <w:szCs w:val="24"/>
        </w:rPr>
        <w:t>OMB No. 09</w:t>
      </w:r>
      <w:r w:rsidR="002B04E9">
        <w:rPr>
          <w:sz w:val="24"/>
          <w:szCs w:val="24"/>
        </w:rPr>
        <w:t>38</w:t>
      </w:r>
      <w:r w:rsidR="00F608F2">
        <w:rPr>
          <w:sz w:val="24"/>
          <w:szCs w:val="24"/>
        </w:rPr>
        <w:noBreakHyphen/>
      </w:r>
      <w:r w:rsidR="00981C55" w:rsidRPr="0089152D">
        <w:rPr>
          <w:sz w:val="24"/>
          <w:szCs w:val="24"/>
        </w:rPr>
        <w:t>1298</w:t>
      </w:r>
      <w:r w:rsidR="00981C55">
        <w:rPr>
          <w:sz w:val="24"/>
          <w:szCs w:val="24"/>
        </w:rPr>
        <w:t xml:space="preserve">, </w:t>
      </w:r>
      <w:r w:rsidR="0089152D" w:rsidRPr="0089152D">
        <w:rPr>
          <w:sz w:val="24"/>
          <w:szCs w:val="24"/>
        </w:rPr>
        <w:t>the FQHC Cost Report Form CMS-224</w:t>
      </w:r>
      <w:r w:rsidR="0089152D">
        <w:rPr>
          <w:sz w:val="24"/>
          <w:szCs w:val="24"/>
        </w:rPr>
        <w:t>-</w:t>
      </w:r>
      <w:r w:rsidR="0089152D" w:rsidRPr="0089152D">
        <w:rPr>
          <w:sz w:val="24"/>
          <w:szCs w:val="24"/>
        </w:rPr>
        <w:t xml:space="preserve">14.  </w:t>
      </w:r>
      <w:r w:rsidR="002B04E9">
        <w:rPr>
          <w:sz w:val="24"/>
          <w:szCs w:val="24"/>
        </w:rPr>
        <w:t>In addition, the</w:t>
      </w:r>
      <w:r w:rsidR="00BB55D2" w:rsidRPr="00BB55D2">
        <w:rPr>
          <w:sz w:val="24"/>
          <w:szCs w:val="24"/>
        </w:rPr>
        <w:t xml:space="preserve"> forms are revised to incorporate data previously reported on OMB No. 0938-0301, the Provider Cost Report Reimbursement Questionnaire, Form CMS-339</w:t>
      </w:r>
      <w:r w:rsidR="002B04E9">
        <w:rPr>
          <w:sz w:val="24"/>
          <w:szCs w:val="24"/>
        </w:rPr>
        <w:t>.</w:t>
      </w:r>
    </w:p>
    <w:p w14:paraId="6CD3623B" w14:textId="77777777" w:rsidR="008E5646" w:rsidRDefault="008E5646">
      <w:pPr>
        <w:tabs>
          <w:tab w:val="left" w:pos="0"/>
          <w:tab w:val="left" w:pos="360"/>
          <w:tab w:val="left" w:pos="720"/>
        </w:tabs>
        <w:suppressAutoHyphens/>
        <w:spacing w:line="240" w:lineRule="atLeast"/>
        <w:rPr>
          <w:b/>
          <w:bCs/>
          <w:sz w:val="24"/>
          <w:szCs w:val="24"/>
        </w:rPr>
      </w:pPr>
    </w:p>
    <w:p w14:paraId="046C6B0C" w14:textId="77777777" w:rsidR="008E5646" w:rsidRDefault="008E5646">
      <w:pPr>
        <w:tabs>
          <w:tab w:val="left" w:pos="0"/>
          <w:tab w:val="left" w:pos="360"/>
          <w:tab w:val="left" w:pos="720"/>
        </w:tabs>
        <w:suppressAutoHyphens/>
        <w:spacing w:line="240" w:lineRule="atLeast"/>
        <w:rPr>
          <w:b/>
          <w:bCs/>
          <w:sz w:val="24"/>
          <w:szCs w:val="24"/>
        </w:rPr>
      </w:pPr>
    </w:p>
    <w:p w14:paraId="442FD029" w14:textId="46753C4B" w:rsidR="00D22C70" w:rsidRPr="00A211BB" w:rsidRDefault="00B03FC2">
      <w:pPr>
        <w:tabs>
          <w:tab w:val="left" w:pos="0"/>
          <w:tab w:val="left" w:pos="360"/>
          <w:tab w:val="left" w:pos="720"/>
        </w:tabs>
        <w:suppressAutoHyphens/>
        <w:spacing w:line="240" w:lineRule="atLeast"/>
        <w:rPr>
          <w:b/>
          <w:sz w:val="24"/>
          <w:szCs w:val="24"/>
        </w:rPr>
      </w:pPr>
      <w:r>
        <w:rPr>
          <w:b/>
          <w:bCs/>
          <w:sz w:val="24"/>
          <w:szCs w:val="24"/>
        </w:rPr>
        <w:t>A</w:t>
      </w:r>
      <w:r w:rsidR="00D22C70" w:rsidRPr="00A211BB">
        <w:rPr>
          <w:b/>
          <w:bCs/>
          <w:sz w:val="24"/>
          <w:szCs w:val="24"/>
        </w:rPr>
        <w:t>.</w:t>
      </w:r>
      <w:r w:rsidR="00D22C70" w:rsidRPr="00A211BB">
        <w:rPr>
          <w:b/>
          <w:bCs/>
          <w:sz w:val="24"/>
          <w:szCs w:val="24"/>
        </w:rPr>
        <w:tab/>
      </w:r>
      <w:r w:rsidR="00D22C70" w:rsidRPr="00353735">
        <w:rPr>
          <w:b/>
          <w:bCs/>
          <w:sz w:val="24"/>
          <w:szCs w:val="24"/>
          <w:u w:val="single"/>
        </w:rPr>
        <w:t>JUSTIFICATION</w:t>
      </w:r>
      <w:r w:rsidR="00D22C70" w:rsidRPr="00A211BB">
        <w:rPr>
          <w:b/>
          <w:sz w:val="24"/>
          <w:szCs w:val="24"/>
        </w:rPr>
        <w:t xml:space="preserve"> </w:t>
      </w:r>
    </w:p>
    <w:p w14:paraId="79517B19" w14:textId="77777777" w:rsidR="00D22C70" w:rsidRPr="00A211BB" w:rsidRDefault="00D22C70">
      <w:pPr>
        <w:tabs>
          <w:tab w:val="left" w:pos="0"/>
          <w:tab w:val="left" w:pos="360"/>
          <w:tab w:val="left" w:pos="720"/>
        </w:tabs>
        <w:suppressAutoHyphens/>
        <w:spacing w:line="240" w:lineRule="atLeast"/>
        <w:rPr>
          <w:sz w:val="24"/>
          <w:szCs w:val="24"/>
        </w:rPr>
      </w:pPr>
    </w:p>
    <w:p w14:paraId="45EC75DA" w14:textId="77777777" w:rsidR="007952CC" w:rsidRPr="00AA6C7B"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AA6C7B">
        <w:rPr>
          <w:sz w:val="24"/>
          <w:szCs w:val="24"/>
          <w:u w:val="single"/>
        </w:rPr>
        <w:t>Need and Legal Basis</w:t>
      </w:r>
    </w:p>
    <w:p w14:paraId="1B720B22" w14:textId="77777777" w:rsidR="00D22C70" w:rsidRPr="00A211BB" w:rsidRDefault="00D22C70" w:rsidP="00DA7D1E">
      <w:pPr>
        <w:tabs>
          <w:tab w:val="left" w:pos="0"/>
          <w:tab w:val="left" w:pos="720"/>
        </w:tabs>
        <w:suppressAutoHyphens/>
        <w:spacing w:line="240" w:lineRule="atLeast"/>
        <w:rPr>
          <w:sz w:val="24"/>
          <w:szCs w:val="24"/>
        </w:rPr>
      </w:pPr>
    </w:p>
    <w:p w14:paraId="0121D027" w14:textId="77777777" w:rsidR="00E90F3C" w:rsidRDefault="00E90F3C" w:rsidP="00552775">
      <w:pPr>
        <w:tabs>
          <w:tab w:val="left" w:pos="0"/>
          <w:tab w:val="left" w:pos="720"/>
        </w:tabs>
        <w:suppressAutoHyphens/>
        <w:spacing w:line="240" w:lineRule="atLeast"/>
        <w:ind w:left="720"/>
        <w:rPr>
          <w:sz w:val="24"/>
          <w:szCs w:val="24"/>
        </w:rPr>
      </w:pPr>
      <w:r w:rsidRPr="00E90F3C">
        <w:rPr>
          <w:sz w:val="24"/>
          <w:szCs w:val="24"/>
        </w:rPr>
        <w:t xml:space="preserve">Providers of services participating in the Medicare program are required under sections 1815(a), 1833(e) and 1861(v)(1)(A) of the Social Security Act (42 USC 1395g) to submit annual information to achieve settlement of costs for health care services rendered to Medicare beneficiaries.  In addition, regulations at 42 CFR 413.20 and 413.24 require adequate cost data and cost reports from providers on an annual basis.  </w:t>
      </w:r>
    </w:p>
    <w:p w14:paraId="093B0F82" w14:textId="77777777" w:rsidR="00E90F3C" w:rsidRDefault="00E90F3C" w:rsidP="00552775">
      <w:pPr>
        <w:tabs>
          <w:tab w:val="left" w:pos="0"/>
          <w:tab w:val="left" w:pos="720"/>
        </w:tabs>
        <w:suppressAutoHyphens/>
        <w:spacing w:line="240" w:lineRule="atLeast"/>
        <w:ind w:left="720"/>
        <w:rPr>
          <w:sz w:val="24"/>
          <w:szCs w:val="24"/>
        </w:rPr>
      </w:pPr>
    </w:p>
    <w:p w14:paraId="5DF9C682" w14:textId="611AE1DD" w:rsidR="004B1A89" w:rsidRDefault="00DA7D1E" w:rsidP="000E3D92">
      <w:pPr>
        <w:spacing w:line="242" w:lineRule="auto"/>
        <w:ind w:left="720"/>
        <w:rPr>
          <w:sz w:val="24"/>
        </w:rPr>
      </w:pPr>
      <w:r>
        <w:rPr>
          <w:sz w:val="24"/>
          <w:szCs w:val="24"/>
        </w:rPr>
        <w:t xml:space="preserve">The </w:t>
      </w:r>
      <w:r w:rsidR="00B00AAB">
        <w:rPr>
          <w:sz w:val="24"/>
          <w:szCs w:val="24"/>
        </w:rPr>
        <w:t>F</w:t>
      </w:r>
      <w:r>
        <w:rPr>
          <w:sz w:val="24"/>
          <w:szCs w:val="24"/>
        </w:rPr>
        <w:t xml:space="preserve">orm </w:t>
      </w:r>
      <w:r w:rsidR="007B40EA">
        <w:rPr>
          <w:sz w:val="24"/>
          <w:szCs w:val="24"/>
        </w:rPr>
        <w:t>CMS-</w:t>
      </w:r>
      <w:r w:rsidR="004A1F50">
        <w:rPr>
          <w:sz w:val="24"/>
          <w:szCs w:val="24"/>
        </w:rPr>
        <w:t>222</w:t>
      </w:r>
      <w:r w:rsidR="007B40EA">
        <w:rPr>
          <w:sz w:val="24"/>
          <w:szCs w:val="24"/>
        </w:rPr>
        <w:t>-</w:t>
      </w:r>
      <w:r w:rsidR="00F25A28">
        <w:rPr>
          <w:sz w:val="24"/>
          <w:szCs w:val="24"/>
        </w:rPr>
        <w:t>17</w:t>
      </w:r>
      <w:r w:rsidR="00D22C70" w:rsidRPr="00A211BB">
        <w:rPr>
          <w:sz w:val="24"/>
          <w:szCs w:val="24"/>
        </w:rPr>
        <w:t xml:space="preserve"> cost report is needed to determine </w:t>
      </w:r>
      <w:r w:rsidR="007F2341">
        <w:rPr>
          <w:sz w:val="24"/>
          <w:szCs w:val="24"/>
        </w:rPr>
        <w:t xml:space="preserve">a </w:t>
      </w:r>
      <w:r>
        <w:rPr>
          <w:sz w:val="24"/>
          <w:szCs w:val="24"/>
        </w:rPr>
        <w:t>provider’s reasonable cost</w:t>
      </w:r>
      <w:r w:rsidR="002B04E9">
        <w:rPr>
          <w:sz w:val="24"/>
          <w:szCs w:val="24"/>
        </w:rPr>
        <w:t>s</w:t>
      </w:r>
      <w:r>
        <w:rPr>
          <w:sz w:val="24"/>
          <w:szCs w:val="24"/>
        </w:rPr>
        <w:t xml:space="preserve"> incurred in furnishing medical services to Medicare beneficiaries and reimbursement due to or from a provider. </w:t>
      </w:r>
      <w:r w:rsidR="004B1A89">
        <w:rPr>
          <w:sz w:val="24"/>
        </w:rPr>
        <w:t>The data is used by CMS to calculate</w:t>
      </w:r>
      <w:r w:rsidR="00543B72">
        <w:rPr>
          <w:sz w:val="24"/>
        </w:rPr>
        <w:t xml:space="preserve"> r</w:t>
      </w:r>
      <w:r w:rsidR="004B1A89">
        <w:rPr>
          <w:sz w:val="24"/>
        </w:rPr>
        <w:t>ate setting and payment refinement</w:t>
      </w:r>
      <w:r w:rsidR="00543B72">
        <w:rPr>
          <w:sz w:val="24"/>
        </w:rPr>
        <w:t>s.</w:t>
      </w:r>
    </w:p>
    <w:p w14:paraId="1F9E533F" w14:textId="77777777" w:rsidR="00453088" w:rsidRPr="00A211BB" w:rsidRDefault="00453088" w:rsidP="00A211BB">
      <w:pPr>
        <w:tabs>
          <w:tab w:val="left" w:pos="0"/>
          <w:tab w:val="left" w:pos="360"/>
          <w:tab w:val="left" w:pos="720"/>
        </w:tabs>
        <w:suppressAutoHyphens/>
        <w:spacing w:line="240" w:lineRule="atLeast"/>
        <w:ind w:left="360"/>
        <w:rPr>
          <w:sz w:val="24"/>
          <w:szCs w:val="24"/>
        </w:rPr>
      </w:pPr>
    </w:p>
    <w:p w14:paraId="2136ADFD" w14:textId="77777777" w:rsidR="007952CC" w:rsidRPr="00AA6C7B" w:rsidRDefault="00D22C70" w:rsidP="007952CC">
      <w:pPr>
        <w:pStyle w:val="ListParagraph"/>
        <w:numPr>
          <w:ilvl w:val="0"/>
          <w:numId w:val="6"/>
        </w:numPr>
        <w:tabs>
          <w:tab w:val="left" w:pos="0"/>
          <w:tab w:val="left" w:pos="360"/>
          <w:tab w:val="left" w:pos="720"/>
        </w:tabs>
        <w:suppressAutoHyphens/>
        <w:spacing w:line="240" w:lineRule="atLeast"/>
        <w:rPr>
          <w:sz w:val="24"/>
          <w:szCs w:val="24"/>
          <w:u w:val="single"/>
        </w:rPr>
      </w:pPr>
      <w:r w:rsidRPr="00AA6C7B">
        <w:rPr>
          <w:sz w:val="24"/>
          <w:szCs w:val="24"/>
          <w:u w:val="single"/>
        </w:rPr>
        <w:t>Information Users</w:t>
      </w:r>
    </w:p>
    <w:p w14:paraId="49BD7D94"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0587793A" w14:textId="247C7C5F" w:rsidR="00DA7D1E" w:rsidRPr="00DA7D1E" w:rsidRDefault="00DA7D1E" w:rsidP="00DA7D1E">
      <w:pPr>
        <w:tabs>
          <w:tab w:val="left" w:pos="0"/>
          <w:tab w:val="left" w:pos="720"/>
        </w:tabs>
        <w:suppressAutoHyphens/>
        <w:spacing w:line="240" w:lineRule="atLeast"/>
        <w:ind w:left="720"/>
        <w:rPr>
          <w:sz w:val="24"/>
          <w:szCs w:val="24"/>
        </w:rPr>
      </w:pPr>
      <w:r w:rsidRPr="00DA7D1E">
        <w:rPr>
          <w:sz w:val="24"/>
          <w:szCs w:val="24"/>
        </w:rPr>
        <w:t>The cost reports are required to be filed with the provider’s Medicare Ad</w:t>
      </w:r>
      <w:r w:rsidR="00180FB0">
        <w:rPr>
          <w:sz w:val="24"/>
          <w:szCs w:val="24"/>
        </w:rPr>
        <w:t xml:space="preserve">ministrative Contractor (MAC). </w:t>
      </w:r>
      <w:r w:rsidRPr="00DA7D1E">
        <w:rPr>
          <w:sz w:val="24"/>
          <w:szCs w:val="24"/>
        </w:rPr>
        <w:t xml:space="preserve">The functions of the MAC are described in section 1816 of the Social Security Act. </w:t>
      </w:r>
    </w:p>
    <w:p w14:paraId="39424D1C" w14:textId="77777777" w:rsidR="00DA7D1E" w:rsidRPr="00DA7D1E" w:rsidRDefault="00DA7D1E" w:rsidP="00DA7D1E">
      <w:pPr>
        <w:tabs>
          <w:tab w:val="left" w:pos="0"/>
          <w:tab w:val="left" w:pos="720"/>
        </w:tabs>
        <w:suppressAutoHyphens/>
        <w:spacing w:line="240" w:lineRule="atLeast"/>
        <w:ind w:left="720"/>
        <w:rPr>
          <w:sz w:val="24"/>
          <w:szCs w:val="24"/>
        </w:rPr>
      </w:pPr>
    </w:p>
    <w:p w14:paraId="042D8EED" w14:textId="76A3E13D" w:rsidR="008576FA" w:rsidRDefault="009B17BC" w:rsidP="000E3D92">
      <w:pPr>
        <w:ind w:left="720"/>
        <w:rPr>
          <w:sz w:val="24"/>
        </w:rPr>
      </w:pPr>
      <w:r w:rsidRPr="009B2191">
        <w:rPr>
          <w:sz w:val="24"/>
        </w:rPr>
        <w:t xml:space="preserve">The primary function of the cost report is to implement the principles of cost reimbursement which require that </w:t>
      </w:r>
      <w:r>
        <w:rPr>
          <w:sz w:val="24"/>
        </w:rPr>
        <w:t>RHC</w:t>
      </w:r>
      <w:r w:rsidRPr="009B2191">
        <w:rPr>
          <w:sz w:val="24"/>
        </w:rPr>
        <w:t xml:space="preserve">s maintain sufficient financial records and statistical data for proper determination of costs payable under the program. </w:t>
      </w:r>
      <w:r w:rsidR="008576FA">
        <w:rPr>
          <w:sz w:val="24"/>
        </w:rPr>
        <w:t xml:space="preserve">The S series of worksheets collects statistical data that identify the provider’s location, CBSA, date of certification, questions relative to their operations, and unduplicated census days.  The A series of worksheets collects the provider’s trial balance of expenses for overhead costs, direct patient care services by level of care, and non-revenue generating cost centers.  The B series of worksheets applies productivity standards and determines allowable costs </w:t>
      </w:r>
      <w:r w:rsidR="008576FA">
        <w:rPr>
          <w:sz w:val="24"/>
        </w:rPr>
        <w:lastRenderedPageBreak/>
        <w:t xml:space="preserve">applicable to RHC services.  The C series of worksheets computes </w:t>
      </w:r>
      <w:r w:rsidR="004B1A89">
        <w:rPr>
          <w:sz w:val="24"/>
        </w:rPr>
        <w:t>the average cost per visit for RHC services and compares this amount to the maximum rate per visit and provides for a reconciliation of those costs.</w:t>
      </w:r>
    </w:p>
    <w:p w14:paraId="3A2A6DDE" w14:textId="77777777" w:rsidR="004B1A89" w:rsidRDefault="004B1A89" w:rsidP="00E95C3B">
      <w:pPr>
        <w:pStyle w:val="ListParagraph"/>
        <w:tabs>
          <w:tab w:val="left" w:pos="450"/>
          <w:tab w:val="left" w:pos="630"/>
        </w:tabs>
        <w:ind w:right="54"/>
        <w:rPr>
          <w:sz w:val="24"/>
        </w:rPr>
      </w:pPr>
    </w:p>
    <w:p w14:paraId="3F94F700" w14:textId="5A1CE9BF" w:rsidR="00DA7D1E" w:rsidRDefault="004B1A89" w:rsidP="000E3D92">
      <w:pPr>
        <w:pStyle w:val="ListParagraph"/>
        <w:tabs>
          <w:tab w:val="left" w:pos="450"/>
          <w:tab w:val="left" w:pos="630"/>
        </w:tabs>
        <w:ind w:right="54"/>
        <w:rPr>
          <w:sz w:val="24"/>
          <w:szCs w:val="24"/>
        </w:rPr>
      </w:pPr>
      <w:r>
        <w:rPr>
          <w:sz w:val="24"/>
        </w:rPr>
        <w:t xml:space="preserve">Additionally, the cost report is used by CMS to support program operations, payment refinement activities, and to make Medicare Trust Fund projections.  </w:t>
      </w:r>
    </w:p>
    <w:p w14:paraId="11CB6562" w14:textId="77777777" w:rsidR="00A84130" w:rsidRDefault="00A84130" w:rsidP="00A211BB">
      <w:pPr>
        <w:tabs>
          <w:tab w:val="left" w:pos="0"/>
          <w:tab w:val="left" w:pos="360"/>
          <w:tab w:val="left" w:pos="720"/>
        </w:tabs>
        <w:suppressAutoHyphens/>
        <w:spacing w:line="240" w:lineRule="atLeast"/>
        <w:ind w:left="360"/>
        <w:rPr>
          <w:sz w:val="24"/>
          <w:szCs w:val="24"/>
        </w:rPr>
      </w:pPr>
    </w:p>
    <w:p w14:paraId="055659AE" w14:textId="77777777" w:rsidR="00D22C70" w:rsidRPr="007952CC" w:rsidRDefault="006D0DDA" w:rsidP="007952CC">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 xml:space="preserve">Use of </w:t>
      </w:r>
      <w:r w:rsidR="00D22C70" w:rsidRPr="007952CC">
        <w:rPr>
          <w:sz w:val="24"/>
          <w:szCs w:val="24"/>
          <w:u w:val="single"/>
        </w:rPr>
        <w:t>Information Technology</w:t>
      </w:r>
    </w:p>
    <w:p w14:paraId="5CBB16BD" w14:textId="77777777" w:rsidR="00353735" w:rsidRDefault="00353735" w:rsidP="00552775">
      <w:pPr>
        <w:tabs>
          <w:tab w:val="left" w:pos="0"/>
          <w:tab w:val="left" w:pos="720"/>
        </w:tabs>
        <w:suppressAutoHyphens/>
        <w:spacing w:line="240" w:lineRule="atLeast"/>
        <w:ind w:left="720"/>
        <w:rPr>
          <w:sz w:val="24"/>
          <w:szCs w:val="24"/>
        </w:rPr>
      </w:pPr>
    </w:p>
    <w:p w14:paraId="10644926" w14:textId="559567A7" w:rsidR="00D22C70" w:rsidRDefault="004A1F50" w:rsidP="00552775">
      <w:pPr>
        <w:tabs>
          <w:tab w:val="left" w:pos="0"/>
          <w:tab w:val="left" w:pos="720"/>
        </w:tabs>
        <w:suppressAutoHyphens/>
        <w:spacing w:line="240" w:lineRule="atLeast"/>
        <w:ind w:left="720"/>
        <w:rPr>
          <w:sz w:val="24"/>
          <w:szCs w:val="24"/>
        </w:rPr>
      </w:pPr>
      <w:r>
        <w:rPr>
          <w:sz w:val="24"/>
          <w:szCs w:val="24"/>
        </w:rPr>
        <w:t>RHC</w:t>
      </w:r>
      <w:r w:rsidR="00121449">
        <w:rPr>
          <w:sz w:val="24"/>
          <w:szCs w:val="24"/>
        </w:rPr>
        <w:t>s</w:t>
      </w:r>
      <w:r w:rsidR="00D22C70" w:rsidRPr="00552775">
        <w:rPr>
          <w:sz w:val="24"/>
          <w:szCs w:val="24"/>
        </w:rPr>
        <w:t xml:space="preserve"> </w:t>
      </w:r>
      <w:r w:rsidR="006F7E67">
        <w:rPr>
          <w:sz w:val="24"/>
          <w:szCs w:val="24"/>
        </w:rPr>
        <w:t>are</w:t>
      </w:r>
      <w:r w:rsidR="00127F11" w:rsidRPr="00552775">
        <w:rPr>
          <w:sz w:val="24"/>
          <w:szCs w:val="24"/>
        </w:rPr>
        <w:t xml:space="preserve"> </w:t>
      </w:r>
      <w:r w:rsidR="00D22C70" w:rsidRPr="00552775">
        <w:rPr>
          <w:sz w:val="24"/>
          <w:szCs w:val="24"/>
        </w:rPr>
        <w:t>required</w:t>
      </w:r>
      <w:r w:rsidR="000F3A60">
        <w:rPr>
          <w:sz w:val="24"/>
          <w:szCs w:val="24"/>
        </w:rPr>
        <w:t xml:space="preserve"> by 42 CFR 413.24(f)(4)</w:t>
      </w:r>
      <w:r w:rsidR="00D22C70" w:rsidRPr="00552775">
        <w:rPr>
          <w:sz w:val="24"/>
          <w:szCs w:val="24"/>
        </w:rPr>
        <w:t xml:space="preserve"> to submit cost reports </w:t>
      </w:r>
      <w:r w:rsidR="007F2341">
        <w:rPr>
          <w:sz w:val="24"/>
          <w:szCs w:val="24"/>
        </w:rPr>
        <w:t>electronically.</w:t>
      </w:r>
    </w:p>
    <w:p w14:paraId="0BD998A9"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Duplication </w:t>
      </w:r>
      <w:r w:rsidR="006D0DDA">
        <w:rPr>
          <w:sz w:val="24"/>
          <w:szCs w:val="24"/>
          <w:u w:val="single"/>
        </w:rPr>
        <w:t>of Efforts</w:t>
      </w:r>
    </w:p>
    <w:p w14:paraId="35C2332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763256DB"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 and the information cannot be obtained from any other source.</w:t>
      </w:r>
    </w:p>
    <w:p w14:paraId="043B0606" w14:textId="77777777" w:rsidR="00D22C70" w:rsidRDefault="00D22C70" w:rsidP="00A211BB">
      <w:pPr>
        <w:tabs>
          <w:tab w:val="left" w:pos="0"/>
          <w:tab w:val="left" w:pos="360"/>
          <w:tab w:val="left" w:pos="720"/>
        </w:tabs>
        <w:suppressAutoHyphens/>
        <w:spacing w:line="240" w:lineRule="atLeast"/>
        <w:ind w:left="360"/>
        <w:rPr>
          <w:sz w:val="24"/>
          <w:szCs w:val="24"/>
        </w:rPr>
      </w:pPr>
    </w:p>
    <w:p w14:paraId="6762CE66"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Small Business</w:t>
      </w:r>
    </w:p>
    <w:p w14:paraId="5494FE10"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72E391F0" w14:textId="30A5FC1F" w:rsidR="00D22C70" w:rsidRPr="00A211BB" w:rsidRDefault="001D24E3" w:rsidP="00552775">
      <w:pPr>
        <w:tabs>
          <w:tab w:val="left" w:pos="0"/>
          <w:tab w:val="left" w:pos="720"/>
        </w:tabs>
        <w:suppressAutoHyphens/>
        <w:spacing w:line="240" w:lineRule="atLeast"/>
        <w:ind w:left="720"/>
        <w:rPr>
          <w:sz w:val="24"/>
          <w:szCs w:val="24"/>
        </w:rPr>
      </w:pPr>
      <w:r>
        <w:rPr>
          <w:sz w:val="24"/>
          <w:szCs w:val="24"/>
        </w:rPr>
        <w:t xml:space="preserve">All RHCs regardless of size, are required to complete these cost reporting forms.  </w:t>
      </w:r>
      <w:r w:rsidR="00D22C70" w:rsidRPr="00A211BB">
        <w:rPr>
          <w:sz w:val="24"/>
          <w:szCs w:val="24"/>
        </w:rPr>
        <w:t>Th</w:t>
      </w:r>
      <w:r>
        <w:rPr>
          <w:sz w:val="24"/>
          <w:szCs w:val="24"/>
        </w:rPr>
        <w:t>ese</w:t>
      </w:r>
      <w:r w:rsidR="00D22C70" w:rsidRPr="00A211BB">
        <w:rPr>
          <w:sz w:val="24"/>
          <w:szCs w:val="24"/>
        </w:rPr>
        <w:t xml:space="preserve"> </w:t>
      </w:r>
      <w:r w:rsidR="00343D5E" w:rsidRPr="00A211BB">
        <w:rPr>
          <w:sz w:val="24"/>
          <w:szCs w:val="24"/>
        </w:rPr>
        <w:t>cost report</w:t>
      </w:r>
      <w:r>
        <w:rPr>
          <w:sz w:val="24"/>
          <w:szCs w:val="24"/>
        </w:rPr>
        <w:t>ing forms have</w:t>
      </w:r>
      <w:r w:rsidR="00D22C70" w:rsidRPr="00A211BB">
        <w:rPr>
          <w:sz w:val="24"/>
          <w:szCs w:val="24"/>
        </w:rPr>
        <w:t xml:space="preserve"> been designed with a view towards minimizing the reporting burden </w:t>
      </w:r>
      <w:r w:rsidR="00766877" w:rsidRPr="00766877">
        <w:rPr>
          <w:sz w:val="24"/>
          <w:szCs w:val="24"/>
        </w:rPr>
        <w:t>when a</w:t>
      </w:r>
      <w:r w:rsidR="00766877">
        <w:rPr>
          <w:sz w:val="24"/>
          <w:szCs w:val="24"/>
        </w:rPr>
        <w:t>n</w:t>
      </w:r>
      <w:r w:rsidR="00766877" w:rsidRPr="00766877">
        <w:rPr>
          <w:sz w:val="24"/>
          <w:szCs w:val="24"/>
        </w:rPr>
        <w:t xml:space="preserve"> </w:t>
      </w:r>
      <w:r w:rsidR="00766877">
        <w:rPr>
          <w:sz w:val="24"/>
          <w:szCs w:val="24"/>
        </w:rPr>
        <w:t xml:space="preserve">RHC </w:t>
      </w:r>
      <w:r w:rsidR="00766877" w:rsidRPr="00766877">
        <w:rPr>
          <w:sz w:val="24"/>
          <w:szCs w:val="24"/>
        </w:rPr>
        <w:t>experiences low Medicare utilization</w:t>
      </w:r>
      <w:r w:rsidR="00D22C70" w:rsidRPr="00A211BB">
        <w:rPr>
          <w:sz w:val="24"/>
          <w:szCs w:val="24"/>
        </w:rPr>
        <w:t xml:space="preserve">.  </w:t>
      </w:r>
      <w:r w:rsidR="00766877" w:rsidRPr="00766877">
        <w:rPr>
          <w:sz w:val="24"/>
          <w:szCs w:val="24"/>
        </w:rPr>
        <w:t xml:space="preserve">A low utilization </w:t>
      </w:r>
      <w:r w:rsidR="00766877">
        <w:rPr>
          <w:sz w:val="24"/>
          <w:szCs w:val="24"/>
        </w:rPr>
        <w:t>RHC</w:t>
      </w:r>
      <w:r w:rsidR="00766877" w:rsidRPr="00766877">
        <w:rPr>
          <w:sz w:val="24"/>
          <w:szCs w:val="24"/>
        </w:rPr>
        <w:t xml:space="preserve"> is required to complete a limited number of worksheets contained in the Form CMS-2</w:t>
      </w:r>
      <w:r w:rsidR="00766877">
        <w:rPr>
          <w:sz w:val="24"/>
          <w:szCs w:val="24"/>
        </w:rPr>
        <w:t>22</w:t>
      </w:r>
      <w:r w:rsidR="00766877" w:rsidRPr="00766877">
        <w:rPr>
          <w:sz w:val="24"/>
          <w:szCs w:val="24"/>
        </w:rPr>
        <w:t>-17.</w:t>
      </w:r>
      <w:r w:rsidR="00766877">
        <w:rPr>
          <w:sz w:val="24"/>
          <w:szCs w:val="24"/>
        </w:rPr>
        <w:t xml:space="preserve">  </w:t>
      </w:r>
      <w:r w:rsidR="00DA7D1E" w:rsidRPr="00DA7D1E">
        <w:rPr>
          <w:sz w:val="24"/>
          <w:szCs w:val="24"/>
        </w:rPr>
        <w:t>The form is collected as infrequently as possible (annually) and only those data items necessary to determine the appropriate reimbursement rates are required.</w:t>
      </w:r>
    </w:p>
    <w:p w14:paraId="1F629422"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23D99E37"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Less Frequent Collection</w:t>
      </w:r>
    </w:p>
    <w:p w14:paraId="6E9770DB"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42D16956" w14:textId="77777777" w:rsidR="00D22C70" w:rsidRPr="00A211BB" w:rsidRDefault="00DA7D1E" w:rsidP="00552775">
      <w:pPr>
        <w:tabs>
          <w:tab w:val="left" w:pos="0"/>
          <w:tab w:val="left" w:pos="720"/>
        </w:tabs>
        <w:suppressAutoHyphens/>
        <w:spacing w:line="240" w:lineRule="atLeast"/>
        <w:ind w:left="720"/>
        <w:rPr>
          <w:sz w:val="24"/>
          <w:szCs w:val="24"/>
        </w:rPr>
      </w:pPr>
      <w:r>
        <w:rPr>
          <w:sz w:val="24"/>
          <w:szCs w:val="24"/>
        </w:rPr>
        <w:t>If the annual cost report is</w:t>
      </w:r>
      <w:r w:rsidR="00D22C70" w:rsidRPr="00A211BB">
        <w:rPr>
          <w:sz w:val="24"/>
          <w:szCs w:val="24"/>
        </w:rPr>
        <w:t xml:space="preserve"> not filed,</w:t>
      </w:r>
      <w:r w:rsidR="005B304A">
        <w:rPr>
          <w:sz w:val="24"/>
          <w:szCs w:val="24"/>
        </w:rPr>
        <w:t xml:space="preserve"> </w:t>
      </w:r>
      <w:r w:rsidR="00BD6033">
        <w:rPr>
          <w:sz w:val="24"/>
          <w:szCs w:val="24"/>
        </w:rPr>
        <w:t>CMS</w:t>
      </w:r>
      <w:r w:rsidR="00D22C70" w:rsidRPr="00A211BB">
        <w:rPr>
          <w:sz w:val="24"/>
          <w:szCs w:val="24"/>
        </w:rPr>
        <w:t xml:space="preserve"> will be unable to determine whether proper payments are being made under Medicare.  </w:t>
      </w:r>
      <w:r w:rsidR="00BD6033">
        <w:rPr>
          <w:sz w:val="24"/>
        </w:rPr>
        <w:t>A</w:t>
      </w:r>
      <w:r w:rsidR="002B3585">
        <w:rPr>
          <w:sz w:val="24"/>
        </w:rPr>
        <w:t xml:space="preserve"> provider </w:t>
      </w:r>
      <w:r w:rsidR="00BD6033">
        <w:rPr>
          <w:sz w:val="24"/>
        </w:rPr>
        <w:t xml:space="preserve">who </w:t>
      </w:r>
      <w:r w:rsidR="002B3585">
        <w:rPr>
          <w:sz w:val="24"/>
        </w:rPr>
        <w:t>fails to file a cost report</w:t>
      </w:r>
      <w:r w:rsidR="00BD6033">
        <w:rPr>
          <w:sz w:val="24"/>
        </w:rPr>
        <w:t xml:space="preserve"> by the statutory due date is notified that</w:t>
      </w:r>
      <w:r w:rsidR="002B3585">
        <w:rPr>
          <w:sz w:val="24"/>
        </w:rPr>
        <w:t xml:space="preserve"> interim payments </w:t>
      </w:r>
      <w:r w:rsidR="00BD6033">
        <w:rPr>
          <w:sz w:val="24"/>
        </w:rPr>
        <w:t xml:space="preserve">will be reduced, suspended or </w:t>
      </w:r>
      <w:r w:rsidR="002B3585">
        <w:rPr>
          <w:sz w:val="24"/>
        </w:rPr>
        <w:t>deemed overpayment</w:t>
      </w:r>
      <w:r w:rsidR="000F16DE">
        <w:rPr>
          <w:sz w:val="24"/>
        </w:rPr>
        <w:t>s</w:t>
      </w:r>
      <w:r w:rsidR="00BD6033">
        <w:rPr>
          <w:sz w:val="24"/>
        </w:rPr>
        <w:t>.</w:t>
      </w:r>
    </w:p>
    <w:p w14:paraId="76C2D1BE" w14:textId="77777777" w:rsidR="00A211BB" w:rsidRPr="00A211BB" w:rsidRDefault="00A211BB" w:rsidP="0014462A">
      <w:pPr>
        <w:tabs>
          <w:tab w:val="left" w:pos="0"/>
          <w:tab w:val="left" w:pos="360"/>
          <w:tab w:val="left" w:pos="720"/>
        </w:tabs>
        <w:suppressAutoHyphens/>
        <w:spacing w:line="240" w:lineRule="atLeast"/>
        <w:rPr>
          <w:sz w:val="24"/>
          <w:szCs w:val="24"/>
        </w:rPr>
      </w:pPr>
    </w:p>
    <w:p w14:paraId="2AF56D7F"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Special Circumstances</w:t>
      </w:r>
    </w:p>
    <w:p w14:paraId="24766433"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6CEEC1CE" w14:textId="77777777" w:rsidR="000F16DE" w:rsidRDefault="00DA7D1E" w:rsidP="0014462A">
      <w:pPr>
        <w:tabs>
          <w:tab w:val="left" w:pos="0"/>
          <w:tab w:val="left" w:pos="720"/>
        </w:tabs>
        <w:suppressAutoHyphens/>
        <w:spacing w:line="240" w:lineRule="atLeast"/>
        <w:ind w:left="720"/>
        <w:rPr>
          <w:sz w:val="24"/>
          <w:szCs w:val="24"/>
        </w:rPr>
      </w:pPr>
      <w:r w:rsidRPr="00DA7D1E">
        <w:rPr>
          <w:sz w:val="24"/>
          <w:szCs w:val="24"/>
        </w:rPr>
        <w:t>This information collection complies with all general information collection guidelines in 5 CFR 1320.6 without the existence of special circumstances.</w:t>
      </w:r>
    </w:p>
    <w:p w14:paraId="1E8DEE67" w14:textId="77777777" w:rsidR="00DA7D1E" w:rsidRPr="00A211BB" w:rsidRDefault="00DA7D1E" w:rsidP="0014462A">
      <w:pPr>
        <w:tabs>
          <w:tab w:val="left" w:pos="0"/>
          <w:tab w:val="left" w:pos="720"/>
        </w:tabs>
        <w:suppressAutoHyphens/>
        <w:spacing w:line="240" w:lineRule="atLeast"/>
        <w:ind w:left="720"/>
        <w:rPr>
          <w:sz w:val="24"/>
          <w:szCs w:val="24"/>
        </w:rPr>
      </w:pPr>
    </w:p>
    <w:p w14:paraId="45FFB4EB"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Federal Register Notic</w:t>
      </w:r>
      <w:r w:rsidR="002B3585">
        <w:rPr>
          <w:sz w:val="24"/>
          <w:szCs w:val="24"/>
          <w:u w:val="single"/>
        </w:rPr>
        <w:t>e</w:t>
      </w:r>
    </w:p>
    <w:p w14:paraId="7DCC6A7E"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1AD324F4" w14:textId="77777777" w:rsidR="008A2BEC" w:rsidRDefault="002B3585" w:rsidP="00DA7D1E">
      <w:pPr>
        <w:ind w:left="432" w:firstLine="288"/>
        <w:rPr>
          <w:sz w:val="24"/>
        </w:rPr>
      </w:pPr>
      <w:r w:rsidRPr="00A5541D">
        <w:rPr>
          <w:sz w:val="24"/>
        </w:rPr>
        <w:t xml:space="preserve">The </w:t>
      </w:r>
      <w:r>
        <w:rPr>
          <w:sz w:val="24"/>
        </w:rPr>
        <w:t xml:space="preserve">60 day </w:t>
      </w:r>
      <w:r w:rsidRPr="00A5541D">
        <w:rPr>
          <w:sz w:val="24"/>
        </w:rPr>
        <w:t xml:space="preserve">Federal Register </w:t>
      </w:r>
      <w:r>
        <w:rPr>
          <w:sz w:val="24"/>
        </w:rPr>
        <w:t xml:space="preserve">notice </w:t>
      </w:r>
      <w:r w:rsidRPr="00A5541D">
        <w:rPr>
          <w:sz w:val="24"/>
        </w:rPr>
        <w:t>was published on</w:t>
      </w:r>
      <w:r w:rsidR="00E8777F">
        <w:rPr>
          <w:sz w:val="24"/>
        </w:rPr>
        <w:t xml:space="preserve"> </w:t>
      </w:r>
      <w:r w:rsidR="008A2BEC">
        <w:rPr>
          <w:sz w:val="24"/>
        </w:rPr>
        <w:t xml:space="preserve">July 19, 2017(82FR33132) with no </w:t>
      </w:r>
    </w:p>
    <w:p w14:paraId="1CA90333" w14:textId="77777777" w:rsidR="008A2BEC" w:rsidRDefault="008A2BEC" w:rsidP="00DA7D1E">
      <w:pPr>
        <w:ind w:left="432" w:firstLine="288"/>
        <w:rPr>
          <w:sz w:val="24"/>
        </w:rPr>
      </w:pPr>
      <w:r>
        <w:rPr>
          <w:sz w:val="24"/>
        </w:rPr>
        <w:t>comments received</w:t>
      </w:r>
      <w:r w:rsidR="002B3585" w:rsidRPr="005C1EA4">
        <w:rPr>
          <w:b/>
          <w:sz w:val="24"/>
        </w:rPr>
        <w:t>.</w:t>
      </w:r>
      <w:r>
        <w:rPr>
          <w:b/>
          <w:sz w:val="24"/>
        </w:rPr>
        <w:t xml:space="preserve"> </w:t>
      </w:r>
      <w:r>
        <w:rPr>
          <w:sz w:val="24"/>
        </w:rPr>
        <w:t xml:space="preserve">The 30-day Federal Register notice was published on September 29,  </w:t>
      </w:r>
    </w:p>
    <w:p w14:paraId="261E5CC9" w14:textId="1AEC6CD5" w:rsidR="005E4837" w:rsidRPr="0085409C" w:rsidRDefault="008A2BEC" w:rsidP="00DA7D1E">
      <w:pPr>
        <w:ind w:left="432" w:firstLine="288"/>
        <w:rPr>
          <w:sz w:val="24"/>
        </w:rPr>
      </w:pPr>
      <w:r>
        <w:rPr>
          <w:sz w:val="24"/>
        </w:rPr>
        <w:t>2017(82FR45589) with no comments received.</w:t>
      </w:r>
      <w:r w:rsidR="002B3585" w:rsidRPr="00A5541D">
        <w:rPr>
          <w:sz w:val="24"/>
        </w:rPr>
        <w:t xml:space="preserve"> </w:t>
      </w:r>
      <w:r w:rsidR="000F16DE">
        <w:rPr>
          <w:sz w:val="24"/>
        </w:rPr>
        <w:t xml:space="preserve"> </w:t>
      </w:r>
    </w:p>
    <w:p w14:paraId="75DA4BFB" w14:textId="77777777" w:rsidR="00D22C70" w:rsidRPr="00A211BB" w:rsidRDefault="00D22C70" w:rsidP="005E4837">
      <w:pPr>
        <w:tabs>
          <w:tab w:val="left" w:pos="0"/>
          <w:tab w:val="left" w:pos="360"/>
          <w:tab w:val="left" w:pos="720"/>
        </w:tabs>
        <w:suppressAutoHyphens/>
        <w:spacing w:line="240" w:lineRule="atLeast"/>
        <w:rPr>
          <w:sz w:val="24"/>
          <w:szCs w:val="24"/>
        </w:rPr>
      </w:pPr>
    </w:p>
    <w:p w14:paraId="52A1C887" w14:textId="77777777" w:rsidR="00D22C70" w:rsidRPr="00AA6C7B"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AA6C7B">
        <w:rPr>
          <w:sz w:val="24"/>
          <w:szCs w:val="24"/>
          <w:u w:val="single"/>
        </w:rPr>
        <w:t>Payment/Gift to Respondent</w:t>
      </w:r>
    </w:p>
    <w:p w14:paraId="2396D60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76399C02" w14:textId="77777777" w:rsidR="008576FA" w:rsidRPr="00BE3794" w:rsidRDefault="008576FA" w:rsidP="000E3D92">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E3794">
        <w:rPr>
          <w:sz w:val="24"/>
        </w:rPr>
        <w:t xml:space="preserve">There are no payments or gifts made to a respondent for completion of this data collection.  The payments are made for services rendered to our beneficiaries.  These reports collect the data for the costs and payments made to a provider.  If they fail to </w:t>
      </w:r>
      <w:r w:rsidRPr="00BE3794">
        <w:rPr>
          <w:sz w:val="24"/>
        </w:rPr>
        <w:lastRenderedPageBreak/>
        <w:t>submit these reports there are penalties that are applied.  The penalty is the suspension of claims payments until a report is submitted. Once the report is submitted the payments for claims are released.  If they file the report timely there are no payment or gifts and no interruption in the claims payments.</w:t>
      </w:r>
    </w:p>
    <w:p w14:paraId="6ADFF67F" w14:textId="77777777" w:rsidR="00AF001C" w:rsidRDefault="00AF001C" w:rsidP="00A211BB">
      <w:pPr>
        <w:tabs>
          <w:tab w:val="left" w:pos="0"/>
          <w:tab w:val="left" w:pos="360"/>
          <w:tab w:val="left" w:pos="720"/>
        </w:tabs>
        <w:suppressAutoHyphens/>
        <w:spacing w:line="240" w:lineRule="atLeast"/>
        <w:ind w:left="360"/>
        <w:rPr>
          <w:sz w:val="24"/>
          <w:szCs w:val="24"/>
        </w:rPr>
      </w:pPr>
    </w:p>
    <w:p w14:paraId="661EC037"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Confidentiality</w:t>
      </w:r>
    </w:p>
    <w:p w14:paraId="44C0FD0F"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AB904B0" w14:textId="77777777" w:rsidR="00D22C70" w:rsidRDefault="00D22C70" w:rsidP="00121FDD">
      <w:pPr>
        <w:tabs>
          <w:tab w:val="left" w:pos="0"/>
          <w:tab w:val="left" w:pos="720"/>
        </w:tabs>
        <w:suppressAutoHyphens/>
        <w:spacing w:line="240" w:lineRule="atLeast"/>
        <w:ind w:left="720"/>
        <w:rPr>
          <w:sz w:val="24"/>
          <w:szCs w:val="24"/>
        </w:rPr>
      </w:pPr>
      <w:r w:rsidRPr="00A211BB">
        <w:rPr>
          <w:sz w:val="24"/>
          <w:szCs w:val="24"/>
        </w:rPr>
        <w:t xml:space="preserve">Confidentiality is not </w:t>
      </w:r>
      <w:r w:rsidR="00DA7D1E">
        <w:rPr>
          <w:sz w:val="24"/>
          <w:szCs w:val="24"/>
        </w:rPr>
        <w:t>assured</w:t>
      </w:r>
      <w:r w:rsidRPr="00A211BB">
        <w:rPr>
          <w:sz w:val="24"/>
          <w:szCs w:val="24"/>
        </w:rPr>
        <w:t>.  Medicare cost reports are subject to disclosure under the Freedom of Information Act.</w:t>
      </w:r>
    </w:p>
    <w:p w14:paraId="66F59E6A" w14:textId="77777777" w:rsidR="008C29EC" w:rsidRPr="00A211BB" w:rsidRDefault="008C29EC" w:rsidP="00121FDD">
      <w:pPr>
        <w:tabs>
          <w:tab w:val="left" w:pos="0"/>
          <w:tab w:val="left" w:pos="720"/>
        </w:tabs>
        <w:suppressAutoHyphens/>
        <w:spacing w:line="240" w:lineRule="atLeast"/>
        <w:ind w:left="720"/>
        <w:rPr>
          <w:sz w:val="24"/>
          <w:szCs w:val="24"/>
        </w:rPr>
      </w:pPr>
    </w:p>
    <w:p w14:paraId="77CB3779"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Sensitive Questions</w:t>
      </w:r>
    </w:p>
    <w:p w14:paraId="4A1C1D89"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33A5DEEC"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There are no questions of a sensitive nature.</w:t>
      </w:r>
    </w:p>
    <w:p w14:paraId="04702A42" w14:textId="1B54306A" w:rsidR="00075819" w:rsidRDefault="00075819">
      <w:pPr>
        <w:widowControl/>
        <w:autoSpaceDE/>
        <w:autoSpaceDN/>
        <w:adjustRightInd/>
        <w:spacing w:after="200" w:line="276" w:lineRule="auto"/>
        <w:rPr>
          <w:sz w:val="24"/>
          <w:szCs w:val="24"/>
        </w:rPr>
      </w:pPr>
      <w:r>
        <w:rPr>
          <w:sz w:val="24"/>
          <w:szCs w:val="24"/>
        </w:rPr>
        <w:br w:type="page"/>
      </w:r>
    </w:p>
    <w:p w14:paraId="508133C4" w14:textId="77777777" w:rsidR="00D22C70" w:rsidRPr="00AA6C7B"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AA6C7B">
        <w:rPr>
          <w:sz w:val="24"/>
          <w:szCs w:val="24"/>
          <w:u w:val="single"/>
        </w:rPr>
        <w:t xml:space="preserve">Estimate of Burden (Hours and </w:t>
      </w:r>
      <w:r w:rsidR="002015DB" w:rsidRPr="00AA6C7B">
        <w:rPr>
          <w:sz w:val="24"/>
          <w:szCs w:val="24"/>
          <w:u w:val="single"/>
        </w:rPr>
        <w:t>Cost</w:t>
      </w:r>
      <w:r w:rsidRPr="00AA6C7B">
        <w:rPr>
          <w:sz w:val="24"/>
          <w:szCs w:val="24"/>
          <w:u w:val="single"/>
        </w:rPr>
        <w:t>)</w:t>
      </w:r>
    </w:p>
    <w:p w14:paraId="5F56EB48" w14:textId="77777777" w:rsidR="00CC7FA0" w:rsidRDefault="00CC7FA0" w:rsidP="003A2813">
      <w:pPr>
        <w:pStyle w:val="ListParagraph"/>
        <w:tabs>
          <w:tab w:val="left" w:pos="0"/>
          <w:tab w:val="left" w:pos="360"/>
          <w:tab w:val="left" w:pos="720"/>
        </w:tabs>
        <w:suppressAutoHyphens/>
        <w:spacing w:line="240" w:lineRule="atLeast"/>
        <w:rPr>
          <w:sz w:val="24"/>
          <w:szCs w:val="24"/>
        </w:rPr>
      </w:pPr>
    </w:p>
    <w:tbl>
      <w:tblPr>
        <w:tblpPr w:leftFromText="180" w:rightFromText="180" w:vertAnchor="text" w:horzAnchor="margin" w:tblpXSpec="center" w:tblpY="171"/>
        <w:tblW w:w="5000" w:type="pct"/>
        <w:tblLook w:val="04A0" w:firstRow="1" w:lastRow="0" w:firstColumn="1" w:lastColumn="0" w:noHBand="0" w:noVBand="1"/>
      </w:tblPr>
      <w:tblGrid>
        <w:gridCol w:w="409"/>
        <w:gridCol w:w="6742"/>
        <w:gridCol w:w="2017"/>
        <w:gridCol w:w="408"/>
      </w:tblGrid>
      <w:tr w:rsidR="008A4210" w:rsidRPr="0017106C" w14:paraId="584AD859" w14:textId="77777777" w:rsidTr="00480A45">
        <w:trPr>
          <w:trHeight w:val="315"/>
        </w:trPr>
        <w:tc>
          <w:tcPr>
            <w:tcW w:w="214" w:type="pct"/>
            <w:tcBorders>
              <w:top w:val="single" w:sz="8" w:space="0" w:color="auto"/>
              <w:left w:val="single" w:sz="8" w:space="0" w:color="auto"/>
              <w:bottom w:val="nil"/>
              <w:right w:val="nil"/>
            </w:tcBorders>
            <w:shd w:val="clear" w:color="auto" w:fill="auto"/>
            <w:noWrap/>
            <w:vAlign w:val="bottom"/>
          </w:tcPr>
          <w:p w14:paraId="3DC56BAC" w14:textId="77777777" w:rsidR="00DA7D1E" w:rsidRPr="0017106C" w:rsidRDefault="00DA7D1E" w:rsidP="00DE5785">
            <w:pPr>
              <w:widowControl/>
              <w:autoSpaceDE/>
              <w:autoSpaceDN/>
              <w:adjustRightInd/>
              <w:rPr>
                <w:rFonts w:ascii="Arial" w:hAnsi="Arial" w:cs="Arial"/>
              </w:rPr>
            </w:pPr>
          </w:p>
        </w:tc>
        <w:tc>
          <w:tcPr>
            <w:tcW w:w="3520" w:type="pct"/>
            <w:tcBorders>
              <w:top w:val="single" w:sz="8" w:space="0" w:color="auto"/>
              <w:left w:val="nil"/>
              <w:bottom w:val="nil"/>
              <w:right w:val="nil"/>
            </w:tcBorders>
            <w:shd w:val="clear" w:color="auto" w:fill="auto"/>
            <w:noWrap/>
            <w:vAlign w:val="bottom"/>
          </w:tcPr>
          <w:p w14:paraId="59C0883D" w14:textId="77777777" w:rsidR="00DA7D1E" w:rsidRPr="008E209C" w:rsidRDefault="00DA7D1E" w:rsidP="008E209C">
            <w:pPr>
              <w:widowControl/>
              <w:autoSpaceDE/>
              <w:autoSpaceDN/>
              <w:adjustRightInd/>
              <w:rPr>
                <w:sz w:val="14"/>
                <w:szCs w:val="14"/>
              </w:rPr>
            </w:pPr>
          </w:p>
        </w:tc>
        <w:tc>
          <w:tcPr>
            <w:tcW w:w="1053" w:type="pct"/>
            <w:tcBorders>
              <w:top w:val="single" w:sz="8" w:space="0" w:color="auto"/>
              <w:left w:val="nil"/>
              <w:bottom w:val="nil"/>
              <w:right w:val="nil"/>
            </w:tcBorders>
            <w:shd w:val="clear" w:color="auto" w:fill="auto"/>
            <w:noWrap/>
            <w:vAlign w:val="bottom"/>
          </w:tcPr>
          <w:p w14:paraId="4A37756F" w14:textId="77777777" w:rsidR="00DA7D1E" w:rsidRPr="008E209C" w:rsidRDefault="00DA7D1E" w:rsidP="003C64A3">
            <w:pPr>
              <w:widowControl/>
              <w:autoSpaceDE/>
              <w:autoSpaceDN/>
              <w:adjustRightInd/>
              <w:rPr>
                <w:sz w:val="24"/>
              </w:rPr>
            </w:pPr>
          </w:p>
        </w:tc>
        <w:tc>
          <w:tcPr>
            <w:tcW w:w="213" w:type="pct"/>
            <w:tcBorders>
              <w:top w:val="single" w:sz="8" w:space="0" w:color="auto"/>
              <w:left w:val="nil"/>
              <w:bottom w:val="nil"/>
              <w:right w:val="single" w:sz="8" w:space="0" w:color="auto"/>
            </w:tcBorders>
            <w:shd w:val="clear" w:color="auto" w:fill="auto"/>
            <w:noWrap/>
            <w:vAlign w:val="bottom"/>
          </w:tcPr>
          <w:p w14:paraId="4CA10508" w14:textId="77777777" w:rsidR="00DA7D1E" w:rsidRPr="007F7B34" w:rsidRDefault="00DA7D1E" w:rsidP="00DE5785">
            <w:pPr>
              <w:widowControl/>
              <w:autoSpaceDE/>
              <w:autoSpaceDN/>
              <w:adjustRightInd/>
              <w:rPr>
                <w:rFonts w:ascii="Arial" w:hAnsi="Arial" w:cs="Arial"/>
                <w:highlight w:val="yellow"/>
              </w:rPr>
            </w:pPr>
          </w:p>
        </w:tc>
      </w:tr>
      <w:tr w:rsidR="003C64A3" w:rsidRPr="0017106C" w14:paraId="6F92B190" w14:textId="77777777" w:rsidTr="003C64A3">
        <w:trPr>
          <w:trHeight w:val="162"/>
        </w:trPr>
        <w:tc>
          <w:tcPr>
            <w:tcW w:w="214" w:type="pct"/>
            <w:tcBorders>
              <w:top w:val="nil"/>
              <w:left w:val="single" w:sz="8" w:space="0" w:color="auto"/>
              <w:bottom w:val="nil"/>
              <w:right w:val="nil"/>
            </w:tcBorders>
            <w:shd w:val="clear" w:color="auto" w:fill="auto"/>
            <w:noWrap/>
            <w:vAlign w:val="bottom"/>
          </w:tcPr>
          <w:p w14:paraId="4A5AC35F"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4B4F602A" w14:textId="77777777" w:rsidR="00543B72" w:rsidRDefault="003C64A3" w:rsidP="000F3A60">
            <w:pPr>
              <w:widowControl/>
              <w:rPr>
                <w:sz w:val="24"/>
                <w:szCs w:val="24"/>
              </w:rPr>
            </w:pPr>
            <w:r w:rsidRPr="00CC0B43">
              <w:rPr>
                <w:sz w:val="24"/>
                <w:szCs w:val="24"/>
              </w:rPr>
              <w:t xml:space="preserve">Number of </w:t>
            </w:r>
            <w:r w:rsidR="000F3A60">
              <w:rPr>
                <w:sz w:val="24"/>
                <w:szCs w:val="24"/>
              </w:rPr>
              <w:t>RHC</w:t>
            </w:r>
            <w:r w:rsidRPr="00CC0B43">
              <w:rPr>
                <w:sz w:val="24"/>
                <w:szCs w:val="24"/>
              </w:rPr>
              <w:t xml:space="preserve"> facilities</w:t>
            </w:r>
          </w:p>
          <w:p w14:paraId="1705E2B7" w14:textId="172BE515" w:rsidR="003C64A3" w:rsidRPr="00CC0B43" w:rsidRDefault="00543B72" w:rsidP="000F3A60">
            <w:pPr>
              <w:widowControl/>
              <w:rPr>
                <w:sz w:val="24"/>
                <w:szCs w:val="24"/>
              </w:rPr>
            </w:pPr>
            <w:r>
              <w:rPr>
                <w:sz w:val="24"/>
                <w:szCs w:val="24"/>
              </w:rPr>
              <w:t>Form CMS 222-17</w:t>
            </w:r>
            <w:r w:rsidR="003C64A3" w:rsidRPr="00CC0B43">
              <w:rPr>
                <w:sz w:val="24"/>
                <w:szCs w:val="24"/>
              </w:rPr>
              <w:t xml:space="preserve"> </w:t>
            </w:r>
          </w:p>
        </w:tc>
        <w:tc>
          <w:tcPr>
            <w:tcW w:w="1053" w:type="pct"/>
            <w:tcBorders>
              <w:top w:val="nil"/>
              <w:left w:val="nil"/>
              <w:bottom w:val="nil"/>
              <w:right w:val="nil"/>
            </w:tcBorders>
            <w:shd w:val="clear" w:color="auto" w:fill="auto"/>
            <w:noWrap/>
            <w:vAlign w:val="bottom"/>
          </w:tcPr>
          <w:p w14:paraId="57D739BB" w14:textId="6CBB0691" w:rsidR="003C64A3" w:rsidRPr="00CC0B43" w:rsidRDefault="0028071D" w:rsidP="00DA114A">
            <w:pPr>
              <w:widowControl/>
              <w:jc w:val="right"/>
              <w:rPr>
                <w:sz w:val="24"/>
                <w:szCs w:val="24"/>
              </w:rPr>
            </w:pPr>
            <w:r>
              <w:rPr>
                <w:sz w:val="24"/>
                <w:szCs w:val="24"/>
              </w:rPr>
              <w:t>1,744</w:t>
            </w:r>
            <w:r w:rsidR="0019231B">
              <w:rPr>
                <w:sz w:val="24"/>
                <w:szCs w:val="24"/>
              </w:rPr>
              <w:t xml:space="preserve"> </w:t>
            </w:r>
            <w:r w:rsidR="00744343">
              <w:rPr>
                <w:sz w:val="24"/>
                <w:szCs w:val="24"/>
              </w:rPr>
              <w:t xml:space="preserve"> </w:t>
            </w:r>
            <w:r w:rsidR="00DB6134">
              <w:rPr>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76CE9E10" w14:textId="77777777" w:rsidR="003C64A3" w:rsidRPr="007F7B34" w:rsidRDefault="003C64A3" w:rsidP="00DE5785">
            <w:pPr>
              <w:widowControl/>
              <w:autoSpaceDE/>
              <w:autoSpaceDN/>
              <w:adjustRightInd/>
              <w:rPr>
                <w:rFonts w:ascii="Arial" w:hAnsi="Arial" w:cs="Arial"/>
                <w:highlight w:val="yellow"/>
              </w:rPr>
            </w:pPr>
          </w:p>
        </w:tc>
      </w:tr>
      <w:tr w:rsidR="003C64A3" w:rsidRPr="0017106C" w14:paraId="605981AC" w14:textId="77777777" w:rsidTr="00CF6E6B">
        <w:trPr>
          <w:trHeight w:val="315"/>
        </w:trPr>
        <w:tc>
          <w:tcPr>
            <w:tcW w:w="214" w:type="pct"/>
            <w:tcBorders>
              <w:top w:val="nil"/>
              <w:left w:val="single" w:sz="8" w:space="0" w:color="auto"/>
              <w:bottom w:val="nil"/>
              <w:right w:val="nil"/>
            </w:tcBorders>
            <w:shd w:val="clear" w:color="auto" w:fill="auto"/>
            <w:noWrap/>
            <w:vAlign w:val="bottom"/>
          </w:tcPr>
          <w:p w14:paraId="69B2D4ED"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0C9F6C6E" w14:textId="77777777" w:rsidR="003C64A3" w:rsidRPr="00CC0B43" w:rsidRDefault="003C64A3" w:rsidP="00CC0B43">
            <w:pPr>
              <w:widowControl/>
              <w:ind w:firstLineChars="400" w:firstLine="960"/>
              <w:rPr>
                <w:sz w:val="24"/>
                <w:szCs w:val="24"/>
              </w:rPr>
            </w:pPr>
          </w:p>
        </w:tc>
        <w:tc>
          <w:tcPr>
            <w:tcW w:w="1053" w:type="pct"/>
            <w:tcBorders>
              <w:top w:val="nil"/>
              <w:left w:val="nil"/>
              <w:right w:val="nil"/>
            </w:tcBorders>
            <w:shd w:val="clear" w:color="auto" w:fill="auto"/>
            <w:noWrap/>
            <w:vAlign w:val="bottom"/>
          </w:tcPr>
          <w:p w14:paraId="5B0F73C1" w14:textId="77777777" w:rsidR="003C64A3" w:rsidRPr="00CC0B43" w:rsidRDefault="003C64A3" w:rsidP="007778B4">
            <w:pPr>
              <w:widowControl/>
              <w:rPr>
                <w:rFonts w:ascii="Arial" w:hAnsi="Arial" w:cs="Arial"/>
                <w:sz w:val="24"/>
                <w:szCs w:val="24"/>
              </w:rPr>
            </w:pPr>
          </w:p>
        </w:tc>
        <w:tc>
          <w:tcPr>
            <w:tcW w:w="213" w:type="pct"/>
            <w:tcBorders>
              <w:top w:val="nil"/>
              <w:left w:val="nil"/>
              <w:bottom w:val="nil"/>
              <w:right w:val="single" w:sz="8" w:space="0" w:color="auto"/>
            </w:tcBorders>
            <w:shd w:val="clear" w:color="auto" w:fill="auto"/>
            <w:noWrap/>
            <w:vAlign w:val="bottom"/>
          </w:tcPr>
          <w:p w14:paraId="7AD88B00" w14:textId="77777777" w:rsidR="003C64A3" w:rsidRPr="007F7B34" w:rsidRDefault="003C64A3" w:rsidP="00DE5785">
            <w:pPr>
              <w:widowControl/>
              <w:autoSpaceDE/>
              <w:autoSpaceDN/>
              <w:adjustRightInd/>
              <w:rPr>
                <w:rFonts w:ascii="Arial" w:hAnsi="Arial" w:cs="Arial"/>
                <w:highlight w:val="yellow"/>
              </w:rPr>
            </w:pPr>
          </w:p>
        </w:tc>
      </w:tr>
      <w:tr w:rsidR="003C64A3" w:rsidRPr="0017106C" w14:paraId="4827880F" w14:textId="77777777" w:rsidTr="00CF6E6B">
        <w:trPr>
          <w:trHeight w:val="162"/>
        </w:trPr>
        <w:tc>
          <w:tcPr>
            <w:tcW w:w="214" w:type="pct"/>
            <w:tcBorders>
              <w:top w:val="nil"/>
              <w:left w:val="single" w:sz="8" w:space="0" w:color="auto"/>
              <w:bottom w:val="nil"/>
              <w:right w:val="nil"/>
            </w:tcBorders>
            <w:shd w:val="clear" w:color="auto" w:fill="auto"/>
            <w:noWrap/>
            <w:vAlign w:val="bottom"/>
          </w:tcPr>
          <w:p w14:paraId="64D09B4B"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31E27718" w14:textId="59282C77" w:rsidR="003C64A3" w:rsidRPr="00CC0B43" w:rsidRDefault="003C64A3" w:rsidP="00543B72">
            <w:pPr>
              <w:widowControl/>
              <w:rPr>
                <w:sz w:val="24"/>
                <w:szCs w:val="24"/>
              </w:rPr>
            </w:pPr>
            <w:r w:rsidRPr="00CC0B43">
              <w:rPr>
                <w:sz w:val="24"/>
                <w:szCs w:val="24"/>
              </w:rPr>
              <w:t xml:space="preserve">Hours burden per </w:t>
            </w:r>
            <w:r w:rsidR="00543B72">
              <w:rPr>
                <w:sz w:val="24"/>
                <w:szCs w:val="24"/>
              </w:rPr>
              <w:t>RHC</w:t>
            </w:r>
          </w:p>
        </w:tc>
        <w:tc>
          <w:tcPr>
            <w:tcW w:w="1053" w:type="pct"/>
            <w:tcBorders>
              <w:top w:val="nil"/>
              <w:left w:val="nil"/>
              <w:right w:val="nil"/>
            </w:tcBorders>
            <w:shd w:val="clear" w:color="auto" w:fill="auto"/>
            <w:noWrap/>
            <w:vAlign w:val="bottom"/>
          </w:tcPr>
          <w:p w14:paraId="57FFAE4E" w14:textId="6AC5F0A6" w:rsidR="003C64A3" w:rsidRPr="00911005" w:rsidRDefault="003C64A3" w:rsidP="00C37A80">
            <w:pPr>
              <w:widowControl/>
              <w:jc w:val="right"/>
              <w:rPr>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14:paraId="06CED755" w14:textId="77777777" w:rsidR="003C64A3" w:rsidRPr="007F7B34" w:rsidRDefault="003C64A3" w:rsidP="00DE5785">
            <w:pPr>
              <w:widowControl/>
              <w:autoSpaceDE/>
              <w:autoSpaceDN/>
              <w:adjustRightInd/>
              <w:rPr>
                <w:rFonts w:ascii="Arial" w:hAnsi="Arial" w:cs="Arial"/>
                <w:highlight w:val="yellow"/>
              </w:rPr>
            </w:pPr>
          </w:p>
        </w:tc>
      </w:tr>
      <w:tr w:rsidR="003C64A3" w:rsidRPr="0017106C" w14:paraId="15954C5F" w14:textId="77777777" w:rsidTr="00CF6E6B">
        <w:trPr>
          <w:trHeight w:val="315"/>
        </w:trPr>
        <w:tc>
          <w:tcPr>
            <w:tcW w:w="214" w:type="pct"/>
            <w:tcBorders>
              <w:top w:val="nil"/>
              <w:left w:val="single" w:sz="8" w:space="0" w:color="auto"/>
              <w:bottom w:val="nil"/>
              <w:right w:val="nil"/>
            </w:tcBorders>
            <w:shd w:val="clear" w:color="auto" w:fill="auto"/>
            <w:noWrap/>
            <w:vAlign w:val="bottom"/>
          </w:tcPr>
          <w:p w14:paraId="2F9B796C"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7A8DF321" w14:textId="0B23B7A6" w:rsidR="003C64A3" w:rsidRPr="00CC0B43" w:rsidRDefault="00680C6B" w:rsidP="00E95C3B">
            <w:pPr>
              <w:widowControl/>
              <w:rPr>
                <w:sz w:val="24"/>
                <w:szCs w:val="24"/>
              </w:rPr>
            </w:pPr>
            <w:r>
              <w:rPr>
                <w:sz w:val="24"/>
                <w:szCs w:val="24"/>
              </w:rPr>
              <w:t>Reporting</w:t>
            </w:r>
          </w:p>
        </w:tc>
        <w:tc>
          <w:tcPr>
            <w:tcW w:w="1053" w:type="pct"/>
            <w:tcBorders>
              <w:left w:val="nil"/>
              <w:bottom w:val="nil"/>
              <w:right w:val="nil"/>
            </w:tcBorders>
            <w:shd w:val="clear" w:color="auto" w:fill="auto"/>
            <w:noWrap/>
            <w:vAlign w:val="bottom"/>
          </w:tcPr>
          <w:p w14:paraId="32B54375" w14:textId="162CADC4" w:rsidR="003C64A3" w:rsidRPr="00B803D4" w:rsidRDefault="00680C6B" w:rsidP="00332E32">
            <w:pPr>
              <w:widowControl/>
              <w:rPr>
                <w:rFonts w:ascii="Arial" w:hAnsi="Arial" w:cs="Arial"/>
                <w:color w:val="000000" w:themeColor="text1"/>
                <w:sz w:val="24"/>
                <w:szCs w:val="24"/>
              </w:rPr>
            </w:pPr>
            <w:r w:rsidRPr="00E95C3B">
              <w:rPr>
                <w:color w:val="000000" w:themeColor="text1"/>
                <w:sz w:val="24"/>
                <w:szCs w:val="24"/>
              </w:rPr>
              <w:t xml:space="preserve"> </w:t>
            </w:r>
            <w:r>
              <w:rPr>
                <w:color w:val="000000" w:themeColor="text1"/>
                <w:sz w:val="24"/>
                <w:szCs w:val="24"/>
              </w:rPr>
              <w:t>1</w:t>
            </w:r>
            <w:r w:rsidR="00332E32">
              <w:rPr>
                <w:color w:val="000000" w:themeColor="text1"/>
                <w:sz w:val="24"/>
                <w:szCs w:val="24"/>
              </w:rPr>
              <w:t>0</w:t>
            </w:r>
            <w:r w:rsidRPr="00E95C3B">
              <w:rPr>
                <w:color w:val="000000" w:themeColor="text1"/>
                <w:sz w:val="24"/>
                <w:szCs w:val="24"/>
              </w:rPr>
              <w:t xml:space="preserve">                       </w:t>
            </w:r>
            <w:r>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6EE9ACC1" w14:textId="77777777" w:rsidR="003C64A3" w:rsidRPr="007F7B34" w:rsidRDefault="003C64A3" w:rsidP="00DE5785">
            <w:pPr>
              <w:widowControl/>
              <w:autoSpaceDE/>
              <w:autoSpaceDN/>
              <w:adjustRightInd/>
              <w:rPr>
                <w:rFonts w:ascii="Arial" w:hAnsi="Arial" w:cs="Arial"/>
                <w:highlight w:val="yellow"/>
              </w:rPr>
            </w:pPr>
          </w:p>
        </w:tc>
      </w:tr>
      <w:tr w:rsidR="00680C6B" w:rsidRPr="0017106C" w14:paraId="244BCDD2" w14:textId="77777777" w:rsidTr="00CF6E6B">
        <w:trPr>
          <w:trHeight w:val="315"/>
        </w:trPr>
        <w:tc>
          <w:tcPr>
            <w:tcW w:w="214" w:type="pct"/>
            <w:tcBorders>
              <w:top w:val="nil"/>
              <w:left w:val="single" w:sz="8" w:space="0" w:color="auto"/>
              <w:bottom w:val="nil"/>
              <w:right w:val="nil"/>
            </w:tcBorders>
            <w:shd w:val="clear" w:color="auto" w:fill="auto"/>
            <w:noWrap/>
            <w:vAlign w:val="bottom"/>
          </w:tcPr>
          <w:p w14:paraId="0B4E243A" w14:textId="77777777" w:rsidR="00680C6B" w:rsidRPr="0017106C" w:rsidRDefault="00680C6B"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4FD07566" w14:textId="708F8F92" w:rsidR="00680C6B" w:rsidRPr="00CC0B43" w:rsidRDefault="00680C6B" w:rsidP="00E95C3B">
            <w:pPr>
              <w:widowControl/>
              <w:rPr>
                <w:sz w:val="24"/>
                <w:szCs w:val="24"/>
              </w:rPr>
            </w:pPr>
            <w:r>
              <w:rPr>
                <w:sz w:val="24"/>
                <w:szCs w:val="24"/>
              </w:rPr>
              <w:t>Recordkeeping</w:t>
            </w:r>
          </w:p>
        </w:tc>
        <w:tc>
          <w:tcPr>
            <w:tcW w:w="1053" w:type="pct"/>
            <w:tcBorders>
              <w:left w:val="nil"/>
              <w:bottom w:val="nil"/>
              <w:right w:val="nil"/>
            </w:tcBorders>
            <w:shd w:val="clear" w:color="auto" w:fill="auto"/>
            <w:noWrap/>
            <w:vAlign w:val="bottom"/>
          </w:tcPr>
          <w:p w14:paraId="0B34A9F7" w14:textId="65DA99FF" w:rsidR="00680C6B" w:rsidRPr="00B803D4" w:rsidRDefault="00680C6B" w:rsidP="00332E32">
            <w:pPr>
              <w:widowControl/>
              <w:rPr>
                <w:rFonts w:ascii="Arial" w:hAnsi="Arial" w:cs="Arial"/>
                <w:color w:val="000000" w:themeColor="text1"/>
                <w:sz w:val="24"/>
                <w:szCs w:val="24"/>
              </w:rPr>
            </w:pPr>
            <w:r w:rsidRPr="00E95C3B">
              <w:rPr>
                <w:color w:val="000000" w:themeColor="text1"/>
                <w:sz w:val="24"/>
                <w:szCs w:val="24"/>
              </w:rPr>
              <w:t xml:space="preserve"> 4</w:t>
            </w:r>
            <w:r w:rsidR="00332E32">
              <w:rPr>
                <w:color w:val="000000" w:themeColor="text1"/>
                <w:sz w:val="24"/>
                <w:szCs w:val="24"/>
              </w:rPr>
              <w:t>5</w:t>
            </w:r>
            <w:r w:rsidRPr="00E95C3B">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7E692F62" w14:textId="77777777" w:rsidR="00680C6B" w:rsidRPr="007F7B34" w:rsidRDefault="00680C6B" w:rsidP="00DE5785">
            <w:pPr>
              <w:widowControl/>
              <w:autoSpaceDE/>
              <w:autoSpaceDN/>
              <w:adjustRightInd/>
              <w:rPr>
                <w:rFonts w:ascii="Arial" w:hAnsi="Arial" w:cs="Arial"/>
                <w:highlight w:val="yellow"/>
              </w:rPr>
            </w:pPr>
          </w:p>
        </w:tc>
      </w:tr>
      <w:tr w:rsidR="00680C6B" w:rsidRPr="0017106C" w14:paraId="28E3BEE1" w14:textId="77777777" w:rsidTr="003C64A3">
        <w:trPr>
          <w:trHeight w:val="162"/>
        </w:trPr>
        <w:tc>
          <w:tcPr>
            <w:tcW w:w="214" w:type="pct"/>
            <w:tcBorders>
              <w:top w:val="nil"/>
              <w:left w:val="single" w:sz="8" w:space="0" w:color="auto"/>
              <w:bottom w:val="nil"/>
              <w:right w:val="nil"/>
            </w:tcBorders>
            <w:shd w:val="clear" w:color="auto" w:fill="auto"/>
            <w:noWrap/>
            <w:vAlign w:val="bottom"/>
          </w:tcPr>
          <w:p w14:paraId="1E6E1F98" w14:textId="77777777" w:rsidR="00680C6B" w:rsidRPr="0017106C" w:rsidRDefault="00680C6B"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01BEDE24" w14:textId="62A471B7" w:rsidR="00680C6B" w:rsidRPr="00180FB0" w:rsidRDefault="00680C6B" w:rsidP="00180FB0">
            <w:pPr>
              <w:widowControl/>
              <w:rPr>
                <w:sz w:val="24"/>
                <w:szCs w:val="24"/>
              </w:rPr>
            </w:pPr>
            <w:r>
              <w:rPr>
                <w:sz w:val="24"/>
                <w:szCs w:val="24"/>
              </w:rPr>
              <w:t>Total hours burden per facility</w:t>
            </w:r>
          </w:p>
        </w:tc>
        <w:tc>
          <w:tcPr>
            <w:tcW w:w="1053" w:type="pct"/>
            <w:tcBorders>
              <w:top w:val="nil"/>
              <w:left w:val="nil"/>
              <w:bottom w:val="nil"/>
              <w:right w:val="nil"/>
            </w:tcBorders>
            <w:shd w:val="clear" w:color="auto" w:fill="auto"/>
            <w:noWrap/>
            <w:vAlign w:val="bottom"/>
          </w:tcPr>
          <w:p w14:paraId="125CCF57" w14:textId="59AB5FC2" w:rsidR="00680C6B" w:rsidRPr="00180FB0" w:rsidRDefault="00680C6B" w:rsidP="0019231B">
            <w:pPr>
              <w:widowControl/>
              <w:jc w:val="right"/>
              <w:rPr>
                <w:sz w:val="24"/>
                <w:szCs w:val="24"/>
              </w:rPr>
            </w:pPr>
            <w:r>
              <w:rPr>
                <w:sz w:val="24"/>
                <w:szCs w:val="24"/>
              </w:rPr>
              <w:t>55</w:t>
            </w:r>
          </w:p>
        </w:tc>
        <w:tc>
          <w:tcPr>
            <w:tcW w:w="213" w:type="pct"/>
            <w:tcBorders>
              <w:top w:val="nil"/>
              <w:left w:val="nil"/>
              <w:bottom w:val="nil"/>
              <w:right w:val="single" w:sz="8" w:space="0" w:color="auto"/>
            </w:tcBorders>
            <w:shd w:val="clear" w:color="auto" w:fill="auto"/>
            <w:noWrap/>
            <w:vAlign w:val="bottom"/>
          </w:tcPr>
          <w:p w14:paraId="0D8B024B" w14:textId="77777777" w:rsidR="00680C6B" w:rsidRPr="0029243C" w:rsidRDefault="00680C6B" w:rsidP="00DE5785">
            <w:pPr>
              <w:widowControl/>
              <w:autoSpaceDE/>
              <w:autoSpaceDN/>
              <w:adjustRightInd/>
              <w:rPr>
                <w:rFonts w:ascii="Arial" w:hAnsi="Arial" w:cs="Arial"/>
                <w:color w:val="FF0000"/>
                <w:highlight w:val="yellow"/>
              </w:rPr>
            </w:pPr>
          </w:p>
        </w:tc>
      </w:tr>
      <w:tr w:rsidR="00680C6B" w:rsidRPr="0017106C" w14:paraId="577CFC4C" w14:textId="77777777" w:rsidTr="003C64A3">
        <w:trPr>
          <w:trHeight w:val="162"/>
        </w:trPr>
        <w:tc>
          <w:tcPr>
            <w:tcW w:w="214" w:type="pct"/>
            <w:tcBorders>
              <w:top w:val="nil"/>
              <w:left w:val="single" w:sz="8" w:space="0" w:color="auto"/>
              <w:bottom w:val="nil"/>
              <w:right w:val="nil"/>
            </w:tcBorders>
            <w:shd w:val="clear" w:color="auto" w:fill="auto"/>
            <w:noWrap/>
            <w:vAlign w:val="bottom"/>
          </w:tcPr>
          <w:p w14:paraId="483BA90C" w14:textId="77777777" w:rsidR="00680C6B" w:rsidRPr="0017106C" w:rsidRDefault="00680C6B"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33D11158" w14:textId="77777777" w:rsidR="00680C6B" w:rsidRPr="00180FB0" w:rsidRDefault="00680C6B" w:rsidP="00180FB0">
            <w:pPr>
              <w:widowControl/>
              <w:rPr>
                <w:sz w:val="24"/>
                <w:szCs w:val="24"/>
              </w:rPr>
            </w:pPr>
          </w:p>
        </w:tc>
        <w:tc>
          <w:tcPr>
            <w:tcW w:w="1053" w:type="pct"/>
            <w:tcBorders>
              <w:top w:val="nil"/>
              <w:left w:val="nil"/>
              <w:bottom w:val="nil"/>
              <w:right w:val="nil"/>
            </w:tcBorders>
            <w:shd w:val="clear" w:color="auto" w:fill="auto"/>
            <w:noWrap/>
            <w:vAlign w:val="bottom"/>
          </w:tcPr>
          <w:p w14:paraId="76932A97" w14:textId="77777777" w:rsidR="00680C6B" w:rsidRPr="00180FB0" w:rsidRDefault="00680C6B" w:rsidP="0019231B">
            <w:pPr>
              <w:widowControl/>
              <w:jc w:val="right"/>
              <w:rPr>
                <w:sz w:val="24"/>
                <w:szCs w:val="24"/>
              </w:rPr>
            </w:pPr>
          </w:p>
        </w:tc>
        <w:tc>
          <w:tcPr>
            <w:tcW w:w="213" w:type="pct"/>
            <w:tcBorders>
              <w:top w:val="nil"/>
              <w:left w:val="nil"/>
              <w:bottom w:val="nil"/>
              <w:right w:val="single" w:sz="8" w:space="0" w:color="auto"/>
            </w:tcBorders>
            <w:shd w:val="clear" w:color="auto" w:fill="auto"/>
            <w:noWrap/>
            <w:vAlign w:val="bottom"/>
          </w:tcPr>
          <w:p w14:paraId="06D5E9F4" w14:textId="77777777" w:rsidR="00680C6B" w:rsidRPr="0029243C" w:rsidRDefault="00680C6B" w:rsidP="00DE5785">
            <w:pPr>
              <w:widowControl/>
              <w:autoSpaceDE/>
              <w:autoSpaceDN/>
              <w:adjustRightInd/>
              <w:rPr>
                <w:rFonts w:ascii="Arial" w:hAnsi="Arial" w:cs="Arial"/>
                <w:color w:val="FF0000"/>
                <w:highlight w:val="yellow"/>
              </w:rPr>
            </w:pPr>
          </w:p>
        </w:tc>
      </w:tr>
      <w:tr w:rsidR="003C64A3" w:rsidRPr="0017106C" w14:paraId="199936A2" w14:textId="77777777" w:rsidTr="003C64A3">
        <w:trPr>
          <w:trHeight w:val="162"/>
        </w:trPr>
        <w:tc>
          <w:tcPr>
            <w:tcW w:w="214" w:type="pct"/>
            <w:tcBorders>
              <w:top w:val="nil"/>
              <w:left w:val="single" w:sz="8" w:space="0" w:color="auto"/>
              <w:bottom w:val="nil"/>
              <w:right w:val="nil"/>
            </w:tcBorders>
            <w:shd w:val="clear" w:color="auto" w:fill="auto"/>
            <w:noWrap/>
            <w:vAlign w:val="bottom"/>
          </w:tcPr>
          <w:p w14:paraId="1B9F8D7D"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5303B7FF" w14:textId="78C9CAF5" w:rsidR="003C64A3" w:rsidRPr="00180FB0" w:rsidRDefault="003C64A3" w:rsidP="00A73761">
            <w:pPr>
              <w:widowControl/>
              <w:rPr>
                <w:sz w:val="24"/>
                <w:szCs w:val="24"/>
              </w:rPr>
            </w:pPr>
            <w:r w:rsidRPr="00180FB0">
              <w:rPr>
                <w:sz w:val="24"/>
                <w:szCs w:val="24"/>
              </w:rPr>
              <w:t>Total hours burden (</w:t>
            </w:r>
            <w:r w:rsidR="00A73761">
              <w:rPr>
                <w:sz w:val="24"/>
                <w:szCs w:val="24"/>
              </w:rPr>
              <w:t>1,744</w:t>
            </w:r>
            <w:r w:rsidRPr="00180FB0">
              <w:rPr>
                <w:sz w:val="24"/>
                <w:szCs w:val="24"/>
              </w:rPr>
              <w:t xml:space="preserve"> facilities x </w:t>
            </w:r>
            <w:r w:rsidR="00180FB0" w:rsidRPr="00180FB0">
              <w:rPr>
                <w:sz w:val="24"/>
                <w:szCs w:val="24"/>
              </w:rPr>
              <w:t>55</w:t>
            </w:r>
            <w:r w:rsidRPr="00180FB0">
              <w:rPr>
                <w:sz w:val="24"/>
                <w:szCs w:val="24"/>
              </w:rPr>
              <w:t xml:space="preserve"> hours)</w:t>
            </w:r>
          </w:p>
        </w:tc>
        <w:tc>
          <w:tcPr>
            <w:tcW w:w="1053" w:type="pct"/>
            <w:tcBorders>
              <w:top w:val="nil"/>
              <w:left w:val="nil"/>
              <w:bottom w:val="nil"/>
              <w:right w:val="nil"/>
            </w:tcBorders>
            <w:shd w:val="clear" w:color="auto" w:fill="auto"/>
            <w:noWrap/>
            <w:vAlign w:val="bottom"/>
          </w:tcPr>
          <w:p w14:paraId="50B68555" w14:textId="32AA6195" w:rsidR="003C64A3" w:rsidRPr="00180FB0" w:rsidRDefault="00A73761" w:rsidP="0019231B">
            <w:pPr>
              <w:widowControl/>
              <w:jc w:val="right"/>
              <w:rPr>
                <w:i/>
                <w:color w:val="000000" w:themeColor="text1"/>
                <w:sz w:val="24"/>
                <w:szCs w:val="24"/>
              </w:rPr>
            </w:pPr>
            <w:r>
              <w:rPr>
                <w:sz w:val="24"/>
                <w:szCs w:val="24"/>
              </w:rPr>
              <w:t>95,920</w:t>
            </w:r>
            <w:r w:rsidR="00744343" w:rsidRPr="00180FB0">
              <w:rPr>
                <w:sz w:val="24"/>
                <w:szCs w:val="24"/>
              </w:rPr>
              <w:t xml:space="preserve"> </w:t>
            </w:r>
            <w:r w:rsidR="00DB6134" w:rsidRPr="00180FB0">
              <w:rPr>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0525E39A" w14:textId="77777777" w:rsidR="003C64A3" w:rsidRPr="0029243C" w:rsidRDefault="003C64A3" w:rsidP="00DE5785">
            <w:pPr>
              <w:widowControl/>
              <w:autoSpaceDE/>
              <w:autoSpaceDN/>
              <w:adjustRightInd/>
              <w:rPr>
                <w:rFonts w:ascii="Arial" w:hAnsi="Arial" w:cs="Arial"/>
                <w:color w:val="FF0000"/>
                <w:highlight w:val="yellow"/>
              </w:rPr>
            </w:pPr>
          </w:p>
        </w:tc>
      </w:tr>
      <w:tr w:rsidR="003C64A3" w:rsidRPr="0017106C" w14:paraId="09EEE0B9" w14:textId="77777777" w:rsidTr="003C64A3">
        <w:trPr>
          <w:trHeight w:val="315"/>
        </w:trPr>
        <w:tc>
          <w:tcPr>
            <w:tcW w:w="214" w:type="pct"/>
            <w:tcBorders>
              <w:top w:val="nil"/>
              <w:left w:val="single" w:sz="8" w:space="0" w:color="auto"/>
              <w:bottom w:val="nil"/>
              <w:right w:val="nil"/>
            </w:tcBorders>
            <w:shd w:val="clear" w:color="auto" w:fill="auto"/>
            <w:noWrap/>
            <w:vAlign w:val="bottom"/>
          </w:tcPr>
          <w:p w14:paraId="25D1945C"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7435470A" w14:textId="77777777" w:rsidR="003C64A3" w:rsidRPr="00CC0B43" w:rsidRDefault="003C64A3" w:rsidP="00CC0B43">
            <w:pPr>
              <w:widowControl/>
              <w:ind w:firstLineChars="800" w:firstLine="1920"/>
              <w:rPr>
                <w:sz w:val="24"/>
                <w:szCs w:val="24"/>
              </w:rPr>
            </w:pPr>
          </w:p>
        </w:tc>
        <w:tc>
          <w:tcPr>
            <w:tcW w:w="1053" w:type="pct"/>
            <w:tcBorders>
              <w:top w:val="nil"/>
              <w:left w:val="nil"/>
              <w:bottom w:val="nil"/>
              <w:right w:val="nil"/>
            </w:tcBorders>
            <w:shd w:val="clear" w:color="auto" w:fill="auto"/>
            <w:noWrap/>
            <w:vAlign w:val="bottom"/>
          </w:tcPr>
          <w:p w14:paraId="3AF33E9F" w14:textId="77777777" w:rsidR="003C64A3" w:rsidRPr="00B803D4" w:rsidRDefault="003C64A3" w:rsidP="007778B4">
            <w:pPr>
              <w:widowControl/>
              <w:rPr>
                <w:rFonts w:ascii="Arial" w:hAnsi="Arial" w:cs="Arial"/>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14:paraId="20B63A7F" w14:textId="77777777" w:rsidR="003C64A3" w:rsidRPr="00B12AA6" w:rsidRDefault="003C64A3" w:rsidP="00DE5785">
            <w:pPr>
              <w:widowControl/>
              <w:autoSpaceDE/>
              <w:autoSpaceDN/>
              <w:adjustRightInd/>
              <w:rPr>
                <w:rFonts w:ascii="Arial" w:hAnsi="Arial" w:cs="Arial"/>
              </w:rPr>
            </w:pPr>
          </w:p>
        </w:tc>
      </w:tr>
      <w:tr w:rsidR="003C64A3" w:rsidRPr="0017106C" w14:paraId="2A02407F" w14:textId="77777777" w:rsidTr="003C64A3">
        <w:trPr>
          <w:trHeight w:val="162"/>
        </w:trPr>
        <w:tc>
          <w:tcPr>
            <w:tcW w:w="214" w:type="pct"/>
            <w:tcBorders>
              <w:top w:val="nil"/>
              <w:left w:val="single" w:sz="8" w:space="0" w:color="auto"/>
              <w:bottom w:val="nil"/>
              <w:right w:val="nil"/>
            </w:tcBorders>
            <w:shd w:val="clear" w:color="auto" w:fill="auto"/>
            <w:noWrap/>
            <w:vAlign w:val="bottom"/>
          </w:tcPr>
          <w:p w14:paraId="2C2FD0BB" w14:textId="77777777" w:rsidR="003C64A3" w:rsidRPr="0017106C" w:rsidRDefault="003C64A3" w:rsidP="00DE5785">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41676043" w14:textId="2E8AD319" w:rsidR="003C64A3" w:rsidRPr="00CC0B43" w:rsidRDefault="008221CF" w:rsidP="008221CF">
            <w:pPr>
              <w:widowControl/>
              <w:rPr>
                <w:sz w:val="24"/>
                <w:szCs w:val="24"/>
              </w:rPr>
            </w:pPr>
            <w:r>
              <w:rPr>
                <w:sz w:val="24"/>
                <w:szCs w:val="24"/>
              </w:rPr>
              <w:t>Cost per RHC</w:t>
            </w:r>
            <w:r w:rsidR="00297AF5">
              <w:rPr>
                <w:sz w:val="24"/>
                <w:szCs w:val="24"/>
              </w:rPr>
              <w:t xml:space="preserve">                                                             </w:t>
            </w:r>
          </w:p>
        </w:tc>
        <w:tc>
          <w:tcPr>
            <w:tcW w:w="1053" w:type="pct"/>
            <w:tcBorders>
              <w:top w:val="nil"/>
              <w:left w:val="nil"/>
              <w:bottom w:val="nil"/>
              <w:right w:val="nil"/>
            </w:tcBorders>
            <w:shd w:val="clear" w:color="auto" w:fill="auto"/>
            <w:noWrap/>
            <w:vAlign w:val="bottom"/>
          </w:tcPr>
          <w:p w14:paraId="35E4CB5F" w14:textId="5C7FB30D" w:rsidR="003C64A3" w:rsidRPr="00B803D4" w:rsidRDefault="00297AF5" w:rsidP="008221CF">
            <w:pPr>
              <w:widowControl/>
              <w:jc w:val="right"/>
              <w:rPr>
                <w:color w:val="000000" w:themeColor="text1"/>
                <w:sz w:val="24"/>
                <w:szCs w:val="24"/>
              </w:rPr>
            </w:pPr>
            <w:r>
              <w:rPr>
                <w:color w:val="000000" w:themeColor="text1"/>
                <w:sz w:val="24"/>
                <w:szCs w:val="24"/>
              </w:rPr>
              <w:t xml:space="preserve"> $</w:t>
            </w:r>
            <w:r w:rsidR="008221CF">
              <w:rPr>
                <w:color w:val="000000" w:themeColor="text1"/>
                <w:sz w:val="24"/>
                <w:szCs w:val="24"/>
              </w:rPr>
              <w:t>2,478.40</w:t>
            </w:r>
            <w:r w:rsidR="003C64A3" w:rsidRPr="00B803D4">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255ADDF8" w14:textId="77777777" w:rsidR="003C64A3" w:rsidRPr="00B12AA6" w:rsidRDefault="003C64A3" w:rsidP="00DE5785">
            <w:pPr>
              <w:widowControl/>
              <w:autoSpaceDE/>
              <w:autoSpaceDN/>
              <w:adjustRightInd/>
              <w:rPr>
                <w:rFonts w:ascii="Arial" w:hAnsi="Arial" w:cs="Arial"/>
              </w:rPr>
            </w:pPr>
          </w:p>
        </w:tc>
      </w:tr>
      <w:tr w:rsidR="003863CC" w:rsidRPr="00B12AA6" w14:paraId="414801D1" w14:textId="77777777" w:rsidTr="003C64A3">
        <w:trPr>
          <w:trHeight w:val="330"/>
        </w:trPr>
        <w:tc>
          <w:tcPr>
            <w:tcW w:w="214" w:type="pct"/>
            <w:tcBorders>
              <w:top w:val="nil"/>
              <w:left w:val="single" w:sz="8" w:space="0" w:color="auto"/>
              <w:bottom w:val="nil"/>
              <w:right w:val="nil"/>
            </w:tcBorders>
            <w:shd w:val="clear" w:color="auto" w:fill="auto"/>
            <w:noWrap/>
            <w:vAlign w:val="bottom"/>
          </w:tcPr>
          <w:p w14:paraId="337113F7" w14:textId="77777777" w:rsidR="003863CC" w:rsidRPr="0017106C" w:rsidRDefault="003863CC" w:rsidP="003863CC">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14:paraId="1417BDAE" w14:textId="77777777" w:rsidR="003863CC" w:rsidRPr="00CC0B43" w:rsidRDefault="003863CC" w:rsidP="003863CC">
            <w:pPr>
              <w:widowControl/>
              <w:rPr>
                <w:sz w:val="24"/>
                <w:szCs w:val="24"/>
              </w:rPr>
            </w:pPr>
          </w:p>
          <w:p w14:paraId="6DD4729B" w14:textId="5327A97A" w:rsidR="003863CC" w:rsidRPr="00CC0B43" w:rsidRDefault="003863CC" w:rsidP="005B46BD">
            <w:pPr>
              <w:widowControl/>
              <w:rPr>
                <w:sz w:val="24"/>
                <w:szCs w:val="24"/>
              </w:rPr>
            </w:pPr>
            <w:r w:rsidRPr="00CC0B43">
              <w:rPr>
                <w:sz w:val="24"/>
                <w:szCs w:val="24"/>
              </w:rPr>
              <w:t xml:space="preserve">Total </w:t>
            </w:r>
            <w:r w:rsidR="007C1EB9">
              <w:rPr>
                <w:sz w:val="24"/>
                <w:szCs w:val="24"/>
              </w:rPr>
              <w:t>annual</w:t>
            </w:r>
            <w:r w:rsidRPr="00CC0B43">
              <w:rPr>
                <w:sz w:val="24"/>
                <w:szCs w:val="24"/>
              </w:rPr>
              <w:t xml:space="preserve"> cost estimate</w:t>
            </w:r>
            <w:r w:rsidR="008221CF">
              <w:rPr>
                <w:sz w:val="24"/>
                <w:szCs w:val="24"/>
              </w:rPr>
              <w:t xml:space="preserve"> ($2,478.40 x 1,744 </w:t>
            </w:r>
            <w:r w:rsidR="005B46BD">
              <w:rPr>
                <w:sz w:val="24"/>
                <w:szCs w:val="24"/>
              </w:rPr>
              <w:t>RHCs</w:t>
            </w:r>
            <w:r w:rsidR="008221CF">
              <w:rPr>
                <w:sz w:val="24"/>
                <w:szCs w:val="24"/>
              </w:rPr>
              <w:t>)</w:t>
            </w:r>
          </w:p>
        </w:tc>
        <w:tc>
          <w:tcPr>
            <w:tcW w:w="1053" w:type="pct"/>
            <w:tcBorders>
              <w:top w:val="single" w:sz="4" w:space="0" w:color="auto"/>
              <w:left w:val="nil"/>
              <w:bottom w:val="double" w:sz="6" w:space="0" w:color="auto"/>
              <w:right w:val="nil"/>
            </w:tcBorders>
            <w:shd w:val="clear" w:color="auto" w:fill="auto"/>
            <w:noWrap/>
            <w:vAlign w:val="bottom"/>
          </w:tcPr>
          <w:p w14:paraId="0A3D9F92" w14:textId="717C38DA" w:rsidR="003863CC" w:rsidRPr="00911005" w:rsidRDefault="00DB6134" w:rsidP="00B56BA3">
            <w:pPr>
              <w:widowControl/>
              <w:jc w:val="right"/>
              <w:rPr>
                <w:i/>
                <w:color w:val="000000" w:themeColor="text1"/>
                <w:sz w:val="24"/>
                <w:szCs w:val="24"/>
              </w:rPr>
            </w:pPr>
            <w:r>
              <w:rPr>
                <w:sz w:val="24"/>
                <w:szCs w:val="24"/>
              </w:rPr>
              <w:t>$</w:t>
            </w:r>
            <w:r w:rsidR="00A73761">
              <w:rPr>
                <w:sz w:val="24"/>
                <w:szCs w:val="24"/>
              </w:rPr>
              <w:t>4,322,</w:t>
            </w:r>
            <w:r w:rsidR="00024AB1">
              <w:rPr>
                <w:sz w:val="24"/>
                <w:szCs w:val="24"/>
              </w:rPr>
              <w:t>3</w:t>
            </w:r>
            <w:r w:rsidR="00B56BA3">
              <w:rPr>
                <w:sz w:val="24"/>
                <w:szCs w:val="24"/>
              </w:rPr>
              <w:t>30</w:t>
            </w:r>
            <w:r w:rsidR="00024AB1">
              <w:rPr>
                <w:sz w:val="24"/>
                <w:szCs w:val="24"/>
              </w:rPr>
              <w:t xml:space="preserve">  </w:t>
            </w:r>
          </w:p>
        </w:tc>
        <w:tc>
          <w:tcPr>
            <w:tcW w:w="213" w:type="pct"/>
            <w:tcBorders>
              <w:top w:val="nil"/>
              <w:left w:val="nil"/>
              <w:bottom w:val="nil"/>
              <w:right w:val="single" w:sz="8" w:space="0" w:color="auto"/>
            </w:tcBorders>
            <w:shd w:val="clear" w:color="auto" w:fill="auto"/>
            <w:noWrap/>
            <w:vAlign w:val="bottom"/>
          </w:tcPr>
          <w:p w14:paraId="791F4FDE" w14:textId="77777777" w:rsidR="003863CC" w:rsidRPr="00B12AA6" w:rsidRDefault="003863CC" w:rsidP="003863CC">
            <w:pPr>
              <w:widowControl/>
              <w:autoSpaceDE/>
              <w:autoSpaceDN/>
              <w:adjustRightInd/>
              <w:rPr>
                <w:rFonts w:ascii="Arial" w:hAnsi="Arial" w:cs="Arial"/>
              </w:rPr>
            </w:pPr>
            <w:r w:rsidRPr="00B12AA6">
              <w:rPr>
                <w:rFonts w:ascii="Arial" w:hAnsi="Arial" w:cs="Arial"/>
              </w:rPr>
              <w:t> </w:t>
            </w:r>
          </w:p>
        </w:tc>
      </w:tr>
      <w:tr w:rsidR="003863CC" w:rsidRPr="0017106C" w14:paraId="17BFBCAE" w14:textId="77777777" w:rsidTr="003863CC">
        <w:trPr>
          <w:trHeight w:val="285"/>
        </w:trPr>
        <w:tc>
          <w:tcPr>
            <w:tcW w:w="214" w:type="pct"/>
            <w:tcBorders>
              <w:top w:val="nil"/>
              <w:left w:val="single" w:sz="8" w:space="0" w:color="auto"/>
              <w:bottom w:val="single" w:sz="8" w:space="0" w:color="auto"/>
              <w:right w:val="nil"/>
            </w:tcBorders>
            <w:shd w:val="clear" w:color="auto" w:fill="auto"/>
            <w:noWrap/>
            <w:vAlign w:val="bottom"/>
            <w:hideMark/>
          </w:tcPr>
          <w:p w14:paraId="027A86AC" w14:textId="77777777" w:rsidR="003863CC" w:rsidRPr="0017106C" w:rsidRDefault="003863CC" w:rsidP="003863CC">
            <w:pPr>
              <w:widowControl/>
              <w:autoSpaceDE/>
              <w:autoSpaceDN/>
              <w:adjustRightInd/>
              <w:rPr>
                <w:rFonts w:ascii="Arial" w:hAnsi="Arial" w:cs="Arial"/>
              </w:rPr>
            </w:pPr>
            <w:r w:rsidRPr="0017106C">
              <w:rPr>
                <w:rFonts w:ascii="Arial" w:hAnsi="Arial" w:cs="Arial"/>
              </w:rPr>
              <w:t> </w:t>
            </w:r>
          </w:p>
        </w:tc>
        <w:tc>
          <w:tcPr>
            <w:tcW w:w="3520" w:type="pct"/>
            <w:tcBorders>
              <w:top w:val="nil"/>
              <w:left w:val="nil"/>
              <w:bottom w:val="single" w:sz="8" w:space="0" w:color="auto"/>
              <w:right w:val="nil"/>
            </w:tcBorders>
            <w:shd w:val="clear" w:color="auto" w:fill="auto"/>
            <w:noWrap/>
            <w:vAlign w:val="bottom"/>
            <w:hideMark/>
          </w:tcPr>
          <w:p w14:paraId="318D1C7F" w14:textId="77777777" w:rsidR="003863CC" w:rsidRPr="00CC0B43" w:rsidRDefault="003863CC" w:rsidP="003863CC">
            <w:pPr>
              <w:widowControl/>
              <w:rPr>
                <w:sz w:val="24"/>
                <w:szCs w:val="24"/>
              </w:rPr>
            </w:pPr>
          </w:p>
        </w:tc>
        <w:tc>
          <w:tcPr>
            <w:tcW w:w="1053" w:type="pct"/>
            <w:tcBorders>
              <w:top w:val="nil"/>
              <w:left w:val="nil"/>
              <w:bottom w:val="single" w:sz="8" w:space="0" w:color="auto"/>
              <w:right w:val="nil"/>
            </w:tcBorders>
            <w:shd w:val="clear" w:color="auto" w:fill="auto"/>
            <w:noWrap/>
            <w:vAlign w:val="bottom"/>
          </w:tcPr>
          <w:p w14:paraId="0D8B0DD5" w14:textId="77777777" w:rsidR="003863CC" w:rsidRPr="00CC0B43" w:rsidRDefault="003863CC" w:rsidP="003863CC">
            <w:pPr>
              <w:widowControl/>
              <w:jc w:val="right"/>
              <w:rPr>
                <w:sz w:val="24"/>
                <w:szCs w:val="24"/>
              </w:rPr>
            </w:pPr>
          </w:p>
        </w:tc>
        <w:tc>
          <w:tcPr>
            <w:tcW w:w="213" w:type="pct"/>
            <w:tcBorders>
              <w:top w:val="nil"/>
              <w:left w:val="nil"/>
              <w:bottom w:val="single" w:sz="8" w:space="0" w:color="auto"/>
              <w:right w:val="single" w:sz="8" w:space="0" w:color="auto"/>
            </w:tcBorders>
            <w:shd w:val="clear" w:color="auto" w:fill="auto"/>
            <w:noWrap/>
            <w:vAlign w:val="bottom"/>
          </w:tcPr>
          <w:p w14:paraId="2A9E58C1" w14:textId="77777777" w:rsidR="003863CC" w:rsidRPr="00B12AA6" w:rsidRDefault="003863CC" w:rsidP="003863CC">
            <w:pPr>
              <w:widowControl/>
              <w:autoSpaceDE/>
              <w:autoSpaceDN/>
              <w:adjustRightInd/>
              <w:rPr>
                <w:rFonts w:ascii="Arial" w:hAnsi="Arial" w:cs="Arial"/>
              </w:rPr>
            </w:pPr>
          </w:p>
        </w:tc>
      </w:tr>
    </w:tbl>
    <w:p w14:paraId="315CE04D" w14:textId="77777777" w:rsidR="00A23514" w:rsidRDefault="00A23514" w:rsidP="003A2813">
      <w:pPr>
        <w:tabs>
          <w:tab w:val="left" w:pos="0"/>
          <w:tab w:val="left" w:pos="360"/>
          <w:tab w:val="left" w:pos="720"/>
        </w:tabs>
        <w:suppressAutoHyphens/>
        <w:spacing w:line="240" w:lineRule="atLeast"/>
        <w:rPr>
          <w:sz w:val="24"/>
          <w:szCs w:val="24"/>
        </w:rPr>
      </w:pPr>
    </w:p>
    <w:p w14:paraId="3A212DC5" w14:textId="706BD95E" w:rsidR="00A02265" w:rsidRPr="004B45C5" w:rsidRDefault="004B45C5" w:rsidP="004B45C5">
      <w:pPr>
        <w:tabs>
          <w:tab w:val="left" w:pos="450"/>
          <w:tab w:val="left" w:pos="940"/>
        </w:tabs>
        <w:spacing w:before="69"/>
        <w:ind w:left="720"/>
        <w:rPr>
          <w:sz w:val="24"/>
        </w:rPr>
      </w:pPr>
      <w:r>
        <w:rPr>
          <w:sz w:val="24"/>
        </w:rPr>
        <w:t>Burden hours for each RHC are an estimate of the time required (number of hours) to complete ongoing data gathering and recordkeeping tasks, search existing data resources, review</w:t>
      </w:r>
      <w:r w:rsidR="005A7156">
        <w:rPr>
          <w:sz w:val="24"/>
        </w:rPr>
        <w:t>ing</w:t>
      </w:r>
      <w:r>
        <w:rPr>
          <w:sz w:val="24"/>
        </w:rPr>
        <w:t xml:space="preserve"> instructions, and complet</w:t>
      </w:r>
      <w:r w:rsidR="005A7156">
        <w:rPr>
          <w:sz w:val="24"/>
        </w:rPr>
        <w:t>ing</w:t>
      </w:r>
      <w:r>
        <w:rPr>
          <w:sz w:val="24"/>
        </w:rPr>
        <w:t xml:space="preserve"> the Form CMS-222-17.  T</w:t>
      </w:r>
      <w:r w:rsidR="00B945F2" w:rsidRPr="004B45C5">
        <w:rPr>
          <w:sz w:val="24"/>
        </w:rPr>
        <w:t xml:space="preserve">he burden estimate for </w:t>
      </w:r>
      <w:r w:rsidR="00A02265" w:rsidRPr="004B45C5">
        <w:rPr>
          <w:sz w:val="24"/>
        </w:rPr>
        <w:t xml:space="preserve">each RHC is </w:t>
      </w:r>
      <w:r w:rsidR="00B945F2" w:rsidRPr="004B45C5">
        <w:rPr>
          <w:sz w:val="24"/>
        </w:rPr>
        <w:t xml:space="preserve">based on professional judgment of staff members at CMS.  There are </w:t>
      </w:r>
      <w:r w:rsidR="00A73761">
        <w:rPr>
          <w:sz w:val="24"/>
        </w:rPr>
        <w:t>1,744</w:t>
      </w:r>
      <w:r w:rsidR="00B945F2" w:rsidRPr="004B45C5">
        <w:rPr>
          <w:sz w:val="24"/>
        </w:rPr>
        <w:t xml:space="preserve"> RHCs filing </w:t>
      </w:r>
      <w:r w:rsidR="00A02265" w:rsidRPr="004B45C5">
        <w:rPr>
          <w:sz w:val="24"/>
        </w:rPr>
        <w:t xml:space="preserve">Form CMS-222-17 annually, </w:t>
      </w:r>
      <w:r w:rsidR="00B945F2" w:rsidRPr="004B45C5">
        <w:rPr>
          <w:sz w:val="24"/>
        </w:rPr>
        <w:t xml:space="preserve">with an average burden estimate per RHC of </w:t>
      </w:r>
      <w:r w:rsidR="00A02265" w:rsidRPr="004B45C5">
        <w:rPr>
          <w:sz w:val="24"/>
        </w:rPr>
        <w:t>55 hours (45 hours for recordkeeping and 10 hours for reporting)</w:t>
      </w:r>
      <w:r w:rsidR="00B945F2" w:rsidRPr="004B45C5">
        <w:rPr>
          <w:sz w:val="24"/>
        </w:rPr>
        <w:t xml:space="preserve">.  We calculated the </w:t>
      </w:r>
      <w:r w:rsidR="00A02265" w:rsidRPr="004B45C5">
        <w:rPr>
          <w:sz w:val="24"/>
        </w:rPr>
        <w:t xml:space="preserve">annual </w:t>
      </w:r>
      <w:r w:rsidR="00B945F2" w:rsidRPr="004B45C5">
        <w:rPr>
          <w:sz w:val="24"/>
        </w:rPr>
        <w:t xml:space="preserve">burden hours as follows:  </w:t>
      </w:r>
      <w:r w:rsidR="00A73761">
        <w:rPr>
          <w:sz w:val="24"/>
        </w:rPr>
        <w:t>1,744</w:t>
      </w:r>
      <w:r w:rsidR="00B945F2" w:rsidRPr="004B45C5">
        <w:rPr>
          <w:sz w:val="24"/>
        </w:rPr>
        <w:t xml:space="preserve"> RHCs times 55 hours </w:t>
      </w:r>
      <w:r w:rsidR="00A02265" w:rsidRPr="004B45C5">
        <w:rPr>
          <w:sz w:val="24"/>
        </w:rPr>
        <w:t xml:space="preserve">per RHC equals </w:t>
      </w:r>
      <w:r w:rsidR="00A73761">
        <w:rPr>
          <w:sz w:val="24"/>
        </w:rPr>
        <w:t>95,920</w:t>
      </w:r>
      <w:r w:rsidR="00A02265" w:rsidRPr="004B45C5">
        <w:rPr>
          <w:sz w:val="24"/>
        </w:rPr>
        <w:t xml:space="preserve"> annual burden hours.  </w:t>
      </w:r>
    </w:p>
    <w:p w14:paraId="79BAB59F" w14:textId="77777777" w:rsidR="00A02265" w:rsidRPr="00901E4D" w:rsidRDefault="00A02265" w:rsidP="00B945F2">
      <w:pPr>
        <w:pStyle w:val="BodyTextIndent"/>
        <w:tabs>
          <w:tab w:val="left" w:pos="810"/>
          <w:tab w:val="left" w:pos="1170"/>
        </w:tabs>
        <w:ind w:left="720" w:firstLine="0"/>
        <w:jc w:val="left"/>
        <w:rPr>
          <w:rFonts w:eastAsiaTheme="minorEastAsia"/>
          <w:szCs w:val="20"/>
        </w:rPr>
      </w:pPr>
    </w:p>
    <w:p w14:paraId="28CF0364" w14:textId="77777777" w:rsidR="00B835E1" w:rsidRPr="004B45C5" w:rsidRDefault="006B46C0" w:rsidP="00B835E1">
      <w:pPr>
        <w:tabs>
          <w:tab w:val="left" w:pos="450"/>
          <w:tab w:val="left" w:pos="940"/>
        </w:tabs>
        <w:spacing w:before="69"/>
        <w:ind w:left="720"/>
        <w:rPr>
          <w:sz w:val="24"/>
        </w:rPr>
      </w:pPr>
      <w:r w:rsidRPr="00901E4D">
        <w:rPr>
          <w:sz w:val="24"/>
        </w:rPr>
        <w:t xml:space="preserve">We believe the 45 hours for recordkeeping will be achieved using bookkeeping, accounting and auditing clerks while the </w:t>
      </w:r>
      <w:r w:rsidR="0073271B" w:rsidRPr="00901E4D">
        <w:rPr>
          <w:sz w:val="24"/>
        </w:rPr>
        <w:t xml:space="preserve">10 hours for </w:t>
      </w:r>
      <w:r w:rsidRPr="00901E4D">
        <w:rPr>
          <w:sz w:val="24"/>
        </w:rPr>
        <w:t xml:space="preserve">reporting will be achieved using accounting and audit professionals.  </w:t>
      </w:r>
      <w:r w:rsidR="00A02265" w:rsidRPr="00901E4D">
        <w:rPr>
          <w:sz w:val="24"/>
        </w:rPr>
        <w:t xml:space="preserve">Based on the most recent </w:t>
      </w:r>
      <w:r w:rsidR="004B45C5" w:rsidRPr="00901E4D">
        <w:rPr>
          <w:sz w:val="24"/>
        </w:rPr>
        <w:t xml:space="preserve">Bureau of Labor Statistics (BLS) in its 2016 Occupation Outlook Handbook, </w:t>
      </w:r>
      <w:r w:rsidR="00FD05EA" w:rsidRPr="00901E4D">
        <w:rPr>
          <w:sz w:val="24"/>
        </w:rPr>
        <w:t xml:space="preserve">the mean hourly wage for </w:t>
      </w:r>
      <w:r w:rsidRPr="00901E4D">
        <w:rPr>
          <w:sz w:val="24"/>
        </w:rPr>
        <w:t>Category 43-3031</w:t>
      </w:r>
      <w:r w:rsidR="00B835E1">
        <w:rPr>
          <w:color w:val="1F497D"/>
        </w:rPr>
        <w:t xml:space="preserve"> </w:t>
      </w:r>
      <w:hyperlink r:id="rId9" w:history="1">
        <w:r w:rsidR="00B835E1">
          <w:rPr>
            <w:rStyle w:val="Hyperlink"/>
          </w:rPr>
          <w:t>www.bls.gov/oes/current/oes433031.htm</w:t>
        </w:r>
      </w:hyperlink>
      <w:r w:rsidR="00B835E1" w:rsidRPr="00901E4D">
        <w:rPr>
          <w:sz w:val="24"/>
        </w:rPr>
        <w:t xml:space="preserve"> (bookkeeping, accounting and auditing clerks) is $19.34.  We added 100% of the mean hourly wage to account for fringe and overhead benefits, which calculates to $38.68 ($19.34 + $19.34) and multiplied it by 45 hours, to determine the annual recordkeeping costs per RHC to be $1,740.60 ($38.68 x 45 hours). The mean hourly wage for Category 13-2011</w:t>
      </w:r>
      <w:hyperlink r:id="rId10" w:history="1">
        <w:r w:rsidR="00B835E1">
          <w:rPr>
            <w:rStyle w:val="Hyperlink"/>
          </w:rPr>
          <w:t>www.bls.gov/oes/current/oes132011.htm</w:t>
        </w:r>
      </w:hyperlink>
      <w:r w:rsidR="00B835E1">
        <w:rPr>
          <w:color w:val="1F497D"/>
        </w:rPr>
        <w:t xml:space="preserve"> </w:t>
      </w:r>
      <w:r w:rsidR="00B835E1" w:rsidRPr="00901E4D">
        <w:rPr>
          <w:sz w:val="24"/>
        </w:rPr>
        <w:t xml:space="preserve">(accounting and audit professionals) </w:t>
      </w:r>
      <w:r w:rsidR="00B835E1">
        <w:rPr>
          <w:sz w:val="24"/>
        </w:rPr>
        <w:t>is</w:t>
      </w:r>
      <w:r w:rsidR="00B835E1" w:rsidRPr="00901E4D">
        <w:rPr>
          <w:sz w:val="24"/>
        </w:rPr>
        <w:t xml:space="preserve"> $36.89.  We added 100% of the mean hourly wage to account for fringe and overhead benefits, which calculates to $73.78 ($36.89 + $36.89) and multiplied it by 10 hours, to determine the annual reporting costs per RHC to be $737.80 ($73.78 x 10 hours).  </w:t>
      </w:r>
      <w:r w:rsidR="00B835E1" w:rsidRPr="004B45C5">
        <w:rPr>
          <w:sz w:val="24"/>
        </w:rPr>
        <w:t xml:space="preserve">We’ve calculated the </w:t>
      </w:r>
      <w:r w:rsidR="00B835E1">
        <w:rPr>
          <w:sz w:val="24"/>
        </w:rPr>
        <w:t>total annual cost per RHC of $2,478.40, by adding the</w:t>
      </w:r>
      <w:r w:rsidR="00B835E1" w:rsidRPr="004B45C5">
        <w:rPr>
          <w:sz w:val="24"/>
        </w:rPr>
        <w:t xml:space="preserve"> </w:t>
      </w:r>
      <w:r w:rsidR="00B835E1" w:rsidRPr="00901E4D">
        <w:rPr>
          <w:sz w:val="24"/>
        </w:rPr>
        <w:t xml:space="preserve">recordkeeping costs of $1,740.60 plus the reporting costs of $737.80. </w:t>
      </w:r>
      <w:r w:rsidR="00B835E1">
        <w:rPr>
          <w:sz w:val="24"/>
        </w:rPr>
        <w:t>We estimated the total annual cost to be $4,322,330 ($2,478.40 times 1,744 RHCs).</w:t>
      </w:r>
      <w:r w:rsidR="00B835E1" w:rsidRPr="004B45C5">
        <w:rPr>
          <w:sz w:val="24"/>
        </w:rPr>
        <w:t xml:space="preserve">  </w:t>
      </w:r>
    </w:p>
    <w:p w14:paraId="18240FCA" w14:textId="77777777" w:rsidR="00B835E1" w:rsidRDefault="00B835E1" w:rsidP="00B835E1">
      <w:pPr>
        <w:ind w:firstLine="450"/>
        <w:rPr>
          <w:color w:val="1F497D"/>
        </w:rPr>
      </w:pPr>
    </w:p>
    <w:p w14:paraId="6C0C763D" w14:textId="5CA0C3E4" w:rsidR="00543B72" w:rsidRDefault="00543B72" w:rsidP="000E3D92">
      <w:pPr>
        <w:pStyle w:val="ListParagraph"/>
        <w:tabs>
          <w:tab w:val="left" w:pos="1260"/>
          <w:tab w:val="left" w:pos="1350"/>
        </w:tabs>
        <w:ind w:right="142"/>
        <w:rPr>
          <w:sz w:val="24"/>
          <w:szCs w:val="24"/>
        </w:rPr>
      </w:pPr>
      <w:r w:rsidRPr="003F0985">
        <w:rPr>
          <w:sz w:val="24"/>
          <w:szCs w:val="24"/>
        </w:rPr>
        <w:t xml:space="preserve">We have eliminated the separate filing of the Provider Cost Report Reimbursement Questionnaire, Form CMS-339 (OMB No. 0938-0301).  </w:t>
      </w:r>
      <w:r w:rsidR="00082526">
        <w:rPr>
          <w:sz w:val="24"/>
          <w:szCs w:val="24"/>
        </w:rPr>
        <w:t>RHC</w:t>
      </w:r>
      <w:r>
        <w:rPr>
          <w:sz w:val="24"/>
          <w:szCs w:val="24"/>
        </w:rPr>
        <w:t xml:space="preserve">s were required to file the Form CMS-339 with a burden estimate of 3 to 4 hours for completion.  In this revision to the </w:t>
      </w:r>
      <w:r w:rsidR="00082526">
        <w:rPr>
          <w:sz w:val="24"/>
          <w:szCs w:val="24"/>
        </w:rPr>
        <w:t>RHC</w:t>
      </w:r>
      <w:r>
        <w:rPr>
          <w:sz w:val="24"/>
          <w:szCs w:val="24"/>
        </w:rPr>
        <w:t xml:space="preserve"> cost report we are incorporating the relevant questions into Worksheet S-2 with a burden estimate of 15 minutes and eliminating the additional requirement to file the Form CMS-339 with a burden estimate of 3 to 4 hours.  This would be a net burden reduction for the </w:t>
      </w:r>
      <w:r w:rsidR="00082526">
        <w:rPr>
          <w:sz w:val="24"/>
          <w:szCs w:val="24"/>
        </w:rPr>
        <w:t>RHC</w:t>
      </w:r>
      <w:r>
        <w:rPr>
          <w:sz w:val="24"/>
          <w:szCs w:val="24"/>
        </w:rPr>
        <w:t xml:space="preserve">s of 3 hours times </w:t>
      </w:r>
      <w:r w:rsidR="00082526">
        <w:rPr>
          <w:sz w:val="24"/>
          <w:szCs w:val="24"/>
        </w:rPr>
        <w:t>1,744</w:t>
      </w:r>
      <w:r>
        <w:rPr>
          <w:sz w:val="24"/>
          <w:szCs w:val="24"/>
        </w:rPr>
        <w:t xml:space="preserve"> </w:t>
      </w:r>
      <w:r w:rsidR="00082526">
        <w:rPr>
          <w:sz w:val="24"/>
          <w:szCs w:val="24"/>
        </w:rPr>
        <w:t>RHC</w:t>
      </w:r>
      <w:r>
        <w:rPr>
          <w:sz w:val="24"/>
          <w:szCs w:val="24"/>
        </w:rPr>
        <w:t xml:space="preserve">s.  This burden reduction is not being shown in this calculation as the original burden was calculated for the Form CMS-339 </w:t>
      </w:r>
      <w:r w:rsidRPr="003F0985">
        <w:rPr>
          <w:sz w:val="24"/>
          <w:szCs w:val="24"/>
        </w:rPr>
        <w:t>(OMB No. 0938-0301).</w:t>
      </w:r>
      <w:r>
        <w:rPr>
          <w:sz w:val="24"/>
          <w:szCs w:val="24"/>
        </w:rPr>
        <w:t xml:space="preserve">  </w:t>
      </w:r>
    </w:p>
    <w:p w14:paraId="52B4829E" w14:textId="1E4A709D" w:rsidR="00B835E1" w:rsidRPr="004B45C5" w:rsidRDefault="00B835E1" w:rsidP="00B835E1">
      <w:pPr>
        <w:tabs>
          <w:tab w:val="left" w:pos="450"/>
          <w:tab w:val="left" w:pos="940"/>
        </w:tabs>
        <w:spacing w:before="69"/>
        <w:ind w:left="720"/>
        <w:rPr>
          <w:sz w:val="24"/>
        </w:rPr>
      </w:pPr>
      <w:r w:rsidRPr="00901E4D">
        <w:rPr>
          <w:sz w:val="24"/>
        </w:rPr>
        <w:t xml:space="preserve"> </w:t>
      </w:r>
    </w:p>
    <w:p w14:paraId="0A3E92BB" w14:textId="158E9599"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Capital Cost</w:t>
      </w:r>
    </w:p>
    <w:p w14:paraId="1D8FD851" w14:textId="77777777" w:rsidR="00D22C70" w:rsidRPr="002B7282" w:rsidRDefault="00D22C70" w:rsidP="00A211BB">
      <w:pPr>
        <w:tabs>
          <w:tab w:val="left" w:pos="0"/>
          <w:tab w:val="left" w:pos="360"/>
          <w:tab w:val="left" w:pos="720"/>
        </w:tabs>
        <w:suppressAutoHyphens/>
        <w:spacing w:line="240" w:lineRule="atLeast"/>
        <w:ind w:left="360"/>
        <w:rPr>
          <w:sz w:val="24"/>
          <w:szCs w:val="24"/>
        </w:rPr>
      </w:pPr>
    </w:p>
    <w:p w14:paraId="326A60BC" w14:textId="7A5AEB7B" w:rsidR="00D22C70" w:rsidRPr="002B7282" w:rsidRDefault="00D22C70" w:rsidP="00552775">
      <w:pPr>
        <w:tabs>
          <w:tab w:val="left" w:pos="0"/>
          <w:tab w:val="left" w:pos="720"/>
        </w:tabs>
        <w:suppressAutoHyphens/>
        <w:spacing w:line="240" w:lineRule="atLeast"/>
        <w:ind w:left="720"/>
        <w:rPr>
          <w:sz w:val="24"/>
          <w:szCs w:val="24"/>
        </w:rPr>
      </w:pPr>
      <w:r w:rsidRPr="002B7282">
        <w:rPr>
          <w:sz w:val="24"/>
          <w:szCs w:val="24"/>
        </w:rPr>
        <w:t>There are no capital costs</w:t>
      </w:r>
      <w:r w:rsidR="00361152" w:rsidRPr="00361152">
        <w:rPr>
          <w:sz w:val="24"/>
          <w:szCs w:val="24"/>
        </w:rPr>
        <w:t xml:space="preserve"> as this data collection tool, Form CMS-</w:t>
      </w:r>
      <w:r w:rsidR="000F3A60">
        <w:rPr>
          <w:sz w:val="24"/>
          <w:szCs w:val="24"/>
        </w:rPr>
        <w:t>222</w:t>
      </w:r>
      <w:r w:rsidR="00361152">
        <w:rPr>
          <w:sz w:val="24"/>
          <w:szCs w:val="24"/>
        </w:rPr>
        <w:t>-17,</w:t>
      </w:r>
      <w:r w:rsidR="00361152" w:rsidRPr="00361152">
        <w:rPr>
          <w:sz w:val="24"/>
          <w:szCs w:val="24"/>
        </w:rPr>
        <w:t xml:space="preserve"> re</w:t>
      </w:r>
      <w:r w:rsidR="00011C8F">
        <w:rPr>
          <w:sz w:val="24"/>
          <w:szCs w:val="24"/>
        </w:rPr>
        <w:t>vises</w:t>
      </w:r>
      <w:r w:rsidR="00361152" w:rsidRPr="00361152">
        <w:rPr>
          <w:sz w:val="24"/>
          <w:szCs w:val="24"/>
        </w:rPr>
        <w:t xml:space="preserve"> the existing data collection tool, Form CMS-</w:t>
      </w:r>
      <w:r w:rsidR="000F3A60">
        <w:rPr>
          <w:sz w:val="24"/>
          <w:szCs w:val="24"/>
        </w:rPr>
        <w:t>222</w:t>
      </w:r>
      <w:r w:rsidR="00361152" w:rsidRPr="00361152">
        <w:rPr>
          <w:sz w:val="24"/>
          <w:szCs w:val="24"/>
        </w:rPr>
        <w:t>-</w:t>
      </w:r>
      <w:r w:rsidR="000F3A60">
        <w:rPr>
          <w:sz w:val="24"/>
          <w:szCs w:val="24"/>
        </w:rPr>
        <w:t>92</w:t>
      </w:r>
      <w:r w:rsidR="00361152" w:rsidRPr="00361152">
        <w:rPr>
          <w:sz w:val="24"/>
          <w:szCs w:val="24"/>
        </w:rPr>
        <w:t xml:space="preserve">.  </w:t>
      </w:r>
    </w:p>
    <w:p w14:paraId="43259BD4" w14:textId="77777777" w:rsidR="00CC3420" w:rsidRDefault="00CC3420" w:rsidP="00A211BB">
      <w:pPr>
        <w:tabs>
          <w:tab w:val="left" w:pos="0"/>
          <w:tab w:val="left" w:pos="360"/>
          <w:tab w:val="left" w:pos="720"/>
        </w:tabs>
        <w:suppressAutoHyphens/>
        <w:spacing w:line="240" w:lineRule="atLeast"/>
        <w:ind w:left="360"/>
        <w:rPr>
          <w:sz w:val="24"/>
          <w:szCs w:val="24"/>
        </w:rPr>
      </w:pPr>
    </w:p>
    <w:p w14:paraId="4E5C7D39"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Cost to Federal Government</w:t>
      </w:r>
    </w:p>
    <w:p w14:paraId="4D3CCE5F" w14:textId="77777777" w:rsidR="002B7282" w:rsidRDefault="002B7282" w:rsidP="00A211BB">
      <w:pPr>
        <w:tabs>
          <w:tab w:val="left" w:pos="0"/>
          <w:tab w:val="left" w:pos="360"/>
          <w:tab w:val="left" w:pos="720"/>
        </w:tabs>
        <w:suppressAutoHyphens/>
        <w:spacing w:line="240" w:lineRule="atLeast"/>
        <w:ind w:left="360"/>
        <w:rPr>
          <w:sz w:val="24"/>
          <w:szCs w:val="24"/>
          <w:u w:val="single"/>
        </w:rPr>
      </w:pPr>
    </w:p>
    <w:tbl>
      <w:tblPr>
        <w:tblW w:w="5000" w:type="pct"/>
        <w:tblLook w:val="04A0" w:firstRow="1" w:lastRow="0" w:firstColumn="1" w:lastColumn="0" w:noHBand="0" w:noVBand="1"/>
      </w:tblPr>
      <w:tblGrid>
        <w:gridCol w:w="299"/>
        <w:gridCol w:w="5321"/>
        <w:gridCol w:w="1578"/>
        <w:gridCol w:w="301"/>
        <w:gridCol w:w="1778"/>
        <w:gridCol w:w="299"/>
      </w:tblGrid>
      <w:tr w:rsidR="00DA7D1E" w:rsidRPr="006E0D87" w14:paraId="3B947FD4" w14:textId="77777777" w:rsidTr="00E90F3C">
        <w:trPr>
          <w:trHeight w:val="300"/>
        </w:trPr>
        <w:tc>
          <w:tcPr>
            <w:tcW w:w="165" w:type="pct"/>
            <w:tcBorders>
              <w:top w:val="single" w:sz="8" w:space="0" w:color="auto"/>
              <w:left w:val="single" w:sz="8" w:space="0" w:color="auto"/>
              <w:bottom w:val="nil"/>
              <w:right w:val="nil"/>
            </w:tcBorders>
            <w:shd w:val="clear" w:color="auto" w:fill="auto"/>
            <w:noWrap/>
            <w:vAlign w:val="bottom"/>
            <w:hideMark/>
          </w:tcPr>
          <w:p w14:paraId="30C5E41C"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single" w:sz="8" w:space="0" w:color="auto"/>
              <w:left w:val="nil"/>
              <w:bottom w:val="nil"/>
              <w:right w:val="nil"/>
            </w:tcBorders>
            <w:shd w:val="clear" w:color="auto" w:fill="auto"/>
            <w:noWrap/>
            <w:vAlign w:val="bottom"/>
            <w:hideMark/>
          </w:tcPr>
          <w:p w14:paraId="32CCD898"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33" w:type="pct"/>
            <w:tcBorders>
              <w:top w:val="single" w:sz="8" w:space="0" w:color="auto"/>
              <w:left w:val="nil"/>
              <w:bottom w:val="nil"/>
              <w:right w:val="nil"/>
            </w:tcBorders>
            <w:shd w:val="clear" w:color="auto" w:fill="auto"/>
            <w:noWrap/>
            <w:vAlign w:val="bottom"/>
            <w:hideMark/>
          </w:tcPr>
          <w:p w14:paraId="779E1190"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nil"/>
            </w:tcBorders>
            <w:shd w:val="clear" w:color="auto" w:fill="auto"/>
            <w:noWrap/>
            <w:vAlign w:val="bottom"/>
            <w:hideMark/>
          </w:tcPr>
          <w:p w14:paraId="0614B30F"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84" w:type="pct"/>
            <w:tcBorders>
              <w:top w:val="single" w:sz="8" w:space="0" w:color="auto"/>
              <w:left w:val="nil"/>
              <w:bottom w:val="nil"/>
              <w:right w:val="nil"/>
            </w:tcBorders>
            <w:shd w:val="clear" w:color="auto" w:fill="auto"/>
            <w:noWrap/>
            <w:vAlign w:val="bottom"/>
            <w:hideMark/>
          </w:tcPr>
          <w:p w14:paraId="6325EFBC"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single" w:sz="8" w:space="0" w:color="auto"/>
            </w:tcBorders>
            <w:shd w:val="clear" w:color="auto" w:fill="auto"/>
            <w:noWrap/>
            <w:vAlign w:val="bottom"/>
            <w:hideMark/>
          </w:tcPr>
          <w:p w14:paraId="416ADC5C"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DA7D1E" w:rsidRPr="00D04275" w14:paraId="3F59F34E"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4AF8A9A7"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40914A01" w14:textId="77777777" w:rsidR="00DA7D1E" w:rsidRPr="00D04275" w:rsidRDefault="00DA7D1E" w:rsidP="00DE5785">
            <w:pPr>
              <w:widowControl/>
              <w:autoSpaceDE/>
              <w:autoSpaceDN/>
              <w:adjustRightInd/>
              <w:rPr>
                <w:color w:val="000000"/>
                <w:sz w:val="24"/>
                <w:u w:val="single"/>
              </w:rPr>
            </w:pPr>
            <w:r w:rsidRPr="00D04275">
              <w:rPr>
                <w:color w:val="000000"/>
                <w:sz w:val="24"/>
                <w:u w:val="single"/>
              </w:rPr>
              <w:t>Annual cost to Medicare Contractors</w:t>
            </w:r>
            <w:r w:rsidRPr="00D04275">
              <w:rPr>
                <w:color w:val="000000"/>
                <w:sz w:val="24"/>
              </w:rPr>
              <w:t>:</w:t>
            </w:r>
          </w:p>
        </w:tc>
        <w:tc>
          <w:tcPr>
            <w:tcW w:w="884" w:type="pct"/>
            <w:tcBorders>
              <w:top w:val="nil"/>
              <w:left w:val="nil"/>
              <w:bottom w:val="nil"/>
              <w:right w:val="nil"/>
            </w:tcBorders>
            <w:shd w:val="clear" w:color="auto" w:fill="auto"/>
            <w:noWrap/>
            <w:vAlign w:val="bottom"/>
            <w:hideMark/>
          </w:tcPr>
          <w:p w14:paraId="20D0D624"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06B3EB63"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1691DAD6" w14:textId="77777777" w:rsidTr="00E90F3C">
        <w:trPr>
          <w:trHeight w:val="300"/>
        </w:trPr>
        <w:tc>
          <w:tcPr>
            <w:tcW w:w="165" w:type="pct"/>
            <w:tcBorders>
              <w:top w:val="nil"/>
              <w:left w:val="single" w:sz="8" w:space="0" w:color="auto"/>
              <w:right w:val="nil"/>
            </w:tcBorders>
            <w:shd w:val="clear" w:color="auto" w:fill="auto"/>
            <w:noWrap/>
            <w:vAlign w:val="bottom"/>
            <w:hideMark/>
          </w:tcPr>
          <w:p w14:paraId="78D7D5F8"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val="restart"/>
            <w:tcBorders>
              <w:top w:val="nil"/>
              <w:left w:val="nil"/>
              <w:bottom w:val="nil"/>
              <w:right w:val="nil"/>
            </w:tcBorders>
            <w:shd w:val="clear" w:color="auto" w:fill="auto"/>
            <w:vAlign w:val="bottom"/>
            <w:hideMark/>
          </w:tcPr>
          <w:p w14:paraId="0B3874BF" w14:textId="77777777" w:rsidR="00DA7D1E" w:rsidRPr="00D04275" w:rsidRDefault="00DA7D1E" w:rsidP="00DE5785">
            <w:pPr>
              <w:widowControl/>
              <w:autoSpaceDE/>
              <w:autoSpaceDN/>
              <w:adjustRightInd/>
              <w:rPr>
                <w:color w:val="000000"/>
                <w:sz w:val="24"/>
              </w:rPr>
            </w:pPr>
            <w:r w:rsidRPr="00D04275">
              <w:rPr>
                <w:color w:val="000000"/>
                <w:sz w:val="24"/>
              </w:rPr>
              <w:t>Annual costs incurred are related to processing information contained on the forms, particularly associated with achieving settlements.  Medicare contractors' processing costs are based on estimates provided by the Office of Financial Management (OFM).</w:t>
            </w:r>
          </w:p>
        </w:tc>
        <w:tc>
          <w:tcPr>
            <w:tcW w:w="884" w:type="pct"/>
            <w:tcBorders>
              <w:top w:val="nil"/>
              <w:left w:val="nil"/>
              <w:bottom w:val="nil"/>
              <w:right w:val="nil"/>
            </w:tcBorders>
            <w:shd w:val="clear" w:color="auto" w:fill="auto"/>
            <w:noWrap/>
            <w:vAlign w:val="bottom"/>
            <w:hideMark/>
          </w:tcPr>
          <w:p w14:paraId="0FE37B5D"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25004633"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32BA11F6" w14:textId="77777777" w:rsidTr="00E90F3C">
        <w:trPr>
          <w:trHeight w:val="300"/>
        </w:trPr>
        <w:tc>
          <w:tcPr>
            <w:tcW w:w="165" w:type="pct"/>
            <w:tcBorders>
              <w:top w:val="nil"/>
              <w:left w:val="single" w:sz="8" w:space="0" w:color="auto"/>
              <w:bottom w:val="nil"/>
            </w:tcBorders>
            <w:shd w:val="clear" w:color="auto" w:fill="auto"/>
            <w:noWrap/>
            <w:vAlign w:val="bottom"/>
            <w:hideMark/>
          </w:tcPr>
          <w:p w14:paraId="74850214"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14:paraId="2DADBE44" w14:textId="77777777" w:rsidR="00DA7D1E" w:rsidRPr="00D04275" w:rsidRDefault="00DA7D1E" w:rsidP="00DE5785">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14:paraId="7D68FA0F"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3F4E1CF7"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D04275" w14:paraId="32974EB1" w14:textId="77777777" w:rsidTr="00E90F3C">
        <w:trPr>
          <w:trHeight w:val="300"/>
        </w:trPr>
        <w:tc>
          <w:tcPr>
            <w:tcW w:w="165" w:type="pct"/>
            <w:tcBorders>
              <w:top w:val="nil"/>
              <w:left w:val="single" w:sz="8" w:space="0" w:color="auto"/>
              <w:bottom w:val="nil"/>
            </w:tcBorders>
            <w:shd w:val="clear" w:color="auto" w:fill="auto"/>
            <w:noWrap/>
            <w:vAlign w:val="bottom"/>
            <w:hideMark/>
          </w:tcPr>
          <w:p w14:paraId="274FE93A"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14:paraId="3FB32E43" w14:textId="77777777" w:rsidR="00DA7D1E" w:rsidRPr="00D04275" w:rsidRDefault="00DA7D1E" w:rsidP="00DE5785">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14:paraId="58029229" w14:textId="77777777" w:rsidR="00DA7D1E" w:rsidRPr="00D04275" w:rsidRDefault="00DA7D1E" w:rsidP="00DE5785">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14:paraId="75AE1638"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00DA7D1E" w:rsidRPr="00A63864" w14:paraId="7C9A0F18" w14:textId="77777777" w:rsidTr="00E90F3C">
        <w:trPr>
          <w:trHeight w:val="315"/>
        </w:trPr>
        <w:tc>
          <w:tcPr>
            <w:tcW w:w="165" w:type="pct"/>
            <w:tcBorders>
              <w:top w:val="nil"/>
              <w:left w:val="single" w:sz="8" w:space="0" w:color="auto"/>
              <w:bottom w:val="nil"/>
            </w:tcBorders>
            <w:shd w:val="clear" w:color="auto" w:fill="auto"/>
            <w:noWrap/>
            <w:vAlign w:val="bottom"/>
            <w:hideMark/>
          </w:tcPr>
          <w:p w14:paraId="71B2A8F3"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14:paraId="6E086B82" w14:textId="77777777" w:rsidR="00DA7D1E" w:rsidRPr="00D04275" w:rsidRDefault="00DA7D1E" w:rsidP="00DE5785">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14:paraId="54115688" w14:textId="4EA340E4" w:rsidR="00FE25F5" w:rsidRPr="00996D09" w:rsidRDefault="00FE25F5" w:rsidP="00FE25F5">
            <w:pPr>
              <w:widowControl/>
              <w:autoSpaceDE/>
              <w:autoSpaceDN/>
              <w:adjustRightInd/>
              <w:jc w:val="right"/>
              <w:rPr>
                <w:sz w:val="24"/>
                <w:szCs w:val="24"/>
              </w:rPr>
            </w:pPr>
            <w:r w:rsidRPr="00996D09">
              <w:rPr>
                <w:sz w:val="24"/>
                <w:szCs w:val="24"/>
              </w:rPr>
              <w:t xml:space="preserve">  </w:t>
            </w:r>
            <w:r w:rsidRPr="00E95C3B">
              <w:rPr>
                <w:sz w:val="24"/>
                <w:szCs w:val="24"/>
              </w:rPr>
              <w:t xml:space="preserve">$ </w:t>
            </w:r>
            <w:r w:rsidR="00A73761">
              <w:rPr>
                <w:sz w:val="24"/>
                <w:szCs w:val="24"/>
              </w:rPr>
              <w:t>2,616,000</w:t>
            </w:r>
          </w:p>
          <w:p w14:paraId="3831866F" w14:textId="77777777" w:rsidR="00DA7D1E" w:rsidRPr="00A63864" w:rsidRDefault="00954D7B" w:rsidP="00FE25F5">
            <w:pPr>
              <w:widowControl/>
              <w:autoSpaceDE/>
              <w:autoSpaceDN/>
              <w:adjustRightInd/>
              <w:jc w:val="right"/>
              <w:rPr>
                <w:color w:val="000000"/>
                <w:sz w:val="24"/>
                <w:szCs w:val="24"/>
              </w:rPr>
            </w:pPr>
            <w:r w:rsidRPr="00A63864">
              <w:rPr>
                <w:color w:val="000000"/>
                <w:sz w:val="24"/>
                <w:szCs w:val="24"/>
              </w:rPr>
              <w:t xml:space="preserve"> </w:t>
            </w:r>
          </w:p>
        </w:tc>
        <w:tc>
          <w:tcPr>
            <w:tcW w:w="165" w:type="pct"/>
            <w:tcBorders>
              <w:top w:val="nil"/>
              <w:left w:val="nil"/>
              <w:bottom w:val="nil"/>
              <w:right w:val="single" w:sz="8" w:space="0" w:color="auto"/>
            </w:tcBorders>
            <w:shd w:val="clear" w:color="auto" w:fill="auto"/>
            <w:noWrap/>
            <w:vAlign w:val="bottom"/>
            <w:hideMark/>
          </w:tcPr>
          <w:p w14:paraId="5EFF20CC" w14:textId="77777777" w:rsidR="00DA7D1E" w:rsidRPr="00996D09" w:rsidRDefault="00DA7D1E" w:rsidP="005378F8">
            <w:pPr>
              <w:widowControl/>
              <w:autoSpaceDE/>
              <w:autoSpaceDN/>
              <w:adjustRightInd/>
              <w:jc w:val="right"/>
              <w:rPr>
                <w:color w:val="000000"/>
                <w:sz w:val="24"/>
                <w:szCs w:val="24"/>
              </w:rPr>
            </w:pPr>
          </w:p>
        </w:tc>
      </w:tr>
      <w:tr w:rsidR="00DA7D1E" w:rsidRPr="00A63864" w14:paraId="5155841C" w14:textId="77777777" w:rsidTr="00E90F3C">
        <w:trPr>
          <w:trHeight w:val="300"/>
        </w:trPr>
        <w:tc>
          <w:tcPr>
            <w:tcW w:w="165" w:type="pct"/>
            <w:tcBorders>
              <w:top w:val="nil"/>
              <w:left w:val="single" w:sz="8" w:space="0" w:color="auto"/>
              <w:bottom w:val="nil"/>
              <w:right w:val="nil"/>
            </w:tcBorders>
            <w:shd w:val="clear" w:color="auto" w:fill="auto"/>
            <w:noWrap/>
            <w:vAlign w:val="bottom"/>
            <w:hideMark/>
          </w:tcPr>
          <w:p w14:paraId="3D41F585"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14:paraId="2674B514" w14:textId="77777777" w:rsidR="00DA7D1E" w:rsidRPr="00D04275" w:rsidRDefault="00DA7D1E" w:rsidP="00DE5785">
            <w:pPr>
              <w:widowControl/>
              <w:autoSpaceDE/>
              <w:autoSpaceDN/>
              <w:adjustRightInd/>
            </w:pPr>
          </w:p>
        </w:tc>
        <w:tc>
          <w:tcPr>
            <w:tcW w:w="833" w:type="pct"/>
            <w:tcBorders>
              <w:top w:val="nil"/>
              <w:left w:val="nil"/>
              <w:bottom w:val="nil"/>
              <w:right w:val="nil"/>
            </w:tcBorders>
            <w:shd w:val="clear" w:color="auto" w:fill="auto"/>
            <w:noWrap/>
            <w:vAlign w:val="bottom"/>
            <w:hideMark/>
          </w:tcPr>
          <w:p w14:paraId="665377DC" w14:textId="77777777" w:rsidR="00DA7D1E" w:rsidRPr="00D04275" w:rsidRDefault="00DA7D1E" w:rsidP="00DE5785">
            <w:pPr>
              <w:widowControl/>
              <w:autoSpaceDE/>
              <w:autoSpaceDN/>
              <w:adjustRightInd/>
            </w:pPr>
          </w:p>
        </w:tc>
        <w:tc>
          <w:tcPr>
            <w:tcW w:w="165" w:type="pct"/>
            <w:tcBorders>
              <w:top w:val="nil"/>
              <w:left w:val="nil"/>
              <w:bottom w:val="nil"/>
              <w:right w:val="nil"/>
            </w:tcBorders>
            <w:shd w:val="clear" w:color="auto" w:fill="auto"/>
            <w:noWrap/>
            <w:vAlign w:val="bottom"/>
            <w:hideMark/>
          </w:tcPr>
          <w:p w14:paraId="2B2A2A95" w14:textId="77777777" w:rsidR="00DA7D1E" w:rsidRPr="00D04275" w:rsidRDefault="00DA7D1E" w:rsidP="00DE5785">
            <w:pPr>
              <w:widowControl/>
              <w:autoSpaceDE/>
              <w:autoSpaceDN/>
              <w:adjustRightInd/>
            </w:pPr>
          </w:p>
        </w:tc>
        <w:tc>
          <w:tcPr>
            <w:tcW w:w="884" w:type="pct"/>
            <w:tcBorders>
              <w:top w:val="nil"/>
              <w:left w:val="nil"/>
              <w:bottom w:val="nil"/>
              <w:right w:val="nil"/>
            </w:tcBorders>
            <w:shd w:val="clear" w:color="auto" w:fill="auto"/>
            <w:noWrap/>
            <w:vAlign w:val="bottom"/>
            <w:hideMark/>
          </w:tcPr>
          <w:p w14:paraId="0BB0730B" w14:textId="77777777" w:rsidR="00DA7D1E" w:rsidRPr="00996D09" w:rsidRDefault="00DA7D1E" w:rsidP="00DE5785">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14:paraId="0B3A2977" w14:textId="77777777" w:rsidR="00DA7D1E" w:rsidRPr="00996D09" w:rsidRDefault="00DA7D1E" w:rsidP="00DE5785">
            <w:pPr>
              <w:widowControl/>
              <w:autoSpaceDE/>
              <w:autoSpaceDN/>
              <w:adjustRightInd/>
              <w:rPr>
                <w:color w:val="000000"/>
                <w:sz w:val="24"/>
                <w:szCs w:val="24"/>
              </w:rPr>
            </w:pPr>
            <w:r w:rsidRPr="00996D09">
              <w:rPr>
                <w:color w:val="000000"/>
                <w:sz w:val="24"/>
                <w:szCs w:val="24"/>
              </w:rPr>
              <w:t> </w:t>
            </w:r>
          </w:p>
        </w:tc>
      </w:tr>
      <w:tr w:rsidR="00DA7D1E" w:rsidRPr="00A63864" w14:paraId="7B7C768A"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58BA03C2"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732EFE4B" w14:textId="77777777" w:rsidR="00DA7D1E" w:rsidRPr="00D04275" w:rsidRDefault="00DA7D1E" w:rsidP="00DE5785">
            <w:pPr>
              <w:widowControl/>
              <w:autoSpaceDE/>
              <w:autoSpaceDN/>
              <w:adjustRightInd/>
              <w:rPr>
                <w:color w:val="000000"/>
                <w:sz w:val="24"/>
                <w:u w:val="single"/>
              </w:rPr>
            </w:pPr>
            <w:r w:rsidRPr="00D04275">
              <w:rPr>
                <w:color w:val="000000"/>
                <w:sz w:val="24"/>
                <w:u w:val="single"/>
              </w:rPr>
              <w:t>Annual cost to CMS</w:t>
            </w:r>
            <w:r w:rsidRPr="00D04275">
              <w:rPr>
                <w:color w:val="000000"/>
                <w:sz w:val="24"/>
              </w:rPr>
              <w:t>:</w:t>
            </w:r>
          </w:p>
        </w:tc>
        <w:tc>
          <w:tcPr>
            <w:tcW w:w="884" w:type="pct"/>
            <w:tcBorders>
              <w:top w:val="nil"/>
              <w:left w:val="nil"/>
              <w:bottom w:val="nil"/>
              <w:right w:val="nil"/>
            </w:tcBorders>
            <w:shd w:val="clear" w:color="auto" w:fill="auto"/>
            <w:noWrap/>
            <w:vAlign w:val="bottom"/>
            <w:hideMark/>
          </w:tcPr>
          <w:p w14:paraId="6CDE74C3" w14:textId="77777777" w:rsidR="00DA7D1E" w:rsidRPr="00996D09" w:rsidRDefault="00DA7D1E" w:rsidP="00DE5785">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14:paraId="2D323DE0" w14:textId="77777777" w:rsidR="00DA7D1E" w:rsidRPr="00996D09" w:rsidRDefault="00DA7D1E" w:rsidP="00DE5785">
            <w:pPr>
              <w:widowControl/>
              <w:autoSpaceDE/>
              <w:autoSpaceDN/>
              <w:adjustRightInd/>
              <w:rPr>
                <w:color w:val="000000"/>
                <w:sz w:val="24"/>
                <w:szCs w:val="24"/>
              </w:rPr>
            </w:pPr>
            <w:r w:rsidRPr="00996D09">
              <w:rPr>
                <w:color w:val="000000"/>
                <w:sz w:val="24"/>
                <w:szCs w:val="24"/>
              </w:rPr>
              <w:t> </w:t>
            </w:r>
          </w:p>
        </w:tc>
      </w:tr>
      <w:tr w:rsidR="00DA7D1E" w:rsidRPr="00A63864" w14:paraId="579B1B44"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70DC86DD"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572EBA81" w14:textId="77777777" w:rsidR="00DA7D1E" w:rsidRPr="00D04275" w:rsidRDefault="00DA7D1E" w:rsidP="00DE5785">
            <w:pPr>
              <w:widowControl/>
              <w:autoSpaceDE/>
              <w:autoSpaceDN/>
              <w:adjustRightInd/>
              <w:rPr>
                <w:color w:val="000000"/>
                <w:sz w:val="24"/>
              </w:rPr>
            </w:pPr>
            <w:r w:rsidRPr="00D04275">
              <w:rPr>
                <w:color w:val="000000"/>
                <w:sz w:val="24"/>
              </w:rPr>
              <w:t>Total CMS processing cost is from the HCRIS Budget:</w:t>
            </w:r>
          </w:p>
        </w:tc>
        <w:tc>
          <w:tcPr>
            <w:tcW w:w="884" w:type="pct"/>
            <w:tcBorders>
              <w:top w:val="nil"/>
              <w:left w:val="nil"/>
              <w:bottom w:val="nil"/>
              <w:right w:val="nil"/>
            </w:tcBorders>
            <w:shd w:val="clear" w:color="auto" w:fill="auto"/>
            <w:noWrap/>
            <w:vAlign w:val="bottom"/>
            <w:hideMark/>
          </w:tcPr>
          <w:p w14:paraId="36B5C832" w14:textId="77777777" w:rsidR="00DA7D1E" w:rsidRPr="00AF6D37" w:rsidRDefault="000C62B1" w:rsidP="000C62B1">
            <w:pPr>
              <w:widowControl/>
              <w:autoSpaceDE/>
              <w:autoSpaceDN/>
              <w:adjustRightInd/>
              <w:jc w:val="right"/>
              <w:rPr>
                <w:color w:val="000000"/>
                <w:sz w:val="24"/>
                <w:szCs w:val="24"/>
                <w:highlight w:val="yellow"/>
              </w:rPr>
            </w:pPr>
            <w:r w:rsidRPr="00180FB0">
              <w:rPr>
                <w:color w:val="000000"/>
                <w:sz w:val="24"/>
                <w:szCs w:val="24"/>
              </w:rPr>
              <w:t>$44</w:t>
            </w:r>
            <w:r w:rsidR="00082A58" w:rsidRPr="00180FB0">
              <w:rPr>
                <w:color w:val="000000"/>
                <w:sz w:val="24"/>
                <w:szCs w:val="24"/>
              </w:rPr>
              <w:t>,000</w:t>
            </w:r>
          </w:p>
        </w:tc>
        <w:tc>
          <w:tcPr>
            <w:tcW w:w="165" w:type="pct"/>
            <w:tcBorders>
              <w:top w:val="nil"/>
              <w:left w:val="nil"/>
              <w:bottom w:val="nil"/>
              <w:right w:val="single" w:sz="8" w:space="0" w:color="auto"/>
            </w:tcBorders>
            <w:shd w:val="clear" w:color="auto" w:fill="auto"/>
            <w:noWrap/>
            <w:vAlign w:val="bottom"/>
            <w:hideMark/>
          </w:tcPr>
          <w:p w14:paraId="76CDFE20" w14:textId="77777777" w:rsidR="00DA7D1E" w:rsidRPr="00996D09" w:rsidRDefault="00DA7D1E" w:rsidP="00DE5785">
            <w:pPr>
              <w:widowControl/>
              <w:autoSpaceDE/>
              <w:autoSpaceDN/>
              <w:adjustRightInd/>
              <w:rPr>
                <w:color w:val="000000"/>
                <w:sz w:val="24"/>
                <w:szCs w:val="24"/>
              </w:rPr>
            </w:pPr>
            <w:r w:rsidRPr="00996D09">
              <w:rPr>
                <w:color w:val="000000"/>
                <w:sz w:val="24"/>
                <w:szCs w:val="24"/>
              </w:rPr>
              <w:t> </w:t>
            </w:r>
          </w:p>
        </w:tc>
      </w:tr>
      <w:tr w:rsidR="00DA7D1E" w:rsidRPr="00A63864" w14:paraId="2EF4EC43" w14:textId="77777777" w:rsidTr="00E90F3C">
        <w:trPr>
          <w:trHeight w:val="315"/>
        </w:trPr>
        <w:tc>
          <w:tcPr>
            <w:tcW w:w="165" w:type="pct"/>
            <w:tcBorders>
              <w:top w:val="nil"/>
              <w:left w:val="single" w:sz="8" w:space="0" w:color="auto"/>
              <w:bottom w:val="nil"/>
              <w:right w:val="nil"/>
            </w:tcBorders>
            <w:shd w:val="clear" w:color="auto" w:fill="auto"/>
            <w:noWrap/>
            <w:vAlign w:val="bottom"/>
            <w:hideMark/>
          </w:tcPr>
          <w:p w14:paraId="7471F377"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14:paraId="52960E6C" w14:textId="77777777" w:rsidR="00DA7D1E" w:rsidRPr="00D04275" w:rsidRDefault="00DA7D1E" w:rsidP="00DE5785">
            <w:pPr>
              <w:widowControl/>
              <w:autoSpaceDE/>
              <w:autoSpaceDN/>
              <w:adjustRightInd/>
            </w:pPr>
          </w:p>
        </w:tc>
        <w:tc>
          <w:tcPr>
            <w:tcW w:w="833" w:type="pct"/>
            <w:tcBorders>
              <w:top w:val="nil"/>
              <w:left w:val="nil"/>
              <w:bottom w:val="nil"/>
              <w:right w:val="nil"/>
            </w:tcBorders>
            <w:shd w:val="clear" w:color="auto" w:fill="auto"/>
            <w:noWrap/>
            <w:vAlign w:val="bottom"/>
            <w:hideMark/>
          </w:tcPr>
          <w:p w14:paraId="61B4182E" w14:textId="77777777" w:rsidR="00DA7D1E" w:rsidRPr="00D04275" w:rsidRDefault="00DA7D1E" w:rsidP="00DE5785">
            <w:pPr>
              <w:widowControl/>
              <w:autoSpaceDE/>
              <w:autoSpaceDN/>
              <w:adjustRightInd/>
            </w:pPr>
          </w:p>
        </w:tc>
        <w:tc>
          <w:tcPr>
            <w:tcW w:w="165" w:type="pct"/>
            <w:tcBorders>
              <w:top w:val="nil"/>
              <w:left w:val="nil"/>
              <w:bottom w:val="nil"/>
              <w:right w:val="nil"/>
            </w:tcBorders>
            <w:shd w:val="clear" w:color="auto" w:fill="auto"/>
            <w:noWrap/>
            <w:vAlign w:val="bottom"/>
            <w:hideMark/>
          </w:tcPr>
          <w:p w14:paraId="55107979" w14:textId="77777777" w:rsidR="00DA7D1E" w:rsidRPr="00D04275" w:rsidRDefault="00DA7D1E" w:rsidP="00DE5785">
            <w:pPr>
              <w:widowControl/>
              <w:autoSpaceDE/>
              <w:autoSpaceDN/>
              <w:adjustRightInd/>
            </w:pPr>
          </w:p>
        </w:tc>
        <w:tc>
          <w:tcPr>
            <w:tcW w:w="884" w:type="pct"/>
            <w:tcBorders>
              <w:top w:val="nil"/>
              <w:left w:val="nil"/>
              <w:bottom w:val="single" w:sz="8" w:space="0" w:color="auto"/>
              <w:right w:val="nil"/>
            </w:tcBorders>
            <w:shd w:val="clear" w:color="auto" w:fill="auto"/>
            <w:noWrap/>
            <w:vAlign w:val="bottom"/>
            <w:hideMark/>
          </w:tcPr>
          <w:p w14:paraId="7410EBD9" w14:textId="77777777" w:rsidR="00DA7D1E" w:rsidRPr="00AF6D37" w:rsidRDefault="00DA7D1E" w:rsidP="00DE5785">
            <w:pPr>
              <w:widowControl/>
              <w:autoSpaceDE/>
              <w:autoSpaceDN/>
              <w:adjustRightInd/>
              <w:rPr>
                <w:sz w:val="24"/>
                <w:szCs w:val="24"/>
                <w:highlight w:val="yellow"/>
              </w:rPr>
            </w:pPr>
          </w:p>
        </w:tc>
        <w:tc>
          <w:tcPr>
            <w:tcW w:w="165" w:type="pct"/>
            <w:tcBorders>
              <w:top w:val="nil"/>
              <w:left w:val="nil"/>
              <w:bottom w:val="nil"/>
              <w:right w:val="single" w:sz="8" w:space="0" w:color="auto"/>
            </w:tcBorders>
            <w:shd w:val="clear" w:color="auto" w:fill="auto"/>
            <w:noWrap/>
            <w:vAlign w:val="bottom"/>
            <w:hideMark/>
          </w:tcPr>
          <w:p w14:paraId="4834DC51" w14:textId="77777777" w:rsidR="00DA7D1E" w:rsidRPr="00996D09" w:rsidRDefault="00DA7D1E" w:rsidP="00DE5785">
            <w:pPr>
              <w:widowControl/>
              <w:autoSpaceDE/>
              <w:autoSpaceDN/>
              <w:adjustRightInd/>
              <w:rPr>
                <w:color w:val="000000"/>
                <w:sz w:val="24"/>
                <w:szCs w:val="24"/>
              </w:rPr>
            </w:pPr>
            <w:r w:rsidRPr="00996D09">
              <w:rPr>
                <w:color w:val="000000"/>
                <w:sz w:val="24"/>
                <w:szCs w:val="24"/>
              </w:rPr>
              <w:t> </w:t>
            </w:r>
          </w:p>
        </w:tc>
      </w:tr>
      <w:tr w:rsidR="00DA7D1E" w:rsidRPr="00A63864" w14:paraId="087650E9" w14:textId="77777777" w:rsidTr="00E90F3C">
        <w:trPr>
          <w:trHeight w:val="330"/>
        </w:trPr>
        <w:tc>
          <w:tcPr>
            <w:tcW w:w="165" w:type="pct"/>
            <w:tcBorders>
              <w:top w:val="nil"/>
              <w:left w:val="single" w:sz="8" w:space="0" w:color="auto"/>
              <w:bottom w:val="nil"/>
              <w:right w:val="nil"/>
            </w:tcBorders>
            <w:shd w:val="clear" w:color="auto" w:fill="auto"/>
            <w:noWrap/>
            <w:vAlign w:val="bottom"/>
            <w:hideMark/>
          </w:tcPr>
          <w:p w14:paraId="0518A235"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14:paraId="1D1372E5" w14:textId="77777777" w:rsidR="00DA7D1E" w:rsidRPr="00D04275" w:rsidRDefault="00DA7D1E" w:rsidP="00DE5785">
            <w:pPr>
              <w:widowControl/>
              <w:autoSpaceDE/>
              <w:autoSpaceDN/>
              <w:adjustRightInd/>
              <w:rPr>
                <w:color w:val="000000"/>
                <w:sz w:val="24"/>
                <w:u w:val="single"/>
              </w:rPr>
            </w:pPr>
            <w:r w:rsidRPr="00D04275">
              <w:rPr>
                <w:color w:val="000000"/>
                <w:sz w:val="24"/>
                <w:u w:val="single"/>
              </w:rPr>
              <w:t>Total Federal Cost</w:t>
            </w:r>
          </w:p>
        </w:tc>
        <w:tc>
          <w:tcPr>
            <w:tcW w:w="884" w:type="pct"/>
            <w:tcBorders>
              <w:top w:val="nil"/>
              <w:left w:val="nil"/>
              <w:bottom w:val="double" w:sz="6" w:space="0" w:color="auto"/>
              <w:right w:val="nil"/>
            </w:tcBorders>
            <w:shd w:val="clear" w:color="auto" w:fill="auto"/>
            <w:noWrap/>
            <w:vAlign w:val="bottom"/>
            <w:hideMark/>
          </w:tcPr>
          <w:p w14:paraId="0E2B720B" w14:textId="77777777" w:rsidR="00FE25F5" w:rsidRPr="00AF6D37" w:rsidRDefault="00FE25F5" w:rsidP="00954D7B">
            <w:pPr>
              <w:widowControl/>
              <w:autoSpaceDE/>
              <w:autoSpaceDN/>
              <w:adjustRightInd/>
              <w:jc w:val="right"/>
              <w:rPr>
                <w:sz w:val="24"/>
                <w:szCs w:val="24"/>
                <w:highlight w:val="yellow"/>
              </w:rPr>
            </w:pPr>
          </w:p>
          <w:p w14:paraId="33C2C1F9" w14:textId="2776FBF3" w:rsidR="00FE25F5" w:rsidRPr="00180FB0" w:rsidRDefault="00FE25F5" w:rsidP="00FE25F5">
            <w:pPr>
              <w:widowControl/>
              <w:autoSpaceDE/>
              <w:autoSpaceDN/>
              <w:adjustRightInd/>
              <w:jc w:val="right"/>
              <w:rPr>
                <w:sz w:val="24"/>
                <w:szCs w:val="24"/>
              </w:rPr>
            </w:pPr>
            <w:r w:rsidRPr="00180FB0">
              <w:rPr>
                <w:sz w:val="24"/>
                <w:szCs w:val="24"/>
              </w:rPr>
              <w:t xml:space="preserve">     $</w:t>
            </w:r>
            <w:r w:rsidR="00A73761">
              <w:rPr>
                <w:sz w:val="24"/>
                <w:szCs w:val="24"/>
              </w:rPr>
              <w:t>2,660,000</w:t>
            </w:r>
            <w:r w:rsidRPr="00180FB0">
              <w:rPr>
                <w:sz w:val="24"/>
                <w:szCs w:val="24"/>
              </w:rPr>
              <w:t xml:space="preserve">   </w:t>
            </w:r>
          </w:p>
          <w:p w14:paraId="51984D37" w14:textId="77777777" w:rsidR="00DA7D1E" w:rsidRPr="00AF6D37" w:rsidRDefault="00DA7D1E" w:rsidP="00954D7B">
            <w:pPr>
              <w:widowControl/>
              <w:autoSpaceDE/>
              <w:autoSpaceDN/>
              <w:adjustRightInd/>
              <w:jc w:val="right"/>
              <w:rPr>
                <w:sz w:val="24"/>
                <w:szCs w:val="24"/>
                <w:highlight w:val="yellow"/>
              </w:rPr>
            </w:pPr>
          </w:p>
        </w:tc>
        <w:tc>
          <w:tcPr>
            <w:tcW w:w="165" w:type="pct"/>
            <w:tcBorders>
              <w:top w:val="nil"/>
              <w:left w:val="nil"/>
              <w:bottom w:val="nil"/>
              <w:right w:val="single" w:sz="8" w:space="0" w:color="auto"/>
            </w:tcBorders>
            <w:shd w:val="clear" w:color="auto" w:fill="auto"/>
            <w:noWrap/>
            <w:vAlign w:val="bottom"/>
            <w:hideMark/>
          </w:tcPr>
          <w:p w14:paraId="5AD71610" w14:textId="77777777" w:rsidR="00DA7D1E" w:rsidRPr="00996D09" w:rsidRDefault="00DA7D1E" w:rsidP="005378F8">
            <w:pPr>
              <w:widowControl/>
              <w:autoSpaceDE/>
              <w:autoSpaceDN/>
              <w:adjustRightInd/>
              <w:jc w:val="right"/>
              <w:rPr>
                <w:sz w:val="24"/>
                <w:szCs w:val="24"/>
              </w:rPr>
            </w:pPr>
          </w:p>
        </w:tc>
      </w:tr>
      <w:tr w:rsidR="00DA7D1E" w:rsidRPr="00D04275" w14:paraId="75E93E36" w14:textId="77777777" w:rsidTr="00E90F3C">
        <w:trPr>
          <w:trHeight w:val="330"/>
        </w:trPr>
        <w:tc>
          <w:tcPr>
            <w:tcW w:w="165" w:type="pct"/>
            <w:tcBorders>
              <w:top w:val="nil"/>
              <w:left w:val="single" w:sz="8" w:space="0" w:color="auto"/>
              <w:bottom w:val="single" w:sz="8" w:space="0" w:color="auto"/>
              <w:right w:val="nil"/>
            </w:tcBorders>
            <w:shd w:val="clear" w:color="auto" w:fill="auto"/>
            <w:noWrap/>
            <w:vAlign w:val="bottom"/>
            <w:hideMark/>
          </w:tcPr>
          <w:p w14:paraId="3E0AC01A" w14:textId="77777777" w:rsidR="00DA7D1E" w:rsidRPr="006E0D87" w:rsidRDefault="00DA7D1E" w:rsidP="00DE5785">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single" w:sz="8" w:space="0" w:color="auto"/>
              <w:right w:val="nil"/>
            </w:tcBorders>
            <w:shd w:val="clear" w:color="auto" w:fill="auto"/>
            <w:noWrap/>
            <w:vAlign w:val="bottom"/>
            <w:hideMark/>
          </w:tcPr>
          <w:p w14:paraId="3D788DE5"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33" w:type="pct"/>
            <w:tcBorders>
              <w:top w:val="nil"/>
              <w:left w:val="nil"/>
              <w:bottom w:val="single" w:sz="8" w:space="0" w:color="auto"/>
              <w:right w:val="nil"/>
            </w:tcBorders>
            <w:shd w:val="clear" w:color="auto" w:fill="auto"/>
            <w:noWrap/>
            <w:vAlign w:val="bottom"/>
            <w:hideMark/>
          </w:tcPr>
          <w:p w14:paraId="54E86BF9"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nil"/>
            </w:tcBorders>
            <w:shd w:val="clear" w:color="auto" w:fill="auto"/>
            <w:noWrap/>
            <w:vAlign w:val="bottom"/>
            <w:hideMark/>
          </w:tcPr>
          <w:p w14:paraId="73830ADE"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84" w:type="pct"/>
            <w:tcBorders>
              <w:top w:val="nil"/>
              <w:left w:val="nil"/>
              <w:bottom w:val="single" w:sz="8" w:space="0" w:color="auto"/>
              <w:right w:val="nil"/>
            </w:tcBorders>
            <w:shd w:val="clear" w:color="auto" w:fill="auto"/>
            <w:noWrap/>
            <w:vAlign w:val="bottom"/>
            <w:hideMark/>
          </w:tcPr>
          <w:p w14:paraId="0544D792"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single" w:sz="8" w:space="0" w:color="auto"/>
            </w:tcBorders>
            <w:shd w:val="clear" w:color="auto" w:fill="auto"/>
            <w:noWrap/>
            <w:vAlign w:val="bottom"/>
            <w:hideMark/>
          </w:tcPr>
          <w:p w14:paraId="3D0EA553" w14:textId="77777777" w:rsidR="00DA7D1E" w:rsidRPr="00D04275" w:rsidRDefault="00DA7D1E" w:rsidP="00DE5785">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bl>
    <w:p w14:paraId="49FDAC54" w14:textId="77777777" w:rsidR="00CC7FA0" w:rsidRDefault="00CC7FA0" w:rsidP="0040535C">
      <w:pPr>
        <w:tabs>
          <w:tab w:val="left" w:pos="0"/>
          <w:tab w:val="left" w:pos="360"/>
          <w:tab w:val="left" w:pos="720"/>
        </w:tabs>
        <w:suppressAutoHyphens/>
        <w:spacing w:line="240" w:lineRule="atLeast"/>
        <w:rPr>
          <w:sz w:val="24"/>
          <w:szCs w:val="24"/>
        </w:rPr>
      </w:pPr>
    </w:p>
    <w:p w14:paraId="73EA96AF" w14:textId="77777777" w:rsidR="00D22C70" w:rsidRPr="007952CC" w:rsidRDefault="00DA7D1E" w:rsidP="007952CC">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Changes To Burden</w:t>
      </w:r>
    </w:p>
    <w:p w14:paraId="09A3AE1D" w14:textId="77777777" w:rsidR="00D22C70" w:rsidRDefault="008A4E79" w:rsidP="008A4E79">
      <w:pPr>
        <w:tabs>
          <w:tab w:val="left" w:pos="0"/>
          <w:tab w:val="left" w:pos="360"/>
          <w:tab w:val="left" w:pos="720"/>
        </w:tabs>
        <w:suppressAutoHyphens/>
        <w:spacing w:line="240" w:lineRule="atLeast"/>
        <w:rPr>
          <w:sz w:val="24"/>
          <w:szCs w:val="24"/>
        </w:rPr>
      </w:pPr>
      <w:r>
        <w:rPr>
          <w:sz w:val="24"/>
          <w:szCs w:val="24"/>
        </w:rPr>
        <w:tab/>
      </w:r>
    </w:p>
    <w:p w14:paraId="55693B8D" w14:textId="2C5399F6" w:rsidR="005E2506" w:rsidRDefault="00160635" w:rsidP="00366274">
      <w:pPr>
        <w:ind w:left="720"/>
        <w:rPr>
          <w:sz w:val="24"/>
        </w:rPr>
      </w:pPr>
      <w:r w:rsidRPr="00FD2E48">
        <w:rPr>
          <w:sz w:val="24"/>
        </w:rPr>
        <w:t>The change</w:t>
      </w:r>
      <w:r w:rsidR="005E2506">
        <w:rPr>
          <w:sz w:val="24"/>
        </w:rPr>
        <w:t>s</w:t>
      </w:r>
      <w:r w:rsidRPr="00FD2E48">
        <w:rPr>
          <w:sz w:val="24"/>
        </w:rPr>
        <w:t xml:space="preserve"> in burden </w:t>
      </w:r>
      <w:r w:rsidR="005E2506">
        <w:rPr>
          <w:sz w:val="24"/>
        </w:rPr>
        <w:t>and cost for the Form CMS 222-17 are</w:t>
      </w:r>
      <w:r w:rsidRPr="00FD2E48">
        <w:rPr>
          <w:sz w:val="24"/>
        </w:rPr>
        <w:t xml:space="preserve"> </w:t>
      </w:r>
      <w:r w:rsidR="005E2506">
        <w:rPr>
          <w:sz w:val="24"/>
        </w:rPr>
        <w:t>a result of:</w:t>
      </w:r>
      <w:r w:rsidRPr="00FD2E48">
        <w:rPr>
          <w:sz w:val="24"/>
        </w:rPr>
        <w:t xml:space="preserve"> </w:t>
      </w:r>
    </w:p>
    <w:p w14:paraId="47C08F02" w14:textId="77777777" w:rsidR="005E2506" w:rsidRDefault="005E2506" w:rsidP="00366274">
      <w:pPr>
        <w:ind w:left="720"/>
        <w:rPr>
          <w:sz w:val="24"/>
        </w:rPr>
      </w:pPr>
    </w:p>
    <w:p w14:paraId="69B97AA6" w14:textId="67A73570" w:rsidR="005E2506" w:rsidRDefault="00160635" w:rsidP="00366274">
      <w:pPr>
        <w:ind w:left="720"/>
        <w:rPr>
          <w:sz w:val="24"/>
        </w:rPr>
      </w:pPr>
      <w:r w:rsidRPr="00FD2E48">
        <w:rPr>
          <w:sz w:val="24"/>
        </w:rPr>
        <w:t>1)</w:t>
      </w:r>
      <w:r w:rsidR="000D5708" w:rsidRPr="00FD2E48">
        <w:rPr>
          <w:sz w:val="24"/>
        </w:rPr>
        <w:t xml:space="preserve"> </w:t>
      </w:r>
      <w:r w:rsidR="00E07196">
        <w:rPr>
          <w:sz w:val="24"/>
        </w:rPr>
        <w:t>A</w:t>
      </w:r>
      <w:r w:rsidR="005E2506">
        <w:rPr>
          <w:sz w:val="24"/>
        </w:rPr>
        <w:t xml:space="preserve"> </w:t>
      </w:r>
      <w:r w:rsidR="00E07196">
        <w:rPr>
          <w:sz w:val="24"/>
        </w:rPr>
        <w:t>de</w:t>
      </w:r>
      <w:r w:rsidR="005E2506">
        <w:rPr>
          <w:sz w:val="24"/>
        </w:rPr>
        <w:t xml:space="preserve">crease in the number </w:t>
      </w:r>
      <w:r w:rsidRPr="00FD2E48">
        <w:rPr>
          <w:sz w:val="24"/>
        </w:rPr>
        <w:t xml:space="preserve">of respondents from </w:t>
      </w:r>
      <w:r w:rsidR="00180FB0" w:rsidRPr="00FD2E48">
        <w:rPr>
          <w:sz w:val="24"/>
        </w:rPr>
        <w:t>3,264</w:t>
      </w:r>
      <w:r w:rsidRPr="00FD2E48">
        <w:rPr>
          <w:sz w:val="24"/>
        </w:rPr>
        <w:t xml:space="preserve"> in 201</w:t>
      </w:r>
      <w:r w:rsidR="00180FB0" w:rsidRPr="00FD2E48">
        <w:rPr>
          <w:sz w:val="24"/>
        </w:rPr>
        <w:t>4</w:t>
      </w:r>
      <w:r w:rsidRPr="00FD2E48">
        <w:rPr>
          <w:sz w:val="24"/>
        </w:rPr>
        <w:t xml:space="preserve"> to </w:t>
      </w:r>
      <w:r w:rsidR="00E07196">
        <w:rPr>
          <w:sz w:val="24"/>
        </w:rPr>
        <w:t>1,744</w:t>
      </w:r>
      <w:r w:rsidR="00180FB0" w:rsidRPr="00FD2E48">
        <w:rPr>
          <w:sz w:val="24"/>
        </w:rPr>
        <w:t xml:space="preserve"> in 2017</w:t>
      </w:r>
      <w:r w:rsidR="005E2506">
        <w:rPr>
          <w:sz w:val="24"/>
        </w:rPr>
        <w:t>.</w:t>
      </w:r>
      <w:r w:rsidR="00E07196">
        <w:rPr>
          <w:sz w:val="24"/>
        </w:rPr>
        <w:t xml:space="preserve"> The significant decrease in respondents </w:t>
      </w:r>
      <w:r w:rsidR="009D7E1C">
        <w:rPr>
          <w:sz w:val="24"/>
        </w:rPr>
        <w:t>is a result of</w:t>
      </w:r>
      <w:r w:rsidR="00E07196">
        <w:rPr>
          <w:sz w:val="24"/>
        </w:rPr>
        <w:t xml:space="preserve"> FQHCs </w:t>
      </w:r>
      <w:r w:rsidR="00215B09">
        <w:rPr>
          <w:sz w:val="24"/>
        </w:rPr>
        <w:t>no longer completing the Form CMS-222-17 as they now</w:t>
      </w:r>
      <w:r w:rsidR="00E07196">
        <w:rPr>
          <w:sz w:val="24"/>
        </w:rPr>
        <w:t xml:space="preserve"> complete </w:t>
      </w:r>
      <w:r w:rsidR="00215B09">
        <w:rPr>
          <w:sz w:val="24"/>
        </w:rPr>
        <w:t xml:space="preserve">Form </w:t>
      </w:r>
      <w:r w:rsidR="009D7E1C">
        <w:rPr>
          <w:sz w:val="24"/>
        </w:rPr>
        <w:t>CMS</w:t>
      </w:r>
      <w:r w:rsidR="00215B09">
        <w:rPr>
          <w:sz w:val="24"/>
        </w:rPr>
        <w:t>-</w:t>
      </w:r>
      <w:r w:rsidR="009D7E1C">
        <w:rPr>
          <w:sz w:val="24"/>
        </w:rPr>
        <w:t>224-14</w:t>
      </w:r>
      <w:r w:rsidR="00E07196">
        <w:rPr>
          <w:sz w:val="24"/>
        </w:rPr>
        <w:t>. The 1,744 respondents in 2017 represent RHCs only.</w:t>
      </w:r>
    </w:p>
    <w:p w14:paraId="6C1F877D" w14:textId="3CC04A24" w:rsidR="005E2506" w:rsidRDefault="005E2506" w:rsidP="00366274">
      <w:pPr>
        <w:ind w:left="720"/>
        <w:rPr>
          <w:sz w:val="24"/>
        </w:rPr>
      </w:pPr>
    </w:p>
    <w:p w14:paraId="57390CBE" w14:textId="6545608C" w:rsidR="005E2506" w:rsidRDefault="00160635" w:rsidP="00366274">
      <w:pPr>
        <w:ind w:left="720"/>
        <w:rPr>
          <w:sz w:val="24"/>
        </w:rPr>
      </w:pPr>
      <w:r w:rsidRPr="00FD2E48">
        <w:rPr>
          <w:sz w:val="24"/>
        </w:rPr>
        <w:t xml:space="preserve">2) </w:t>
      </w:r>
      <w:r w:rsidR="005E2506">
        <w:rPr>
          <w:sz w:val="24"/>
        </w:rPr>
        <w:t>The hourly rate increased based on data from the BLS 201</w:t>
      </w:r>
      <w:r w:rsidR="00011C8F">
        <w:rPr>
          <w:sz w:val="24"/>
        </w:rPr>
        <w:t>6</w:t>
      </w:r>
      <w:r w:rsidR="005E2506">
        <w:rPr>
          <w:sz w:val="24"/>
        </w:rPr>
        <w:t xml:space="preserve"> Occupation Outlook Handbook and to account for the associated increased administrative/overhead costs.  T</w:t>
      </w:r>
      <w:r w:rsidR="00011C8F">
        <w:rPr>
          <w:sz w:val="24"/>
        </w:rPr>
        <w:t xml:space="preserve">he </w:t>
      </w:r>
      <w:r w:rsidR="004D0BB1">
        <w:rPr>
          <w:sz w:val="24"/>
        </w:rPr>
        <w:t>cost per RHC</w:t>
      </w:r>
      <w:r w:rsidRPr="00FD2E48">
        <w:rPr>
          <w:sz w:val="24"/>
        </w:rPr>
        <w:t xml:space="preserve"> increased by $</w:t>
      </w:r>
      <w:r w:rsidR="004D0BB1">
        <w:rPr>
          <w:sz w:val="24"/>
        </w:rPr>
        <w:t>1,478.40</w:t>
      </w:r>
      <w:r w:rsidRPr="00FD2E48">
        <w:rPr>
          <w:sz w:val="24"/>
        </w:rPr>
        <w:t xml:space="preserve"> (from </w:t>
      </w:r>
      <w:r w:rsidR="004D0BB1">
        <w:rPr>
          <w:sz w:val="24"/>
        </w:rPr>
        <w:t>$1,000 per RHC</w:t>
      </w:r>
      <w:r w:rsidRPr="00FD2E48">
        <w:rPr>
          <w:sz w:val="24"/>
        </w:rPr>
        <w:t xml:space="preserve"> in 201</w:t>
      </w:r>
      <w:r w:rsidR="00FD2E48" w:rsidRPr="00FD2E48">
        <w:rPr>
          <w:sz w:val="24"/>
        </w:rPr>
        <w:t>4</w:t>
      </w:r>
      <w:r w:rsidRPr="00FD2E48">
        <w:rPr>
          <w:sz w:val="24"/>
        </w:rPr>
        <w:t xml:space="preserve"> to $</w:t>
      </w:r>
      <w:r w:rsidR="004D0BB1">
        <w:rPr>
          <w:sz w:val="24"/>
        </w:rPr>
        <w:t>2,478.40 per RHC</w:t>
      </w:r>
      <w:r w:rsidRPr="00FD2E48">
        <w:rPr>
          <w:sz w:val="24"/>
        </w:rPr>
        <w:t xml:space="preserve"> in 2017)</w:t>
      </w:r>
      <w:r w:rsidR="009D066D">
        <w:rPr>
          <w:sz w:val="24"/>
        </w:rPr>
        <w:t xml:space="preserve"> due to an increased hourly wage and costs of overhead and fringe benefits.</w:t>
      </w:r>
    </w:p>
    <w:p w14:paraId="2B89E8DC" w14:textId="4A4C8EB2" w:rsidR="005E2506" w:rsidRDefault="005E2506" w:rsidP="00366274">
      <w:pPr>
        <w:ind w:left="720"/>
        <w:rPr>
          <w:sz w:val="24"/>
        </w:rPr>
      </w:pPr>
    </w:p>
    <w:p w14:paraId="6E10B41C"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Publication and Tabulation Dates</w:t>
      </w:r>
    </w:p>
    <w:p w14:paraId="11DA82F9" w14:textId="77777777" w:rsidR="00D22C70" w:rsidRPr="002B7282" w:rsidRDefault="00D22C70" w:rsidP="00552775">
      <w:pPr>
        <w:tabs>
          <w:tab w:val="left" w:pos="0"/>
          <w:tab w:val="left" w:pos="720"/>
        </w:tabs>
        <w:suppressAutoHyphens/>
        <w:spacing w:line="240" w:lineRule="atLeast"/>
        <w:ind w:left="720"/>
        <w:rPr>
          <w:sz w:val="24"/>
          <w:szCs w:val="24"/>
        </w:rPr>
      </w:pPr>
    </w:p>
    <w:p w14:paraId="06DF340C" w14:textId="77777777" w:rsidR="008A4210" w:rsidRDefault="008A4210" w:rsidP="00504D2C">
      <w:pPr>
        <w:spacing w:line="242" w:lineRule="auto"/>
        <w:ind w:firstLine="720"/>
        <w:rPr>
          <w:sz w:val="24"/>
        </w:rPr>
      </w:pPr>
      <w:r>
        <w:rPr>
          <w:sz w:val="24"/>
        </w:rPr>
        <w:t>The data submitted on the cost report is not published or tabulated.</w:t>
      </w:r>
    </w:p>
    <w:p w14:paraId="3BDC5C91" w14:textId="72714F8C" w:rsidR="004D0BB1" w:rsidRDefault="004D0BB1">
      <w:pPr>
        <w:widowControl/>
        <w:autoSpaceDE/>
        <w:autoSpaceDN/>
        <w:adjustRightInd/>
        <w:spacing w:after="200" w:line="276" w:lineRule="auto"/>
        <w:rPr>
          <w:sz w:val="24"/>
          <w:szCs w:val="24"/>
        </w:rPr>
      </w:pPr>
      <w:r>
        <w:rPr>
          <w:sz w:val="24"/>
          <w:szCs w:val="24"/>
        </w:rPr>
        <w:br w:type="page"/>
      </w:r>
    </w:p>
    <w:p w14:paraId="00059770" w14:textId="77777777" w:rsidR="00D22C70" w:rsidRDefault="00D22C70" w:rsidP="00A211BB">
      <w:pPr>
        <w:tabs>
          <w:tab w:val="left" w:pos="0"/>
          <w:tab w:val="left" w:pos="360"/>
          <w:tab w:val="left" w:pos="720"/>
        </w:tabs>
        <w:suppressAutoHyphens/>
        <w:spacing w:line="240" w:lineRule="atLeast"/>
        <w:ind w:left="360"/>
        <w:rPr>
          <w:sz w:val="24"/>
          <w:szCs w:val="24"/>
        </w:rPr>
      </w:pPr>
    </w:p>
    <w:p w14:paraId="0FD806F6"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Expiration Date</w:t>
      </w:r>
    </w:p>
    <w:p w14:paraId="6D8FCE80" w14:textId="77777777" w:rsidR="00D22C70" w:rsidRDefault="00D22C70" w:rsidP="00A211BB">
      <w:pPr>
        <w:tabs>
          <w:tab w:val="left" w:pos="0"/>
          <w:tab w:val="left" w:pos="360"/>
          <w:tab w:val="left" w:pos="720"/>
        </w:tabs>
        <w:suppressAutoHyphens/>
        <w:spacing w:line="240" w:lineRule="atLeast"/>
        <w:ind w:left="360"/>
        <w:rPr>
          <w:sz w:val="24"/>
          <w:szCs w:val="24"/>
        </w:rPr>
      </w:pPr>
    </w:p>
    <w:p w14:paraId="40F1FB1D" w14:textId="6335A17B" w:rsidR="00F25A28" w:rsidRDefault="00F25A28" w:rsidP="00F25A2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51BA4">
        <w:rPr>
          <w:sz w:val="24"/>
        </w:rPr>
        <w:t xml:space="preserve">CMS will display the expiration date on the first page of forms, in the upper right hand corner.  The PRA disclosure statement with expiration date included in instructions appears in the </w:t>
      </w:r>
      <w:r w:rsidR="009B5F87">
        <w:rPr>
          <w:sz w:val="24"/>
        </w:rPr>
        <w:t>third</w:t>
      </w:r>
      <w:r w:rsidRPr="00E51BA4">
        <w:rPr>
          <w:sz w:val="24"/>
        </w:rPr>
        <w:t xml:space="preserve"> paragraph on page 4</w:t>
      </w:r>
      <w:r w:rsidR="009B5F87">
        <w:rPr>
          <w:sz w:val="24"/>
        </w:rPr>
        <w:t>6</w:t>
      </w:r>
      <w:r w:rsidRPr="00E51BA4">
        <w:rPr>
          <w:sz w:val="24"/>
        </w:rPr>
        <w:t>-</w:t>
      </w:r>
      <w:r w:rsidR="00E51BA4">
        <w:rPr>
          <w:sz w:val="24"/>
        </w:rPr>
        <w:t>3</w:t>
      </w:r>
      <w:r w:rsidRPr="00E51BA4">
        <w:rPr>
          <w:sz w:val="24"/>
        </w:rPr>
        <w:t>.</w:t>
      </w:r>
    </w:p>
    <w:p w14:paraId="3F5E046F" w14:textId="77777777" w:rsidR="00EF33B7" w:rsidRDefault="00EF33B7" w:rsidP="00F25A2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2B4A5F72" w14:textId="77777777" w:rsidR="00011C8F" w:rsidRDefault="00011C8F" w:rsidP="00F25A2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646D1011" w14:textId="77777777" w:rsidR="00D22C70" w:rsidRPr="007952CC" w:rsidRDefault="00D22C70" w:rsidP="007952CC">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Certification Statement</w:t>
      </w:r>
    </w:p>
    <w:p w14:paraId="470E430D" w14:textId="77777777" w:rsidR="00D22C70" w:rsidRPr="00A211BB" w:rsidRDefault="00D22C70" w:rsidP="00A211BB">
      <w:pPr>
        <w:tabs>
          <w:tab w:val="left" w:pos="0"/>
          <w:tab w:val="left" w:pos="360"/>
          <w:tab w:val="left" w:pos="720"/>
        </w:tabs>
        <w:suppressAutoHyphens/>
        <w:spacing w:line="240" w:lineRule="atLeast"/>
        <w:ind w:left="360"/>
        <w:rPr>
          <w:sz w:val="24"/>
          <w:szCs w:val="24"/>
        </w:rPr>
      </w:pPr>
    </w:p>
    <w:p w14:paraId="092F32A0" w14:textId="77777777" w:rsidR="00D22C70" w:rsidRPr="00A211BB" w:rsidRDefault="00D22C70" w:rsidP="00552775">
      <w:pPr>
        <w:tabs>
          <w:tab w:val="left" w:pos="0"/>
          <w:tab w:val="left" w:pos="720"/>
        </w:tabs>
        <w:suppressAutoHyphens/>
        <w:spacing w:line="240" w:lineRule="atLeast"/>
        <w:ind w:left="720"/>
        <w:rPr>
          <w:sz w:val="24"/>
          <w:szCs w:val="24"/>
        </w:rPr>
      </w:pPr>
      <w:r w:rsidRPr="00A211BB">
        <w:rPr>
          <w:sz w:val="24"/>
          <w:szCs w:val="24"/>
        </w:rPr>
        <w:t>There are no exceptions to the certification statement.</w:t>
      </w:r>
    </w:p>
    <w:p w14:paraId="056E202C" w14:textId="26302875" w:rsidR="00E17B95" w:rsidRPr="00A211BB" w:rsidRDefault="00D22C70">
      <w:pPr>
        <w:tabs>
          <w:tab w:val="left" w:pos="0"/>
          <w:tab w:val="left" w:pos="360"/>
          <w:tab w:val="left" w:pos="720"/>
        </w:tabs>
        <w:suppressAutoHyphens/>
        <w:spacing w:line="240" w:lineRule="atLeast"/>
        <w:rPr>
          <w:sz w:val="24"/>
          <w:szCs w:val="24"/>
        </w:rPr>
      </w:pPr>
      <w:r w:rsidRPr="00A211BB">
        <w:rPr>
          <w:sz w:val="24"/>
          <w:szCs w:val="24"/>
        </w:rPr>
        <w:tab/>
      </w:r>
    </w:p>
    <w:p w14:paraId="6CD4FD71" w14:textId="77777777" w:rsidR="00D22C70" w:rsidRPr="00A211BB" w:rsidRDefault="00D22C70">
      <w:pPr>
        <w:tabs>
          <w:tab w:val="left" w:pos="0"/>
          <w:tab w:val="left" w:pos="360"/>
          <w:tab w:val="left" w:pos="720"/>
        </w:tabs>
        <w:suppressAutoHyphens/>
        <w:spacing w:line="240" w:lineRule="atLeast"/>
        <w:ind w:left="360" w:hanging="360"/>
        <w:rPr>
          <w:b/>
          <w:sz w:val="24"/>
          <w:szCs w:val="24"/>
        </w:rPr>
      </w:pPr>
      <w:r w:rsidRPr="00A211BB">
        <w:rPr>
          <w:b/>
          <w:sz w:val="24"/>
          <w:szCs w:val="24"/>
        </w:rPr>
        <w:t>C.</w:t>
      </w:r>
      <w:r w:rsidRPr="00A211BB">
        <w:rPr>
          <w:b/>
          <w:sz w:val="24"/>
          <w:szCs w:val="24"/>
        </w:rPr>
        <w:tab/>
      </w:r>
      <w:r w:rsidR="00F04556" w:rsidRPr="00DA7D1E">
        <w:rPr>
          <w:b/>
          <w:sz w:val="24"/>
          <w:szCs w:val="24"/>
          <w:u w:val="single"/>
        </w:rPr>
        <w:t>STATISTICAL METHODS</w:t>
      </w:r>
    </w:p>
    <w:p w14:paraId="420BC080" w14:textId="77777777" w:rsidR="00D22C70" w:rsidRPr="00A211BB" w:rsidRDefault="00D22C70">
      <w:pPr>
        <w:tabs>
          <w:tab w:val="left" w:pos="0"/>
          <w:tab w:val="left" w:pos="360"/>
          <w:tab w:val="left" w:pos="720"/>
        </w:tabs>
        <w:suppressAutoHyphens/>
        <w:spacing w:line="240" w:lineRule="atLeast"/>
        <w:ind w:left="360" w:hanging="360"/>
        <w:rPr>
          <w:sz w:val="24"/>
          <w:szCs w:val="24"/>
        </w:rPr>
      </w:pPr>
    </w:p>
    <w:p w14:paraId="57E4D06E" w14:textId="77777777" w:rsidR="00D22C70" w:rsidRDefault="00D22C70" w:rsidP="00552775">
      <w:pPr>
        <w:tabs>
          <w:tab w:val="left" w:pos="0"/>
          <w:tab w:val="left" w:pos="360"/>
          <w:tab w:val="left" w:pos="720"/>
        </w:tabs>
        <w:suppressAutoHyphens/>
        <w:spacing w:line="240" w:lineRule="atLeast"/>
        <w:ind w:left="360"/>
        <w:rPr>
          <w:sz w:val="24"/>
          <w:szCs w:val="24"/>
        </w:rPr>
      </w:pPr>
      <w:r w:rsidRPr="008722C4">
        <w:rPr>
          <w:sz w:val="24"/>
          <w:szCs w:val="24"/>
        </w:rPr>
        <w:t>There</w:t>
      </w:r>
      <w:r>
        <w:rPr>
          <w:sz w:val="24"/>
          <w:szCs w:val="24"/>
        </w:rPr>
        <w:t xml:space="preserve"> are no statistical methods involved in this collection.</w:t>
      </w:r>
    </w:p>
    <w:sectPr w:rsidR="00D22C70" w:rsidSect="00353735">
      <w:pgSz w:w="12240" w:h="15840"/>
      <w:pgMar w:top="1440" w:right="1440" w:bottom="1296" w:left="1440" w:header="0" w:footer="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2F093" w14:textId="77777777" w:rsidR="00287E0B" w:rsidRDefault="00287E0B">
      <w:pPr>
        <w:spacing w:line="20" w:lineRule="exact"/>
        <w:rPr>
          <w:sz w:val="24"/>
          <w:szCs w:val="24"/>
        </w:rPr>
      </w:pPr>
    </w:p>
  </w:endnote>
  <w:endnote w:type="continuationSeparator" w:id="0">
    <w:p w14:paraId="12A73DB4" w14:textId="77777777" w:rsidR="00287E0B" w:rsidRDefault="00287E0B" w:rsidP="00D22C70">
      <w:r>
        <w:rPr>
          <w:sz w:val="24"/>
          <w:szCs w:val="24"/>
        </w:rPr>
        <w:t xml:space="preserve"> </w:t>
      </w:r>
    </w:p>
  </w:endnote>
  <w:endnote w:type="continuationNotice" w:id="1">
    <w:p w14:paraId="7FECCF7C" w14:textId="77777777" w:rsidR="00287E0B" w:rsidRDefault="00287E0B" w:rsidP="00D22C7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DD268" w14:textId="77777777" w:rsidR="00287E0B" w:rsidRDefault="00287E0B" w:rsidP="00D22C70">
      <w:r>
        <w:rPr>
          <w:sz w:val="24"/>
          <w:szCs w:val="24"/>
        </w:rPr>
        <w:separator/>
      </w:r>
    </w:p>
  </w:footnote>
  <w:footnote w:type="continuationSeparator" w:id="0">
    <w:p w14:paraId="5FF870AD" w14:textId="77777777" w:rsidR="00287E0B" w:rsidRDefault="00287E0B" w:rsidP="00D22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AAA4E39"/>
    <w:multiLevelType w:val="hybridMultilevel"/>
    <w:tmpl w:val="295E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FC4"/>
    <w:multiLevelType w:val="hybridMultilevel"/>
    <w:tmpl w:val="BF1AC142"/>
    <w:lvl w:ilvl="0" w:tplc="E10C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72287E"/>
    <w:multiLevelType w:val="hybridMultilevel"/>
    <w:tmpl w:val="6DFA76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nsid w:val="27A77464"/>
    <w:multiLevelType w:val="hybridMultilevel"/>
    <w:tmpl w:val="FE440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5D2EF3"/>
    <w:multiLevelType w:val="hybridMultilevel"/>
    <w:tmpl w:val="B166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93AE2"/>
    <w:multiLevelType w:val="hybridMultilevel"/>
    <w:tmpl w:val="77406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543128"/>
    <w:multiLevelType w:val="hybridMultilevel"/>
    <w:tmpl w:val="0E16C3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CDC0EE3"/>
    <w:multiLevelType w:val="hybridMultilevel"/>
    <w:tmpl w:val="865A95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8D0BD2"/>
    <w:multiLevelType w:val="hybridMultilevel"/>
    <w:tmpl w:val="2F6E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6"/>
  </w:num>
  <w:num w:numId="3">
    <w:abstractNumId w:val="1"/>
  </w:num>
  <w:num w:numId="4">
    <w:abstractNumId w:val="2"/>
  </w:num>
  <w:num w:numId="5">
    <w:abstractNumId w:val="9"/>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70"/>
    <w:rsid w:val="00011C8F"/>
    <w:rsid w:val="00015120"/>
    <w:rsid w:val="00024AB1"/>
    <w:rsid w:val="00027A1A"/>
    <w:rsid w:val="00035C25"/>
    <w:rsid w:val="00040020"/>
    <w:rsid w:val="00043644"/>
    <w:rsid w:val="00043EE8"/>
    <w:rsid w:val="00067F71"/>
    <w:rsid w:val="00075819"/>
    <w:rsid w:val="00082526"/>
    <w:rsid w:val="00082A58"/>
    <w:rsid w:val="00083D43"/>
    <w:rsid w:val="00084E8A"/>
    <w:rsid w:val="00092A06"/>
    <w:rsid w:val="000A5CB0"/>
    <w:rsid w:val="000C25CE"/>
    <w:rsid w:val="000C2717"/>
    <w:rsid w:val="000C62B1"/>
    <w:rsid w:val="000D08F1"/>
    <w:rsid w:val="000D5708"/>
    <w:rsid w:val="000E3D92"/>
    <w:rsid w:val="000F16DE"/>
    <w:rsid w:val="000F3A60"/>
    <w:rsid w:val="000F7FEF"/>
    <w:rsid w:val="00106CCA"/>
    <w:rsid w:val="001105E7"/>
    <w:rsid w:val="00121449"/>
    <w:rsid w:val="00121FDD"/>
    <w:rsid w:val="00127F11"/>
    <w:rsid w:val="0013579D"/>
    <w:rsid w:val="00137EF6"/>
    <w:rsid w:val="0014462A"/>
    <w:rsid w:val="00144B08"/>
    <w:rsid w:val="00154130"/>
    <w:rsid w:val="0015470C"/>
    <w:rsid w:val="0015521D"/>
    <w:rsid w:val="001557BF"/>
    <w:rsid w:val="00160635"/>
    <w:rsid w:val="00161F60"/>
    <w:rsid w:val="00180FB0"/>
    <w:rsid w:val="0019231B"/>
    <w:rsid w:val="00196C11"/>
    <w:rsid w:val="001975CA"/>
    <w:rsid w:val="001A122E"/>
    <w:rsid w:val="001A1E89"/>
    <w:rsid w:val="001D24E3"/>
    <w:rsid w:val="001E37DB"/>
    <w:rsid w:val="002015DB"/>
    <w:rsid w:val="00202D81"/>
    <w:rsid w:val="00205568"/>
    <w:rsid w:val="00215B09"/>
    <w:rsid w:val="002168AB"/>
    <w:rsid w:val="002454CC"/>
    <w:rsid w:val="00263179"/>
    <w:rsid w:val="002760A6"/>
    <w:rsid w:val="002804A5"/>
    <w:rsid w:val="0028071D"/>
    <w:rsid w:val="00284987"/>
    <w:rsid w:val="00286649"/>
    <w:rsid w:val="00287E0B"/>
    <w:rsid w:val="00291501"/>
    <w:rsid w:val="0029243C"/>
    <w:rsid w:val="00295D08"/>
    <w:rsid w:val="00296C0F"/>
    <w:rsid w:val="00297AF5"/>
    <w:rsid w:val="002A4892"/>
    <w:rsid w:val="002A7BC8"/>
    <w:rsid w:val="002B04E9"/>
    <w:rsid w:val="002B3585"/>
    <w:rsid w:val="002B35A6"/>
    <w:rsid w:val="002B6EB6"/>
    <w:rsid w:val="002B7282"/>
    <w:rsid w:val="002C0597"/>
    <w:rsid w:val="002C3DFC"/>
    <w:rsid w:val="002D099B"/>
    <w:rsid w:val="002D1D72"/>
    <w:rsid w:val="002D39E1"/>
    <w:rsid w:val="002D411F"/>
    <w:rsid w:val="002E2945"/>
    <w:rsid w:val="0031204C"/>
    <w:rsid w:val="00312419"/>
    <w:rsid w:val="003206E0"/>
    <w:rsid w:val="00324CCA"/>
    <w:rsid w:val="00330027"/>
    <w:rsid w:val="00330BBD"/>
    <w:rsid w:val="00330ED5"/>
    <w:rsid w:val="00331CE8"/>
    <w:rsid w:val="003321E2"/>
    <w:rsid w:val="00332E32"/>
    <w:rsid w:val="0034149E"/>
    <w:rsid w:val="00343AFC"/>
    <w:rsid w:val="00343D5E"/>
    <w:rsid w:val="003530FB"/>
    <w:rsid w:val="00353735"/>
    <w:rsid w:val="0035651D"/>
    <w:rsid w:val="00361152"/>
    <w:rsid w:val="00365CED"/>
    <w:rsid w:val="00366274"/>
    <w:rsid w:val="00367665"/>
    <w:rsid w:val="00370ED8"/>
    <w:rsid w:val="003863CC"/>
    <w:rsid w:val="00396EAE"/>
    <w:rsid w:val="003A2813"/>
    <w:rsid w:val="003A443A"/>
    <w:rsid w:val="003C64A3"/>
    <w:rsid w:val="003D333A"/>
    <w:rsid w:val="003E63E9"/>
    <w:rsid w:val="003F1577"/>
    <w:rsid w:val="0040535C"/>
    <w:rsid w:val="004110EC"/>
    <w:rsid w:val="00420E87"/>
    <w:rsid w:val="00424ECA"/>
    <w:rsid w:val="004413B8"/>
    <w:rsid w:val="00453088"/>
    <w:rsid w:val="00457EB3"/>
    <w:rsid w:val="00470C00"/>
    <w:rsid w:val="00472AEF"/>
    <w:rsid w:val="004749EB"/>
    <w:rsid w:val="00480A45"/>
    <w:rsid w:val="004A094D"/>
    <w:rsid w:val="004A1F50"/>
    <w:rsid w:val="004A3575"/>
    <w:rsid w:val="004B1A89"/>
    <w:rsid w:val="004B45C5"/>
    <w:rsid w:val="004C5349"/>
    <w:rsid w:val="004C70FD"/>
    <w:rsid w:val="004D0BB1"/>
    <w:rsid w:val="004E2ADF"/>
    <w:rsid w:val="004F157E"/>
    <w:rsid w:val="00504D2C"/>
    <w:rsid w:val="0050516C"/>
    <w:rsid w:val="005378F8"/>
    <w:rsid w:val="005438FA"/>
    <w:rsid w:val="00543B72"/>
    <w:rsid w:val="00551DC5"/>
    <w:rsid w:val="00552775"/>
    <w:rsid w:val="00555CA2"/>
    <w:rsid w:val="0055652D"/>
    <w:rsid w:val="00560CA5"/>
    <w:rsid w:val="00560DB2"/>
    <w:rsid w:val="00590B48"/>
    <w:rsid w:val="00592742"/>
    <w:rsid w:val="005A1165"/>
    <w:rsid w:val="005A7156"/>
    <w:rsid w:val="005B304A"/>
    <w:rsid w:val="005B3213"/>
    <w:rsid w:val="005B46BD"/>
    <w:rsid w:val="005C0AC8"/>
    <w:rsid w:val="005D186D"/>
    <w:rsid w:val="005D315F"/>
    <w:rsid w:val="005D68AD"/>
    <w:rsid w:val="005E0015"/>
    <w:rsid w:val="005E2506"/>
    <w:rsid w:val="005E4837"/>
    <w:rsid w:val="005E74A5"/>
    <w:rsid w:val="005F5516"/>
    <w:rsid w:val="005F5A32"/>
    <w:rsid w:val="005F6A5E"/>
    <w:rsid w:val="00605D28"/>
    <w:rsid w:val="006071A9"/>
    <w:rsid w:val="006145B0"/>
    <w:rsid w:val="00640A07"/>
    <w:rsid w:val="00655D3B"/>
    <w:rsid w:val="00680C6B"/>
    <w:rsid w:val="00681019"/>
    <w:rsid w:val="006863D4"/>
    <w:rsid w:val="006939E4"/>
    <w:rsid w:val="0069487E"/>
    <w:rsid w:val="006A1142"/>
    <w:rsid w:val="006A2905"/>
    <w:rsid w:val="006A2DDB"/>
    <w:rsid w:val="006B237F"/>
    <w:rsid w:val="006B46C0"/>
    <w:rsid w:val="006C08DD"/>
    <w:rsid w:val="006C4FF6"/>
    <w:rsid w:val="006D0DDA"/>
    <w:rsid w:val="006D49C0"/>
    <w:rsid w:val="006F1606"/>
    <w:rsid w:val="006F2516"/>
    <w:rsid w:val="006F7E67"/>
    <w:rsid w:val="007122EF"/>
    <w:rsid w:val="0071281A"/>
    <w:rsid w:val="007247BD"/>
    <w:rsid w:val="007260A4"/>
    <w:rsid w:val="0073271B"/>
    <w:rsid w:val="00732B94"/>
    <w:rsid w:val="00743BEE"/>
    <w:rsid w:val="00744343"/>
    <w:rsid w:val="00744BB9"/>
    <w:rsid w:val="00751904"/>
    <w:rsid w:val="007556CD"/>
    <w:rsid w:val="00766877"/>
    <w:rsid w:val="00766BC7"/>
    <w:rsid w:val="007818C3"/>
    <w:rsid w:val="00787702"/>
    <w:rsid w:val="00791843"/>
    <w:rsid w:val="00793635"/>
    <w:rsid w:val="00793B76"/>
    <w:rsid w:val="007952CC"/>
    <w:rsid w:val="0079653D"/>
    <w:rsid w:val="0079680A"/>
    <w:rsid w:val="007A096F"/>
    <w:rsid w:val="007A37FE"/>
    <w:rsid w:val="007B1853"/>
    <w:rsid w:val="007B40EA"/>
    <w:rsid w:val="007C1EB9"/>
    <w:rsid w:val="007C709A"/>
    <w:rsid w:val="007D3B4E"/>
    <w:rsid w:val="007D693F"/>
    <w:rsid w:val="007D6C39"/>
    <w:rsid w:val="007E2107"/>
    <w:rsid w:val="007E25F6"/>
    <w:rsid w:val="007E2EEA"/>
    <w:rsid w:val="007F0D5F"/>
    <w:rsid w:val="007F2341"/>
    <w:rsid w:val="007F7B34"/>
    <w:rsid w:val="00803BC3"/>
    <w:rsid w:val="008221CF"/>
    <w:rsid w:val="00824D1D"/>
    <w:rsid w:val="00837577"/>
    <w:rsid w:val="00843A96"/>
    <w:rsid w:val="0085058C"/>
    <w:rsid w:val="00854668"/>
    <w:rsid w:val="008576FA"/>
    <w:rsid w:val="008722C4"/>
    <w:rsid w:val="00881851"/>
    <w:rsid w:val="00887FBD"/>
    <w:rsid w:val="0089152D"/>
    <w:rsid w:val="00896F5F"/>
    <w:rsid w:val="008A2BEC"/>
    <w:rsid w:val="008A4210"/>
    <w:rsid w:val="008A4E79"/>
    <w:rsid w:val="008B04A2"/>
    <w:rsid w:val="008C29EC"/>
    <w:rsid w:val="008E1EBE"/>
    <w:rsid w:val="008E209C"/>
    <w:rsid w:val="008E5646"/>
    <w:rsid w:val="00901E4D"/>
    <w:rsid w:val="00911005"/>
    <w:rsid w:val="00935FC6"/>
    <w:rsid w:val="0094572B"/>
    <w:rsid w:val="0095456C"/>
    <w:rsid w:val="00954D7B"/>
    <w:rsid w:val="00960D87"/>
    <w:rsid w:val="00974862"/>
    <w:rsid w:val="00981C55"/>
    <w:rsid w:val="0098425A"/>
    <w:rsid w:val="00996D09"/>
    <w:rsid w:val="009B17BC"/>
    <w:rsid w:val="009B39B7"/>
    <w:rsid w:val="009B4FE7"/>
    <w:rsid w:val="009B5F87"/>
    <w:rsid w:val="009C03AD"/>
    <w:rsid w:val="009C4D15"/>
    <w:rsid w:val="009D066D"/>
    <w:rsid w:val="009D6BFA"/>
    <w:rsid w:val="009D75CE"/>
    <w:rsid w:val="009D7E1C"/>
    <w:rsid w:val="009E3553"/>
    <w:rsid w:val="009F360B"/>
    <w:rsid w:val="00A02265"/>
    <w:rsid w:val="00A04C81"/>
    <w:rsid w:val="00A211BB"/>
    <w:rsid w:val="00A23514"/>
    <w:rsid w:val="00A46653"/>
    <w:rsid w:val="00A50946"/>
    <w:rsid w:val="00A60CAF"/>
    <w:rsid w:val="00A63864"/>
    <w:rsid w:val="00A6572A"/>
    <w:rsid w:val="00A679F8"/>
    <w:rsid w:val="00A73761"/>
    <w:rsid w:val="00A82265"/>
    <w:rsid w:val="00A84130"/>
    <w:rsid w:val="00A93EAB"/>
    <w:rsid w:val="00AA16CC"/>
    <w:rsid w:val="00AA2A10"/>
    <w:rsid w:val="00AA5B23"/>
    <w:rsid w:val="00AA63A7"/>
    <w:rsid w:val="00AA6C7B"/>
    <w:rsid w:val="00AC6196"/>
    <w:rsid w:val="00AC78AE"/>
    <w:rsid w:val="00AD6821"/>
    <w:rsid w:val="00AF001C"/>
    <w:rsid w:val="00AF590D"/>
    <w:rsid w:val="00AF6D37"/>
    <w:rsid w:val="00B00AAB"/>
    <w:rsid w:val="00B03FC2"/>
    <w:rsid w:val="00B12AA6"/>
    <w:rsid w:val="00B12FA2"/>
    <w:rsid w:val="00B26E50"/>
    <w:rsid w:val="00B32454"/>
    <w:rsid w:val="00B422BD"/>
    <w:rsid w:val="00B45698"/>
    <w:rsid w:val="00B52095"/>
    <w:rsid w:val="00B5350D"/>
    <w:rsid w:val="00B567AB"/>
    <w:rsid w:val="00B56BA3"/>
    <w:rsid w:val="00B70A3E"/>
    <w:rsid w:val="00B73278"/>
    <w:rsid w:val="00B803D4"/>
    <w:rsid w:val="00B835E1"/>
    <w:rsid w:val="00B855C9"/>
    <w:rsid w:val="00B935FB"/>
    <w:rsid w:val="00B945F2"/>
    <w:rsid w:val="00BA617B"/>
    <w:rsid w:val="00BB2702"/>
    <w:rsid w:val="00BB4188"/>
    <w:rsid w:val="00BB55D2"/>
    <w:rsid w:val="00BB6B3A"/>
    <w:rsid w:val="00BC5660"/>
    <w:rsid w:val="00BD288D"/>
    <w:rsid w:val="00BD31D2"/>
    <w:rsid w:val="00BD6033"/>
    <w:rsid w:val="00BE67ED"/>
    <w:rsid w:val="00BF0FA3"/>
    <w:rsid w:val="00C00FC5"/>
    <w:rsid w:val="00C07C63"/>
    <w:rsid w:val="00C11767"/>
    <w:rsid w:val="00C2322E"/>
    <w:rsid w:val="00C37A80"/>
    <w:rsid w:val="00C45B6E"/>
    <w:rsid w:val="00C52940"/>
    <w:rsid w:val="00C53AAE"/>
    <w:rsid w:val="00C61C5B"/>
    <w:rsid w:val="00C6219A"/>
    <w:rsid w:val="00C716FF"/>
    <w:rsid w:val="00C73359"/>
    <w:rsid w:val="00C76D2D"/>
    <w:rsid w:val="00C77918"/>
    <w:rsid w:val="00C94A5D"/>
    <w:rsid w:val="00CB461B"/>
    <w:rsid w:val="00CB7C2D"/>
    <w:rsid w:val="00CC0B43"/>
    <w:rsid w:val="00CC1DEA"/>
    <w:rsid w:val="00CC3420"/>
    <w:rsid w:val="00CC4A15"/>
    <w:rsid w:val="00CC7FA0"/>
    <w:rsid w:val="00CD46DE"/>
    <w:rsid w:val="00CF6E6B"/>
    <w:rsid w:val="00D04275"/>
    <w:rsid w:val="00D11A0F"/>
    <w:rsid w:val="00D168C1"/>
    <w:rsid w:val="00D17EDB"/>
    <w:rsid w:val="00D20C5E"/>
    <w:rsid w:val="00D22C70"/>
    <w:rsid w:val="00D27810"/>
    <w:rsid w:val="00D4634A"/>
    <w:rsid w:val="00D60E79"/>
    <w:rsid w:val="00D63870"/>
    <w:rsid w:val="00D67072"/>
    <w:rsid w:val="00D67F83"/>
    <w:rsid w:val="00D77661"/>
    <w:rsid w:val="00D81025"/>
    <w:rsid w:val="00D91AEB"/>
    <w:rsid w:val="00DA114A"/>
    <w:rsid w:val="00DA2698"/>
    <w:rsid w:val="00DA7D1E"/>
    <w:rsid w:val="00DB2A7B"/>
    <w:rsid w:val="00DB6134"/>
    <w:rsid w:val="00DB6364"/>
    <w:rsid w:val="00DB6DEC"/>
    <w:rsid w:val="00DC0448"/>
    <w:rsid w:val="00DC1672"/>
    <w:rsid w:val="00DD380A"/>
    <w:rsid w:val="00DD728F"/>
    <w:rsid w:val="00DF159F"/>
    <w:rsid w:val="00DF178C"/>
    <w:rsid w:val="00E00FD9"/>
    <w:rsid w:val="00E01DB1"/>
    <w:rsid w:val="00E03BA2"/>
    <w:rsid w:val="00E07196"/>
    <w:rsid w:val="00E15DED"/>
    <w:rsid w:val="00E16F92"/>
    <w:rsid w:val="00E17B95"/>
    <w:rsid w:val="00E40AEB"/>
    <w:rsid w:val="00E41A40"/>
    <w:rsid w:val="00E51BA4"/>
    <w:rsid w:val="00E7701B"/>
    <w:rsid w:val="00E8466B"/>
    <w:rsid w:val="00E874FB"/>
    <w:rsid w:val="00E8777F"/>
    <w:rsid w:val="00E90F3C"/>
    <w:rsid w:val="00E9223E"/>
    <w:rsid w:val="00E945E3"/>
    <w:rsid w:val="00E95C3B"/>
    <w:rsid w:val="00EA1FBF"/>
    <w:rsid w:val="00EA7E2F"/>
    <w:rsid w:val="00EB5B62"/>
    <w:rsid w:val="00EB5FCE"/>
    <w:rsid w:val="00EC12C5"/>
    <w:rsid w:val="00EC3FDC"/>
    <w:rsid w:val="00EC7DA3"/>
    <w:rsid w:val="00ED0648"/>
    <w:rsid w:val="00ED318E"/>
    <w:rsid w:val="00EE051F"/>
    <w:rsid w:val="00EF33B7"/>
    <w:rsid w:val="00F0025F"/>
    <w:rsid w:val="00F012C9"/>
    <w:rsid w:val="00F03B20"/>
    <w:rsid w:val="00F04556"/>
    <w:rsid w:val="00F12457"/>
    <w:rsid w:val="00F16FA8"/>
    <w:rsid w:val="00F25A28"/>
    <w:rsid w:val="00F277EB"/>
    <w:rsid w:val="00F439FF"/>
    <w:rsid w:val="00F52474"/>
    <w:rsid w:val="00F5410C"/>
    <w:rsid w:val="00F548AF"/>
    <w:rsid w:val="00F563A7"/>
    <w:rsid w:val="00F608F2"/>
    <w:rsid w:val="00F6329F"/>
    <w:rsid w:val="00F74FFC"/>
    <w:rsid w:val="00F9006F"/>
    <w:rsid w:val="00F93649"/>
    <w:rsid w:val="00F95DDB"/>
    <w:rsid w:val="00FA15B9"/>
    <w:rsid w:val="00FA1853"/>
    <w:rsid w:val="00FC7C11"/>
    <w:rsid w:val="00FD05EA"/>
    <w:rsid w:val="00FD2E48"/>
    <w:rsid w:val="00FE0C9F"/>
    <w:rsid w:val="00FE25F5"/>
    <w:rsid w:val="00FF3443"/>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4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0"/>
    <w:lsdException w:name="caption" w:semiHidden="0" w:qFormat="1"/>
    <w:lsdException w:name="annotation reference" w:uiPriority="0"/>
    <w:lsdException w:name="Title" w:semiHidden="0" w:uiPriority="10" w:unhideWhenUsed="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1"/>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Revision">
    <w:name w:val="Revision"/>
    <w:hidden/>
    <w:uiPriority w:val="99"/>
    <w:semiHidden/>
    <w:rsid w:val="00743BEE"/>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332E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0"/>
    <w:lsdException w:name="caption" w:semiHidden="0" w:qFormat="1"/>
    <w:lsdException w:name="annotation reference" w:uiPriority="0"/>
    <w:lsdException w:name="Title" w:semiHidden="0" w:uiPriority="10" w:unhideWhenUsed="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1"/>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Revision">
    <w:name w:val="Revision"/>
    <w:hidden/>
    <w:uiPriority w:val="99"/>
    <w:semiHidden/>
    <w:rsid w:val="00743BEE"/>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332E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6907">
      <w:bodyDiv w:val="1"/>
      <w:marLeft w:val="0"/>
      <w:marRight w:val="0"/>
      <w:marTop w:val="0"/>
      <w:marBottom w:val="0"/>
      <w:divBdr>
        <w:top w:val="none" w:sz="0" w:space="0" w:color="auto"/>
        <w:left w:val="none" w:sz="0" w:space="0" w:color="auto"/>
        <w:bottom w:val="none" w:sz="0" w:space="0" w:color="auto"/>
        <w:right w:val="none" w:sz="0" w:space="0" w:color="auto"/>
      </w:divBdr>
    </w:div>
    <w:div w:id="442723229">
      <w:bodyDiv w:val="1"/>
      <w:marLeft w:val="0"/>
      <w:marRight w:val="0"/>
      <w:marTop w:val="0"/>
      <w:marBottom w:val="0"/>
      <w:divBdr>
        <w:top w:val="none" w:sz="0" w:space="0" w:color="auto"/>
        <w:left w:val="none" w:sz="0" w:space="0" w:color="auto"/>
        <w:bottom w:val="none" w:sz="0" w:space="0" w:color="auto"/>
        <w:right w:val="none" w:sz="0" w:space="0" w:color="auto"/>
      </w:divBdr>
    </w:div>
    <w:div w:id="467743913">
      <w:bodyDiv w:val="1"/>
      <w:marLeft w:val="0"/>
      <w:marRight w:val="0"/>
      <w:marTop w:val="0"/>
      <w:marBottom w:val="0"/>
      <w:divBdr>
        <w:top w:val="none" w:sz="0" w:space="0" w:color="auto"/>
        <w:left w:val="none" w:sz="0" w:space="0" w:color="auto"/>
        <w:bottom w:val="none" w:sz="0" w:space="0" w:color="auto"/>
        <w:right w:val="none" w:sz="0" w:space="0" w:color="auto"/>
      </w:divBdr>
    </w:div>
    <w:div w:id="507526533">
      <w:bodyDiv w:val="1"/>
      <w:marLeft w:val="0"/>
      <w:marRight w:val="0"/>
      <w:marTop w:val="0"/>
      <w:marBottom w:val="0"/>
      <w:divBdr>
        <w:top w:val="none" w:sz="0" w:space="0" w:color="auto"/>
        <w:left w:val="none" w:sz="0" w:space="0" w:color="auto"/>
        <w:bottom w:val="none" w:sz="0" w:space="0" w:color="auto"/>
        <w:right w:val="none" w:sz="0" w:space="0" w:color="auto"/>
      </w:divBdr>
    </w:div>
    <w:div w:id="943538991">
      <w:bodyDiv w:val="1"/>
      <w:marLeft w:val="0"/>
      <w:marRight w:val="0"/>
      <w:marTop w:val="0"/>
      <w:marBottom w:val="0"/>
      <w:divBdr>
        <w:top w:val="none" w:sz="0" w:space="0" w:color="auto"/>
        <w:left w:val="none" w:sz="0" w:space="0" w:color="auto"/>
        <w:bottom w:val="none" w:sz="0" w:space="0" w:color="auto"/>
        <w:right w:val="none" w:sz="0" w:space="0" w:color="auto"/>
      </w:divBdr>
    </w:div>
    <w:div w:id="1092362642">
      <w:bodyDiv w:val="1"/>
      <w:marLeft w:val="0"/>
      <w:marRight w:val="0"/>
      <w:marTop w:val="0"/>
      <w:marBottom w:val="0"/>
      <w:divBdr>
        <w:top w:val="none" w:sz="0" w:space="0" w:color="auto"/>
        <w:left w:val="none" w:sz="0" w:space="0" w:color="auto"/>
        <w:bottom w:val="none" w:sz="0" w:space="0" w:color="auto"/>
        <w:right w:val="none" w:sz="0" w:space="0" w:color="auto"/>
      </w:divBdr>
    </w:div>
    <w:div w:id="1252424984">
      <w:bodyDiv w:val="1"/>
      <w:marLeft w:val="0"/>
      <w:marRight w:val="0"/>
      <w:marTop w:val="0"/>
      <w:marBottom w:val="0"/>
      <w:divBdr>
        <w:top w:val="none" w:sz="0" w:space="0" w:color="auto"/>
        <w:left w:val="none" w:sz="0" w:space="0" w:color="auto"/>
        <w:bottom w:val="none" w:sz="0" w:space="0" w:color="auto"/>
        <w:right w:val="none" w:sz="0" w:space="0" w:color="auto"/>
      </w:divBdr>
    </w:div>
    <w:div w:id="1317874194">
      <w:bodyDiv w:val="1"/>
      <w:marLeft w:val="0"/>
      <w:marRight w:val="0"/>
      <w:marTop w:val="0"/>
      <w:marBottom w:val="0"/>
      <w:divBdr>
        <w:top w:val="none" w:sz="0" w:space="0" w:color="auto"/>
        <w:left w:val="none" w:sz="0" w:space="0" w:color="auto"/>
        <w:bottom w:val="none" w:sz="0" w:space="0" w:color="auto"/>
        <w:right w:val="none" w:sz="0" w:space="0" w:color="auto"/>
      </w:divBdr>
    </w:div>
    <w:div w:id="1400059217">
      <w:bodyDiv w:val="1"/>
      <w:marLeft w:val="0"/>
      <w:marRight w:val="0"/>
      <w:marTop w:val="0"/>
      <w:marBottom w:val="0"/>
      <w:divBdr>
        <w:top w:val="none" w:sz="0" w:space="0" w:color="auto"/>
        <w:left w:val="none" w:sz="0" w:space="0" w:color="auto"/>
        <w:bottom w:val="none" w:sz="0" w:space="0" w:color="auto"/>
        <w:right w:val="none" w:sz="0" w:space="0" w:color="auto"/>
      </w:divBdr>
    </w:div>
    <w:div w:id="1420641630">
      <w:bodyDiv w:val="1"/>
      <w:marLeft w:val="0"/>
      <w:marRight w:val="0"/>
      <w:marTop w:val="0"/>
      <w:marBottom w:val="0"/>
      <w:divBdr>
        <w:top w:val="none" w:sz="0" w:space="0" w:color="auto"/>
        <w:left w:val="none" w:sz="0" w:space="0" w:color="auto"/>
        <w:bottom w:val="none" w:sz="0" w:space="0" w:color="auto"/>
        <w:right w:val="none" w:sz="0" w:space="0" w:color="auto"/>
      </w:divBdr>
    </w:div>
    <w:div w:id="1465662395">
      <w:bodyDiv w:val="1"/>
      <w:marLeft w:val="0"/>
      <w:marRight w:val="0"/>
      <w:marTop w:val="0"/>
      <w:marBottom w:val="0"/>
      <w:divBdr>
        <w:top w:val="none" w:sz="0" w:space="0" w:color="auto"/>
        <w:left w:val="none" w:sz="0" w:space="0" w:color="auto"/>
        <w:bottom w:val="none" w:sz="0" w:space="0" w:color="auto"/>
        <w:right w:val="none" w:sz="0" w:space="0" w:color="auto"/>
      </w:divBdr>
    </w:div>
    <w:div w:id="1479882914">
      <w:bodyDiv w:val="1"/>
      <w:marLeft w:val="0"/>
      <w:marRight w:val="0"/>
      <w:marTop w:val="0"/>
      <w:marBottom w:val="0"/>
      <w:divBdr>
        <w:top w:val="none" w:sz="0" w:space="0" w:color="auto"/>
        <w:left w:val="none" w:sz="0" w:space="0" w:color="auto"/>
        <w:bottom w:val="none" w:sz="0" w:space="0" w:color="auto"/>
        <w:right w:val="none" w:sz="0" w:space="0" w:color="auto"/>
      </w:divBdr>
    </w:div>
    <w:div w:id="1549026638">
      <w:bodyDiv w:val="1"/>
      <w:marLeft w:val="0"/>
      <w:marRight w:val="0"/>
      <w:marTop w:val="0"/>
      <w:marBottom w:val="0"/>
      <w:divBdr>
        <w:top w:val="none" w:sz="0" w:space="0" w:color="auto"/>
        <w:left w:val="none" w:sz="0" w:space="0" w:color="auto"/>
        <w:bottom w:val="none" w:sz="0" w:space="0" w:color="auto"/>
        <w:right w:val="none" w:sz="0" w:space="0" w:color="auto"/>
      </w:divBdr>
    </w:div>
    <w:div w:id="1601638572">
      <w:bodyDiv w:val="1"/>
      <w:marLeft w:val="0"/>
      <w:marRight w:val="0"/>
      <w:marTop w:val="0"/>
      <w:marBottom w:val="0"/>
      <w:divBdr>
        <w:top w:val="none" w:sz="0" w:space="0" w:color="auto"/>
        <w:left w:val="none" w:sz="0" w:space="0" w:color="auto"/>
        <w:bottom w:val="none" w:sz="0" w:space="0" w:color="auto"/>
        <w:right w:val="none" w:sz="0" w:space="0" w:color="auto"/>
      </w:divBdr>
    </w:div>
    <w:div w:id="1698307948">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8604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132011.htm" TargetMode="External"/><Relationship Id="rId4" Type="http://schemas.microsoft.com/office/2007/relationships/stylesWithEffects" Target="stylesWithEffects.xml"/><Relationship Id="rId9" Type="http://schemas.openxmlformats.org/officeDocument/2006/relationships/hyperlink" Target="http://www.bls.gov/oes/current/oes43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1F46-80FF-416C-A9C3-8B42E41C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2017-06-22T18:46:00Z</cp:lastPrinted>
  <dcterms:created xsi:type="dcterms:W3CDTF">2018-04-25T20:51:00Z</dcterms:created>
  <dcterms:modified xsi:type="dcterms:W3CDTF">2018-04-25T20:51:00Z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-1082352191</vt:i4>
  </property>
  <property fmtid="{D5CDD505-2E9C-101B-9397-08002B2CF9AE}" pid="4" name="_EmailSubject">
    <vt:lpwstr>CMS-222-17; OMB: 0938-0107</vt:lpwstr>
  </property>
  <property fmtid="{D5CDD505-2E9C-101B-9397-08002B2CF9AE}" pid="5" name="_AuthorEmail">
    <vt:lpwstr>Deanna.Rhodes@cms.hhs.gov</vt:lpwstr>
  </property>
  <property fmtid="{D5CDD505-2E9C-101B-9397-08002B2CF9AE}" pid="6" name="_AuthorEmailDisplayName">
    <vt:lpwstr>Rhodes, Deanna M.(CMS/CM)</vt:lpwstr>
  </property>
  <property fmtid="{D5CDD505-2E9C-101B-9397-08002B2CF9AE}" pid="7" name="_PreviousAdHocReviewCycleID">
    <vt:i4>-1662161520</vt:i4>
  </property>
  <property fmtid="{D5CDD505-2E9C-101B-9397-08002B2CF9AE}" pid="8" name="_ReviewingToolsShownOnce">
    <vt:lpwstr/>
  </property>
</Properties>
</file>