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B2" w:rsidRPr="00EB50DA" w:rsidRDefault="003345B2" w:rsidP="00EB50DA">
      <w:pPr>
        <w:spacing w:after="0" w:line="240" w:lineRule="auto"/>
        <w:rPr>
          <w:rFonts w:ascii="Times New Roman" w:hAnsi="Times New Roman" w:cs="Times New Roman"/>
          <w:sz w:val="24"/>
          <w:szCs w:val="24"/>
        </w:rPr>
      </w:pPr>
      <w:bookmarkStart w:id="0" w:name="_GoBack"/>
      <w:bookmarkEnd w:id="0"/>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r:id="rId5" w:history="1">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003345B2" w:rsidRPr="00EB50DA" w:rsidRDefault="003345B2" w:rsidP="00EB50DA">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expand the utilization of evidence-based prevention and health promotion approaches in the workplace, the Director shall—</w:t>
      </w: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(1) provide employers (including small, medium, and large employers, as determined by the Director) with technical assistance, consultation, tools, and other resources in evaluating such employers’ employer-based wellness programs, including—</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(A) measuring the participation and methods to increase participation of employees in such programs;</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003345B2" w:rsidRPr="00EB50DA" w:rsidRDefault="003345B2" w:rsidP="00EB50DA">
      <w:pPr>
        <w:spacing w:after="0" w:line="240" w:lineRule="auto"/>
        <w:rPr>
          <w:rFonts w:ascii="Times New Roman" w:hAnsi="Times New Roman" w:cs="Times New Roman"/>
          <w:sz w:val="24"/>
          <w:szCs w:val="24"/>
        </w:rPr>
      </w:pP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(2) build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 as added and amended Pub. L. 111–148, title IV, §4303, title X, §10404, Mar. 23, 2010, 124 Stat. 583, 975.)</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Amendments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b/>
          <w:bCs/>
        </w:rPr>
        <w:t>2010</w:t>
      </w:r>
      <w:r w:rsidRPr="00EB50DA">
        <w:rPr>
          <w:rFonts w:ascii="Times New Roman" w:hAnsi="Times New Roman" w:cs="Times New Roman"/>
        </w:rPr>
        <w:t>—Par. (2). Pub. L. 111–148, §10404, substituted “and ensuring” for “by ensuring”.</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Grants for Small Businesses To Provide Comprehensive Workplace Wellness Programs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Pub. L. 111–148, title X, §10408, Mar. 23, 2010, 124 Stat. 977, provided that:</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“(a) Establishment.—The Secretary shall award grants to eligible employers to provide their employees with access to comprehensive workplace wellness programs (as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“(b) Scope.—</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Duration.—The grant program established under this section shall be conducted for a 5-year period.</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Eligible employer.—The term ‘eligible employer’ means an employer (including a non-profit employer) that—</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employs less than 100 employees who work 25 hours or greater per week; and</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does not provide a workplace wellness program as of the date of enactment of this Act [Mar. 23, 2010].</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“(c) Comprehensive Workplace Wellness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lastRenderedPageBreak/>
        <w:t>“(1) Criteria.—The Secretary shall develop program criteria for comprehensive workplace wellness programs under this section that are based on and consistent with evidence-based research and best practices, including research and practices as provided in the Guide to Community Preventive Services, the Guide to Clinical Preventive Services, and the National Registry for Effective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Requirements.—A comprehensive workplace wellness program shall be made available by an eligible employer to all employees and include the following components: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Health awareness initiatives (including health education, preventive screenings, and health risk assessments).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Efforts to maximize employee engagement (including mechanisms to encourage employee participation).</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“(C) Initiatives to change unhealthy behaviors and lifestyle choices (including counseling, seminars, online programs, and self-help materials).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“(D) Supportive environment efforts (including workplace policies to encourage healthy lifestyles, healthy eating, increased physical activity, and improved mental health).</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“(d) Application.—An eligible employer desiring to participate in the grant program under this section shall submit an application to the Secretary, in such manner and containing such information as the Secretary may require, which shall include a proposal for a comprehensive workplace wellness program that meet [sic] the criteria and requirements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“(e) Authorization of Appropriation.—For purposes of carrying out the grant program under this section, there is authorized to be appropriated $200,000,000 for the period of fiscal years 2011 through 2015. Amounts appropriated pursuant to this subsection shall remain available until expended.”</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–1. National worksite health policies and programs study</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(a) In general</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assess, analyze, and monitor over time data about workplace policies and programs, and to develop instruments to assess and evaluate comprehensive workplace chronic disease prevention and health promotion programs, policies and practices, not later than 2 years after March 23, 2010, and at regular intervals (to be determined by the Director) thereafter, the Director shall conduct a national worksite health policies and programs survey to assess employer-based health policies and programs.</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(b) Report</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Upon the completion of each study under subsection (a), the Director shall submit to Congress a report that includes the recommendations of the Director for the implementation of effective employer-based health policies and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§399MM–1,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–2. Prioritization of evaluation by Secretary</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The Secretary shall evaluate, in accordance with this part, all programs funded through the Centers for Disease Control and Prevention before conducting such an evaluation of privately funded programs unless an entity with a privately funded wellness program requests such an evaluation.</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§399MM–2,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–3. Prohibition of Federal workplace wellness requirements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Notwithstanding any other provision of this part, any recommendations, data, or assessments carried out under this part shall not be used to mandate requirements for workplace wellness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§399MM–3, as added Pub. L. 111–148, title IV, §4303, Mar. 23, 2010, 124 Stat. 583.)</w:t>
      </w:r>
    </w:p>
    <w:p w:rsidR="003345B2" w:rsidRDefault="003345B2"/>
    <w:sectPr w:rsidR="003345B2"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DA"/>
    <w:rsid w:val="00003FB8"/>
    <w:rsid w:val="000F48F6"/>
    <w:rsid w:val="001005C4"/>
    <w:rsid w:val="003345B2"/>
    <w:rsid w:val="0040309D"/>
    <w:rsid w:val="00471E81"/>
    <w:rsid w:val="005C0C80"/>
    <w:rsid w:val="006C3BEA"/>
    <w:rsid w:val="007A6537"/>
    <w:rsid w:val="00A4168B"/>
    <w:rsid w:val="00E76744"/>
    <w:rsid w:val="00E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SYSTEM</cp:lastModifiedBy>
  <cp:revision>2</cp:revision>
  <dcterms:created xsi:type="dcterms:W3CDTF">2017-09-26T18:34:00Z</dcterms:created>
  <dcterms:modified xsi:type="dcterms:W3CDTF">2017-09-26T18:34:00Z</dcterms:modified>
</cp:coreProperties>
</file>