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27F58" w14:textId="77777777" w:rsidR="00BA1A0C" w:rsidRPr="00C45431" w:rsidRDefault="009B3794" w:rsidP="00425DE4">
      <w:pPr>
        <w:tabs>
          <w:tab w:val="center" w:pos="4680"/>
        </w:tabs>
        <w:spacing w:before="120"/>
        <w:jc w:val="center"/>
        <w:rPr>
          <w:rFonts w:ascii="Arial" w:hAnsi="Arial" w:cs="Arial"/>
          <w:b/>
          <w:bCs/>
          <w:sz w:val="32"/>
          <w:szCs w:val="32"/>
        </w:rPr>
      </w:pPr>
      <w:bookmarkStart w:id="0" w:name="_GoBack"/>
      <w:bookmarkEnd w:id="0"/>
      <w:r w:rsidRPr="00C45431">
        <w:rPr>
          <w:rFonts w:ascii="Arial" w:hAnsi="Arial" w:cs="Arial"/>
          <w:b/>
          <w:bCs/>
          <w:sz w:val="32"/>
          <w:szCs w:val="32"/>
        </w:rPr>
        <w:t xml:space="preserve">Supporting Statement </w:t>
      </w:r>
      <w:r w:rsidR="00BA1A0C" w:rsidRPr="00C45431">
        <w:rPr>
          <w:rFonts w:ascii="Arial" w:hAnsi="Arial" w:cs="Arial"/>
          <w:b/>
          <w:bCs/>
          <w:sz w:val="32"/>
          <w:szCs w:val="32"/>
        </w:rPr>
        <w:t>A</w:t>
      </w:r>
    </w:p>
    <w:p w14:paraId="2CE27F59" w14:textId="77777777" w:rsidR="00BA1A0C" w:rsidRPr="00C45431" w:rsidRDefault="00BA1A0C" w:rsidP="00425DE4">
      <w:pPr>
        <w:tabs>
          <w:tab w:val="center" w:pos="4680"/>
        </w:tabs>
        <w:spacing w:before="120"/>
        <w:jc w:val="center"/>
        <w:rPr>
          <w:rFonts w:ascii="Arial" w:hAnsi="Arial" w:cs="Arial"/>
          <w:b/>
          <w:bCs/>
          <w:sz w:val="32"/>
          <w:szCs w:val="32"/>
        </w:rPr>
      </w:pPr>
    </w:p>
    <w:p w14:paraId="2CE27F5B" w14:textId="6143C13F" w:rsidR="00BA1A0C" w:rsidRDefault="00425DE4" w:rsidP="00425DE4">
      <w:pPr>
        <w:tabs>
          <w:tab w:val="center" w:pos="4680"/>
        </w:tabs>
        <w:spacing w:before="120"/>
        <w:jc w:val="center"/>
        <w:rPr>
          <w:rFonts w:ascii="Arial" w:hAnsi="Arial" w:cs="Arial"/>
          <w:b/>
          <w:bCs/>
          <w:sz w:val="32"/>
          <w:szCs w:val="32"/>
        </w:rPr>
      </w:pPr>
      <w:r w:rsidRPr="00425DE4">
        <w:rPr>
          <w:rFonts w:ascii="Arial" w:hAnsi="Arial" w:cs="Arial"/>
          <w:b/>
          <w:bCs/>
          <w:i/>
          <w:sz w:val="32"/>
          <w:szCs w:val="32"/>
        </w:rPr>
        <w:t>Poison Help</w:t>
      </w:r>
      <w:r w:rsidR="00FF539A" w:rsidRPr="00FF539A">
        <w:rPr>
          <w:rFonts w:ascii="Arial" w:hAnsi="Arial" w:cs="Arial"/>
          <w:b/>
          <w:bCs/>
          <w:sz w:val="32"/>
          <w:szCs w:val="32"/>
        </w:rPr>
        <w:t xml:space="preserve"> Campaign General Population Survey</w:t>
      </w:r>
    </w:p>
    <w:p w14:paraId="7F17EA4F" w14:textId="77777777" w:rsidR="00FF539A" w:rsidRPr="00C45431" w:rsidRDefault="00FF539A" w:rsidP="00425DE4">
      <w:pPr>
        <w:tabs>
          <w:tab w:val="center" w:pos="4680"/>
        </w:tabs>
        <w:spacing w:before="120"/>
        <w:jc w:val="center"/>
        <w:rPr>
          <w:rFonts w:ascii="Arial" w:hAnsi="Arial" w:cs="Arial"/>
          <w:b/>
          <w:bCs/>
          <w:sz w:val="32"/>
          <w:szCs w:val="32"/>
        </w:rPr>
      </w:pPr>
    </w:p>
    <w:p w14:paraId="2CE27F5C" w14:textId="0B089C84" w:rsidR="00BA1A0C" w:rsidRPr="00C45431" w:rsidRDefault="00FD2350" w:rsidP="00425DE4">
      <w:pPr>
        <w:tabs>
          <w:tab w:val="center" w:pos="4680"/>
        </w:tabs>
        <w:spacing w:before="120"/>
        <w:jc w:val="center"/>
        <w:rPr>
          <w:rFonts w:ascii="Arial" w:hAnsi="Arial" w:cs="Arial"/>
          <w:b/>
          <w:bCs/>
          <w:sz w:val="32"/>
          <w:szCs w:val="32"/>
        </w:rPr>
      </w:pPr>
      <w:r w:rsidRPr="00FD2350">
        <w:rPr>
          <w:rFonts w:ascii="Arial" w:hAnsi="Arial" w:cs="Arial"/>
          <w:b/>
          <w:bCs/>
          <w:sz w:val="32"/>
          <w:szCs w:val="32"/>
        </w:rPr>
        <w:t xml:space="preserve">OMB Control No. </w:t>
      </w:r>
      <w:r w:rsidR="00BA1A0C" w:rsidRPr="00FD2350">
        <w:rPr>
          <w:rFonts w:ascii="Arial" w:hAnsi="Arial" w:cs="Arial"/>
          <w:b/>
          <w:bCs/>
          <w:sz w:val="32"/>
          <w:szCs w:val="32"/>
        </w:rPr>
        <w:t>09</w:t>
      </w:r>
      <w:r w:rsidR="00E34A1F" w:rsidRPr="00FD2350">
        <w:rPr>
          <w:rFonts w:ascii="Arial" w:hAnsi="Arial" w:cs="Arial"/>
          <w:b/>
          <w:bCs/>
          <w:sz w:val="32"/>
          <w:szCs w:val="32"/>
        </w:rPr>
        <w:t>15</w:t>
      </w:r>
      <w:r w:rsidR="00BA1A0C" w:rsidRPr="00FD2350">
        <w:rPr>
          <w:rFonts w:ascii="Arial" w:hAnsi="Arial" w:cs="Arial"/>
          <w:b/>
          <w:bCs/>
          <w:sz w:val="32"/>
          <w:szCs w:val="32"/>
        </w:rPr>
        <w:t>-</w:t>
      </w:r>
      <w:r w:rsidRPr="00FD2350">
        <w:rPr>
          <w:rFonts w:ascii="Arial" w:hAnsi="Arial" w:cs="Arial"/>
          <w:b/>
          <w:bCs/>
          <w:sz w:val="32"/>
          <w:szCs w:val="32"/>
        </w:rPr>
        <w:t xml:space="preserve">0343 - </w:t>
      </w:r>
      <w:r w:rsidR="00DA5070">
        <w:rPr>
          <w:rFonts w:ascii="Arial" w:hAnsi="Arial" w:cs="Arial"/>
          <w:b/>
          <w:bCs/>
          <w:sz w:val="32"/>
          <w:szCs w:val="32"/>
        </w:rPr>
        <w:t>Re</w:t>
      </w:r>
      <w:r w:rsidR="000A3051">
        <w:rPr>
          <w:rFonts w:ascii="Arial" w:hAnsi="Arial" w:cs="Arial"/>
          <w:b/>
          <w:bCs/>
          <w:sz w:val="32"/>
          <w:szCs w:val="32"/>
        </w:rPr>
        <w:t>instatement</w:t>
      </w:r>
      <w:r w:rsidR="00DA5070">
        <w:rPr>
          <w:rFonts w:ascii="Arial" w:hAnsi="Arial" w:cs="Arial"/>
          <w:b/>
          <w:bCs/>
          <w:sz w:val="32"/>
          <w:szCs w:val="32"/>
        </w:rPr>
        <w:t xml:space="preserve"> </w:t>
      </w:r>
    </w:p>
    <w:p w14:paraId="6D5447FE" w14:textId="77777777" w:rsidR="000A3051" w:rsidRDefault="000A3051" w:rsidP="000A3051">
      <w:pPr>
        <w:rPr>
          <w:highlight w:val="yellow"/>
        </w:rPr>
      </w:pPr>
    </w:p>
    <w:p w14:paraId="14DCCCFA" w14:textId="77777777" w:rsidR="000A3051" w:rsidRDefault="000A3051" w:rsidP="000A3051">
      <w:pPr>
        <w:rPr>
          <w:highlight w:val="yellow"/>
        </w:rPr>
      </w:pPr>
    </w:p>
    <w:p w14:paraId="2BFC9596" w14:textId="1A178F2F" w:rsidR="000A3051" w:rsidRPr="000A3051" w:rsidRDefault="000A3051" w:rsidP="000A3051">
      <w:pPr>
        <w:rPr>
          <w:rFonts w:ascii="Arial" w:hAnsi="Arial" w:cs="Arial"/>
          <w:b/>
          <w:sz w:val="24"/>
        </w:rPr>
      </w:pPr>
      <w:r w:rsidRPr="000A3051">
        <w:rPr>
          <w:rFonts w:ascii="Arial" w:hAnsi="Arial" w:cs="Arial"/>
          <w:sz w:val="24"/>
          <w:highlight w:val="yellow"/>
        </w:rPr>
        <w:t>Highlighted text is the information changed from the original request</w:t>
      </w:r>
      <w:r w:rsidRPr="000A3051">
        <w:rPr>
          <w:rFonts w:ascii="Arial" w:hAnsi="Arial" w:cs="Arial"/>
          <w:sz w:val="24"/>
        </w:rPr>
        <w:t>.</w:t>
      </w:r>
    </w:p>
    <w:p w14:paraId="537DDF06" w14:textId="77777777" w:rsidR="000A3051" w:rsidRPr="00C45431" w:rsidRDefault="000A3051" w:rsidP="000A3051">
      <w:pPr>
        <w:tabs>
          <w:tab w:val="center" w:pos="4680"/>
        </w:tabs>
        <w:rPr>
          <w:rFonts w:ascii="Arial" w:hAnsi="Arial" w:cs="Arial"/>
          <w:b/>
          <w:bCs/>
          <w:sz w:val="32"/>
          <w:szCs w:val="32"/>
        </w:rPr>
      </w:pPr>
    </w:p>
    <w:p w14:paraId="377D9B54" w14:textId="3DE23A61" w:rsidR="00FD2350" w:rsidRDefault="000A3051" w:rsidP="000A3051">
      <w:pPr>
        <w:rPr>
          <w:rFonts w:ascii="Arial" w:hAnsi="Arial" w:cs="Arial"/>
          <w:sz w:val="24"/>
        </w:rPr>
      </w:pPr>
      <w:r>
        <w:rPr>
          <w:rFonts w:ascii="Arial" w:hAnsi="Arial" w:cs="Arial"/>
          <w:b/>
          <w:sz w:val="24"/>
        </w:rPr>
        <w:t xml:space="preserve">Terms of Clearance: </w:t>
      </w:r>
      <w:r w:rsidR="00FD2350" w:rsidRPr="00FA1A42">
        <w:rPr>
          <w:rFonts w:ascii="Arial" w:hAnsi="Arial" w:cs="Arial"/>
          <w:sz w:val="24"/>
        </w:rPr>
        <w:t>None.</w:t>
      </w:r>
    </w:p>
    <w:p w14:paraId="62EF0889" w14:textId="77777777" w:rsidR="000A3051" w:rsidRPr="00967DE2" w:rsidRDefault="000A3051" w:rsidP="000A3051">
      <w:pPr>
        <w:rPr>
          <w:rFonts w:ascii="Arial" w:hAnsi="Arial" w:cs="Arial"/>
          <w:sz w:val="24"/>
        </w:rPr>
      </w:pPr>
    </w:p>
    <w:p w14:paraId="2CE27F60" w14:textId="77777777" w:rsidR="009B3794" w:rsidRPr="00C45431" w:rsidRDefault="009B3794" w:rsidP="00425DE4">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2CE27F61" w14:textId="77777777" w:rsidR="009B3794" w:rsidRPr="00FF539A" w:rsidRDefault="009B3794" w:rsidP="00425DE4">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14:paraId="36A25F80" w14:textId="77777777" w:rsidR="00FF539A" w:rsidRDefault="00FF539A" w:rsidP="00425DE4">
      <w:pPr>
        <w:pStyle w:val="P1-StandPara"/>
        <w:jc w:val="left"/>
        <w:rPr>
          <w:color w:val="FF0000"/>
        </w:rPr>
      </w:pPr>
    </w:p>
    <w:p w14:paraId="56CA7524" w14:textId="5B1BD318" w:rsidR="000A3051" w:rsidRDefault="000A3051" w:rsidP="00425DE4">
      <w:pPr>
        <w:pStyle w:val="P1-StandPara"/>
        <w:spacing w:line="240" w:lineRule="auto"/>
        <w:ind w:firstLine="0"/>
        <w:jc w:val="left"/>
        <w:rPr>
          <w:rFonts w:ascii="Arial" w:hAnsi="Arial" w:cs="Arial"/>
          <w:color w:val="000000" w:themeColor="text1"/>
          <w:sz w:val="24"/>
          <w:szCs w:val="24"/>
        </w:rPr>
      </w:pPr>
      <w:r w:rsidRPr="005F6EEA">
        <w:rPr>
          <w:rFonts w:ascii="Arial" w:hAnsi="Arial" w:cs="Arial"/>
          <w:color w:val="000000" w:themeColor="text1"/>
          <w:sz w:val="24"/>
          <w:szCs w:val="24"/>
          <w:highlight w:val="yellow"/>
        </w:rPr>
        <w:t xml:space="preserve">The Health Resources and Services Administration’s (HRSA) Healthcare Systems Bureau (HSB) requests to reinstate the </w:t>
      </w:r>
      <w:r w:rsidRPr="0001197D">
        <w:rPr>
          <w:rFonts w:ascii="Arial" w:hAnsi="Arial" w:cs="Arial"/>
          <w:i/>
          <w:color w:val="000000" w:themeColor="text1"/>
          <w:sz w:val="24"/>
          <w:szCs w:val="24"/>
          <w:highlight w:val="yellow"/>
        </w:rPr>
        <w:t xml:space="preserve">Poison </w:t>
      </w:r>
      <w:r w:rsidR="005F6EEA" w:rsidRPr="0001197D">
        <w:rPr>
          <w:rFonts w:ascii="Arial" w:hAnsi="Arial" w:cs="Arial"/>
          <w:i/>
          <w:color w:val="000000" w:themeColor="text1"/>
          <w:sz w:val="24"/>
          <w:szCs w:val="24"/>
          <w:highlight w:val="yellow"/>
        </w:rPr>
        <w:t>Help</w:t>
      </w:r>
      <w:r w:rsidR="005F6EEA" w:rsidRPr="005F6EEA">
        <w:rPr>
          <w:rFonts w:ascii="Arial" w:hAnsi="Arial" w:cs="Arial"/>
          <w:color w:val="000000" w:themeColor="text1"/>
          <w:sz w:val="24"/>
          <w:szCs w:val="24"/>
          <w:highlight w:val="yellow"/>
        </w:rPr>
        <w:t xml:space="preserve"> General Population Survey, OMB Number 0915-0343.  The survey was intended to be conducted every five years, and it was last administered in 2011.  Before re-administering the survey, HSB reviewed the survey and updated several of the questions; however, a majority of the survey questions remained unchanged.  Therefore, HSB would like to reinstate the previous information collection request instead of creating a new request.</w:t>
      </w:r>
      <w:r w:rsidR="005F6EEA">
        <w:rPr>
          <w:rFonts w:ascii="Arial" w:hAnsi="Arial" w:cs="Arial"/>
          <w:color w:val="000000" w:themeColor="text1"/>
          <w:sz w:val="24"/>
          <w:szCs w:val="24"/>
        </w:rPr>
        <w:t xml:space="preserve">  </w:t>
      </w:r>
    </w:p>
    <w:p w14:paraId="608C5436" w14:textId="77777777" w:rsidR="000A3051" w:rsidRDefault="000A3051" w:rsidP="00425DE4">
      <w:pPr>
        <w:pStyle w:val="P1-StandPara"/>
        <w:spacing w:line="240" w:lineRule="auto"/>
        <w:ind w:firstLine="0"/>
        <w:jc w:val="left"/>
        <w:rPr>
          <w:rFonts w:ascii="Arial" w:hAnsi="Arial" w:cs="Arial"/>
          <w:color w:val="000000" w:themeColor="text1"/>
          <w:sz w:val="24"/>
          <w:szCs w:val="24"/>
        </w:rPr>
      </w:pPr>
    </w:p>
    <w:p w14:paraId="6D0F739F" w14:textId="57CFFCB3" w:rsidR="00FF539A" w:rsidRPr="0048628B" w:rsidRDefault="0048628B" w:rsidP="00425DE4">
      <w:pPr>
        <w:pStyle w:val="P1-StandPara"/>
        <w:spacing w:line="240" w:lineRule="auto"/>
        <w:ind w:firstLine="0"/>
        <w:jc w:val="left"/>
        <w:rPr>
          <w:rFonts w:ascii="Arial" w:hAnsi="Arial" w:cs="Arial"/>
          <w:color w:val="000000" w:themeColor="text1"/>
          <w:sz w:val="24"/>
          <w:szCs w:val="24"/>
        </w:rPr>
      </w:pPr>
      <w:r w:rsidRPr="0048628B">
        <w:rPr>
          <w:rFonts w:ascii="Arial" w:hAnsi="Arial" w:cs="Arial"/>
          <w:color w:val="000000" w:themeColor="text1"/>
          <w:sz w:val="24"/>
          <w:szCs w:val="24"/>
        </w:rPr>
        <w:t xml:space="preserve">In </w:t>
      </w:r>
      <w:r w:rsidR="00FF539A" w:rsidRPr="0048628B">
        <w:rPr>
          <w:rFonts w:ascii="Arial" w:hAnsi="Arial" w:cs="Arial"/>
          <w:color w:val="000000" w:themeColor="text1"/>
          <w:sz w:val="24"/>
          <w:szCs w:val="24"/>
        </w:rPr>
        <w:t>January 2008, Congress passed the Poison Center Support, Enhancement, and Awareness Act of 2008 (Public Law 110-377)</w:t>
      </w:r>
      <w:r w:rsidR="005F6EEA">
        <w:rPr>
          <w:rFonts w:ascii="Arial" w:hAnsi="Arial" w:cs="Arial"/>
          <w:color w:val="000000" w:themeColor="text1"/>
          <w:sz w:val="24"/>
          <w:szCs w:val="24"/>
        </w:rPr>
        <w:t xml:space="preserve"> (Appendix A)</w:t>
      </w:r>
      <w:r w:rsidR="00FF539A" w:rsidRPr="0048628B">
        <w:rPr>
          <w:rFonts w:ascii="Arial" w:hAnsi="Arial" w:cs="Arial"/>
          <w:color w:val="000000" w:themeColor="text1"/>
          <w:sz w:val="24"/>
          <w:szCs w:val="24"/>
        </w:rPr>
        <w:t xml:space="preserve">, to amend the Public Health Service Act to reauthorize the poison center national toll-free </w:t>
      </w:r>
      <w:r w:rsidR="00B03BFB">
        <w:rPr>
          <w:rFonts w:ascii="Arial" w:hAnsi="Arial" w:cs="Arial"/>
          <w:color w:val="000000" w:themeColor="text1"/>
          <w:sz w:val="24"/>
          <w:szCs w:val="24"/>
        </w:rPr>
        <w:t>telephone number</w:t>
      </w:r>
      <w:r w:rsidR="00FF539A" w:rsidRPr="0048628B">
        <w:rPr>
          <w:rFonts w:ascii="Arial" w:hAnsi="Arial" w:cs="Arial"/>
          <w:color w:val="000000" w:themeColor="text1"/>
          <w:sz w:val="24"/>
          <w:szCs w:val="24"/>
        </w:rPr>
        <w:t>, national media campaign, and grant program to provide support for poison centers</w:t>
      </w:r>
      <w:r w:rsidR="00692436">
        <w:rPr>
          <w:rFonts w:ascii="Arial" w:hAnsi="Arial" w:cs="Arial"/>
          <w:color w:val="000000" w:themeColor="text1"/>
          <w:sz w:val="24"/>
          <w:szCs w:val="24"/>
        </w:rPr>
        <w:t>’</w:t>
      </w:r>
      <w:r w:rsidR="00FF539A" w:rsidRPr="0048628B">
        <w:rPr>
          <w:rFonts w:ascii="Arial" w:hAnsi="Arial" w:cs="Arial"/>
          <w:color w:val="000000" w:themeColor="text1"/>
          <w:sz w:val="24"/>
          <w:szCs w:val="24"/>
        </w:rPr>
        <w:t xml:space="preserve"> triage and treatment efforts.  Specifically, the act called for:</w:t>
      </w:r>
    </w:p>
    <w:p w14:paraId="04D39666" w14:textId="77777777" w:rsidR="00FF539A" w:rsidRPr="0048628B" w:rsidRDefault="00FF539A" w:rsidP="00425DE4">
      <w:pPr>
        <w:pStyle w:val="P1-StandPara"/>
        <w:spacing w:line="240" w:lineRule="auto"/>
        <w:jc w:val="left"/>
        <w:rPr>
          <w:rFonts w:ascii="Arial" w:hAnsi="Arial" w:cs="Arial"/>
          <w:color w:val="000000" w:themeColor="text1"/>
          <w:sz w:val="24"/>
          <w:szCs w:val="24"/>
        </w:rPr>
      </w:pPr>
    </w:p>
    <w:p w14:paraId="443D6F71" w14:textId="6D6FDF4D" w:rsidR="00FF539A" w:rsidRPr="0048628B" w:rsidRDefault="00FF539A" w:rsidP="00425DE4">
      <w:pPr>
        <w:pStyle w:val="N2-2ndBullet"/>
        <w:numPr>
          <w:ilvl w:val="0"/>
          <w:numId w:val="45"/>
        </w:numPr>
        <w:tabs>
          <w:tab w:val="clear" w:pos="1728"/>
        </w:tabs>
        <w:spacing w:line="240" w:lineRule="auto"/>
        <w:jc w:val="left"/>
        <w:rPr>
          <w:rFonts w:ascii="Arial" w:hAnsi="Arial" w:cs="Arial"/>
          <w:color w:val="000000" w:themeColor="text1"/>
          <w:sz w:val="24"/>
          <w:szCs w:val="24"/>
        </w:rPr>
      </w:pPr>
      <w:r w:rsidRPr="0048628B">
        <w:rPr>
          <w:rFonts w:ascii="Arial" w:hAnsi="Arial" w:cs="Arial"/>
          <w:color w:val="000000" w:themeColor="text1"/>
          <w:sz w:val="24"/>
          <w:szCs w:val="24"/>
        </w:rPr>
        <w:t xml:space="preserve">Reauthorization and maintenance of the </w:t>
      </w:r>
      <w:r w:rsidR="00425DE4" w:rsidRPr="00425DE4">
        <w:rPr>
          <w:rFonts w:ascii="Arial" w:hAnsi="Arial" w:cs="Arial"/>
          <w:i/>
          <w:color w:val="000000" w:themeColor="text1"/>
          <w:sz w:val="24"/>
          <w:szCs w:val="24"/>
        </w:rPr>
        <w:t>Poison Help</w:t>
      </w:r>
      <w:r w:rsidRPr="0048628B">
        <w:rPr>
          <w:rFonts w:ascii="Arial" w:hAnsi="Arial" w:cs="Arial"/>
          <w:color w:val="000000" w:themeColor="text1"/>
          <w:sz w:val="24"/>
          <w:szCs w:val="24"/>
        </w:rPr>
        <w:t xml:space="preserve"> line to access regional poison centers;</w:t>
      </w:r>
    </w:p>
    <w:p w14:paraId="03E91839" w14:textId="77777777" w:rsidR="00FF539A" w:rsidRPr="0048628B" w:rsidRDefault="00FF539A" w:rsidP="00425DE4">
      <w:pPr>
        <w:pStyle w:val="N2-2ndBullet"/>
        <w:numPr>
          <w:ilvl w:val="0"/>
          <w:numId w:val="45"/>
        </w:numPr>
        <w:tabs>
          <w:tab w:val="clear" w:pos="1728"/>
        </w:tabs>
        <w:spacing w:line="240" w:lineRule="auto"/>
        <w:jc w:val="left"/>
        <w:rPr>
          <w:rFonts w:ascii="Arial" w:hAnsi="Arial" w:cs="Arial"/>
          <w:color w:val="000000" w:themeColor="text1"/>
          <w:sz w:val="24"/>
          <w:szCs w:val="24"/>
        </w:rPr>
      </w:pPr>
      <w:r w:rsidRPr="0048628B">
        <w:rPr>
          <w:rFonts w:ascii="Arial" w:hAnsi="Arial" w:cs="Arial"/>
          <w:color w:val="000000" w:themeColor="text1"/>
          <w:sz w:val="24"/>
          <w:szCs w:val="24"/>
        </w:rPr>
        <w:t>Reauthorization of a nationwide media campaign about poison prevention and the availability of poison control resources in local communities; and,</w:t>
      </w:r>
    </w:p>
    <w:p w14:paraId="2052F1D7" w14:textId="77777777" w:rsidR="00FF539A" w:rsidRPr="0048628B" w:rsidRDefault="00FF539A" w:rsidP="00425DE4">
      <w:pPr>
        <w:pStyle w:val="N2-2ndBullet"/>
        <w:numPr>
          <w:ilvl w:val="0"/>
          <w:numId w:val="45"/>
        </w:numPr>
        <w:tabs>
          <w:tab w:val="clear" w:pos="1728"/>
        </w:tabs>
        <w:spacing w:line="240" w:lineRule="auto"/>
        <w:jc w:val="left"/>
        <w:rPr>
          <w:rFonts w:ascii="Arial" w:hAnsi="Arial" w:cs="Arial"/>
          <w:color w:val="000000" w:themeColor="text1"/>
          <w:sz w:val="24"/>
          <w:szCs w:val="24"/>
        </w:rPr>
      </w:pPr>
      <w:r w:rsidRPr="0048628B">
        <w:rPr>
          <w:rFonts w:ascii="Arial" w:hAnsi="Arial" w:cs="Arial"/>
          <w:color w:val="000000" w:themeColor="text1"/>
          <w:sz w:val="24"/>
          <w:szCs w:val="24"/>
        </w:rPr>
        <w:t>Reauthorization and maintenance of a grant program for certified regional poison centers for the purposes of preventing and providing treatment recommendations for poisonings and complying with the operational requirements needed to sustain certification.</w:t>
      </w:r>
    </w:p>
    <w:p w14:paraId="29148240" w14:textId="0405A25F" w:rsidR="00FF539A" w:rsidRPr="0048628B" w:rsidRDefault="00FF539A" w:rsidP="00425DE4">
      <w:pPr>
        <w:pStyle w:val="P1-StandPara"/>
        <w:spacing w:line="240" w:lineRule="auto"/>
        <w:ind w:firstLine="0"/>
        <w:jc w:val="left"/>
        <w:rPr>
          <w:rFonts w:ascii="Arial" w:hAnsi="Arial" w:cs="Arial"/>
          <w:color w:val="000000" w:themeColor="text1"/>
          <w:sz w:val="24"/>
          <w:szCs w:val="24"/>
        </w:rPr>
      </w:pPr>
      <w:r w:rsidRPr="0048628B">
        <w:rPr>
          <w:rFonts w:ascii="Arial" w:hAnsi="Arial" w:cs="Arial"/>
          <w:color w:val="000000" w:themeColor="text1"/>
          <w:sz w:val="24"/>
          <w:szCs w:val="24"/>
        </w:rPr>
        <w:lastRenderedPageBreak/>
        <w:t>The Health Resources and Services Administration’s (HRSA) Poison Control Program supports the aims of the Poison Control Center Support, Enhancement and Awareness Act of 2008.</w:t>
      </w:r>
    </w:p>
    <w:p w14:paraId="12D58D1F" w14:textId="77777777" w:rsidR="00FF539A" w:rsidRPr="0048628B" w:rsidRDefault="00FF539A" w:rsidP="00425DE4">
      <w:pPr>
        <w:pStyle w:val="P1-StandPara"/>
        <w:spacing w:line="240" w:lineRule="auto"/>
        <w:jc w:val="left"/>
        <w:rPr>
          <w:rFonts w:ascii="Arial" w:hAnsi="Arial" w:cs="Arial"/>
          <w:color w:val="000000" w:themeColor="text1"/>
          <w:sz w:val="24"/>
          <w:szCs w:val="24"/>
        </w:rPr>
      </w:pPr>
    </w:p>
    <w:p w14:paraId="259396C2" w14:textId="374E3BDF" w:rsidR="00FF539A" w:rsidRPr="0048628B" w:rsidRDefault="00FF539A" w:rsidP="00425DE4">
      <w:pPr>
        <w:pStyle w:val="P1-StandPara"/>
        <w:spacing w:line="240" w:lineRule="auto"/>
        <w:ind w:firstLine="0"/>
        <w:jc w:val="left"/>
        <w:rPr>
          <w:rFonts w:ascii="Arial" w:hAnsi="Arial" w:cs="Arial"/>
          <w:color w:val="000000" w:themeColor="text1"/>
          <w:sz w:val="24"/>
          <w:szCs w:val="24"/>
        </w:rPr>
      </w:pPr>
      <w:r w:rsidRPr="0048628B">
        <w:rPr>
          <w:rFonts w:ascii="Arial" w:hAnsi="Arial" w:cs="Arial"/>
          <w:color w:val="000000" w:themeColor="text1"/>
          <w:sz w:val="24"/>
          <w:szCs w:val="24"/>
        </w:rPr>
        <w:t xml:space="preserve">The toll-free </w:t>
      </w:r>
      <w:r w:rsidR="00B03BFB">
        <w:rPr>
          <w:rFonts w:ascii="Arial" w:hAnsi="Arial" w:cs="Arial"/>
          <w:color w:val="000000" w:themeColor="text1"/>
          <w:sz w:val="24"/>
          <w:szCs w:val="24"/>
        </w:rPr>
        <w:t>telephone number</w:t>
      </w:r>
      <w:r w:rsidRPr="0048628B">
        <w:rPr>
          <w:rFonts w:ascii="Arial" w:hAnsi="Arial" w:cs="Arial"/>
          <w:color w:val="000000" w:themeColor="text1"/>
          <w:sz w:val="24"/>
          <w:szCs w:val="24"/>
        </w:rPr>
        <w:t xml:space="preserve"> (1-800-222-1222) automatically connects callers to the poison center that serves their geographical area.  In this way, reaching a local poison center is simplified, thereby reducing confusion about how to quickly access help in potentially dangerous poisoning situations.  The nationwide toll-free </w:t>
      </w:r>
      <w:r w:rsidR="00B03BFB">
        <w:rPr>
          <w:rFonts w:ascii="Arial" w:hAnsi="Arial" w:cs="Arial"/>
          <w:color w:val="000000" w:themeColor="text1"/>
          <w:sz w:val="24"/>
          <w:szCs w:val="24"/>
        </w:rPr>
        <w:t>telephone number</w:t>
      </w:r>
      <w:r w:rsidRPr="0048628B">
        <w:rPr>
          <w:rFonts w:ascii="Arial" w:hAnsi="Arial" w:cs="Arial"/>
          <w:color w:val="000000" w:themeColor="text1"/>
          <w:sz w:val="24"/>
          <w:szCs w:val="24"/>
        </w:rPr>
        <w:t>, which was publicly launched at a press conference in January 2002, is publicized through national media outreach (including public service announcements) and individual poison centers’ community-level efforts</w:t>
      </w:r>
      <w:r w:rsidR="001E083E">
        <w:rPr>
          <w:rFonts w:ascii="Arial" w:hAnsi="Arial" w:cs="Arial"/>
          <w:color w:val="000000" w:themeColor="text1"/>
          <w:sz w:val="24"/>
          <w:szCs w:val="24"/>
        </w:rPr>
        <w:t xml:space="preserve">.  </w:t>
      </w:r>
      <w:r w:rsidRPr="0048628B">
        <w:rPr>
          <w:rFonts w:ascii="Arial" w:hAnsi="Arial" w:cs="Arial"/>
          <w:color w:val="000000" w:themeColor="text1"/>
          <w:sz w:val="24"/>
          <w:szCs w:val="24"/>
        </w:rPr>
        <w:t>HRSA’s public communication messages also address poisoning prevention and describe the role of poison centers and credentials of their staff.</w:t>
      </w:r>
    </w:p>
    <w:p w14:paraId="2A0B68AB" w14:textId="77777777" w:rsidR="00FF539A" w:rsidRPr="0048628B" w:rsidRDefault="00FF539A" w:rsidP="00425DE4">
      <w:pPr>
        <w:pStyle w:val="P1-StandPara"/>
        <w:spacing w:line="240" w:lineRule="auto"/>
        <w:jc w:val="left"/>
        <w:rPr>
          <w:rFonts w:ascii="Arial" w:hAnsi="Arial" w:cs="Arial"/>
          <w:color w:val="000000" w:themeColor="text1"/>
          <w:sz w:val="24"/>
          <w:szCs w:val="24"/>
        </w:rPr>
      </w:pPr>
    </w:p>
    <w:p w14:paraId="12BB39F2" w14:textId="76ECF0B6" w:rsidR="00FF539A" w:rsidRPr="0048628B" w:rsidRDefault="00FF539A" w:rsidP="00425DE4">
      <w:pPr>
        <w:pStyle w:val="P1-StandPara"/>
        <w:spacing w:line="240" w:lineRule="auto"/>
        <w:ind w:firstLine="0"/>
        <w:jc w:val="left"/>
        <w:rPr>
          <w:rFonts w:ascii="Arial" w:hAnsi="Arial" w:cs="Arial"/>
          <w:color w:val="000000" w:themeColor="text1"/>
          <w:sz w:val="24"/>
          <w:szCs w:val="24"/>
        </w:rPr>
      </w:pPr>
      <w:r w:rsidRPr="0048628B">
        <w:rPr>
          <w:rFonts w:ascii="Arial" w:hAnsi="Arial" w:cs="Arial"/>
          <w:color w:val="000000" w:themeColor="text1"/>
          <w:sz w:val="24"/>
          <w:szCs w:val="24"/>
        </w:rPr>
        <w:t xml:space="preserve">The </w:t>
      </w:r>
      <w:r w:rsidR="00425DE4" w:rsidRPr="00425DE4">
        <w:rPr>
          <w:rFonts w:ascii="Arial" w:hAnsi="Arial" w:cs="Arial"/>
          <w:i/>
          <w:color w:val="000000" w:themeColor="text1"/>
          <w:sz w:val="24"/>
          <w:szCs w:val="24"/>
        </w:rPr>
        <w:t>Poison Help</w:t>
      </w:r>
      <w:r w:rsidRPr="0048628B">
        <w:rPr>
          <w:rFonts w:ascii="Arial" w:hAnsi="Arial" w:cs="Arial"/>
          <w:i/>
          <w:color w:val="000000" w:themeColor="text1"/>
          <w:sz w:val="24"/>
          <w:szCs w:val="24"/>
        </w:rPr>
        <w:t xml:space="preserve"> </w:t>
      </w:r>
      <w:r w:rsidRPr="0048628B">
        <w:rPr>
          <w:rFonts w:ascii="Arial" w:hAnsi="Arial" w:cs="Arial"/>
          <w:color w:val="000000" w:themeColor="text1"/>
          <w:sz w:val="24"/>
          <w:szCs w:val="24"/>
        </w:rPr>
        <w:t xml:space="preserve">campaign is the vehicle for introducing the national toll-free </w:t>
      </w:r>
      <w:r w:rsidR="00B03BFB">
        <w:rPr>
          <w:rFonts w:ascii="Arial" w:hAnsi="Arial" w:cs="Arial"/>
          <w:color w:val="000000" w:themeColor="text1"/>
          <w:sz w:val="24"/>
          <w:szCs w:val="24"/>
        </w:rPr>
        <w:t>telephone number</w:t>
      </w:r>
      <w:r w:rsidRPr="0048628B">
        <w:rPr>
          <w:rFonts w:ascii="Arial" w:hAnsi="Arial" w:cs="Arial"/>
          <w:color w:val="000000" w:themeColor="text1"/>
          <w:sz w:val="24"/>
          <w:szCs w:val="24"/>
        </w:rPr>
        <w:t xml:space="preserve"> for use in poisoning emergencies and providing poison prevention information to all age groups and audience segments.  The overarching goals for the campaign are to raise awareness of the national toll-free </w:t>
      </w:r>
      <w:r w:rsidR="00B03BFB">
        <w:rPr>
          <w:rFonts w:ascii="Arial" w:hAnsi="Arial" w:cs="Arial"/>
          <w:color w:val="000000" w:themeColor="text1"/>
          <w:sz w:val="24"/>
          <w:szCs w:val="24"/>
        </w:rPr>
        <w:t>telephone number</w:t>
      </w:r>
      <w:r w:rsidRPr="0048628B">
        <w:rPr>
          <w:rFonts w:ascii="Arial" w:hAnsi="Arial" w:cs="Arial"/>
          <w:color w:val="000000" w:themeColor="text1"/>
          <w:sz w:val="24"/>
          <w:szCs w:val="24"/>
        </w:rPr>
        <w:t xml:space="preserve"> to levels on par with 911 and 411 and to increase awareness of the availability of poison center services.  Campaign messages and activities promote awareness of the national toll-free </w:t>
      </w:r>
      <w:r w:rsidR="00B03BFB">
        <w:rPr>
          <w:rFonts w:ascii="Arial" w:hAnsi="Arial" w:cs="Arial"/>
          <w:color w:val="000000" w:themeColor="text1"/>
          <w:sz w:val="24"/>
          <w:szCs w:val="24"/>
        </w:rPr>
        <w:t>telephone number</w:t>
      </w:r>
      <w:r w:rsidRPr="0048628B">
        <w:rPr>
          <w:rFonts w:ascii="Arial" w:hAnsi="Arial" w:cs="Arial"/>
          <w:color w:val="000000" w:themeColor="text1"/>
          <w:sz w:val="24"/>
          <w:szCs w:val="24"/>
        </w:rPr>
        <w:t xml:space="preserve">, the role poison centers play and the services they provide in disseminating poison information and treatment advice in poisoning emergencies.  Campaign activities include national and regional media exposure and national and community partnerships.  </w:t>
      </w:r>
    </w:p>
    <w:p w14:paraId="33AAB9E1" w14:textId="77777777" w:rsidR="00FF539A" w:rsidRPr="0048628B" w:rsidRDefault="00FF539A" w:rsidP="00425DE4">
      <w:pPr>
        <w:pStyle w:val="P1-StandPara"/>
        <w:spacing w:line="240" w:lineRule="auto"/>
        <w:jc w:val="left"/>
        <w:rPr>
          <w:rFonts w:ascii="Arial" w:hAnsi="Arial" w:cs="Arial"/>
          <w:color w:val="000000" w:themeColor="text1"/>
          <w:sz w:val="24"/>
          <w:szCs w:val="24"/>
        </w:rPr>
      </w:pPr>
    </w:p>
    <w:p w14:paraId="37A9B2B9" w14:textId="3D1322C8" w:rsidR="00FF539A" w:rsidRPr="0048628B" w:rsidRDefault="00FF539A" w:rsidP="00425DE4">
      <w:pPr>
        <w:pStyle w:val="P1-StandPara"/>
        <w:spacing w:line="240" w:lineRule="auto"/>
        <w:ind w:firstLine="0"/>
        <w:jc w:val="left"/>
        <w:rPr>
          <w:rFonts w:ascii="Arial" w:hAnsi="Arial" w:cs="Arial"/>
          <w:color w:val="000000" w:themeColor="text1"/>
          <w:sz w:val="24"/>
          <w:szCs w:val="24"/>
        </w:rPr>
      </w:pPr>
      <w:r w:rsidRPr="0048628B">
        <w:rPr>
          <w:rFonts w:ascii="Arial" w:hAnsi="Arial" w:cs="Arial"/>
          <w:color w:val="000000" w:themeColor="text1"/>
          <w:sz w:val="24"/>
          <w:szCs w:val="24"/>
        </w:rPr>
        <w:t xml:space="preserve">The prospective audience for the </w:t>
      </w:r>
      <w:r w:rsidR="00425DE4" w:rsidRPr="00425DE4">
        <w:rPr>
          <w:rFonts w:ascii="Arial" w:hAnsi="Arial" w:cs="Arial"/>
          <w:i/>
          <w:color w:val="000000" w:themeColor="text1"/>
          <w:sz w:val="24"/>
          <w:szCs w:val="24"/>
        </w:rPr>
        <w:t>Poison Help</w:t>
      </w:r>
      <w:r w:rsidRPr="0048628B">
        <w:rPr>
          <w:rFonts w:ascii="Arial" w:hAnsi="Arial" w:cs="Arial"/>
          <w:i/>
          <w:color w:val="000000" w:themeColor="text1"/>
          <w:sz w:val="24"/>
          <w:szCs w:val="24"/>
        </w:rPr>
        <w:t xml:space="preserve"> </w:t>
      </w:r>
      <w:r w:rsidRPr="0048628B">
        <w:rPr>
          <w:rFonts w:ascii="Arial" w:hAnsi="Arial" w:cs="Arial"/>
          <w:color w:val="000000" w:themeColor="text1"/>
          <w:sz w:val="24"/>
          <w:szCs w:val="24"/>
        </w:rPr>
        <w:t>campaign is very broad—any person at any time is a potential user of poison center services.  Severe and even fatal unintentional poisonings can occur from common products found in most households such as medications, cleaning products, windshield washer solution, lighter fluid, and paint thinner.  Poisons can also be encountered outside from insects, berries, and some varieties of plants.  People who have taken the wrong amount or the wrong medication, been</w:t>
      </w:r>
      <w:r w:rsidR="00B96A3F">
        <w:rPr>
          <w:rFonts w:ascii="Arial" w:hAnsi="Arial" w:cs="Arial"/>
          <w:color w:val="000000" w:themeColor="text1"/>
          <w:sz w:val="24"/>
          <w:szCs w:val="24"/>
        </w:rPr>
        <w:t xml:space="preserve"> stung or bitten by insects,</w:t>
      </w:r>
      <w:r w:rsidR="00CF7BD0">
        <w:rPr>
          <w:rFonts w:ascii="Arial" w:hAnsi="Arial" w:cs="Arial"/>
          <w:color w:val="000000" w:themeColor="text1"/>
          <w:sz w:val="24"/>
          <w:szCs w:val="24"/>
        </w:rPr>
        <w:t xml:space="preserve"> or</w:t>
      </w:r>
      <w:r w:rsidR="00B96A3F">
        <w:rPr>
          <w:rFonts w:ascii="Arial" w:hAnsi="Arial" w:cs="Arial"/>
          <w:color w:val="000000" w:themeColor="text1"/>
          <w:sz w:val="24"/>
          <w:szCs w:val="24"/>
        </w:rPr>
        <w:t xml:space="preserve"> </w:t>
      </w:r>
      <w:r w:rsidRPr="0048628B">
        <w:rPr>
          <w:rFonts w:ascii="Arial" w:hAnsi="Arial" w:cs="Arial"/>
          <w:color w:val="000000" w:themeColor="text1"/>
          <w:sz w:val="24"/>
          <w:szCs w:val="24"/>
        </w:rPr>
        <w:t xml:space="preserve">accidentally ingested a household cleaning product are all potential users of the national toll-free </w:t>
      </w:r>
      <w:r w:rsidR="00B03BFB">
        <w:rPr>
          <w:rFonts w:ascii="Arial" w:hAnsi="Arial" w:cs="Arial"/>
          <w:color w:val="000000" w:themeColor="text1"/>
          <w:sz w:val="24"/>
          <w:szCs w:val="24"/>
        </w:rPr>
        <w:t>telephone number</w:t>
      </w:r>
      <w:r w:rsidRPr="0048628B">
        <w:rPr>
          <w:rFonts w:ascii="Arial" w:hAnsi="Arial" w:cs="Arial"/>
          <w:color w:val="000000" w:themeColor="text1"/>
          <w:sz w:val="24"/>
          <w:szCs w:val="24"/>
        </w:rPr>
        <w:t xml:space="preserve"> to access poison control services.  Important target audiences include special populations who are traditionally underserved, such as African American and Latino populations, and those needing specialized services from their poison centers, such as non-English speakers and senior citizens.  </w:t>
      </w:r>
    </w:p>
    <w:p w14:paraId="043A2FB6" w14:textId="77777777" w:rsidR="00FF539A" w:rsidRPr="0048628B" w:rsidRDefault="00FF539A" w:rsidP="00425DE4">
      <w:pPr>
        <w:pStyle w:val="P1-StandPara"/>
        <w:spacing w:line="240" w:lineRule="auto"/>
        <w:jc w:val="left"/>
        <w:rPr>
          <w:rFonts w:ascii="Arial" w:hAnsi="Arial" w:cs="Arial"/>
          <w:color w:val="000000" w:themeColor="text1"/>
          <w:sz w:val="24"/>
          <w:szCs w:val="24"/>
        </w:rPr>
      </w:pPr>
    </w:p>
    <w:p w14:paraId="47451E0D" w14:textId="55413A76" w:rsidR="00FF539A" w:rsidRPr="0048628B" w:rsidRDefault="00FF539A" w:rsidP="00425DE4">
      <w:pPr>
        <w:pStyle w:val="P1-StandPara"/>
        <w:spacing w:line="240" w:lineRule="auto"/>
        <w:ind w:firstLine="0"/>
        <w:jc w:val="left"/>
        <w:rPr>
          <w:rFonts w:ascii="Arial" w:hAnsi="Arial" w:cs="Arial"/>
          <w:color w:val="000000" w:themeColor="text1"/>
          <w:sz w:val="24"/>
          <w:szCs w:val="24"/>
        </w:rPr>
      </w:pPr>
      <w:r w:rsidRPr="0048628B">
        <w:rPr>
          <w:rFonts w:ascii="Arial" w:hAnsi="Arial" w:cs="Arial"/>
          <w:color w:val="000000" w:themeColor="text1"/>
          <w:sz w:val="24"/>
          <w:szCs w:val="24"/>
        </w:rPr>
        <w:t xml:space="preserve">In 2003, HRSA provided the Centers for Disease Control and Prevention (CDC) with funding to contract for the design and implementation of a survey to gauge the </w:t>
      </w:r>
      <w:r w:rsidR="00425DE4" w:rsidRPr="00425DE4">
        <w:rPr>
          <w:rFonts w:ascii="Arial" w:hAnsi="Arial" w:cs="Arial"/>
          <w:i/>
          <w:color w:val="000000" w:themeColor="text1"/>
          <w:sz w:val="24"/>
          <w:szCs w:val="24"/>
        </w:rPr>
        <w:t>Poison Help</w:t>
      </w:r>
      <w:r w:rsidRPr="0048628B">
        <w:rPr>
          <w:rFonts w:ascii="Arial" w:hAnsi="Arial" w:cs="Arial"/>
          <w:i/>
          <w:color w:val="000000" w:themeColor="text1"/>
          <w:sz w:val="24"/>
          <w:szCs w:val="24"/>
        </w:rPr>
        <w:t xml:space="preserve"> </w:t>
      </w:r>
      <w:r w:rsidRPr="0048628B">
        <w:rPr>
          <w:rFonts w:ascii="Arial" w:hAnsi="Arial" w:cs="Arial"/>
          <w:color w:val="000000" w:themeColor="text1"/>
          <w:sz w:val="24"/>
          <w:szCs w:val="24"/>
        </w:rPr>
        <w:t xml:space="preserve">campaign’s effectiveness in promoting the national toll-free </w:t>
      </w:r>
      <w:r w:rsidR="00B03BFB">
        <w:rPr>
          <w:rFonts w:ascii="Arial" w:hAnsi="Arial" w:cs="Arial"/>
          <w:color w:val="000000" w:themeColor="text1"/>
          <w:sz w:val="24"/>
          <w:szCs w:val="24"/>
        </w:rPr>
        <w:t>telephone number</w:t>
      </w:r>
      <w:r w:rsidRPr="0048628B">
        <w:rPr>
          <w:rFonts w:ascii="Arial" w:hAnsi="Arial" w:cs="Arial"/>
          <w:color w:val="000000" w:themeColor="text1"/>
          <w:sz w:val="24"/>
          <w:szCs w:val="24"/>
        </w:rPr>
        <w:t xml:space="preserve">, poison center access, and poison prevention.  The CDC contracted with the market research firm Westat to conduct a national survey from February to April 2006.  HRSA commissioned a second national survey by StrategyOne, a full-service research firm owned by Daniel </w:t>
      </w:r>
      <w:r w:rsidR="00B96A3F">
        <w:rPr>
          <w:rFonts w:ascii="Arial" w:hAnsi="Arial" w:cs="Arial"/>
          <w:color w:val="000000" w:themeColor="text1"/>
          <w:sz w:val="24"/>
          <w:szCs w:val="24"/>
        </w:rPr>
        <w:t xml:space="preserve">J. Edelman </w:t>
      </w:r>
      <w:r w:rsidR="003723CF">
        <w:rPr>
          <w:rFonts w:ascii="Arial" w:hAnsi="Arial" w:cs="Arial"/>
          <w:color w:val="000000" w:themeColor="text1"/>
          <w:sz w:val="24"/>
          <w:szCs w:val="24"/>
        </w:rPr>
        <w:t>Companies that</w:t>
      </w:r>
      <w:r w:rsidR="00CF7BD0">
        <w:rPr>
          <w:rFonts w:ascii="Arial" w:hAnsi="Arial" w:cs="Arial"/>
          <w:color w:val="000000" w:themeColor="text1"/>
          <w:sz w:val="24"/>
          <w:szCs w:val="24"/>
        </w:rPr>
        <w:t xml:space="preserve"> was </w:t>
      </w:r>
      <w:r w:rsidRPr="0048628B">
        <w:rPr>
          <w:rFonts w:ascii="Arial" w:hAnsi="Arial" w:cs="Arial"/>
          <w:color w:val="000000" w:themeColor="text1"/>
          <w:sz w:val="24"/>
          <w:szCs w:val="24"/>
        </w:rPr>
        <w:t>conducted in the 2011 calendar year</w:t>
      </w:r>
      <w:r w:rsidRPr="00341C66">
        <w:rPr>
          <w:rFonts w:ascii="Arial" w:hAnsi="Arial" w:cs="Arial"/>
          <w:color w:val="000000" w:themeColor="text1"/>
          <w:sz w:val="24"/>
          <w:szCs w:val="24"/>
        </w:rPr>
        <w:t xml:space="preserve">.  </w:t>
      </w:r>
      <w:r w:rsidR="002B4DF6" w:rsidRPr="00341C66">
        <w:rPr>
          <w:rFonts w:ascii="Arial" w:hAnsi="Arial" w:cs="Arial"/>
          <w:color w:val="000000" w:themeColor="text1"/>
          <w:sz w:val="24"/>
          <w:szCs w:val="24"/>
        </w:rPr>
        <w:lastRenderedPageBreak/>
        <w:t>HRSA intends</w:t>
      </w:r>
      <w:r w:rsidR="00B96A3F" w:rsidRPr="00341C66">
        <w:rPr>
          <w:rFonts w:ascii="Arial" w:hAnsi="Arial" w:cs="Arial"/>
          <w:color w:val="000000" w:themeColor="text1"/>
          <w:sz w:val="24"/>
          <w:szCs w:val="24"/>
        </w:rPr>
        <w:t xml:space="preserve"> to conduct an updated tracking survey by </w:t>
      </w:r>
      <w:r w:rsidR="00341C66" w:rsidRPr="00341C66">
        <w:rPr>
          <w:rFonts w:ascii="Arial" w:hAnsi="Arial" w:cs="Arial"/>
          <w:color w:val="000000" w:themeColor="text1"/>
          <w:sz w:val="24"/>
          <w:szCs w:val="24"/>
        </w:rPr>
        <w:t>September</w:t>
      </w:r>
      <w:r w:rsidR="002B4DF6" w:rsidRPr="00341C66">
        <w:rPr>
          <w:rFonts w:ascii="Arial" w:hAnsi="Arial" w:cs="Arial"/>
          <w:color w:val="000000" w:themeColor="text1"/>
          <w:sz w:val="24"/>
          <w:szCs w:val="24"/>
        </w:rPr>
        <w:t xml:space="preserve"> 2017 in parallel with this year’s campaign activities.</w:t>
      </w:r>
      <w:r w:rsidR="002B4DF6">
        <w:rPr>
          <w:rFonts w:ascii="Arial" w:hAnsi="Arial" w:cs="Arial"/>
          <w:color w:val="000000" w:themeColor="text1"/>
          <w:sz w:val="24"/>
          <w:szCs w:val="24"/>
        </w:rPr>
        <w:t xml:space="preserve">  </w:t>
      </w:r>
    </w:p>
    <w:p w14:paraId="419EB6C2" w14:textId="77777777" w:rsidR="00FF539A" w:rsidRPr="0048628B" w:rsidRDefault="00FF539A" w:rsidP="00425DE4">
      <w:pPr>
        <w:pStyle w:val="P1-StandPara"/>
        <w:spacing w:line="240" w:lineRule="auto"/>
        <w:jc w:val="left"/>
        <w:rPr>
          <w:rFonts w:ascii="Arial" w:hAnsi="Arial" w:cs="Arial"/>
          <w:color w:val="000000" w:themeColor="text1"/>
          <w:sz w:val="24"/>
          <w:szCs w:val="24"/>
        </w:rPr>
      </w:pPr>
    </w:p>
    <w:p w14:paraId="00D608BF" w14:textId="138A63B6" w:rsidR="00FF539A" w:rsidRDefault="00FF539A" w:rsidP="00425DE4">
      <w:pPr>
        <w:pStyle w:val="P1-StandPara"/>
        <w:spacing w:line="240" w:lineRule="auto"/>
        <w:ind w:firstLine="0"/>
        <w:jc w:val="left"/>
        <w:rPr>
          <w:rFonts w:ascii="Arial" w:hAnsi="Arial" w:cs="Arial"/>
          <w:color w:val="000000" w:themeColor="text1"/>
          <w:sz w:val="24"/>
          <w:szCs w:val="24"/>
        </w:rPr>
      </w:pPr>
      <w:r w:rsidRPr="0048628B">
        <w:rPr>
          <w:rFonts w:ascii="Arial" w:hAnsi="Arial" w:cs="Arial"/>
          <w:color w:val="000000" w:themeColor="text1"/>
          <w:sz w:val="24"/>
          <w:szCs w:val="24"/>
        </w:rPr>
        <w:t xml:space="preserve">Under the 2008 reauthorization legislation, HRSA is mandated to “establish baseline measures and benchmarks to quantitatively evaluate the impact of the nationwide media campaign… and prepare and submit to the appropriate congressional committees an evaluation of the nationwide media campaign on an annual basis.”   The Poison Control Program routinely uses a number of process measures to monitor the effectiveness of the </w:t>
      </w:r>
      <w:r w:rsidR="00425DE4" w:rsidRPr="00425DE4">
        <w:rPr>
          <w:rFonts w:ascii="Arial" w:hAnsi="Arial" w:cs="Arial"/>
          <w:i/>
          <w:color w:val="000000" w:themeColor="text1"/>
          <w:sz w:val="24"/>
          <w:szCs w:val="24"/>
        </w:rPr>
        <w:t>Poison Help</w:t>
      </w:r>
      <w:r w:rsidRPr="0048628B">
        <w:rPr>
          <w:rFonts w:ascii="Arial" w:hAnsi="Arial" w:cs="Arial"/>
          <w:color w:val="000000" w:themeColor="text1"/>
          <w:sz w:val="24"/>
          <w:szCs w:val="24"/>
        </w:rPr>
        <w:t xml:space="preserve"> campaign on an annual basis.  Process measures include, but are not limited to:</w:t>
      </w:r>
    </w:p>
    <w:p w14:paraId="0C97EF3B" w14:textId="77777777" w:rsidR="0048628B" w:rsidRPr="0048628B" w:rsidRDefault="0048628B" w:rsidP="00425DE4">
      <w:pPr>
        <w:pStyle w:val="P1-StandPara"/>
        <w:spacing w:line="240" w:lineRule="auto"/>
        <w:ind w:firstLine="0"/>
        <w:jc w:val="left"/>
        <w:rPr>
          <w:rFonts w:ascii="Arial" w:hAnsi="Arial" w:cs="Arial"/>
          <w:color w:val="000000" w:themeColor="text1"/>
          <w:sz w:val="24"/>
          <w:szCs w:val="24"/>
        </w:rPr>
      </w:pPr>
    </w:p>
    <w:p w14:paraId="2E1A39D1" w14:textId="1F466586" w:rsidR="00FF539A" w:rsidRPr="0048628B" w:rsidRDefault="00FF539A" w:rsidP="00425DE4">
      <w:pPr>
        <w:pStyle w:val="P1-StandPara"/>
        <w:numPr>
          <w:ilvl w:val="0"/>
          <w:numId w:val="46"/>
        </w:numPr>
        <w:spacing w:line="240" w:lineRule="auto"/>
        <w:jc w:val="left"/>
        <w:rPr>
          <w:rFonts w:ascii="Arial" w:hAnsi="Arial" w:cs="Arial"/>
          <w:color w:val="000000" w:themeColor="text1"/>
          <w:sz w:val="24"/>
          <w:szCs w:val="24"/>
        </w:rPr>
      </w:pPr>
      <w:r w:rsidRPr="0048628B">
        <w:rPr>
          <w:rFonts w:ascii="Arial" w:hAnsi="Arial" w:cs="Arial"/>
          <w:color w:val="000000" w:themeColor="text1"/>
          <w:sz w:val="24"/>
          <w:szCs w:val="24"/>
        </w:rPr>
        <w:t>Number of radio jingle broadcasts and estimated audience</w:t>
      </w:r>
      <w:r w:rsidR="002B4DF6">
        <w:rPr>
          <w:rFonts w:ascii="Arial" w:hAnsi="Arial" w:cs="Arial"/>
          <w:color w:val="000000" w:themeColor="text1"/>
          <w:sz w:val="24"/>
          <w:szCs w:val="24"/>
        </w:rPr>
        <w:t>;</w:t>
      </w:r>
    </w:p>
    <w:p w14:paraId="3F28C3C5" w14:textId="0C337327" w:rsidR="00FF539A" w:rsidRPr="0048628B" w:rsidRDefault="00FF539A" w:rsidP="00425DE4">
      <w:pPr>
        <w:pStyle w:val="P1-StandPara"/>
        <w:numPr>
          <w:ilvl w:val="0"/>
          <w:numId w:val="46"/>
        </w:numPr>
        <w:spacing w:line="240" w:lineRule="auto"/>
        <w:jc w:val="left"/>
        <w:rPr>
          <w:rFonts w:ascii="Arial" w:hAnsi="Arial" w:cs="Arial"/>
          <w:color w:val="000000" w:themeColor="text1"/>
          <w:sz w:val="24"/>
          <w:szCs w:val="24"/>
        </w:rPr>
      </w:pPr>
      <w:r w:rsidRPr="0048628B">
        <w:rPr>
          <w:rFonts w:ascii="Arial" w:hAnsi="Arial" w:cs="Arial"/>
          <w:color w:val="000000" w:themeColor="text1"/>
          <w:sz w:val="24"/>
          <w:szCs w:val="24"/>
        </w:rPr>
        <w:t xml:space="preserve">Number of unique visitors to the </w:t>
      </w:r>
      <w:r w:rsidR="00425DE4" w:rsidRPr="00425DE4">
        <w:rPr>
          <w:rFonts w:ascii="Arial" w:hAnsi="Arial" w:cs="Arial"/>
          <w:i/>
          <w:color w:val="000000" w:themeColor="text1"/>
          <w:sz w:val="24"/>
          <w:szCs w:val="24"/>
        </w:rPr>
        <w:t>Poison Help</w:t>
      </w:r>
      <w:r w:rsidRPr="0048628B">
        <w:rPr>
          <w:rFonts w:ascii="Arial" w:hAnsi="Arial" w:cs="Arial"/>
          <w:color w:val="000000" w:themeColor="text1"/>
          <w:sz w:val="24"/>
          <w:szCs w:val="24"/>
        </w:rPr>
        <w:t xml:space="preserve"> website</w:t>
      </w:r>
      <w:r w:rsidR="002B4DF6">
        <w:rPr>
          <w:rFonts w:ascii="Arial" w:hAnsi="Arial" w:cs="Arial"/>
          <w:color w:val="000000" w:themeColor="text1"/>
          <w:sz w:val="24"/>
          <w:szCs w:val="24"/>
        </w:rPr>
        <w:t>;</w:t>
      </w:r>
    </w:p>
    <w:p w14:paraId="19EB2E6E" w14:textId="35006B06" w:rsidR="00FF539A" w:rsidRPr="0048628B" w:rsidRDefault="00FF539A" w:rsidP="00425DE4">
      <w:pPr>
        <w:pStyle w:val="P1-StandPara"/>
        <w:numPr>
          <w:ilvl w:val="0"/>
          <w:numId w:val="46"/>
        </w:numPr>
        <w:spacing w:line="240" w:lineRule="auto"/>
        <w:jc w:val="left"/>
        <w:rPr>
          <w:rFonts w:ascii="Arial" w:hAnsi="Arial" w:cs="Arial"/>
          <w:color w:val="000000" w:themeColor="text1"/>
          <w:sz w:val="24"/>
          <w:szCs w:val="24"/>
        </w:rPr>
      </w:pPr>
      <w:r w:rsidRPr="0048628B">
        <w:rPr>
          <w:rFonts w:ascii="Arial" w:hAnsi="Arial" w:cs="Arial"/>
          <w:color w:val="000000" w:themeColor="text1"/>
          <w:sz w:val="24"/>
          <w:szCs w:val="24"/>
        </w:rPr>
        <w:t>Number of news articles generated from mat news releases and estimated readership</w:t>
      </w:r>
      <w:r w:rsidR="002B4DF6">
        <w:rPr>
          <w:rFonts w:ascii="Arial" w:hAnsi="Arial" w:cs="Arial"/>
          <w:color w:val="000000" w:themeColor="text1"/>
          <w:sz w:val="24"/>
          <w:szCs w:val="24"/>
        </w:rPr>
        <w:t>;</w:t>
      </w:r>
    </w:p>
    <w:p w14:paraId="6E60E343" w14:textId="0D5151DD" w:rsidR="00FF539A" w:rsidRPr="0048628B" w:rsidRDefault="00FF539A" w:rsidP="00425DE4">
      <w:pPr>
        <w:pStyle w:val="P1-StandPara"/>
        <w:numPr>
          <w:ilvl w:val="0"/>
          <w:numId w:val="46"/>
        </w:numPr>
        <w:spacing w:line="240" w:lineRule="auto"/>
        <w:jc w:val="left"/>
        <w:rPr>
          <w:rFonts w:ascii="Arial" w:hAnsi="Arial" w:cs="Arial"/>
          <w:color w:val="000000" w:themeColor="text1"/>
          <w:sz w:val="24"/>
          <w:szCs w:val="24"/>
        </w:rPr>
      </w:pPr>
      <w:r w:rsidRPr="0048628B">
        <w:rPr>
          <w:rFonts w:ascii="Arial" w:hAnsi="Arial" w:cs="Arial"/>
          <w:color w:val="000000" w:themeColor="text1"/>
          <w:sz w:val="24"/>
          <w:szCs w:val="24"/>
        </w:rPr>
        <w:t xml:space="preserve">Number of downloads of various </w:t>
      </w:r>
      <w:r w:rsidR="00425DE4" w:rsidRPr="00425DE4">
        <w:rPr>
          <w:rFonts w:ascii="Arial" w:hAnsi="Arial" w:cs="Arial"/>
          <w:i/>
          <w:color w:val="000000" w:themeColor="text1"/>
          <w:sz w:val="24"/>
          <w:szCs w:val="24"/>
        </w:rPr>
        <w:t>Poison Help</w:t>
      </w:r>
      <w:r w:rsidRPr="0048628B">
        <w:rPr>
          <w:rFonts w:ascii="Arial" w:hAnsi="Arial" w:cs="Arial"/>
          <w:color w:val="000000" w:themeColor="text1"/>
          <w:sz w:val="24"/>
          <w:szCs w:val="24"/>
        </w:rPr>
        <w:t xml:space="preserve"> resources including radio jingle PSAs, digital ads, brochures, ringtones</w:t>
      </w:r>
      <w:r w:rsidR="002B4DF6">
        <w:rPr>
          <w:rFonts w:ascii="Arial" w:hAnsi="Arial" w:cs="Arial"/>
          <w:color w:val="000000" w:themeColor="text1"/>
          <w:sz w:val="24"/>
          <w:szCs w:val="24"/>
        </w:rPr>
        <w:t>; and</w:t>
      </w:r>
    </w:p>
    <w:p w14:paraId="15FB6F1D" w14:textId="4EC6CBC4" w:rsidR="00FF539A" w:rsidRPr="0048628B" w:rsidRDefault="00FF539A" w:rsidP="00425DE4">
      <w:pPr>
        <w:pStyle w:val="P1-StandPara"/>
        <w:numPr>
          <w:ilvl w:val="0"/>
          <w:numId w:val="46"/>
        </w:numPr>
        <w:spacing w:line="240" w:lineRule="auto"/>
        <w:jc w:val="left"/>
        <w:rPr>
          <w:rFonts w:ascii="Arial" w:hAnsi="Arial" w:cs="Arial"/>
          <w:color w:val="000000" w:themeColor="text1"/>
          <w:sz w:val="24"/>
          <w:szCs w:val="24"/>
        </w:rPr>
      </w:pPr>
      <w:r w:rsidRPr="0048628B">
        <w:rPr>
          <w:rFonts w:ascii="Arial" w:hAnsi="Arial" w:cs="Arial"/>
          <w:color w:val="000000" w:themeColor="text1"/>
          <w:sz w:val="24"/>
          <w:szCs w:val="24"/>
        </w:rPr>
        <w:t xml:space="preserve">Number of </w:t>
      </w:r>
      <w:r w:rsidR="00425DE4" w:rsidRPr="00425DE4">
        <w:rPr>
          <w:rFonts w:ascii="Arial" w:hAnsi="Arial" w:cs="Arial"/>
          <w:i/>
          <w:color w:val="000000" w:themeColor="text1"/>
          <w:sz w:val="24"/>
          <w:szCs w:val="24"/>
        </w:rPr>
        <w:t>Poison Help</w:t>
      </w:r>
      <w:r w:rsidRPr="0048628B">
        <w:rPr>
          <w:rFonts w:ascii="Arial" w:hAnsi="Arial" w:cs="Arial"/>
          <w:color w:val="000000" w:themeColor="text1"/>
          <w:sz w:val="24"/>
          <w:szCs w:val="24"/>
        </w:rPr>
        <w:t xml:space="preserve"> materials requested and distributed on a monthly basis.</w:t>
      </w:r>
    </w:p>
    <w:p w14:paraId="3BC15DE9" w14:textId="77777777" w:rsidR="0048628B" w:rsidRDefault="0048628B" w:rsidP="00425DE4">
      <w:pPr>
        <w:pStyle w:val="P1-StandPara"/>
        <w:spacing w:line="240" w:lineRule="auto"/>
        <w:ind w:firstLine="0"/>
        <w:jc w:val="left"/>
        <w:rPr>
          <w:rFonts w:ascii="Arial" w:hAnsi="Arial" w:cs="Arial"/>
          <w:color w:val="000000" w:themeColor="text1"/>
          <w:sz w:val="24"/>
          <w:szCs w:val="24"/>
        </w:rPr>
      </w:pPr>
    </w:p>
    <w:p w14:paraId="69E2630E" w14:textId="77777777" w:rsidR="00FF539A" w:rsidRDefault="00FF539A" w:rsidP="00425DE4">
      <w:pPr>
        <w:pStyle w:val="P1-StandPara"/>
        <w:spacing w:line="240" w:lineRule="auto"/>
        <w:ind w:firstLine="0"/>
        <w:jc w:val="left"/>
        <w:rPr>
          <w:rFonts w:ascii="Arial" w:hAnsi="Arial" w:cs="Arial"/>
          <w:color w:val="000000" w:themeColor="text1"/>
          <w:sz w:val="24"/>
          <w:szCs w:val="24"/>
        </w:rPr>
      </w:pPr>
      <w:r w:rsidRPr="0048628B">
        <w:rPr>
          <w:rFonts w:ascii="Arial" w:hAnsi="Arial" w:cs="Arial"/>
          <w:color w:val="000000" w:themeColor="text1"/>
          <w:sz w:val="24"/>
          <w:szCs w:val="24"/>
        </w:rPr>
        <w:t>The program also uses program measures to monitor campaign effectiveness.  These measures include:</w:t>
      </w:r>
    </w:p>
    <w:p w14:paraId="043C8552" w14:textId="77777777" w:rsidR="0048628B" w:rsidRPr="0048628B" w:rsidRDefault="0048628B" w:rsidP="00425DE4">
      <w:pPr>
        <w:pStyle w:val="P1-StandPara"/>
        <w:spacing w:line="240" w:lineRule="auto"/>
        <w:ind w:firstLine="0"/>
        <w:jc w:val="left"/>
        <w:rPr>
          <w:rFonts w:ascii="Arial" w:hAnsi="Arial" w:cs="Arial"/>
          <w:color w:val="000000" w:themeColor="text1"/>
          <w:sz w:val="24"/>
          <w:szCs w:val="24"/>
        </w:rPr>
      </w:pPr>
    </w:p>
    <w:p w14:paraId="2CFF00C8" w14:textId="59C2A851" w:rsidR="00FF539A" w:rsidRPr="0048628B" w:rsidRDefault="00FF539A" w:rsidP="00425DE4">
      <w:pPr>
        <w:pStyle w:val="P1-StandPara"/>
        <w:numPr>
          <w:ilvl w:val="0"/>
          <w:numId w:val="47"/>
        </w:numPr>
        <w:spacing w:line="240" w:lineRule="auto"/>
        <w:jc w:val="left"/>
        <w:rPr>
          <w:rFonts w:ascii="Arial" w:hAnsi="Arial" w:cs="Arial"/>
          <w:color w:val="000000" w:themeColor="text1"/>
          <w:sz w:val="24"/>
          <w:szCs w:val="24"/>
        </w:rPr>
      </w:pPr>
      <w:r w:rsidRPr="0048628B">
        <w:rPr>
          <w:rFonts w:ascii="Arial" w:hAnsi="Arial" w:cs="Arial"/>
          <w:color w:val="000000" w:themeColor="text1"/>
          <w:sz w:val="24"/>
          <w:szCs w:val="24"/>
        </w:rPr>
        <w:t xml:space="preserve">Percent of inbound volume on the toll-free </w:t>
      </w:r>
      <w:r w:rsidR="00B03BFB">
        <w:rPr>
          <w:rFonts w:ascii="Arial" w:hAnsi="Arial" w:cs="Arial"/>
          <w:color w:val="000000" w:themeColor="text1"/>
          <w:sz w:val="24"/>
          <w:szCs w:val="24"/>
        </w:rPr>
        <w:t>telephone number</w:t>
      </w:r>
      <w:r w:rsidRPr="0048628B">
        <w:rPr>
          <w:rFonts w:ascii="Arial" w:hAnsi="Arial" w:cs="Arial"/>
          <w:color w:val="000000" w:themeColor="text1"/>
          <w:sz w:val="24"/>
          <w:szCs w:val="24"/>
        </w:rPr>
        <w:t xml:space="preserve"> (1-800-222-1222)</w:t>
      </w:r>
      <w:r w:rsidR="002B4DF6">
        <w:rPr>
          <w:rFonts w:ascii="Arial" w:hAnsi="Arial" w:cs="Arial"/>
          <w:color w:val="000000" w:themeColor="text1"/>
          <w:sz w:val="24"/>
          <w:szCs w:val="24"/>
        </w:rPr>
        <w:t>; and</w:t>
      </w:r>
    </w:p>
    <w:p w14:paraId="4DCDB353" w14:textId="71B174D2" w:rsidR="00FF539A" w:rsidRPr="0048628B" w:rsidRDefault="00FF539A" w:rsidP="00425DE4">
      <w:pPr>
        <w:pStyle w:val="P1-StandPara"/>
        <w:numPr>
          <w:ilvl w:val="0"/>
          <w:numId w:val="47"/>
        </w:numPr>
        <w:spacing w:line="240" w:lineRule="auto"/>
        <w:jc w:val="left"/>
        <w:rPr>
          <w:rFonts w:ascii="Arial" w:hAnsi="Arial" w:cs="Arial"/>
          <w:color w:val="000000" w:themeColor="text1"/>
          <w:sz w:val="24"/>
          <w:szCs w:val="24"/>
        </w:rPr>
      </w:pPr>
      <w:r w:rsidRPr="0048628B">
        <w:rPr>
          <w:rFonts w:ascii="Arial" w:hAnsi="Arial" w:cs="Arial"/>
          <w:color w:val="000000" w:themeColor="text1"/>
          <w:sz w:val="24"/>
          <w:szCs w:val="24"/>
        </w:rPr>
        <w:t>Percent of human poison exposure calls managed by poison centers outside of a healthcare facility</w:t>
      </w:r>
      <w:r w:rsidR="002B4DF6">
        <w:rPr>
          <w:rFonts w:ascii="Arial" w:hAnsi="Arial" w:cs="Arial"/>
          <w:color w:val="000000" w:themeColor="text1"/>
          <w:sz w:val="24"/>
          <w:szCs w:val="24"/>
        </w:rPr>
        <w:t>.</w:t>
      </w:r>
    </w:p>
    <w:p w14:paraId="20D34DD1" w14:textId="77777777" w:rsidR="0048628B" w:rsidRDefault="0048628B" w:rsidP="00425DE4">
      <w:pPr>
        <w:pStyle w:val="P1-StandPara"/>
        <w:spacing w:line="240" w:lineRule="auto"/>
        <w:ind w:firstLine="0"/>
        <w:jc w:val="left"/>
        <w:rPr>
          <w:rFonts w:ascii="Arial" w:hAnsi="Arial" w:cs="Arial"/>
          <w:color w:val="000000" w:themeColor="text1"/>
          <w:sz w:val="24"/>
          <w:szCs w:val="24"/>
        </w:rPr>
      </w:pPr>
    </w:p>
    <w:p w14:paraId="6765599B" w14:textId="7BF0C4D9" w:rsidR="00FF539A" w:rsidRPr="0048628B" w:rsidRDefault="00FF539A" w:rsidP="00425DE4">
      <w:pPr>
        <w:pStyle w:val="P1-StandPara"/>
        <w:spacing w:line="240" w:lineRule="auto"/>
        <w:ind w:firstLine="0"/>
        <w:jc w:val="left"/>
        <w:rPr>
          <w:rFonts w:ascii="Arial" w:hAnsi="Arial" w:cs="Arial"/>
          <w:color w:val="000000" w:themeColor="text1"/>
          <w:sz w:val="24"/>
          <w:szCs w:val="24"/>
        </w:rPr>
      </w:pPr>
      <w:r w:rsidRPr="0048628B">
        <w:rPr>
          <w:rFonts w:ascii="Arial" w:hAnsi="Arial" w:cs="Arial"/>
          <w:color w:val="000000" w:themeColor="text1"/>
          <w:sz w:val="24"/>
          <w:szCs w:val="24"/>
        </w:rPr>
        <w:t>These proc</w:t>
      </w:r>
      <w:r w:rsidR="002B4DF6">
        <w:rPr>
          <w:rFonts w:ascii="Arial" w:hAnsi="Arial" w:cs="Arial"/>
          <w:color w:val="000000" w:themeColor="text1"/>
          <w:sz w:val="24"/>
          <w:szCs w:val="24"/>
        </w:rPr>
        <w:t>ess and program measures are</w:t>
      </w:r>
      <w:r w:rsidRPr="0048628B">
        <w:rPr>
          <w:rFonts w:ascii="Arial" w:hAnsi="Arial" w:cs="Arial"/>
          <w:color w:val="000000" w:themeColor="text1"/>
          <w:sz w:val="24"/>
          <w:szCs w:val="24"/>
        </w:rPr>
        <w:t xml:space="preserve"> used in concert with the results of the national population survey to a</w:t>
      </w:r>
      <w:r w:rsidR="002B4DF6">
        <w:rPr>
          <w:rFonts w:ascii="Arial" w:hAnsi="Arial" w:cs="Arial"/>
          <w:color w:val="000000" w:themeColor="text1"/>
          <w:sz w:val="24"/>
          <w:szCs w:val="24"/>
        </w:rPr>
        <w:t>ssess overall awareness, utilization, and campaign impact.</w:t>
      </w:r>
    </w:p>
    <w:p w14:paraId="362B8313" w14:textId="77777777" w:rsidR="00FF539A" w:rsidRPr="0048628B" w:rsidRDefault="00FF539A" w:rsidP="00425DE4">
      <w:pPr>
        <w:pStyle w:val="P1-StandPara"/>
        <w:spacing w:line="240" w:lineRule="auto"/>
        <w:jc w:val="left"/>
        <w:rPr>
          <w:rFonts w:ascii="Arial" w:hAnsi="Arial" w:cs="Arial"/>
          <w:color w:val="000000" w:themeColor="text1"/>
          <w:sz w:val="24"/>
          <w:szCs w:val="24"/>
        </w:rPr>
      </w:pPr>
    </w:p>
    <w:p w14:paraId="3E503BBB" w14:textId="170E5A3B" w:rsidR="00FF539A" w:rsidRPr="0048628B" w:rsidRDefault="002B4DF6" w:rsidP="00425DE4">
      <w:pPr>
        <w:pStyle w:val="P1-StandPara"/>
        <w:spacing w:line="240" w:lineRule="auto"/>
        <w:ind w:firstLine="0"/>
        <w:jc w:val="left"/>
        <w:rPr>
          <w:rFonts w:ascii="Arial" w:hAnsi="Arial" w:cs="Arial"/>
          <w:color w:val="000000" w:themeColor="text1"/>
          <w:sz w:val="24"/>
          <w:szCs w:val="24"/>
        </w:rPr>
      </w:pPr>
      <w:r>
        <w:rPr>
          <w:rFonts w:ascii="Arial" w:hAnsi="Arial" w:cs="Arial"/>
          <w:color w:val="000000" w:themeColor="text1"/>
          <w:sz w:val="24"/>
          <w:szCs w:val="24"/>
        </w:rPr>
        <w:t>Thus, the</w:t>
      </w:r>
      <w:r w:rsidR="00FF539A" w:rsidRPr="0048628B">
        <w:rPr>
          <w:rFonts w:ascii="Arial" w:hAnsi="Arial" w:cs="Arial"/>
          <w:color w:val="000000" w:themeColor="text1"/>
          <w:sz w:val="24"/>
          <w:szCs w:val="24"/>
        </w:rPr>
        <w:t xml:space="preserve"> goal of the </w:t>
      </w:r>
      <w:r w:rsidR="00425DE4" w:rsidRPr="00425DE4">
        <w:rPr>
          <w:rFonts w:ascii="Arial" w:hAnsi="Arial" w:cs="Arial"/>
          <w:i/>
          <w:color w:val="000000" w:themeColor="text1"/>
          <w:sz w:val="24"/>
          <w:szCs w:val="24"/>
        </w:rPr>
        <w:t>Poison Help</w:t>
      </w:r>
      <w:r w:rsidR="00FF539A" w:rsidRPr="0048628B">
        <w:rPr>
          <w:rFonts w:ascii="Arial" w:hAnsi="Arial" w:cs="Arial"/>
          <w:i/>
          <w:color w:val="000000" w:themeColor="text1"/>
          <w:sz w:val="24"/>
          <w:szCs w:val="24"/>
        </w:rPr>
        <w:t xml:space="preserve"> </w:t>
      </w:r>
      <w:r w:rsidR="00FF539A" w:rsidRPr="0048628B">
        <w:rPr>
          <w:rFonts w:ascii="Arial" w:hAnsi="Arial" w:cs="Arial"/>
          <w:color w:val="000000" w:themeColor="text1"/>
          <w:sz w:val="24"/>
          <w:szCs w:val="24"/>
        </w:rPr>
        <w:t>General Population Survey</w:t>
      </w:r>
      <w:r w:rsidR="005F6EEA">
        <w:rPr>
          <w:rFonts w:ascii="Arial" w:hAnsi="Arial" w:cs="Arial"/>
          <w:color w:val="000000" w:themeColor="text1"/>
          <w:sz w:val="24"/>
          <w:szCs w:val="24"/>
        </w:rPr>
        <w:t xml:space="preserve"> (Appendix B)</w:t>
      </w:r>
      <w:r w:rsidR="00FF539A" w:rsidRPr="0048628B">
        <w:rPr>
          <w:rFonts w:ascii="Arial" w:hAnsi="Arial" w:cs="Arial"/>
          <w:color w:val="000000" w:themeColor="text1"/>
          <w:sz w:val="24"/>
          <w:szCs w:val="24"/>
        </w:rPr>
        <w:t xml:space="preserve"> is to measure the campaign’s current performance.  Assessment information will include awareness and use of the national toll-free </w:t>
      </w:r>
      <w:r w:rsidR="00B03BFB">
        <w:rPr>
          <w:rFonts w:ascii="Arial" w:hAnsi="Arial" w:cs="Arial"/>
          <w:color w:val="000000" w:themeColor="text1"/>
          <w:sz w:val="24"/>
          <w:szCs w:val="24"/>
        </w:rPr>
        <w:t>telephone number</w:t>
      </w:r>
      <w:r w:rsidR="00FF539A" w:rsidRPr="0048628B">
        <w:rPr>
          <w:rFonts w:ascii="Arial" w:hAnsi="Arial" w:cs="Arial"/>
          <w:color w:val="000000" w:themeColor="text1"/>
          <w:sz w:val="24"/>
          <w:szCs w:val="24"/>
        </w:rPr>
        <w:t xml:space="preserve"> to access poison exposure or information services and awareness and knowledge of poison centers and the services they provide.  The survey will allow for some comparisons with previous data, as well as comparisons with follow-up evaluation activities to be conducted in future years, and provide direction for future campaign initiatives</w:t>
      </w:r>
      <w:r w:rsidR="001E083E">
        <w:rPr>
          <w:rFonts w:ascii="Arial" w:hAnsi="Arial" w:cs="Arial"/>
          <w:color w:val="000000" w:themeColor="text1"/>
          <w:sz w:val="24"/>
          <w:szCs w:val="24"/>
        </w:rPr>
        <w:t xml:space="preserve">.  </w:t>
      </w:r>
      <w:r w:rsidR="00FF539A" w:rsidRPr="0048628B">
        <w:rPr>
          <w:rFonts w:ascii="Arial" w:hAnsi="Arial" w:cs="Arial"/>
          <w:color w:val="000000" w:themeColor="text1"/>
          <w:sz w:val="24"/>
          <w:szCs w:val="24"/>
        </w:rPr>
        <w:t>The survey will also seek to gain valuable information into the role of poison centers related to a H</w:t>
      </w:r>
      <w:r w:rsidR="003101FB">
        <w:rPr>
          <w:rFonts w:ascii="Arial" w:hAnsi="Arial" w:cs="Arial"/>
          <w:color w:val="000000" w:themeColor="text1"/>
          <w:sz w:val="24"/>
          <w:szCs w:val="24"/>
        </w:rPr>
        <w:t>RSA priority, opioid drug abuse—one of the Secretary of HHS’s</w:t>
      </w:r>
      <w:r w:rsidR="00CC3A65">
        <w:rPr>
          <w:rFonts w:ascii="Arial" w:hAnsi="Arial" w:cs="Arial"/>
          <w:color w:val="000000" w:themeColor="text1"/>
          <w:sz w:val="24"/>
          <w:szCs w:val="24"/>
        </w:rPr>
        <w:t xml:space="preserve"> </w:t>
      </w:r>
      <w:r w:rsidR="00CF7BD0">
        <w:rPr>
          <w:rFonts w:ascii="Arial" w:hAnsi="Arial" w:cs="Arial"/>
          <w:color w:val="000000" w:themeColor="text1"/>
          <w:sz w:val="24"/>
          <w:szCs w:val="24"/>
        </w:rPr>
        <w:t>priorities</w:t>
      </w:r>
      <w:r w:rsidR="003101FB">
        <w:rPr>
          <w:rFonts w:ascii="Arial" w:hAnsi="Arial" w:cs="Arial"/>
          <w:color w:val="000000" w:themeColor="text1"/>
          <w:sz w:val="24"/>
          <w:szCs w:val="24"/>
        </w:rPr>
        <w:t>.</w:t>
      </w:r>
    </w:p>
    <w:p w14:paraId="27C5DF2C" w14:textId="1895A2D7" w:rsidR="00FF539A" w:rsidRPr="0048628B" w:rsidRDefault="00F62862" w:rsidP="00425DE4">
      <w:pPr>
        <w:pStyle w:val="P1-StandPara"/>
        <w:spacing w:line="240" w:lineRule="auto"/>
        <w:ind w:firstLine="0"/>
        <w:jc w:val="left"/>
        <w:rPr>
          <w:rFonts w:ascii="Arial" w:hAnsi="Arial" w:cs="Arial"/>
          <w:color w:val="000000" w:themeColor="text1"/>
          <w:sz w:val="24"/>
          <w:szCs w:val="24"/>
        </w:rPr>
      </w:pPr>
      <w:r>
        <w:rPr>
          <w:rFonts w:ascii="Arial" w:hAnsi="Arial" w:cs="Arial"/>
          <w:color w:val="000000" w:themeColor="text1"/>
          <w:sz w:val="24"/>
          <w:szCs w:val="24"/>
        </w:rPr>
        <w:t>An estimated</w:t>
      </w:r>
      <w:r w:rsidR="00CC3A65">
        <w:rPr>
          <w:rFonts w:ascii="Arial" w:hAnsi="Arial" w:cs="Arial"/>
          <w:color w:val="000000" w:themeColor="text1"/>
          <w:sz w:val="24"/>
          <w:szCs w:val="24"/>
        </w:rPr>
        <w:t xml:space="preserve"> 2,600 households will be randomly sampled and screened using the </w:t>
      </w:r>
      <w:r w:rsidR="00CC3A65" w:rsidRPr="00CC3A65">
        <w:rPr>
          <w:rFonts w:ascii="Arial" w:hAnsi="Arial" w:cs="Arial"/>
          <w:i/>
          <w:color w:val="000000" w:themeColor="text1"/>
          <w:sz w:val="24"/>
          <w:szCs w:val="24"/>
        </w:rPr>
        <w:t>Poison Help</w:t>
      </w:r>
      <w:r w:rsidR="00CC3A65">
        <w:rPr>
          <w:rFonts w:ascii="Arial" w:hAnsi="Arial" w:cs="Arial"/>
          <w:color w:val="000000" w:themeColor="text1"/>
          <w:sz w:val="24"/>
          <w:szCs w:val="24"/>
        </w:rPr>
        <w:t xml:space="preserve"> General Population Survey Screener (Appendix C). </w:t>
      </w:r>
      <w:r w:rsidR="00FF539A" w:rsidRPr="0048628B">
        <w:rPr>
          <w:rFonts w:ascii="Arial" w:hAnsi="Arial" w:cs="Arial"/>
          <w:color w:val="000000" w:themeColor="text1"/>
          <w:sz w:val="24"/>
          <w:szCs w:val="24"/>
        </w:rPr>
        <w:t xml:space="preserve">The </w:t>
      </w:r>
      <w:r w:rsidR="00425DE4" w:rsidRPr="00425DE4">
        <w:rPr>
          <w:rFonts w:ascii="Arial" w:hAnsi="Arial" w:cs="Arial"/>
          <w:i/>
          <w:color w:val="000000" w:themeColor="text1"/>
          <w:sz w:val="24"/>
          <w:szCs w:val="24"/>
        </w:rPr>
        <w:t>Poison Help</w:t>
      </w:r>
      <w:r w:rsidR="00FF539A" w:rsidRPr="0048628B">
        <w:rPr>
          <w:rFonts w:ascii="Arial" w:hAnsi="Arial" w:cs="Arial"/>
          <w:i/>
          <w:color w:val="000000" w:themeColor="text1"/>
          <w:sz w:val="24"/>
          <w:szCs w:val="24"/>
        </w:rPr>
        <w:t xml:space="preserve"> </w:t>
      </w:r>
      <w:r w:rsidR="00FF539A" w:rsidRPr="0048628B">
        <w:rPr>
          <w:rFonts w:ascii="Arial" w:hAnsi="Arial" w:cs="Arial"/>
          <w:color w:val="000000" w:themeColor="text1"/>
          <w:sz w:val="24"/>
          <w:szCs w:val="24"/>
        </w:rPr>
        <w:t xml:space="preserve">General Population Survey will be conducted with 2,000 households in the United States.  HRSA is authorized to collect this data under section 301 of the Public Health Service Act (42 USC </w:t>
      </w:r>
      <w:r w:rsidR="00FF539A" w:rsidRPr="00A57108">
        <w:rPr>
          <w:rFonts w:ascii="Arial" w:hAnsi="Arial" w:cs="Arial"/>
          <w:color w:val="000000" w:themeColor="text1"/>
          <w:sz w:val="24"/>
          <w:szCs w:val="24"/>
        </w:rPr>
        <w:t>241)</w:t>
      </w:r>
      <w:r w:rsidR="00CC3A65">
        <w:rPr>
          <w:rFonts w:ascii="Arial" w:hAnsi="Arial" w:cs="Arial"/>
          <w:color w:val="000000" w:themeColor="text1"/>
          <w:sz w:val="24"/>
          <w:szCs w:val="24"/>
        </w:rPr>
        <w:t>.</w:t>
      </w:r>
      <w:r w:rsidR="00FF539A" w:rsidRPr="0048628B">
        <w:rPr>
          <w:rFonts w:ascii="Arial" w:hAnsi="Arial" w:cs="Arial"/>
          <w:color w:val="000000" w:themeColor="text1"/>
          <w:sz w:val="24"/>
          <w:szCs w:val="24"/>
        </w:rPr>
        <w:t xml:space="preserve">  </w:t>
      </w:r>
    </w:p>
    <w:p w14:paraId="2CE27F66" w14:textId="77777777" w:rsidR="009B3794" w:rsidRPr="00C45431" w:rsidRDefault="009B3794" w:rsidP="00425DE4">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Purpose and Use of Information Collection</w:t>
      </w:r>
    </w:p>
    <w:p w14:paraId="3BCDB983" w14:textId="42D89338" w:rsidR="00FF539A" w:rsidRPr="0048628B" w:rsidRDefault="00FF539A" w:rsidP="00425DE4">
      <w:pPr>
        <w:spacing w:before="240"/>
        <w:rPr>
          <w:rFonts w:ascii="Arial" w:hAnsi="Arial" w:cs="Arial"/>
          <w:color w:val="000000" w:themeColor="text1"/>
          <w:sz w:val="24"/>
        </w:rPr>
      </w:pPr>
      <w:r w:rsidRPr="0048628B">
        <w:rPr>
          <w:rFonts w:ascii="Arial" w:hAnsi="Arial" w:cs="Arial"/>
          <w:color w:val="000000" w:themeColor="text1"/>
          <w:sz w:val="24"/>
        </w:rPr>
        <w:t xml:space="preserve">The </w:t>
      </w:r>
      <w:r w:rsidR="00425DE4" w:rsidRPr="00425DE4">
        <w:rPr>
          <w:rFonts w:ascii="Arial" w:hAnsi="Arial" w:cs="Arial"/>
          <w:i/>
          <w:color w:val="000000" w:themeColor="text1"/>
          <w:sz w:val="24"/>
        </w:rPr>
        <w:t>Poison Help</w:t>
      </w:r>
      <w:r w:rsidRPr="0048628B">
        <w:rPr>
          <w:rFonts w:ascii="Arial" w:hAnsi="Arial" w:cs="Arial"/>
          <w:color w:val="000000" w:themeColor="text1"/>
          <w:sz w:val="24"/>
        </w:rPr>
        <w:t xml:space="preserve"> campaign is the only national and regional media effort to promote awareness and use of the national toll-free </w:t>
      </w:r>
      <w:r w:rsidR="00B03BFB">
        <w:rPr>
          <w:rFonts w:ascii="Arial" w:hAnsi="Arial" w:cs="Arial"/>
          <w:color w:val="000000" w:themeColor="text1"/>
          <w:sz w:val="24"/>
        </w:rPr>
        <w:t>telephone number</w:t>
      </w:r>
      <w:r w:rsidRPr="0048628B">
        <w:rPr>
          <w:rFonts w:ascii="Arial" w:hAnsi="Arial" w:cs="Arial"/>
          <w:color w:val="000000" w:themeColor="text1"/>
          <w:sz w:val="24"/>
        </w:rPr>
        <w:t xml:space="preserve">.  The </w:t>
      </w:r>
      <w:r w:rsidR="00425DE4" w:rsidRPr="00425DE4">
        <w:rPr>
          <w:rFonts w:ascii="Arial" w:hAnsi="Arial" w:cs="Arial"/>
          <w:i/>
          <w:color w:val="000000" w:themeColor="text1"/>
          <w:sz w:val="24"/>
        </w:rPr>
        <w:t>Poison Help</w:t>
      </w:r>
      <w:r w:rsidRPr="0048628B">
        <w:rPr>
          <w:rFonts w:ascii="Arial" w:hAnsi="Arial" w:cs="Arial"/>
          <w:color w:val="000000" w:themeColor="text1"/>
          <w:sz w:val="24"/>
        </w:rPr>
        <w:t xml:space="preserve"> General Population Survey supplies unique and essential information that provides HRSA with data on variations in awareness and use of the national toll-free </w:t>
      </w:r>
      <w:r w:rsidR="00B03BFB">
        <w:rPr>
          <w:rFonts w:ascii="Arial" w:hAnsi="Arial" w:cs="Arial"/>
          <w:color w:val="000000" w:themeColor="text1"/>
          <w:sz w:val="24"/>
        </w:rPr>
        <w:t>telephone number</w:t>
      </w:r>
      <w:r w:rsidRPr="0048628B">
        <w:rPr>
          <w:rFonts w:ascii="Arial" w:hAnsi="Arial" w:cs="Arial"/>
          <w:color w:val="000000" w:themeColor="text1"/>
          <w:sz w:val="24"/>
        </w:rPr>
        <w:t xml:space="preserve">.  These data will also suggest which campaign messages about the </w:t>
      </w:r>
      <w:r w:rsidR="00425DE4" w:rsidRPr="00425DE4">
        <w:rPr>
          <w:rFonts w:ascii="Arial" w:hAnsi="Arial" w:cs="Arial"/>
          <w:i/>
          <w:color w:val="000000" w:themeColor="text1"/>
          <w:sz w:val="24"/>
        </w:rPr>
        <w:t>Poison Help</w:t>
      </w:r>
      <w:r w:rsidRPr="0048628B">
        <w:rPr>
          <w:rFonts w:ascii="Arial" w:hAnsi="Arial" w:cs="Arial"/>
          <w:color w:val="000000" w:themeColor="text1"/>
          <w:sz w:val="24"/>
        </w:rPr>
        <w:t xml:space="preserve"> line or other available poison center services have resonated most strongly with various audiences.  Results will be used to make comparisons with past and future evaluation activities, to make improvements to future campaign efforts including identification of new target audiences (e.g. certain age groups or at-risk populations), development of strategic partnerships with other Federal agencies and external stakeholder organizations, and reassessment of mediums used to deliver messaging.</w:t>
      </w:r>
    </w:p>
    <w:p w14:paraId="2721884C" w14:textId="00D2425D" w:rsidR="00FF539A" w:rsidRPr="0048628B" w:rsidRDefault="00FF539A" w:rsidP="00425DE4">
      <w:pPr>
        <w:spacing w:before="240"/>
        <w:rPr>
          <w:rFonts w:ascii="Arial" w:hAnsi="Arial" w:cs="Arial"/>
          <w:color w:val="000000" w:themeColor="text1"/>
          <w:sz w:val="24"/>
        </w:rPr>
      </w:pPr>
      <w:r w:rsidRPr="0048628B">
        <w:rPr>
          <w:rFonts w:ascii="Arial" w:hAnsi="Arial" w:cs="Arial"/>
          <w:color w:val="000000" w:themeColor="text1"/>
          <w:sz w:val="24"/>
        </w:rPr>
        <w:t xml:space="preserve">The </w:t>
      </w:r>
      <w:r w:rsidR="00425DE4" w:rsidRPr="00425DE4">
        <w:rPr>
          <w:rFonts w:ascii="Arial" w:hAnsi="Arial" w:cs="Arial"/>
          <w:i/>
          <w:color w:val="000000" w:themeColor="text1"/>
          <w:sz w:val="24"/>
        </w:rPr>
        <w:t>Poison Help</w:t>
      </w:r>
      <w:r w:rsidRPr="0048628B">
        <w:rPr>
          <w:rFonts w:ascii="Arial" w:hAnsi="Arial" w:cs="Arial"/>
          <w:color w:val="000000" w:themeColor="text1"/>
          <w:sz w:val="24"/>
        </w:rPr>
        <w:t xml:space="preserve"> General Population Survey is designed to assess the campaign’s effects </w:t>
      </w:r>
      <w:r w:rsidR="008A154D">
        <w:rPr>
          <w:rFonts w:ascii="Arial" w:hAnsi="Arial" w:cs="Arial"/>
          <w:color w:val="000000" w:themeColor="text1"/>
          <w:sz w:val="24"/>
        </w:rPr>
        <w:t xml:space="preserve">based on a national sample of </w:t>
      </w:r>
      <w:r w:rsidRPr="0048628B">
        <w:rPr>
          <w:rFonts w:ascii="Arial" w:hAnsi="Arial" w:cs="Arial"/>
          <w:color w:val="000000" w:themeColor="text1"/>
          <w:sz w:val="24"/>
        </w:rPr>
        <w:t xml:space="preserve">2,000 households in the United States.  This 10-minute telephone survey will be conducted with an adult household member and will address topics related to the types of individuals or organizations they would contact (e.g., poison center, 911, family member) to seek treatment advice for a possible or definite poisoning or to obtain poison prevention information.  </w:t>
      </w:r>
    </w:p>
    <w:p w14:paraId="309AD498" w14:textId="0B8AB80C" w:rsidR="00FF539A" w:rsidRDefault="00FF539A" w:rsidP="00425DE4">
      <w:pPr>
        <w:spacing w:before="240"/>
        <w:rPr>
          <w:rFonts w:ascii="Arial" w:hAnsi="Arial" w:cs="Arial"/>
          <w:color w:val="000000" w:themeColor="text1"/>
          <w:sz w:val="24"/>
        </w:rPr>
      </w:pPr>
      <w:r w:rsidRPr="0048628B">
        <w:rPr>
          <w:rFonts w:ascii="Arial" w:hAnsi="Arial" w:cs="Arial"/>
          <w:color w:val="000000" w:themeColor="text1"/>
          <w:sz w:val="24"/>
        </w:rPr>
        <w:t xml:space="preserve">The </w:t>
      </w:r>
      <w:r w:rsidR="00425DE4" w:rsidRPr="00425DE4">
        <w:rPr>
          <w:rFonts w:ascii="Arial" w:hAnsi="Arial" w:cs="Arial"/>
          <w:i/>
          <w:color w:val="000000" w:themeColor="text1"/>
          <w:sz w:val="24"/>
        </w:rPr>
        <w:t>Poison Help</w:t>
      </w:r>
      <w:r w:rsidRPr="0048628B">
        <w:rPr>
          <w:rFonts w:ascii="Arial" w:hAnsi="Arial" w:cs="Arial"/>
          <w:color w:val="000000" w:themeColor="text1"/>
          <w:sz w:val="24"/>
        </w:rPr>
        <w:t xml:space="preserve"> General Population Survey will provide HRSA with necessary feedback to gauge the campaign’s efforts to promote widespread adoption of the toll-free </w:t>
      </w:r>
      <w:r w:rsidR="00B03BFB">
        <w:rPr>
          <w:rFonts w:ascii="Arial" w:hAnsi="Arial" w:cs="Arial"/>
          <w:color w:val="000000" w:themeColor="text1"/>
          <w:sz w:val="24"/>
        </w:rPr>
        <w:t>telephone number</w:t>
      </w:r>
      <w:r w:rsidRPr="0048628B">
        <w:rPr>
          <w:rFonts w:ascii="Arial" w:hAnsi="Arial" w:cs="Arial"/>
          <w:color w:val="000000" w:themeColor="text1"/>
          <w:sz w:val="24"/>
        </w:rPr>
        <w:t>, and awareness and knowledge of poison centers and the services they provide.  Survey results will indicate whether campaign messages are salient among target audiences and how media and community education outreach efforts should be tailored for future campaign activities.  Data will also be shared with the Nation’s poison control centers to ensure consistent messaging.</w:t>
      </w:r>
    </w:p>
    <w:p w14:paraId="117BEBA0" w14:textId="624251C5" w:rsidR="007055FD" w:rsidRDefault="007055FD" w:rsidP="00425DE4">
      <w:pPr>
        <w:spacing w:before="240"/>
        <w:rPr>
          <w:rFonts w:ascii="Arial" w:hAnsi="Arial" w:cs="Arial"/>
          <w:color w:val="000000" w:themeColor="text1"/>
          <w:sz w:val="24"/>
        </w:rPr>
      </w:pPr>
      <w:r>
        <w:rPr>
          <w:rFonts w:ascii="Arial" w:hAnsi="Arial" w:cs="Arial"/>
          <w:color w:val="000000" w:themeColor="text1"/>
          <w:sz w:val="24"/>
        </w:rPr>
        <w:t>In order to compare 2011 survey data to the 2017 survey data, the 2017 survey instrument is consistent with the 2011 survey instrument</w:t>
      </w:r>
      <w:r w:rsidR="0051368D">
        <w:rPr>
          <w:rFonts w:ascii="Arial" w:hAnsi="Arial" w:cs="Arial"/>
          <w:color w:val="000000" w:themeColor="text1"/>
          <w:sz w:val="24"/>
        </w:rPr>
        <w:t>, in both question order and question content</w:t>
      </w:r>
      <w:r w:rsidR="001E083E">
        <w:rPr>
          <w:rFonts w:ascii="Arial" w:hAnsi="Arial" w:cs="Arial"/>
          <w:color w:val="000000" w:themeColor="text1"/>
          <w:sz w:val="24"/>
        </w:rPr>
        <w:t xml:space="preserve">.  </w:t>
      </w:r>
      <w:r w:rsidRPr="00CC3A65">
        <w:rPr>
          <w:rFonts w:ascii="Arial" w:hAnsi="Arial" w:cs="Arial"/>
          <w:color w:val="000000" w:themeColor="text1"/>
          <w:sz w:val="24"/>
          <w:highlight w:val="yellow"/>
        </w:rPr>
        <w:t>Minimal modifications and additions to the instrument</w:t>
      </w:r>
      <w:r w:rsidR="0051368D" w:rsidRPr="00CC3A65">
        <w:rPr>
          <w:rFonts w:ascii="Arial" w:hAnsi="Arial" w:cs="Arial"/>
          <w:color w:val="000000" w:themeColor="text1"/>
          <w:sz w:val="24"/>
          <w:highlight w:val="yellow"/>
        </w:rPr>
        <w:t xml:space="preserve"> </w:t>
      </w:r>
      <w:r w:rsidRPr="00CC3A65">
        <w:rPr>
          <w:rFonts w:ascii="Arial" w:hAnsi="Arial" w:cs="Arial"/>
          <w:color w:val="000000" w:themeColor="text1"/>
          <w:sz w:val="24"/>
          <w:highlight w:val="yellow"/>
        </w:rPr>
        <w:t>were made to address current campaign priorities</w:t>
      </w:r>
      <w:r w:rsidR="0051368D" w:rsidRPr="00CC3A65">
        <w:rPr>
          <w:rFonts w:ascii="Arial" w:hAnsi="Arial" w:cs="Arial"/>
          <w:color w:val="000000" w:themeColor="text1"/>
          <w:sz w:val="24"/>
          <w:highlight w:val="yellow"/>
        </w:rPr>
        <w:t>, without increasing the survey length or burden</w:t>
      </w:r>
      <w:r w:rsidR="001E083E" w:rsidRPr="00CC3A65">
        <w:rPr>
          <w:rFonts w:ascii="Arial" w:hAnsi="Arial" w:cs="Arial"/>
          <w:color w:val="000000" w:themeColor="text1"/>
          <w:sz w:val="24"/>
          <w:highlight w:val="yellow"/>
        </w:rPr>
        <w:t xml:space="preserve">.  </w:t>
      </w:r>
      <w:r w:rsidRPr="00CC3A65">
        <w:rPr>
          <w:rFonts w:ascii="Arial" w:hAnsi="Arial" w:cs="Arial"/>
          <w:color w:val="000000" w:themeColor="text1"/>
          <w:sz w:val="24"/>
          <w:highlight w:val="yellow"/>
        </w:rPr>
        <w:t xml:space="preserve">In the 2017 survey instrument, we removed questions deemed unnecessary </w:t>
      </w:r>
      <w:r w:rsidR="00DF75B4" w:rsidRPr="00CC3A65">
        <w:rPr>
          <w:rFonts w:ascii="Arial" w:hAnsi="Arial" w:cs="Arial"/>
          <w:color w:val="000000" w:themeColor="text1"/>
          <w:sz w:val="24"/>
          <w:highlight w:val="yellow"/>
        </w:rPr>
        <w:t>(</w:t>
      </w:r>
      <w:r w:rsidRPr="00CC3A65">
        <w:rPr>
          <w:rFonts w:ascii="Arial" w:hAnsi="Arial" w:cs="Arial"/>
          <w:color w:val="000000" w:themeColor="text1"/>
          <w:sz w:val="24"/>
          <w:highlight w:val="yellow"/>
        </w:rPr>
        <w:t>becau</w:t>
      </w:r>
      <w:r w:rsidR="00DF75B4" w:rsidRPr="00CC3A65">
        <w:rPr>
          <w:rFonts w:ascii="Arial" w:hAnsi="Arial" w:cs="Arial"/>
          <w:color w:val="000000" w:themeColor="text1"/>
          <w:sz w:val="24"/>
          <w:highlight w:val="yellow"/>
        </w:rPr>
        <w:t xml:space="preserve">se </w:t>
      </w:r>
      <w:r w:rsidRPr="00CC3A65">
        <w:rPr>
          <w:rFonts w:ascii="Arial" w:hAnsi="Arial" w:cs="Arial"/>
          <w:color w:val="000000" w:themeColor="text1"/>
          <w:sz w:val="24"/>
          <w:highlight w:val="yellow"/>
        </w:rPr>
        <w:t>information can be gleaned from other questions</w:t>
      </w:r>
      <w:r w:rsidR="00DF75B4" w:rsidRPr="00CC3A65">
        <w:rPr>
          <w:rFonts w:ascii="Arial" w:hAnsi="Arial" w:cs="Arial"/>
          <w:color w:val="000000" w:themeColor="text1"/>
          <w:sz w:val="24"/>
          <w:highlight w:val="yellow"/>
        </w:rPr>
        <w:t>)</w:t>
      </w:r>
      <w:r w:rsidRPr="00CC3A65">
        <w:rPr>
          <w:rFonts w:ascii="Arial" w:hAnsi="Arial" w:cs="Arial"/>
          <w:color w:val="000000" w:themeColor="text1"/>
          <w:sz w:val="24"/>
          <w:highlight w:val="yellow"/>
        </w:rPr>
        <w:t xml:space="preserve">, and </w:t>
      </w:r>
      <w:r w:rsidR="0051368D" w:rsidRPr="00CC3A65">
        <w:rPr>
          <w:rFonts w:ascii="Arial" w:hAnsi="Arial" w:cs="Arial"/>
          <w:color w:val="000000" w:themeColor="text1"/>
          <w:sz w:val="24"/>
          <w:highlight w:val="yellow"/>
        </w:rPr>
        <w:t>included questions related</w:t>
      </w:r>
      <w:r w:rsidRPr="00CC3A65">
        <w:rPr>
          <w:rFonts w:ascii="Arial" w:hAnsi="Arial" w:cs="Arial"/>
          <w:color w:val="000000" w:themeColor="text1"/>
          <w:sz w:val="24"/>
          <w:highlight w:val="yellow"/>
        </w:rPr>
        <w:t xml:space="preserve"> to </w:t>
      </w:r>
      <w:r w:rsidR="00DF75B4" w:rsidRPr="00CC3A65">
        <w:rPr>
          <w:rFonts w:ascii="Arial" w:hAnsi="Arial" w:cs="Arial"/>
          <w:color w:val="000000" w:themeColor="text1"/>
          <w:sz w:val="24"/>
          <w:highlight w:val="yellow"/>
        </w:rPr>
        <w:t xml:space="preserve">the new additional campaign priorities (opioid, that is, </w:t>
      </w:r>
      <w:r w:rsidRPr="00CC3A65">
        <w:rPr>
          <w:rFonts w:ascii="Arial" w:hAnsi="Arial" w:cs="Arial"/>
          <w:color w:val="000000" w:themeColor="text1"/>
          <w:sz w:val="24"/>
          <w:highlight w:val="yellow"/>
        </w:rPr>
        <w:t xml:space="preserve">prescription pain </w:t>
      </w:r>
      <w:r w:rsidR="00DF75B4" w:rsidRPr="00CC3A65">
        <w:rPr>
          <w:rFonts w:ascii="Arial" w:hAnsi="Arial" w:cs="Arial"/>
          <w:color w:val="000000" w:themeColor="text1"/>
          <w:sz w:val="24"/>
          <w:highlight w:val="yellow"/>
        </w:rPr>
        <w:t xml:space="preserve">medication </w:t>
      </w:r>
      <w:r w:rsidR="0051368D" w:rsidRPr="00CC3A65">
        <w:rPr>
          <w:rFonts w:ascii="Arial" w:hAnsi="Arial" w:cs="Arial"/>
          <w:color w:val="000000" w:themeColor="text1"/>
          <w:sz w:val="24"/>
          <w:highlight w:val="yellow"/>
        </w:rPr>
        <w:t>and heroin</w:t>
      </w:r>
      <w:r w:rsidR="00DF75B4" w:rsidRPr="00CC3A65">
        <w:rPr>
          <w:rFonts w:ascii="Arial" w:hAnsi="Arial" w:cs="Arial"/>
          <w:color w:val="000000" w:themeColor="text1"/>
          <w:sz w:val="24"/>
          <w:highlight w:val="yellow"/>
        </w:rPr>
        <w:t>,</w:t>
      </w:r>
      <w:r w:rsidR="0051368D" w:rsidRPr="00CC3A65">
        <w:rPr>
          <w:rFonts w:ascii="Arial" w:hAnsi="Arial" w:cs="Arial"/>
          <w:color w:val="000000" w:themeColor="text1"/>
          <w:sz w:val="24"/>
          <w:highlight w:val="yellow"/>
        </w:rPr>
        <w:t xml:space="preserve"> overdose</w:t>
      </w:r>
      <w:r w:rsidR="00DF75B4" w:rsidRPr="00CC3A65">
        <w:rPr>
          <w:rFonts w:ascii="Arial" w:hAnsi="Arial" w:cs="Arial"/>
          <w:color w:val="000000" w:themeColor="text1"/>
          <w:sz w:val="24"/>
          <w:highlight w:val="yellow"/>
        </w:rPr>
        <w:t>)</w:t>
      </w:r>
      <w:r w:rsidR="001E083E" w:rsidRPr="00CC3A65">
        <w:rPr>
          <w:rFonts w:ascii="Arial" w:hAnsi="Arial" w:cs="Arial"/>
          <w:color w:val="000000" w:themeColor="text1"/>
          <w:sz w:val="24"/>
          <w:highlight w:val="yellow"/>
        </w:rPr>
        <w:t xml:space="preserve">.  </w:t>
      </w:r>
      <w:r w:rsidR="00DF75B4" w:rsidRPr="00CC3A65">
        <w:rPr>
          <w:rFonts w:ascii="Arial" w:hAnsi="Arial" w:cs="Arial"/>
          <w:color w:val="000000" w:themeColor="text1"/>
          <w:sz w:val="24"/>
          <w:highlight w:val="yellow"/>
        </w:rPr>
        <w:t xml:space="preserve">In light of the current </w:t>
      </w:r>
      <w:r w:rsidR="00FA5614" w:rsidRPr="00CC3A65">
        <w:rPr>
          <w:rFonts w:ascii="Arial" w:hAnsi="Arial" w:cs="Arial"/>
          <w:color w:val="000000" w:themeColor="text1"/>
          <w:sz w:val="24"/>
          <w:highlight w:val="yellow"/>
        </w:rPr>
        <w:t xml:space="preserve">need to </w:t>
      </w:r>
      <w:r w:rsidR="00DF75B4" w:rsidRPr="00CC3A65">
        <w:rPr>
          <w:rFonts w:ascii="Arial" w:hAnsi="Arial" w:cs="Arial"/>
          <w:color w:val="000000" w:themeColor="text1"/>
          <w:sz w:val="24"/>
          <w:highlight w:val="yellow"/>
        </w:rPr>
        <w:t xml:space="preserve">use of dual-frame landline and mobile </w:t>
      </w:r>
      <w:r w:rsidR="003723CF" w:rsidRPr="00CC3A65">
        <w:rPr>
          <w:rFonts w:ascii="Arial" w:hAnsi="Arial" w:cs="Arial"/>
          <w:color w:val="000000" w:themeColor="text1"/>
          <w:sz w:val="24"/>
          <w:highlight w:val="yellow"/>
        </w:rPr>
        <w:t>phone,</w:t>
      </w:r>
      <w:r w:rsidR="00DF75B4" w:rsidRPr="00CC3A65">
        <w:rPr>
          <w:rFonts w:ascii="Arial" w:hAnsi="Arial" w:cs="Arial"/>
          <w:color w:val="000000" w:themeColor="text1"/>
          <w:sz w:val="24"/>
          <w:highlight w:val="yellow"/>
        </w:rPr>
        <w:t xml:space="preserve"> sampling methodologies</w:t>
      </w:r>
      <w:r w:rsidR="00FA5614" w:rsidRPr="00CC3A65">
        <w:rPr>
          <w:rFonts w:ascii="Arial" w:hAnsi="Arial" w:cs="Arial"/>
          <w:color w:val="000000" w:themeColor="text1"/>
          <w:sz w:val="24"/>
          <w:highlight w:val="yellow"/>
        </w:rPr>
        <w:t xml:space="preserve"> to maintain high quality nationally representative survey sampling</w:t>
      </w:r>
      <w:r w:rsidR="00DF75B4" w:rsidRPr="00CC3A65">
        <w:rPr>
          <w:rFonts w:ascii="Arial" w:hAnsi="Arial" w:cs="Arial"/>
          <w:color w:val="000000" w:themeColor="text1"/>
          <w:sz w:val="24"/>
          <w:highlight w:val="yellow"/>
        </w:rPr>
        <w:t xml:space="preserve">, </w:t>
      </w:r>
      <w:r w:rsidR="0051368D" w:rsidRPr="00CC3A65">
        <w:rPr>
          <w:rFonts w:ascii="Arial" w:hAnsi="Arial" w:cs="Arial"/>
          <w:color w:val="000000" w:themeColor="text1"/>
          <w:sz w:val="24"/>
          <w:highlight w:val="yellow"/>
        </w:rPr>
        <w:t>standard questions related to landline vs. cell phone utilization</w:t>
      </w:r>
      <w:r w:rsidR="00DF75B4" w:rsidRPr="00CC3A65">
        <w:rPr>
          <w:rFonts w:ascii="Arial" w:hAnsi="Arial" w:cs="Arial"/>
          <w:color w:val="000000" w:themeColor="text1"/>
          <w:sz w:val="24"/>
          <w:highlight w:val="yellow"/>
        </w:rPr>
        <w:t xml:space="preserve"> were added for weighting and quality control purposes</w:t>
      </w:r>
      <w:r w:rsidR="0051368D" w:rsidRPr="00CC3A65">
        <w:rPr>
          <w:rFonts w:ascii="Arial" w:hAnsi="Arial" w:cs="Arial"/>
          <w:color w:val="000000" w:themeColor="text1"/>
          <w:sz w:val="24"/>
          <w:highlight w:val="yellow"/>
        </w:rPr>
        <w:t>.</w:t>
      </w:r>
      <w:r w:rsidR="0051368D">
        <w:rPr>
          <w:rFonts w:ascii="Arial" w:hAnsi="Arial" w:cs="Arial"/>
          <w:color w:val="000000" w:themeColor="text1"/>
          <w:sz w:val="24"/>
        </w:rPr>
        <w:t xml:space="preserve"> </w:t>
      </w:r>
    </w:p>
    <w:p w14:paraId="33705FC7" w14:textId="19043BB4" w:rsidR="0051368D" w:rsidRPr="0048628B" w:rsidRDefault="00E3515B" w:rsidP="00425DE4">
      <w:pPr>
        <w:spacing w:before="240"/>
        <w:rPr>
          <w:rFonts w:ascii="Arial" w:hAnsi="Arial" w:cs="Arial"/>
          <w:color w:val="000000" w:themeColor="text1"/>
          <w:sz w:val="24"/>
        </w:rPr>
      </w:pPr>
      <w:r>
        <w:rPr>
          <w:rFonts w:ascii="Arial" w:hAnsi="Arial" w:cs="Arial"/>
          <w:color w:val="000000" w:themeColor="text1"/>
          <w:sz w:val="24"/>
        </w:rPr>
        <w:t>Between the previously approved and conducted study in 2011 and this current initiative,</w:t>
      </w:r>
      <w:r w:rsidR="00FA5614">
        <w:rPr>
          <w:rFonts w:ascii="Arial" w:hAnsi="Arial" w:cs="Arial"/>
          <w:color w:val="000000" w:themeColor="text1"/>
          <w:sz w:val="24"/>
        </w:rPr>
        <w:t xml:space="preserve"> there is</w:t>
      </w:r>
      <w:r>
        <w:rPr>
          <w:rFonts w:ascii="Arial" w:hAnsi="Arial" w:cs="Arial"/>
          <w:color w:val="000000" w:themeColor="text1"/>
          <w:sz w:val="24"/>
        </w:rPr>
        <w:t xml:space="preserve"> </w:t>
      </w:r>
      <w:r w:rsidR="00136C6B">
        <w:rPr>
          <w:rFonts w:ascii="Arial" w:hAnsi="Arial" w:cs="Arial"/>
          <w:color w:val="000000" w:themeColor="text1"/>
          <w:sz w:val="24"/>
        </w:rPr>
        <w:t>minimal change i</w:t>
      </w:r>
      <w:r w:rsidR="00FA5614">
        <w:rPr>
          <w:rFonts w:ascii="Arial" w:hAnsi="Arial" w:cs="Arial"/>
          <w:color w:val="000000" w:themeColor="text1"/>
          <w:sz w:val="24"/>
        </w:rPr>
        <w:t>n burden</w:t>
      </w:r>
      <w:r w:rsidR="00136C6B">
        <w:rPr>
          <w:rFonts w:ascii="Arial" w:hAnsi="Arial" w:cs="Arial"/>
          <w:color w:val="000000" w:themeColor="text1"/>
          <w:sz w:val="24"/>
        </w:rPr>
        <w:t>, from 370 to 374 hours</w:t>
      </w:r>
      <w:r>
        <w:rPr>
          <w:rFonts w:ascii="Arial" w:hAnsi="Arial" w:cs="Arial"/>
          <w:color w:val="000000" w:themeColor="text1"/>
          <w:sz w:val="24"/>
        </w:rPr>
        <w:t>.</w:t>
      </w:r>
    </w:p>
    <w:p w14:paraId="2CE27F6B" w14:textId="77777777" w:rsidR="009B3794" w:rsidRPr="00C45431" w:rsidRDefault="009B3794" w:rsidP="00425DE4">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14:paraId="3D7EAE0A" w14:textId="19DA408B" w:rsidR="00FF539A" w:rsidRPr="0048628B" w:rsidRDefault="00FF539A" w:rsidP="00425DE4">
      <w:pPr>
        <w:spacing w:before="240"/>
        <w:rPr>
          <w:rFonts w:ascii="Arial" w:hAnsi="Arial" w:cs="Arial"/>
          <w:color w:val="000000" w:themeColor="text1"/>
          <w:sz w:val="24"/>
        </w:rPr>
      </w:pPr>
      <w:r w:rsidRPr="0048628B">
        <w:rPr>
          <w:rFonts w:ascii="Arial" w:hAnsi="Arial" w:cs="Arial"/>
          <w:color w:val="000000" w:themeColor="text1"/>
          <w:sz w:val="24"/>
        </w:rPr>
        <w:t xml:space="preserve">The </w:t>
      </w:r>
      <w:r w:rsidR="00425DE4" w:rsidRPr="00425DE4">
        <w:rPr>
          <w:rFonts w:ascii="Arial" w:hAnsi="Arial" w:cs="Arial"/>
          <w:i/>
          <w:color w:val="000000" w:themeColor="text1"/>
          <w:sz w:val="24"/>
        </w:rPr>
        <w:t>Poison Help</w:t>
      </w:r>
      <w:r w:rsidRPr="0048628B">
        <w:rPr>
          <w:rFonts w:ascii="Arial" w:hAnsi="Arial" w:cs="Arial"/>
          <w:color w:val="000000" w:themeColor="text1"/>
          <w:sz w:val="24"/>
        </w:rPr>
        <w:t xml:space="preserve"> General Population Survey is planned as a full dual frame sample design, which combines cell phone and random digit dial (RDD) sample design methodologies (see section B.1).  This survey will use </w:t>
      </w:r>
      <w:r w:rsidR="009A4D85">
        <w:rPr>
          <w:rFonts w:ascii="Arial" w:hAnsi="Arial" w:cs="Arial"/>
          <w:color w:val="000000" w:themeColor="text1"/>
          <w:sz w:val="24"/>
        </w:rPr>
        <w:t xml:space="preserve">state-of-the-art </w:t>
      </w:r>
      <w:r w:rsidRPr="0048628B">
        <w:rPr>
          <w:rFonts w:ascii="Arial" w:hAnsi="Arial" w:cs="Arial"/>
          <w:color w:val="000000" w:themeColor="text1"/>
          <w:sz w:val="24"/>
        </w:rPr>
        <w:t>computer-assisted telephone interviewing (C</w:t>
      </w:r>
      <w:r w:rsidR="009A4D85">
        <w:rPr>
          <w:rFonts w:ascii="Arial" w:hAnsi="Arial" w:cs="Arial"/>
          <w:color w:val="000000" w:themeColor="text1"/>
          <w:sz w:val="24"/>
        </w:rPr>
        <w:t>ATI) technology</w:t>
      </w:r>
      <w:r w:rsidR="001E083E">
        <w:rPr>
          <w:rFonts w:ascii="Arial" w:hAnsi="Arial" w:cs="Arial"/>
          <w:color w:val="000000" w:themeColor="text1"/>
          <w:sz w:val="24"/>
        </w:rPr>
        <w:t xml:space="preserve">.  </w:t>
      </w:r>
      <w:r w:rsidR="009A4D85">
        <w:rPr>
          <w:rFonts w:ascii="Arial" w:hAnsi="Arial" w:cs="Arial"/>
          <w:color w:val="000000" w:themeColor="text1"/>
          <w:sz w:val="24"/>
        </w:rPr>
        <w:t>This</w:t>
      </w:r>
      <w:r w:rsidRPr="0048628B">
        <w:rPr>
          <w:rFonts w:ascii="Arial" w:hAnsi="Arial" w:cs="Arial"/>
          <w:color w:val="000000" w:themeColor="text1"/>
          <w:sz w:val="24"/>
        </w:rPr>
        <w:t xml:space="preserve"> methodology permits the instrument designer to incorporate more complex routings </w:t>
      </w:r>
      <w:r w:rsidR="009A4D85">
        <w:rPr>
          <w:rFonts w:ascii="Arial" w:hAnsi="Arial" w:cs="Arial"/>
          <w:color w:val="000000" w:themeColor="text1"/>
          <w:sz w:val="24"/>
        </w:rPr>
        <w:t xml:space="preserve">and skip patterns </w:t>
      </w:r>
      <w:r w:rsidRPr="0048628B">
        <w:rPr>
          <w:rFonts w:ascii="Arial" w:hAnsi="Arial" w:cs="Arial"/>
          <w:color w:val="000000" w:themeColor="text1"/>
          <w:sz w:val="24"/>
        </w:rPr>
        <w:t>in</w:t>
      </w:r>
      <w:r w:rsidR="009A4D85">
        <w:rPr>
          <w:rFonts w:ascii="Arial" w:hAnsi="Arial" w:cs="Arial"/>
          <w:color w:val="000000" w:themeColor="text1"/>
          <w:sz w:val="24"/>
        </w:rPr>
        <w:t>to the questionnaire while reducing error, because t</w:t>
      </w:r>
      <w:r w:rsidRPr="0048628B">
        <w:rPr>
          <w:rFonts w:ascii="Arial" w:hAnsi="Arial" w:cs="Arial"/>
          <w:color w:val="000000" w:themeColor="text1"/>
          <w:sz w:val="24"/>
        </w:rPr>
        <w:t>he computer can be programmed to implement complex skip patterns and fill specific wordings based on answers previously provided by the respondent.  In addition, CATI technology allows for tailoring of subgroups of respondents as needed.  Errors made by interviewers and respondents because of faulty implementation of skip patterns are virtually eliminated.  A second advantage relates to the consistency of data.  The computer can be programmed to prevent out-of-range responses and identify inconsistent responses.  An interviewer can then attempt to resolve these problems through respondent prompts.  This mechanism reduces the need for most manual and machine-editing, thus saving both time and money.  In addition, it is likely that the inconsistencies resolved by respondents will be more accurate than inconsistencies resolved by using editing rules.  Finally, CATI technology uses a computerized tracking system that includes a scheduling component and a sophisticated case delivery system, thus reducing staff hours.</w:t>
      </w:r>
    </w:p>
    <w:p w14:paraId="33B1689D" w14:textId="5800FB1F" w:rsidR="00FF539A" w:rsidRPr="0048628B" w:rsidRDefault="009A4D85" w:rsidP="00425DE4">
      <w:pPr>
        <w:spacing w:before="240"/>
        <w:rPr>
          <w:rFonts w:ascii="Arial" w:hAnsi="Arial" w:cs="Arial"/>
          <w:color w:val="000000" w:themeColor="text1"/>
          <w:sz w:val="24"/>
        </w:rPr>
      </w:pPr>
      <w:r>
        <w:rPr>
          <w:rFonts w:ascii="Arial" w:hAnsi="Arial" w:cs="Arial"/>
          <w:color w:val="000000" w:themeColor="text1"/>
          <w:sz w:val="24"/>
        </w:rPr>
        <w:t xml:space="preserve">CATI </w:t>
      </w:r>
      <w:r w:rsidR="00FF539A" w:rsidRPr="0048628B">
        <w:rPr>
          <w:rFonts w:ascii="Arial" w:hAnsi="Arial" w:cs="Arial"/>
          <w:color w:val="000000" w:themeColor="text1"/>
          <w:sz w:val="24"/>
        </w:rPr>
        <w:t>permit</w:t>
      </w:r>
      <w:r>
        <w:rPr>
          <w:rFonts w:ascii="Arial" w:hAnsi="Arial" w:cs="Arial"/>
          <w:color w:val="000000" w:themeColor="text1"/>
          <w:sz w:val="24"/>
        </w:rPr>
        <w:t>s</w:t>
      </w:r>
      <w:r w:rsidR="00FF539A" w:rsidRPr="0048628B">
        <w:rPr>
          <w:rFonts w:ascii="Arial" w:hAnsi="Arial" w:cs="Arial"/>
          <w:color w:val="000000" w:themeColor="text1"/>
          <w:sz w:val="24"/>
        </w:rPr>
        <w:t xml:space="preserve"> greater expediency with respect to data processing and analysis because a number of back-end processing steps, including editing, coding, and data entry, become part of the data collection process.  These efficiencies save time </w:t>
      </w:r>
      <w:r w:rsidR="003723CF" w:rsidRPr="0048628B">
        <w:rPr>
          <w:rFonts w:ascii="Arial" w:hAnsi="Arial" w:cs="Arial"/>
          <w:color w:val="000000" w:themeColor="text1"/>
          <w:sz w:val="24"/>
        </w:rPr>
        <w:t>because</w:t>
      </w:r>
      <w:r w:rsidR="00FF539A" w:rsidRPr="0048628B">
        <w:rPr>
          <w:rFonts w:ascii="Arial" w:hAnsi="Arial" w:cs="Arial"/>
          <w:color w:val="000000" w:themeColor="text1"/>
          <w:sz w:val="24"/>
        </w:rPr>
        <w:t xml:space="preserve"> of the speed of data transmission.  Tasks formerly com</w:t>
      </w:r>
      <w:r>
        <w:rPr>
          <w:rFonts w:ascii="Arial" w:hAnsi="Arial" w:cs="Arial"/>
          <w:color w:val="000000" w:themeColor="text1"/>
          <w:sz w:val="24"/>
        </w:rPr>
        <w:t xml:space="preserve">pleted by clerical staff are </w:t>
      </w:r>
      <w:r w:rsidR="00FF539A" w:rsidRPr="0048628B">
        <w:rPr>
          <w:rFonts w:ascii="Arial" w:hAnsi="Arial" w:cs="Arial"/>
          <w:color w:val="000000" w:themeColor="text1"/>
          <w:sz w:val="24"/>
        </w:rPr>
        <w:t xml:space="preserve">accomplished </w:t>
      </w:r>
      <w:r>
        <w:rPr>
          <w:rFonts w:ascii="Arial" w:hAnsi="Arial" w:cs="Arial"/>
          <w:color w:val="000000" w:themeColor="text1"/>
          <w:sz w:val="24"/>
        </w:rPr>
        <w:t xml:space="preserve">by the CATI program.  </w:t>
      </w:r>
      <w:r w:rsidR="00FF539A" w:rsidRPr="0048628B">
        <w:rPr>
          <w:rFonts w:ascii="Arial" w:hAnsi="Arial" w:cs="Arial"/>
          <w:color w:val="000000" w:themeColor="text1"/>
          <w:sz w:val="24"/>
        </w:rPr>
        <w:t xml:space="preserve">Only questions relevant to the campaign goals will be asked of respondents during the telephone survey. </w:t>
      </w:r>
    </w:p>
    <w:p w14:paraId="2CE27F70" w14:textId="77777777" w:rsidR="009B3794" w:rsidRPr="00C45431" w:rsidRDefault="009B3794" w:rsidP="00425DE4">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14:paraId="7F0F3E67" w14:textId="5273295A" w:rsidR="00FF539A" w:rsidRPr="0048628B" w:rsidRDefault="00FF539A" w:rsidP="00425DE4">
      <w:pPr>
        <w:spacing w:before="240"/>
        <w:rPr>
          <w:rFonts w:ascii="Arial" w:hAnsi="Arial" w:cs="Arial"/>
          <w:color w:val="000000" w:themeColor="text1"/>
          <w:sz w:val="24"/>
        </w:rPr>
      </w:pPr>
      <w:r w:rsidRPr="0048628B">
        <w:rPr>
          <w:rFonts w:ascii="Arial" w:hAnsi="Arial" w:cs="Arial"/>
          <w:color w:val="000000" w:themeColor="text1"/>
          <w:sz w:val="24"/>
        </w:rPr>
        <w:t xml:space="preserve">As stated </w:t>
      </w:r>
      <w:r w:rsidRPr="00A57108">
        <w:rPr>
          <w:rFonts w:ascii="Arial" w:hAnsi="Arial" w:cs="Arial"/>
          <w:color w:val="000000" w:themeColor="text1"/>
          <w:sz w:val="24"/>
        </w:rPr>
        <w:t xml:space="preserve">in </w:t>
      </w:r>
      <w:r w:rsidR="00A57108" w:rsidRPr="00A57108">
        <w:rPr>
          <w:rFonts w:ascii="Arial" w:hAnsi="Arial" w:cs="Arial"/>
          <w:color w:val="000000" w:themeColor="text1"/>
          <w:sz w:val="24"/>
        </w:rPr>
        <w:t>Section 1</w:t>
      </w:r>
      <w:r w:rsidRPr="00A57108">
        <w:rPr>
          <w:rFonts w:ascii="Arial" w:hAnsi="Arial" w:cs="Arial"/>
          <w:color w:val="000000" w:themeColor="text1"/>
          <w:sz w:val="24"/>
        </w:rPr>
        <w:t>, the</w:t>
      </w:r>
      <w:r w:rsidRPr="0048628B">
        <w:rPr>
          <w:rFonts w:ascii="Arial" w:hAnsi="Arial" w:cs="Arial"/>
          <w:color w:val="000000" w:themeColor="text1"/>
          <w:sz w:val="24"/>
        </w:rPr>
        <w:t xml:space="preserve"> purpose of the </w:t>
      </w:r>
      <w:r w:rsidR="00425DE4" w:rsidRPr="00425DE4">
        <w:rPr>
          <w:rFonts w:ascii="Arial" w:hAnsi="Arial" w:cs="Arial"/>
          <w:i/>
          <w:color w:val="000000" w:themeColor="text1"/>
          <w:sz w:val="24"/>
        </w:rPr>
        <w:t>Poison Help</w:t>
      </w:r>
      <w:r w:rsidRPr="0048628B">
        <w:rPr>
          <w:rFonts w:ascii="Arial" w:hAnsi="Arial" w:cs="Arial"/>
          <w:color w:val="000000" w:themeColor="text1"/>
          <w:sz w:val="24"/>
        </w:rPr>
        <w:t xml:space="preserve"> campaign survey is to gauge awareness and use of the national toll-free </w:t>
      </w:r>
      <w:r w:rsidR="00B03BFB">
        <w:rPr>
          <w:rFonts w:ascii="Arial" w:hAnsi="Arial" w:cs="Arial"/>
          <w:color w:val="000000" w:themeColor="text1"/>
          <w:sz w:val="24"/>
        </w:rPr>
        <w:t>telephone number</w:t>
      </w:r>
      <w:r w:rsidRPr="0048628B">
        <w:rPr>
          <w:rFonts w:ascii="Arial" w:hAnsi="Arial" w:cs="Arial"/>
          <w:color w:val="000000" w:themeColor="text1"/>
          <w:sz w:val="24"/>
        </w:rPr>
        <w:t>; and awareness and knowledge about poison centers, and</w:t>
      </w:r>
      <w:r w:rsidR="001931C7">
        <w:rPr>
          <w:rFonts w:ascii="Arial" w:hAnsi="Arial" w:cs="Arial"/>
          <w:color w:val="000000" w:themeColor="text1"/>
          <w:sz w:val="24"/>
        </w:rPr>
        <w:t xml:space="preserve"> the services they provide.  National research studies were</w:t>
      </w:r>
      <w:r w:rsidRPr="0048628B">
        <w:rPr>
          <w:rFonts w:ascii="Arial" w:hAnsi="Arial" w:cs="Arial"/>
          <w:color w:val="000000" w:themeColor="text1"/>
          <w:sz w:val="24"/>
        </w:rPr>
        <w:t xml:space="preserve"> previously conducted in both 2006 and 2011.  No other data collection efforts exist that are designed to specifically assess </w:t>
      </w:r>
      <w:r w:rsidR="001931C7">
        <w:rPr>
          <w:rFonts w:ascii="Arial" w:hAnsi="Arial" w:cs="Arial"/>
          <w:color w:val="000000" w:themeColor="text1"/>
          <w:sz w:val="24"/>
        </w:rPr>
        <w:t xml:space="preserve">awareness of the national toll-free </w:t>
      </w:r>
      <w:r w:rsidR="00B03BFB">
        <w:rPr>
          <w:rFonts w:ascii="Arial" w:hAnsi="Arial" w:cs="Arial"/>
          <w:color w:val="000000" w:themeColor="text1"/>
          <w:sz w:val="24"/>
        </w:rPr>
        <w:t>telephone number</w:t>
      </w:r>
      <w:r w:rsidR="001931C7">
        <w:rPr>
          <w:rFonts w:ascii="Arial" w:hAnsi="Arial" w:cs="Arial"/>
          <w:color w:val="000000" w:themeColor="text1"/>
          <w:sz w:val="24"/>
        </w:rPr>
        <w:t xml:space="preserve">, </w:t>
      </w:r>
      <w:r w:rsidRPr="0048628B">
        <w:rPr>
          <w:rFonts w:ascii="Arial" w:hAnsi="Arial" w:cs="Arial"/>
          <w:color w:val="000000" w:themeColor="text1"/>
          <w:sz w:val="24"/>
        </w:rPr>
        <w:t xml:space="preserve">how respondents learned of the national toll-free </w:t>
      </w:r>
      <w:r w:rsidR="00B03BFB">
        <w:rPr>
          <w:rFonts w:ascii="Arial" w:hAnsi="Arial" w:cs="Arial"/>
          <w:color w:val="000000" w:themeColor="text1"/>
          <w:sz w:val="24"/>
        </w:rPr>
        <w:t>telephone number</w:t>
      </w:r>
      <w:r w:rsidR="001931C7">
        <w:rPr>
          <w:rFonts w:ascii="Arial" w:hAnsi="Arial" w:cs="Arial"/>
          <w:color w:val="000000" w:themeColor="text1"/>
          <w:sz w:val="24"/>
        </w:rPr>
        <w:t>,</w:t>
      </w:r>
      <w:r w:rsidRPr="0048628B">
        <w:rPr>
          <w:rFonts w:ascii="Arial" w:hAnsi="Arial" w:cs="Arial"/>
          <w:color w:val="000000" w:themeColor="text1"/>
          <w:sz w:val="24"/>
        </w:rPr>
        <w:t xml:space="preserve"> or how they obtained </w:t>
      </w:r>
      <w:r w:rsidR="00425DE4" w:rsidRPr="00425DE4">
        <w:rPr>
          <w:rFonts w:ascii="Arial" w:hAnsi="Arial" w:cs="Arial"/>
          <w:i/>
          <w:color w:val="000000" w:themeColor="text1"/>
          <w:sz w:val="24"/>
        </w:rPr>
        <w:t>Poison Help</w:t>
      </w:r>
      <w:r w:rsidRPr="0048628B">
        <w:rPr>
          <w:rFonts w:ascii="Arial" w:hAnsi="Arial" w:cs="Arial"/>
          <w:color w:val="000000" w:themeColor="text1"/>
          <w:sz w:val="24"/>
        </w:rPr>
        <w:t xml:space="preserve"> campaign materials.  No other studies assess intentions to contact a poison center or other emergency service for assistance related to a potential poisoning.  As a result, this survey involves the collection of </w:t>
      </w:r>
      <w:r w:rsidR="00CC3A65">
        <w:rPr>
          <w:rFonts w:ascii="Arial" w:hAnsi="Arial" w:cs="Arial"/>
          <w:color w:val="000000" w:themeColor="text1"/>
          <w:sz w:val="24"/>
        </w:rPr>
        <w:t xml:space="preserve">unique </w:t>
      </w:r>
      <w:r w:rsidRPr="0048628B">
        <w:rPr>
          <w:rFonts w:ascii="Arial" w:hAnsi="Arial" w:cs="Arial"/>
          <w:color w:val="000000" w:themeColor="text1"/>
          <w:sz w:val="24"/>
        </w:rPr>
        <w:t xml:space="preserve">data </w:t>
      </w:r>
      <w:r w:rsidR="00DB425F">
        <w:rPr>
          <w:rFonts w:ascii="Arial" w:hAnsi="Arial" w:cs="Arial"/>
          <w:color w:val="000000" w:themeColor="text1"/>
          <w:sz w:val="24"/>
        </w:rPr>
        <w:t>that builds upon</w:t>
      </w:r>
      <w:r w:rsidRPr="0048628B">
        <w:rPr>
          <w:rFonts w:ascii="Arial" w:hAnsi="Arial" w:cs="Arial"/>
          <w:color w:val="000000" w:themeColor="text1"/>
          <w:sz w:val="24"/>
        </w:rPr>
        <w:t xml:space="preserve"> previous efforts identified in the literature or conducted by other organizations.</w:t>
      </w:r>
    </w:p>
    <w:p w14:paraId="2CE27F72" w14:textId="77777777" w:rsidR="009B3794" w:rsidRPr="00C45431" w:rsidRDefault="009B3794" w:rsidP="00425DE4">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14:paraId="2CE27F77" w14:textId="27064E0B" w:rsidR="009B3794" w:rsidRPr="0048628B" w:rsidRDefault="009B3794" w:rsidP="00425DE4">
      <w:pPr>
        <w:spacing w:before="120"/>
        <w:rPr>
          <w:rFonts w:ascii="Arial" w:hAnsi="Arial" w:cs="Arial"/>
          <w:color w:val="000000" w:themeColor="text1"/>
          <w:sz w:val="24"/>
        </w:rPr>
      </w:pPr>
      <w:r w:rsidRPr="0048628B">
        <w:rPr>
          <w:rFonts w:ascii="Arial" w:hAnsi="Arial" w:cs="Arial"/>
          <w:color w:val="000000" w:themeColor="text1"/>
          <w:sz w:val="24"/>
        </w:rPr>
        <w:t>No small businesses</w:t>
      </w:r>
      <w:r w:rsidR="001931C7">
        <w:rPr>
          <w:rFonts w:ascii="Arial" w:hAnsi="Arial" w:cs="Arial"/>
          <w:color w:val="000000" w:themeColor="text1"/>
          <w:sz w:val="24"/>
        </w:rPr>
        <w:t xml:space="preserve"> or other small </w:t>
      </w:r>
      <w:r w:rsidR="00CC3A65">
        <w:rPr>
          <w:rFonts w:ascii="Arial" w:hAnsi="Arial" w:cs="Arial"/>
          <w:color w:val="000000" w:themeColor="text1"/>
          <w:sz w:val="24"/>
        </w:rPr>
        <w:t>e</w:t>
      </w:r>
      <w:r w:rsidR="001931C7">
        <w:rPr>
          <w:rFonts w:ascii="Arial" w:hAnsi="Arial" w:cs="Arial"/>
          <w:color w:val="000000" w:themeColor="text1"/>
          <w:sz w:val="24"/>
        </w:rPr>
        <w:t>ntities</w:t>
      </w:r>
      <w:r w:rsidRPr="0048628B">
        <w:rPr>
          <w:rFonts w:ascii="Arial" w:hAnsi="Arial" w:cs="Arial"/>
          <w:color w:val="000000" w:themeColor="text1"/>
          <w:sz w:val="24"/>
        </w:rPr>
        <w:t xml:space="preserve"> will be involved </w:t>
      </w:r>
      <w:r w:rsidR="001931C7">
        <w:rPr>
          <w:rFonts w:ascii="Arial" w:hAnsi="Arial" w:cs="Arial"/>
          <w:color w:val="000000" w:themeColor="text1"/>
          <w:sz w:val="24"/>
        </w:rPr>
        <w:t xml:space="preserve">or impacted </w:t>
      </w:r>
      <w:r w:rsidRPr="0048628B">
        <w:rPr>
          <w:rFonts w:ascii="Arial" w:hAnsi="Arial" w:cs="Arial"/>
          <w:color w:val="000000" w:themeColor="text1"/>
          <w:sz w:val="24"/>
        </w:rPr>
        <w:t>in this study</w:t>
      </w:r>
      <w:r w:rsidR="00FF539A" w:rsidRPr="0048628B">
        <w:rPr>
          <w:rFonts w:ascii="Arial" w:hAnsi="Arial" w:cs="Arial"/>
          <w:color w:val="000000" w:themeColor="text1"/>
          <w:sz w:val="24"/>
        </w:rPr>
        <w:t>.</w:t>
      </w:r>
    </w:p>
    <w:p w14:paraId="2CE27F78" w14:textId="77777777" w:rsidR="009B3794" w:rsidRPr="00C45431" w:rsidRDefault="009B3794" w:rsidP="00425DE4">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14:paraId="441D217E" w14:textId="2E9331B4" w:rsidR="00FF539A" w:rsidRPr="0048628B" w:rsidRDefault="00FF539A" w:rsidP="00425DE4">
      <w:pPr>
        <w:widowControl/>
        <w:autoSpaceDE/>
        <w:autoSpaceDN/>
        <w:adjustRightInd/>
        <w:spacing w:before="120"/>
        <w:rPr>
          <w:rFonts w:ascii="Arial" w:hAnsi="Arial" w:cs="Arial"/>
          <w:color w:val="000000" w:themeColor="text1"/>
          <w:sz w:val="24"/>
        </w:rPr>
      </w:pPr>
      <w:r w:rsidRPr="0048628B">
        <w:rPr>
          <w:rFonts w:ascii="Arial" w:hAnsi="Arial" w:cs="Arial"/>
          <w:color w:val="000000" w:themeColor="text1"/>
          <w:sz w:val="24"/>
        </w:rPr>
        <w:t xml:space="preserve">This request for clearance applies only to the </w:t>
      </w:r>
      <w:r w:rsidR="00425DE4" w:rsidRPr="00425DE4">
        <w:rPr>
          <w:rFonts w:ascii="Arial" w:hAnsi="Arial" w:cs="Arial"/>
          <w:i/>
          <w:color w:val="000000" w:themeColor="text1"/>
          <w:sz w:val="24"/>
        </w:rPr>
        <w:t>Poison Help</w:t>
      </w:r>
      <w:r w:rsidRPr="0048628B">
        <w:rPr>
          <w:rFonts w:ascii="Arial" w:hAnsi="Arial" w:cs="Arial"/>
          <w:color w:val="000000" w:themeColor="text1"/>
          <w:sz w:val="24"/>
        </w:rPr>
        <w:t xml:space="preserve"> General Population Survey, which will be conducted during the 2017 calendar year.  HRSA plans to conduct additional national surveys every </w:t>
      </w:r>
      <w:r w:rsidR="001E083E">
        <w:rPr>
          <w:rFonts w:ascii="Arial" w:hAnsi="Arial" w:cs="Arial"/>
          <w:color w:val="000000" w:themeColor="text1"/>
          <w:sz w:val="24"/>
        </w:rPr>
        <w:t>5</w:t>
      </w:r>
      <w:r w:rsidRPr="0048628B">
        <w:rPr>
          <w:rFonts w:ascii="Arial" w:hAnsi="Arial" w:cs="Arial"/>
          <w:color w:val="000000" w:themeColor="text1"/>
          <w:sz w:val="24"/>
        </w:rPr>
        <w:t xml:space="preserve"> years.  There are no legal obstacles to reduce the burden.</w:t>
      </w:r>
    </w:p>
    <w:p w14:paraId="1BB502C6" w14:textId="23974B18" w:rsidR="00FF539A" w:rsidRPr="0048628B" w:rsidRDefault="009B3794" w:rsidP="00425DE4">
      <w:pPr>
        <w:numPr>
          <w:ilvl w:val="0"/>
          <w:numId w:val="2"/>
        </w:numPr>
        <w:tabs>
          <w:tab w:val="clear" w:pos="1080"/>
          <w:tab w:val="num" w:pos="360"/>
        </w:tabs>
        <w:spacing w:before="240"/>
        <w:ind w:left="360"/>
        <w:rPr>
          <w:rFonts w:ascii="Arial" w:hAnsi="Arial" w:cs="Arial"/>
          <w:b/>
          <w:sz w:val="24"/>
          <w:u w:val="single"/>
        </w:rPr>
      </w:pPr>
      <w:r w:rsidRPr="00C45431">
        <w:rPr>
          <w:rFonts w:ascii="Arial" w:hAnsi="Arial" w:cs="Arial"/>
          <w:b/>
          <w:sz w:val="24"/>
          <w:u w:val="single"/>
        </w:rPr>
        <w:t>Special Circumstances Relating to the Guidelines of 5 CFR 1320.5</w:t>
      </w:r>
    </w:p>
    <w:p w14:paraId="065CA6CA" w14:textId="2B7752EC" w:rsidR="00FF539A" w:rsidRPr="0048628B" w:rsidRDefault="00627FFD" w:rsidP="00425DE4">
      <w:pPr>
        <w:widowControl/>
        <w:spacing w:before="120"/>
        <w:rPr>
          <w:rFonts w:ascii="Arial" w:hAnsi="Arial" w:cs="Arial"/>
          <w:color w:val="000000" w:themeColor="text1"/>
          <w:sz w:val="24"/>
        </w:rPr>
      </w:pPr>
      <w:r w:rsidRPr="0048628B">
        <w:rPr>
          <w:rFonts w:ascii="Arial" w:hAnsi="Arial" w:cs="Arial"/>
          <w:color w:val="000000" w:themeColor="text1"/>
          <w:sz w:val="24"/>
        </w:rPr>
        <w:t>T</w:t>
      </w:r>
      <w:r w:rsidR="009B3794" w:rsidRPr="0048628B">
        <w:rPr>
          <w:rFonts w:ascii="Arial" w:hAnsi="Arial" w:cs="Arial"/>
          <w:color w:val="000000" w:themeColor="text1"/>
          <w:sz w:val="24"/>
        </w:rPr>
        <w:t>he request fully complies with the regulation.</w:t>
      </w:r>
    </w:p>
    <w:p w14:paraId="2CE27F87" w14:textId="77777777" w:rsidR="009B3794" w:rsidRPr="00C45431" w:rsidRDefault="009B3794" w:rsidP="00425DE4">
      <w:pPr>
        <w:numPr>
          <w:ilvl w:val="0"/>
          <w:numId w:val="2"/>
        </w:numPr>
        <w:tabs>
          <w:tab w:val="clear" w:pos="1080"/>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14:paraId="2CE27F88" w14:textId="77777777" w:rsidR="00DE3A45" w:rsidRPr="007D3C5A" w:rsidRDefault="00DE3A45" w:rsidP="00425DE4">
      <w:pPr>
        <w:spacing w:before="120"/>
        <w:rPr>
          <w:rFonts w:ascii="Arial" w:hAnsi="Arial" w:cs="Arial"/>
          <w:b/>
          <w:sz w:val="24"/>
        </w:rPr>
      </w:pPr>
      <w:r w:rsidRPr="007D3C5A">
        <w:rPr>
          <w:rFonts w:ascii="Arial" w:hAnsi="Arial" w:cs="Arial"/>
          <w:b/>
          <w:sz w:val="24"/>
        </w:rPr>
        <w:t>Section 8A:</w:t>
      </w:r>
    </w:p>
    <w:p w14:paraId="2811D178" w14:textId="67008ED9" w:rsidR="00FF539A" w:rsidRPr="007D3C5A" w:rsidRDefault="00FF539A" w:rsidP="00425DE4">
      <w:pPr>
        <w:spacing w:before="120"/>
        <w:rPr>
          <w:rFonts w:ascii="Arial" w:hAnsi="Arial" w:cs="Arial"/>
          <w:color w:val="000000" w:themeColor="text1"/>
          <w:sz w:val="24"/>
        </w:rPr>
      </w:pPr>
      <w:r w:rsidRPr="007D3C5A">
        <w:rPr>
          <w:rFonts w:ascii="Arial" w:hAnsi="Arial" w:cs="Arial"/>
          <w:color w:val="000000" w:themeColor="text1"/>
          <w:sz w:val="24"/>
        </w:rPr>
        <w:t xml:space="preserve">The notice in the 60-Day Federal Register </w:t>
      </w:r>
      <w:r w:rsidRPr="00FA1A42">
        <w:rPr>
          <w:rFonts w:ascii="Arial" w:hAnsi="Arial" w:cs="Arial"/>
          <w:color w:val="000000" w:themeColor="text1"/>
          <w:sz w:val="24"/>
        </w:rPr>
        <w:t xml:space="preserve">(Vol. </w:t>
      </w:r>
      <w:r w:rsidR="00CC3A65">
        <w:rPr>
          <w:rFonts w:ascii="Arial" w:hAnsi="Arial" w:cs="Arial"/>
          <w:color w:val="000000" w:themeColor="text1"/>
          <w:sz w:val="24"/>
        </w:rPr>
        <w:t>82</w:t>
      </w:r>
      <w:r w:rsidRPr="00FA1A42">
        <w:rPr>
          <w:rFonts w:ascii="Arial" w:hAnsi="Arial" w:cs="Arial"/>
          <w:color w:val="000000" w:themeColor="text1"/>
          <w:sz w:val="24"/>
        </w:rPr>
        <w:t xml:space="preserve">, No. </w:t>
      </w:r>
      <w:r w:rsidR="00CC3A65">
        <w:rPr>
          <w:rFonts w:ascii="Arial" w:hAnsi="Arial" w:cs="Arial"/>
          <w:color w:val="000000" w:themeColor="text1"/>
          <w:sz w:val="24"/>
        </w:rPr>
        <w:t>129</w:t>
      </w:r>
      <w:r w:rsidRPr="00FA1A42">
        <w:rPr>
          <w:rFonts w:ascii="Arial" w:hAnsi="Arial" w:cs="Arial"/>
          <w:color w:val="000000" w:themeColor="text1"/>
          <w:sz w:val="24"/>
        </w:rPr>
        <w:t>, Pg</w:t>
      </w:r>
      <w:r w:rsidR="00CC3A65">
        <w:rPr>
          <w:rFonts w:ascii="Arial" w:hAnsi="Arial" w:cs="Arial"/>
          <w:color w:val="000000" w:themeColor="text1"/>
          <w:sz w:val="24"/>
        </w:rPr>
        <w:t>.</w:t>
      </w:r>
      <w:r w:rsidRPr="00FA1A42">
        <w:rPr>
          <w:rFonts w:ascii="Arial" w:hAnsi="Arial" w:cs="Arial"/>
          <w:color w:val="000000" w:themeColor="text1"/>
          <w:sz w:val="24"/>
        </w:rPr>
        <w:t xml:space="preserve"> </w:t>
      </w:r>
      <w:r w:rsidR="00CC3A65">
        <w:rPr>
          <w:rFonts w:ascii="Arial" w:hAnsi="Arial" w:cs="Arial"/>
          <w:color w:val="000000" w:themeColor="text1"/>
          <w:sz w:val="24"/>
        </w:rPr>
        <w:t>31611-31612</w:t>
      </w:r>
      <w:r w:rsidRPr="00FA1A42">
        <w:rPr>
          <w:rFonts w:ascii="Arial" w:hAnsi="Arial" w:cs="Arial"/>
          <w:color w:val="000000" w:themeColor="text1"/>
          <w:sz w:val="24"/>
        </w:rPr>
        <w:t>)</w:t>
      </w:r>
      <w:r w:rsidRPr="007D3C5A">
        <w:rPr>
          <w:rFonts w:ascii="Arial" w:hAnsi="Arial" w:cs="Arial"/>
          <w:color w:val="000000" w:themeColor="text1"/>
          <w:sz w:val="24"/>
        </w:rPr>
        <w:t xml:space="preserve"> soliciting comments </w:t>
      </w:r>
      <w:r w:rsidR="00425DE4">
        <w:rPr>
          <w:rFonts w:ascii="Arial" w:hAnsi="Arial" w:cs="Arial"/>
          <w:color w:val="000000" w:themeColor="text1"/>
          <w:sz w:val="24"/>
        </w:rPr>
        <w:t xml:space="preserve">was published on </w:t>
      </w:r>
      <w:r w:rsidR="00CC3A65">
        <w:rPr>
          <w:rFonts w:ascii="Arial" w:hAnsi="Arial" w:cs="Arial"/>
          <w:color w:val="000000" w:themeColor="text1"/>
          <w:sz w:val="24"/>
        </w:rPr>
        <w:t xml:space="preserve">Friday, July 7, 2017 (see Appendix D).  There were no public comments. </w:t>
      </w:r>
      <w:r w:rsidRPr="007D3C5A">
        <w:rPr>
          <w:rFonts w:ascii="Arial" w:hAnsi="Arial" w:cs="Arial"/>
          <w:color w:val="000000" w:themeColor="text1"/>
          <w:sz w:val="24"/>
        </w:rPr>
        <w:t xml:space="preserve">  </w:t>
      </w:r>
    </w:p>
    <w:p w14:paraId="2CE27F8C" w14:textId="4E9DC31B" w:rsidR="00DE3A45" w:rsidRPr="007D3C5A" w:rsidRDefault="00DE3A45" w:rsidP="00425DE4">
      <w:pPr>
        <w:spacing w:before="120"/>
        <w:rPr>
          <w:rFonts w:ascii="Arial" w:hAnsi="Arial" w:cs="Arial"/>
          <w:b/>
          <w:sz w:val="24"/>
        </w:rPr>
      </w:pPr>
      <w:r w:rsidRPr="007D3C5A">
        <w:rPr>
          <w:rFonts w:ascii="Arial" w:hAnsi="Arial" w:cs="Arial"/>
          <w:b/>
          <w:sz w:val="24"/>
        </w:rPr>
        <w:t>Section 8B:</w:t>
      </w:r>
    </w:p>
    <w:p w14:paraId="2B9C6BAE" w14:textId="4D6A71CF" w:rsidR="00CE2455" w:rsidRPr="000E7235" w:rsidRDefault="00CE2455" w:rsidP="00425DE4">
      <w:pPr>
        <w:spacing w:before="120"/>
        <w:rPr>
          <w:rFonts w:ascii="Arial" w:hAnsi="Arial" w:cs="Arial"/>
          <w:sz w:val="24"/>
        </w:rPr>
      </w:pPr>
      <w:r w:rsidRPr="000E7235">
        <w:rPr>
          <w:rFonts w:ascii="Arial" w:hAnsi="Arial" w:cs="Arial"/>
          <w:sz w:val="24"/>
        </w:rPr>
        <w:t xml:space="preserve">The agency has made outside consultations with key individuals familiar with the subject matter in order to confirm the direction and content of the survey as well as to identify any areas of duplicative questioning (none were identified).  These individuals </w:t>
      </w:r>
      <w:r w:rsidR="000E7235" w:rsidRPr="000E7235">
        <w:rPr>
          <w:rFonts w:ascii="Arial" w:hAnsi="Arial" w:cs="Arial"/>
          <w:sz w:val="24"/>
        </w:rPr>
        <w:t xml:space="preserve">were contacted in December 2016: </w:t>
      </w:r>
      <w:r w:rsidRPr="000E7235">
        <w:rPr>
          <w:rFonts w:ascii="Arial" w:hAnsi="Arial" w:cs="Arial"/>
          <w:sz w:val="24"/>
        </w:rPr>
        <w:t xml:space="preserve">Julie Weber </w:t>
      </w:r>
      <w:r w:rsidR="000E7235" w:rsidRPr="000E7235">
        <w:rPr>
          <w:rFonts w:ascii="Arial" w:hAnsi="Arial" w:cs="Arial"/>
          <w:sz w:val="24"/>
        </w:rPr>
        <w:t xml:space="preserve">(Director, Missouri Poison Control Center; 314-612-5715; Julie_weber@ssmhc.com) and </w:t>
      </w:r>
      <w:r w:rsidRPr="000E7235">
        <w:rPr>
          <w:rFonts w:ascii="Arial" w:hAnsi="Arial" w:cs="Arial"/>
          <w:sz w:val="24"/>
        </w:rPr>
        <w:t>Michael Wahl</w:t>
      </w:r>
      <w:r w:rsidR="000E7235" w:rsidRPr="000E7235">
        <w:rPr>
          <w:rFonts w:ascii="Arial" w:hAnsi="Arial" w:cs="Arial"/>
          <w:sz w:val="24"/>
        </w:rPr>
        <w:t xml:space="preserve"> (Medical Director, Illinois Poison Control Center; 312-906-6176; mwahl@team-iha.org).</w:t>
      </w:r>
    </w:p>
    <w:p w14:paraId="2CE27F95" w14:textId="77777777" w:rsidR="009B3794" w:rsidRPr="00C45431" w:rsidRDefault="009B3794" w:rsidP="00425DE4">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14:paraId="2CE27F98" w14:textId="50F287E1" w:rsidR="00935E77" w:rsidRPr="0048628B" w:rsidRDefault="00935E77" w:rsidP="00425DE4">
      <w:pPr>
        <w:spacing w:before="120"/>
        <w:rPr>
          <w:rFonts w:ascii="Arial" w:hAnsi="Arial" w:cs="Arial"/>
          <w:color w:val="000000" w:themeColor="text1"/>
          <w:sz w:val="24"/>
        </w:rPr>
      </w:pPr>
      <w:r w:rsidRPr="0048628B">
        <w:rPr>
          <w:rFonts w:ascii="Arial" w:hAnsi="Arial" w:cs="Arial"/>
          <w:color w:val="000000" w:themeColor="text1"/>
          <w:sz w:val="24"/>
        </w:rPr>
        <w:t xml:space="preserve">Respondents will not receive </w:t>
      </w:r>
      <w:r w:rsidR="008B04CA" w:rsidRPr="0048628B">
        <w:rPr>
          <w:rFonts w:ascii="Arial" w:hAnsi="Arial" w:cs="Arial"/>
          <w:color w:val="000000" w:themeColor="text1"/>
          <w:sz w:val="24"/>
        </w:rPr>
        <w:t xml:space="preserve">any </w:t>
      </w:r>
      <w:r w:rsidRPr="0048628B">
        <w:rPr>
          <w:rFonts w:ascii="Arial" w:hAnsi="Arial" w:cs="Arial"/>
          <w:color w:val="000000" w:themeColor="text1"/>
          <w:sz w:val="24"/>
        </w:rPr>
        <w:t>payment</w:t>
      </w:r>
      <w:r w:rsidR="008B04CA" w:rsidRPr="0048628B">
        <w:rPr>
          <w:rFonts w:ascii="Arial" w:hAnsi="Arial" w:cs="Arial"/>
          <w:color w:val="000000" w:themeColor="text1"/>
          <w:sz w:val="24"/>
        </w:rPr>
        <w:t>s</w:t>
      </w:r>
      <w:r w:rsidR="00347BE4" w:rsidRPr="0048628B">
        <w:rPr>
          <w:rFonts w:ascii="Arial" w:hAnsi="Arial" w:cs="Arial"/>
          <w:color w:val="000000" w:themeColor="text1"/>
          <w:sz w:val="24"/>
        </w:rPr>
        <w:t xml:space="preserve"> or gifts.</w:t>
      </w:r>
    </w:p>
    <w:p w14:paraId="2CE27F99" w14:textId="77777777" w:rsidR="009B3794" w:rsidRPr="00C45431" w:rsidRDefault="009B3794" w:rsidP="00425DE4">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Assurance of Confidentiality Provided to Respondents</w:t>
      </w:r>
    </w:p>
    <w:p w14:paraId="0FCEBB22" w14:textId="6F5E71DB" w:rsidR="008B074C" w:rsidRPr="009C4BA4" w:rsidRDefault="008B074C" w:rsidP="00425DE4">
      <w:pPr>
        <w:widowControl/>
        <w:spacing w:before="120"/>
        <w:rPr>
          <w:rFonts w:ascii="Arial" w:hAnsi="Arial" w:cs="Arial"/>
          <w:color w:val="000000" w:themeColor="text1"/>
          <w:sz w:val="24"/>
        </w:rPr>
      </w:pPr>
      <w:r w:rsidRPr="009C4BA4">
        <w:rPr>
          <w:rFonts w:ascii="Arial" w:hAnsi="Arial" w:cs="Arial"/>
          <w:color w:val="000000" w:themeColor="text1"/>
          <w:sz w:val="24"/>
        </w:rPr>
        <w:t xml:space="preserve">The contractor will have only limited personal identifying information (e.g., </w:t>
      </w:r>
      <w:r w:rsidR="003C036C" w:rsidRPr="009C4BA4">
        <w:rPr>
          <w:rFonts w:ascii="Arial" w:hAnsi="Arial" w:cs="Arial"/>
          <w:color w:val="000000" w:themeColor="text1"/>
          <w:sz w:val="24"/>
        </w:rPr>
        <w:t xml:space="preserve">self-reported </w:t>
      </w:r>
      <w:r w:rsidRPr="009C4BA4">
        <w:rPr>
          <w:rFonts w:ascii="Arial" w:hAnsi="Arial" w:cs="Arial"/>
          <w:color w:val="000000" w:themeColor="text1"/>
          <w:sz w:val="24"/>
        </w:rPr>
        <w:t>first name, sex, and race</w:t>
      </w:r>
      <w:r w:rsidR="003C036C" w:rsidRPr="009C4BA4">
        <w:rPr>
          <w:rFonts w:ascii="Arial" w:hAnsi="Arial" w:cs="Arial"/>
          <w:color w:val="000000" w:themeColor="text1"/>
          <w:sz w:val="24"/>
        </w:rPr>
        <w:t>/ethnicity</w:t>
      </w:r>
      <w:r w:rsidRPr="009C4BA4">
        <w:rPr>
          <w:rFonts w:ascii="Arial" w:hAnsi="Arial" w:cs="Arial"/>
          <w:color w:val="000000" w:themeColor="text1"/>
          <w:sz w:val="24"/>
        </w:rPr>
        <w:t>)</w:t>
      </w:r>
      <w:r w:rsidR="003C036C" w:rsidRPr="009C4BA4">
        <w:rPr>
          <w:rFonts w:ascii="Arial" w:hAnsi="Arial" w:cs="Arial"/>
          <w:color w:val="000000" w:themeColor="text1"/>
          <w:sz w:val="24"/>
        </w:rPr>
        <w:t>, for statistical weighting and quality control purposes</w:t>
      </w:r>
      <w:r w:rsidRPr="009C4BA4">
        <w:rPr>
          <w:rFonts w:ascii="Arial" w:hAnsi="Arial" w:cs="Arial"/>
          <w:color w:val="000000" w:themeColor="text1"/>
          <w:sz w:val="24"/>
        </w:rPr>
        <w:t>.  Respondents will be identified only by a unique study ID number on the interview data file.  As a further measure to maintain privacy, all presentations of data in reports will be in aggregate form, with no links to individuals responses.  All KRC Research staff and subcontractors working on the project and having access to the data (including monitoring of interviews) are required to sign a privacy statement</w:t>
      </w:r>
      <w:r w:rsidR="00CC3A65">
        <w:rPr>
          <w:rFonts w:ascii="Arial" w:hAnsi="Arial" w:cs="Arial"/>
          <w:color w:val="000000" w:themeColor="text1"/>
          <w:sz w:val="24"/>
        </w:rPr>
        <w:t xml:space="preserve"> (Appendix E)</w:t>
      </w:r>
      <w:r w:rsidRPr="009C4BA4">
        <w:rPr>
          <w:rFonts w:ascii="Arial" w:hAnsi="Arial" w:cs="Arial"/>
          <w:color w:val="000000" w:themeColor="text1"/>
          <w:sz w:val="24"/>
        </w:rPr>
        <w:t>.  Because no sensitive data will be collected, and no HRSA employees will have access to identifiable records, the project does not meet the definition of a Privacy Act System of Records.</w:t>
      </w:r>
      <w:r w:rsidR="00A57108" w:rsidRPr="009C4BA4">
        <w:rPr>
          <w:rFonts w:ascii="Arial" w:hAnsi="Arial" w:cs="Arial"/>
          <w:color w:val="000000" w:themeColor="text1"/>
          <w:sz w:val="24"/>
        </w:rPr>
        <w:t xml:space="preserve">  The project </w:t>
      </w:r>
      <w:r w:rsidR="003C036C" w:rsidRPr="009C4BA4">
        <w:rPr>
          <w:rFonts w:ascii="Arial" w:hAnsi="Arial" w:cs="Arial"/>
          <w:color w:val="000000" w:themeColor="text1"/>
          <w:sz w:val="24"/>
        </w:rPr>
        <w:t>requires IRB review</w:t>
      </w:r>
      <w:r w:rsidR="001E083E">
        <w:rPr>
          <w:rFonts w:ascii="Arial" w:hAnsi="Arial" w:cs="Arial"/>
          <w:color w:val="000000" w:themeColor="text1"/>
          <w:sz w:val="24"/>
        </w:rPr>
        <w:t xml:space="preserve">.  </w:t>
      </w:r>
      <w:r w:rsidR="003C036C" w:rsidRPr="009C4BA4">
        <w:rPr>
          <w:rFonts w:ascii="Arial" w:hAnsi="Arial" w:cs="Arial"/>
          <w:color w:val="000000" w:themeColor="text1"/>
          <w:sz w:val="24"/>
        </w:rPr>
        <w:t>It was</w:t>
      </w:r>
      <w:r w:rsidR="00222FE8" w:rsidRPr="009C4BA4">
        <w:rPr>
          <w:rFonts w:ascii="Arial" w:hAnsi="Arial" w:cs="Arial"/>
          <w:color w:val="000000" w:themeColor="text1"/>
          <w:sz w:val="24"/>
        </w:rPr>
        <w:t xml:space="preserve"> submitted for </w:t>
      </w:r>
      <w:r w:rsidR="00A57108" w:rsidRPr="009C4BA4">
        <w:rPr>
          <w:rFonts w:ascii="Arial" w:hAnsi="Arial" w:cs="Arial"/>
          <w:color w:val="000000" w:themeColor="text1"/>
          <w:sz w:val="24"/>
        </w:rPr>
        <w:t xml:space="preserve">IRB review and </w:t>
      </w:r>
      <w:r w:rsidR="00425DE4">
        <w:rPr>
          <w:rFonts w:ascii="Arial" w:hAnsi="Arial" w:cs="Arial"/>
          <w:color w:val="000000" w:themeColor="text1"/>
          <w:sz w:val="24"/>
        </w:rPr>
        <w:t>approval was obtained.</w:t>
      </w:r>
    </w:p>
    <w:p w14:paraId="2CE27FA1" w14:textId="77777777" w:rsidR="009B3794" w:rsidRPr="00C45431" w:rsidRDefault="009B3794" w:rsidP="00425DE4">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14:paraId="60409C6E" w14:textId="14F00557" w:rsidR="008B074C" w:rsidRPr="0048628B" w:rsidRDefault="008B074C" w:rsidP="00425DE4">
      <w:pPr>
        <w:widowControl/>
        <w:spacing w:before="120"/>
        <w:rPr>
          <w:rFonts w:ascii="Arial" w:hAnsi="Arial" w:cs="Arial"/>
          <w:color w:val="000000" w:themeColor="text1"/>
          <w:sz w:val="24"/>
        </w:rPr>
      </w:pPr>
      <w:r w:rsidRPr="0048628B">
        <w:rPr>
          <w:rFonts w:ascii="Arial" w:hAnsi="Arial" w:cs="Arial"/>
          <w:color w:val="000000" w:themeColor="text1"/>
          <w:sz w:val="24"/>
        </w:rPr>
        <w:t>Introduced this year, there are two potentially sensitive questions asking whether the respondent or someone in the respondent’s household has ever had an emergency situation related to prescription drugs or other opioids (heroin, specifically).  These questions and the related follow-up questions about treatment have been deemed vital in informing key HHS/HRSA priorities</w:t>
      </w:r>
      <w:r w:rsidR="00947281">
        <w:rPr>
          <w:rFonts w:ascii="Arial" w:hAnsi="Arial" w:cs="Arial"/>
          <w:color w:val="000000" w:themeColor="text1"/>
          <w:sz w:val="24"/>
        </w:rPr>
        <w:t xml:space="preserve"> surrounding opioid poisoning and help</w:t>
      </w:r>
      <w:r w:rsidR="003101FB">
        <w:rPr>
          <w:rFonts w:ascii="Arial" w:hAnsi="Arial" w:cs="Arial"/>
          <w:color w:val="000000" w:themeColor="text1"/>
          <w:sz w:val="24"/>
        </w:rPr>
        <w:t xml:space="preserve">.  Addressing opioids is one </w:t>
      </w:r>
      <w:r w:rsidR="00136C6B">
        <w:rPr>
          <w:rFonts w:ascii="Arial" w:hAnsi="Arial" w:cs="Arial"/>
          <w:color w:val="000000" w:themeColor="text1"/>
          <w:sz w:val="24"/>
        </w:rPr>
        <w:t xml:space="preserve">of </w:t>
      </w:r>
      <w:r w:rsidR="003101FB">
        <w:rPr>
          <w:rFonts w:ascii="Arial" w:hAnsi="Arial" w:cs="Arial"/>
          <w:color w:val="000000" w:themeColor="text1"/>
          <w:sz w:val="24"/>
        </w:rPr>
        <w:t xml:space="preserve">the key </w:t>
      </w:r>
      <w:r w:rsidR="00717C4E">
        <w:rPr>
          <w:rFonts w:ascii="Arial" w:hAnsi="Arial" w:cs="Arial"/>
          <w:color w:val="000000" w:themeColor="text1"/>
          <w:sz w:val="24"/>
        </w:rPr>
        <w:t>priorities</w:t>
      </w:r>
      <w:r w:rsidR="003101FB">
        <w:rPr>
          <w:rFonts w:ascii="Arial" w:hAnsi="Arial" w:cs="Arial"/>
          <w:color w:val="000000" w:themeColor="text1"/>
          <w:sz w:val="24"/>
        </w:rPr>
        <w:t xml:space="preserve"> of the Secretary of HHS.</w:t>
      </w:r>
    </w:p>
    <w:p w14:paraId="7A5C36BB" w14:textId="2A6B0924" w:rsidR="00A57108" w:rsidRDefault="00A57108" w:rsidP="00425DE4">
      <w:pPr>
        <w:widowControl/>
        <w:spacing w:before="120"/>
        <w:rPr>
          <w:rFonts w:ascii="Arial" w:hAnsi="Arial" w:cs="Arial"/>
          <w:color w:val="000000" w:themeColor="text1"/>
          <w:sz w:val="24"/>
        </w:rPr>
      </w:pPr>
      <w:r>
        <w:rPr>
          <w:rFonts w:ascii="Arial" w:hAnsi="Arial" w:cs="Arial"/>
          <w:color w:val="000000" w:themeColor="text1"/>
          <w:sz w:val="24"/>
        </w:rPr>
        <w:t>Additionally, race and ethnicity questions are asked in the s</w:t>
      </w:r>
      <w:r w:rsidR="00947281">
        <w:rPr>
          <w:rFonts w:ascii="Arial" w:hAnsi="Arial" w:cs="Arial"/>
          <w:color w:val="000000" w:themeColor="text1"/>
          <w:sz w:val="24"/>
        </w:rPr>
        <w:t>urvey both</w:t>
      </w:r>
      <w:r w:rsidR="001F5E79">
        <w:rPr>
          <w:rFonts w:ascii="Arial" w:hAnsi="Arial" w:cs="Arial"/>
          <w:color w:val="000000" w:themeColor="text1"/>
          <w:sz w:val="24"/>
        </w:rPr>
        <w:t xml:space="preserve"> to </w:t>
      </w:r>
      <w:r w:rsidR="00947281">
        <w:rPr>
          <w:rFonts w:ascii="Arial" w:hAnsi="Arial" w:cs="Arial"/>
          <w:color w:val="000000" w:themeColor="text1"/>
          <w:sz w:val="24"/>
        </w:rPr>
        <w:t xml:space="preserve">assure nationally representative sampling as well as to be able to </w:t>
      </w:r>
      <w:r w:rsidR="001F5E79">
        <w:rPr>
          <w:rFonts w:ascii="Arial" w:hAnsi="Arial" w:cs="Arial"/>
          <w:color w:val="000000" w:themeColor="text1"/>
          <w:sz w:val="24"/>
        </w:rPr>
        <w:t xml:space="preserve">understand </w:t>
      </w:r>
      <w:r w:rsidR="00947281">
        <w:rPr>
          <w:rFonts w:ascii="Arial" w:hAnsi="Arial" w:cs="Arial"/>
          <w:color w:val="000000" w:themeColor="text1"/>
          <w:sz w:val="24"/>
        </w:rPr>
        <w:t>campaign effectiveness among various demographic groups</w:t>
      </w:r>
      <w:r w:rsidR="001F5E79">
        <w:rPr>
          <w:rFonts w:ascii="Arial" w:hAnsi="Arial" w:cs="Arial"/>
          <w:color w:val="000000" w:themeColor="text1"/>
          <w:sz w:val="24"/>
        </w:rPr>
        <w:t xml:space="preserve">, as mentioned in Section 2.  Race and ethnicity are one part of a larger set of demographic questions </w:t>
      </w:r>
      <w:r w:rsidR="00947281">
        <w:rPr>
          <w:rFonts w:ascii="Arial" w:hAnsi="Arial" w:cs="Arial"/>
          <w:color w:val="000000" w:themeColor="text1"/>
          <w:sz w:val="24"/>
        </w:rPr>
        <w:t>necessary to assure high-quality survey sampling for nationally representative survey research</w:t>
      </w:r>
      <w:r w:rsidR="001F5E79">
        <w:rPr>
          <w:rFonts w:ascii="Arial" w:hAnsi="Arial" w:cs="Arial"/>
          <w:color w:val="000000" w:themeColor="text1"/>
          <w:sz w:val="24"/>
        </w:rPr>
        <w:t>.</w:t>
      </w:r>
    </w:p>
    <w:p w14:paraId="7415C1B1" w14:textId="1B750E86" w:rsidR="008B074C" w:rsidRPr="0048628B" w:rsidRDefault="008B074C" w:rsidP="00425DE4">
      <w:pPr>
        <w:widowControl/>
        <w:spacing w:before="120"/>
        <w:rPr>
          <w:rFonts w:ascii="Arial" w:hAnsi="Arial" w:cs="Arial"/>
          <w:color w:val="000000" w:themeColor="text1"/>
          <w:sz w:val="24"/>
        </w:rPr>
      </w:pPr>
      <w:r w:rsidRPr="0048628B">
        <w:rPr>
          <w:rFonts w:ascii="Arial" w:hAnsi="Arial" w:cs="Arial"/>
          <w:color w:val="000000" w:themeColor="text1"/>
          <w:sz w:val="24"/>
        </w:rPr>
        <w:t>The proposed survey, including the potentially sensitive questions described above</w:t>
      </w:r>
      <w:r w:rsidR="00136C6B">
        <w:rPr>
          <w:rFonts w:ascii="Arial" w:hAnsi="Arial" w:cs="Arial"/>
          <w:color w:val="000000" w:themeColor="text1"/>
          <w:sz w:val="24"/>
        </w:rPr>
        <w:t>,</w:t>
      </w:r>
      <w:r w:rsidRPr="0048628B">
        <w:rPr>
          <w:rFonts w:ascii="Arial" w:hAnsi="Arial" w:cs="Arial"/>
          <w:color w:val="000000" w:themeColor="text1"/>
          <w:sz w:val="24"/>
        </w:rPr>
        <w:t xml:space="preserve"> are voluntary and no p</w:t>
      </w:r>
      <w:r w:rsidR="00947281">
        <w:rPr>
          <w:rFonts w:ascii="Arial" w:hAnsi="Arial" w:cs="Arial"/>
          <w:color w:val="000000" w:themeColor="text1"/>
          <w:sz w:val="24"/>
        </w:rPr>
        <w:t>ersons are required to participate in the survey, or to respond to any questions they feel uncomfortable answering.  Response categories are provided for those who wish not to answer</w:t>
      </w:r>
      <w:r w:rsidR="001E083E">
        <w:rPr>
          <w:rFonts w:ascii="Arial" w:hAnsi="Arial" w:cs="Arial"/>
          <w:color w:val="000000" w:themeColor="text1"/>
          <w:sz w:val="24"/>
        </w:rPr>
        <w:t xml:space="preserve">.  </w:t>
      </w:r>
      <w:r w:rsidRPr="0048628B">
        <w:rPr>
          <w:rFonts w:ascii="Arial" w:hAnsi="Arial" w:cs="Arial"/>
          <w:color w:val="000000" w:themeColor="text1"/>
          <w:sz w:val="24"/>
        </w:rPr>
        <w:t xml:space="preserve">This voluntary aspect of the survey is clearly stated in the introduction and will be stressed in interviewer training.  </w:t>
      </w:r>
    </w:p>
    <w:p w14:paraId="2CE27FA7" w14:textId="77777777" w:rsidR="009B3794" w:rsidRPr="00C45431" w:rsidRDefault="009B3794" w:rsidP="00425DE4">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14:paraId="6E15401A" w14:textId="7E28A916" w:rsidR="008B074C" w:rsidRPr="0048628B" w:rsidRDefault="009B3794" w:rsidP="00425DE4">
      <w:pPr>
        <w:spacing w:before="120"/>
        <w:rPr>
          <w:rFonts w:ascii="Arial" w:hAnsi="Arial" w:cs="Arial"/>
          <w:color w:val="000000" w:themeColor="text1"/>
          <w:sz w:val="24"/>
        </w:rPr>
      </w:pPr>
      <w:r w:rsidRPr="0048628B">
        <w:rPr>
          <w:rFonts w:ascii="Arial" w:hAnsi="Arial" w:cs="Arial"/>
          <w:color w:val="000000" w:themeColor="text1"/>
          <w:sz w:val="24"/>
        </w:rPr>
        <w:t xml:space="preserve">This section summarizes the total burden hours for this information collection in addition to the cost associated with those hours. </w:t>
      </w:r>
    </w:p>
    <w:p w14:paraId="3E7B065D" w14:textId="10AFF5D4" w:rsidR="008A7F3E" w:rsidRPr="00947281" w:rsidRDefault="009B3794" w:rsidP="00425DE4">
      <w:pPr>
        <w:widowControl/>
        <w:tabs>
          <w:tab w:val="num" w:pos="720"/>
        </w:tabs>
        <w:spacing w:before="120"/>
        <w:rPr>
          <w:rFonts w:ascii="Arial" w:hAnsi="Arial" w:cs="Arial"/>
          <w:b/>
          <w:sz w:val="24"/>
        </w:rPr>
      </w:pPr>
      <w:r w:rsidRPr="00947281">
        <w:rPr>
          <w:rFonts w:ascii="Arial" w:hAnsi="Arial" w:cs="Arial"/>
          <w:b/>
          <w:sz w:val="24"/>
        </w:rPr>
        <w:t>12A.</w:t>
      </w:r>
      <w:r w:rsidRPr="00947281">
        <w:rPr>
          <w:rFonts w:ascii="Arial" w:hAnsi="Arial" w:cs="Arial"/>
          <w:sz w:val="24"/>
        </w:rPr>
        <w:t xml:space="preserve">        </w:t>
      </w:r>
      <w:r w:rsidRPr="00947281">
        <w:rPr>
          <w:rFonts w:ascii="Arial" w:hAnsi="Arial" w:cs="Arial"/>
          <w:b/>
          <w:sz w:val="24"/>
        </w:rPr>
        <w:t>Estimated Annualized Burden Hours</w:t>
      </w:r>
    </w:p>
    <w:p w14:paraId="497689E7" w14:textId="74BAEF89" w:rsidR="008A7F3E" w:rsidRDefault="008A7F3E" w:rsidP="00425DE4">
      <w:pPr>
        <w:widowControl/>
        <w:tabs>
          <w:tab w:val="num" w:pos="990"/>
        </w:tabs>
        <w:spacing w:before="120"/>
        <w:ind w:left="270"/>
        <w:rPr>
          <w:rFonts w:ascii="Arial" w:hAnsi="Arial" w:cs="Arial"/>
          <w:color w:val="000000" w:themeColor="text1"/>
          <w:sz w:val="24"/>
        </w:rPr>
      </w:pPr>
      <w:r w:rsidRPr="0001197D">
        <w:rPr>
          <w:rFonts w:ascii="Arial" w:hAnsi="Arial" w:cs="Arial"/>
          <w:color w:val="000000" w:themeColor="text1"/>
          <w:sz w:val="24"/>
          <w:highlight w:val="yellow"/>
        </w:rPr>
        <w:t>The annual e</w:t>
      </w:r>
      <w:r w:rsidR="00222FE8" w:rsidRPr="0001197D">
        <w:rPr>
          <w:rFonts w:ascii="Arial" w:hAnsi="Arial" w:cs="Arial"/>
          <w:color w:val="000000" w:themeColor="text1"/>
          <w:sz w:val="24"/>
          <w:highlight w:val="yellow"/>
        </w:rPr>
        <w:t xml:space="preserve">stimate of burden </w:t>
      </w:r>
      <w:r w:rsidR="00136C6B" w:rsidRPr="0001197D">
        <w:rPr>
          <w:rFonts w:ascii="Arial" w:hAnsi="Arial" w:cs="Arial"/>
          <w:color w:val="000000" w:themeColor="text1"/>
          <w:sz w:val="24"/>
          <w:highlight w:val="yellow"/>
        </w:rPr>
        <w:t xml:space="preserve">for this request </w:t>
      </w:r>
      <w:r w:rsidR="00222FE8" w:rsidRPr="0001197D">
        <w:rPr>
          <w:rFonts w:ascii="Arial" w:hAnsi="Arial" w:cs="Arial"/>
          <w:color w:val="000000" w:themeColor="text1"/>
          <w:sz w:val="24"/>
          <w:highlight w:val="yellow"/>
        </w:rPr>
        <w:t xml:space="preserve">is </w:t>
      </w:r>
      <w:r w:rsidR="00136C6B" w:rsidRPr="0001197D">
        <w:rPr>
          <w:rFonts w:ascii="Arial" w:hAnsi="Arial" w:cs="Arial"/>
          <w:color w:val="000000" w:themeColor="text1"/>
          <w:sz w:val="24"/>
          <w:highlight w:val="yellow"/>
        </w:rPr>
        <w:t>374 hours</w:t>
      </w:r>
      <w:r w:rsidR="00222FE8">
        <w:rPr>
          <w:rFonts w:ascii="Arial" w:hAnsi="Arial" w:cs="Arial"/>
          <w:color w:val="000000" w:themeColor="text1"/>
          <w:sz w:val="24"/>
        </w:rPr>
        <w:t xml:space="preserve">.  Estimates are calculated based on industry standard knowledge about studies conducted among identical audiences over several years.  Timing is estimated based on number and complexity of questions as well as factoring in </w:t>
      </w:r>
      <w:r w:rsidR="00CF3D90">
        <w:rPr>
          <w:rFonts w:ascii="Arial" w:hAnsi="Arial" w:cs="Arial"/>
          <w:color w:val="000000" w:themeColor="text1"/>
          <w:sz w:val="24"/>
        </w:rPr>
        <w:t>dual-frame phone methodology</w:t>
      </w:r>
      <w:r w:rsidR="00222FE8">
        <w:rPr>
          <w:rFonts w:ascii="Arial" w:hAnsi="Arial" w:cs="Arial"/>
          <w:color w:val="000000" w:themeColor="text1"/>
          <w:sz w:val="24"/>
        </w:rPr>
        <w:t>.</w:t>
      </w:r>
    </w:p>
    <w:p w14:paraId="38B66707" w14:textId="77777777" w:rsidR="00222FE8" w:rsidRPr="00222FE8" w:rsidRDefault="00222FE8" w:rsidP="00425DE4">
      <w:pPr>
        <w:widowControl/>
        <w:tabs>
          <w:tab w:val="num" w:pos="990"/>
        </w:tabs>
        <w:spacing w:before="120"/>
        <w:ind w:left="270"/>
        <w:rPr>
          <w:rFonts w:ascii="Arial" w:hAnsi="Arial" w:cs="Arial"/>
          <w:sz w:val="24"/>
          <w:highlight w:val="yellow"/>
        </w:rPr>
      </w:pPr>
    </w:p>
    <w:tbl>
      <w:tblPr>
        <w:tblW w:w="11196" w:type="dxa"/>
        <w:tblInd w:w="-918" w:type="dxa"/>
        <w:tblLayout w:type="fixed"/>
        <w:tblCellMar>
          <w:left w:w="97" w:type="dxa"/>
          <w:right w:w="97" w:type="dxa"/>
        </w:tblCellMar>
        <w:tblLook w:val="0000" w:firstRow="0" w:lastRow="0" w:firstColumn="0" w:lastColumn="0" w:noHBand="0" w:noVBand="0"/>
      </w:tblPr>
      <w:tblGrid>
        <w:gridCol w:w="1800"/>
        <w:gridCol w:w="1728"/>
        <w:gridCol w:w="1728"/>
        <w:gridCol w:w="1800"/>
        <w:gridCol w:w="1350"/>
        <w:gridCol w:w="1350"/>
        <w:gridCol w:w="1440"/>
      </w:tblGrid>
      <w:tr w:rsidR="00425499" w:rsidRPr="0048628B" w14:paraId="641B5917" w14:textId="77777777" w:rsidTr="0001197D">
        <w:trPr>
          <w:trHeight w:val="576"/>
        </w:trPr>
        <w:tc>
          <w:tcPr>
            <w:tcW w:w="1800" w:type="dxa"/>
            <w:tcBorders>
              <w:top w:val="single" w:sz="2" w:space="0" w:color="auto"/>
              <w:left w:val="single" w:sz="2" w:space="0" w:color="auto"/>
              <w:bottom w:val="single" w:sz="2" w:space="0" w:color="auto"/>
              <w:right w:val="single" w:sz="2" w:space="0" w:color="auto"/>
            </w:tcBorders>
            <w:vAlign w:val="bottom"/>
          </w:tcPr>
          <w:p w14:paraId="6811F3E5" w14:textId="77777777" w:rsidR="00425499" w:rsidRPr="0048628B" w:rsidRDefault="00425499" w:rsidP="00425DE4">
            <w:pPr>
              <w:rPr>
                <w:rFonts w:ascii="Arial" w:hAnsi="Arial" w:cs="Arial"/>
                <w:color w:val="000000" w:themeColor="text1"/>
                <w:sz w:val="24"/>
              </w:rPr>
            </w:pPr>
          </w:p>
          <w:p w14:paraId="13C68A63" w14:textId="6A387910" w:rsidR="00425499" w:rsidRPr="0048628B" w:rsidRDefault="00425499" w:rsidP="00A256B6">
            <w:pPr>
              <w:rPr>
                <w:rFonts w:ascii="Arial" w:hAnsi="Arial" w:cs="Arial"/>
                <w:color w:val="000000" w:themeColor="text1"/>
                <w:sz w:val="24"/>
              </w:rPr>
            </w:pPr>
            <w:r>
              <w:rPr>
                <w:rFonts w:ascii="Arial" w:hAnsi="Arial" w:cs="Arial"/>
                <w:color w:val="000000" w:themeColor="text1"/>
                <w:sz w:val="24"/>
              </w:rPr>
              <w:t>Type of Respondent</w:t>
            </w:r>
          </w:p>
        </w:tc>
        <w:tc>
          <w:tcPr>
            <w:tcW w:w="1728" w:type="dxa"/>
            <w:tcBorders>
              <w:top w:val="single" w:sz="2" w:space="0" w:color="auto"/>
              <w:left w:val="single" w:sz="2" w:space="0" w:color="auto"/>
              <w:bottom w:val="single" w:sz="2" w:space="0" w:color="auto"/>
              <w:right w:val="single" w:sz="2" w:space="0" w:color="auto"/>
            </w:tcBorders>
            <w:vAlign w:val="bottom"/>
          </w:tcPr>
          <w:p w14:paraId="623234B4" w14:textId="77777777" w:rsidR="00425499" w:rsidRDefault="00425499" w:rsidP="00425DE4">
            <w:pPr>
              <w:rPr>
                <w:rFonts w:ascii="Arial" w:hAnsi="Arial" w:cs="Arial"/>
                <w:color w:val="000000" w:themeColor="text1"/>
                <w:sz w:val="24"/>
              </w:rPr>
            </w:pPr>
            <w:r>
              <w:rPr>
                <w:rFonts w:ascii="Arial" w:hAnsi="Arial" w:cs="Arial"/>
                <w:color w:val="000000" w:themeColor="text1"/>
                <w:sz w:val="24"/>
              </w:rPr>
              <w:t>Form</w:t>
            </w:r>
          </w:p>
          <w:p w14:paraId="25E4489D" w14:textId="3B1CBF19" w:rsidR="00425499" w:rsidRPr="0048628B" w:rsidRDefault="00425499" w:rsidP="00425DE4">
            <w:pPr>
              <w:rPr>
                <w:rFonts w:ascii="Arial" w:hAnsi="Arial" w:cs="Arial"/>
                <w:color w:val="000000" w:themeColor="text1"/>
                <w:sz w:val="24"/>
              </w:rPr>
            </w:pPr>
            <w:r>
              <w:rPr>
                <w:rFonts w:ascii="Arial" w:hAnsi="Arial" w:cs="Arial"/>
                <w:color w:val="000000" w:themeColor="text1"/>
                <w:sz w:val="24"/>
              </w:rPr>
              <w:t>Name</w:t>
            </w:r>
          </w:p>
        </w:tc>
        <w:tc>
          <w:tcPr>
            <w:tcW w:w="1728" w:type="dxa"/>
            <w:tcBorders>
              <w:top w:val="single" w:sz="2" w:space="0" w:color="auto"/>
              <w:left w:val="single" w:sz="2" w:space="0" w:color="auto"/>
              <w:bottom w:val="single" w:sz="2" w:space="0" w:color="auto"/>
              <w:right w:val="single" w:sz="2" w:space="0" w:color="auto"/>
            </w:tcBorders>
            <w:vAlign w:val="bottom"/>
          </w:tcPr>
          <w:p w14:paraId="42B7A48C" w14:textId="04D9782F" w:rsidR="00425499" w:rsidRPr="0048628B" w:rsidRDefault="00425499" w:rsidP="00425DE4">
            <w:pPr>
              <w:rPr>
                <w:rFonts w:ascii="Arial" w:hAnsi="Arial" w:cs="Arial"/>
                <w:color w:val="000000" w:themeColor="text1"/>
                <w:sz w:val="24"/>
              </w:rPr>
            </w:pPr>
            <w:r w:rsidRPr="0048628B">
              <w:rPr>
                <w:rFonts w:ascii="Arial" w:hAnsi="Arial" w:cs="Arial"/>
                <w:color w:val="000000" w:themeColor="text1"/>
                <w:sz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14:paraId="4E9D87A8" w14:textId="5D9CBF0F" w:rsidR="00425499" w:rsidRPr="0048628B" w:rsidRDefault="00425499" w:rsidP="00425DE4">
            <w:pPr>
              <w:rPr>
                <w:rFonts w:ascii="Arial" w:hAnsi="Arial" w:cs="Arial"/>
                <w:color w:val="000000" w:themeColor="text1"/>
                <w:sz w:val="24"/>
              </w:rPr>
            </w:pPr>
            <w:r>
              <w:rPr>
                <w:rFonts w:ascii="Arial" w:hAnsi="Arial" w:cs="Arial"/>
                <w:color w:val="000000" w:themeColor="text1"/>
                <w:sz w:val="24"/>
              </w:rPr>
              <w:t xml:space="preserve">No. </w:t>
            </w:r>
            <w:r w:rsidRPr="0048628B">
              <w:rPr>
                <w:rFonts w:ascii="Arial" w:hAnsi="Arial" w:cs="Arial"/>
                <w:color w:val="000000" w:themeColor="text1"/>
                <w:sz w:val="24"/>
              </w:rPr>
              <w:t>Responses per Respondent</w:t>
            </w:r>
          </w:p>
        </w:tc>
        <w:tc>
          <w:tcPr>
            <w:tcW w:w="1350" w:type="dxa"/>
            <w:tcBorders>
              <w:top w:val="single" w:sz="2" w:space="0" w:color="auto"/>
              <w:left w:val="single" w:sz="2" w:space="0" w:color="auto"/>
              <w:bottom w:val="single" w:sz="2" w:space="0" w:color="auto"/>
              <w:right w:val="single" w:sz="2" w:space="0" w:color="auto"/>
            </w:tcBorders>
          </w:tcPr>
          <w:p w14:paraId="56A5102C" w14:textId="6E562672" w:rsidR="00425499" w:rsidRDefault="00425499" w:rsidP="00425DE4">
            <w:pPr>
              <w:rPr>
                <w:rFonts w:ascii="Arial" w:hAnsi="Arial" w:cs="Arial"/>
                <w:color w:val="000000" w:themeColor="text1"/>
                <w:sz w:val="24"/>
              </w:rPr>
            </w:pPr>
            <w:r>
              <w:rPr>
                <w:rFonts w:ascii="Arial" w:hAnsi="Arial" w:cs="Arial"/>
                <w:color w:val="000000" w:themeColor="text1"/>
                <w:sz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14:paraId="4D4E8812" w14:textId="6DA7BA5A" w:rsidR="00425499" w:rsidRPr="0048628B" w:rsidRDefault="00425499" w:rsidP="00425DE4">
            <w:pPr>
              <w:rPr>
                <w:rFonts w:ascii="Arial" w:hAnsi="Arial" w:cs="Arial"/>
                <w:color w:val="000000" w:themeColor="text1"/>
                <w:sz w:val="24"/>
              </w:rPr>
            </w:pPr>
            <w:r>
              <w:rPr>
                <w:rFonts w:ascii="Arial" w:hAnsi="Arial" w:cs="Arial"/>
                <w:color w:val="000000" w:themeColor="text1"/>
                <w:sz w:val="24"/>
              </w:rPr>
              <w:t>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14:paraId="58C6F7C0" w14:textId="77777777" w:rsidR="00425499" w:rsidRPr="0048628B" w:rsidRDefault="00425499" w:rsidP="00425DE4">
            <w:pPr>
              <w:rPr>
                <w:rFonts w:ascii="Arial" w:hAnsi="Arial" w:cs="Arial"/>
                <w:color w:val="000000" w:themeColor="text1"/>
                <w:sz w:val="24"/>
              </w:rPr>
            </w:pPr>
            <w:r w:rsidRPr="0048628B">
              <w:rPr>
                <w:rFonts w:ascii="Arial" w:hAnsi="Arial" w:cs="Arial"/>
                <w:color w:val="000000" w:themeColor="text1"/>
                <w:sz w:val="24"/>
              </w:rPr>
              <w:t>Total Burden Hours</w:t>
            </w:r>
          </w:p>
        </w:tc>
      </w:tr>
      <w:tr w:rsidR="00425499" w:rsidRPr="0048628B" w14:paraId="1E69B255" w14:textId="77777777" w:rsidTr="0001197D">
        <w:tc>
          <w:tcPr>
            <w:tcW w:w="1800" w:type="dxa"/>
            <w:tcBorders>
              <w:top w:val="single" w:sz="2" w:space="0" w:color="auto"/>
              <w:left w:val="single" w:sz="2" w:space="0" w:color="auto"/>
              <w:bottom w:val="single" w:sz="2" w:space="0" w:color="auto"/>
              <w:right w:val="single" w:sz="2" w:space="0" w:color="auto"/>
            </w:tcBorders>
          </w:tcPr>
          <w:p w14:paraId="0835A71E" w14:textId="1389412B" w:rsidR="00425499" w:rsidRPr="0048628B" w:rsidRDefault="00425499" w:rsidP="00425DE4">
            <w:pPr>
              <w:rPr>
                <w:rFonts w:ascii="Arial" w:hAnsi="Arial" w:cs="Arial"/>
                <w:color w:val="000000" w:themeColor="text1"/>
                <w:sz w:val="24"/>
              </w:rPr>
            </w:pPr>
            <w:r>
              <w:rPr>
                <w:rFonts w:ascii="Arial" w:hAnsi="Arial" w:cs="Arial"/>
                <w:color w:val="000000" w:themeColor="text1"/>
                <w:sz w:val="24"/>
              </w:rPr>
              <w:t>Individuals/ Households</w:t>
            </w:r>
          </w:p>
        </w:tc>
        <w:tc>
          <w:tcPr>
            <w:tcW w:w="1728" w:type="dxa"/>
            <w:tcBorders>
              <w:top w:val="single" w:sz="2" w:space="0" w:color="auto"/>
              <w:left w:val="single" w:sz="2" w:space="0" w:color="auto"/>
              <w:bottom w:val="single" w:sz="2" w:space="0" w:color="auto"/>
              <w:right w:val="single" w:sz="2" w:space="0" w:color="auto"/>
            </w:tcBorders>
          </w:tcPr>
          <w:p w14:paraId="5F0CAAEA" w14:textId="1395C6BF" w:rsidR="00425499" w:rsidRPr="0048628B" w:rsidRDefault="00425499" w:rsidP="00425DE4">
            <w:pPr>
              <w:rPr>
                <w:rFonts w:ascii="Arial" w:hAnsi="Arial" w:cs="Arial"/>
                <w:color w:val="000000" w:themeColor="text1"/>
                <w:sz w:val="24"/>
                <w:lang w:val="fr-FR"/>
              </w:rPr>
            </w:pPr>
            <w:r>
              <w:rPr>
                <w:rFonts w:ascii="Arial" w:hAnsi="Arial" w:cs="Arial"/>
                <w:color w:val="000000" w:themeColor="text1"/>
                <w:sz w:val="24"/>
                <w:lang w:val="fr-FR"/>
              </w:rPr>
              <w:t xml:space="preserve">Poison Help </w:t>
            </w:r>
            <w:r w:rsidRPr="0033268D">
              <w:rPr>
                <w:rFonts w:ascii="Arial" w:hAnsi="Arial" w:cs="Arial"/>
                <w:color w:val="000000" w:themeColor="text1"/>
                <w:sz w:val="24"/>
                <w:lang w:val="fr-FR"/>
              </w:rPr>
              <w:t xml:space="preserve">General population </w:t>
            </w:r>
            <w:r>
              <w:rPr>
                <w:rFonts w:ascii="Arial" w:hAnsi="Arial" w:cs="Arial"/>
                <w:color w:val="000000" w:themeColor="text1"/>
                <w:sz w:val="24"/>
                <w:lang w:val="fr-FR"/>
              </w:rPr>
              <w:t>S</w:t>
            </w:r>
            <w:r w:rsidRPr="0033268D">
              <w:rPr>
                <w:rFonts w:ascii="Arial" w:hAnsi="Arial" w:cs="Arial"/>
                <w:color w:val="000000" w:themeColor="text1"/>
                <w:sz w:val="24"/>
                <w:lang w:val="fr-FR"/>
              </w:rPr>
              <w:t>urvey</w:t>
            </w:r>
          </w:p>
        </w:tc>
        <w:tc>
          <w:tcPr>
            <w:tcW w:w="1728" w:type="dxa"/>
            <w:tcBorders>
              <w:top w:val="single" w:sz="2" w:space="0" w:color="auto"/>
              <w:left w:val="single" w:sz="2" w:space="0" w:color="auto"/>
              <w:bottom w:val="single" w:sz="2" w:space="0" w:color="auto"/>
              <w:right w:val="single" w:sz="2" w:space="0" w:color="auto"/>
            </w:tcBorders>
          </w:tcPr>
          <w:p w14:paraId="0D58E29F" w14:textId="5CCEBC52" w:rsidR="00425499" w:rsidRPr="001103CD" w:rsidRDefault="00425499" w:rsidP="00425DE4">
            <w:pPr>
              <w:rPr>
                <w:rFonts w:ascii="Arial" w:hAnsi="Arial" w:cs="Arial"/>
                <w:color w:val="000000" w:themeColor="text1"/>
                <w:sz w:val="24"/>
                <w:highlight w:val="yellow"/>
                <w:lang w:val="fr-FR"/>
              </w:rPr>
            </w:pPr>
            <w:r w:rsidRPr="001103CD">
              <w:rPr>
                <w:rFonts w:ascii="Arial" w:hAnsi="Arial" w:cs="Arial"/>
                <w:color w:val="000000" w:themeColor="text1"/>
                <w:sz w:val="24"/>
                <w:highlight w:val="yellow"/>
                <w:lang w:val="fr-FR"/>
              </w:rPr>
              <w:t>2,000</w:t>
            </w:r>
          </w:p>
        </w:tc>
        <w:tc>
          <w:tcPr>
            <w:tcW w:w="1800" w:type="dxa"/>
            <w:tcBorders>
              <w:top w:val="single" w:sz="2" w:space="0" w:color="auto"/>
              <w:left w:val="single" w:sz="2" w:space="0" w:color="auto"/>
              <w:bottom w:val="single" w:sz="2" w:space="0" w:color="auto"/>
              <w:right w:val="single" w:sz="2" w:space="0" w:color="auto"/>
            </w:tcBorders>
          </w:tcPr>
          <w:p w14:paraId="25FAB47F" w14:textId="77777777" w:rsidR="00425499" w:rsidRPr="0048628B" w:rsidRDefault="00425499" w:rsidP="00425DE4">
            <w:pPr>
              <w:rPr>
                <w:rFonts w:ascii="Arial" w:hAnsi="Arial" w:cs="Arial"/>
                <w:color w:val="000000" w:themeColor="text1"/>
                <w:sz w:val="24"/>
                <w:lang w:val="fr-FR"/>
              </w:rPr>
            </w:pPr>
            <w:r w:rsidRPr="0048628B">
              <w:rPr>
                <w:rFonts w:ascii="Arial" w:hAnsi="Arial" w:cs="Arial"/>
                <w:color w:val="000000" w:themeColor="text1"/>
                <w:sz w:val="24"/>
                <w:lang w:val="fr-FR"/>
              </w:rPr>
              <w:t>1</w:t>
            </w:r>
          </w:p>
        </w:tc>
        <w:tc>
          <w:tcPr>
            <w:tcW w:w="1350" w:type="dxa"/>
            <w:tcBorders>
              <w:top w:val="single" w:sz="2" w:space="0" w:color="auto"/>
              <w:left w:val="single" w:sz="2" w:space="0" w:color="auto"/>
              <w:bottom w:val="single" w:sz="2" w:space="0" w:color="auto"/>
              <w:right w:val="single" w:sz="2" w:space="0" w:color="auto"/>
            </w:tcBorders>
          </w:tcPr>
          <w:p w14:paraId="27B4159A" w14:textId="48B8C0B7" w:rsidR="00425499" w:rsidRPr="001103CD" w:rsidRDefault="00425499" w:rsidP="00425DE4">
            <w:pPr>
              <w:rPr>
                <w:rFonts w:ascii="Arial" w:hAnsi="Arial" w:cs="Arial"/>
                <w:color w:val="000000" w:themeColor="text1"/>
                <w:sz w:val="24"/>
                <w:highlight w:val="yellow"/>
                <w:lang w:val="fr-FR"/>
              </w:rPr>
            </w:pPr>
            <w:r w:rsidRPr="001103CD">
              <w:rPr>
                <w:rFonts w:ascii="Arial" w:hAnsi="Arial" w:cs="Arial"/>
                <w:color w:val="000000" w:themeColor="text1"/>
                <w:sz w:val="24"/>
                <w:highlight w:val="yellow"/>
                <w:lang w:val="fr-FR"/>
              </w:rPr>
              <w:t>2,000</w:t>
            </w:r>
          </w:p>
        </w:tc>
        <w:tc>
          <w:tcPr>
            <w:tcW w:w="1350" w:type="dxa"/>
            <w:tcBorders>
              <w:top w:val="single" w:sz="2" w:space="0" w:color="auto"/>
              <w:left w:val="single" w:sz="2" w:space="0" w:color="auto"/>
              <w:bottom w:val="single" w:sz="2" w:space="0" w:color="auto"/>
              <w:right w:val="single" w:sz="2" w:space="0" w:color="auto"/>
            </w:tcBorders>
          </w:tcPr>
          <w:p w14:paraId="62DA7CAB" w14:textId="73F642BC" w:rsidR="00425499" w:rsidRPr="0048628B" w:rsidRDefault="00425499" w:rsidP="00425DE4">
            <w:pPr>
              <w:rPr>
                <w:rFonts w:ascii="Arial" w:hAnsi="Arial" w:cs="Arial"/>
                <w:color w:val="000000" w:themeColor="text1"/>
                <w:sz w:val="24"/>
                <w:lang w:val="fr-FR"/>
              </w:rPr>
            </w:pPr>
            <w:r>
              <w:rPr>
                <w:rFonts w:ascii="Arial" w:hAnsi="Arial" w:cs="Arial"/>
                <w:color w:val="000000" w:themeColor="text1"/>
                <w:sz w:val="24"/>
                <w:lang w:val="fr-FR"/>
              </w:rPr>
              <w:t>0.166</w:t>
            </w:r>
          </w:p>
        </w:tc>
        <w:tc>
          <w:tcPr>
            <w:tcW w:w="1440" w:type="dxa"/>
            <w:tcBorders>
              <w:top w:val="single" w:sz="2" w:space="0" w:color="auto"/>
              <w:left w:val="single" w:sz="2" w:space="0" w:color="auto"/>
              <w:bottom w:val="single" w:sz="2" w:space="0" w:color="auto"/>
              <w:right w:val="single" w:sz="2" w:space="0" w:color="auto"/>
            </w:tcBorders>
          </w:tcPr>
          <w:p w14:paraId="72ED8DE6" w14:textId="496B0CB9" w:rsidR="00425499" w:rsidRPr="001103CD" w:rsidRDefault="00425499" w:rsidP="00425DE4">
            <w:pPr>
              <w:rPr>
                <w:rFonts w:ascii="Arial" w:hAnsi="Arial" w:cs="Arial"/>
                <w:color w:val="000000" w:themeColor="text1"/>
                <w:sz w:val="24"/>
                <w:highlight w:val="yellow"/>
                <w:lang w:val="fr-FR"/>
              </w:rPr>
            </w:pPr>
            <w:r w:rsidRPr="001103CD">
              <w:rPr>
                <w:rFonts w:ascii="Arial" w:hAnsi="Arial" w:cs="Arial"/>
                <w:color w:val="000000" w:themeColor="text1"/>
                <w:sz w:val="24"/>
                <w:highlight w:val="yellow"/>
                <w:lang w:val="fr-FR"/>
              </w:rPr>
              <w:t>332</w:t>
            </w:r>
          </w:p>
        </w:tc>
      </w:tr>
      <w:tr w:rsidR="00425499" w:rsidRPr="0048628B" w14:paraId="14BD0AFC" w14:textId="77777777" w:rsidTr="0001197D">
        <w:tc>
          <w:tcPr>
            <w:tcW w:w="1800" w:type="dxa"/>
            <w:tcBorders>
              <w:top w:val="single" w:sz="2" w:space="0" w:color="auto"/>
              <w:left w:val="single" w:sz="2" w:space="0" w:color="auto"/>
              <w:bottom w:val="single" w:sz="2" w:space="0" w:color="auto"/>
              <w:right w:val="single" w:sz="2" w:space="0" w:color="auto"/>
            </w:tcBorders>
          </w:tcPr>
          <w:p w14:paraId="57EB316E" w14:textId="58772677" w:rsidR="00425499" w:rsidRPr="0048628B" w:rsidRDefault="00425499" w:rsidP="00425DE4">
            <w:pPr>
              <w:rPr>
                <w:rFonts w:ascii="Arial" w:hAnsi="Arial" w:cs="Arial"/>
                <w:color w:val="000000" w:themeColor="text1"/>
                <w:sz w:val="24"/>
              </w:rPr>
            </w:pPr>
            <w:r>
              <w:rPr>
                <w:rFonts w:ascii="Arial" w:hAnsi="Arial" w:cs="Arial"/>
                <w:color w:val="000000" w:themeColor="text1"/>
                <w:sz w:val="24"/>
              </w:rPr>
              <w:t>Individuals/ Households</w:t>
            </w:r>
          </w:p>
        </w:tc>
        <w:tc>
          <w:tcPr>
            <w:tcW w:w="1728" w:type="dxa"/>
            <w:tcBorders>
              <w:top w:val="single" w:sz="2" w:space="0" w:color="auto"/>
              <w:left w:val="single" w:sz="2" w:space="0" w:color="auto"/>
              <w:bottom w:val="single" w:sz="2" w:space="0" w:color="auto"/>
              <w:right w:val="single" w:sz="2" w:space="0" w:color="auto"/>
            </w:tcBorders>
          </w:tcPr>
          <w:p w14:paraId="6DD5382D" w14:textId="73AA9D22" w:rsidR="00425499" w:rsidRPr="0048628B" w:rsidRDefault="00425499" w:rsidP="00A256B6">
            <w:pPr>
              <w:rPr>
                <w:rFonts w:ascii="Arial" w:hAnsi="Arial" w:cs="Arial"/>
                <w:color w:val="000000" w:themeColor="text1"/>
                <w:sz w:val="24"/>
                <w:lang w:val="fr-FR"/>
              </w:rPr>
            </w:pPr>
            <w:r>
              <w:rPr>
                <w:rFonts w:ascii="Arial" w:hAnsi="Arial" w:cs="Arial"/>
                <w:color w:val="000000" w:themeColor="text1"/>
                <w:sz w:val="24"/>
                <w:lang w:val="fr-FR"/>
              </w:rPr>
              <w:t xml:space="preserve">Poison Help </w:t>
            </w:r>
            <w:r w:rsidRPr="0033268D">
              <w:rPr>
                <w:rFonts w:ascii="Arial" w:hAnsi="Arial" w:cs="Arial"/>
                <w:color w:val="000000" w:themeColor="text1"/>
                <w:sz w:val="24"/>
                <w:lang w:val="fr-FR"/>
              </w:rPr>
              <w:t xml:space="preserve">General </w:t>
            </w:r>
            <w:r>
              <w:rPr>
                <w:rFonts w:ascii="Arial" w:hAnsi="Arial" w:cs="Arial"/>
                <w:color w:val="000000" w:themeColor="text1"/>
                <w:sz w:val="24"/>
                <w:lang w:val="fr-FR"/>
              </w:rPr>
              <w:t>P</w:t>
            </w:r>
            <w:r w:rsidRPr="0033268D">
              <w:rPr>
                <w:rFonts w:ascii="Arial" w:hAnsi="Arial" w:cs="Arial"/>
                <w:color w:val="000000" w:themeColor="text1"/>
                <w:sz w:val="24"/>
                <w:lang w:val="fr-FR"/>
              </w:rPr>
              <w:t xml:space="preserve">opulation </w:t>
            </w:r>
            <w:r>
              <w:rPr>
                <w:rFonts w:ascii="Arial" w:hAnsi="Arial" w:cs="Arial"/>
                <w:color w:val="000000" w:themeColor="text1"/>
                <w:sz w:val="24"/>
                <w:lang w:val="fr-FR"/>
              </w:rPr>
              <w:t>S</w:t>
            </w:r>
            <w:r w:rsidRPr="0033268D">
              <w:rPr>
                <w:rFonts w:ascii="Arial" w:hAnsi="Arial" w:cs="Arial"/>
                <w:color w:val="000000" w:themeColor="text1"/>
                <w:sz w:val="24"/>
                <w:lang w:val="fr-FR"/>
              </w:rPr>
              <w:t xml:space="preserve">urvey </w:t>
            </w:r>
            <w:r>
              <w:rPr>
                <w:rFonts w:ascii="Arial" w:hAnsi="Arial" w:cs="Arial"/>
                <w:color w:val="000000" w:themeColor="text1"/>
                <w:sz w:val="24"/>
                <w:lang w:val="fr-FR"/>
              </w:rPr>
              <w:t>S</w:t>
            </w:r>
            <w:r w:rsidRPr="0033268D">
              <w:rPr>
                <w:rFonts w:ascii="Arial" w:hAnsi="Arial" w:cs="Arial"/>
                <w:color w:val="000000" w:themeColor="text1"/>
                <w:sz w:val="24"/>
                <w:lang w:val="fr-FR"/>
              </w:rPr>
              <w:t>creener</w:t>
            </w:r>
            <w:r>
              <w:rPr>
                <w:rFonts w:ascii="Arial" w:hAnsi="Arial" w:cs="Arial"/>
                <w:color w:val="000000" w:themeColor="text1"/>
                <w:sz w:val="24"/>
                <w:lang w:val="fr-FR"/>
              </w:rPr>
              <w:t xml:space="preserve"> </w:t>
            </w:r>
          </w:p>
        </w:tc>
        <w:tc>
          <w:tcPr>
            <w:tcW w:w="1728" w:type="dxa"/>
            <w:tcBorders>
              <w:top w:val="single" w:sz="2" w:space="0" w:color="auto"/>
              <w:left w:val="single" w:sz="2" w:space="0" w:color="auto"/>
              <w:bottom w:val="single" w:sz="2" w:space="0" w:color="auto"/>
              <w:right w:val="single" w:sz="2" w:space="0" w:color="auto"/>
            </w:tcBorders>
          </w:tcPr>
          <w:p w14:paraId="74D43EE5" w14:textId="341F43C0" w:rsidR="00425499" w:rsidRPr="001103CD" w:rsidRDefault="00425499" w:rsidP="00425DE4">
            <w:pPr>
              <w:rPr>
                <w:rFonts w:ascii="Arial" w:hAnsi="Arial" w:cs="Arial"/>
                <w:color w:val="000000" w:themeColor="text1"/>
                <w:sz w:val="24"/>
                <w:highlight w:val="yellow"/>
                <w:lang w:val="fr-FR"/>
              </w:rPr>
            </w:pPr>
            <w:r w:rsidRPr="001103CD">
              <w:rPr>
                <w:rFonts w:ascii="Arial" w:hAnsi="Arial" w:cs="Arial"/>
                <w:color w:val="000000" w:themeColor="text1"/>
                <w:sz w:val="24"/>
                <w:highlight w:val="yellow"/>
                <w:lang w:val="fr-FR"/>
              </w:rPr>
              <w:t>2,600</w:t>
            </w:r>
          </w:p>
        </w:tc>
        <w:tc>
          <w:tcPr>
            <w:tcW w:w="1800" w:type="dxa"/>
            <w:tcBorders>
              <w:top w:val="single" w:sz="2" w:space="0" w:color="auto"/>
              <w:left w:val="single" w:sz="2" w:space="0" w:color="auto"/>
              <w:bottom w:val="single" w:sz="2" w:space="0" w:color="auto"/>
              <w:right w:val="single" w:sz="2" w:space="0" w:color="auto"/>
            </w:tcBorders>
          </w:tcPr>
          <w:p w14:paraId="0D7DD3A7" w14:textId="77777777" w:rsidR="00425499" w:rsidRPr="0048628B" w:rsidRDefault="00425499" w:rsidP="00425DE4">
            <w:pPr>
              <w:rPr>
                <w:rFonts w:ascii="Arial" w:hAnsi="Arial" w:cs="Arial"/>
                <w:color w:val="000000" w:themeColor="text1"/>
                <w:sz w:val="24"/>
                <w:lang w:val="fr-FR"/>
              </w:rPr>
            </w:pPr>
            <w:r w:rsidRPr="0048628B">
              <w:rPr>
                <w:rFonts w:ascii="Arial" w:hAnsi="Arial" w:cs="Arial"/>
                <w:color w:val="000000" w:themeColor="text1"/>
                <w:sz w:val="24"/>
                <w:lang w:val="fr-FR"/>
              </w:rPr>
              <w:t>1</w:t>
            </w:r>
          </w:p>
        </w:tc>
        <w:tc>
          <w:tcPr>
            <w:tcW w:w="1350" w:type="dxa"/>
            <w:tcBorders>
              <w:top w:val="single" w:sz="2" w:space="0" w:color="auto"/>
              <w:left w:val="single" w:sz="2" w:space="0" w:color="auto"/>
              <w:bottom w:val="single" w:sz="2" w:space="0" w:color="auto"/>
              <w:right w:val="single" w:sz="2" w:space="0" w:color="auto"/>
            </w:tcBorders>
          </w:tcPr>
          <w:p w14:paraId="16824FBF" w14:textId="5B8ACE6A" w:rsidR="00425499" w:rsidRPr="001103CD" w:rsidRDefault="00425499" w:rsidP="00425DE4">
            <w:pPr>
              <w:rPr>
                <w:rFonts w:ascii="Arial" w:hAnsi="Arial" w:cs="Arial"/>
                <w:color w:val="000000" w:themeColor="text1"/>
                <w:sz w:val="24"/>
                <w:highlight w:val="yellow"/>
                <w:lang w:val="fr-FR"/>
              </w:rPr>
            </w:pPr>
            <w:r w:rsidRPr="001103CD">
              <w:rPr>
                <w:rFonts w:ascii="Arial" w:hAnsi="Arial" w:cs="Arial"/>
                <w:color w:val="000000" w:themeColor="text1"/>
                <w:sz w:val="24"/>
                <w:highlight w:val="yellow"/>
                <w:lang w:val="fr-FR"/>
              </w:rPr>
              <w:t>2,600</w:t>
            </w:r>
          </w:p>
        </w:tc>
        <w:tc>
          <w:tcPr>
            <w:tcW w:w="1350" w:type="dxa"/>
            <w:tcBorders>
              <w:top w:val="single" w:sz="2" w:space="0" w:color="auto"/>
              <w:left w:val="single" w:sz="2" w:space="0" w:color="auto"/>
              <w:bottom w:val="single" w:sz="2" w:space="0" w:color="auto"/>
              <w:right w:val="single" w:sz="2" w:space="0" w:color="auto"/>
            </w:tcBorders>
          </w:tcPr>
          <w:p w14:paraId="79456D82" w14:textId="735B1736" w:rsidR="00425499" w:rsidRPr="0048628B" w:rsidRDefault="00425499" w:rsidP="00425DE4">
            <w:pPr>
              <w:rPr>
                <w:rFonts w:ascii="Arial" w:hAnsi="Arial" w:cs="Arial"/>
                <w:color w:val="000000" w:themeColor="text1"/>
                <w:sz w:val="24"/>
                <w:lang w:val="fr-FR"/>
              </w:rPr>
            </w:pPr>
            <w:r>
              <w:rPr>
                <w:rFonts w:ascii="Arial" w:hAnsi="Arial" w:cs="Arial"/>
                <w:color w:val="000000" w:themeColor="text1"/>
                <w:sz w:val="24"/>
                <w:lang w:val="fr-FR"/>
              </w:rPr>
              <w:t>0.016</w:t>
            </w:r>
          </w:p>
        </w:tc>
        <w:tc>
          <w:tcPr>
            <w:tcW w:w="1440" w:type="dxa"/>
            <w:tcBorders>
              <w:top w:val="single" w:sz="2" w:space="0" w:color="auto"/>
              <w:left w:val="single" w:sz="2" w:space="0" w:color="auto"/>
              <w:bottom w:val="single" w:sz="2" w:space="0" w:color="auto"/>
              <w:right w:val="single" w:sz="2" w:space="0" w:color="auto"/>
            </w:tcBorders>
          </w:tcPr>
          <w:p w14:paraId="77871852" w14:textId="0896682F" w:rsidR="00425499" w:rsidRPr="001103CD" w:rsidRDefault="00425499" w:rsidP="00425DE4">
            <w:pPr>
              <w:rPr>
                <w:rFonts w:ascii="Arial" w:hAnsi="Arial" w:cs="Arial"/>
                <w:color w:val="000000" w:themeColor="text1"/>
                <w:sz w:val="24"/>
                <w:highlight w:val="yellow"/>
                <w:lang w:val="fr-FR"/>
              </w:rPr>
            </w:pPr>
            <w:r w:rsidRPr="001103CD">
              <w:rPr>
                <w:rFonts w:ascii="Arial" w:hAnsi="Arial" w:cs="Arial"/>
                <w:color w:val="000000" w:themeColor="text1"/>
                <w:sz w:val="24"/>
                <w:highlight w:val="yellow"/>
                <w:lang w:val="fr-FR"/>
              </w:rPr>
              <w:t>41.6</w:t>
            </w:r>
          </w:p>
        </w:tc>
      </w:tr>
      <w:tr w:rsidR="00425499" w:rsidRPr="0048628B" w14:paraId="387C882B" w14:textId="77777777" w:rsidTr="0001197D">
        <w:tc>
          <w:tcPr>
            <w:tcW w:w="1800" w:type="dxa"/>
            <w:tcBorders>
              <w:top w:val="single" w:sz="2" w:space="0" w:color="auto"/>
              <w:left w:val="single" w:sz="2" w:space="0" w:color="auto"/>
              <w:bottom w:val="single" w:sz="2" w:space="0" w:color="auto"/>
              <w:right w:val="single" w:sz="2" w:space="0" w:color="auto"/>
            </w:tcBorders>
          </w:tcPr>
          <w:p w14:paraId="335B2F81" w14:textId="77777777" w:rsidR="00425499" w:rsidRPr="0048628B" w:rsidRDefault="00425499" w:rsidP="00425DE4">
            <w:pPr>
              <w:rPr>
                <w:rFonts w:ascii="Arial" w:hAnsi="Arial" w:cs="Arial"/>
                <w:color w:val="000000" w:themeColor="text1"/>
                <w:sz w:val="24"/>
                <w:lang w:val="fr-FR"/>
              </w:rPr>
            </w:pPr>
            <w:r w:rsidRPr="0048628B">
              <w:rPr>
                <w:rFonts w:ascii="Arial" w:hAnsi="Arial" w:cs="Arial"/>
                <w:color w:val="000000" w:themeColor="text1"/>
                <w:sz w:val="24"/>
                <w:lang w:val="fr-FR"/>
              </w:rPr>
              <w:t>Total</w:t>
            </w:r>
          </w:p>
        </w:tc>
        <w:tc>
          <w:tcPr>
            <w:tcW w:w="1728" w:type="dxa"/>
            <w:tcBorders>
              <w:top w:val="single" w:sz="2" w:space="0" w:color="auto"/>
              <w:left w:val="single" w:sz="2" w:space="0" w:color="auto"/>
              <w:bottom w:val="single" w:sz="2" w:space="0" w:color="auto"/>
              <w:right w:val="single" w:sz="2" w:space="0" w:color="auto"/>
            </w:tcBorders>
          </w:tcPr>
          <w:p w14:paraId="4B9F6F49" w14:textId="40EA8E97" w:rsidR="00425499" w:rsidRPr="0048628B" w:rsidRDefault="00425499" w:rsidP="00425DE4">
            <w:pPr>
              <w:rPr>
                <w:rFonts w:ascii="Arial" w:hAnsi="Arial" w:cs="Arial"/>
                <w:color w:val="000000" w:themeColor="text1"/>
                <w:sz w:val="24"/>
                <w:lang w:val="fr-FR"/>
              </w:rPr>
            </w:pPr>
          </w:p>
        </w:tc>
        <w:tc>
          <w:tcPr>
            <w:tcW w:w="1728" w:type="dxa"/>
            <w:tcBorders>
              <w:top w:val="single" w:sz="2" w:space="0" w:color="auto"/>
              <w:left w:val="single" w:sz="2" w:space="0" w:color="auto"/>
              <w:bottom w:val="single" w:sz="2" w:space="0" w:color="auto"/>
              <w:right w:val="single" w:sz="2" w:space="0" w:color="auto"/>
            </w:tcBorders>
          </w:tcPr>
          <w:p w14:paraId="4C3A260E" w14:textId="7ED22FA0" w:rsidR="00425499" w:rsidRPr="001103CD" w:rsidRDefault="00425499" w:rsidP="00425DE4">
            <w:pPr>
              <w:rPr>
                <w:rFonts w:ascii="Arial" w:hAnsi="Arial" w:cs="Arial"/>
                <w:color w:val="000000" w:themeColor="text1"/>
                <w:sz w:val="24"/>
                <w:highlight w:val="yellow"/>
                <w:lang w:val="fr-FR"/>
              </w:rPr>
            </w:pPr>
            <w:r w:rsidRPr="001103CD">
              <w:rPr>
                <w:rFonts w:ascii="Arial" w:hAnsi="Arial" w:cs="Arial"/>
                <w:color w:val="000000" w:themeColor="text1"/>
                <w:sz w:val="24"/>
                <w:highlight w:val="yellow"/>
                <w:lang w:val="fr-FR"/>
              </w:rPr>
              <w:t>4,600</w:t>
            </w:r>
          </w:p>
        </w:tc>
        <w:tc>
          <w:tcPr>
            <w:tcW w:w="1800" w:type="dxa"/>
            <w:tcBorders>
              <w:top w:val="single" w:sz="2" w:space="0" w:color="auto"/>
              <w:left w:val="single" w:sz="2" w:space="0" w:color="auto"/>
              <w:bottom w:val="single" w:sz="2" w:space="0" w:color="auto"/>
              <w:right w:val="single" w:sz="2" w:space="0" w:color="auto"/>
            </w:tcBorders>
          </w:tcPr>
          <w:p w14:paraId="6DD2B7C8" w14:textId="77777777" w:rsidR="00425499" w:rsidRPr="0048628B" w:rsidRDefault="00425499" w:rsidP="00425DE4">
            <w:pPr>
              <w:rPr>
                <w:rFonts w:ascii="Arial" w:hAnsi="Arial" w:cs="Arial"/>
                <w:color w:val="000000" w:themeColor="text1"/>
                <w:sz w:val="24"/>
                <w:lang w:val="fr-FR"/>
              </w:rPr>
            </w:pPr>
          </w:p>
        </w:tc>
        <w:tc>
          <w:tcPr>
            <w:tcW w:w="1350" w:type="dxa"/>
            <w:tcBorders>
              <w:top w:val="single" w:sz="2" w:space="0" w:color="auto"/>
              <w:left w:val="single" w:sz="2" w:space="0" w:color="auto"/>
              <w:bottom w:val="single" w:sz="2" w:space="0" w:color="auto"/>
              <w:right w:val="single" w:sz="2" w:space="0" w:color="auto"/>
            </w:tcBorders>
          </w:tcPr>
          <w:p w14:paraId="6FEB1F54" w14:textId="00D18938" w:rsidR="00425499" w:rsidRPr="001103CD" w:rsidRDefault="00425499" w:rsidP="00425DE4">
            <w:pPr>
              <w:rPr>
                <w:rFonts w:ascii="Arial" w:hAnsi="Arial" w:cs="Arial"/>
                <w:color w:val="000000" w:themeColor="text1"/>
                <w:sz w:val="24"/>
                <w:highlight w:val="yellow"/>
                <w:lang w:val="fr-FR"/>
              </w:rPr>
            </w:pPr>
            <w:r w:rsidRPr="001103CD">
              <w:rPr>
                <w:rFonts w:ascii="Arial" w:hAnsi="Arial" w:cs="Arial"/>
                <w:color w:val="000000" w:themeColor="text1"/>
                <w:sz w:val="24"/>
                <w:highlight w:val="yellow"/>
                <w:lang w:val="fr-FR"/>
              </w:rPr>
              <w:t>4,600</w:t>
            </w:r>
          </w:p>
        </w:tc>
        <w:tc>
          <w:tcPr>
            <w:tcW w:w="1350" w:type="dxa"/>
            <w:tcBorders>
              <w:top w:val="single" w:sz="2" w:space="0" w:color="auto"/>
              <w:left w:val="single" w:sz="2" w:space="0" w:color="auto"/>
              <w:bottom w:val="single" w:sz="2" w:space="0" w:color="auto"/>
              <w:right w:val="single" w:sz="2" w:space="0" w:color="auto"/>
            </w:tcBorders>
          </w:tcPr>
          <w:p w14:paraId="2D01894C" w14:textId="203A1959" w:rsidR="00425499" w:rsidRPr="0048628B" w:rsidRDefault="00425499" w:rsidP="00425DE4">
            <w:pPr>
              <w:rPr>
                <w:rFonts w:ascii="Arial" w:hAnsi="Arial" w:cs="Arial"/>
                <w:color w:val="000000" w:themeColor="text1"/>
                <w:sz w:val="24"/>
                <w:lang w:val="fr-FR"/>
              </w:rPr>
            </w:pPr>
          </w:p>
        </w:tc>
        <w:tc>
          <w:tcPr>
            <w:tcW w:w="1440" w:type="dxa"/>
            <w:tcBorders>
              <w:top w:val="single" w:sz="2" w:space="0" w:color="auto"/>
              <w:left w:val="single" w:sz="2" w:space="0" w:color="auto"/>
              <w:bottom w:val="single" w:sz="2" w:space="0" w:color="auto"/>
              <w:right w:val="single" w:sz="2" w:space="0" w:color="auto"/>
            </w:tcBorders>
          </w:tcPr>
          <w:p w14:paraId="2EFCEF7E" w14:textId="0D278667" w:rsidR="00425499" w:rsidRPr="001103CD" w:rsidRDefault="00425499" w:rsidP="00425DE4">
            <w:pPr>
              <w:rPr>
                <w:rFonts w:ascii="Arial" w:hAnsi="Arial" w:cs="Arial"/>
                <w:color w:val="000000" w:themeColor="text1"/>
                <w:sz w:val="24"/>
                <w:highlight w:val="yellow"/>
              </w:rPr>
            </w:pPr>
            <w:r w:rsidRPr="001103CD">
              <w:rPr>
                <w:rFonts w:ascii="Arial" w:hAnsi="Arial" w:cs="Arial"/>
                <w:color w:val="000000" w:themeColor="text1"/>
                <w:sz w:val="24"/>
                <w:highlight w:val="yellow"/>
              </w:rPr>
              <w:t>374</w:t>
            </w:r>
          </w:p>
        </w:tc>
      </w:tr>
    </w:tbl>
    <w:p w14:paraId="63952C1F" w14:textId="77777777" w:rsidR="008A7F3E" w:rsidRPr="00C45431" w:rsidRDefault="008A7F3E" w:rsidP="00425DE4">
      <w:pPr>
        <w:widowControl/>
        <w:tabs>
          <w:tab w:val="num" w:pos="990"/>
        </w:tabs>
        <w:spacing w:before="120"/>
        <w:ind w:left="270"/>
        <w:rPr>
          <w:rFonts w:ascii="Arial" w:hAnsi="Arial" w:cs="Arial"/>
          <w:sz w:val="24"/>
        </w:rPr>
      </w:pPr>
    </w:p>
    <w:p w14:paraId="2CE27FDF" w14:textId="701AB561" w:rsidR="009B3794" w:rsidRPr="00CF3D90" w:rsidRDefault="009B3794" w:rsidP="00425DE4">
      <w:pPr>
        <w:widowControl/>
        <w:spacing w:before="120"/>
        <w:rPr>
          <w:rFonts w:ascii="Arial" w:hAnsi="Arial" w:cs="Arial"/>
          <w:b/>
          <w:sz w:val="24"/>
        </w:rPr>
      </w:pPr>
      <w:r w:rsidRPr="00CF3D90">
        <w:rPr>
          <w:rFonts w:ascii="Arial" w:hAnsi="Arial" w:cs="Arial"/>
          <w:b/>
          <w:sz w:val="24"/>
        </w:rPr>
        <w:t>12B</w:t>
      </w:r>
      <w:r w:rsidRPr="00CF3D90">
        <w:rPr>
          <w:rFonts w:ascii="Arial" w:hAnsi="Arial" w:cs="Arial"/>
          <w:sz w:val="24"/>
        </w:rPr>
        <w:t xml:space="preserve">.  </w:t>
      </w:r>
      <w:r w:rsidRPr="00CF3D90">
        <w:rPr>
          <w:rFonts w:ascii="Arial" w:hAnsi="Arial" w:cs="Arial"/>
          <w:b/>
          <w:sz w:val="24"/>
        </w:rPr>
        <w:t>Estimated Annualized Burden Costs</w:t>
      </w:r>
    </w:p>
    <w:p w14:paraId="54CF1FFC" w14:textId="77777777" w:rsidR="00222FE8" w:rsidRDefault="00222FE8" w:rsidP="00425DE4">
      <w:pPr>
        <w:pStyle w:val="P1-StandPara"/>
        <w:spacing w:line="240" w:lineRule="auto"/>
        <w:ind w:firstLine="0"/>
        <w:jc w:val="left"/>
        <w:rPr>
          <w:rFonts w:ascii="Arial" w:hAnsi="Arial" w:cs="Arial"/>
          <w:color w:val="000000" w:themeColor="text1"/>
          <w:sz w:val="24"/>
          <w:szCs w:val="24"/>
        </w:rPr>
      </w:pPr>
    </w:p>
    <w:p w14:paraId="6206140A" w14:textId="1FD976CD" w:rsidR="008A7F3E" w:rsidRDefault="008A7F3E" w:rsidP="00425DE4">
      <w:pPr>
        <w:pStyle w:val="P1-StandPara"/>
        <w:spacing w:line="240" w:lineRule="auto"/>
        <w:ind w:firstLine="0"/>
        <w:jc w:val="left"/>
        <w:rPr>
          <w:rFonts w:ascii="Arial" w:hAnsi="Arial" w:cs="Arial"/>
          <w:color w:val="000000" w:themeColor="text1"/>
          <w:sz w:val="24"/>
          <w:szCs w:val="24"/>
        </w:rPr>
      </w:pPr>
      <w:r w:rsidRPr="0048628B">
        <w:rPr>
          <w:rFonts w:ascii="Arial" w:hAnsi="Arial" w:cs="Arial"/>
          <w:color w:val="000000" w:themeColor="text1"/>
          <w:sz w:val="24"/>
          <w:szCs w:val="24"/>
        </w:rPr>
        <w:t xml:space="preserve">The annualized cost burden is shown in </w:t>
      </w:r>
      <w:r w:rsidR="00222FE8">
        <w:rPr>
          <w:rFonts w:ascii="Arial" w:hAnsi="Arial" w:cs="Arial"/>
          <w:color w:val="000000" w:themeColor="text1"/>
          <w:sz w:val="24"/>
          <w:szCs w:val="24"/>
        </w:rPr>
        <w:t>the table below</w:t>
      </w:r>
      <w:r w:rsidRPr="0048628B">
        <w:rPr>
          <w:rFonts w:ascii="Arial" w:hAnsi="Arial" w:cs="Arial"/>
          <w:color w:val="000000" w:themeColor="text1"/>
          <w:sz w:val="24"/>
          <w:szCs w:val="24"/>
        </w:rPr>
        <w:t>.  The hourly wage rate is based on the average hourly wage rate from the 201</w:t>
      </w:r>
      <w:r w:rsidR="00A256B6">
        <w:rPr>
          <w:rFonts w:ascii="Arial" w:hAnsi="Arial" w:cs="Arial"/>
          <w:color w:val="000000" w:themeColor="text1"/>
          <w:sz w:val="24"/>
          <w:szCs w:val="24"/>
        </w:rPr>
        <w:t>7</w:t>
      </w:r>
      <w:r w:rsidRPr="0048628B">
        <w:rPr>
          <w:rFonts w:ascii="Arial" w:hAnsi="Arial" w:cs="Arial"/>
          <w:color w:val="000000" w:themeColor="text1"/>
          <w:sz w:val="24"/>
          <w:szCs w:val="24"/>
        </w:rPr>
        <w:t xml:space="preserve"> National Compensation Survey conducted by the Bureau of Labor Statistics, U.S. Department of Labor</w:t>
      </w:r>
      <w:r w:rsidR="00A256B6">
        <w:rPr>
          <w:rFonts w:ascii="Arial" w:hAnsi="Arial" w:cs="Arial"/>
          <w:color w:val="000000" w:themeColor="text1"/>
          <w:sz w:val="24"/>
          <w:szCs w:val="24"/>
        </w:rPr>
        <w:t xml:space="preserve"> (</w:t>
      </w:r>
      <w:hyperlink r:id="rId12" w:history="1">
        <w:r w:rsidR="00A256B6" w:rsidRPr="00C3361F">
          <w:rPr>
            <w:rStyle w:val="Hyperlink"/>
            <w:rFonts w:ascii="Arial" w:hAnsi="Arial" w:cs="Arial"/>
            <w:sz w:val="24"/>
            <w:szCs w:val="24"/>
          </w:rPr>
          <w:t>https://www.bls.gov/news.release/pdf/ecec.pdf</w:t>
        </w:r>
      </w:hyperlink>
      <w:r w:rsidR="00A256B6">
        <w:rPr>
          <w:rFonts w:ascii="Arial" w:hAnsi="Arial" w:cs="Arial"/>
          <w:color w:val="000000" w:themeColor="text1"/>
          <w:sz w:val="24"/>
          <w:szCs w:val="24"/>
        </w:rPr>
        <w:t>)</w:t>
      </w:r>
      <w:r w:rsidRPr="0048628B">
        <w:rPr>
          <w:rFonts w:ascii="Arial" w:hAnsi="Arial" w:cs="Arial"/>
          <w:color w:val="000000" w:themeColor="text1"/>
          <w:sz w:val="24"/>
          <w:szCs w:val="24"/>
        </w:rPr>
        <w:t>.</w:t>
      </w:r>
      <w:r w:rsidR="00A256B6">
        <w:rPr>
          <w:rFonts w:ascii="Arial" w:hAnsi="Arial" w:cs="Arial"/>
          <w:color w:val="000000" w:themeColor="text1"/>
          <w:sz w:val="24"/>
          <w:szCs w:val="24"/>
        </w:rPr>
        <w:t xml:space="preserve"> </w:t>
      </w:r>
      <w:r w:rsidRPr="0048628B">
        <w:rPr>
          <w:rFonts w:ascii="Arial" w:hAnsi="Arial" w:cs="Arial"/>
          <w:color w:val="000000" w:themeColor="text1"/>
          <w:sz w:val="24"/>
          <w:szCs w:val="24"/>
        </w:rPr>
        <w:t xml:space="preserve">HRSA plans to conduct this survey every </w:t>
      </w:r>
      <w:r w:rsidR="001E083E">
        <w:rPr>
          <w:rFonts w:ascii="Arial" w:hAnsi="Arial" w:cs="Arial"/>
          <w:color w:val="000000" w:themeColor="text1"/>
          <w:sz w:val="24"/>
          <w:szCs w:val="24"/>
        </w:rPr>
        <w:t>5</w:t>
      </w:r>
      <w:r w:rsidRPr="0048628B">
        <w:rPr>
          <w:rFonts w:ascii="Arial" w:hAnsi="Arial" w:cs="Arial"/>
          <w:color w:val="000000" w:themeColor="text1"/>
          <w:sz w:val="24"/>
          <w:szCs w:val="24"/>
        </w:rPr>
        <w:t xml:space="preserve"> years.  </w:t>
      </w:r>
      <w:r w:rsidR="00222FE8">
        <w:rPr>
          <w:rFonts w:ascii="Arial" w:hAnsi="Arial" w:cs="Arial"/>
          <w:color w:val="000000" w:themeColor="text1"/>
          <w:sz w:val="24"/>
          <w:szCs w:val="24"/>
        </w:rPr>
        <w:t>This</w:t>
      </w:r>
      <w:r w:rsidRPr="0048628B">
        <w:rPr>
          <w:rFonts w:ascii="Arial" w:hAnsi="Arial" w:cs="Arial"/>
          <w:color w:val="000000" w:themeColor="text1"/>
          <w:sz w:val="24"/>
          <w:szCs w:val="24"/>
        </w:rPr>
        <w:t xml:space="preserve"> reflects a cost burden estimate for one survey, to be conducted in 2017.  There are no respondent recordkeeping requirements associated with the surveys.</w:t>
      </w:r>
    </w:p>
    <w:p w14:paraId="1E3BA7D0" w14:textId="56165D08" w:rsidR="008A7F3E" w:rsidRPr="0048628B" w:rsidRDefault="008A7F3E" w:rsidP="00425DE4">
      <w:pPr>
        <w:pStyle w:val="P1-StandPara"/>
        <w:ind w:firstLine="0"/>
        <w:jc w:val="left"/>
        <w:rPr>
          <w:rFonts w:ascii="Arial" w:hAnsi="Arial" w:cs="Arial"/>
          <w:b/>
          <w:color w:val="000000" w:themeColor="text1"/>
          <w:sz w:val="24"/>
          <w:szCs w:val="24"/>
        </w:rPr>
      </w:pPr>
    </w:p>
    <w:tbl>
      <w:tblPr>
        <w:tblW w:w="9600" w:type="dxa"/>
        <w:tblInd w:w="120" w:type="dxa"/>
        <w:tblLayout w:type="fixed"/>
        <w:tblLook w:val="0000" w:firstRow="0" w:lastRow="0" w:firstColumn="0" w:lastColumn="0" w:noHBand="0" w:noVBand="0"/>
      </w:tblPr>
      <w:tblGrid>
        <w:gridCol w:w="2310"/>
        <w:gridCol w:w="3060"/>
        <w:gridCol w:w="1260"/>
        <w:gridCol w:w="1440"/>
        <w:gridCol w:w="1530"/>
      </w:tblGrid>
      <w:tr w:rsidR="001A726C" w:rsidRPr="0048628B" w14:paraId="0EF20888" w14:textId="77777777" w:rsidTr="0001197D">
        <w:tc>
          <w:tcPr>
            <w:tcW w:w="2310" w:type="dxa"/>
            <w:tcBorders>
              <w:top w:val="single" w:sz="2" w:space="0" w:color="000000"/>
              <w:bottom w:val="single" w:sz="4" w:space="0" w:color="auto"/>
              <w:right w:val="single" w:sz="4" w:space="0" w:color="auto"/>
            </w:tcBorders>
            <w:vAlign w:val="center"/>
          </w:tcPr>
          <w:p w14:paraId="34894A22" w14:textId="01561B6C" w:rsidR="001A726C" w:rsidRPr="001103CD" w:rsidRDefault="001A726C" w:rsidP="0001197D">
            <w:pPr>
              <w:pStyle w:val="SL-FlLftSgl"/>
              <w:jc w:val="center"/>
              <w:rPr>
                <w:rFonts w:ascii="Arial" w:hAnsi="Arial" w:cs="Arial"/>
                <w:color w:val="000000" w:themeColor="text1"/>
                <w:sz w:val="24"/>
                <w:szCs w:val="24"/>
                <w:highlight w:val="yellow"/>
              </w:rPr>
            </w:pPr>
            <w:r w:rsidRPr="001103CD">
              <w:rPr>
                <w:rFonts w:ascii="Arial" w:hAnsi="Arial" w:cs="Arial"/>
                <w:color w:val="000000" w:themeColor="text1"/>
                <w:sz w:val="24"/>
                <w:szCs w:val="24"/>
                <w:highlight w:val="yellow"/>
              </w:rPr>
              <w:t>Type of Respondent</w:t>
            </w:r>
          </w:p>
        </w:tc>
        <w:tc>
          <w:tcPr>
            <w:tcW w:w="3060" w:type="dxa"/>
            <w:tcBorders>
              <w:top w:val="single" w:sz="2" w:space="0" w:color="000000"/>
              <w:bottom w:val="single" w:sz="4" w:space="0" w:color="auto"/>
              <w:right w:val="single" w:sz="4" w:space="0" w:color="auto"/>
            </w:tcBorders>
            <w:vAlign w:val="center"/>
          </w:tcPr>
          <w:p w14:paraId="71A1AAC7" w14:textId="67D6BFCF" w:rsidR="001A726C" w:rsidRPr="001103CD" w:rsidRDefault="001A726C" w:rsidP="0001197D">
            <w:pPr>
              <w:pStyle w:val="SL-FlLftSgl"/>
              <w:jc w:val="center"/>
              <w:rPr>
                <w:rFonts w:ascii="Arial" w:hAnsi="Arial" w:cs="Arial"/>
                <w:color w:val="000000" w:themeColor="text1"/>
                <w:sz w:val="24"/>
                <w:szCs w:val="24"/>
                <w:highlight w:val="yellow"/>
              </w:rPr>
            </w:pPr>
            <w:r w:rsidRPr="001103CD">
              <w:rPr>
                <w:rFonts w:ascii="Arial" w:hAnsi="Arial" w:cs="Arial"/>
                <w:color w:val="000000" w:themeColor="text1"/>
                <w:sz w:val="24"/>
                <w:szCs w:val="24"/>
                <w:highlight w:val="yellow"/>
              </w:rPr>
              <w:t>Instrument</w:t>
            </w:r>
          </w:p>
        </w:tc>
        <w:tc>
          <w:tcPr>
            <w:tcW w:w="1260" w:type="dxa"/>
            <w:tcBorders>
              <w:top w:val="single" w:sz="2" w:space="0" w:color="000000"/>
              <w:bottom w:val="single" w:sz="4" w:space="0" w:color="auto"/>
              <w:right w:val="single" w:sz="4" w:space="0" w:color="auto"/>
            </w:tcBorders>
          </w:tcPr>
          <w:p w14:paraId="0E5D5DE8" w14:textId="617DEA1B" w:rsidR="001A726C" w:rsidRPr="001103CD" w:rsidRDefault="001A726C" w:rsidP="0001197D">
            <w:pPr>
              <w:pStyle w:val="SL-FlLftSgl"/>
              <w:jc w:val="center"/>
              <w:rPr>
                <w:rFonts w:ascii="Arial" w:hAnsi="Arial" w:cs="Arial"/>
                <w:color w:val="000000" w:themeColor="text1"/>
                <w:sz w:val="24"/>
                <w:szCs w:val="24"/>
                <w:highlight w:val="yellow"/>
              </w:rPr>
            </w:pPr>
            <w:r w:rsidRPr="001103CD">
              <w:rPr>
                <w:rFonts w:ascii="Arial" w:hAnsi="Arial" w:cs="Arial"/>
                <w:color w:val="000000" w:themeColor="text1"/>
                <w:sz w:val="24"/>
                <w:szCs w:val="24"/>
                <w:highlight w:val="yellow"/>
              </w:rPr>
              <w:t>Total Burden Hours</w:t>
            </w:r>
          </w:p>
        </w:tc>
        <w:tc>
          <w:tcPr>
            <w:tcW w:w="1440" w:type="dxa"/>
            <w:tcBorders>
              <w:top w:val="single" w:sz="2" w:space="0" w:color="000000"/>
              <w:left w:val="single" w:sz="4" w:space="0" w:color="auto"/>
              <w:bottom w:val="single" w:sz="4" w:space="0" w:color="auto"/>
              <w:right w:val="single" w:sz="4" w:space="0" w:color="auto"/>
            </w:tcBorders>
            <w:vAlign w:val="bottom"/>
          </w:tcPr>
          <w:p w14:paraId="58D61501" w14:textId="079A3414" w:rsidR="001A726C" w:rsidRPr="001103CD" w:rsidRDefault="001A726C" w:rsidP="0001197D">
            <w:pPr>
              <w:pStyle w:val="SL-FlLftSgl"/>
              <w:jc w:val="center"/>
              <w:rPr>
                <w:rFonts w:ascii="Arial" w:hAnsi="Arial" w:cs="Arial"/>
                <w:color w:val="000000" w:themeColor="text1"/>
                <w:sz w:val="24"/>
                <w:szCs w:val="24"/>
                <w:highlight w:val="yellow"/>
              </w:rPr>
            </w:pPr>
            <w:r w:rsidRPr="001103CD">
              <w:rPr>
                <w:rFonts w:ascii="Arial" w:hAnsi="Arial" w:cs="Arial"/>
                <w:color w:val="000000" w:themeColor="text1"/>
                <w:sz w:val="24"/>
                <w:szCs w:val="24"/>
                <w:highlight w:val="yellow"/>
              </w:rPr>
              <w:t>Hourly Wage Rate</w:t>
            </w:r>
          </w:p>
        </w:tc>
        <w:tc>
          <w:tcPr>
            <w:tcW w:w="1530" w:type="dxa"/>
            <w:tcBorders>
              <w:top w:val="single" w:sz="2" w:space="0" w:color="000000"/>
              <w:left w:val="single" w:sz="4" w:space="0" w:color="auto"/>
              <w:bottom w:val="single" w:sz="4" w:space="0" w:color="auto"/>
            </w:tcBorders>
            <w:vAlign w:val="bottom"/>
          </w:tcPr>
          <w:p w14:paraId="27F09E95" w14:textId="41CC8BCD" w:rsidR="001A726C" w:rsidRPr="001103CD" w:rsidRDefault="001A726C" w:rsidP="0001197D">
            <w:pPr>
              <w:pStyle w:val="SL-FlLftSgl"/>
              <w:jc w:val="center"/>
              <w:rPr>
                <w:rFonts w:ascii="Arial" w:hAnsi="Arial" w:cs="Arial"/>
                <w:color w:val="000000" w:themeColor="text1"/>
                <w:sz w:val="24"/>
                <w:szCs w:val="24"/>
                <w:highlight w:val="yellow"/>
              </w:rPr>
            </w:pPr>
            <w:r w:rsidRPr="001103CD">
              <w:rPr>
                <w:rFonts w:ascii="Arial" w:hAnsi="Arial" w:cs="Arial"/>
                <w:color w:val="000000" w:themeColor="text1"/>
                <w:sz w:val="24"/>
                <w:szCs w:val="24"/>
                <w:highlight w:val="yellow"/>
              </w:rPr>
              <w:t>Respondent</w:t>
            </w:r>
          </w:p>
          <w:p w14:paraId="55007E17" w14:textId="5F1C1B93" w:rsidR="001A726C" w:rsidRPr="001103CD" w:rsidRDefault="001A726C" w:rsidP="0001197D">
            <w:pPr>
              <w:pStyle w:val="SL-FlLftSgl"/>
              <w:jc w:val="center"/>
              <w:rPr>
                <w:rFonts w:ascii="Arial" w:hAnsi="Arial" w:cs="Arial"/>
                <w:color w:val="000000" w:themeColor="text1"/>
                <w:sz w:val="24"/>
                <w:szCs w:val="24"/>
                <w:highlight w:val="yellow"/>
              </w:rPr>
            </w:pPr>
            <w:r w:rsidRPr="001103CD">
              <w:rPr>
                <w:rFonts w:ascii="Arial" w:hAnsi="Arial" w:cs="Arial"/>
                <w:color w:val="000000" w:themeColor="text1"/>
                <w:sz w:val="24"/>
                <w:szCs w:val="24"/>
                <w:highlight w:val="yellow"/>
              </w:rPr>
              <w:t>Cost</w:t>
            </w:r>
          </w:p>
        </w:tc>
      </w:tr>
      <w:tr w:rsidR="001A726C" w:rsidRPr="0048628B" w14:paraId="6C12AA14" w14:textId="77777777" w:rsidTr="0001197D">
        <w:tc>
          <w:tcPr>
            <w:tcW w:w="2310" w:type="dxa"/>
            <w:tcBorders>
              <w:top w:val="single" w:sz="4" w:space="0" w:color="auto"/>
            </w:tcBorders>
          </w:tcPr>
          <w:p w14:paraId="688574EA" w14:textId="10ACAB26" w:rsidR="001A726C" w:rsidRPr="001103CD" w:rsidRDefault="001A726C" w:rsidP="001A726C">
            <w:pPr>
              <w:pStyle w:val="SL-FlLftSgl"/>
              <w:tabs>
                <w:tab w:val="right" w:leader="dot" w:pos="3384"/>
              </w:tabs>
              <w:spacing w:before="60" w:after="60"/>
              <w:ind w:left="180"/>
              <w:jc w:val="left"/>
              <w:rPr>
                <w:rFonts w:ascii="Arial" w:hAnsi="Arial" w:cs="Arial"/>
                <w:color w:val="000000" w:themeColor="text1"/>
                <w:sz w:val="24"/>
                <w:szCs w:val="24"/>
                <w:highlight w:val="yellow"/>
              </w:rPr>
            </w:pPr>
            <w:r w:rsidRPr="001103CD">
              <w:rPr>
                <w:rFonts w:ascii="Arial" w:hAnsi="Arial" w:cs="Arial"/>
                <w:color w:val="000000" w:themeColor="text1"/>
                <w:sz w:val="24"/>
                <w:szCs w:val="24"/>
                <w:highlight w:val="yellow"/>
              </w:rPr>
              <w:t>Individuals/ Households</w:t>
            </w:r>
          </w:p>
        </w:tc>
        <w:tc>
          <w:tcPr>
            <w:tcW w:w="3060" w:type="dxa"/>
            <w:tcBorders>
              <w:top w:val="single" w:sz="4" w:space="0" w:color="auto"/>
            </w:tcBorders>
          </w:tcPr>
          <w:p w14:paraId="763E0A84" w14:textId="3A04DFB5" w:rsidR="001A726C" w:rsidRPr="001103CD" w:rsidRDefault="001A726C">
            <w:pPr>
              <w:pStyle w:val="SL-FlLftSgl"/>
              <w:tabs>
                <w:tab w:val="right" w:leader="dot" w:pos="3384"/>
              </w:tabs>
              <w:spacing w:before="60" w:after="60"/>
              <w:ind w:left="180"/>
              <w:jc w:val="left"/>
              <w:rPr>
                <w:rFonts w:ascii="Arial" w:hAnsi="Arial" w:cs="Arial"/>
                <w:color w:val="000000" w:themeColor="text1"/>
                <w:sz w:val="24"/>
                <w:szCs w:val="24"/>
                <w:highlight w:val="yellow"/>
              </w:rPr>
            </w:pPr>
            <w:r w:rsidRPr="001103CD">
              <w:rPr>
                <w:rFonts w:ascii="Arial" w:hAnsi="Arial" w:cs="Arial"/>
                <w:color w:val="000000" w:themeColor="text1"/>
                <w:sz w:val="24"/>
                <w:szCs w:val="24"/>
                <w:highlight w:val="yellow"/>
              </w:rPr>
              <w:t xml:space="preserve">General Population Survey </w:t>
            </w:r>
          </w:p>
        </w:tc>
        <w:tc>
          <w:tcPr>
            <w:tcW w:w="1260" w:type="dxa"/>
            <w:tcBorders>
              <w:top w:val="single" w:sz="4" w:space="0" w:color="auto"/>
            </w:tcBorders>
          </w:tcPr>
          <w:p w14:paraId="1E56EC2B" w14:textId="27D1F36E" w:rsidR="001A726C" w:rsidRPr="001103CD" w:rsidRDefault="001A726C" w:rsidP="0001197D">
            <w:pPr>
              <w:pStyle w:val="SL-FlLftSgl"/>
              <w:tabs>
                <w:tab w:val="decimal" w:pos="540"/>
              </w:tabs>
              <w:spacing w:before="60" w:after="60"/>
              <w:jc w:val="center"/>
              <w:rPr>
                <w:rFonts w:ascii="Arial" w:hAnsi="Arial" w:cs="Arial"/>
                <w:color w:val="000000" w:themeColor="text1"/>
                <w:szCs w:val="24"/>
                <w:highlight w:val="yellow"/>
              </w:rPr>
            </w:pPr>
            <w:r w:rsidRPr="001103CD">
              <w:rPr>
                <w:rFonts w:ascii="Arial" w:hAnsi="Arial" w:cs="Arial"/>
                <w:color w:val="000000" w:themeColor="text1"/>
                <w:szCs w:val="24"/>
                <w:highlight w:val="yellow"/>
              </w:rPr>
              <w:t>332</w:t>
            </w:r>
          </w:p>
        </w:tc>
        <w:tc>
          <w:tcPr>
            <w:tcW w:w="1440" w:type="dxa"/>
            <w:tcBorders>
              <w:top w:val="single" w:sz="4" w:space="0" w:color="auto"/>
            </w:tcBorders>
          </w:tcPr>
          <w:p w14:paraId="0D47CE84" w14:textId="6F48E28F" w:rsidR="001A726C" w:rsidRPr="001103CD" w:rsidRDefault="001A726C" w:rsidP="0001197D">
            <w:pPr>
              <w:pStyle w:val="SL-FlLftSgl"/>
              <w:tabs>
                <w:tab w:val="decimal" w:pos="540"/>
              </w:tabs>
              <w:spacing w:before="60" w:after="60"/>
              <w:jc w:val="center"/>
              <w:rPr>
                <w:rFonts w:ascii="Arial" w:hAnsi="Arial" w:cs="Arial"/>
                <w:color w:val="000000" w:themeColor="text1"/>
                <w:szCs w:val="24"/>
                <w:highlight w:val="yellow"/>
              </w:rPr>
            </w:pPr>
            <w:r w:rsidRPr="001103CD">
              <w:rPr>
                <w:rFonts w:ascii="Arial" w:hAnsi="Arial" w:cs="Arial"/>
                <w:color w:val="000000" w:themeColor="text1"/>
                <w:szCs w:val="24"/>
                <w:highlight w:val="yellow"/>
              </w:rPr>
              <w:t>$35.28</w:t>
            </w:r>
          </w:p>
        </w:tc>
        <w:tc>
          <w:tcPr>
            <w:tcW w:w="1530" w:type="dxa"/>
            <w:tcBorders>
              <w:top w:val="single" w:sz="4" w:space="0" w:color="auto"/>
            </w:tcBorders>
          </w:tcPr>
          <w:p w14:paraId="16CA5B06" w14:textId="5A288A40" w:rsidR="001A726C" w:rsidRPr="001103CD" w:rsidRDefault="001A726C" w:rsidP="0001197D">
            <w:pPr>
              <w:pStyle w:val="SL-FlLftSgl"/>
              <w:tabs>
                <w:tab w:val="decimal" w:pos="590"/>
              </w:tabs>
              <w:spacing w:before="60" w:after="60"/>
              <w:jc w:val="center"/>
              <w:rPr>
                <w:rFonts w:ascii="Arial" w:hAnsi="Arial" w:cs="Arial"/>
                <w:color w:val="000000" w:themeColor="text1"/>
                <w:szCs w:val="24"/>
                <w:highlight w:val="yellow"/>
              </w:rPr>
            </w:pPr>
            <w:r w:rsidRPr="001103CD">
              <w:rPr>
                <w:rFonts w:ascii="Arial" w:hAnsi="Arial" w:cs="Arial"/>
                <w:color w:val="000000" w:themeColor="text1"/>
                <w:szCs w:val="24"/>
                <w:highlight w:val="yellow"/>
              </w:rPr>
              <w:t>$11,712.96</w:t>
            </w:r>
          </w:p>
        </w:tc>
      </w:tr>
      <w:tr w:rsidR="001A726C" w:rsidRPr="0048628B" w14:paraId="1019B361" w14:textId="77777777" w:rsidTr="0001197D">
        <w:tc>
          <w:tcPr>
            <w:tcW w:w="2310" w:type="dxa"/>
          </w:tcPr>
          <w:p w14:paraId="40101AB7" w14:textId="1B58BA7D" w:rsidR="001A726C" w:rsidRPr="001103CD" w:rsidRDefault="001A726C" w:rsidP="001A726C">
            <w:pPr>
              <w:pStyle w:val="SL-FlLftSgl"/>
              <w:tabs>
                <w:tab w:val="right" w:leader="dot" w:pos="3384"/>
              </w:tabs>
              <w:spacing w:before="60" w:after="60"/>
              <w:ind w:left="180"/>
              <w:jc w:val="left"/>
              <w:rPr>
                <w:rFonts w:ascii="Arial" w:hAnsi="Arial" w:cs="Arial"/>
                <w:color w:val="000000" w:themeColor="text1"/>
                <w:sz w:val="24"/>
                <w:szCs w:val="24"/>
                <w:highlight w:val="yellow"/>
              </w:rPr>
            </w:pPr>
            <w:r w:rsidRPr="001103CD">
              <w:rPr>
                <w:rFonts w:ascii="Arial" w:hAnsi="Arial" w:cs="Arial"/>
                <w:color w:val="000000" w:themeColor="text1"/>
                <w:sz w:val="24"/>
                <w:szCs w:val="24"/>
                <w:highlight w:val="yellow"/>
              </w:rPr>
              <w:t>Individuals/ Households</w:t>
            </w:r>
          </w:p>
        </w:tc>
        <w:tc>
          <w:tcPr>
            <w:tcW w:w="3060" w:type="dxa"/>
          </w:tcPr>
          <w:p w14:paraId="2313A43F" w14:textId="73FBB34D" w:rsidR="001A726C" w:rsidRPr="001103CD" w:rsidRDefault="001A726C">
            <w:pPr>
              <w:pStyle w:val="SL-FlLftSgl"/>
              <w:tabs>
                <w:tab w:val="right" w:leader="dot" w:pos="3384"/>
              </w:tabs>
              <w:spacing w:before="60" w:after="60"/>
              <w:ind w:left="180"/>
              <w:jc w:val="left"/>
              <w:rPr>
                <w:rFonts w:ascii="Arial" w:hAnsi="Arial" w:cs="Arial"/>
                <w:color w:val="000000" w:themeColor="text1"/>
                <w:sz w:val="24"/>
                <w:szCs w:val="24"/>
                <w:highlight w:val="yellow"/>
              </w:rPr>
            </w:pPr>
            <w:r w:rsidRPr="001103CD">
              <w:rPr>
                <w:rFonts w:ascii="Arial" w:hAnsi="Arial" w:cs="Arial"/>
                <w:color w:val="000000" w:themeColor="text1"/>
                <w:sz w:val="24"/>
                <w:szCs w:val="24"/>
                <w:highlight w:val="yellow"/>
              </w:rPr>
              <w:t>General Population Survey Screener</w:t>
            </w:r>
          </w:p>
        </w:tc>
        <w:tc>
          <w:tcPr>
            <w:tcW w:w="1260" w:type="dxa"/>
          </w:tcPr>
          <w:p w14:paraId="5EB8A2D1" w14:textId="6033DF85" w:rsidR="001A726C" w:rsidRPr="001103CD" w:rsidRDefault="001A726C" w:rsidP="0001197D">
            <w:pPr>
              <w:pStyle w:val="SL-FlLftSgl"/>
              <w:tabs>
                <w:tab w:val="decimal" w:pos="540"/>
              </w:tabs>
              <w:spacing w:before="60" w:after="60"/>
              <w:jc w:val="center"/>
              <w:rPr>
                <w:rFonts w:ascii="Arial" w:hAnsi="Arial" w:cs="Arial"/>
                <w:color w:val="000000" w:themeColor="text1"/>
                <w:szCs w:val="24"/>
                <w:highlight w:val="yellow"/>
              </w:rPr>
            </w:pPr>
            <w:r w:rsidRPr="001103CD">
              <w:rPr>
                <w:rFonts w:ascii="Arial" w:hAnsi="Arial" w:cs="Arial"/>
                <w:color w:val="000000" w:themeColor="text1"/>
                <w:szCs w:val="24"/>
                <w:highlight w:val="yellow"/>
              </w:rPr>
              <w:t>41.6</w:t>
            </w:r>
          </w:p>
        </w:tc>
        <w:tc>
          <w:tcPr>
            <w:tcW w:w="1440" w:type="dxa"/>
          </w:tcPr>
          <w:p w14:paraId="4B90BFF6" w14:textId="1A1A8BEF" w:rsidR="001A726C" w:rsidRPr="001103CD" w:rsidRDefault="001A726C" w:rsidP="0001197D">
            <w:pPr>
              <w:pStyle w:val="SL-FlLftSgl"/>
              <w:tabs>
                <w:tab w:val="decimal" w:pos="540"/>
              </w:tabs>
              <w:spacing w:before="60" w:after="60"/>
              <w:jc w:val="center"/>
              <w:rPr>
                <w:rFonts w:ascii="Arial" w:hAnsi="Arial" w:cs="Arial"/>
                <w:color w:val="000000" w:themeColor="text1"/>
                <w:szCs w:val="24"/>
                <w:highlight w:val="yellow"/>
              </w:rPr>
            </w:pPr>
            <w:r w:rsidRPr="001103CD">
              <w:rPr>
                <w:rFonts w:ascii="Arial" w:hAnsi="Arial" w:cs="Arial"/>
                <w:color w:val="000000" w:themeColor="text1"/>
                <w:szCs w:val="24"/>
                <w:highlight w:val="yellow"/>
              </w:rPr>
              <w:t>$35.28</w:t>
            </w:r>
          </w:p>
        </w:tc>
        <w:tc>
          <w:tcPr>
            <w:tcW w:w="1530" w:type="dxa"/>
          </w:tcPr>
          <w:p w14:paraId="0B211B1C" w14:textId="659CB52D" w:rsidR="001A726C" w:rsidRPr="001103CD" w:rsidRDefault="001A726C" w:rsidP="0001197D">
            <w:pPr>
              <w:pStyle w:val="SL-FlLftSgl"/>
              <w:tabs>
                <w:tab w:val="decimal" w:pos="590"/>
              </w:tabs>
              <w:spacing w:before="60" w:after="60"/>
              <w:jc w:val="center"/>
              <w:rPr>
                <w:rFonts w:ascii="Arial" w:hAnsi="Arial" w:cs="Arial"/>
                <w:color w:val="000000" w:themeColor="text1"/>
                <w:szCs w:val="24"/>
                <w:highlight w:val="yellow"/>
              </w:rPr>
            </w:pPr>
            <w:r w:rsidRPr="001103CD">
              <w:rPr>
                <w:rFonts w:ascii="Arial" w:hAnsi="Arial" w:cs="Arial"/>
                <w:color w:val="000000" w:themeColor="text1"/>
                <w:szCs w:val="24"/>
                <w:highlight w:val="yellow"/>
              </w:rPr>
              <w:t>$1,467.65</w:t>
            </w:r>
          </w:p>
        </w:tc>
      </w:tr>
      <w:tr w:rsidR="001A726C" w:rsidRPr="0048628B" w14:paraId="07C0BD56" w14:textId="77777777" w:rsidTr="0001197D">
        <w:trPr>
          <w:trHeight w:val="486"/>
        </w:trPr>
        <w:tc>
          <w:tcPr>
            <w:tcW w:w="2310" w:type="dxa"/>
            <w:tcBorders>
              <w:bottom w:val="single" w:sz="4" w:space="0" w:color="auto"/>
            </w:tcBorders>
          </w:tcPr>
          <w:p w14:paraId="06D5ABE8" w14:textId="77777777" w:rsidR="001A726C" w:rsidRPr="001103CD" w:rsidRDefault="001A726C" w:rsidP="001A726C">
            <w:pPr>
              <w:pStyle w:val="SL-FlLftSgl"/>
              <w:tabs>
                <w:tab w:val="right" w:leader="dot" w:pos="3384"/>
              </w:tabs>
              <w:spacing w:before="60" w:after="60"/>
              <w:jc w:val="left"/>
              <w:rPr>
                <w:rFonts w:ascii="Arial" w:hAnsi="Arial" w:cs="Arial"/>
                <w:color w:val="000000" w:themeColor="text1"/>
                <w:sz w:val="24"/>
                <w:szCs w:val="24"/>
                <w:highlight w:val="yellow"/>
              </w:rPr>
            </w:pPr>
          </w:p>
        </w:tc>
        <w:tc>
          <w:tcPr>
            <w:tcW w:w="3060" w:type="dxa"/>
            <w:tcBorders>
              <w:bottom w:val="single" w:sz="4" w:space="0" w:color="auto"/>
            </w:tcBorders>
          </w:tcPr>
          <w:p w14:paraId="4503382D" w14:textId="47DF5BE2" w:rsidR="001A726C" w:rsidRPr="001103CD" w:rsidRDefault="001A726C">
            <w:pPr>
              <w:pStyle w:val="SL-FlLftSgl"/>
              <w:tabs>
                <w:tab w:val="right" w:leader="dot" w:pos="3384"/>
              </w:tabs>
              <w:spacing w:before="60" w:after="60"/>
              <w:jc w:val="left"/>
              <w:rPr>
                <w:rFonts w:ascii="Arial" w:hAnsi="Arial" w:cs="Arial"/>
                <w:color w:val="000000" w:themeColor="text1"/>
                <w:sz w:val="24"/>
                <w:szCs w:val="24"/>
                <w:highlight w:val="yellow"/>
              </w:rPr>
            </w:pPr>
            <w:r w:rsidRPr="001103CD">
              <w:rPr>
                <w:rFonts w:ascii="Arial" w:hAnsi="Arial" w:cs="Arial"/>
                <w:color w:val="000000" w:themeColor="text1"/>
                <w:sz w:val="24"/>
                <w:szCs w:val="24"/>
                <w:highlight w:val="yellow"/>
              </w:rPr>
              <w:t>Total</w:t>
            </w:r>
          </w:p>
        </w:tc>
        <w:tc>
          <w:tcPr>
            <w:tcW w:w="1260" w:type="dxa"/>
            <w:tcBorders>
              <w:bottom w:val="single" w:sz="4" w:space="0" w:color="auto"/>
            </w:tcBorders>
          </w:tcPr>
          <w:p w14:paraId="17062C69" w14:textId="77777777" w:rsidR="001A726C" w:rsidRPr="001103CD" w:rsidRDefault="001A726C" w:rsidP="00425DE4">
            <w:pPr>
              <w:pStyle w:val="SL-FlLftSgl"/>
              <w:tabs>
                <w:tab w:val="decimal" w:pos="792"/>
              </w:tabs>
              <w:spacing w:before="60" w:after="60"/>
              <w:jc w:val="left"/>
              <w:rPr>
                <w:rFonts w:ascii="Arial" w:hAnsi="Arial" w:cs="Arial"/>
                <w:color w:val="000000" w:themeColor="text1"/>
                <w:szCs w:val="24"/>
                <w:highlight w:val="yellow"/>
              </w:rPr>
            </w:pPr>
          </w:p>
        </w:tc>
        <w:tc>
          <w:tcPr>
            <w:tcW w:w="1440" w:type="dxa"/>
            <w:tcBorders>
              <w:bottom w:val="single" w:sz="4" w:space="0" w:color="auto"/>
            </w:tcBorders>
          </w:tcPr>
          <w:p w14:paraId="45DBA946" w14:textId="6C4B1233" w:rsidR="001A726C" w:rsidRPr="001103CD" w:rsidRDefault="001A726C" w:rsidP="00425DE4">
            <w:pPr>
              <w:pStyle w:val="SL-FlLftSgl"/>
              <w:tabs>
                <w:tab w:val="decimal" w:pos="792"/>
              </w:tabs>
              <w:spacing w:before="60" w:after="60"/>
              <w:jc w:val="left"/>
              <w:rPr>
                <w:rFonts w:ascii="Arial" w:hAnsi="Arial" w:cs="Arial"/>
                <w:color w:val="000000" w:themeColor="text1"/>
                <w:szCs w:val="24"/>
                <w:highlight w:val="yellow"/>
              </w:rPr>
            </w:pPr>
          </w:p>
        </w:tc>
        <w:tc>
          <w:tcPr>
            <w:tcW w:w="1530" w:type="dxa"/>
            <w:tcBorders>
              <w:bottom w:val="single" w:sz="4" w:space="0" w:color="auto"/>
            </w:tcBorders>
          </w:tcPr>
          <w:p w14:paraId="16F9C9D5" w14:textId="5ED4D374" w:rsidR="001A726C" w:rsidRPr="001103CD" w:rsidRDefault="001A726C" w:rsidP="00425DE4">
            <w:pPr>
              <w:pStyle w:val="SL-FlLftSgl"/>
              <w:tabs>
                <w:tab w:val="decimal" w:pos="590"/>
              </w:tabs>
              <w:spacing w:before="60" w:after="60"/>
              <w:jc w:val="left"/>
              <w:rPr>
                <w:rFonts w:ascii="Arial" w:hAnsi="Arial" w:cs="Arial"/>
                <w:color w:val="000000" w:themeColor="text1"/>
                <w:szCs w:val="24"/>
                <w:highlight w:val="yellow"/>
              </w:rPr>
            </w:pPr>
            <w:r w:rsidRPr="001103CD">
              <w:rPr>
                <w:rFonts w:ascii="Arial" w:hAnsi="Arial" w:cs="Arial"/>
                <w:color w:val="000000" w:themeColor="text1"/>
                <w:szCs w:val="24"/>
                <w:highlight w:val="yellow"/>
              </w:rPr>
              <w:t>$13,180.61</w:t>
            </w:r>
          </w:p>
        </w:tc>
      </w:tr>
    </w:tbl>
    <w:p w14:paraId="24D91608" w14:textId="77777777" w:rsidR="009A0DD2" w:rsidRPr="009A0DD2" w:rsidRDefault="009A0DD2" w:rsidP="00425DE4">
      <w:pPr>
        <w:spacing w:before="240"/>
        <w:ind w:left="360"/>
        <w:rPr>
          <w:rFonts w:ascii="Arial" w:hAnsi="Arial" w:cs="Arial"/>
          <w:b/>
          <w:sz w:val="24"/>
        </w:rPr>
      </w:pPr>
    </w:p>
    <w:p w14:paraId="2CE27FFC" w14:textId="77777777" w:rsidR="009B3794" w:rsidRPr="00C45431" w:rsidRDefault="009B3794" w:rsidP="00425DE4">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14:paraId="2CE27FFF" w14:textId="7332CB43" w:rsidR="00D11CA3" w:rsidRPr="0048628B" w:rsidRDefault="009A0DD2" w:rsidP="00425DE4">
      <w:pPr>
        <w:pStyle w:val="BodyTextIndent"/>
        <w:spacing w:before="120"/>
        <w:ind w:left="0"/>
        <w:rPr>
          <w:rFonts w:ascii="Arial" w:hAnsi="Arial" w:cs="Arial"/>
          <w:color w:val="000000" w:themeColor="text1"/>
        </w:rPr>
      </w:pPr>
      <w:r>
        <w:rPr>
          <w:rFonts w:ascii="Arial" w:hAnsi="Arial" w:cs="Arial"/>
          <w:color w:val="000000" w:themeColor="text1"/>
        </w:rPr>
        <w:t xml:space="preserve">Other than </w:t>
      </w:r>
      <w:r w:rsidR="00D11CA3" w:rsidRPr="0048628B">
        <w:rPr>
          <w:rFonts w:ascii="Arial" w:hAnsi="Arial" w:cs="Arial"/>
          <w:color w:val="000000" w:themeColor="text1"/>
        </w:rPr>
        <w:t xml:space="preserve">time, </w:t>
      </w:r>
      <w:r>
        <w:rPr>
          <w:rFonts w:ascii="Arial" w:hAnsi="Arial" w:cs="Arial"/>
          <w:color w:val="000000" w:themeColor="text1"/>
        </w:rPr>
        <w:t xml:space="preserve">voluntarily provided, </w:t>
      </w:r>
      <w:r w:rsidR="00D11CA3" w:rsidRPr="0048628B">
        <w:rPr>
          <w:rFonts w:ascii="Arial" w:hAnsi="Arial" w:cs="Arial"/>
          <w:color w:val="000000" w:themeColor="text1"/>
        </w:rPr>
        <w:t>t</w:t>
      </w:r>
      <w:r w:rsidR="008A7F3E" w:rsidRPr="0048628B">
        <w:rPr>
          <w:rFonts w:ascii="Arial" w:hAnsi="Arial" w:cs="Arial"/>
          <w:color w:val="000000" w:themeColor="text1"/>
        </w:rPr>
        <w:t>here is no cost to respondents.</w:t>
      </w:r>
    </w:p>
    <w:p w14:paraId="2CE28000" w14:textId="77777777" w:rsidR="009B3794" w:rsidRPr="00C45431" w:rsidRDefault="009B3794" w:rsidP="00425DE4">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Annualized Cost to Federal Government</w:t>
      </w:r>
    </w:p>
    <w:p w14:paraId="71E91D11" w14:textId="591C979E" w:rsidR="008A7F3E" w:rsidRPr="0048628B" w:rsidRDefault="008A7F3E" w:rsidP="00425DE4">
      <w:pPr>
        <w:pStyle w:val="P1-StandPara"/>
        <w:spacing w:line="240" w:lineRule="auto"/>
        <w:ind w:firstLine="0"/>
        <w:jc w:val="left"/>
        <w:rPr>
          <w:rFonts w:ascii="Arial" w:hAnsi="Arial" w:cs="Arial"/>
          <w:color w:val="000000" w:themeColor="text1"/>
          <w:sz w:val="24"/>
          <w:szCs w:val="24"/>
        </w:rPr>
      </w:pPr>
      <w:r w:rsidRPr="0048628B">
        <w:rPr>
          <w:rFonts w:ascii="Arial" w:hAnsi="Arial" w:cs="Arial"/>
          <w:color w:val="000000" w:themeColor="text1"/>
          <w:sz w:val="24"/>
          <w:szCs w:val="24"/>
        </w:rPr>
        <w:t xml:space="preserve">The total contracted cost of the </w:t>
      </w:r>
      <w:r w:rsidR="00425DE4" w:rsidRPr="00425DE4">
        <w:rPr>
          <w:rFonts w:ascii="Arial" w:hAnsi="Arial" w:cs="Arial"/>
          <w:i/>
          <w:color w:val="000000" w:themeColor="text1"/>
          <w:sz w:val="24"/>
          <w:szCs w:val="24"/>
        </w:rPr>
        <w:t>Poison Help</w:t>
      </w:r>
      <w:r w:rsidRPr="0048628B">
        <w:rPr>
          <w:rFonts w:ascii="Arial" w:hAnsi="Arial" w:cs="Arial"/>
          <w:color w:val="000000" w:themeColor="text1"/>
          <w:sz w:val="24"/>
          <w:szCs w:val="24"/>
        </w:rPr>
        <w:t xml:space="preserve"> General Population Survey to the Federal Government is approximately $100,000 over a period of 9 month</w:t>
      </w:r>
      <w:r w:rsidR="00BC3708">
        <w:rPr>
          <w:rFonts w:ascii="Arial" w:hAnsi="Arial" w:cs="Arial"/>
          <w:color w:val="000000" w:themeColor="text1"/>
          <w:sz w:val="24"/>
          <w:szCs w:val="24"/>
        </w:rPr>
        <w:t>s per data collection cycle</w:t>
      </w:r>
      <w:r w:rsidR="001E083E">
        <w:rPr>
          <w:rFonts w:ascii="Arial" w:hAnsi="Arial" w:cs="Arial"/>
          <w:color w:val="000000" w:themeColor="text1"/>
          <w:sz w:val="24"/>
          <w:szCs w:val="24"/>
        </w:rPr>
        <w:t xml:space="preserve">.  </w:t>
      </w:r>
      <w:r w:rsidRPr="0048628B">
        <w:rPr>
          <w:rFonts w:ascii="Arial" w:hAnsi="Arial" w:cs="Arial"/>
          <w:color w:val="000000" w:themeColor="text1"/>
          <w:sz w:val="24"/>
          <w:szCs w:val="24"/>
        </w:rPr>
        <w:t xml:space="preserve">This includes all direct and indirect costs of the design, data collection, analysis, and the reporting of the study.  In addition, 10 percent of a full-time HRSA staff member’s time at the GS-13 level, estimated to be $9,200, will be required to oversee the completion of these data collections during the calendar years in which the survey is conducted. </w:t>
      </w:r>
      <w:r w:rsidR="001A726C" w:rsidRPr="001103CD">
        <w:rPr>
          <w:rFonts w:ascii="Arial" w:hAnsi="Arial" w:cs="Arial"/>
          <w:color w:val="000000" w:themeColor="text1"/>
          <w:sz w:val="24"/>
          <w:szCs w:val="24"/>
          <w:highlight w:val="yellow"/>
        </w:rPr>
        <w:t>The total annualized costs to the federal government is $109,200</w:t>
      </w:r>
      <w:r w:rsidR="001A726C">
        <w:rPr>
          <w:rFonts w:ascii="Arial" w:hAnsi="Arial" w:cs="Arial"/>
          <w:color w:val="000000" w:themeColor="text1"/>
          <w:sz w:val="24"/>
          <w:szCs w:val="24"/>
        </w:rPr>
        <w:t xml:space="preserve">. </w:t>
      </w:r>
    </w:p>
    <w:p w14:paraId="2CE28003" w14:textId="77777777" w:rsidR="009B3794" w:rsidRPr="00C45431" w:rsidRDefault="009B3794" w:rsidP="00425DE4">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for Program Changes or Adjustments</w:t>
      </w:r>
    </w:p>
    <w:p w14:paraId="072FD5AB" w14:textId="7482C0D6" w:rsidR="0040350C" w:rsidRDefault="00944347" w:rsidP="00425DE4">
      <w:pPr>
        <w:pStyle w:val="P1-StandPara"/>
        <w:spacing w:line="240" w:lineRule="auto"/>
        <w:ind w:firstLine="0"/>
        <w:jc w:val="left"/>
        <w:rPr>
          <w:rFonts w:ascii="Arial" w:hAnsi="Arial" w:cs="Arial"/>
          <w:color w:val="000000" w:themeColor="text1"/>
          <w:sz w:val="24"/>
          <w:szCs w:val="24"/>
        </w:rPr>
      </w:pPr>
      <w:r>
        <w:rPr>
          <w:rFonts w:ascii="Arial" w:hAnsi="Arial" w:cs="Arial"/>
          <w:color w:val="000000" w:themeColor="text1"/>
          <w:sz w:val="24"/>
          <w:szCs w:val="24"/>
        </w:rPr>
        <w:t xml:space="preserve">This program </w:t>
      </w:r>
      <w:r w:rsidR="008A65D1">
        <w:rPr>
          <w:rFonts w:ascii="Arial" w:hAnsi="Arial" w:cs="Arial"/>
          <w:color w:val="000000" w:themeColor="text1"/>
          <w:sz w:val="24"/>
          <w:szCs w:val="24"/>
        </w:rPr>
        <w:t xml:space="preserve">requests to reinstate </w:t>
      </w:r>
      <w:r w:rsidR="008A65D1" w:rsidRPr="0001197D">
        <w:rPr>
          <w:rFonts w:ascii="Arial" w:hAnsi="Arial" w:cs="Arial"/>
          <w:color w:val="000000" w:themeColor="text1"/>
          <w:sz w:val="24"/>
          <w:szCs w:val="24"/>
        </w:rPr>
        <w:t xml:space="preserve">the </w:t>
      </w:r>
      <w:r w:rsidR="008A65D1" w:rsidRPr="0001197D">
        <w:rPr>
          <w:rFonts w:ascii="Arial" w:hAnsi="Arial" w:cs="Arial"/>
          <w:i/>
          <w:color w:val="000000" w:themeColor="text1"/>
          <w:sz w:val="24"/>
          <w:szCs w:val="24"/>
        </w:rPr>
        <w:t>Poison Help</w:t>
      </w:r>
      <w:r w:rsidR="008A65D1" w:rsidRPr="0001197D">
        <w:rPr>
          <w:rFonts w:ascii="Arial" w:hAnsi="Arial" w:cs="Arial"/>
          <w:color w:val="000000" w:themeColor="text1"/>
          <w:sz w:val="24"/>
          <w:szCs w:val="24"/>
        </w:rPr>
        <w:t xml:space="preserve"> General Population Survey, OMB Number 0915-0343.</w:t>
      </w:r>
    </w:p>
    <w:p w14:paraId="05C43F31" w14:textId="77777777" w:rsidR="0040350C" w:rsidRDefault="0040350C" w:rsidP="00425DE4">
      <w:pPr>
        <w:pStyle w:val="P1-StandPara"/>
        <w:spacing w:line="240" w:lineRule="auto"/>
        <w:ind w:firstLine="0"/>
        <w:jc w:val="left"/>
        <w:rPr>
          <w:rFonts w:ascii="Arial" w:hAnsi="Arial" w:cs="Arial"/>
          <w:color w:val="000000" w:themeColor="text1"/>
          <w:sz w:val="24"/>
          <w:szCs w:val="24"/>
        </w:rPr>
      </w:pPr>
    </w:p>
    <w:p w14:paraId="47B549EB" w14:textId="64A253AD" w:rsidR="00944347" w:rsidRPr="0001197D" w:rsidRDefault="00944347" w:rsidP="00425DE4">
      <w:pPr>
        <w:pStyle w:val="P1-StandPara"/>
        <w:spacing w:line="240" w:lineRule="auto"/>
        <w:ind w:firstLine="0"/>
        <w:jc w:val="left"/>
        <w:rPr>
          <w:rFonts w:ascii="Arial" w:hAnsi="Arial" w:cs="Arial"/>
          <w:color w:val="000000" w:themeColor="text1"/>
          <w:sz w:val="24"/>
          <w:szCs w:val="24"/>
          <w:highlight w:val="yellow"/>
        </w:rPr>
      </w:pPr>
      <w:r w:rsidRPr="0001197D">
        <w:rPr>
          <w:rFonts w:ascii="Arial" w:hAnsi="Arial" w:cs="Arial"/>
          <w:color w:val="000000" w:themeColor="text1"/>
          <w:sz w:val="24"/>
          <w:szCs w:val="24"/>
          <w:highlight w:val="yellow"/>
        </w:rPr>
        <w:t>This survey is consistent with the scope, audience, and questions from the previously-conducted survey in 2011</w:t>
      </w:r>
      <w:r w:rsidR="001E083E" w:rsidRPr="0001197D">
        <w:rPr>
          <w:rFonts w:ascii="Arial" w:hAnsi="Arial" w:cs="Arial"/>
          <w:color w:val="000000" w:themeColor="text1"/>
          <w:sz w:val="24"/>
          <w:szCs w:val="24"/>
          <w:highlight w:val="yellow"/>
        </w:rPr>
        <w:t xml:space="preserve">.  </w:t>
      </w:r>
      <w:r w:rsidRPr="0001197D">
        <w:rPr>
          <w:rFonts w:ascii="Arial" w:hAnsi="Arial" w:cs="Arial"/>
          <w:color w:val="000000" w:themeColor="text1"/>
          <w:sz w:val="24"/>
          <w:szCs w:val="24"/>
          <w:highlight w:val="yellow"/>
        </w:rPr>
        <w:t xml:space="preserve">Minimal modifications and additions to the instrument were made to address current campaign priorities, without increasing the survey length or burden. </w:t>
      </w:r>
    </w:p>
    <w:p w14:paraId="3BF5A8A4" w14:textId="77777777" w:rsidR="00944347" w:rsidRPr="0001197D" w:rsidRDefault="00944347" w:rsidP="00425DE4">
      <w:pPr>
        <w:pStyle w:val="P1-StandPara"/>
        <w:spacing w:line="240" w:lineRule="auto"/>
        <w:ind w:firstLine="0"/>
        <w:jc w:val="left"/>
        <w:rPr>
          <w:rFonts w:ascii="Arial" w:hAnsi="Arial" w:cs="Arial"/>
          <w:color w:val="000000" w:themeColor="text1"/>
          <w:sz w:val="24"/>
          <w:szCs w:val="24"/>
          <w:highlight w:val="yellow"/>
        </w:rPr>
      </w:pPr>
    </w:p>
    <w:p w14:paraId="48C27A7F" w14:textId="4170FD48" w:rsidR="00944347" w:rsidRPr="00944347" w:rsidRDefault="00944347" w:rsidP="00425DE4">
      <w:pPr>
        <w:pStyle w:val="P1-StandPara"/>
        <w:spacing w:line="240" w:lineRule="auto"/>
        <w:ind w:firstLine="0"/>
        <w:jc w:val="left"/>
        <w:rPr>
          <w:rFonts w:ascii="Arial" w:hAnsi="Arial" w:cs="Arial"/>
          <w:color w:val="000000" w:themeColor="text1"/>
          <w:sz w:val="24"/>
          <w:szCs w:val="24"/>
        </w:rPr>
      </w:pPr>
      <w:r w:rsidRPr="0001197D">
        <w:rPr>
          <w:rFonts w:ascii="Arial" w:hAnsi="Arial" w:cs="Arial"/>
          <w:color w:val="000000" w:themeColor="text1"/>
          <w:sz w:val="24"/>
          <w:szCs w:val="24"/>
          <w:highlight w:val="yellow"/>
        </w:rPr>
        <w:t>In the 2017 survey instrument, we removed questions deemed unnecessary (because information can be gleaned from other questions), and included questions related to the new additional campaign priorities (opioid, that is, prescription pain medication and heroin, overdose)</w:t>
      </w:r>
      <w:r w:rsidR="001E083E" w:rsidRPr="0001197D">
        <w:rPr>
          <w:rFonts w:ascii="Arial" w:hAnsi="Arial" w:cs="Arial"/>
          <w:color w:val="000000" w:themeColor="text1"/>
          <w:sz w:val="24"/>
          <w:szCs w:val="24"/>
          <w:highlight w:val="yellow"/>
        </w:rPr>
        <w:t xml:space="preserve">.  </w:t>
      </w:r>
      <w:r w:rsidRPr="0001197D">
        <w:rPr>
          <w:rFonts w:ascii="Arial" w:hAnsi="Arial" w:cs="Arial"/>
          <w:color w:val="000000" w:themeColor="text1"/>
          <w:sz w:val="24"/>
          <w:szCs w:val="24"/>
          <w:highlight w:val="yellow"/>
        </w:rPr>
        <w:t xml:space="preserve">In light of the current need to use of dual-frame landline and mobile </w:t>
      </w:r>
      <w:r w:rsidR="003723CF" w:rsidRPr="0001197D">
        <w:rPr>
          <w:rFonts w:ascii="Arial" w:hAnsi="Arial" w:cs="Arial"/>
          <w:color w:val="000000" w:themeColor="text1"/>
          <w:sz w:val="24"/>
          <w:szCs w:val="24"/>
          <w:highlight w:val="yellow"/>
        </w:rPr>
        <w:t>phone,</w:t>
      </w:r>
      <w:r w:rsidRPr="0001197D">
        <w:rPr>
          <w:rFonts w:ascii="Arial" w:hAnsi="Arial" w:cs="Arial"/>
          <w:color w:val="000000" w:themeColor="text1"/>
          <w:sz w:val="24"/>
          <w:szCs w:val="24"/>
          <w:highlight w:val="yellow"/>
        </w:rPr>
        <w:t xml:space="preserve"> sampling methodologies to maintain high quality nationally representative survey sampling, standard questions related to landline vs. cell phone utilization were added for weighting and quality control purposes. </w:t>
      </w:r>
      <w:r w:rsidR="001E083E" w:rsidRPr="0001197D">
        <w:rPr>
          <w:rFonts w:ascii="Arial" w:hAnsi="Arial" w:cs="Arial"/>
          <w:color w:val="000000" w:themeColor="text1"/>
          <w:sz w:val="24"/>
          <w:szCs w:val="24"/>
          <w:highlight w:val="yellow"/>
        </w:rPr>
        <w:t xml:space="preserve"> </w:t>
      </w:r>
      <w:r w:rsidRPr="0001197D">
        <w:rPr>
          <w:rFonts w:ascii="Arial" w:hAnsi="Arial" w:cs="Arial"/>
          <w:color w:val="000000" w:themeColor="text1"/>
          <w:sz w:val="24"/>
          <w:szCs w:val="24"/>
          <w:highlight w:val="yellow"/>
        </w:rPr>
        <w:t xml:space="preserve">Between the previously approved and conducted study in 2011 and this current initiative, there is </w:t>
      </w:r>
      <w:r w:rsidR="001A726C">
        <w:rPr>
          <w:rFonts w:ascii="Arial" w:hAnsi="Arial" w:cs="Arial"/>
          <w:color w:val="000000" w:themeColor="text1"/>
          <w:sz w:val="24"/>
          <w:szCs w:val="24"/>
          <w:highlight w:val="yellow"/>
        </w:rPr>
        <w:t xml:space="preserve">a </w:t>
      </w:r>
      <w:r w:rsidR="001A726C" w:rsidRPr="0001197D">
        <w:rPr>
          <w:rFonts w:ascii="Arial" w:hAnsi="Arial" w:cs="Arial"/>
          <w:color w:val="000000" w:themeColor="text1"/>
          <w:sz w:val="24"/>
          <w:szCs w:val="24"/>
          <w:highlight w:val="yellow"/>
        </w:rPr>
        <w:t>minimal</w:t>
      </w:r>
      <w:r w:rsidRPr="0001197D">
        <w:rPr>
          <w:rFonts w:ascii="Arial" w:hAnsi="Arial" w:cs="Arial"/>
          <w:color w:val="000000" w:themeColor="text1"/>
          <w:sz w:val="24"/>
          <w:szCs w:val="24"/>
          <w:highlight w:val="yellow"/>
        </w:rPr>
        <w:t xml:space="preserve"> </w:t>
      </w:r>
      <w:r w:rsidR="001A726C">
        <w:rPr>
          <w:rFonts w:ascii="Arial" w:hAnsi="Arial" w:cs="Arial"/>
          <w:color w:val="000000" w:themeColor="text1"/>
          <w:sz w:val="24"/>
          <w:szCs w:val="24"/>
          <w:highlight w:val="yellow"/>
        </w:rPr>
        <w:t>increase</w:t>
      </w:r>
      <w:r w:rsidRPr="0001197D">
        <w:rPr>
          <w:rFonts w:ascii="Arial" w:hAnsi="Arial" w:cs="Arial"/>
          <w:color w:val="000000" w:themeColor="text1"/>
          <w:sz w:val="24"/>
          <w:szCs w:val="24"/>
          <w:highlight w:val="yellow"/>
        </w:rPr>
        <w:t xml:space="preserve"> in burden</w:t>
      </w:r>
      <w:r w:rsidR="001A726C">
        <w:rPr>
          <w:rFonts w:ascii="Arial" w:hAnsi="Arial" w:cs="Arial"/>
          <w:color w:val="000000" w:themeColor="text1"/>
          <w:sz w:val="24"/>
          <w:szCs w:val="24"/>
          <w:highlight w:val="yellow"/>
        </w:rPr>
        <w:t>, from 370 to 374</w:t>
      </w:r>
      <w:r w:rsidRPr="0001197D">
        <w:rPr>
          <w:rFonts w:ascii="Arial" w:hAnsi="Arial" w:cs="Arial"/>
          <w:color w:val="000000" w:themeColor="text1"/>
          <w:sz w:val="24"/>
          <w:szCs w:val="24"/>
          <w:highlight w:val="yellow"/>
        </w:rPr>
        <w:t>.</w:t>
      </w:r>
    </w:p>
    <w:p w14:paraId="2CE2800B" w14:textId="77777777" w:rsidR="009B3794" w:rsidRPr="00C45431" w:rsidRDefault="009B3794" w:rsidP="00425DE4">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Plans for Tabulation</w:t>
      </w:r>
      <w:r w:rsidR="002118B4" w:rsidRPr="00C45431">
        <w:rPr>
          <w:rFonts w:ascii="Arial" w:hAnsi="Arial" w:cs="Arial"/>
          <w:b/>
          <w:sz w:val="24"/>
          <w:u w:val="single"/>
        </w:rPr>
        <w:t xml:space="preserve">, </w:t>
      </w:r>
      <w:r w:rsidRPr="00C45431">
        <w:rPr>
          <w:rFonts w:ascii="Arial" w:hAnsi="Arial" w:cs="Arial"/>
          <w:b/>
          <w:sz w:val="24"/>
          <w:u w:val="single"/>
        </w:rPr>
        <w:t>Publication</w:t>
      </w:r>
      <w:r w:rsidR="002118B4" w:rsidRPr="00C45431">
        <w:rPr>
          <w:rFonts w:ascii="Arial" w:hAnsi="Arial" w:cs="Arial"/>
          <w:b/>
          <w:sz w:val="24"/>
          <w:u w:val="single"/>
        </w:rPr>
        <w:t>,</w:t>
      </w:r>
      <w:r w:rsidRPr="00C45431">
        <w:rPr>
          <w:rFonts w:ascii="Arial" w:hAnsi="Arial" w:cs="Arial"/>
          <w:b/>
          <w:sz w:val="24"/>
          <w:u w:val="single"/>
        </w:rPr>
        <w:t xml:space="preserve"> and Project Time Schedule</w:t>
      </w:r>
    </w:p>
    <w:p w14:paraId="20DEE304" w14:textId="6BE77B76" w:rsidR="008A7F3E" w:rsidRDefault="008A7F3E" w:rsidP="00425DE4">
      <w:pPr>
        <w:pStyle w:val="BodyTextIndent"/>
        <w:spacing w:before="120"/>
        <w:ind w:left="0"/>
        <w:rPr>
          <w:rFonts w:ascii="Arial" w:hAnsi="Arial" w:cs="Arial"/>
          <w:color w:val="000000" w:themeColor="text1"/>
        </w:rPr>
      </w:pPr>
      <w:r w:rsidRPr="00136E2E">
        <w:rPr>
          <w:rFonts w:ascii="Arial" w:hAnsi="Arial" w:cs="Arial"/>
          <w:color w:val="000000" w:themeColor="text1"/>
        </w:rPr>
        <w:t xml:space="preserve">Data collection for the </w:t>
      </w:r>
      <w:r w:rsidR="00425DE4" w:rsidRPr="00425DE4">
        <w:rPr>
          <w:rFonts w:ascii="Arial" w:hAnsi="Arial" w:cs="Arial"/>
          <w:i/>
          <w:color w:val="000000" w:themeColor="text1"/>
        </w:rPr>
        <w:t>Poison Help</w:t>
      </w:r>
      <w:r w:rsidRPr="00136E2E">
        <w:rPr>
          <w:rFonts w:ascii="Arial" w:hAnsi="Arial" w:cs="Arial"/>
          <w:color w:val="000000" w:themeColor="text1"/>
        </w:rPr>
        <w:t xml:space="preserve"> General Population Survey is scheduled to begin immediately following OMB approval.  The data collection period for the </w:t>
      </w:r>
      <w:r w:rsidR="00425DE4" w:rsidRPr="00425DE4">
        <w:rPr>
          <w:rFonts w:ascii="Arial" w:hAnsi="Arial" w:cs="Arial"/>
          <w:i/>
          <w:color w:val="000000" w:themeColor="text1"/>
        </w:rPr>
        <w:t>Poison Help</w:t>
      </w:r>
      <w:r w:rsidRPr="00136E2E">
        <w:rPr>
          <w:rFonts w:ascii="Arial" w:hAnsi="Arial" w:cs="Arial"/>
          <w:color w:val="000000" w:themeColor="text1"/>
        </w:rPr>
        <w:t xml:space="preserve"> General Population Survey is estimated to be 6-8 </w:t>
      </w:r>
      <w:r w:rsidR="00635002">
        <w:rPr>
          <w:rFonts w:ascii="Arial" w:hAnsi="Arial" w:cs="Arial"/>
          <w:color w:val="000000" w:themeColor="text1"/>
        </w:rPr>
        <w:t>weeks</w:t>
      </w:r>
      <w:r w:rsidRPr="00136E2E">
        <w:rPr>
          <w:rFonts w:ascii="Arial" w:hAnsi="Arial" w:cs="Arial"/>
          <w:color w:val="000000" w:themeColor="text1"/>
        </w:rPr>
        <w:t>.  Data analysis for</w:t>
      </w:r>
      <w:r w:rsidR="00635002">
        <w:rPr>
          <w:rFonts w:ascii="Arial" w:hAnsi="Arial" w:cs="Arial"/>
          <w:color w:val="000000" w:themeColor="text1"/>
        </w:rPr>
        <w:t xml:space="preserve"> the 2017 survey will be perform</w:t>
      </w:r>
      <w:r w:rsidRPr="00136E2E">
        <w:rPr>
          <w:rFonts w:ascii="Arial" w:hAnsi="Arial" w:cs="Arial"/>
          <w:color w:val="000000" w:themeColor="text1"/>
        </w:rPr>
        <w:t>ed by KRC Research and summarized in a report with tables.  The reports will be descriptive in nature and will indicate awareness and understanding o</w:t>
      </w:r>
      <w:r w:rsidR="00635002">
        <w:rPr>
          <w:rFonts w:ascii="Arial" w:hAnsi="Arial" w:cs="Arial"/>
          <w:color w:val="000000" w:themeColor="text1"/>
        </w:rPr>
        <w:t>f campaign goals and messages</w:t>
      </w:r>
      <w:r w:rsidR="001E083E">
        <w:rPr>
          <w:rFonts w:ascii="Arial" w:hAnsi="Arial" w:cs="Arial"/>
          <w:color w:val="000000" w:themeColor="text1"/>
        </w:rPr>
        <w:t xml:space="preserve">.  </w:t>
      </w:r>
      <w:r w:rsidR="00222FE8">
        <w:rPr>
          <w:rFonts w:ascii="Arial" w:hAnsi="Arial" w:cs="Arial"/>
          <w:color w:val="000000" w:themeColor="text1"/>
        </w:rPr>
        <w:t>The table below</w:t>
      </w:r>
      <w:r w:rsidRPr="00136E2E">
        <w:rPr>
          <w:rFonts w:ascii="Arial" w:hAnsi="Arial" w:cs="Arial"/>
          <w:color w:val="000000" w:themeColor="text1"/>
        </w:rPr>
        <w:t xml:space="preserve"> displays the proj</w:t>
      </w:r>
      <w:r w:rsidR="00635002">
        <w:rPr>
          <w:rFonts w:ascii="Arial" w:hAnsi="Arial" w:cs="Arial"/>
          <w:color w:val="000000" w:themeColor="text1"/>
        </w:rPr>
        <w:t>ect time schedule for the data collection period</w:t>
      </w:r>
      <w:r w:rsidRPr="00136E2E">
        <w:rPr>
          <w:rFonts w:ascii="Arial" w:hAnsi="Arial" w:cs="Arial"/>
          <w:color w:val="000000" w:themeColor="text1"/>
        </w:rPr>
        <w:t>.</w:t>
      </w:r>
    </w:p>
    <w:p w14:paraId="1FE47CB1" w14:textId="77777777" w:rsidR="00222FE8" w:rsidRPr="00136E2E" w:rsidRDefault="00222FE8" w:rsidP="00425DE4">
      <w:pPr>
        <w:pStyle w:val="BodyTextIndent"/>
        <w:spacing w:before="120"/>
        <w:ind w:left="0"/>
        <w:rPr>
          <w:rFonts w:ascii="Arial" w:hAnsi="Arial" w:cs="Arial"/>
          <w:b/>
          <w:color w:val="000000" w:themeColor="text1"/>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238"/>
      </w:tblGrid>
      <w:tr w:rsidR="008A7F3E" w:rsidRPr="00136E2E" w14:paraId="6EBD429E" w14:textId="77777777" w:rsidTr="00A22B77">
        <w:tc>
          <w:tcPr>
            <w:tcW w:w="4230" w:type="dxa"/>
            <w:tcBorders>
              <w:bottom w:val="single" w:sz="4" w:space="0" w:color="auto"/>
            </w:tcBorders>
            <w:vAlign w:val="center"/>
          </w:tcPr>
          <w:p w14:paraId="21B7C821" w14:textId="77777777" w:rsidR="008A7F3E" w:rsidRPr="00136E2E" w:rsidRDefault="008A7F3E" w:rsidP="00425DE4">
            <w:pPr>
              <w:pStyle w:val="P1-StandPara"/>
              <w:spacing w:before="60" w:after="60" w:line="240" w:lineRule="atLeast"/>
              <w:ind w:firstLine="0"/>
              <w:jc w:val="left"/>
              <w:rPr>
                <w:rFonts w:ascii="Arial" w:hAnsi="Arial" w:cs="Arial"/>
                <w:b/>
                <w:color w:val="000000" w:themeColor="text1"/>
                <w:sz w:val="24"/>
                <w:szCs w:val="24"/>
              </w:rPr>
            </w:pPr>
            <w:r w:rsidRPr="00136E2E">
              <w:rPr>
                <w:rFonts w:ascii="Arial" w:hAnsi="Arial" w:cs="Arial"/>
                <w:b/>
                <w:color w:val="000000" w:themeColor="text1"/>
                <w:sz w:val="24"/>
                <w:szCs w:val="24"/>
              </w:rPr>
              <w:t>Survey Tasks</w:t>
            </w:r>
          </w:p>
        </w:tc>
        <w:tc>
          <w:tcPr>
            <w:tcW w:w="5238" w:type="dxa"/>
            <w:tcBorders>
              <w:bottom w:val="single" w:sz="4" w:space="0" w:color="auto"/>
            </w:tcBorders>
            <w:vAlign w:val="center"/>
          </w:tcPr>
          <w:p w14:paraId="22854BE5" w14:textId="77777777" w:rsidR="008A7F3E" w:rsidRPr="00136E2E" w:rsidRDefault="008A7F3E" w:rsidP="00425DE4">
            <w:pPr>
              <w:pStyle w:val="P1-StandPara"/>
              <w:spacing w:before="60" w:after="60" w:line="240" w:lineRule="atLeast"/>
              <w:ind w:firstLine="0"/>
              <w:jc w:val="left"/>
              <w:rPr>
                <w:rFonts w:ascii="Arial" w:hAnsi="Arial" w:cs="Arial"/>
                <w:b/>
                <w:color w:val="000000" w:themeColor="text1"/>
                <w:sz w:val="24"/>
                <w:szCs w:val="24"/>
              </w:rPr>
            </w:pPr>
            <w:r w:rsidRPr="00136E2E">
              <w:rPr>
                <w:rFonts w:ascii="Arial" w:hAnsi="Arial" w:cs="Arial"/>
                <w:b/>
                <w:color w:val="000000" w:themeColor="text1"/>
                <w:sz w:val="24"/>
                <w:szCs w:val="24"/>
              </w:rPr>
              <w:t>Schedule</w:t>
            </w:r>
          </w:p>
        </w:tc>
      </w:tr>
      <w:tr w:rsidR="008A7F3E" w:rsidRPr="00136E2E" w14:paraId="7881C32C" w14:textId="77777777" w:rsidTr="00A22B77">
        <w:tc>
          <w:tcPr>
            <w:tcW w:w="4230" w:type="dxa"/>
            <w:tcBorders>
              <w:top w:val="nil"/>
              <w:bottom w:val="nil"/>
              <w:right w:val="nil"/>
            </w:tcBorders>
            <w:vAlign w:val="center"/>
          </w:tcPr>
          <w:p w14:paraId="6DB18A9A" w14:textId="77777777" w:rsidR="008A7F3E" w:rsidRPr="00136E2E" w:rsidRDefault="008A7F3E" w:rsidP="00425DE4">
            <w:pPr>
              <w:pStyle w:val="P1-StandPara"/>
              <w:tabs>
                <w:tab w:val="right" w:leader="dot" w:pos="4122"/>
              </w:tabs>
              <w:spacing w:before="60" w:line="240" w:lineRule="atLeast"/>
              <w:ind w:firstLine="0"/>
              <w:jc w:val="left"/>
              <w:rPr>
                <w:rFonts w:ascii="Arial" w:hAnsi="Arial" w:cs="Arial"/>
                <w:color w:val="000000" w:themeColor="text1"/>
                <w:sz w:val="24"/>
                <w:szCs w:val="24"/>
              </w:rPr>
            </w:pPr>
            <w:r w:rsidRPr="00136E2E">
              <w:rPr>
                <w:rFonts w:ascii="Arial" w:hAnsi="Arial" w:cs="Arial"/>
                <w:color w:val="000000" w:themeColor="text1"/>
                <w:sz w:val="24"/>
                <w:szCs w:val="24"/>
              </w:rPr>
              <w:t>Collect data</w:t>
            </w:r>
            <w:r w:rsidRPr="00136E2E">
              <w:rPr>
                <w:rFonts w:ascii="Arial" w:hAnsi="Arial" w:cs="Arial"/>
                <w:color w:val="000000" w:themeColor="text1"/>
                <w:sz w:val="24"/>
                <w:szCs w:val="24"/>
              </w:rPr>
              <w:tab/>
            </w:r>
          </w:p>
        </w:tc>
        <w:tc>
          <w:tcPr>
            <w:tcW w:w="5238" w:type="dxa"/>
            <w:tcBorders>
              <w:top w:val="nil"/>
              <w:left w:val="nil"/>
              <w:bottom w:val="nil"/>
            </w:tcBorders>
            <w:vAlign w:val="center"/>
          </w:tcPr>
          <w:p w14:paraId="4F1F22AA" w14:textId="1B7A4573" w:rsidR="008A7F3E" w:rsidRPr="00136E2E" w:rsidRDefault="00D556D6" w:rsidP="00425DE4">
            <w:pPr>
              <w:pStyle w:val="P1-StandPara"/>
              <w:spacing w:before="60" w:line="240" w:lineRule="atLeast"/>
              <w:ind w:firstLine="0"/>
              <w:jc w:val="left"/>
              <w:rPr>
                <w:rFonts w:ascii="Arial" w:hAnsi="Arial" w:cs="Arial"/>
                <w:color w:val="000000" w:themeColor="text1"/>
                <w:sz w:val="24"/>
                <w:szCs w:val="24"/>
              </w:rPr>
            </w:pPr>
            <w:r>
              <w:rPr>
                <w:rFonts w:ascii="Arial" w:hAnsi="Arial" w:cs="Arial"/>
                <w:color w:val="000000" w:themeColor="text1"/>
                <w:sz w:val="24"/>
                <w:szCs w:val="24"/>
              </w:rPr>
              <w:t>1.5-2</w:t>
            </w:r>
            <w:r w:rsidR="008A7F3E" w:rsidRPr="00136E2E">
              <w:rPr>
                <w:rFonts w:ascii="Arial" w:hAnsi="Arial" w:cs="Arial"/>
                <w:color w:val="000000" w:themeColor="text1"/>
                <w:sz w:val="24"/>
                <w:szCs w:val="24"/>
              </w:rPr>
              <w:t xml:space="preserve"> months following OMB approval</w:t>
            </w:r>
          </w:p>
        </w:tc>
      </w:tr>
      <w:tr w:rsidR="008A7F3E" w:rsidRPr="00136E2E" w14:paraId="775021B9" w14:textId="77777777" w:rsidTr="00A22B77">
        <w:tc>
          <w:tcPr>
            <w:tcW w:w="4230" w:type="dxa"/>
            <w:tcBorders>
              <w:top w:val="nil"/>
              <w:bottom w:val="nil"/>
              <w:right w:val="nil"/>
            </w:tcBorders>
            <w:vAlign w:val="center"/>
          </w:tcPr>
          <w:p w14:paraId="25297303" w14:textId="77777777" w:rsidR="008A7F3E" w:rsidRPr="00136E2E" w:rsidRDefault="008A7F3E" w:rsidP="00425DE4">
            <w:pPr>
              <w:pStyle w:val="P1-StandPara"/>
              <w:tabs>
                <w:tab w:val="right" w:leader="dot" w:pos="4122"/>
              </w:tabs>
              <w:spacing w:before="60" w:line="240" w:lineRule="atLeast"/>
              <w:ind w:firstLine="0"/>
              <w:jc w:val="left"/>
              <w:rPr>
                <w:rFonts w:ascii="Arial" w:hAnsi="Arial" w:cs="Arial"/>
                <w:color w:val="000000" w:themeColor="text1"/>
                <w:sz w:val="24"/>
                <w:szCs w:val="24"/>
              </w:rPr>
            </w:pPr>
            <w:r w:rsidRPr="00136E2E">
              <w:rPr>
                <w:rFonts w:ascii="Arial" w:hAnsi="Arial" w:cs="Arial"/>
                <w:color w:val="000000" w:themeColor="text1"/>
                <w:sz w:val="24"/>
                <w:szCs w:val="24"/>
              </w:rPr>
              <w:t>Analyze data</w:t>
            </w:r>
            <w:r w:rsidRPr="00136E2E">
              <w:rPr>
                <w:rFonts w:ascii="Arial" w:hAnsi="Arial" w:cs="Arial"/>
                <w:color w:val="000000" w:themeColor="text1"/>
                <w:sz w:val="24"/>
                <w:szCs w:val="24"/>
              </w:rPr>
              <w:tab/>
            </w:r>
          </w:p>
        </w:tc>
        <w:tc>
          <w:tcPr>
            <w:tcW w:w="5238" w:type="dxa"/>
            <w:tcBorders>
              <w:top w:val="nil"/>
              <w:left w:val="nil"/>
              <w:bottom w:val="nil"/>
            </w:tcBorders>
            <w:vAlign w:val="center"/>
          </w:tcPr>
          <w:p w14:paraId="422DEFAA" w14:textId="77777777" w:rsidR="008A7F3E" w:rsidRPr="00136E2E" w:rsidRDefault="008A7F3E" w:rsidP="00425DE4">
            <w:pPr>
              <w:pStyle w:val="P1-StandPara"/>
              <w:spacing w:before="60" w:line="240" w:lineRule="atLeast"/>
              <w:ind w:firstLine="0"/>
              <w:jc w:val="left"/>
              <w:rPr>
                <w:rFonts w:ascii="Arial" w:hAnsi="Arial" w:cs="Arial"/>
                <w:color w:val="000000" w:themeColor="text1"/>
                <w:sz w:val="24"/>
                <w:szCs w:val="24"/>
              </w:rPr>
            </w:pPr>
            <w:r w:rsidRPr="00136E2E">
              <w:rPr>
                <w:rFonts w:ascii="Arial" w:hAnsi="Arial" w:cs="Arial"/>
                <w:color w:val="000000" w:themeColor="text1"/>
                <w:sz w:val="24"/>
                <w:szCs w:val="24"/>
              </w:rPr>
              <w:t>2-3 months following data collection</w:t>
            </w:r>
          </w:p>
        </w:tc>
      </w:tr>
      <w:tr w:rsidR="00136E2E" w:rsidRPr="00136E2E" w14:paraId="6EA30747" w14:textId="77777777" w:rsidTr="00A22B77">
        <w:tc>
          <w:tcPr>
            <w:tcW w:w="4230" w:type="dxa"/>
            <w:tcBorders>
              <w:top w:val="nil"/>
              <w:right w:val="nil"/>
            </w:tcBorders>
            <w:vAlign w:val="center"/>
          </w:tcPr>
          <w:p w14:paraId="582AB5A9" w14:textId="77777777" w:rsidR="008A7F3E" w:rsidRPr="00136E2E" w:rsidRDefault="008A7F3E" w:rsidP="00425DE4">
            <w:pPr>
              <w:pStyle w:val="P1-StandPara"/>
              <w:tabs>
                <w:tab w:val="right" w:leader="dot" w:pos="4122"/>
              </w:tabs>
              <w:spacing w:before="60" w:line="240" w:lineRule="atLeast"/>
              <w:ind w:firstLine="0"/>
              <w:jc w:val="left"/>
              <w:rPr>
                <w:rFonts w:ascii="Arial" w:hAnsi="Arial" w:cs="Arial"/>
                <w:color w:val="000000" w:themeColor="text1"/>
                <w:sz w:val="24"/>
                <w:szCs w:val="24"/>
              </w:rPr>
            </w:pPr>
            <w:r w:rsidRPr="00136E2E">
              <w:rPr>
                <w:rFonts w:ascii="Arial" w:hAnsi="Arial" w:cs="Arial"/>
                <w:color w:val="000000" w:themeColor="text1"/>
                <w:sz w:val="24"/>
                <w:szCs w:val="24"/>
              </w:rPr>
              <w:t>Write summary report</w:t>
            </w:r>
            <w:r w:rsidRPr="00136E2E">
              <w:rPr>
                <w:rFonts w:ascii="Arial" w:hAnsi="Arial" w:cs="Arial"/>
                <w:color w:val="000000" w:themeColor="text1"/>
                <w:sz w:val="24"/>
                <w:szCs w:val="24"/>
              </w:rPr>
              <w:tab/>
            </w:r>
          </w:p>
        </w:tc>
        <w:tc>
          <w:tcPr>
            <w:tcW w:w="5238" w:type="dxa"/>
            <w:tcBorders>
              <w:top w:val="nil"/>
              <w:left w:val="nil"/>
            </w:tcBorders>
            <w:vAlign w:val="center"/>
          </w:tcPr>
          <w:p w14:paraId="7987ED2E" w14:textId="77777777" w:rsidR="008A7F3E" w:rsidRPr="00136E2E" w:rsidRDefault="008A7F3E" w:rsidP="00425DE4">
            <w:pPr>
              <w:pStyle w:val="P1-StandPara"/>
              <w:spacing w:before="60" w:line="240" w:lineRule="atLeast"/>
              <w:ind w:firstLine="0"/>
              <w:jc w:val="left"/>
              <w:rPr>
                <w:rFonts w:ascii="Arial" w:hAnsi="Arial" w:cs="Arial"/>
                <w:color w:val="000000" w:themeColor="text1"/>
                <w:sz w:val="24"/>
                <w:szCs w:val="24"/>
              </w:rPr>
            </w:pPr>
            <w:r w:rsidRPr="00136E2E">
              <w:rPr>
                <w:rFonts w:ascii="Arial" w:hAnsi="Arial" w:cs="Arial"/>
                <w:color w:val="000000" w:themeColor="text1"/>
                <w:sz w:val="24"/>
                <w:szCs w:val="24"/>
              </w:rPr>
              <w:t>2-4 months following data analysis</w:t>
            </w:r>
          </w:p>
        </w:tc>
      </w:tr>
    </w:tbl>
    <w:p w14:paraId="1A223E7E" w14:textId="5E3F8DE7" w:rsidR="008A7F3E" w:rsidRPr="00222FE8" w:rsidRDefault="00222FE8" w:rsidP="00425DE4">
      <w:pPr>
        <w:spacing w:before="120"/>
        <w:rPr>
          <w:rFonts w:ascii="Arial" w:hAnsi="Arial" w:cs="Arial"/>
          <w:color w:val="000000" w:themeColor="text1"/>
          <w:sz w:val="24"/>
        </w:rPr>
      </w:pPr>
      <w:r w:rsidRPr="00222FE8">
        <w:rPr>
          <w:rFonts w:ascii="Arial" w:hAnsi="Arial" w:cs="Arial"/>
          <w:color w:val="000000" w:themeColor="text1"/>
          <w:sz w:val="24"/>
        </w:rPr>
        <w:t>See Supporting Statement B for information on statistical methods.</w:t>
      </w:r>
    </w:p>
    <w:p w14:paraId="2CE2800E" w14:textId="77777777" w:rsidR="009B3794" w:rsidRPr="00C45431" w:rsidRDefault="009B3794" w:rsidP="00425DE4">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14:paraId="2CE2800F" w14:textId="54A1339F" w:rsidR="009B3794" w:rsidRPr="00136E2E" w:rsidRDefault="00D11CA3" w:rsidP="00425DE4">
      <w:pPr>
        <w:pStyle w:val="BodyTextIndent"/>
        <w:spacing w:before="120"/>
        <w:ind w:left="0"/>
        <w:rPr>
          <w:rFonts w:ascii="Arial" w:hAnsi="Arial" w:cs="Arial"/>
          <w:color w:val="000000" w:themeColor="text1"/>
        </w:rPr>
      </w:pPr>
      <w:r w:rsidRPr="00136E2E">
        <w:rPr>
          <w:rFonts w:ascii="Arial" w:hAnsi="Arial" w:cs="Arial"/>
          <w:color w:val="000000" w:themeColor="text1"/>
        </w:rPr>
        <w:t>The OMB number and Expiration date will be displayed on every</w:t>
      </w:r>
      <w:r w:rsidR="008A7F3E" w:rsidRPr="00136E2E">
        <w:rPr>
          <w:rFonts w:ascii="Arial" w:hAnsi="Arial" w:cs="Arial"/>
          <w:color w:val="000000" w:themeColor="text1"/>
        </w:rPr>
        <w:t xml:space="preserve"> page of every form/instrument.</w:t>
      </w:r>
    </w:p>
    <w:p w14:paraId="2CE28010" w14:textId="77777777" w:rsidR="009B3794" w:rsidRPr="00C45431" w:rsidRDefault="009B3794" w:rsidP="00425DE4">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14:paraId="2CE28011" w14:textId="4DFB1C74" w:rsidR="009B3794" w:rsidRPr="00136E2E" w:rsidRDefault="009B3794" w:rsidP="00425DE4">
      <w:pPr>
        <w:pStyle w:val="BodyTextIndent"/>
        <w:spacing w:before="120"/>
        <w:ind w:left="0"/>
        <w:rPr>
          <w:rFonts w:ascii="Arial" w:hAnsi="Arial" w:cs="Arial"/>
          <w:color w:val="000000" w:themeColor="text1"/>
        </w:rPr>
      </w:pPr>
      <w:r w:rsidRPr="00136E2E">
        <w:rPr>
          <w:rFonts w:ascii="Arial" w:hAnsi="Arial" w:cs="Arial"/>
          <w:color w:val="000000" w:themeColor="text1"/>
        </w:rPr>
        <w:t>There are no exceptions to the certification.</w:t>
      </w:r>
    </w:p>
    <w:sectPr w:rsidR="009B3794" w:rsidRPr="00136E2E" w:rsidSect="001D4856">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E0A97" w14:textId="77777777" w:rsidR="00161C79" w:rsidRDefault="00161C79">
      <w:r>
        <w:separator/>
      </w:r>
    </w:p>
  </w:endnote>
  <w:endnote w:type="continuationSeparator" w:id="0">
    <w:p w14:paraId="06A20256" w14:textId="77777777" w:rsidR="00161C79" w:rsidRDefault="0016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28016" w14:textId="77777777" w:rsidR="00A22B77" w:rsidRDefault="00A22B77">
    <w:pPr>
      <w:spacing w:line="240" w:lineRule="exact"/>
    </w:pPr>
  </w:p>
  <w:p w14:paraId="2CE28017" w14:textId="63969C94" w:rsidR="00A22B77" w:rsidRPr="007136A4" w:rsidRDefault="00A22B77" w:rsidP="007136A4">
    <w:pPr>
      <w:framePr w:w="9361" w:wrap="notBeside" w:vAnchor="text" w:hAnchor="text" w:x="1" w:y="1"/>
      <w:spacing w:line="240" w:lineRule="exact"/>
      <w:jc w:val="center"/>
    </w:pPr>
    <w:r>
      <w:rPr>
        <w:sz w:val="24"/>
      </w:rPr>
      <w:fldChar w:fldCharType="begin"/>
    </w:r>
    <w:r>
      <w:rPr>
        <w:sz w:val="24"/>
      </w:rPr>
      <w:instrText xml:space="preserve">PAGE </w:instrText>
    </w:r>
    <w:r>
      <w:rPr>
        <w:sz w:val="24"/>
      </w:rPr>
      <w:fldChar w:fldCharType="separate"/>
    </w:r>
    <w:r w:rsidR="00BA6BA8">
      <w:rPr>
        <w:noProof/>
        <w:sz w:val="24"/>
      </w:rPr>
      <w:t>1</w:t>
    </w:r>
    <w:r>
      <w:rPr>
        <w:sz w:val="24"/>
      </w:rPr>
      <w:fldChar w:fldCharType="end"/>
    </w:r>
    <w:r>
      <w:rPr>
        <w:sz w:val="24"/>
      </w:rPr>
      <w:t xml:space="preserve"> </w:t>
    </w:r>
  </w:p>
  <w:p w14:paraId="2CE28018" w14:textId="77777777" w:rsidR="00A22B77" w:rsidRDefault="00A22B77">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84C9C" w14:textId="77777777" w:rsidR="00161C79" w:rsidRDefault="00161C79">
      <w:r>
        <w:separator/>
      </w:r>
    </w:p>
  </w:footnote>
  <w:footnote w:type="continuationSeparator" w:id="0">
    <w:p w14:paraId="77279F3A" w14:textId="77777777" w:rsidR="00161C79" w:rsidRDefault="00161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D20109"/>
    <w:multiLevelType w:val="hybridMultilevel"/>
    <w:tmpl w:val="B32A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nsid w:val="359306AE"/>
    <w:multiLevelType w:val="hybridMultilevel"/>
    <w:tmpl w:val="E40C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9">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nsid w:val="6A6615AE"/>
    <w:multiLevelType w:val="hybridMultilevel"/>
    <w:tmpl w:val="E9A8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57B5124"/>
    <w:multiLevelType w:val="hybridMultilevel"/>
    <w:tmpl w:val="3210DCCC"/>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7">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7"/>
  </w:num>
  <w:num w:numId="2">
    <w:abstractNumId w:val="24"/>
  </w:num>
  <w:num w:numId="3">
    <w:abstractNumId w:val="15"/>
  </w:num>
  <w:num w:numId="4">
    <w:abstractNumId w:val="43"/>
  </w:num>
  <w:num w:numId="5">
    <w:abstractNumId w:val="46"/>
  </w:num>
  <w:num w:numId="6">
    <w:abstractNumId w:val="10"/>
  </w:num>
  <w:num w:numId="7">
    <w:abstractNumId w:val="37"/>
  </w:num>
  <w:num w:numId="8">
    <w:abstractNumId w:val="20"/>
  </w:num>
  <w:num w:numId="9">
    <w:abstractNumId w:val="28"/>
  </w:num>
  <w:num w:numId="10">
    <w:abstractNumId w:val="22"/>
  </w:num>
  <w:num w:numId="11">
    <w:abstractNumId w:val="9"/>
  </w:num>
  <w:num w:numId="12">
    <w:abstractNumId w:val="27"/>
  </w:num>
  <w:num w:numId="13">
    <w:abstractNumId w:val="23"/>
  </w:num>
  <w:num w:numId="14">
    <w:abstractNumId w:val="25"/>
  </w:num>
  <w:num w:numId="15">
    <w:abstractNumId w:val="8"/>
  </w:num>
  <w:num w:numId="16">
    <w:abstractNumId w:val="0"/>
  </w:num>
  <w:num w:numId="17">
    <w:abstractNumId w:val="1"/>
  </w:num>
  <w:num w:numId="18">
    <w:abstractNumId w:val="17"/>
  </w:num>
  <w:num w:numId="19">
    <w:abstractNumId w:val="36"/>
  </w:num>
  <w:num w:numId="20">
    <w:abstractNumId w:val="34"/>
  </w:num>
  <w:num w:numId="21">
    <w:abstractNumId w:val="21"/>
  </w:num>
  <w:num w:numId="22">
    <w:abstractNumId w:val="41"/>
  </w:num>
  <w:num w:numId="23">
    <w:abstractNumId w:val="32"/>
  </w:num>
  <w:num w:numId="24">
    <w:abstractNumId w:val="33"/>
  </w:num>
  <w:num w:numId="25">
    <w:abstractNumId w:val="45"/>
  </w:num>
  <w:num w:numId="26">
    <w:abstractNumId w:val="40"/>
  </w:num>
  <w:num w:numId="27">
    <w:abstractNumId w:val="3"/>
  </w:num>
  <w:num w:numId="28">
    <w:abstractNumId w:val="19"/>
  </w:num>
  <w:num w:numId="29">
    <w:abstractNumId w:val="44"/>
  </w:num>
  <w:num w:numId="30">
    <w:abstractNumId w:val="39"/>
  </w:num>
  <w:num w:numId="31">
    <w:abstractNumId w:val="35"/>
  </w:num>
  <w:num w:numId="32">
    <w:abstractNumId w:val="11"/>
  </w:num>
  <w:num w:numId="33">
    <w:abstractNumId w:val="2"/>
  </w:num>
  <w:num w:numId="34">
    <w:abstractNumId w:val="29"/>
  </w:num>
  <w:num w:numId="35">
    <w:abstractNumId w:val="13"/>
  </w:num>
  <w:num w:numId="36">
    <w:abstractNumId w:val="12"/>
  </w:num>
  <w:num w:numId="37">
    <w:abstractNumId w:val="14"/>
  </w:num>
  <w:num w:numId="38">
    <w:abstractNumId w:val="4"/>
  </w:num>
  <w:num w:numId="39">
    <w:abstractNumId w:val="31"/>
  </w:num>
  <w:num w:numId="40">
    <w:abstractNumId w:val="7"/>
  </w:num>
  <w:num w:numId="41">
    <w:abstractNumId w:val="30"/>
  </w:num>
  <w:num w:numId="42">
    <w:abstractNumId w:val="26"/>
  </w:num>
  <w:num w:numId="43">
    <w:abstractNumId w:val="5"/>
  </w:num>
  <w:num w:numId="44">
    <w:abstractNumId w:val="16"/>
  </w:num>
  <w:num w:numId="45">
    <w:abstractNumId w:val="42"/>
  </w:num>
  <w:num w:numId="46">
    <w:abstractNumId w:val="18"/>
  </w:num>
  <w:num w:numId="47">
    <w:abstractNumId w:val="38"/>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197D"/>
    <w:rsid w:val="00015505"/>
    <w:rsid w:val="00037D86"/>
    <w:rsid w:val="0004792C"/>
    <w:rsid w:val="000A3051"/>
    <w:rsid w:val="000B3378"/>
    <w:rsid w:val="000E7235"/>
    <w:rsid w:val="001103CD"/>
    <w:rsid w:val="0011371E"/>
    <w:rsid w:val="001325B2"/>
    <w:rsid w:val="00136C6B"/>
    <w:rsid w:val="00136E2E"/>
    <w:rsid w:val="00160C0B"/>
    <w:rsid w:val="00161C79"/>
    <w:rsid w:val="001920C3"/>
    <w:rsid w:val="001931C7"/>
    <w:rsid w:val="001A726C"/>
    <w:rsid w:val="001D4856"/>
    <w:rsid w:val="001E083E"/>
    <w:rsid w:val="001F5E79"/>
    <w:rsid w:val="002118B4"/>
    <w:rsid w:val="00222FE8"/>
    <w:rsid w:val="00262A48"/>
    <w:rsid w:val="002640E7"/>
    <w:rsid w:val="002B4DF6"/>
    <w:rsid w:val="002E0D5C"/>
    <w:rsid w:val="003101FB"/>
    <w:rsid w:val="00322313"/>
    <w:rsid w:val="0033268D"/>
    <w:rsid w:val="00341C66"/>
    <w:rsid w:val="00347BE4"/>
    <w:rsid w:val="003723CF"/>
    <w:rsid w:val="00391E16"/>
    <w:rsid w:val="00397A14"/>
    <w:rsid w:val="003A1EE6"/>
    <w:rsid w:val="003C036C"/>
    <w:rsid w:val="003D23B1"/>
    <w:rsid w:val="0040350C"/>
    <w:rsid w:val="00425499"/>
    <w:rsid w:val="00425DE4"/>
    <w:rsid w:val="0046297A"/>
    <w:rsid w:val="00472847"/>
    <w:rsid w:val="004746CA"/>
    <w:rsid w:val="0048628B"/>
    <w:rsid w:val="0048753D"/>
    <w:rsid w:val="00490720"/>
    <w:rsid w:val="004E687D"/>
    <w:rsid w:val="004F72B0"/>
    <w:rsid w:val="00503BAB"/>
    <w:rsid w:val="0051368D"/>
    <w:rsid w:val="005D7625"/>
    <w:rsid w:val="005E1765"/>
    <w:rsid w:val="005F6EEA"/>
    <w:rsid w:val="00624019"/>
    <w:rsid w:val="00627FFD"/>
    <w:rsid w:val="00634DEB"/>
    <w:rsid w:val="00635002"/>
    <w:rsid w:val="00680D76"/>
    <w:rsid w:val="00692436"/>
    <w:rsid w:val="007026A8"/>
    <w:rsid w:val="007055FD"/>
    <w:rsid w:val="007136A4"/>
    <w:rsid w:val="00717C4E"/>
    <w:rsid w:val="0073114C"/>
    <w:rsid w:val="007D3C5A"/>
    <w:rsid w:val="007F047A"/>
    <w:rsid w:val="008002AB"/>
    <w:rsid w:val="00855D14"/>
    <w:rsid w:val="0086111F"/>
    <w:rsid w:val="008A154D"/>
    <w:rsid w:val="008A65D1"/>
    <w:rsid w:val="008A7F3E"/>
    <w:rsid w:val="008B04CA"/>
    <w:rsid w:val="008B074C"/>
    <w:rsid w:val="008C31ED"/>
    <w:rsid w:val="008D2D67"/>
    <w:rsid w:val="00935E77"/>
    <w:rsid w:val="00944347"/>
    <w:rsid w:val="00947281"/>
    <w:rsid w:val="00966C4B"/>
    <w:rsid w:val="00967DE2"/>
    <w:rsid w:val="009A0DD2"/>
    <w:rsid w:val="009A230D"/>
    <w:rsid w:val="009A4D85"/>
    <w:rsid w:val="009B3794"/>
    <w:rsid w:val="009B7E4D"/>
    <w:rsid w:val="009C4BA4"/>
    <w:rsid w:val="009C6E95"/>
    <w:rsid w:val="009E0836"/>
    <w:rsid w:val="009F054F"/>
    <w:rsid w:val="00A1037E"/>
    <w:rsid w:val="00A1688A"/>
    <w:rsid w:val="00A22B77"/>
    <w:rsid w:val="00A256B6"/>
    <w:rsid w:val="00A53453"/>
    <w:rsid w:val="00A57108"/>
    <w:rsid w:val="00A92CAB"/>
    <w:rsid w:val="00AA1D3D"/>
    <w:rsid w:val="00AE7154"/>
    <w:rsid w:val="00B03BFB"/>
    <w:rsid w:val="00B42293"/>
    <w:rsid w:val="00B655C6"/>
    <w:rsid w:val="00B96A3F"/>
    <w:rsid w:val="00BA1A0C"/>
    <w:rsid w:val="00BA6BA8"/>
    <w:rsid w:val="00BC3708"/>
    <w:rsid w:val="00C45431"/>
    <w:rsid w:val="00C74B86"/>
    <w:rsid w:val="00CA3DA6"/>
    <w:rsid w:val="00CC3A65"/>
    <w:rsid w:val="00CD36E7"/>
    <w:rsid w:val="00CE2455"/>
    <w:rsid w:val="00CE5AA9"/>
    <w:rsid w:val="00CF3D90"/>
    <w:rsid w:val="00CF7BD0"/>
    <w:rsid w:val="00D11CA3"/>
    <w:rsid w:val="00D46313"/>
    <w:rsid w:val="00D50236"/>
    <w:rsid w:val="00D556D6"/>
    <w:rsid w:val="00D56CC2"/>
    <w:rsid w:val="00D74B86"/>
    <w:rsid w:val="00D92E1D"/>
    <w:rsid w:val="00DA5070"/>
    <w:rsid w:val="00DB425F"/>
    <w:rsid w:val="00DE3A45"/>
    <w:rsid w:val="00DF75B4"/>
    <w:rsid w:val="00E00CEE"/>
    <w:rsid w:val="00E203FA"/>
    <w:rsid w:val="00E24540"/>
    <w:rsid w:val="00E34A1F"/>
    <w:rsid w:val="00E3515B"/>
    <w:rsid w:val="00E51B07"/>
    <w:rsid w:val="00E87554"/>
    <w:rsid w:val="00E962DB"/>
    <w:rsid w:val="00EC38CD"/>
    <w:rsid w:val="00ED18EA"/>
    <w:rsid w:val="00EE529C"/>
    <w:rsid w:val="00F4221E"/>
    <w:rsid w:val="00F5284A"/>
    <w:rsid w:val="00F579F1"/>
    <w:rsid w:val="00F62862"/>
    <w:rsid w:val="00FA1A42"/>
    <w:rsid w:val="00FA5614"/>
    <w:rsid w:val="00FD2350"/>
    <w:rsid w:val="00FE6C30"/>
    <w:rsid w:val="00FF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2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Header">
    <w:name w:val="header"/>
    <w:basedOn w:val="Normal"/>
    <w:link w:val="HeaderChar"/>
    <w:unhideWhenUsed/>
    <w:rsid w:val="007136A4"/>
    <w:pPr>
      <w:tabs>
        <w:tab w:val="center" w:pos="4680"/>
        <w:tab w:val="right" w:pos="9360"/>
      </w:tabs>
    </w:pPr>
  </w:style>
  <w:style w:type="character" w:customStyle="1" w:styleId="HeaderChar">
    <w:name w:val="Header Char"/>
    <w:basedOn w:val="DefaultParagraphFont"/>
    <w:link w:val="Header"/>
    <w:rsid w:val="007136A4"/>
    <w:rPr>
      <w:szCs w:val="24"/>
    </w:rPr>
  </w:style>
  <w:style w:type="paragraph" w:styleId="Footer">
    <w:name w:val="footer"/>
    <w:basedOn w:val="Normal"/>
    <w:link w:val="FooterChar"/>
    <w:unhideWhenUsed/>
    <w:rsid w:val="007136A4"/>
    <w:pPr>
      <w:tabs>
        <w:tab w:val="center" w:pos="4680"/>
        <w:tab w:val="right" w:pos="9360"/>
      </w:tabs>
    </w:pPr>
  </w:style>
  <w:style w:type="character" w:customStyle="1" w:styleId="FooterChar">
    <w:name w:val="Footer Char"/>
    <w:basedOn w:val="DefaultParagraphFont"/>
    <w:link w:val="Footer"/>
    <w:rsid w:val="007136A4"/>
    <w:rPr>
      <w:szCs w:val="24"/>
    </w:rPr>
  </w:style>
  <w:style w:type="paragraph" w:styleId="FootnoteText">
    <w:name w:val="footnote text"/>
    <w:basedOn w:val="Normal"/>
    <w:link w:val="FootnoteTextChar"/>
    <w:semiHidden/>
    <w:unhideWhenUsed/>
    <w:rsid w:val="007136A4"/>
    <w:rPr>
      <w:szCs w:val="20"/>
    </w:rPr>
  </w:style>
  <w:style w:type="character" w:customStyle="1" w:styleId="FootnoteTextChar">
    <w:name w:val="Footnote Text Char"/>
    <w:basedOn w:val="DefaultParagraphFont"/>
    <w:link w:val="FootnoteText"/>
    <w:semiHidden/>
    <w:rsid w:val="007136A4"/>
  </w:style>
  <w:style w:type="paragraph" w:customStyle="1" w:styleId="N2-2ndBullet">
    <w:name w:val="N2-2nd Bullet"/>
    <w:basedOn w:val="Normal"/>
    <w:rsid w:val="00FF539A"/>
    <w:pPr>
      <w:widowControl/>
      <w:numPr>
        <w:numId w:val="44"/>
      </w:numPr>
      <w:tabs>
        <w:tab w:val="left" w:pos="1728"/>
      </w:tabs>
      <w:autoSpaceDE/>
      <w:autoSpaceDN/>
      <w:adjustRightInd/>
      <w:spacing w:after="240" w:line="240" w:lineRule="atLeast"/>
      <w:jc w:val="both"/>
    </w:pPr>
    <w:rPr>
      <w:sz w:val="22"/>
      <w:szCs w:val="20"/>
    </w:rPr>
  </w:style>
  <w:style w:type="paragraph" w:customStyle="1" w:styleId="P1-StandPara">
    <w:name w:val="P1-Stand Para"/>
    <w:uiPriority w:val="99"/>
    <w:rsid w:val="00FF539A"/>
    <w:pPr>
      <w:spacing w:line="360" w:lineRule="atLeast"/>
      <w:ind w:firstLine="1152"/>
      <w:jc w:val="both"/>
    </w:pPr>
    <w:rPr>
      <w:sz w:val="22"/>
    </w:rPr>
  </w:style>
  <w:style w:type="paragraph" w:customStyle="1" w:styleId="L1-FlLSp12">
    <w:name w:val="L1-FlL Sp&amp;1/2"/>
    <w:rsid w:val="008A7F3E"/>
    <w:pPr>
      <w:tabs>
        <w:tab w:val="left" w:pos="1152"/>
      </w:tabs>
      <w:spacing w:line="360" w:lineRule="atLeast"/>
      <w:jc w:val="both"/>
    </w:pPr>
    <w:rPr>
      <w:sz w:val="22"/>
    </w:rPr>
  </w:style>
  <w:style w:type="paragraph" w:customStyle="1" w:styleId="SL-FlLftSgl">
    <w:name w:val="SL-Fl Lft Sgl"/>
    <w:rsid w:val="008A7F3E"/>
    <w:pPr>
      <w:spacing w:line="240" w:lineRule="atLeast"/>
      <w:jc w:val="both"/>
    </w:pPr>
    <w:rPr>
      <w:sz w:val="22"/>
    </w:rPr>
  </w:style>
  <w:style w:type="character" w:styleId="CommentReference">
    <w:name w:val="annotation reference"/>
    <w:basedOn w:val="DefaultParagraphFont"/>
    <w:semiHidden/>
    <w:unhideWhenUsed/>
    <w:rsid w:val="00A57108"/>
    <w:rPr>
      <w:sz w:val="16"/>
      <w:szCs w:val="16"/>
    </w:rPr>
  </w:style>
  <w:style w:type="paragraph" w:styleId="CommentText">
    <w:name w:val="annotation text"/>
    <w:basedOn w:val="Normal"/>
    <w:link w:val="CommentTextChar"/>
    <w:semiHidden/>
    <w:unhideWhenUsed/>
    <w:rsid w:val="00A57108"/>
    <w:rPr>
      <w:szCs w:val="20"/>
    </w:rPr>
  </w:style>
  <w:style w:type="character" w:customStyle="1" w:styleId="CommentTextChar">
    <w:name w:val="Comment Text Char"/>
    <w:basedOn w:val="DefaultParagraphFont"/>
    <w:link w:val="CommentText"/>
    <w:semiHidden/>
    <w:rsid w:val="00A57108"/>
  </w:style>
  <w:style w:type="paragraph" w:styleId="CommentSubject">
    <w:name w:val="annotation subject"/>
    <w:basedOn w:val="CommentText"/>
    <w:next w:val="CommentText"/>
    <w:link w:val="CommentSubjectChar"/>
    <w:semiHidden/>
    <w:unhideWhenUsed/>
    <w:rsid w:val="00A57108"/>
    <w:rPr>
      <w:b/>
      <w:bCs/>
    </w:rPr>
  </w:style>
  <w:style w:type="character" w:customStyle="1" w:styleId="CommentSubjectChar">
    <w:name w:val="Comment Subject Char"/>
    <w:basedOn w:val="CommentTextChar"/>
    <w:link w:val="CommentSubject"/>
    <w:semiHidden/>
    <w:rsid w:val="00A57108"/>
    <w:rPr>
      <w:b/>
      <w:bCs/>
    </w:rPr>
  </w:style>
  <w:style w:type="character" w:styleId="FollowedHyperlink">
    <w:name w:val="FollowedHyperlink"/>
    <w:basedOn w:val="DefaultParagraphFont"/>
    <w:semiHidden/>
    <w:unhideWhenUsed/>
    <w:rsid w:val="001A72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Header">
    <w:name w:val="header"/>
    <w:basedOn w:val="Normal"/>
    <w:link w:val="HeaderChar"/>
    <w:unhideWhenUsed/>
    <w:rsid w:val="007136A4"/>
    <w:pPr>
      <w:tabs>
        <w:tab w:val="center" w:pos="4680"/>
        <w:tab w:val="right" w:pos="9360"/>
      </w:tabs>
    </w:pPr>
  </w:style>
  <w:style w:type="character" w:customStyle="1" w:styleId="HeaderChar">
    <w:name w:val="Header Char"/>
    <w:basedOn w:val="DefaultParagraphFont"/>
    <w:link w:val="Header"/>
    <w:rsid w:val="007136A4"/>
    <w:rPr>
      <w:szCs w:val="24"/>
    </w:rPr>
  </w:style>
  <w:style w:type="paragraph" w:styleId="Footer">
    <w:name w:val="footer"/>
    <w:basedOn w:val="Normal"/>
    <w:link w:val="FooterChar"/>
    <w:unhideWhenUsed/>
    <w:rsid w:val="007136A4"/>
    <w:pPr>
      <w:tabs>
        <w:tab w:val="center" w:pos="4680"/>
        <w:tab w:val="right" w:pos="9360"/>
      </w:tabs>
    </w:pPr>
  </w:style>
  <w:style w:type="character" w:customStyle="1" w:styleId="FooterChar">
    <w:name w:val="Footer Char"/>
    <w:basedOn w:val="DefaultParagraphFont"/>
    <w:link w:val="Footer"/>
    <w:rsid w:val="007136A4"/>
    <w:rPr>
      <w:szCs w:val="24"/>
    </w:rPr>
  </w:style>
  <w:style w:type="paragraph" w:styleId="FootnoteText">
    <w:name w:val="footnote text"/>
    <w:basedOn w:val="Normal"/>
    <w:link w:val="FootnoteTextChar"/>
    <w:semiHidden/>
    <w:unhideWhenUsed/>
    <w:rsid w:val="007136A4"/>
    <w:rPr>
      <w:szCs w:val="20"/>
    </w:rPr>
  </w:style>
  <w:style w:type="character" w:customStyle="1" w:styleId="FootnoteTextChar">
    <w:name w:val="Footnote Text Char"/>
    <w:basedOn w:val="DefaultParagraphFont"/>
    <w:link w:val="FootnoteText"/>
    <w:semiHidden/>
    <w:rsid w:val="007136A4"/>
  </w:style>
  <w:style w:type="paragraph" w:customStyle="1" w:styleId="N2-2ndBullet">
    <w:name w:val="N2-2nd Bullet"/>
    <w:basedOn w:val="Normal"/>
    <w:rsid w:val="00FF539A"/>
    <w:pPr>
      <w:widowControl/>
      <w:numPr>
        <w:numId w:val="44"/>
      </w:numPr>
      <w:tabs>
        <w:tab w:val="left" w:pos="1728"/>
      </w:tabs>
      <w:autoSpaceDE/>
      <w:autoSpaceDN/>
      <w:adjustRightInd/>
      <w:spacing w:after="240" w:line="240" w:lineRule="atLeast"/>
      <w:jc w:val="both"/>
    </w:pPr>
    <w:rPr>
      <w:sz w:val="22"/>
      <w:szCs w:val="20"/>
    </w:rPr>
  </w:style>
  <w:style w:type="paragraph" w:customStyle="1" w:styleId="P1-StandPara">
    <w:name w:val="P1-Stand Para"/>
    <w:uiPriority w:val="99"/>
    <w:rsid w:val="00FF539A"/>
    <w:pPr>
      <w:spacing w:line="360" w:lineRule="atLeast"/>
      <w:ind w:firstLine="1152"/>
      <w:jc w:val="both"/>
    </w:pPr>
    <w:rPr>
      <w:sz w:val="22"/>
    </w:rPr>
  </w:style>
  <w:style w:type="paragraph" w:customStyle="1" w:styleId="L1-FlLSp12">
    <w:name w:val="L1-FlL Sp&amp;1/2"/>
    <w:rsid w:val="008A7F3E"/>
    <w:pPr>
      <w:tabs>
        <w:tab w:val="left" w:pos="1152"/>
      </w:tabs>
      <w:spacing w:line="360" w:lineRule="atLeast"/>
      <w:jc w:val="both"/>
    </w:pPr>
    <w:rPr>
      <w:sz w:val="22"/>
    </w:rPr>
  </w:style>
  <w:style w:type="paragraph" w:customStyle="1" w:styleId="SL-FlLftSgl">
    <w:name w:val="SL-Fl Lft Sgl"/>
    <w:rsid w:val="008A7F3E"/>
    <w:pPr>
      <w:spacing w:line="240" w:lineRule="atLeast"/>
      <w:jc w:val="both"/>
    </w:pPr>
    <w:rPr>
      <w:sz w:val="22"/>
    </w:rPr>
  </w:style>
  <w:style w:type="character" w:styleId="CommentReference">
    <w:name w:val="annotation reference"/>
    <w:basedOn w:val="DefaultParagraphFont"/>
    <w:semiHidden/>
    <w:unhideWhenUsed/>
    <w:rsid w:val="00A57108"/>
    <w:rPr>
      <w:sz w:val="16"/>
      <w:szCs w:val="16"/>
    </w:rPr>
  </w:style>
  <w:style w:type="paragraph" w:styleId="CommentText">
    <w:name w:val="annotation text"/>
    <w:basedOn w:val="Normal"/>
    <w:link w:val="CommentTextChar"/>
    <w:semiHidden/>
    <w:unhideWhenUsed/>
    <w:rsid w:val="00A57108"/>
    <w:rPr>
      <w:szCs w:val="20"/>
    </w:rPr>
  </w:style>
  <w:style w:type="character" w:customStyle="1" w:styleId="CommentTextChar">
    <w:name w:val="Comment Text Char"/>
    <w:basedOn w:val="DefaultParagraphFont"/>
    <w:link w:val="CommentText"/>
    <w:semiHidden/>
    <w:rsid w:val="00A57108"/>
  </w:style>
  <w:style w:type="paragraph" w:styleId="CommentSubject">
    <w:name w:val="annotation subject"/>
    <w:basedOn w:val="CommentText"/>
    <w:next w:val="CommentText"/>
    <w:link w:val="CommentSubjectChar"/>
    <w:semiHidden/>
    <w:unhideWhenUsed/>
    <w:rsid w:val="00A57108"/>
    <w:rPr>
      <w:b/>
      <w:bCs/>
    </w:rPr>
  </w:style>
  <w:style w:type="character" w:customStyle="1" w:styleId="CommentSubjectChar">
    <w:name w:val="Comment Subject Char"/>
    <w:basedOn w:val="CommentTextChar"/>
    <w:link w:val="CommentSubject"/>
    <w:semiHidden/>
    <w:rsid w:val="00A57108"/>
    <w:rPr>
      <w:b/>
      <w:bCs/>
    </w:rPr>
  </w:style>
  <w:style w:type="character" w:styleId="FollowedHyperlink">
    <w:name w:val="FollowedHyperlink"/>
    <w:basedOn w:val="DefaultParagraphFont"/>
    <w:semiHidden/>
    <w:unhideWhenUsed/>
    <w:rsid w:val="001A72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976806">
      <w:bodyDiv w:val="1"/>
      <w:marLeft w:val="0"/>
      <w:marRight w:val="0"/>
      <w:marTop w:val="0"/>
      <w:marBottom w:val="0"/>
      <w:divBdr>
        <w:top w:val="none" w:sz="0" w:space="0" w:color="auto"/>
        <w:left w:val="none" w:sz="0" w:space="0" w:color="auto"/>
        <w:bottom w:val="none" w:sz="0" w:space="0" w:color="auto"/>
        <w:right w:val="none" w:sz="0" w:space="0" w:color="auto"/>
      </w:divBdr>
    </w:div>
    <w:div w:id="84937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news.release/pdf/ece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4967143e-3350-4318-8b8c-f9b56d178eaa"/>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314E4E3A-A2C6-4C08-A2D7-D682BB3C7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4DBF0-FAB3-4076-845B-1A358E5E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3283</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21959</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SYSTEM</cp:lastModifiedBy>
  <cp:revision>2</cp:revision>
  <cp:lastPrinted>2010-10-14T13:41:00Z</cp:lastPrinted>
  <dcterms:created xsi:type="dcterms:W3CDTF">2017-09-15T15:19:00Z</dcterms:created>
  <dcterms:modified xsi:type="dcterms:W3CDTF">2017-09-15T15:19:00Z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