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AE9DB" w14:textId="77777777" w:rsidR="004C7516" w:rsidRDefault="00F92ACC" w:rsidP="00EF7D00">
      <w:pPr>
        <w:pStyle w:val="NormalWeb"/>
        <w:tabs>
          <w:tab w:val="left" w:pos="360"/>
          <w:tab w:val="left" w:pos="720"/>
          <w:tab w:val="left" w:pos="1080"/>
          <w:tab w:val="left" w:pos="1440"/>
        </w:tabs>
        <w:spacing w:before="0" w:beforeAutospacing="0" w:after="0" w:afterAutospacing="0" w:line="276" w:lineRule="auto"/>
        <w:jc w:val="center"/>
        <w:rPr>
          <w:u w:val="single"/>
        </w:rPr>
      </w:pPr>
      <w:bookmarkStart w:id="0" w:name="cs31d"/>
      <w:bookmarkStart w:id="1" w:name="_GoBack"/>
      <w:bookmarkEnd w:id="1"/>
      <w:r w:rsidRPr="00EF7D00">
        <w:rPr>
          <w:u w:val="single"/>
        </w:rPr>
        <w:t>SUPPORTING STATEMENT</w:t>
      </w:r>
    </w:p>
    <w:p w14:paraId="2F3B490D" w14:textId="77777777" w:rsidR="00C07B93" w:rsidRPr="00EF7D00" w:rsidRDefault="00C07B93" w:rsidP="00EF7D00">
      <w:pPr>
        <w:pStyle w:val="NormalWeb"/>
        <w:tabs>
          <w:tab w:val="left" w:pos="360"/>
          <w:tab w:val="left" w:pos="720"/>
          <w:tab w:val="left" w:pos="1080"/>
          <w:tab w:val="left" w:pos="1440"/>
        </w:tabs>
        <w:spacing w:before="0" w:beforeAutospacing="0" w:after="0" w:afterAutospacing="0" w:line="276" w:lineRule="auto"/>
        <w:jc w:val="center"/>
        <w:rPr>
          <w:u w:val="single"/>
        </w:rPr>
      </w:pPr>
    </w:p>
    <w:p w14:paraId="16FA4FA7" w14:textId="77777777" w:rsidR="00E344B9" w:rsidRPr="00EF7D00" w:rsidRDefault="00F32885" w:rsidP="00EF7D00">
      <w:pPr>
        <w:pStyle w:val="NormalWeb"/>
        <w:tabs>
          <w:tab w:val="left" w:pos="360"/>
          <w:tab w:val="left" w:pos="720"/>
          <w:tab w:val="left" w:pos="1080"/>
          <w:tab w:val="left" w:pos="1440"/>
        </w:tabs>
        <w:spacing w:before="0" w:beforeAutospacing="0" w:after="0" w:afterAutospacing="0" w:line="276" w:lineRule="auto"/>
        <w:jc w:val="center"/>
        <w:rPr>
          <w:u w:val="single"/>
        </w:rPr>
      </w:pPr>
      <w:r w:rsidRPr="00EF7D00">
        <w:rPr>
          <w:u w:val="single"/>
        </w:rPr>
        <w:t>OMB Control Number</w:t>
      </w:r>
      <w:r w:rsidR="00E344B9" w:rsidRPr="00EF7D00">
        <w:rPr>
          <w:u w:val="single"/>
        </w:rPr>
        <w:t xml:space="preserve"> 0704-0272</w:t>
      </w:r>
    </w:p>
    <w:p w14:paraId="71B457B1" w14:textId="295DBC8E" w:rsidR="00D6044B" w:rsidRPr="00EF7D00" w:rsidRDefault="005F4116" w:rsidP="00EF7D00">
      <w:pPr>
        <w:pStyle w:val="NormalWeb"/>
        <w:tabs>
          <w:tab w:val="left" w:pos="360"/>
          <w:tab w:val="left" w:pos="720"/>
          <w:tab w:val="left" w:pos="1080"/>
          <w:tab w:val="left" w:pos="1440"/>
        </w:tabs>
        <w:spacing w:before="0" w:beforeAutospacing="0" w:after="0" w:afterAutospacing="0"/>
        <w:jc w:val="center"/>
        <w:rPr>
          <w:u w:val="single"/>
        </w:rPr>
      </w:pPr>
      <w:r w:rsidRPr="00EF7D00">
        <w:rPr>
          <w:u w:val="single"/>
        </w:rPr>
        <w:t xml:space="preserve">Defense Federal Acquisition Regulation Supplement (DFARS) Part 223, </w:t>
      </w:r>
    </w:p>
    <w:p w14:paraId="08D33325" w14:textId="0250CA17" w:rsidR="005F4116" w:rsidRPr="00EF7D00" w:rsidRDefault="005F4116" w:rsidP="00EF7D00">
      <w:pPr>
        <w:pStyle w:val="NormalWeb"/>
        <w:tabs>
          <w:tab w:val="left" w:pos="360"/>
          <w:tab w:val="left" w:pos="720"/>
          <w:tab w:val="left" w:pos="1080"/>
          <w:tab w:val="left" w:pos="1440"/>
        </w:tabs>
        <w:spacing w:before="0" w:beforeAutospacing="0" w:after="0" w:afterAutospacing="0"/>
        <w:jc w:val="center"/>
        <w:rPr>
          <w:u w:val="single"/>
        </w:rPr>
      </w:pPr>
      <w:r w:rsidRPr="00EF7D00">
        <w:rPr>
          <w:u w:val="single"/>
        </w:rPr>
        <w:t>Occupational Safety and Drug-Free Work</w:t>
      </w:r>
      <w:r w:rsidR="002D54B0" w:rsidRPr="00EF7D00">
        <w:rPr>
          <w:u w:val="single"/>
        </w:rPr>
        <w:t xml:space="preserve"> F</w:t>
      </w:r>
      <w:r w:rsidRPr="00EF7D00">
        <w:rPr>
          <w:u w:val="single"/>
        </w:rPr>
        <w:t>orce and related clauses in DFARS 252.223</w:t>
      </w:r>
    </w:p>
    <w:p w14:paraId="65CB653E" w14:textId="77777777" w:rsidR="00D6044B" w:rsidRPr="00EF7D00" w:rsidRDefault="00D6044B" w:rsidP="00EF7D00">
      <w:pPr>
        <w:pStyle w:val="NormalWeb"/>
        <w:tabs>
          <w:tab w:val="left" w:pos="360"/>
          <w:tab w:val="left" w:pos="720"/>
          <w:tab w:val="left" w:pos="1080"/>
          <w:tab w:val="left" w:pos="1440"/>
        </w:tabs>
        <w:spacing w:before="0" w:beforeAutospacing="0" w:after="0" w:afterAutospacing="0"/>
        <w:jc w:val="center"/>
        <w:rPr>
          <w:u w:val="single"/>
        </w:rPr>
      </w:pPr>
    </w:p>
    <w:p w14:paraId="42F75B91" w14:textId="1F78C346" w:rsidR="005E0A0F" w:rsidRPr="00EF7D00" w:rsidRDefault="005E0A0F" w:rsidP="00EF7D00">
      <w:pPr>
        <w:pStyle w:val="NormalWeb"/>
        <w:tabs>
          <w:tab w:val="left" w:pos="360"/>
          <w:tab w:val="left" w:pos="720"/>
          <w:tab w:val="left" w:pos="1080"/>
          <w:tab w:val="left" w:pos="1440"/>
        </w:tabs>
        <w:spacing w:before="0" w:beforeAutospacing="0" w:after="0" w:afterAutospacing="0"/>
        <w:rPr>
          <w:u w:val="single"/>
        </w:rPr>
      </w:pPr>
      <w:r w:rsidRPr="00EF7D00">
        <w:t>A.</w:t>
      </w:r>
      <w:r w:rsidR="005F4116" w:rsidRPr="00EF7D00">
        <w:t xml:space="preserve"> </w:t>
      </w:r>
      <w:r w:rsidRPr="00EF7D00">
        <w:t xml:space="preserve"> </w:t>
      </w:r>
      <w:r w:rsidRPr="00EF7D00">
        <w:rPr>
          <w:u w:val="single"/>
        </w:rPr>
        <w:t>JUSTIFICATION</w:t>
      </w:r>
    </w:p>
    <w:p w14:paraId="26809248" w14:textId="77777777" w:rsidR="00BE7FA4" w:rsidRPr="00EF7D00" w:rsidRDefault="00BE7FA4" w:rsidP="00EF7D00">
      <w:pPr>
        <w:pStyle w:val="NormalWeb"/>
        <w:tabs>
          <w:tab w:val="left" w:pos="360"/>
          <w:tab w:val="left" w:pos="720"/>
          <w:tab w:val="left" w:pos="1080"/>
          <w:tab w:val="left" w:pos="1440"/>
        </w:tabs>
        <w:spacing w:before="0" w:beforeAutospacing="0" w:after="0" w:afterAutospacing="0"/>
      </w:pPr>
    </w:p>
    <w:p w14:paraId="2D78AE5F" w14:textId="77777777" w:rsidR="005E0A0F" w:rsidRPr="00EF7D00" w:rsidRDefault="005E0A0F" w:rsidP="00EF7D00">
      <w:pPr>
        <w:pStyle w:val="NormalWeb"/>
        <w:numPr>
          <w:ilvl w:val="0"/>
          <w:numId w:val="3"/>
        </w:numPr>
        <w:tabs>
          <w:tab w:val="left" w:pos="360"/>
          <w:tab w:val="left" w:pos="720"/>
          <w:tab w:val="left" w:pos="1080"/>
          <w:tab w:val="left" w:pos="1440"/>
        </w:tabs>
        <w:spacing w:before="0" w:beforeAutospacing="0" w:after="0" w:afterAutospacing="0"/>
        <w:ind w:left="360"/>
        <w:rPr>
          <w:u w:val="single"/>
        </w:rPr>
      </w:pPr>
      <w:bookmarkStart w:id="2" w:name="cp432"/>
      <w:bookmarkEnd w:id="0"/>
      <w:r w:rsidRPr="00EF7D00">
        <w:rPr>
          <w:u w:val="single"/>
        </w:rPr>
        <w:t>Need for the Information Collection</w:t>
      </w:r>
    </w:p>
    <w:p w14:paraId="09C640AA" w14:textId="77777777" w:rsidR="00EA3C78" w:rsidRPr="00EF7D00" w:rsidRDefault="00EA3C78" w:rsidP="00EF7D00">
      <w:pPr>
        <w:pStyle w:val="NormalWeb"/>
        <w:tabs>
          <w:tab w:val="left" w:pos="360"/>
          <w:tab w:val="left" w:pos="720"/>
          <w:tab w:val="left" w:pos="1080"/>
          <w:tab w:val="left" w:pos="1440"/>
        </w:tabs>
        <w:spacing w:before="0" w:beforeAutospacing="0" w:after="0" w:afterAutospacing="0"/>
      </w:pPr>
    </w:p>
    <w:bookmarkEnd w:id="2"/>
    <w:p w14:paraId="15AB7E8B" w14:textId="2ADA44D8" w:rsidR="003301CE" w:rsidRPr="00EF7D00" w:rsidRDefault="00AC5BD4" w:rsidP="00EF7D00">
      <w:pPr>
        <w:tabs>
          <w:tab w:val="left" w:pos="360"/>
        </w:tabs>
      </w:pPr>
      <w:r w:rsidRPr="00EF7D00">
        <w:tab/>
      </w:r>
      <w:r w:rsidR="003301CE" w:rsidRPr="00EF7D00">
        <w:t>This information collection requirement covers the Defense Federal Acquisition Regulation Supplement (DFARS) part 223</w:t>
      </w:r>
      <w:r w:rsidR="00B47974" w:rsidRPr="00EF7D00">
        <w:t>, subpart 223.3, Hazardou</w:t>
      </w:r>
      <w:r w:rsidR="004429A5" w:rsidRPr="00EF7D00">
        <w:t>s</w:t>
      </w:r>
      <w:r w:rsidR="00B47974" w:rsidRPr="00EF7D00">
        <w:t xml:space="preserve"> Material Identification and Material Safety Data</w:t>
      </w:r>
      <w:r w:rsidR="00A37628" w:rsidRPr="00EF7D00">
        <w:t>,</w:t>
      </w:r>
      <w:r w:rsidR="00B47974" w:rsidRPr="00EF7D00">
        <w:t xml:space="preserve"> </w:t>
      </w:r>
      <w:r w:rsidR="004D60A9" w:rsidRPr="00EF7D00">
        <w:t xml:space="preserve">section 223.570, Drug-free Work Force, </w:t>
      </w:r>
      <w:r w:rsidR="00B47974" w:rsidRPr="00EF7D00">
        <w:t>and subpart 223</w:t>
      </w:r>
      <w:r w:rsidR="00F940F7" w:rsidRPr="00EF7D00">
        <w:t>.</w:t>
      </w:r>
      <w:r w:rsidR="00B47974" w:rsidRPr="00EF7D00">
        <w:t>72, Safeguarding Sensitive Conventional Arms, Ammunition, and Explosives</w:t>
      </w:r>
      <w:r w:rsidR="004D60A9" w:rsidRPr="00EF7D00">
        <w:t>,</w:t>
      </w:r>
      <w:r w:rsidR="00B47974" w:rsidRPr="00EF7D00">
        <w:t xml:space="preserve"> </w:t>
      </w:r>
      <w:r w:rsidR="009E5CC8" w:rsidRPr="00EF7D00">
        <w:t>a</w:t>
      </w:r>
      <w:r w:rsidR="003301CE" w:rsidRPr="00EF7D00">
        <w:t>nd related clauses at 252.223.</w:t>
      </w:r>
      <w:r w:rsidR="00F940F7" w:rsidRPr="00EF7D00">
        <w:t xml:space="preserve"> </w:t>
      </w:r>
      <w:r w:rsidR="003301CE" w:rsidRPr="00EF7D00">
        <w:t xml:space="preserve"> The information collection requirement pertains to </w:t>
      </w:r>
      <w:r w:rsidR="000A68E9" w:rsidRPr="00EF7D00">
        <w:t>the burdens associated with the required</w:t>
      </w:r>
      <w:r w:rsidR="003301CE" w:rsidRPr="00EF7D00">
        <w:t xml:space="preserve"> reporting of information that an offeror or contractor must submit to the Department of Defense (DoD) in response to the following solicitation provisions and contract clauses in DFARS 252.223:</w:t>
      </w:r>
    </w:p>
    <w:p w14:paraId="6F226A98" w14:textId="77777777" w:rsidR="003301CE" w:rsidRPr="00EF7D00" w:rsidRDefault="003301CE" w:rsidP="00EF7D00">
      <w:pPr>
        <w:tabs>
          <w:tab w:val="left" w:pos="360"/>
          <w:tab w:val="left" w:pos="720"/>
        </w:tabs>
      </w:pPr>
    </w:p>
    <w:p w14:paraId="166029BB" w14:textId="23367AD5" w:rsidR="003301CE" w:rsidRPr="00EF7D00" w:rsidRDefault="003301CE" w:rsidP="00EF7D00">
      <w:pPr>
        <w:tabs>
          <w:tab w:val="left" w:pos="360"/>
          <w:tab w:val="left" w:pos="720"/>
        </w:tabs>
      </w:pPr>
      <w:r w:rsidRPr="00EF7D00">
        <w:tab/>
        <w:t>a.  DFARS 252.223-7001, Hazard Warning Labels</w:t>
      </w:r>
      <w:r w:rsidR="00F1301E" w:rsidRPr="00EF7D00">
        <w:t>.  Paragraph (c) of the clause requires all offerors responding to a solicitation, to provide a list of the hazardous material for which the hazard warning label will conform to one of the following statutes</w:t>
      </w:r>
      <w:r w:rsidR="00F73130" w:rsidRPr="00EF7D00">
        <w:t xml:space="preserve"> rather than the Hazard Communication Standard (29 CFR 1910.1200)</w:t>
      </w:r>
      <w:r w:rsidR="00F1301E" w:rsidRPr="00EF7D00">
        <w:t>—</w:t>
      </w:r>
    </w:p>
    <w:p w14:paraId="7C130BAD" w14:textId="77777777" w:rsidR="00F73130" w:rsidRPr="00EF7D00" w:rsidRDefault="00F73130" w:rsidP="00EF7D00">
      <w:pPr>
        <w:tabs>
          <w:tab w:val="left" w:pos="360"/>
          <w:tab w:val="left" w:pos="720"/>
        </w:tabs>
      </w:pPr>
    </w:p>
    <w:p w14:paraId="2FD00AB6" w14:textId="0073B17E" w:rsidR="00F1301E" w:rsidRPr="00EF7D00" w:rsidRDefault="00F1301E" w:rsidP="00EF7D00">
      <w:pPr>
        <w:tabs>
          <w:tab w:val="left" w:pos="360"/>
          <w:tab w:val="left" w:pos="720"/>
        </w:tabs>
      </w:pPr>
      <w:r w:rsidRPr="00EF7D00">
        <w:tab/>
      </w:r>
      <w:r w:rsidRPr="00EF7D00">
        <w:tab/>
      </w:r>
      <w:r w:rsidR="00C07B93">
        <w:t xml:space="preserve">i. </w:t>
      </w:r>
      <w:r w:rsidRPr="00EF7D00">
        <w:t xml:space="preserve"> Federal Insecticide, Fungicide, and Rodenticide Act;</w:t>
      </w:r>
    </w:p>
    <w:p w14:paraId="780DD955" w14:textId="77777777" w:rsidR="00F73130" w:rsidRPr="00EF7D00" w:rsidRDefault="00F73130" w:rsidP="00EF7D00">
      <w:pPr>
        <w:tabs>
          <w:tab w:val="left" w:pos="360"/>
          <w:tab w:val="left" w:pos="720"/>
        </w:tabs>
      </w:pPr>
    </w:p>
    <w:p w14:paraId="146A50A6" w14:textId="716CE34C" w:rsidR="00F1301E" w:rsidRPr="00EF7D00" w:rsidRDefault="00F1301E" w:rsidP="00EF7D00">
      <w:pPr>
        <w:tabs>
          <w:tab w:val="left" w:pos="360"/>
          <w:tab w:val="left" w:pos="720"/>
        </w:tabs>
      </w:pPr>
      <w:r w:rsidRPr="00EF7D00">
        <w:tab/>
      </w:r>
      <w:r w:rsidRPr="00EF7D00">
        <w:tab/>
      </w:r>
      <w:r w:rsidR="00C07B93">
        <w:t>ii.</w:t>
      </w:r>
      <w:r w:rsidRPr="00EF7D00">
        <w:t xml:space="preserve"> </w:t>
      </w:r>
      <w:r w:rsidR="00C07B93">
        <w:t xml:space="preserve"> </w:t>
      </w:r>
      <w:r w:rsidRPr="00EF7D00">
        <w:t>Federal Food, Drug, and Cosmetics Act;</w:t>
      </w:r>
    </w:p>
    <w:p w14:paraId="608D7AD3" w14:textId="77777777" w:rsidR="00F73130" w:rsidRPr="00EF7D00" w:rsidRDefault="00F73130" w:rsidP="00EF7D00">
      <w:pPr>
        <w:tabs>
          <w:tab w:val="left" w:pos="360"/>
          <w:tab w:val="left" w:pos="720"/>
        </w:tabs>
      </w:pPr>
    </w:p>
    <w:p w14:paraId="3DCC432C" w14:textId="7958C11C" w:rsidR="00F73130" w:rsidRPr="00EF7D00" w:rsidRDefault="00F73130" w:rsidP="00EF7D00">
      <w:pPr>
        <w:tabs>
          <w:tab w:val="left" w:pos="360"/>
          <w:tab w:val="left" w:pos="720"/>
        </w:tabs>
      </w:pPr>
      <w:r w:rsidRPr="00EF7D00">
        <w:tab/>
      </w:r>
      <w:r w:rsidRPr="00EF7D00">
        <w:tab/>
      </w:r>
      <w:r w:rsidR="00C07B93">
        <w:t>iii.</w:t>
      </w:r>
      <w:r w:rsidRPr="00EF7D00">
        <w:t xml:space="preserve"> </w:t>
      </w:r>
      <w:r w:rsidR="00C07B93">
        <w:t xml:space="preserve"> </w:t>
      </w:r>
      <w:r w:rsidRPr="00EF7D00">
        <w:t>Consumer Product Safety Act;</w:t>
      </w:r>
    </w:p>
    <w:p w14:paraId="2EADCB3E" w14:textId="77777777" w:rsidR="00F73130" w:rsidRPr="00EF7D00" w:rsidRDefault="00F73130" w:rsidP="00EF7D00">
      <w:pPr>
        <w:tabs>
          <w:tab w:val="left" w:pos="360"/>
          <w:tab w:val="left" w:pos="720"/>
        </w:tabs>
      </w:pPr>
    </w:p>
    <w:p w14:paraId="0D03D464" w14:textId="5CF54721" w:rsidR="00F73130" w:rsidRPr="00EF7D00" w:rsidRDefault="00F73130" w:rsidP="00EF7D00">
      <w:pPr>
        <w:tabs>
          <w:tab w:val="left" w:pos="360"/>
          <w:tab w:val="left" w:pos="720"/>
        </w:tabs>
      </w:pPr>
      <w:r w:rsidRPr="00EF7D00">
        <w:tab/>
      </w:r>
      <w:r w:rsidRPr="00EF7D00">
        <w:tab/>
      </w:r>
      <w:r w:rsidR="00C07B93">
        <w:t xml:space="preserve">iv. </w:t>
      </w:r>
      <w:r w:rsidRPr="00EF7D00">
        <w:t xml:space="preserve"> Federal Hazardous Substances Act; or</w:t>
      </w:r>
    </w:p>
    <w:p w14:paraId="5C5AD427" w14:textId="77777777" w:rsidR="00F73130" w:rsidRPr="00EF7D00" w:rsidRDefault="00F73130" w:rsidP="00EF7D00">
      <w:pPr>
        <w:tabs>
          <w:tab w:val="left" w:pos="360"/>
          <w:tab w:val="left" w:pos="720"/>
        </w:tabs>
      </w:pPr>
    </w:p>
    <w:p w14:paraId="4AA4E75C" w14:textId="48B6B5D9" w:rsidR="00F73130" w:rsidRPr="00EF7D00" w:rsidRDefault="00F73130" w:rsidP="00EF7D00">
      <w:pPr>
        <w:tabs>
          <w:tab w:val="left" w:pos="360"/>
          <w:tab w:val="left" w:pos="720"/>
        </w:tabs>
      </w:pPr>
      <w:r w:rsidRPr="00EF7D00">
        <w:tab/>
      </w:r>
      <w:r w:rsidRPr="00EF7D00">
        <w:tab/>
      </w:r>
      <w:r w:rsidR="00C07B93">
        <w:t xml:space="preserve">v. </w:t>
      </w:r>
      <w:r w:rsidRPr="00EF7D00">
        <w:t xml:space="preserve"> Federal Alcohol Administration Act.</w:t>
      </w:r>
    </w:p>
    <w:p w14:paraId="7E407E2B" w14:textId="77777777" w:rsidR="00F1301E" w:rsidRPr="00EF7D00" w:rsidRDefault="00F1301E" w:rsidP="00EF7D00">
      <w:pPr>
        <w:tabs>
          <w:tab w:val="left" w:pos="360"/>
          <w:tab w:val="left" w:pos="720"/>
        </w:tabs>
      </w:pPr>
    </w:p>
    <w:p w14:paraId="2ADDF6EC" w14:textId="7499C216" w:rsidR="003301CE" w:rsidRPr="00EF7D00" w:rsidRDefault="003301CE" w:rsidP="00EF7D00">
      <w:pPr>
        <w:tabs>
          <w:tab w:val="left" w:pos="360"/>
          <w:tab w:val="left" w:pos="720"/>
        </w:tabs>
      </w:pPr>
      <w:r w:rsidRPr="00EF7D00">
        <w:tab/>
        <w:t>b.  DFARS 252.223-7002, Safety Precautions for Ammunition and Explosives</w:t>
      </w:r>
      <w:r w:rsidR="00F73130" w:rsidRPr="00EF7D00">
        <w:t>.</w:t>
      </w:r>
    </w:p>
    <w:p w14:paraId="49B7BB41" w14:textId="77777777" w:rsidR="00F73130" w:rsidRPr="00EF7D00" w:rsidRDefault="00F73130" w:rsidP="00EF7D00">
      <w:pPr>
        <w:tabs>
          <w:tab w:val="left" w:pos="360"/>
          <w:tab w:val="left" w:pos="720"/>
        </w:tabs>
      </w:pPr>
    </w:p>
    <w:p w14:paraId="289790CB" w14:textId="3C96BC10" w:rsidR="00F73130" w:rsidRPr="00EF7D00" w:rsidRDefault="003E20CC" w:rsidP="00EF7D00">
      <w:pPr>
        <w:tabs>
          <w:tab w:val="left" w:pos="360"/>
          <w:tab w:val="left" w:pos="720"/>
        </w:tabs>
      </w:pPr>
      <w:r w:rsidRPr="00EF7D00">
        <w:tab/>
      </w:r>
      <w:r w:rsidRPr="00EF7D00">
        <w:tab/>
      </w:r>
      <w:r w:rsidR="00C07B93">
        <w:t xml:space="preserve">i. </w:t>
      </w:r>
      <w:r w:rsidRPr="00EF7D00">
        <w:t xml:space="preserve"> </w:t>
      </w:r>
      <w:r w:rsidR="00F73130" w:rsidRPr="00EF7D00">
        <w:t xml:space="preserve">Paragraph (c) requires the contractor to inform the contracting officer of the corrective actions </w:t>
      </w:r>
      <w:r w:rsidR="00255B64" w:rsidRPr="00EF7D00">
        <w:t xml:space="preserve">it has taken </w:t>
      </w:r>
      <w:r w:rsidR="00F73130" w:rsidRPr="00EF7D00">
        <w:t>within 30 days from a notification from the contracting officer of a noncompliance with DoD 4145.26-M, DoD Contractor’s Safety Manual for Ammunition and Explosives.</w:t>
      </w:r>
    </w:p>
    <w:p w14:paraId="38A8F216" w14:textId="77777777" w:rsidR="00C568E3" w:rsidRPr="00EF7D00" w:rsidRDefault="00C568E3" w:rsidP="00EF7D00">
      <w:pPr>
        <w:tabs>
          <w:tab w:val="left" w:pos="360"/>
          <w:tab w:val="left" w:pos="720"/>
        </w:tabs>
      </w:pPr>
    </w:p>
    <w:p w14:paraId="1040345B" w14:textId="7DB981AF" w:rsidR="00F73130" w:rsidRPr="00EF7D00" w:rsidRDefault="003E20CC" w:rsidP="00EF7D00">
      <w:pPr>
        <w:tabs>
          <w:tab w:val="left" w:pos="360"/>
          <w:tab w:val="left" w:pos="720"/>
        </w:tabs>
      </w:pPr>
      <w:r w:rsidRPr="00EF7D00">
        <w:tab/>
      </w:r>
      <w:r w:rsidRPr="00EF7D00">
        <w:tab/>
      </w:r>
      <w:r w:rsidR="00C07B93">
        <w:t>ii.</w:t>
      </w:r>
      <w:r w:rsidRPr="00EF7D00">
        <w:t xml:space="preserve">  </w:t>
      </w:r>
      <w:r w:rsidR="00F73130" w:rsidRPr="00EF7D00">
        <w:t>Paragraph (d) requires the contractor to notify and submit a written report to the contractor</w:t>
      </w:r>
      <w:r w:rsidR="00BA06A8" w:rsidRPr="00EF7D00">
        <w:t xml:space="preserve"> if a mishap involving ammunition or explosives occurs.</w:t>
      </w:r>
    </w:p>
    <w:p w14:paraId="520AE68D" w14:textId="77777777" w:rsidR="00C568E3" w:rsidRPr="00EF7D00" w:rsidRDefault="00C568E3" w:rsidP="00EF7D00">
      <w:pPr>
        <w:tabs>
          <w:tab w:val="left" w:pos="360"/>
          <w:tab w:val="left" w:pos="720"/>
        </w:tabs>
      </w:pPr>
    </w:p>
    <w:p w14:paraId="3254A913" w14:textId="50B1088A" w:rsidR="00BA06A8" w:rsidRPr="00EF7D00" w:rsidRDefault="003E20CC" w:rsidP="00EF7D00">
      <w:pPr>
        <w:tabs>
          <w:tab w:val="left" w:pos="360"/>
          <w:tab w:val="left" w:pos="720"/>
        </w:tabs>
      </w:pPr>
      <w:r w:rsidRPr="00EF7D00">
        <w:tab/>
      </w:r>
      <w:r w:rsidRPr="00EF7D00">
        <w:tab/>
      </w:r>
      <w:r w:rsidR="00C07B93">
        <w:t>iii.</w:t>
      </w:r>
      <w:r w:rsidRPr="00EF7D00">
        <w:t xml:space="preserve">  </w:t>
      </w:r>
      <w:r w:rsidR="00BA06A8" w:rsidRPr="00EF7D00">
        <w:t xml:space="preserve">Paragraph (g)(4) </w:t>
      </w:r>
      <w:r w:rsidR="00F940F7" w:rsidRPr="00EF7D00">
        <w:t>r</w:t>
      </w:r>
      <w:r w:rsidR="00BA06A8" w:rsidRPr="00EF7D00">
        <w:t>equires the contractor to notify the contracting officer before issuing any subcontract involving ammunition or explosives.</w:t>
      </w:r>
    </w:p>
    <w:p w14:paraId="205684F2" w14:textId="77777777" w:rsidR="003301CE" w:rsidRPr="00EF7D00" w:rsidRDefault="003301CE" w:rsidP="00EF7D00">
      <w:pPr>
        <w:tabs>
          <w:tab w:val="left" w:pos="360"/>
          <w:tab w:val="left" w:pos="720"/>
        </w:tabs>
      </w:pPr>
    </w:p>
    <w:p w14:paraId="3236EDCA" w14:textId="21C90406" w:rsidR="003301CE" w:rsidRPr="00EF7D00" w:rsidRDefault="003301CE" w:rsidP="00EF7D00">
      <w:pPr>
        <w:tabs>
          <w:tab w:val="left" w:pos="360"/>
          <w:tab w:val="left" w:pos="720"/>
        </w:tabs>
      </w:pPr>
      <w:r w:rsidRPr="00EF7D00">
        <w:lastRenderedPageBreak/>
        <w:tab/>
        <w:t>c.  DFARS 252.223-7003, Change in Place of Performance—Ammunition and Explosives</w:t>
      </w:r>
      <w:r w:rsidR="00BA06A8" w:rsidRPr="00EF7D00">
        <w:t>.</w:t>
      </w:r>
    </w:p>
    <w:p w14:paraId="37AC1167" w14:textId="77777777" w:rsidR="00BA06A8" w:rsidRPr="00EF7D00" w:rsidRDefault="00BA06A8" w:rsidP="00EF7D00">
      <w:pPr>
        <w:tabs>
          <w:tab w:val="left" w:pos="360"/>
          <w:tab w:val="left" w:pos="720"/>
        </w:tabs>
      </w:pPr>
    </w:p>
    <w:p w14:paraId="5F24713C" w14:textId="77E9A2C3" w:rsidR="00BA06A8" w:rsidRPr="00EF7D00" w:rsidRDefault="003E20CC" w:rsidP="00EF7D00">
      <w:pPr>
        <w:tabs>
          <w:tab w:val="left" w:pos="360"/>
          <w:tab w:val="left" w:pos="720"/>
        </w:tabs>
      </w:pPr>
      <w:r w:rsidRPr="00EF7D00">
        <w:tab/>
      </w:r>
      <w:r w:rsidRPr="00EF7D00">
        <w:tab/>
      </w:r>
      <w:r w:rsidR="00C07B93">
        <w:t xml:space="preserve">i. </w:t>
      </w:r>
      <w:r w:rsidRPr="00EF7D00">
        <w:t xml:space="preserve"> </w:t>
      </w:r>
      <w:r w:rsidR="00BA06A8" w:rsidRPr="00EF7D00">
        <w:t>Paragraph (a) requires the offeror to identify the place of performance of all ammunition and explosives work described in 252.223-7002.</w:t>
      </w:r>
    </w:p>
    <w:p w14:paraId="481A3D86" w14:textId="77777777" w:rsidR="00C568E3" w:rsidRPr="00EF7D00" w:rsidRDefault="00C568E3" w:rsidP="00EF7D00">
      <w:pPr>
        <w:tabs>
          <w:tab w:val="left" w:pos="360"/>
          <w:tab w:val="left" w:pos="720"/>
        </w:tabs>
      </w:pPr>
    </w:p>
    <w:p w14:paraId="6C099072" w14:textId="591608DA" w:rsidR="00BA06A8" w:rsidRPr="00EF7D00" w:rsidRDefault="003E20CC" w:rsidP="00EF7D00">
      <w:pPr>
        <w:tabs>
          <w:tab w:val="left" w:pos="360"/>
          <w:tab w:val="left" w:pos="720"/>
        </w:tabs>
      </w:pPr>
      <w:r w:rsidRPr="00EF7D00">
        <w:tab/>
      </w:r>
      <w:r w:rsidRPr="00EF7D00">
        <w:tab/>
      </w:r>
      <w:r w:rsidR="00C07B93">
        <w:t>ii.</w:t>
      </w:r>
      <w:r w:rsidRPr="00EF7D00">
        <w:t xml:space="preserve">  </w:t>
      </w:r>
      <w:r w:rsidR="00BA06A8" w:rsidRPr="00EF7D00">
        <w:t>Paragraph</w:t>
      </w:r>
      <w:r w:rsidR="00422690" w:rsidRPr="00EF7D00">
        <w:t>s</w:t>
      </w:r>
      <w:r w:rsidR="008B37B5" w:rsidRPr="00EF7D00">
        <w:t xml:space="preserve"> (b) </w:t>
      </w:r>
      <w:r w:rsidR="00BA06A8" w:rsidRPr="00EF7D00">
        <w:t xml:space="preserve">and (c) require the contractor to </w:t>
      </w:r>
      <w:r w:rsidR="00422690" w:rsidRPr="00EF7D00">
        <w:t>inform the contracting officer of any change in the place of performance.</w:t>
      </w:r>
    </w:p>
    <w:p w14:paraId="004D28DE" w14:textId="77777777" w:rsidR="003301CE" w:rsidRPr="00EF7D00" w:rsidRDefault="003301CE" w:rsidP="00EF7D00">
      <w:pPr>
        <w:tabs>
          <w:tab w:val="left" w:pos="360"/>
          <w:tab w:val="left" w:pos="720"/>
        </w:tabs>
      </w:pPr>
    </w:p>
    <w:p w14:paraId="2B256EE4" w14:textId="6D8A9FA3" w:rsidR="003301CE" w:rsidRPr="00EF7D00" w:rsidRDefault="003301CE" w:rsidP="00EF7D00">
      <w:pPr>
        <w:tabs>
          <w:tab w:val="left" w:pos="360"/>
          <w:tab w:val="left" w:pos="720"/>
        </w:tabs>
      </w:pPr>
      <w:r w:rsidRPr="00EF7D00">
        <w:tab/>
        <w:t>d.  DFARS 252.223-7007, Safeguarding Sensitive Conventional Arms, Ammunition, and Explosives</w:t>
      </w:r>
      <w:r w:rsidR="00F64C7E" w:rsidRPr="00EF7D00">
        <w:t>.</w:t>
      </w:r>
      <w:r w:rsidRPr="00EF7D00">
        <w:t xml:space="preserve"> </w:t>
      </w:r>
      <w:r w:rsidR="00422690" w:rsidRPr="00EF7D00">
        <w:t xml:space="preserve"> Paragraph (e) requires the contractor to notify the cognizant Defense Security Service</w:t>
      </w:r>
      <w:r w:rsidR="00F0159C" w:rsidRPr="00EF7D00">
        <w:t xml:space="preserve"> field office within 10 days </w:t>
      </w:r>
      <w:r w:rsidR="00255B64" w:rsidRPr="00EF7D00">
        <w:t>of</w:t>
      </w:r>
      <w:r w:rsidR="00F0159C" w:rsidRPr="00EF7D00">
        <w:t xml:space="preserve"> the award of a subcontract.</w:t>
      </w:r>
      <w:r w:rsidR="00422690" w:rsidRPr="00EF7D00">
        <w:t xml:space="preserve"> </w:t>
      </w:r>
    </w:p>
    <w:p w14:paraId="76E81697" w14:textId="77777777" w:rsidR="005F4116" w:rsidRPr="00EF7D00" w:rsidRDefault="005F4116" w:rsidP="00EF7D00">
      <w:pPr>
        <w:tabs>
          <w:tab w:val="left" w:pos="360"/>
          <w:tab w:val="left" w:pos="720"/>
        </w:tabs>
      </w:pPr>
    </w:p>
    <w:p w14:paraId="4255F891" w14:textId="3A0E0AEF" w:rsidR="005F4116" w:rsidRPr="00EF7D00" w:rsidRDefault="005F4116" w:rsidP="00EF7D00">
      <w:pPr>
        <w:tabs>
          <w:tab w:val="left" w:pos="360"/>
          <w:tab w:val="left" w:pos="720"/>
        </w:tabs>
      </w:pPr>
      <w:r w:rsidRPr="00EF7D00">
        <w:tab/>
        <w:t>e.  DFARS 252.223-7004, Drug-Free Work Force.  The clause requires that certain contractors maintain records necessary to demonstrate reasonable efforts to eliminate the unlawful use by contractor employees of controlled substances.  DoD does not regularly collect any informati</w:t>
      </w:r>
      <w:r w:rsidR="003D33A2">
        <w:t>on with regard to this clause</w:t>
      </w:r>
      <w:r w:rsidRPr="00EF7D00">
        <w:t>.  This information collection requirement—</w:t>
      </w:r>
    </w:p>
    <w:p w14:paraId="772DB91A" w14:textId="77777777" w:rsidR="005F4116" w:rsidRPr="00EF7D00" w:rsidRDefault="005F4116" w:rsidP="00EF7D00">
      <w:pPr>
        <w:tabs>
          <w:tab w:val="left" w:pos="360"/>
          <w:tab w:val="left" w:pos="720"/>
        </w:tabs>
      </w:pPr>
    </w:p>
    <w:p w14:paraId="3022FFE6" w14:textId="36490121" w:rsidR="005F4116" w:rsidRPr="00EF7D00" w:rsidRDefault="005F4116" w:rsidP="00EF7D00">
      <w:pPr>
        <w:tabs>
          <w:tab w:val="left" w:pos="360"/>
          <w:tab w:val="left" w:pos="720"/>
        </w:tabs>
      </w:pPr>
      <w:r w:rsidRPr="00EF7D00">
        <w:tab/>
      </w:r>
      <w:r w:rsidRPr="00EF7D00">
        <w:tab/>
      </w:r>
      <w:r w:rsidR="00C07B93">
        <w:t>i.</w:t>
      </w:r>
      <w:r w:rsidRPr="00EF7D00">
        <w:t xml:space="preserve">  Applies to contracts that involve contractor access to classified information;</w:t>
      </w:r>
    </w:p>
    <w:p w14:paraId="40B7879B" w14:textId="148D80DB" w:rsidR="005F4116" w:rsidRPr="00EF7D00" w:rsidRDefault="005F4116" w:rsidP="00EF7D00">
      <w:pPr>
        <w:tabs>
          <w:tab w:val="left" w:pos="360"/>
          <w:tab w:val="left" w:pos="720"/>
        </w:tabs>
      </w:pPr>
    </w:p>
    <w:p w14:paraId="3DFEE399" w14:textId="4AD16C1C" w:rsidR="005F4116" w:rsidRPr="00EF7D00" w:rsidRDefault="005F4116" w:rsidP="00EF7D00">
      <w:pPr>
        <w:tabs>
          <w:tab w:val="left" w:pos="360"/>
          <w:tab w:val="left" w:pos="720"/>
        </w:tabs>
      </w:pPr>
      <w:r w:rsidRPr="00EF7D00">
        <w:tab/>
      </w:r>
      <w:r w:rsidRPr="00EF7D00">
        <w:tab/>
      </w:r>
      <w:r w:rsidR="00C07B93">
        <w:t>ii</w:t>
      </w:r>
      <w:r w:rsidRPr="00EF7D00">
        <w:t>.  Applies to any other contract if the contracting officer determines that it is necessary for reasons of national  security, or to protect the health or safety of those using the  product, or those that may be affected by the performance of the contract; and,</w:t>
      </w:r>
    </w:p>
    <w:p w14:paraId="766E47EF" w14:textId="77777777" w:rsidR="005F4116" w:rsidRPr="00EF7D00" w:rsidRDefault="005F4116" w:rsidP="00EF7D00">
      <w:pPr>
        <w:tabs>
          <w:tab w:val="left" w:pos="360"/>
          <w:tab w:val="left" w:pos="720"/>
        </w:tabs>
      </w:pPr>
    </w:p>
    <w:p w14:paraId="10D1181D" w14:textId="29EBB119" w:rsidR="005F4116" w:rsidRPr="00EF7D00" w:rsidRDefault="005F4116" w:rsidP="00EF7D00">
      <w:pPr>
        <w:tabs>
          <w:tab w:val="left" w:pos="360"/>
          <w:tab w:val="left" w:pos="720"/>
        </w:tabs>
      </w:pPr>
      <w:r w:rsidRPr="00EF7D00">
        <w:tab/>
      </w:r>
      <w:r w:rsidRPr="00EF7D00">
        <w:tab/>
      </w:r>
      <w:r w:rsidR="00C07B93">
        <w:t>iii.</w:t>
      </w:r>
      <w:r w:rsidRPr="00EF7D00">
        <w:t xml:space="preserve">  Does not apply to contracts for commercial items, contracts performed outside of the United States, or when the value of the acquisition is below the simplified acquisition threshold.</w:t>
      </w:r>
    </w:p>
    <w:p w14:paraId="561BFB0B" w14:textId="77777777" w:rsidR="003301CE" w:rsidRPr="00EF7D00" w:rsidRDefault="003301CE" w:rsidP="00EF7D00">
      <w:pPr>
        <w:pStyle w:val="NormalWeb"/>
        <w:tabs>
          <w:tab w:val="left" w:pos="360"/>
          <w:tab w:val="left" w:pos="720"/>
          <w:tab w:val="left" w:pos="1080"/>
          <w:tab w:val="left" w:pos="1440"/>
        </w:tabs>
        <w:spacing w:before="0" w:beforeAutospacing="0" w:after="0" w:afterAutospacing="0"/>
      </w:pPr>
    </w:p>
    <w:p w14:paraId="0A7AB189" w14:textId="280F6732" w:rsidR="005E0A0F" w:rsidRPr="00EF7D00" w:rsidRDefault="005E0A0F" w:rsidP="00EF7D00">
      <w:pPr>
        <w:pStyle w:val="NormalWeb"/>
        <w:tabs>
          <w:tab w:val="left" w:pos="360"/>
          <w:tab w:val="left" w:pos="720"/>
          <w:tab w:val="left" w:pos="1080"/>
          <w:tab w:val="left" w:pos="1440"/>
        </w:tabs>
        <w:spacing w:before="0" w:beforeAutospacing="0" w:after="0" w:afterAutospacing="0"/>
        <w:rPr>
          <w:u w:val="single"/>
        </w:rPr>
      </w:pPr>
      <w:r w:rsidRPr="00EF7D00">
        <w:t>2.</w:t>
      </w:r>
      <w:r w:rsidR="00AC5BD4" w:rsidRPr="00EF7D00">
        <w:tab/>
      </w:r>
      <w:r w:rsidRPr="00EF7D00">
        <w:rPr>
          <w:u w:val="single"/>
        </w:rPr>
        <w:t>Use of the Information</w:t>
      </w:r>
    </w:p>
    <w:p w14:paraId="1FF994C3" w14:textId="77777777" w:rsidR="00EA3C78" w:rsidRPr="00EF7D00" w:rsidRDefault="00EA3C78" w:rsidP="00EF7D00">
      <w:pPr>
        <w:pStyle w:val="NormalWeb"/>
        <w:tabs>
          <w:tab w:val="left" w:pos="360"/>
          <w:tab w:val="left" w:pos="720"/>
          <w:tab w:val="left" w:pos="1080"/>
          <w:tab w:val="left" w:pos="1440"/>
        </w:tabs>
        <w:spacing w:before="0" w:beforeAutospacing="0" w:after="0" w:afterAutospacing="0"/>
      </w:pPr>
    </w:p>
    <w:p w14:paraId="44CCB4F6" w14:textId="3C9C6BEE" w:rsidR="00BE7FA4" w:rsidRPr="00EF7D00" w:rsidRDefault="00AC5BD4" w:rsidP="00EF7D00">
      <w:pPr>
        <w:pStyle w:val="NormalWeb"/>
        <w:tabs>
          <w:tab w:val="left" w:pos="360"/>
          <w:tab w:val="left" w:pos="720"/>
          <w:tab w:val="left" w:pos="1080"/>
          <w:tab w:val="left" w:pos="1440"/>
        </w:tabs>
        <w:spacing w:before="0" w:beforeAutospacing="0" w:after="0" w:afterAutospacing="0"/>
      </w:pPr>
      <w:r w:rsidRPr="00EF7D00">
        <w:tab/>
      </w:r>
      <w:r w:rsidR="00BE7FA4" w:rsidRPr="00EF7D00">
        <w:t>The information collected under clauses 252.223-7001, -7002, -7003,</w:t>
      </w:r>
      <w:r w:rsidR="004D60A9" w:rsidRPr="00EF7D00">
        <w:t xml:space="preserve"> and</w:t>
      </w:r>
      <w:r w:rsidR="00BE7FA4" w:rsidRPr="00EF7D00">
        <w:t xml:space="preserve"> -7007 is used by DoD contracting officers </w:t>
      </w:r>
      <w:r w:rsidR="004D60A9" w:rsidRPr="00EF7D00">
        <w:t>as discussed below.  In addition</w:t>
      </w:r>
      <w:r w:rsidR="004E3CD9">
        <w:t>,</w:t>
      </w:r>
      <w:r w:rsidR="004D60A9" w:rsidRPr="00EF7D00">
        <w:t xml:space="preserve"> 252.223-7004 requires contractors to keep records related to their drug-free work for</w:t>
      </w:r>
      <w:r w:rsidR="004E3CD9">
        <w:t>ce</w:t>
      </w:r>
      <w:r w:rsidR="004D60A9" w:rsidRPr="00EF7D00">
        <w:t xml:space="preserve"> program.</w:t>
      </w:r>
    </w:p>
    <w:p w14:paraId="7C471D13" w14:textId="77777777" w:rsidR="00BE7FA4" w:rsidRPr="00EF7D00" w:rsidRDefault="00BE7FA4" w:rsidP="00EF7D00">
      <w:pPr>
        <w:pStyle w:val="NormalWeb"/>
        <w:tabs>
          <w:tab w:val="left" w:pos="360"/>
          <w:tab w:val="left" w:pos="720"/>
          <w:tab w:val="left" w:pos="1080"/>
          <w:tab w:val="left" w:pos="1440"/>
        </w:tabs>
        <w:spacing w:before="0" w:beforeAutospacing="0" w:after="0" w:afterAutospacing="0"/>
      </w:pPr>
    </w:p>
    <w:p w14:paraId="4F336EB1" w14:textId="5B414B7F" w:rsidR="00BE7FA4" w:rsidRPr="00EF7D00" w:rsidRDefault="00BE7FA4" w:rsidP="00EF7D00">
      <w:pPr>
        <w:pStyle w:val="NormalWeb"/>
        <w:tabs>
          <w:tab w:val="left" w:pos="360"/>
          <w:tab w:val="left" w:pos="720"/>
          <w:tab w:val="left" w:pos="1080"/>
          <w:tab w:val="left" w:pos="1440"/>
        </w:tabs>
        <w:spacing w:before="0" w:beforeAutospacing="0" w:after="0" w:afterAutospacing="0"/>
      </w:pPr>
      <w:r w:rsidRPr="00EF7D00">
        <w:tab/>
        <w:t xml:space="preserve">a.  </w:t>
      </w:r>
      <w:r w:rsidR="006C0918" w:rsidRPr="00EF7D00">
        <w:t xml:space="preserve">252.223-7001: </w:t>
      </w:r>
      <w:r w:rsidR="00F940F7" w:rsidRPr="00EF7D00">
        <w:t xml:space="preserve"> </w:t>
      </w:r>
      <w:r w:rsidRPr="00EF7D00">
        <w:t>Verify compliance with requirements for labeling of hazardous material;</w:t>
      </w:r>
    </w:p>
    <w:p w14:paraId="032A61D5" w14:textId="77777777" w:rsidR="00BE7FA4" w:rsidRPr="00EF7D00" w:rsidRDefault="00BE7FA4" w:rsidP="00EF7D00">
      <w:pPr>
        <w:tabs>
          <w:tab w:val="left" w:pos="360"/>
        </w:tabs>
      </w:pPr>
    </w:p>
    <w:p w14:paraId="0BF7E094" w14:textId="72FA2BFD" w:rsidR="00BE7FA4" w:rsidRPr="00EF7D00" w:rsidRDefault="00BE7FA4" w:rsidP="00EF7D00">
      <w:pPr>
        <w:tabs>
          <w:tab w:val="left" w:pos="360"/>
        </w:tabs>
      </w:pPr>
      <w:r w:rsidRPr="00EF7D00">
        <w:tab/>
        <w:t xml:space="preserve">b.  </w:t>
      </w:r>
      <w:r w:rsidR="006C0918" w:rsidRPr="00EF7D00">
        <w:t>252.223-7002 and 252.223-700</w:t>
      </w:r>
      <w:r w:rsidR="00F940F7" w:rsidRPr="00EF7D00">
        <w:t>3</w:t>
      </w:r>
      <w:r w:rsidR="006C0918" w:rsidRPr="00EF7D00">
        <w:t xml:space="preserve">:  </w:t>
      </w:r>
      <w:r w:rsidR="00255B64" w:rsidRPr="00EF7D00">
        <w:t>Monitor</w:t>
      </w:r>
      <w:r w:rsidRPr="00EF7D00">
        <w:t xml:space="preserve"> compliance of contractors with DoD 4145.26-M, DoD Contractor’s Safety Manual for Ammunition and Explosives, and the schedule provisions, </w:t>
      </w:r>
      <w:r w:rsidR="00255B64" w:rsidRPr="00EF7D00">
        <w:t>to ensure</w:t>
      </w:r>
      <w:r w:rsidRPr="00EF7D00">
        <w:t xml:space="preserve"> that contractors take reasonable precaution in handling ammunition and explosives</w:t>
      </w:r>
      <w:r w:rsidR="00BC1263" w:rsidRPr="00EF7D00">
        <w:t xml:space="preserve"> and </w:t>
      </w:r>
      <w:r w:rsidRPr="00EF7D00">
        <w:t xml:space="preserve">minimize </w:t>
      </w:r>
      <w:r w:rsidR="00255B64" w:rsidRPr="00EF7D00">
        <w:t xml:space="preserve">the </w:t>
      </w:r>
      <w:r w:rsidRPr="00EF7D00">
        <w:t>risk of future mishaps;</w:t>
      </w:r>
    </w:p>
    <w:p w14:paraId="3F6F4A16" w14:textId="77777777" w:rsidR="00BE7FA4" w:rsidRPr="00EF7D00" w:rsidRDefault="00BE7FA4" w:rsidP="00EF7D00">
      <w:pPr>
        <w:tabs>
          <w:tab w:val="left" w:pos="360"/>
        </w:tabs>
      </w:pPr>
    </w:p>
    <w:p w14:paraId="624004FB" w14:textId="0276757C" w:rsidR="00BE7FA4" w:rsidRPr="00EF7D00" w:rsidRDefault="00BE7FA4" w:rsidP="00EF7D00">
      <w:pPr>
        <w:tabs>
          <w:tab w:val="left" w:pos="360"/>
        </w:tabs>
      </w:pPr>
      <w:r w:rsidRPr="00EF7D00">
        <w:tab/>
        <w:t xml:space="preserve">c.  </w:t>
      </w:r>
      <w:r w:rsidR="00707BBE" w:rsidRPr="00EF7D00">
        <w:t>252.</w:t>
      </w:r>
      <w:r w:rsidR="006C0918" w:rsidRPr="00EF7D00">
        <w:t xml:space="preserve">223-7007:  </w:t>
      </w:r>
      <w:r w:rsidR="00036199" w:rsidRPr="00EF7D00">
        <w:t>Monitor the contract</w:t>
      </w:r>
      <w:r w:rsidR="00F940F7" w:rsidRPr="00EF7D00">
        <w:t>or</w:t>
      </w:r>
      <w:r w:rsidR="00036199" w:rsidRPr="00EF7D00">
        <w:t xml:space="preserve">’s compliance with the security </w:t>
      </w:r>
      <w:r w:rsidR="00707BBE" w:rsidRPr="00EF7D00">
        <w:t>requirements</w:t>
      </w:r>
      <w:r w:rsidR="00036199" w:rsidRPr="00EF7D00">
        <w:t xml:space="preserve"> set forth in 5100.76-M, </w:t>
      </w:r>
      <w:r w:rsidRPr="00EF7D00">
        <w:t>Physical Security of Sensitive Conventional Arms, Ammunition, and Explosives</w:t>
      </w:r>
      <w:r w:rsidR="00BF57D3" w:rsidRPr="00EF7D00">
        <w:t>;</w:t>
      </w:r>
      <w:r w:rsidRPr="00EF7D00">
        <w:t>”</w:t>
      </w:r>
      <w:r w:rsidR="00BF57D3" w:rsidRPr="00EF7D00">
        <w:t xml:space="preserve"> and</w:t>
      </w:r>
    </w:p>
    <w:p w14:paraId="2B0BECB9" w14:textId="77777777" w:rsidR="005F4116" w:rsidRPr="00EF7D00" w:rsidRDefault="005F4116" w:rsidP="00EF7D00">
      <w:pPr>
        <w:tabs>
          <w:tab w:val="left" w:pos="360"/>
        </w:tabs>
      </w:pPr>
    </w:p>
    <w:p w14:paraId="17360389" w14:textId="51F5CF24" w:rsidR="005F4116" w:rsidRDefault="005F4116" w:rsidP="00EF7D00">
      <w:pPr>
        <w:tabs>
          <w:tab w:val="left" w:pos="360"/>
        </w:tabs>
      </w:pPr>
      <w:r w:rsidRPr="00EF7D00">
        <w:tab/>
        <w:t xml:space="preserve">d.  252.223-7004:  </w:t>
      </w:r>
      <w:r w:rsidR="00B32A23" w:rsidRPr="00EF7D00">
        <w:t>Records kept by c</w:t>
      </w:r>
      <w:r w:rsidR="004D60A9" w:rsidRPr="00EF7D00">
        <w:t>ertain contractors</w:t>
      </w:r>
      <w:r w:rsidR="004E3CD9">
        <w:t>,</w:t>
      </w:r>
      <w:r w:rsidR="004D60A9" w:rsidRPr="00EF7D00">
        <w:t xml:space="preserve"> </w:t>
      </w:r>
      <w:r w:rsidR="00B32A23" w:rsidRPr="00EF7D00">
        <w:t>with regard to programs for achieving the objective of a drug-free work</w:t>
      </w:r>
      <w:r w:rsidR="003D33A2">
        <w:t xml:space="preserve"> force</w:t>
      </w:r>
      <w:r w:rsidR="004E3CD9">
        <w:t>,</w:t>
      </w:r>
      <w:r w:rsidR="00B32A23" w:rsidRPr="00EF7D00">
        <w:t xml:space="preserve"> will be used to document compliance with the requirements of the clause.</w:t>
      </w:r>
    </w:p>
    <w:p w14:paraId="69092B81" w14:textId="77777777" w:rsidR="00C07B93" w:rsidRPr="00EF7D00" w:rsidRDefault="00C07B93" w:rsidP="00EF7D00">
      <w:pPr>
        <w:tabs>
          <w:tab w:val="left" w:pos="360"/>
        </w:tabs>
      </w:pPr>
    </w:p>
    <w:p w14:paraId="1736D92A" w14:textId="23E52242" w:rsidR="00BE7FA4" w:rsidRPr="00EF7D00" w:rsidRDefault="00BE7FA4" w:rsidP="00EF7D00">
      <w:pPr>
        <w:pStyle w:val="NormalWeb"/>
        <w:tabs>
          <w:tab w:val="left" w:pos="360"/>
          <w:tab w:val="left" w:pos="720"/>
          <w:tab w:val="left" w:pos="1080"/>
          <w:tab w:val="left" w:pos="1440"/>
        </w:tabs>
        <w:spacing w:before="0" w:beforeAutospacing="0" w:after="0" w:afterAutospacing="0"/>
        <w:rPr>
          <w:u w:val="single"/>
        </w:rPr>
      </w:pPr>
      <w:r w:rsidRPr="00EF7D00">
        <w:t>3.</w:t>
      </w:r>
      <w:r w:rsidRPr="00EF7D00">
        <w:tab/>
      </w:r>
      <w:r w:rsidRPr="00EF7D00">
        <w:rPr>
          <w:u w:val="single"/>
        </w:rPr>
        <w:t>Use of Information Technology</w:t>
      </w:r>
    </w:p>
    <w:p w14:paraId="2E35D888" w14:textId="77777777" w:rsidR="00BE7FA4" w:rsidRPr="00EF7D00" w:rsidRDefault="00BE7FA4" w:rsidP="00EF7D00">
      <w:pPr>
        <w:pStyle w:val="NormalWeb"/>
        <w:tabs>
          <w:tab w:val="left" w:pos="360"/>
          <w:tab w:val="left" w:pos="720"/>
          <w:tab w:val="left" w:pos="1080"/>
          <w:tab w:val="left" w:pos="1440"/>
        </w:tabs>
        <w:spacing w:before="0" w:beforeAutospacing="0" w:after="0" w:afterAutospacing="0"/>
      </w:pPr>
    </w:p>
    <w:p w14:paraId="62C09CB1" w14:textId="10DA4A54" w:rsidR="00BE7FA4" w:rsidRPr="00EF7D00" w:rsidRDefault="008642BC" w:rsidP="00EF7D00">
      <w:pPr>
        <w:tabs>
          <w:tab w:val="left" w:pos="360"/>
        </w:tabs>
      </w:pPr>
      <w:r w:rsidRPr="00EF7D00">
        <w:tab/>
        <w:t>I</w:t>
      </w:r>
      <w:r w:rsidR="00BE7FA4" w:rsidRPr="00EF7D00">
        <w:t xml:space="preserve">nformation technology is used </w:t>
      </w:r>
      <w:r w:rsidRPr="00EF7D00">
        <w:t>100% of the time</w:t>
      </w:r>
      <w:r w:rsidR="00BE7FA4" w:rsidRPr="00EF7D00">
        <w:t xml:space="preserve">.  In compliance with </w:t>
      </w:r>
      <w:r w:rsidR="00F940F7" w:rsidRPr="00EF7D00">
        <w:t xml:space="preserve">44 U.S.C. 3504 (a)(1)(B)(vi), </w:t>
      </w:r>
      <w:r w:rsidR="00BE7FA4" w:rsidRPr="00EF7D00">
        <w:t xml:space="preserve">DoD provides the option for the electronic submission of information, when practicable, as a substitute for paper.  In addition, </w:t>
      </w:r>
      <w:r w:rsidR="00C07B93">
        <w:t>Federal Acquisition Regulation (</w:t>
      </w:r>
      <w:r w:rsidR="00BE7FA4" w:rsidRPr="00EF7D00">
        <w:t>FAR</w:t>
      </w:r>
      <w:r w:rsidR="00C07B93">
        <w:t>)</w:t>
      </w:r>
      <w:r w:rsidR="00BE7FA4" w:rsidRPr="00EF7D00">
        <w:t xml:space="preserve"> 2.101 defines the terms “in writing” and “written” to include “electronically transmitted and stored information.  Standardized or repetitive data is not involved.  Contractors may, however, submit any required information in formats that are compatible with their automated systems.</w:t>
      </w:r>
    </w:p>
    <w:p w14:paraId="1248107D" w14:textId="77777777" w:rsidR="00BE7FA4" w:rsidRPr="00EF7D00" w:rsidRDefault="00BE7FA4" w:rsidP="00EF7D00">
      <w:pPr>
        <w:tabs>
          <w:tab w:val="left" w:pos="360"/>
        </w:tabs>
      </w:pPr>
    </w:p>
    <w:p w14:paraId="71AD4B3F" w14:textId="2860084F" w:rsidR="005E0A0F" w:rsidRPr="00EF7D00" w:rsidRDefault="005E0A0F" w:rsidP="00EF7D00">
      <w:pPr>
        <w:pStyle w:val="NormalWeb"/>
        <w:tabs>
          <w:tab w:val="left" w:pos="360"/>
          <w:tab w:val="left" w:pos="720"/>
          <w:tab w:val="left" w:pos="1080"/>
          <w:tab w:val="left" w:pos="1440"/>
        </w:tabs>
        <w:spacing w:before="0" w:beforeAutospacing="0" w:after="0" w:afterAutospacing="0"/>
        <w:rPr>
          <w:u w:val="single"/>
        </w:rPr>
      </w:pPr>
      <w:r w:rsidRPr="00EF7D00">
        <w:t>4.</w:t>
      </w:r>
      <w:r w:rsidR="00AC5BD4" w:rsidRPr="00EF7D00">
        <w:tab/>
      </w:r>
      <w:r w:rsidRPr="00EF7D00">
        <w:rPr>
          <w:u w:val="single"/>
        </w:rPr>
        <w:t>Non-duplication</w:t>
      </w:r>
    </w:p>
    <w:p w14:paraId="202CA6CD" w14:textId="77777777" w:rsidR="00BE7FA4" w:rsidRPr="00EF7D00" w:rsidRDefault="00BE7FA4" w:rsidP="00EF7D00">
      <w:pPr>
        <w:pStyle w:val="NormalWeb"/>
        <w:tabs>
          <w:tab w:val="left" w:pos="360"/>
          <w:tab w:val="left" w:pos="720"/>
          <w:tab w:val="left" w:pos="1080"/>
          <w:tab w:val="left" w:pos="1440"/>
        </w:tabs>
        <w:spacing w:before="0" w:beforeAutospacing="0" w:after="0" w:afterAutospacing="0"/>
      </w:pPr>
    </w:p>
    <w:p w14:paraId="6C07C423" w14:textId="5E1887B8" w:rsidR="00BE7FA4" w:rsidRPr="00EF7D00" w:rsidRDefault="00BE7FA4" w:rsidP="00EF7D00">
      <w:pPr>
        <w:tabs>
          <w:tab w:val="left" w:pos="360"/>
        </w:tabs>
      </w:pPr>
      <w:bookmarkStart w:id="3" w:name="cp440"/>
      <w:r w:rsidRPr="00EF7D00">
        <w:tab/>
        <w:t xml:space="preserve">As a matter of policy, DoD reviews the </w:t>
      </w:r>
      <w:r w:rsidR="00C07B93">
        <w:t>FAR</w:t>
      </w:r>
      <w:r w:rsidRPr="00EF7D00">
        <w:t xml:space="preserve"> to determine if adequate language already exists.  DFARS part 223 and related clauses at 252.223 apply only to DoD and do not duplicate any other regulations.  Similar information is not readily available from any other source.</w:t>
      </w:r>
    </w:p>
    <w:p w14:paraId="00FC5F5D" w14:textId="77777777" w:rsidR="00BE7FA4" w:rsidRPr="00EF7D00" w:rsidRDefault="00BE7FA4" w:rsidP="00EF7D00">
      <w:pPr>
        <w:tabs>
          <w:tab w:val="left" w:pos="360"/>
        </w:tabs>
      </w:pPr>
    </w:p>
    <w:p w14:paraId="6CE334F2" w14:textId="072B795F" w:rsidR="005E0A0F" w:rsidRPr="00EF7D00" w:rsidRDefault="005E0A0F" w:rsidP="00EF7D00">
      <w:pPr>
        <w:pStyle w:val="NormalWeb"/>
        <w:tabs>
          <w:tab w:val="left" w:pos="360"/>
          <w:tab w:val="left" w:pos="720"/>
          <w:tab w:val="left" w:pos="1080"/>
          <w:tab w:val="left" w:pos="1440"/>
        </w:tabs>
        <w:spacing w:before="0" w:beforeAutospacing="0" w:after="0" w:afterAutospacing="0"/>
        <w:rPr>
          <w:u w:val="single"/>
        </w:rPr>
      </w:pPr>
      <w:r w:rsidRPr="00EF7D00">
        <w:t>5.</w:t>
      </w:r>
      <w:r w:rsidR="00AC5BD4" w:rsidRPr="00EF7D00">
        <w:tab/>
      </w:r>
      <w:r w:rsidRPr="00EF7D00">
        <w:rPr>
          <w:u w:val="single"/>
        </w:rPr>
        <w:t>Burden on Small Business</w:t>
      </w:r>
    </w:p>
    <w:p w14:paraId="637310AA" w14:textId="77777777" w:rsidR="00BE7FA4" w:rsidRPr="00EF7D00" w:rsidRDefault="00BE7FA4" w:rsidP="00EF7D00">
      <w:pPr>
        <w:pStyle w:val="NormalWeb"/>
        <w:tabs>
          <w:tab w:val="left" w:pos="360"/>
          <w:tab w:val="left" w:pos="720"/>
          <w:tab w:val="left" w:pos="1080"/>
          <w:tab w:val="left" w:pos="1440"/>
        </w:tabs>
        <w:spacing w:before="0" w:beforeAutospacing="0" w:after="0" w:afterAutospacing="0"/>
      </w:pPr>
    </w:p>
    <w:p w14:paraId="50532C96" w14:textId="77777777" w:rsidR="00BE7FA4" w:rsidRPr="00EF7D00" w:rsidRDefault="00BE7FA4" w:rsidP="00EF7D00">
      <w:pPr>
        <w:tabs>
          <w:tab w:val="left" w:pos="360"/>
        </w:tabs>
      </w:pPr>
      <w:bookmarkStart w:id="4" w:name="cp441"/>
      <w:bookmarkEnd w:id="3"/>
      <w:r w:rsidRPr="00EF7D00">
        <w:tab/>
        <w:t>The collection associated with small businesses is the minimum consistent with applicable laws, regulations, and prudent business practices.</w:t>
      </w:r>
    </w:p>
    <w:p w14:paraId="21E266BD" w14:textId="77777777" w:rsidR="00BE7FA4" w:rsidRPr="00EF7D00" w:rsidRDefault="00AC5BD4" w:rsidP="00EF7D00">
      <w:pPr>
        <w:pStyle w:val="NormalWeb"/>
        <w:tabs>
          <w:tab w:val="left" w:pos="360"/>
          <w:tab w:val="left" w:pos="720"/>
          <w:tab w:val="left" w:pos="1080"/>
          <w:tab w:val="left" w:pos="1440"/>
        </w:tabs>
        <w:spacing w:before="0" w:beforeAutospacing="0" w:after="0" w:afterAutospacing="0"/>
      </w:pPr>
      <w:r w:rsidRPr="00EF7D00">
        <w:tab/>
      </w:r>
      <w:r w:rsidRPr="00EF7D00">
        <w:tab/>
      </w:r>
      <w:bookmarkEnd w:id="4"/>
    </w:p>
    <w:p w14:paraId="058C17E3" w14:textId="29DBED9B" w:rsidR="005E0A0F" w:rsidRPr="00EF7D00" w:rsidRDefault="005E0A0F" w:rsidP="00EF7D00">
      <w:pPr>
        <w:pStyle w:val="NormalWeb"/>
        <w:tabs>
          <w:tab w:val="left" w:pos="360"/>
          <w:tab w:val="left" w:pos="720"/>
          <w:tab w:val="left" w:pos="1080"/>
          <w:tab w:val="left" w:pos="1440"/>
        </w:tabs>
        <w:spacing w:before="0" w:beforeAutospacing="0" w:after="0" w:afterAutospacing="0"/>
        <w:rPr>
          <w:u w:val="single"/>
        </w:rPr>
      </w:pPr>
      <w:r w:rsidRPr="00EF7D00">
        <w:t>6.</w:t>
      </w:r>
      <w:r w:rsidR="00AC5BD4" w:rsidRPr="00EF7D00">
        <w:tab/>
      </w:r>
      <w:r w:rsidRPr="00EF7D00">
        <w:rPr>
          <w:u w:val="single"/>
        </w:rPr>
        <w:t>Less Frequent Collection</w:t>
      </w:r>
    </w:p>
    <w:p w14:paraId="6A7D0DEB" w14:textId="77777777" w:rsidR="005A32DB" w:rsidRPr="00EF7D00" w:rsidRDefault="005A32DB" w:rsidP="00EF7D00">
      <w:pPr>
        <w:pStyle w:val="NormalWeb"/>
        <w:tabs>
          <w:tab w:val="left" w:pos="360"/>
          <w:tab w:val="left" w:pos="720"/>
          <w:tab w:val="left" w:pos="1080"/>
          <w:tab w:val="left" w:pos="1440"/>
        </w:tabs>
        <w:spacing w:before="0" w:beforeAutospacing="0" w:after="0" w:afterAutospacing="0"/>
      </w:pPr>
    </w:p>
    <w:p w14:paraId="5A8BE1E3" w14:textId="77777777" w:rsidR="00BE7FA4" w:rsidRPr="00EF7D00" w:rsidRDefault="00AC5BD4" w:rsidP="00EF7D00">
      <w:pPr>
        <w:tabs>
          <w:tab w:val="left" w:pos="360"/>
        </w:tabs>
      </w:pPr>
      <w:bookmarkStart w:id="5" w:name="cp444"/>
      <w:r w:rsidRPr="00EF7D00">
        <w:tab/>
      </w:r>
      <w:r w:rsidR="00BE7FA4" w:rsidRPr="00EF7D00">
        <w:t>The frequency for collecting this information was reviewed by the DoD specialists who are most knowledgeable of the requirements and the need for the information.  Every attempt has been made to keep the frequency of collection to a minimum without jeopardizing the ability of the Government to assure that contractors are performing the contractual requirements.  Collecting this information less frequently would impede contracting officers from making informed contract award decisions and from performing their administrative functions in an effective and efficient manner.</w:t>
      </w:r>
    </w:p>
    <w:p w14:paraId="4365A26C" w14:textId="77777777" w:rsidR="005A32DB" w:rsidRPr="00EF7D00" w:rsidRDefault="005A32DB" w:rsidP="00EF7D00">
      <w:pPr>
        <w:tabs>
          <w:tab w:val="left" w:pos="360"/>
        </w:tabs>
      </w:pPr>
    </w:p>
    <w:p w14:paraId="2D14E4B9" w14:textId="753720B5" w:rsidR="005E0A0F" w:rsidRPr="00EF7D00" w:rsidRDefault="005E0A0F" w:rsidP="00EF7D00">
      <w:pPr>
        <w:pStyle w:val="NormalWeb"/>
        <w:tabs>
          <w:tab w:val="left" w:pos="360"/>
          <w:tab w:val="left" w:pos="720"/>
          <w:tab w:val="left" w:pos="1080"/>
          <w:tab w:val="left" w:pos="1440"/>
        </w:tabs>
        <w:spacing w:before="0" w:beforeAutospacing="0" w:after="0" w:afterAutospacing="0"/>
        <w:rPr>
          <w:u w:val="single"/>
        </w:rPr>
      </w:pPr>
      <w:r w:rsidRPr="00EF7D00">
        <w:t>7.</w:t>
      </w:r>
      <w:r w:rsidR="00AC5BD4" w:rsidRPr="00EF7D00">
        <w:tab/>
      </w:r>
      <w:r w:rsidRPr="00EF7D00">
        <w:rPr>
          <w:u w:val="single"/>
        </w:rPr>
        <w:t>Paperwork Reduction Act Guidelines</w:t>
      </w:r>
    </w:p>
    <w:p w14:paraId="39B23F5E" w14:textId="77777777" w:rsidR="008B21B2" w:rsidRPr="00EF7D00" w:rsidRDefault="008B21B2" w:rsidP="00EF7D00">
      <w:pPr>
        <w:pStyle w:val="NormalWeb"/>
        <w:tabs>
          <w:tab w:val="left" w:pos="360"/>
          <w:tab w:val="left" w:pos="720"/>
          <w:tab w:val="left" w:pos="1080"/>
          <w:tab w:val="left" w:pos="1440"/>
        </w:tabs>
        <w:spacing w:before="0" w:beforeAutospacing="0" w:after="0" w:afterAutospacing="0"/>
      </w:pPr>
    </w:p>
    <w:p w14:paraId="15975EBB" w14:textId="1B30A9EC" w:rsidR="00FB3212" w:rsidRPr="00EF7D00" w:rsidRDefault="00AC5BD4" w:rsidP="00EF7D00">
      <w:pPr>
        <w:pStyle w:val="NormalWeb"/>
        <w:tabs>
          <w:tab w:val="left" w:pos="360"/>
          <w:tab w:val="left" w:pos="720"/>
          <w:tab w:val="left" w:pos="1080"/>
          <w:tab w:val="left" w:pos="1440"/>
        </w:tabs>
        <w:spacing w:before="0" w:beforeAutospacing="0" w:after="0" w:afterAutospacing="0"/>
      </w:pPr>
      <w:bookmarkStart w:id="6" w:name="cp446"/>
      <w:bookmarkEnd w:id="5"/>
      <w:r w:rsidRPr="00EF7D00">
        <w:tab/>
      </w:r>
      <w:r w:rsidR="008B21B2" w:rsidRPr="00EF7D00">
        <w:t xml:space="preserve">There are no special circumstances for </w:t>
      </w:r>
      <w:r w:rsidR="00707BBE" w:rsidRPr="00EF7D00">
        <w:t xml:space="preserve">this </w:t>
      </w:r>
      <w:r w:rsidR="008B21B2" w:rsidRPr="00EF7D00">
        <w:t xml:space="preserve">collection.  </w:t>
      </w:r>
      <w:r w:rsidR="00FB3212" w:rsidRPr="00EF7D00">
        <w:t xml:space="preserve"> </w:t>
      </w:r>
      <w:r w:rsidR="00707BBE" w:rsidRPr="00EF7D00">
        <w:t>The c</w:t>
      </w:r>
      <w:r w:rsidR="008B21B2" w:rsidRPr="00EF7D00">
        <w:t xml:space="preserve">ollection of information is </w:t>
      </w:r>
      <w:r w:rsidR="00FB3212" w:rsidRPr="00EF7D00">
        <w:t>consistent with the guidelines delineated in 5 CFR 1320.5(d)(2).</w:t>
      </w:r>
    </w:p>
    <w:p w14:paraId="6B19F762" w14:textId="77777777" w:rsidR="005A32DB" w:rsidRPr="00EF7D00" w:rsidRDefault="005A32DB" w:rsidP="00EF7D00">
      <w:pPr>
        <w:pStyle w:val="NormalWeb"/>
        <w:tabs>
          <w:tab w:val="left" w:pos="360"/>
          <w:tab w:val="left" w:pos="720"/>
          <w:tab w:val="left" w:pos="1080"/>
          <w:tab w:val="left" w:pos="1440"/>
        </w:tabs>
        <w:spacing w:before="0" w:beforeAutospacing="0" w:after="0" w:afterAutospacing="0"/>
      </w:pPr>
    </w:p>
    <w:p w14:paraId="5E34676E" w14:textId="5EEEB1F1" w:rsidR="005E0A0F" w:rsidRPr="00EF7D00" w:rsidRDefault="005E0A0F" w:rsidP="00EF7D00">
      <w:pPr>
        <w:pStyle w:val="NormalWeb"/>
        <w:tabs>
          <w:tab w:val="left" w:pos="360"/>
          <w:tab w:val="left" w:pos="720"/>
          <w:tab w:val="left" w:pos="1080"/>
          <w:tab w:val="left" w:pos="1440"/>
        </w:tabs>
        <w:spacing w:before="0" w:beforeAutospacing="0" w:after="0" w:afterAutospacing="0"/>
        <w:rPr>
          <w:u w:val="single"/>
        </w:rPr>
      </w:pPr>
      <w:r w:rsidRPr="00EF7D00">
        <w:t>8.</w:t>
      </w:r>
      <w:r w:rsidR="00AC5BD4" w:rsidRPr="00EF7D00">
        <w:tab/>
      </w:r>
      <w:r w:rsidRPr="00EF7D00">
        <w:rPr>
          <w:u w:val="single"/>
        </w:rPr>
        <w:t>Consultation and Public Comments</w:t>
      </w:r>
    </w:p>
    <w:p w14:paraId="1B70D87B" w14:textId="77777777" w:rsidR="005A32DB" w:rsidRPr="00EF7D00" w:rsidRDefault="005A32DB" w:rsidP="00EF7D00">
      <w:pPr>
        <w:pStyle w:val="NormalWeb"/>
        <w:tabs>
          <w:tab w:val="left" w:pos="360"/>
          <w:tab w:val="left" w:pos="720"/>
          <w:tab w:val="left" w:pos="1080"/>
          <w:tab w:val="left" w:pos="1440"/>
        </w:tabs>
        <w:spacing w:before="0" w:beforeAutospacing="0" w:after="0" w:afterAutospacing="0"/>
      </w:pPr>
    </w:p>
    <w:p w14:paraId="14C652D1" w14:textId="2AD68A9C" w:rsidR="00CD0E0C" w:rsidRDefault="00AC5BD4" w:rsidP="00EF7D00">
      <w:pPr>
        <w:tabs>
          <w:tab w:val="left" w:pos="360"/>
        </w:tabs>
      </w:pPr>
      <w:bookmarkStart w:id="7" w:name="cp447"/>
      <w:bookmarkEnd w:id="6"/>
      <w:r w:rsidRPr="00EF7D00">
        <w:tab/>
      </w:r>
      <w:bookmarkStart w:id="8" w:name="cp449"/>
      <w:bookmarkEnd w:id="7"/>
      <w:r w:rsidR="00FB3212" w:rsidRPr="00EF7D00">
        <w:t xml:space="preserve">a.  </w:t>
      </w:r>
      <w:r w:rsidR="005A32DB" w:rsidRPr="00EF7D00">
        <w:t xml:space="preserve">Public comments were solicited in the </w:t>
      </w:r>
      <w:r w:rsidR="005A32DB" w:rsidRPr="00EF7D00">
        <w:rPr>
          <w:i/>
        </w:rPr>
        <w:t>Federal Register</w:t>
      </w:r>
      <w:r w:rsidR="005A32DB" w:rsidRPr="00EF7D00">
        <w:t xml:space="preserve"> on </w:t>
      </w:r>
      <w:r w:rsidR="00CD0E0C">
        <w:t>August 18, 2017</w:t>
      </w:r>
      <w:r w:rsidR="00DD08DE">
        <w:t>,</w:t>
      </w:r>
      <w:r w:rsidR="005A32DB" w:rsidRPr="00EF7D00">
        <w:t xml:space="preserve"> at </w:t>
      </w:r>
      <w:r w:rsidR="00CD0E0C">
        <w:t>82 FR 39416</w:t>
      </w:r>
      <w:r w:rsidR="005A32DB" w:rsidRPr="00EF7D00">
        <w:t xml:space="preserve"> as required by 5 CFR 1320.8(d)). </w:t>
      </w:r>
      <w:r w:rsidR="00CD0E0C">
        <w:t xml:space="preserve"> No</w:t>
      </w:r>
      <w:r w:rsidR="00B71AB2" w:rsidRPr="00EF7D00">
        <w:t xml:space="preserve"> comments were received.  </w:t>
      </w:r>
    </w:p>
    <w:p w14:paraId="69CB0317" w14:textId="77777777" w:rsidR="00CD0E0C" w:rsidRDefault="00CD0E0C" w:rsidP="00EF7D00">
      <w:pPr>
        <w:tabs>
          <w:tab w:val="left" w:pos="360"/>
        </w:tabs>
      </w:pPr>
    </w:p>
    <w:p w14:paraId="532DA147" w14:textId="077C90BE" w:rsidR="005A32DB" w:rsidRDefault="00CD0E0C" w:rsidP="00EF7D00">
      <w:pPr>
        <w:tabs>
          <w:tab w:val="left" w:pos="360"/>
        </w:tabs>
      </w:pPr>
      <w:r>
        <w:tab/>
        <w:t xml:space="preserve">b.  </w:t>
      </w:r>
      <w:r w:rsidR="00E311F9">
        <w:t>On Tuesday, October 24, 2017</w:t>
      </w:r>
      <w:r w:rsidR="005A32DB" w:rsidRPr="00EF7D00">
        <w:t xml:space="preserve">, DARS published a notice in the </w:t>
      </w:r>
      <w:r w:rsidR="005A32DB" w:rsidRPr="0009682D">
        <w:rPr>
          <w:i/>
        </w:rPr>
        <w:t>Federal Register</w:t>
      </w:r>
      <w:r w:rsidR="005A32DB" w:rsidRPr="00EF7D00">
        <w:t xml:space="preserve"> at </w:t>
      </w:r>
      <w:r w:rsidR="00E311F9">
        <w:rPr>
          <w:color w:val="000000" w:themeColor="text1"/>
        </w:rPr>
        <w:t>82</w:t>
      </w:r>
      <w:r w:rsidR="005A32DB" w:rsidRPr="0009682D">
        <w:rPr>
          <w:color w:val="000000" w:themeColor="text1"/>
        </w:rPr>
        <w:t xml:space="preserve"> </w:t>
      </w:r>
      <w:r w:rsidR="00C07B93" w:rsidRPr="0009682D">
        <w:rPr>
          <w:color w:val="000000" w:themeColor="text1"/>
        </w:rPr>
        <w:t xml:space="preserve">FR </w:t>
      </w:r>
      <w:r w:rsidR="00E311F9">
        <w:rPr>
          <w:color w:val="000000" w:themeColor="text1"/>
        </w:rPr>
        <w:t xml:space="preserve">49187 </w:t>
      </w:r>
      <w:r w:rsidR="005A32DB" w:rsidRPr="00EF7D00">
        <w:t>stating that the proposed information collection had been submitted to OMB for approval.</w:t>
      </w:r>
    </w:p>
    <w:p w14:paraId="02458791" w14:textId="77777777" w:rsidR="00DA5B5B" w:rsidRPr="00EF7D00" w:rsidRDefault="00DA5B5B" w:rsidP="00EF7D00">
      <w:pPr>
        <w:tabs>
          <w:tab w:val="left" w:pos="360"/>
        </w:tabs>
      </w:pPr>
    </w:p>
    <w:p w14:paraId="0D2B27AF" w14:textId="64F76F16" w:rsidR="00FB3212" w:rsidRDefault="00A7063B" w:rsidP="00EF7D00">
      <w:pPr>
        <w:pStyle w:val="NormalWeb"/>
        <w:tabs>
          <w:tab w:val="left" w:pos="360"/>
          <w:tab w:val="left" w:pos="720"/>
          <w:tab w:val="left" w:pos="1080"/>
          <w:tab w:val="left" w:pos="1440"/>
        </w:tabs>
        <w:spacing w:before="0" w:beforeAutospacing="0" w:after="0" w:afterAutospacing="0"/>
      </w:pPr>
      <w:r w:rsidRPr="00EF7D00">
        <w:tab/>
      </w:r>
      <w:r w:rsidR="00C07B93">
        <w:t>c</w:t>
      </w:r>
      <w:r w:rsidR="00FB3212" w:rsidRPr="00EF7D00">
        <w:t xml:space="preserve">.  </w:t>
      </w:r>
      <w:r w:rsidR="005A32DB" w:rsidRPr="00EF7D00">
        <w:t xml:space="preserve">Subject matter experts </w:t>
      </w:r>
      <w:r w:rsidR="00B71AB2" w:rsidRPr="00EF7D00">
        <w:t>within DoD</w:t>
      </w:r>
      <w:r w:rsidR="005A32DB" w:rsidRPr="00EF7D00">
        <w:t xml:space="preserve"> were also consulted.</w:t>
      </w:r>
    </w:p>
    <w:p w14:paraId="524EA642" w14:textId="77777777" w:rsidR="00C07B93" w:rsidRPr="00EF7D00" w:rsidRDefault="00C07B93" w:rsidP="00EF7D00">
      <w:pPr>
        <w:pStyle w:val="NormalWeb"/>
        <w:tabs>
          <w:tab w:val="left" w:pos="360"/>
          <w:tab w:val="left" w:pos="720"/>
          <w:tab w:val="left" w:pos="1080"/>
          <w:tab w:val="left" w:pos="1440"/>
        </w:tabs>
        <w:spacing w:before="0" w:beforeAutospacing="0" w:after="0" w:afterAutospacing="0"/>
      </w:pPr>
    </w:p>
    <w:p w14:paraId="08E5953B" w14:textId="062D63DD" w:rsidR="005E0A0F" w:rsidRPr="00EF7D00" w:rsidRDefault="00B71AB2" w:rsidP="00EF7D00">
      <w:pPr>
        <w:pStyle w:val="NormalWeb"/>
        <w:tabs>
          <w:tab w:val="left" w:pos="360"/>
          <w:tab w:val="left" w:pos="720"/>
          <w:tab w:val="left" w:pos="1080"/>
          <w:tab w:val="left" w:pos="1440"/>
        </w:tabs>
        <w:spacing w:before="0" w:beforeAutospacing="0" w:after="0" w:afterAutospacing="0"/>
        <w:rPr>
          <w:u w:val="single"/>
        </w:rPr>
      </w:pPr>
      <w:r w:rsidRPr="00EF7D00">
        <w:t xml:space="preserve">9.  </w:t>
      </w:r>
      <w:r w:rsidR="005E0A0F" w:rsidRPr="00EF7D00">
        <w:rPr>
          <w:u w:val="single"/>
        </w:rPr>
        <w:t>Gifts or Payment</w:t>
      </w:r>
    </w:p>
    <w:p w14:paraId="6A9A9D12" w14:textId="77777777" w:rsidR="005A32DB" w:rsidRPr="00EF7D00" w:rsidRDefault="005A32DB" w:rsidP="00EF7D00">
      <w:pPr>
        <w:pStyle w:val="NormalWeb"/>
        <w:tabs>
          <w:tab w:val="left" w:pos="360"/>
          <w:tab w:val="left" w:pos="720"/>
          <w:tab w:val="left" w:pos="1080"/>
          <w:tab w:val="left" w:pos="1440"/>
        </w:tabs>
        <w:spacing w:before="0" w:beforeAutospacing="0" w:after="0" w:afterAutospacing="0"/>
      </w:pPr>
    </w:p>
    <w:p w14:paraId="4888B4EC" w14:textId="585FBA97" w:rsidR="00AC5BD4" w:rsidRPr="00EF7D00" w:rsidRDefault="00AC5BD4" w:rsidP="00EF7D00">
      <w:pPr>
        <w:pStyle w:val="NormalWeb"/>
        <w:tabs>
          <w:tab w:val="left" w:pos="360"/>
          <w:tab w:val="left" w:pos="720"/>
          <w:tab w:val="left" w:pos="1080"/>
          <w:tab w:val="left" w:pos="1440"/>
        </w:tabs>
        <w:spacing w:before="0" w:beforeAutospacing="0" w:after="0" w:afterAutospacing="0"/>
      </w:pPr>
      <w:bookmarkStart w:id="9" w:name="cp450"/>
      <w:bookmarkEnd w:id="8"/>
      <w:r w:rsidRPr="00EF7D00">
        <w:tab/>
      </w:r>
      <w:bookmarkEnd w:id="9"/>
      <w:r w:rsidR="004834CB" w:rsidRPr="00EF7D00">
        <w:t>No payment or gift will be provided to respondents to this information collection requirement</w:t>
      </w:r>
      <w:r w:rsidR="00255B64" w:rsidRPr="00EF7D00">
        <w:t>.</w:t>
      </w:r>
    </w:p>
    <w:p w14:paraId="3F91A577" w14:textId="77777777" w:rsidR="005A32DB" w:rsidRPr="00EF7D00" w:rsidRDefault="005A32DB" w:rsidP="00EF7D00">
      <w:pPr>
        <w:pStyle w:val="NormalWeb"/>
        <w:tabs>
          <w:tab w:val="left" w:pos="360"/>
          <w:tab w:val="left" w:pos="720"/>
          <w:tab w:val="left" w:pos="1080"/>
          <w:tab w:val="left" w:pos="1440"/>
        </w:tabs>
        <w:spacing w:before="0" w:beforeAutospacing="0" w:after="0" w:afterAutospacing="0"/>
      </w:pPr>
    </w:p>
    <w:p w14:paraId="51859701" w14:textId="165CCBB0" w:rsidR="005E0A0F" w:rsidRPr="00EF7D00" w:rsidRDefault="00B71AB2" w:rsidP="00EF7D00">
      <w:pPr>
        <w:pStyle w:val="NormalWeb"/>
        <w:tabs>
          <w:tab w:val="left" w:pos="360"/>
          <w:tab w:val="left" w:pos="720"/>
          <w:tab w:val="left" w:pos="1080"/>
          <w:tab w:val="left" w:pos="1440"/>
        </w:tabs>
        <w:spacing w:before="0" w:beforeAutospacing="0" w:after="0" w:afterAutospacing="0"/>
        <w:rPr>
          <w:u w:val="single"/>
        </w:rPr>
      </w:pPr>
      <w:r w:rsidRPr="00EF7D00">
        <w:t xml:space="preserve">10.  </w:t>
      </w:r>
      <w:r w:rsidR="005E0A0F" w:rsidRPr="00EF7D00">
        <w:rPr>
          <w:u w:val="single"/>
        </w:rPr>
        <w:t>Confidentiality</w:t>
      </w:r>
    </w:p>
    <w:p w14:paraId="0CFED3DD" w14:textId="77777777" w:rsidR="005A32DB" w:rsidRPr="00EF7D00" w:rsidRDefault="005A32DB" w:rsidP="00EF7D00">
      <w:pPr>
        <w:pStyle w:val="NormalWeb"/>
        <w:tabs>
          <w:tab w:val="left" w:pos="360"/>
          <w:tab w:val="left" w:pos="720"/>
          <w:tab w:val="left" w:pos="1080"/>
          <w:tab w:val="left" w:pos="1440"/>
        </w:tabs>
        <w:spacing w:before="0" w:beforeAutospacing="0" w:after="0" w:afterAutospacing="0"/>
      </w:pPr>
    </w:p>
    <w:p w14:paraId="2712783D" w14:textId="71F29CE8" w:rsidR="004834CB" w:rsidRPr="00EF7D00" w:rsidRDefault="004834CB" w:rsidP="00EF7D00">
      <w:pPr>
        <w:tabs>
          <w:tab w:val="left" w:pos="360"/>
        </w:tabs>
      </w:pPr>
      <w:r w:rsidRPr="00EF7D00">
        <w:tab/>
        <w:t>The information collected will be disclosed only to the extent consistent with prudent business practices, current regulations, and in accordance with the requirements of the Freedom of Information Act.  No assurance of confidentiality is provided to respondents.</w:t>
      </w:r>
    </w:p>
    <w:p w14:paraId="0A9B836C" w14:textId="4A1D46B7" w:rsidR="00C07E1A" w:rsidRPr="00EF7D00" w:rsidRDefault="00C07E1A" w:rsidP="00EF7D00">
      <w:pPr>
        <w:pStyle w:val="NormalWeb"/>
        <w:tabs>
          <w:tab w:val="left" w:pos="360"/>
          <w:tab w:val="left" w:pos="720"/>
          <w:tab w:val="left" w:pos="1080"/>
          <w:tab w:val="left" w:pos="1440"/>
        </w:tabs>
        <w:spacing w:before="0" w:beforeAutospacing="0" w:after="0" w:afterAutospacing="0"/>
      </w:pPr>
    </w:p>
    <w:p w14:paraId="0B0D6FC0" w14:textId="00FECD79" w:rsidR="005E0A0F" w:rsidRPr="00EF7D00" w:rsidRDefault="00B71AB2" w:rsidP="00EF7D00">
      <w:pPr>
        <w:pStyle w:val="NormalWeb"/>
        <w:tabs>
          <w:tab w:val="left" w:pos="360"/>
          <w:tab w:val="left" w:pos="720"/>
          <w:tab w:val="left" w:pos="1080"/>
          <w:tab w:val="left" w:pos="1440"/>
        </w:tabs>
        <w:spacing w:before="0" w:beforeAutospacing="0" w:after="0" w:afterAutospacing="0"/>
        <w:rPr>
          <w:u w:val="single"/>
        </w:rPr>
      </w:pPr>
      <w:r w:rsidRPr="00EF7D00">
        <w:t xml:space="preserve">11.  </w:t>
      </w:r>
      <w:r w:rsidR="005E0A0F" w:rsidRPr="00EF7D00">
        <w:rPr>
          <w:u w:val="single"/>
        </w:rPr>
        <w:t>Sensitive Questions</w:t>
      </w:r>
    </w:p>
    <w:p w14:paraId="1D84BDFE" w14:textId="77777777" w:rsidR="00C07E1A" w:rsidRPr="00EF7D00" w:rsidRDefault="00C07E1A" w:rsidP="00EF7D00">
      <w:pPr>
        <w:pStyle w:val="NormalWeb"/>
        <w:tabs>
          <w:tab w:val="left" w:pos="360"/>
          <w:tab w:val="left" w:pos="720"/>
          <w:tab w:val="left" w:pos="1080"/>
          <w:tab w:val="left" w:pos="1440"/>
        </w:tabs>
        <w:spacing w:before="0" w:beforeAutospacing="0" w:after="0" w:afterAutospacing="0"/>
      </w:pPr>
    </w:p>
    <w:p w14:paraId="08797751" w14:textId="49B61E2A" w:rsidR="00FB3212" w:rsidRPr="00EF7D00" w:rsidRDefault="00AC5BD4" w:rsidP="00EF7D00">
      <w:pPr>
        <w:pStyle w:val="NormalWeb"/>
        <w:tabs>
          <w:tab w:val="left" w:pos="360"/>
          <w:tab w:val="left" w:pos="720"/>
          <w:tab w:val="left" w:pos="1080"/>
          <w:tab w:val="left" w:pos="1440"/>
        </w:tabs>
        <w:spacing w:before="0" w:beforeAutospacing="0" w:after="0" w:afterAutospacing="0"/>
      </w:pPr>
      <w:bookmarkStart w:id="10" w:name="cp456"/>
      <w:r w:rsidRPr="00EF7D00">
        <w:tab/>
      </w:r>
      <w:r w:rsidR="00C07E1A" w:rsidRPr="00EF7D00">
        <w:t>No sensitive questions are involved.</w:t>
      </w:r>
    </w:p>
    <w:p w14:paraId="28408ED1" w14:textId="77777777" w:rsidR="00255B64" w:rsidRPr="00EF7D00" w:rsidRDefault="00255B64" w:rsidP="00EF7D00">
      <w:pPr>
        <w:pStyle w:val="NormalWeb"/>
        <w:tabs>
          <w:tab w:val="left" w:pos="360"/>
          <w:tab w:val="left" w:pos="720"/>
          <w:tab w:val="left" w:pos="1080"/>
          <w:tab w:val="left" w:pos="1440"/>
        </w:tabs>
        <w:spacing w:before="0" w:beforeAutospacing="0" w:after="0" w:afterAutospacing="0"/>
      </w:pPr>
    </w:p>
    <w:p w14:paraId="65EB6870" w14:textId="602EB751" w:rsidR="00EA3C78" w:rsidRPr="00EF7D00" w:rsidRDefault="00B71AB2" w:rsidP="00EF7D00">
      <w:pPr>
        <w:pStyle w:val="NormalWeb"/>
        <w:tabs>
          <w:tab w:val="left" w:pos="360"/>
          <w:tab w:val="left" w:pos="720"/>
          <w:tab w:val="left" w:pos="1080"/>
          <w:tab w:val="left" w:pos="1440"/>
        </w:tabs>
        <w:spacing w:before="0" w:beforeAutospacing="0" w:after="0" w:afterAutospacing="0"/>
      </w:pPr>
      <w:r w:rsidRPr="00EF7D00">
        <w:t xml:space="preserve">12.  </w:t>
      </w:r>
      <w:r w:rsidR="005E0A0F" w:rsidRPr="00EF7D00">
        <w:rPr>
          <w:u w:val="single"/>
        </w:rPr>
        <w:t>Respondent Burden, and its Labor Costs</w:t>
      </w:r>
      <w:bookmarkStart w:id="11" w:name="cp457"/>
      <w:bookmarkEnd w:id="10"/>
      <w:r w:rsidR="008B44D2" w:rsidRPr="00EF7D00">
        <w:rPr>
          <w:u w:val="single"/>
        </w:rPr>
        <w:t xml:space="preserve"> </w:t>
      </w:r>
    </w:p>
    <w:p w14:paraId="13127F5C" w14:textId="77777777" w:rsidR="00EA3C78" w:rsidRPr="00EF7D00" w:rsidRDefault="00EA3C78" w:rsidP="00EF7D00">
      <w:pPr>
        <w:pStyle w:val="NormalWeb"/>
        <w:tabs>
          <w:tab w:val="left" w:pos="360"/>
          <w:tab w:val="left" w:pos="720"/>
          <w:tab w:val="left" w:pos="1080"/>
          <w:tab w:val="left" w:pos="1440"/>
        </w:tabs>
        <w:spacing w:before="0" w:beforeAutospacing="0" w:after="0" w:afterAutospacing="0"/>
      </w:pPr>
    </w:p>
    <w:p w14:paraId="2FB8FDB0" w14:textId="611A3703" w:rsidR="007C3C58" w:rsidRPr="00EF7D00" w:rsidRDefault="00B71AB2" w:rsidP="00EF7D00">
      <w:pPr>
        <w:tabs>
          <w:tab w:val="left" w:pos="360"/>
        </w:tabs>
      </w:pPr>
      <w:r w:rsidRPr="00EF7D00">
        <w:tab/>
      </w:r>
      <w:r w:rsidR="00525C5E" w:rsidRPr="00EF7D00">
        <w:t xml:space="preserve">a.  </w:t>
      </w:r>
      <w:r w:rsidR="00525C5E" w:rsidRPr="00C07B93">
        <w:rPr>
          <w:u w:val="single"/>
        </w:rPr>
        <w:t>252.223-7001</w:t>
      </w:r>
      <w:r w:rsidR="00525C5E" w:rsidRPr="0009682D">
        <w:rPr>
          <w:u w:val="single"/>
        </w:rPr>
        <w:t>, Hazard Warning Labels, paragraphs (c) and (d)</w:t>
      </w:r>
      <w:r w:rsidR="00525C5E" w:rsidRPr="00EF7D00">
        <w:t>.</w:t>
      </w:r>
      <w:r w:rsidR="00C07B93">
        <w:t xml:space="preserve"> </w:t>
      </w:r>
      <w:r w:rsidR="007B44D5" w:rsidRPr="00EF7D00">
        <w:tab/>
      </w:r>
      <w:r w:rsidR="00525C5E" w:rsidRPr="00EF7D00">
        <w:t xml:space="preserve">This clause is prescribed at DFARS 223.303, for use in solicitations and contracts </w:t>
      </w:r>
      <w:r w:rsidR="00881148" w:rsidRPr="00EF7D00">
        <w:t>that</w:t>
      </w:r>
      <w:r w:rsidR="00525C5E" w:rsidRPr="00EF7D00">
        <w:t xml:space="preserve"> require submission of </w:t>
      </w:r>
      <w:r w:rsidR="00E93E8F" w:rsidRPr="00EF7D00">
        <w:t>a</w:t>
      </w:r>
      <w:r w:rsidR="00525C5E" w:rsidRPr="00EF7D00">
        <w:t xml:space="preserve"> </w:t>
      </w:r>
      <w:r w:rsidR="00E93E8F" w:rsidRPr="00EF7D00">
        <w:t>Material Safety Data Sheet (MSDS)</w:t>
      </w:r>
      <w:r w:rsidR="00525C5E" w:rsidRPr="00EF7D00">
        <w:t xml:space="preserve">.  FAR </w:t>
      </w:r>
      <w:r w:rsidR="00C07B93">
        <w:t>c</w:t>
      </w:r>
      <w:r w:rsidR="00C07B93" w:rsidRPr="00EF7D00">
        <w:t xml:space="preserve">lause </w:t>
      </w:r>
      <w:r w:rsidR="000C060F" w:rsidRPr="00EF7D00">
        <w:t xml:space="preserve">52.223-3, Hazardous Material Identification and Material Safety Data, </w:t>
      </w:r>
      <w:r w:rsidR="00525C5E" w:rsidRPr="00EF7D00">
        <w:t xml:space="preserve">requires </w:t>
      </w:r>
      <w:r w:rsidR="000C060F" w:rsidRPr="00EF7D00">
        <w:t xml:space="preserve">the </w:t>
      </w:r>
      <w:r w:rsidR="00525C5E" w:rsidRPr="00EF7D00">
        <w:t xml:space="preserve">submission of </w:t>
      </w:r>
      <w:r w:rsidR="000C060F" w:rsidRPr="00EF7D00">
        <w:t xml:space="preserve">a </w:t>
      </w:r>
      <w:r w:rsidR="00E93E8F" w:rsidRPr="00EF7D00">
        <w:t>MSDS’</w:t>
      </w:r>
      <w:r w:rsidR="000C060F" w:rsidRPr="00EF7D00">
        <w:t xml:space="preserve">s meeting the requirements of </w:t>
      </w:r>
      <w:r w:rsidR="008630DE" w:rsidRPr="00EF7D00">
        <w:t xml:space="preserve">the Hazard Communication Standard at </w:t>
      </w:r>
      <w:r w:rsidR="000C060F" w:rsidRPr="00EF7D00">
        <w:t>29 CFR 1910.1200 and the latest version of Federal Standard No. 313</w:t>
      </w:r>
      <w:r w:rsidR="00231322" w:rsidRPr="00EF7D00">
        <w:t xml:space="preserve">, </w:t>
      </w:r>
      <w:r w:rsidR="00525C5E" w:rsidRPr="00EF7D00">
        <w:t xml:space="preserve">for any </w:t>
      </w:r>
      <w:r w:rsidR="00231322" w:rsidRPr="00EF7D00">
        <w:t>hazardous material to be delivered under a contract.</w:t>
      </w:r>
      <w:r w:rsidR="00525C5E" w:rsidRPr="00EF7D00">
        <w:t xml:space="preserve"> </w:t>
      </w:r>
    </w:p>
    <w:p w14:paraId="15F6DFDA" w14:textId="77777777" w:rsidR="007C3C58" w:rsidRPr="00EF7D00" w:rsidRDefault="007C3C58" w:rsidP="00EF7D00">
      <w:pPr>
        <w:tabs>
          <w:tab w:val="left" w:pos="360"/>
        </w:tabs>
      </w:pPr>
    </w:p>
    <w:p w14:paraId="7ED85C19" w14:textId="43023297" w:rsidR="00525C5E" w:rsidRPr="00EF7D00" w:rsidRDefault="007B44D5" w:rsidP="00EF7D00">
      <w:pPr>
        <w:tabs>
          <w:tab w:val="left" w:pos="360"/>
        </w:tabs>
      </w:pPr>
      <w:r w:rsidRPr="00EF7D00">
        <w:tab/>
      </w:r>
      <w:r w:rsidR="00E93E8F" w:rsidRPr="00EF7D00">
        <w:t xml:space="preserve">Examination of </w:t>
      </w:r>
      <w:r w:rsidR="007C3C58" w:rsidRPr="00EF7D00">
        <w:t xml:space="preserve">fiscal year (FY) 2016 </w:t>
      </w:r>
      <w:r w:rsidR="00E93E8F" w:rsidRPr="00EF7D00">
        <w:t xml:space="preserve">FPDS information reveals </w:t>
      </w:r>
      <w:r w:rsidR="00525C5E" w:rsidRPr="00EF7D00">
        <w:t>that</w:t>
      </w:r>
      <w:r w:rsidR="007C3C58" w:rsidRPr="00EF7D00">
        <w:t xml:space="preserve"> a</w:t>
      </w:r>
      <w:r w:rsidR="00762C0A" w:rsidRPr="00EF7D00">
        <w:t>pproximately 15,105 contracts were awarded that may have involved the use of hazardous materials.</w:t>
      </w:r>
      <w:r w:rsidR="00AB1B87" w:rsidRPr="00EF7D00">
        <w:t xml:space="preserve">  A</w:t>
      </w:r>
      <w:r w:rsidR="00762C0A" w:rsidRPr="00EF7D00">
        <w:t>pproximately 4</w:t>
      </w:r>
      <w:r w:rsidR="008630DE" w:rsidRPr="00EF7D00">
        <w:t>2,859 offer</w:t>
      </w:r>
      <w:r w:rsidR="00DC38FD" w:rsidRPr="00EF7D00">
        <w:t>s</w:t>
      </w:r>
      <w:r w:rsidR="008630DE" w:rsidRPr="00EF7D00">
        <w:t xml:space="preserve"> were received from offerors participating in the</w:t>
      </w:r>
      <w:r w:rsidR="00255B64" w:rsidRPr="00EF7D00">
        <w:t xml:space="preserve"> </w:t>
      </w:r>
      <w:r w:rsidR="008630DE" w:rsidRPr="00EF7D00">
        <w:t>solicitations</w:t>
      </w:r>
      <w:r w:rsidR="00255B64" w:rsidRPr="00EF7D00">
        <w:t xml:space="preserve"> associated with these contracts</w:t>
      </w:r>
      <w:r w:rsidR="00AB1B87" w:rsidRPr="00EF7D00">
        <w:t xml:space="preserve">, and approximately 1,903 unique vendors received the resultant </w:t>
      </w:r>
      <w:r w:rsidR="00762C0A" w:rsidRPr="00EF7D00">
        <w:t>contract awards.</w:t>
      </w:r>
    </w:p>
    <w:p w14:paraId="4D52371F" w14:textId="77777777" w:rsidR="00525C5E" w:rsidRPr="00EF7D00" w:rsidRDefault="00525C5E" w:rsidP="00EF7D00">
      <w:pPr>
        <w:tabs>
          <w:tab w:val="left" w:pos="360"/>
        </w:tabs>
      </w:pPr>
    </w:p>
    <w:p w14:paraId="66198CD5" w14:textId="45BD606E" w:rsidR="00525C5E" w:rsidRPr="00EF7D00" w:rsidRDefault="00DD0AFC" w:rsidP="00EF7D00">
      <w:pPr>
        <w:tabs>
          <w:tab w:val="left" w:pos="360"/>
        </w:tabs>
      </w:pPr>
      <w:r w:rsidRPr="00EF7D00">
        <w:tab/>
      </w:r>
      <w:r w:rsidR="000F629D">
        <w:tab/>
      </w:r>
      <w:r w:rsidR="00C07B93">
        <w:t>i.</w:t>
      </w:r>
      <w:r w:rsidR="000F629D">
        <w:t xml:space="preserve">  </w:t>
      </w:r>
      <w:r w:rsidR="00525C5E" w:rsidRPr="00EF7D00">
        <w:t xml:space="preserve">Paragraph (c) </w:t>
      </w:r>
      <w:r w:rsidR="000C060F" w:rsidRPr="00EF7D00">
        <w:t xml:space="preserve">of the DFARS clause </w:t>
      </w:r>
      <w:r w:rsidR="008630DE" w:rsidRPr="00EF7D00">
        <w:t>requires</w:t>
      </w:r>
      <w:r w:rsidR="00525C5E" w:rsidRPr="00EF7D00">
        <w:t xml:space="preserve"> offerors </w:t>
      </w:r>
      <w:r w:rsidR="00DC38FD" w:rsidRPr="00EF7D00">
        <w:t>to</w:t>
      </w:r>
      <w:r w:rsidR="00525C5E" w:rsidRPr="00EF7D00">
        <w:t xml:space="preserve"> </w:t>
      </w:r>
      <w:r w:rsidR="000A4085" w:rsidRPr="00EF7D00">
        <w:t xml:space="preserve">list which </w:t>
      </w:r>
      <w:r w:rsidR="00525C5E" w:rsidRPr="00EF7D00">
        <w:t>hazardous materials will be labeled in accordance with one of the statutes delineated in paragraphs (b)(1) through (5), instead of the Hazard Communication Standard</w:t>
      </w:r>
      <w:r w:rsidR="009D3210" w:rsidRPr="00EF7D00">
        <w:t>, in their offers</w:t>
      </w:r>
      <w:r w:rsidR="00525C5E" w:rsidRPr="00EF7D00">
        <w:t>.  We estimate that</w:t>
      </w:r>
      <w:r w:rsidR="003E50F7" w:rsidRPr="00EF7D00">
        <w:t xml:space="preserve"> 75 percent or </w:t>
      </w:r>
      <w:r w:rsidR="00E4100B" w:rsidRPr="00EF7D00">
        <w:t xml:space="preserve">approximately </w:t>
      </w:r>
      <w:r w:rsidR="003E50F7" w:rsidRPr="00EF7D00">
        <w:t>32,14</w:t>
      </w:r>
      <w:r w:rsidR="00E4100B" w:rsidRPr="00EF7D00">
        <w:t>2</w:t>
      </w:r>
      <w:r w:rsidR="003E50F7" w:rsidRPr="00EF7D00">
        <w:t xml:space="preserve"> of the offers received (42,859</w:t>
      </w:r>
      <w:r w:rsidR="00C07B93">
        <w:t xml:space="preserve"> </w:t>
      </w:r>
      <w:r w:rsidR="00B71AB2" w:rsidRPr="00EF7D00">
        <w:t>*</w:t>
      </w:r>
      <w:r w:rsidR="00C07B93">
        <w:t xml:space="preserve"> </w:t>
      </w:r>
      <w:r w:rsidR="003E50F7" w:rsidRPr="00EF7D00">
        <w:t xml:space="preserve">.75) will be required to provide this list.  </w:t>
      </w:r>
      <w:r w:rsidR="00525C5E" w:rsidRPr="00EF7D00">
        <w:t xml:space="preserve">We estimate </w:t>
      </w:r>
      <w:r w:rsidR="004248E7">
        <w:t>10</w:t>
      </w:r>
      <w:r w:rsidR="00525C5E" w:rsidRPr="00EF7D00">
        <w:t xml:space="preserve"> responses per respondent</w:t>
      </w:r>
      <w:r w:rsidR="009D3210" w:rsidRPr="00EF7D00">
        <w:t xml:space="preserve">, a total of </w:t>
      </w:r>
      <w:r w:rsidR="004248E7">
        <w:t>3,214</w:t>
      </w:r>
      <w:r w:rsidR="009D3210" w:rsidRPr="00EF7D00">
        <w:t xml:space="preserve"> respondents (32,14</w:t>
      </w:r>
      <w:r w:rsidR="00E4100B" w:rsidRPr="00EF7D00">
        <w:t>2</w:t>
      </w:r>
      <w:r w:rsidR="009D3210" w:rsidRPr="00EF7D00">
        <w:t>/</w:t>
      </w:r>
      <w:r w:rsidR="004248E7">
        <w:t>10</w:t>
      </w:r>
      <w:r w:rsidR="009D3210" w:rsidRPr="00EF7D00">
        <w:t>)</w:t>
      </w:r>
      <w:r w:rsidR="00525C5E" w:rsidRPr="00EF7D00">
        <w:t xml:space="preserve"> and </w:t>
      </w:r>
      <w:r w:rsidR="009D3210" w:rsidRPr="00EF7D00">
        <w:t>on average,</w:t>
      </w:r>
      <w:r w:rsidR="00525C5E" w:rsidRPr="00EF7D00">
        <w:t xml:space="preserve"> 1 hour per response.  We have estimated a cost of $</w:t>
      </w:r>
      <w:r w:rsidR="00E4100B" w:rsidRPr="00EF7D00">
        <w:t>45</w:t>
      </w:r>
      <w:r w:rsidR="00525C5E" w:rsidRPr="00EF7D00">
        <w:t xml:space="preserve"> per hour (equivalent of a GS-11, step 5 salary of $</w:t>
      </w:r>
      <w:r w:rsidR="00E4100B" w:rsidRPr="00EF7D00">
        <w:t>32.70</w:t>
      </w:r>
      <w:r w:rsidR="00525C5E" w:rsidRPr="00EF7D00">
        <w:t xml:space="preserve">, plus 36.25 percent burden, rounded to </w:t>
      </w:r>
      <w:r w:rsidRPr="00EF7D00">
        <w:t>the nearest whole dollar</w:t>
      </w:r>
      <w:r w:rsidR="001C1C8D" w:rsidRPr="00EF7D00">
        <w:rPr>
          <w:rStyle w:val="FootnoteReference"/>
        </w:rPr>
        <w:footnoteReference w:id="1"/>
      </w:r>
      <w:r w:rsidR="00525C5E" w:rsidRPr="00EF7D00">
        <w:t>):</w:t>
      </w:r>
    </w:p>
    <w:p w14:paraId="7D3CA8C8" w14:textId="77777777" w:rsidR="00FB3212" w:rsidRPr="00EF7D00" w:rsidRDefault="00FB3212" w:rsidP="00EF7D00">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6E7819" w:rsidRPr="00EF7D00" w14:paraId="7496A60B" w14:textId="77777777" w:rsidTr="0009682D">
        <w:trPr>
          <w:trHeight w:val="389"/>
        </w:trPr>
        <w:tc>
          <w:tcPr>
            <w:tcW w:w="9270" w:type="dxa"/>
            <w:gridSpan w:val="2"/>
            <w:shd w:val="clear" w:color="auto" w:fill="auto"/>
            <w:vAlign w:val="center"/>
          </w:tcPr>
          <w:p w14:paraId="500540E0" w14:textId="1FAE7406" w:rsidR="006E7819" w:rsidRPr="00EF7D00" w:rsidRDefault="00533827" w:rsidP="00EF7D00">
            <w:pPr>
              <w:pStyle w:val="NormalWeb"/>
              <w:tabs>
                <w:tab w:val="left" w:pos="360"/>
              </w:tabs>
              <w:spacing w:before="0" w:beforeAutospacing="0" w:after="0" w:afterAutospacing="0"/>
              <w:jc w:val="center"/>
            </w:pPr>
            <w:r w:rsidRPr="00EF7D00">
              <w:t xml:space="preserve">Estimation of Respondent </w:t>
            </w:r>
            <w:r w:rsidR="006E7819" w:rsidRPr="00EF7D00">
              <w:t>Burden Hours</w:t>
            </w:r>
            <w:r w:rsidR="00746F33" w:rsidRPr="00EF7D00">
              <w:t>:</w:t>
            </w:r>
            <w:r w:rsidR="00B71AB2" w:rsidRPr="00EF7D00">
              <w:t xml:space="preserve"> </w:t>
            </w:r>
            <w:r w:rsidR="00746F33" w:rsidRPr="00EF7D00">
              <w:t xml:space="preserve"> 252.2</w:t>
            </w:r>
            <w:r w:rsidR="00DD0AFC" w:rsidRPr="00EF7D00">
              <w:t>23</w:t>
            </w:r>
            <w:r w:rsidR="00746F33" w:rsidRPr="00EF7D00">
              <w:t>-7</w:t>
            </w:r>
            <w:r w:rsidR="00DD0AFC" w:rsidRPr="00EF7D00">
              <w:t>001(c)</w:t>
            </w:r>
          </w:p>
        </w:tc>
      </w:tr>
      <w:tr w:rsidR="00533827" w:rsidRPr="00EF7D00" w14:paraId="21A7CD8E" w14:textId="77777777" w:rsidTr="0009682D">
        <w:trPr>
          <w:trHeight w:val="389"/>
        </w:trPr>
        <w:tc>
          <w:tcPr>
            <w:tcW w:w="7020" w:type="dxa"/>
            <w:shd w:val="clear" w:color="auto" w:fill="auto"/>
            <w:vAlign w:val="center"/>
          </w:tcPr>
          <w:p w14:paraId="526CD793" w14:textId="77777777" w:rsidR="00533827" w:rsidRPr="00EF7D00" w:rsidRDefault="00533827" w:rsidP="00EF7D00">
            <w:pPr>
              <w:tabs>
                <w:tab w:val="left" w:pos="360"/>
              </w:tabs>
              <w:rPr>
                <w:color w:val="000000"/>
              </w:rPr>
            </w:pPr>
            <w:bookmarkStart w:id="12" w:name="cp458"/>
            <w:bookmarkEnd w:id="11"/>
            <w:r w:rsidRPr="00EF7D00">
              <w:rPr>
                <w:color w:val="000000"/>
              </w:rPr>
              <w:t xml:space="preserve">Number of respondents </w:t>
            </w:r>
          </w:p>
        </w:tc>
        <w:tc>
          <w:tcPr>
            <w:tcW w:w="2250" w:type="dxa"/>
            <w:shd w:val="clear" w:color="auto" w:fill="auto"/>
            <w:vAlign w:val="center"/>
          </w:tcPr>
          <w:p w14:paraId="34970BAD" w14:textId="786E8DA8" w:rsidR="00533827" w:rsidRPr="00EF7D00" w:rsidRDefault="000F629D" w:rsidP="00EF7D00">
            <w:pPr>
              <w:pStyle w:val="NormalWeb"/>
              <w:tabs>
                <w:tab w:val="left" w:pos="360"/>
              </w:tabs>
              <w:spacing w:before="0" w:beforeAutospacing="0" w:after="0" w:afterAutospacing="0"/>
              <w:jc w:val="right"/>
            </w:pPr>
            <w:r>
              <w:t>3214</w:t>
            </w:r>
          </w:p>
        </w:tc>
      </w:tr>
      <w:tr w:rsidR="00533827" w:rsidRPr="00EF7D00" w14:paraId="1B427D55" w14:textId="77777777" w:rsidTr="0009682D">
        <w:trPr>
          <w:trHeight w:val="389"/>
        </w:trPr>
        <w:tc>
          <w:tcPr>
            <w:tcW w:w="7020" w:type="dxa"/>
            <w:shd w:val="clear" w:color="auto" w:fill="auto"/>
            <w:vAlign w:val="center"/>
          </w:tcPr>
          <w:p w14:paraId="3D859508" w14:textId="77777777" w:rsidR="00533827" w:rsidRPr="00EF7D00" w:rsidRDefault="00533827" w:rsidP="00EF7D00">
            <w:pPr>
              <w:tabs>
                <w:tab w:val="left" w:pos="360"/>
              </w:tabs>
              <w:rPr>
                <w:color w:val="000000"/>
              </w:rPr>
            </w:pPr>
            <w:r w:rsidRPr="00EF7D00">
              <w:rPr>
                <w:color w:val="000000"/>
              </w:rPr>
              <w:t xml:space="preserve">Responses per respondent </w:t>
            </w:r>
          </w:p>
        </w:tc>
        <w:tc>
          <w:tcPr>
            <w:tcW w:w="2250" w:type="dxa"/>
            <w:shd w:val="clear" w:color="auto" w:fill="auto"/>
            <w:vAlign w:val="center"/>
          </w:tcPr>
          <w:p w14:paraId="48B32295" w14:textId="52F3833E" w:rsidR="00533827" w:rsidRPr="00EF7D00" w:rsidRDefault="000F629D" w:rsidP="00EF7D00">
            <w:pPr>
              <w:pStyle w:val="NormalWeb"/>
              <w:tabs>
                <w:tab w:val="left" w:pos="360"/>
              </w:tabs>
              <w:spacing w:before="0" w:beforeAutospacing="0" w:after="0" w:afterAutospacing="0"/>
              <w:contextualSpacing/>
              <w:jc w:val="right"/>
            </w:pPr>
            <w:r>
              <w:t>10</w:t>
            </w:r>
          </w:p>
        </w:tc>
      </w:tr>
      <w:tr w:rsidR="00533827" w:rsidRPr="00EF7D00" w14:paraId="35C726A7" w14:textId="77777777" w:rsidTr="0009682D">
        <w:trPr>
          <w:trHeight w:val="389"/>
        </w:trPr>
        <w:tc>
          <w:tcPr>
            <w:tcW w:w="7020" w:type="dxa"/>
            <w:shd w:val="clear" w:color="auto" w:fill="auto"/>
            <w:vAlign w:val="center"/>
          </w:tcPr>
          <w:p w14:paraId="60CED921" w14:textId="77777777" w:rsidR="00533827" w:rsidRPr="00EF7D00" w:rsidRDefault="00533827" w:rsidP="00EF7D00">
            <w:pPr>
              <w:tabs>
                <w:tab w:val="left" w:pos="360"/>
              </w:tabs>
              <w:rPr>
                <w:color w:val="000000"/>
              </w:rPr>
            </w:pPr>
            <w:r w:rsidRPr="00EF7D00">
              <w:rPr>
                <w:color w:val="000000"/>
              </w:rPr>
              <w:t xml:space="preserve">Number of responses </w:t>
            </w:r>
          </w:p>
        </w:tc>
        <w:tc>
          <w:tcPr>
            <w:tcW w:w="2250" w:type="dxa"/>
            <w:shd w:val="clear" w:color="auto" w:fill="auto"/>
            <w:vAlign w:val="center"/>
          </w:tcPr>
          <w:p w14:paraId="7A6CAA1D" w14:textId="1088CB71" w:rsidR="00533827" w:rsidRPr="00EF7D00" w:rsidRDefault="009A4744" w:rsidP="00EF7D00">
            <w:pPr>
              <w:pStyle w:val="NormalWeb"/>
              <w:tabs>
                <w:tab w:val="left" w:pos="360"/>
              </w:tabs>
              <w:spacing w:before="0" w:beforeAutospacing="0" w:after="0" w:afterAutospacing="0"/>
              <w:contextualSpacing/>
              <w:jc w:val="right"/>
            </w:pPr>
            <w:r w:rsidRPr="00EF7D00">
              <w:t>32,14</w:t>
            </w:r>
            <w:r w:rsidR="00EC79AB" w:rsidRPr="00EF7D00">
              <w:t>2</w:t>
            </w:r>
          </w:p>
        </w:tc>
      </w:tr>
      <w:tr w:rsidR="00533827" w:rsidRPr="00EF7D00" w14:paraId="3EAE0D50" w14:textId="77777777" w:rsidTr="0009682D">
        <w:trPr>
          <w:trHeight w:val="389"/>
        </w:trPr>
        <w:tc>
          <w:tcPr>
            <w:tcW w:w="7020" w:type="dxa"/>
            <w:shd w:val="clear" w:color="auto" w:fill="auto"/>
            <w:vAlign w:val="center"/>
          </w:tcPr>
          <w:p w14:paraId="3422A1EC" w14:textId="77777777" w:rsidR="00533827" w:rsidRPr="00EF7D00" w:rsidRDefault="00533827" w:rsidP="00EF7D00">
            <w:pPr>
              <w:tabs>
                <w:tab w:val="left" w:pos="360"/>
              </w:tabs>
              <w:rPr>
                <w:color w:val="000000"/>
              </w:rPr>
            </w:pPr>
            <w:r w:rsidRPr="00EF7D00">
              <w:rPr>
                <w:color w:val="000000"/>
              </w:rPr>
              <w:t xml:space="preserve">Hours per response </w:t>
            </w:r>
          </w:p>
        </w:tc>
        <w:tc>
          <w:tcPr>
            <w:tcW w:w="2250" w:type="dxa"/>
            <w:shd w:val="clear" w:color="auto" w:fill="auto"/>
            <w:vAlign w:val="center"/>
          </w:tcPr>
          <w:p w14:paraId="2FAA98A0" w14:textId="77777777" w:rsidR="00533827" w:rsidRPr="00EF7D00" w:rsidRDefault="00DD0AFC" w:rsidP="00EF7D00">
            <w:pPr>
              <w:pStyle w:val="NormalWeb"/>
              <w:tabs>
                <w:tab w:val="left" w:pos="360"/>
              </w:tabs>
              <w:spacing w:before="0" w:beforeAutospacing="0" w:after="0" w:afterAutospacing="0"/>
              <w:contextualSpacing/>
              <w:jc w:val="right"/>
            </w:pPr>
            <w:r w:rsidRPr="00EF7D00">
              <w:t>1</w:t>
            </w:r>
          </w:p>
        </w:tc>
      </w:tr>
      <w:tr w:rsidR="00533827" w:rsidRPr="00EF7D00" w14:paraId="34DF1313" w14:textId="77777777" w:rsidTr="0009682D">
        <w:trPr>
          <w:trHeight w:val="389"/>
        </w:trPr>
        <w:tc>
          <w:tcPr>
            <w:tcW w:w="7020" w:type="dxa"/>
            <w:shd w:val="clear" w:color="auto" w:fill="auto"/>
            <w:vAlign w:val="center"/>
          </w:tcPr>
          <w:p w14:paraId="36419213" w14:textId="26C82C76" w:rsidR="00533827" w:rsidRPr="00EF7D00" w:rsidRDefault="00533827" w:rsidP="00CD0E0C">
            <w:pPr>
              <w:tabs>
                <w:tab w:val="left" w:pos="360"/>
              </w:tabs>
              <w:rPr>
                <w:color w:val="000000"/>
              </w:rPr>
            </w:pPr>
            <w:r w:rsidRPr="00EF7D00">
              <w:rPr>
                <w:color w:val="000000"/>
              </w:rPr>
              <w:t>Estimated hours</w:t>
            </w:r>
            <w:r w:rsidR="00746F33" w:rsidRPr="00EF7D00">
              <w:rPr>
                <w:color w:val="000000"/>
              </w:rPr>
              <w:t xml:space="preserve"> </w:t>
            </w:r>
          </w:p>
        </w:tc>
        <w:tc>
          <w:tcPr>
            <w:tcW w:w="2250" w:type="dxa"/>
            <w:shd w:val="clear" w:color="auto" w:fill="auto"/>
            <w:vAlign w:val="center"/>
          </w:tcPr>
          <w:p w14:paraId="0C8DBED8" w14:textId="4CE61F4C" w:rsidR="00533827" w:rsidRPr="00EF7D00" w:rsidRDefault="009A4744" w:rsidP="00EF7D00">
            <w:pPr>
              <w:pStyle w:val="NormalWeb"/>
              <w:tabs>
                <w:tab w:val="left" w:pos="360"/>
              </w:tabs>
              <w:spacing w:before="0" w:beforeAutospacing="0" w:after="0" w:afterAutospacing="0"/>
              <w:contextualSpacing/>
              <w:jc w:val="right"/>
            </w:pPr>
            <w:r w:rsidRPr="00EF7D00">
              <w:t>32,14</w:t>
            </w:r>
            <w:r w:rsidR="00EC79AB" w:rsidRPr="00EF7D00">
              <w:t>2</w:t>
            </w:r>
          </w:p>
        </w:tc>
      </w:tr>
      <w:tr w:rsidR="00533827" w:rsidRPr="00EF7D00" w14:paraId="67536625" w14:textId="77777777" w:rsidTr="0009682D">
        <w:trPr>
          <w:trHeight w:val="389"/>
        </w:trPr>
        <w:tc>
          <w:tcPr>
            <w:tcW w:w="7020" w:type="dxa"/>
            <w:shd w:val="clear" w:color="auto" w:fill="auto"/>
            <w:vAlign w:val="center"/>
          </w:tcPr>
          <w:p w14:paraId="6CEB98FD" w14:textId="77777777" w:rsidR="00533827" w:rsidRPr="00EF7D00" w:rsidRDefault="00533827" w:rsidP="00EF7D00">
            <w:pPr>
              <w:tabs>
                <w:tab w:val="left" w:pos="360"/>
              </w:tabs>
              <w:rPr>
                <w:color w:val="000000"/>
              </w:rPr>
            </w:pPr>
            <w:r w:rsidRPr="00EF7D00">
              <w:rPr>
                <w:color w:val="000000"/>
              </w:rPr>
              <w:t xml:space="preserve">Cost per hour </w:t>
            </w:r>
            <w:r w:rsidR="00746F33" w:rsidRPr="00EF7D00">
              <w:rPr>
                <w:color w:val="000000"/>
              </w:rPr>
              <w:t>(hourly wage)</w:t>
            </w:r>
          </w:p>
        </w:tc>
        <w:tc>
          <w:tcPr>
            <w:tcW w:w="2250" w:type="dxa"/>
            <w:shd w:val="clear" w:color="auto" w:fill="auto"/>
            <w:vAlign w:val="center"/>
          </w:tcPr>
          <w:p w14:paraId="255920FE" w14:textId="04A303BB" w:rsidR="00533827" w:rsidRPr="00EF7D00" w:rsidRDefault="009A4744" w:rsidP="00EF7D00">
            <w:pPr>
              <w:pStyle w:val="NormalWeb"/>
              <w:tabs>
                <w:tab w:val="left" w:pos="360"/>
              </w:tabs>
              <w:spacing w:before="0" w:beforeAutospacing="0" w:after="0" w:afterAutospacing="0"/>
              <w:contextualSpacing/>
              <w:jc w:val="right"/>
            </w:pPr>
            <w:r w:rsidRPr="00EF7D00">
              <w:t>$</w:t>
            </w:r>
            <w:r w:rsidR="00EC79AB" w:rsidRPr="00EF7D00">
              <w:t>45</w:t>
            </w:r>
          </w:p>
        </w:tc>
      </w:tr>
      <w:tr w:rsidR="00533827" w:rsidRPr="00EF7D00" w14:paraId="218634D7" w14:textId="77777777" w:rsidTr="0009682D">
        <w:trPr>
          <w:trHeight w:val="389"/>
        </w:trPr>
        <w:tc>
          <w:tcPr>
            <w:tcW w:w="7020" w:type="dxa"/>
            <w:shd w:val="clear" w:color="auto" w:fill="auto"/>
            <w:vAlign w:val="center"/>
          </w:tcPr>
          <w:p w14:paraId="05828A4A" w14:textId="685E7292" w:rsidR="00533827" w:rsidRPr="00EF7D00" w:rsidRDefault="00533827" w:rsidP="00CD0E0C">
            <w:pPr>
              <w:tabs>
                <w:tab w:val="left" w:pos="360"/>
              </w:tabs>
              <w:rPr>
                <w:color w:val="000000"/>
              </w:rPr>
            </w:pPr>
            <w:r w:rsidRPr="00EF7D00">
              <w:rPr>
                <w:color w:val="000000"/>
              </w:rPr>
              <w:t>Annual public burden</w:t>
            </w:r>
            <w:r w:rsidR="00746F33" w:rsidRPr="00EF7D00">
              <w:rPr>
                <w:color w:val="000000"/>
              </w:rPr>
              <w:t xml:space="preserve"> </w:t>
            </w:r>
          </w:p>
        </w:tc>
        <w:tc>
          <w:tcPr>
            <w:tcW w:w="2250" w:type="dxa"/>
            <w:shd w:val="clear" w:color="auto" w:fill="auto"/>
            <w:vAlign w:val="center"/>
          </w:tcPr>
          <w:p w14:paraId="7BFFDB1F" w14:textId="754988B9" w:rsidR="00533827" w:rsidRPr="00EF7D00" w:rsidRDefault="009A4744" w:rsidP="00EF7D00">
            <w:pPr>
              <w:pStyle w:val="NormalWeb"/>
              <w:tabs>
                <w:tab w:val="left" w:pos="360"/>
              </w:tabs>
              <w:spacing w:before="0" w:beforeAutospacing="0" w:after="0" w:afterAutospacing="0"/>
              <w:contextualSpacing/>
              <w:jc w:val="right"/>
            </w:pPr>
            <w:r w:rsidRPr="00EF7D00">
              <w:t>$1,</w:t>
            </w:r>
            <w:r w:rsidR="00EC79AB" w:rsidRPr="00EF7D00">
              <w:t>446</w:t>
            </w:r>
            <w:r w:rsidRPr="00EF7D00">
              <w:t>,</w:t>
            </w:r>
            <w:r w:rsidR="00EC79AB" w:rsidRPr="00EF7D00">
              <w:t>390</w:t>
            </w:r>
          </w:p>
        </w:tc>
      </w:tr>
    </w:tbl>
    <w:p w14:paraId="34A5EA42" w14:textId="0B2D3BA0" w:rsidR="00746F33" w:rsidRPr="00EF7D00" w:rsidRDefault="00746F33" w:rsidP="00EF7D00">
      <w:pPr>
        <w:pStyle w:val="NormalWeb"/>
        <w:tabs>
          <w:tab w:val="left" w:pos="360"/>
          <w:tab w:val="left" w:pos="720"/>
          <w:tab w:val="left" w:pos="1080"/>
          <w:tab w:val="left" w:pos="1440"/>
        </w:tabs>
        <w:spacing w:before="0" w:beforeAutospacing="0" w:after="0" w:afterAutospacing="0"/>
      </w:pPr>
      <w:bookmarkStart w:id="13" w:name="cp462"/>
      <w:bookmarkEnd w:id="12"/>
    </w:p>
    <w:p w14:paraId="5C18AAC2" w14:textId="3AB6058E" w:rsidR="00DD0AFC" w:rsidRPr="00EF7D00" w:rsidRDefault="00DD0AFC" w:rsidP="00EF7D00">
      <w:pPr>
        <w:tabs>
          <w:tab w:val="left" w:pos="360"/>
        </w:tabs>
      </w:pPr>
      <w:r w:rsidRPr="00EF7D00">
        <w:tab/>
      </w:r>
      <w:r w:rsidR="000F629D">
        <w:tab/>
      </w:r>
      <w:r w:rsidR="00C07B93">
        <w:t>ii.</w:t>
      </w:r>
      <w:r w:rsidR="000F629D">
        <w:t xml:space="preserve">  </w:t>
      </w:r>
      <w:r w:rsidRPr="00EF7D00">
        <w:t xml:space="preserve">Paragraph (d) </w:t>
      </w:r>
      <w:r w:rsidR="00E93E8F" w:rsidRPr="00EF7D00">
        <w:t xml:space="preserve">of the clause </w:t>
      </w:r>
      <w:r w:rsidRPr="00EF7D00">
        <w:t xml:space="preserve">requires only the successful offeror to submit, before award, a copy of the hazard warning label for all hazardous materials not listed in paragraph (c) of the clause.  Based on an estimate that 80 percent of the </w:t>
      </w:r>
      <w:r w:rsidR="00516774" w:rsidRPr="00EF7D00">
        <w:t>unique vendors received awards involving h</w:t>
      </w:r>
      <w:r w:rsidRPr="00EF7D00">
        <w:t xml:space="preserve">azardous material not listed in paragraph (c), we estimate </w:t>
      </w:r>
      <w:r w:rsidR="00516774" w:rsidRPr="00EF7D00">
        <w:t xml:space="preserve">the number of respondents to be </w:t>
      </w:r>
      <w:r w:rsidR="00E4100B" w:rsidRPr="00EF7D00">
        <w:t xml:space="preserve">approximately </w:t>
      </w:r>
      <w:r w:rsidR="00516774" w:rsidRPr="00EF7D00">
        <w:t>1,522</w:t>
      </w:r>
      <w:r w:rsidRPr="00EF7D00">
        <w:t xml:space="preserve"> (</w:t>
      </w:r>
      <w:r w:rsidR="00516774" w:rsidRPr="00EF7D00">
        <w:t>1,903</w:t>
      </w:r>
      <w:r w:rsidR="00B95160" w:rsidRPr="00EF7D00">
        <w:t xml:space="preserve"> </w:t>
      </w:r>
      <w:r w:rsidR="00C07B93">
        <w:t>*</w:t>
      </w:r>
      <w:r w:rsidR="00C07B93" w:rsidRPr="00EF7D00">
        <w:t xml:space="preserve"> </w:t>
      </w:r>
      <w:r w:rsidRPr="00EF7D00">
        <w:t>.8</w:t>
      </w:r>
      <w:r w:rsidR="00B95160" w:rsidRPr="00EF7D00">
        <w:t>0)</w:t>
      </w:r>
      <w:r w:rsidR="00516774" w:rsidRPr="00EF7D00">
        <w:t>,</w:t>
      </w:r>
      <w:r w:rsidRPr="00EF7D00">
        <w:t xml:space="preserve"> </w:t>
      </w:r>
      <w:r w:rsidR="003803F2" w:rsidRPr="00EF7D00">
        <w:t>80% of awarded contracts are impacted resulting in</w:t>
      </w:r>
      <w:r w:rsidR="00132159" w:rsidRPr="00EF7D00">
        <w:t xml:space="preserve"> 12,176 responses (15,105 </w:t>
      </w:r>
      <w:r w:rsidR="00C07B93">
        <w:t>*</w:t>
      </w:r>
      <w:r w:rsidR="00C07B93" w:rsidRPr="00EF7D00">
        <w:t xml:space="preserve"> </w:t>
      </w:r>
      <w:r w:rsidR="00132159" w:rsidRPr="00EF7D00">
        <w:t>.8)</w:t>
      </w:r>
      <w:r w:rsidRPr="00EF7D00">
        <w:t xml:space="preserve">, </w:t>
      </w:r>
      <w:r w:rsidR="0023367A" w:rsidRPr="00EF7D00">
        <w:t>30 minutes</w:t>
      </w:r>
      <w:r w:rsidRPr="00EF7D00">
        <w:t xml:space="preserve"> per response, and an estimated cost of</w:t>
      </w:r>
      <w:r w:rsidR="00516774" w:rsidRPr="00EF7D00">
        <w:t xml:space="preserve"> $</w:t>
      </w:r>
      <w:r w:rsidR="00E4100B" w:rsidRPr="00EF7D00">
        <w:t>30</w:t>
      </w:r>
      <w:r w:rsidRPr="00EF7D00">
        <w:t xml:space="preserve"> per hour (the equivalent of a GS-7, step 5 salary of </w:t>
      </w:r>
      <w:r w:rsidR="005F2452" w:rsidRPr="00EF7D00">
        <w:t>$</w:t>
      </w:r>
      <w:r w:rsidR="00E4100B" w:rsidRPr="00EF7D00">
        <w:t>220.9</w:t>
      </w:r>
      <w:r w:rsidR="005F2452" w:rsidRPr="00EF7D00">
        <w:t>,</w:t>
      </w:r>
      <w:r w:rsidRPr="00EF7D00">
        <w:t xml:space="preserve"> plus</w:t>
      </w:r>
      <w:r w:rsidR="005F2452" w:rsidRPr="00EF7D00">
        <w:t xml:space="preserve"> 36.35</w:t>
      </w:r>
      <w:r w:rsidRPr="00EF7D00">
        <w:t xml:space="preserve"> percent burden rounded to</w:t>
      </w:r>
      <w:r w:rsidR="005F2452" w:rsidRPr="00EF7D00">
        <w:t xml:space="preserve"> the nearest whole dollar):</w:t>
      </w:r>
    </w:p>
    <w:p w14:paraId="1D360A96" w14:textId="77777777" w:rsidR="00D820C3" w:rsidRPr="00EF7D00" w:rsidRDefault="00D820C3" w:rsidP="00EF7D00">
      <w:pPr>
        <w:tabs>
          <w:tab w:val="left" w:pos="360"/>
        </w:tabs>
        <w:ind w:hanging="36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DD0AFC" w:rsidRPr="00EF7D00" w14:paraId="3F0339B5" w14:textId="77777777" w:rsidTr="0009682D">
        <w:trPr>
          <w:trHeight w:val="389"/>
        </w:trPr>
        <w:tc>
          <w:tcPr>
            <w:tcW w:w="9270" w:type="dxa"/>
            <w:gridSpan w:val="2"/>
            <w:shd w:val="clear" w:color="auto" w:fill="auto"/>
            <w:vAlign w:val="center"/>
          </w:tcPr>
          <w:p w14:paraId="118539B3" w14:textId="77777777" w:rsidR="00DD0AFC" w:rsidRPr="00EF7D00" w:rsidRDefault="00DD0AFC" w:rsidP="00EF7D00">
            <w:pPr>
              <w:pStyle w:val="NormalWeb"/>
              <w:tabs>
                <w:tab w:val="left" w:pos="360"/>
              </w:tabs>
              <w:spacing w:before="0" w:beforeAutospacing="0" w:after="0" w:afterAutospacing="0"/>
              <w:jc w:val="center"/>
            </w:pPr>
            <w:r w:rsidRPr="00EF7D00">
              <w:t>Estimation of Respondent Burden Hours: 252.223-7001(d)</w:t>
            </w:r>
          </w:p>
        </w:tc>
      </w:tr>
      <w:tr w:rsidR="00DD0AFC" w:rsidRPr="00EF7D00" w14:paraId="5FE5A854" w14:textId="77777777" w:rsidTr="0009682D">
        <w:trPr>
          <w:trHeight w:val="389"/>
        </w:trPr>
        <w:tc>
          <w:tcPr>
            <w:tcW w:w="7020" w:type="dxa"/>
            <w:shd w:val="clear" w:color="auto" w:fill="auto"/>
            <w:vAlign w:val="center"/>
          </w:tcPr>
          <w:p w14:paraId="79C998A3" w14:textId="77777777" w:rsidR="00DD0AFC" w:rsidRPr="00EF7D00" w:rsidRDefault="00DD0AFC" w:rsidP="00EF7D00">
            <w:pPr>
              <w:tabs>
                <w:tab w:val="left" w:pos="360"/>
              </w:tabs>
              <w:rPr>
                <w:color w:val="000000"/>
              </w:rPr>
            </w:pPr>
            <w:r w:rsidRPr="00EF7D00">
              <w:rPr>
                <w:color w:val="000000"/>
              </w:rPr>
              <w:t xml:space="preserve">Number of respondents </w:t>
            </w:r>
          </w:p>
        </w:tc>
        <w:tc>
          <w:tcPr>
            <w:tcW w:w="2250" w:type="dxa"/>
            <w:shd w:val="clear" w:color="auto" w:fill="auto"/>
            <w:vAlign w:val="center"/>
          </w:tcPr>
          <w:p w14:paraId="45F194C8" w14:textId="77777777" w:rsidR="00DD0AFC" w:rsidRPr="00EF7D00" w:rsidRDefault="0023367A" w:rsidP="00EF7D00">
            <w:pPr>
              <w:pStyle w:val="NormalWeb"/>
              <w:tabs>
                <w:tab w:val="left" w:pos="360"/>
              </w:tabs>
              <w:spacing w:before="0" w:beforeAutospacing="0" w:after="0" w:afterAutospacing="0"/>
              <w:jc w:val="right"/>
            </w:pPr>
            <w:r w:rsidRPr="00EF7D00">
              <w:t>1,522</w:t>
            </w:r>
          </w:p>
        </w:tc>
      </w:tr>
      <w:tr w:rsidR="00DD0AFC" w:rsidRPr="00EF7D00" w14:paraId="22DBF457" w14:textId="77777777" w:rsidTr="0009682D">
        <w:trPr>
          <w:trHeight w:val="389"/>
        </w:trPr>
        <w:tc>
          <w:tcPr>
            <w:tcW w:w="7020" w:type="dxa"/>
            <w:shd w:val="clear" w:color="auto" w:fill="auto"/>
            <w:vAlign w:val="center"/>
          </w:tcPr>
          <w:p w14:paraId="08777908" w14:textId="77777777" w:rsidR="00DD0AFC" w:rsidRPr="00EF7D00" w:rsidRDefault="00DD0AFC" w:rsidP="00EF7D00">
            <w:pPr>
              <w:tabs>
                <w:tab w:val="left" w:pos="360"/>
              </w:tabs>
              <w:rPr>
                <w:color w:val="000000"/>
              </w:rPr>
            </w:pPr>
            <w:r w:rsidRPr="00EF7D00">
              <w:rPr>
                <w:color w:val="000000"/>
              </w:rPr>
              <w:t xml:space="preserve">Responses per respondent </w:t>
            </w:r>
          </w:p>
        </w:tc>
        <w:tc>
          <w:tcPr>
            <w:tcW w:w="2250" w:type="dxa"/>
            <w:shd w:val="clear" w:color="auto" w:fill="auto"/>
            <w:vAlign w:val="center"/>
          </w:tcPr>
          <w:p w14:paraId="6A6AEB90" w14:textId="1E60DCE1" w:rsidR="00DD0AFC" w:rsidRPr="00EF7D00" w:rsidRDefault="00CD0E0C" w:rsidP="00EF7D00">
            <w:pPr>
              <w:pStyle w:val="NormalWeb"/>
              <w:tabs>
                <w:tab w:val="left" w:pos="360"/>
              </w:tabs>
              <w:spacing w:before="0" w:beforeAutospacing="0" w:after="0" w:afterAutospacing="0"/>
              <w:contextualSpacing/>
              <w:jc w:val="right"/>
            </w:pPr>
            <w:r>
              <w:t xml:space="preserve"> </w:t>
            </w:r>
            <w:r w:rsidR="005645C4" w:rsidRPr="00EF7D00">
              <w:t xml:space="preserve">  </w:t>
            </w:r>
            <w:r w:rsidR="001C0C40" w:rsidRPr="00EF7D00">
              <w:t>8</w:t>
            </w:r>
          </w:p>
        </w:tc>
      </w:tr>
      <w:tr w:rsidR="00DD0AFC" w:rsidRPr="00EF7D00" w14:paraId="64CB8F68" w14:textId="77777777" w:rsidTr="0009682D">
        <w:trPr>
          <w:trHeight w:val="389"/>
        </w:trPr>
        <w:tc>
          <w:tcPr>
            <w:tcW w:w="7020" w:type="dxa"/>
            <w:shd w:val="clear" w:color="auto" w:fill="auto"/>
            <w:vAlign w:val="center"/>
          </w:tcPr>
          <w:p w14:paraId="6B397F33" w14:textId="77777777" w:rsidR="00DD0AFC" w:rsidRPr="00EF7D00" w:rsidRDefault="00DD0AFC" w:rsidP="00EF7D00">
            <w:pPr>
              <w:tabs>
                <w:tab w:val="left" w:pos="360"/>
              </w:tabs>
              <w:rPr>
                <w:color w:val="000000"/>
              </w:rPr>
            </w:pPr>
            <w:r w:rsidRPr="00EF7D00">
              <w:rPr>
                <w:color w:val="000000"/>
              </w:rPr>
              <w:t xml:space="preserve">Number of responses </w:t>
            </w:r>
          </w:p>
        </w:tc>
        <w:tc>
          <w:tcPr>
            <w:tcW w:w="2250" w:type="dxa"/>
            <w:shd w:val="clear" w:color="auto" w:fill="auto"/>
            <w:vAlign w:val="center"/>
          </w:tcPr>
          <w:p w14:paraId="17D1C051" w14:textId="006FC3C3" w:rsidR="00DD0AFC" w:rsidRPr="00EF7D00" w:rsidRDefault="001C0C40" w:rsidP="00EF7D00">
            <w:pPr>
              <w:pStyle w:val="NormalWeb"/>
              <w:tabs>
                <w:tab w:val="left" w:pos="360"/>
              </w:tabs>
              <w:spacing w:before="0" w:beforeAutospacing="0" w:after="0" w:afterAutospacing="0"/>
              <w:contextualSpacing/>
              <w:jc w:val="right"/>
            </w:pPr>
            <w:r w:rsidRPr="00EF7D00">
              <w:t>1</w:t>
            </w:r>
            <w:r w:rsidR="0023367A" w:rsidRPr="00EF7D00">
              <w:t>2,</w:t>
            </w:r>
            <w:r w:rsidRPr="00EF7D00">
              <w:t>176</w:t>
            </w:r>
          </w:p>
        </w:tc>
      </w:tr>
      <w:tr w:rsidR="00DD0AFC" w:rsidRPr="00EF7D00" w14:paraId="46A151E9" w14:textId="77777777" w:rsidTr="0009682D">
        <w:trPr>
          <w:trHeight w:val="389"/>
        </w:trPr>
        <w:tc>
          <w:tcPr>
            <w:tcW w:w="7020" w:type="dxa"/>
            <w:shd w:val="clear" w:color="auto" w:fill="auto"/>
            <w:vAlign w:val="center"/>
          </w:tcPr>
          <w:p w14:paraId="70497A85" w14:textId="77777777" w:rsidR="00DD0AFC" w:rsidRPr="00EF7D00" w:rsidRDefault="00DD0AFC" w:rsidP="00EF7D00">
            <w:pPr>
              <w:tabs>
                <w:tab w:val="left" w:pos="360"/>
              </w:tabs>
              <w:rPr>
                <w:color w:val="000000"/>
              </w:rPr>
            </w:pPr>
            <w:r w:rsidRPr="00EF7D00">
              <w:rPr>
                <w:color w:val="000000"/>
              </w:rPr>
              <w:t xml:space="preserve">Hours per response </w:t>
            </w:r>
          </w:p>
        </w:tc>
        <w:tc>
          <w:tcPr>
            <w:tcW w:w="2250" w:type="dxa"/>
            <w:shd w:val="clear" w:color="auto" w:fill="auto"/>
            <w:vAlign w:val="center"/>
          </w:tcPr>
          <w:p w14:paraId="4DEE362E" w14:textId="626EA692" w:rsidR="00DD0AFC" w:rsidRPr="00EF7D00" w:rsidRDefault="00CD0E0C" w:rsidP="00EF7D00">
            <w:pPr>
              <w:pStyle w:val="NormalWeb"/>
              <w:tabs>
                <w:tab w:val="left" w:pos="360"/>
              </w:tabs>
              <w:spacing w:before="0" w:beforeAutospacing="0" w:after="0" w:afterAutospacing="0"/>
              <w:contextualSpacing/>
              <w:jc w:val="right"/>
            </w:pPr>
            <w:r>
              <w:t xml:space="preserve"> </w:t>
            </w:r>
            <w:r w:rsidR="005645C4" w:rsidRPr="00EF7D00">
              <w:t xml:space="preserve">  .</w:t>
            </w:r>
            <w:r w:rsidR="001C0C40" w:rsidRPr="00EF7D00">
              <w:t>25</w:t>
            </w:r>
          </w:p>
        </w:tc>
      </w:tr>
      <w:tr w:rsidR="00DD0AFC" w:rsidRPr="00EF7D00" w14:paraId="5784B58F" w14:textId="77777777" w:rsidTr="0009682D">
        <w:trPr>
          <w:trHeight w:val="389"/>
        </w:trPr>
        <w:tc>
          <w:tcPr>
            <w:tcW w:w="7020" w:type="dxa"/>
            <w:shd w:val="clear" w:color="auto" w:fill="auto"/>
            <w:vAlign w:val="center"/>
          </w:tcPr>
          <w:p w14:paraId="35D03142" w14:textId="0A5E44BA" w:rsidR="00DD0AFC" w:rsidRPr="00EF7D00" w:rsidRDefault="00DD0AFC" w:rsidP="00CD0E0C">
            <w:pPr>
              <w:tabs>
                <w:tab w:val="left" w:pos="360"/>
              </w:tabs>
              <w:rPr>
                <w:color w:val="000000"/>
              </w:rPr>
            </w:pPr>
            <w:r w:rsidRPr="00EF7D00">
              <w:rPr>
                <w:color w:val="000000"/>
              </w:rPr>
              <w:t xml:space="preserve">Estimated hours </w:t>
            </w:r>
          </w:p>
        </w:tc>
        <w:tc>
          <w:tcPr>
            <w:tcW w:w="2250" w:type="dxa"/>
            <w:shd w:val="clear" w:color="auto" w:fill="auto"/>
            <w:vAlign w:val="center"/>
          </w:tcPr>
          <w:p w14:paraId="0EFE941C" w14:textId="47046613" w:rsidR="00DD0AFC" w:rsidRPr="00EF7D00" w:rsidRDefault="00C9075D" w:rsidP="00EF7D00">
            <w:pPr>
              <w:pStyle w:val="NormalWeb"/>
              <w:tabs>
                <w:tab w:val="left" w:pos="360"/>
              </w:tabs>
              <w:spacing w:before="0" w:beforeAutospacing="0" w:after="0" w:afterAutospacing="0"/>
              <w:contextualSpacing/>
              <w:jc w:val="right"/>
            </w:pPr>
            <w:r w:rsidRPr="00EF7D00">
              <w:t>3,044</w:t>
            </w:r>
          </w:p>
        </w:tc>
      </w:tr>
      <w:tr w:rsidR="00DD0AFC" w:rsidRPr="00EF7D00" w14:paraId="58860C15" w14:textId="77777777" w:rsidTr="0009682D">
        <w:trPr>
          <w:trHeight w:val="389"/>
        </w:trPr>
        <w:tc>
          <w:tcPr>
            <w:tcW w:w="7020" w:type="dxa"/>
            <w:shd w:val="clear" w:color="auto" w:fill="auto"/>
            <w:vAlign w:val="center"/>
          </w:tcPr>
          <w:p w14:paraId="1936226B" w14:textId="77777777" w:rsidR="00DD0AFC" w:rsidRPr="00EF7D00" w:rsidRDefault="00DD0AFC" w:rsidP="00EF7D00">
            <w:pPr>
              <w:tabs>
                <w:tab w:val="left" w:pos="360"/>
              </w:tabs>
              <w:rPr>
                <w:color w:val="000000"/>
              </w:rPr>
            </w:pPr>
            <w:r w:rsidRPr="00EF7D00">
              <w:rPr>
                <w:color w:val="000000"/>
              </w:rPr>
              <w:t>Cost per hour (hourly wage)</w:t>
            </w:r>
          </w:p>
        </w:tc>
        <w:tc>
          <w:tcPr>
            <w:tcW w:w="2250" w:type="dxa"/>
            <w:shd w:val="clear" w:color="auto" w:fill="auto"/>
            <w:vAlign w:val="center"/>
          </w:tcPr>
          <w:p w14:paraId="4CD312D3" w14:textId="71F0503E" w:rsidR="00DD0AFC" w:rsidRPr="00EF7D00" w:rsidRDefault="00CD0E0C" w:rsidP="00EF7D00">
            <w:pPr>
              <w:pStyle w:val="NormalWeb"/>
              <w:tabs>
                <w:tab w:val="left" w:pos="360"/>
              </w:tabs>
              <w:spacing w:before="0" w:beforeAutospacing="0" w:after="0" w:afterAutospacing="0"/>
              <w:contextualSpacing/>
              <w:jc w:val="right"/>
            </w:pPr>
            <w:r>
              <w:t xml:space="preserve"> </w:t>
            </w:r>
            <w:r w:rsidR="005645C4" w:rsidRPr="00EF7D00">
              <w:t xml:space="preserve">  $</w:t>
            </w:r>
            <w:r w:rsidR="001C0C40" w:rsidRPr="00EF7D00">
              <w:t>30</w:t>
            </w:r>
          </w:p>
        </w:tc>
      </w:tr>
      <w:tr w:rsidR="00DD0AFC" w:rsidRPr="00EF7D00" w14:paraId="5EBFD203" w14:textId="77777777" w:rsidTr="0009682D">
        <w:trPr>
          <w:trHeight w:val="389"/>
        </w:trPr>
        <w:tc>
          <w:tcPr>
            <w:tcW w:w="7020" w:type="dxa"/>
            <w:shd w:val="clear" w:color="auto" w:fill="auto"/>
            <w:vAlign w:val="center"/>
          </w:tcPr>
          <w:p w14:paraId="298A5CE5" w14:textId="5D7F4672" w:rsidR="00DD0AFC" w:rsidRPr="00EF7D00" w:rsidRDefault="00DD0AFC" w:rsidP="00CD0E0C">
            <w:pPr>
              <w:tabs>
                <w:tab w:val="left" w:pos="360"/>
              </w:tabs>
              <w:rPr>
                <w:color w:val="000000"/>
              </w:rPr>
            </w:pPr>
            <w:r w:rsidRPr="00EF7D00">
              <w:rPr>
                <w:color w:val="000000"/>
              </w:rPr>
              <w:t xml:space="preserve">Annual public burden </w:t>
            </w:r>
          </w:p>
        </w:tc>
        <w:tc>
          <w:tcPr>
            <w:tcW w:w="2250" w:type="dxa"/>
            <w:shd w:val="clear" w:color="auto" w:fill="auto"/>
            <w:vAlign w:val="center"/>
          </w:tcPr>
          <w:p w14:paraId="3C1A79CF" w14:textId="1E5B4E52" w:rsidR="00DD0AFC" w:rsidRPr="00EF7D00" w:rsidRDefault="005645C4" w:rsidP="00EF7D00">
            <w:pPr>
              <w:pStyle w:val="NormalWeb"/>
              <w:tabs>
                <w:tab w:val="left" w:pos="360"/>
              </w:tabs>
              <w:spacing w:before="0" w:beforeAutospacing="0" w:after="0" w:afterAutospacing="0"/>
              <w:contextualSpacing/>
              <w:jc w:val="right"/>
            </w:pPr>
            <w:r w:rsidRPr="00EF7D00">
              <w:t>$</w:t>
            </w:r>
            <w:r w:rsidR="001C0C40" w:rsidRPr="00EF7D00">
              <w:t>91,320</w:t>
            </w:r>
          </w:p>
        </w:tc>
      </w:tr>
    </w:tbl>
    <w:p w14:paraId="7FE8B8CB" w14:textId="77777777" w:rsidR="00DD0AFC" w:rsidRDefault="00DD0AFC" w:rsidP="00EF7D00">
      <w:pPr>
        <w:tabs>
          <w:tab w:val="left" w:pos="360"/>
        </w:tabs>
        <w:rPr>
          <w:b/>
        </w:rPr>
      </w:pPr>
    </w:p>
    <w:p w14:paraId="3A0F97B1" w14:textId="075A594C" w:rsidR="000F629D" w:rsidRPr="0009682D" w:rsidRDefault="004273D3" w:rsidP="00EF7D00">
      <w:pPr>
        <w:tabs>
          <w:tab w:val="left" w:pos="360"/>
        </w:tabs>
        <w:rPr>
          <w:i/>
        </w:rPr>
      </w:pPr>
      <w:r>
        <w:rPr>
          <w:i/>
        </w:rPr>
        <w:tab/>
      </w:r>
      <w:r w:rsidR="00C07B93" w:rsidRPr="0009682D">
        <w:rPr>
          <w:i/>
        </w:rPr>
        <w:t>NOTE:</w:t>
      </w:r>
      <w:r w:rsidR="000F629D" w:rsidRPr="0009682D">
        <w:rPr>
          <w:i/>
        </w:rPr>
        <w:t xml:space="preserve">  Respondents shown in </w:t>
      </w:r>
      <w:r w:rsidR="00C07B93" w:rsidRPr="0009682D">
        <w:rPr>
          <w:i/>
        </w:rPr>
        <w:t>12.a.ii.</w:t>
      </w:r>
      <w:r w:rsidR="000F629D" w:rsidRPr="0009682D">
        <w:rPr>
          <w:i/>
        </w:rPr>
        <w:t xml:space="preserve"> above are a subset of respondents </w:t>
      </w:r>
      <w:r w:rsidR="006F73BD" w:rsidRPr="0009682D">
        <w:rPr>
          <w:i/>
        </w:rPr>
        <w:t xml:space="preserve">represented </w:t>
      </w:r>
      <w:r w:rsidR="000F629D" w:rsidRPr="0009682D">
        <w:rPr>
          <w:i/>
        </w:rPr>
        <w:t xml:space="preserve">in </w:t>
      </w:r>
      <w:r w:rsidR="006F73BD" w:rsidRPr="0009682D">
        <w:rPr>
          <w:i/>
        </w:rPr>
        <w:t xml:space="preserve">paragraph </w:t>
      </w:r>
      <w:r w:rsidR="00C07B93" w:rsidRPr="0009682D">
        <w:rPr>
          <w:i/>
        </w:rPr>
        <w:t>12.a.i.</w:t>
      </w:r>
      <w:r w:rsidR="000F629D" w:rsidRPr="0009682D">
        <w:rPr>
          <w:i/>
        </w:rPr>
        <w:t>, and are therefore not additive.</w:t>
      </w:r>
    </w:p>
    <w:p w14:paraId="033B3573" w14:textId="77777777" w:rsidR="000F629D" w:rsidRPr="00EF7D00" w:rsidRDefault="000F629D" w:rsidP="00EF7D00">
      <w:pPr>
        <w:tabs>
          <w:tab w:val="left" w:pos="360"/>
        </w:tabs>
        <w:rPr>
          <w:b/>
        </w:rPr>
      </w:pPr>
    </w:p>
    <w:p w14:paraId="40F0E26E" w14:textId="669E39A0" w:rsidR="00E20660" w:rsidRDefault="00FD6E74" w:rsidP="00EF7D00">
      <w:pPr>
        <w:tabs>
          <w:tab w:val="left" w:pos="360"/>
        </w:tabs>
      </w:pPr>
      <w:r w:rsidRPr="00EF7D00">
        <w:tab/>
      </w:r>
      <w:r w:rsidR="0089510E" w:rsidRPr="00EF7D00">
        <w:t>b</w:t>
      </w:r>
      <w:r w:rsidR="00DD0AFC" w:rsidRPr="00EF7D00">
        <w:t xml:space="preserve">.  </w:t>
      </w:r>
      <w:r w:rsidR="00DD0AFC" w:rsidRPr="0009682D">
        <w:rPr>
          <w:u w:val="single"/>
        </w:rPr>
        <w:t>252.223-7002, Safety Precautions for Ammunition and Explosives, paragraphs (c), (d), and (g)</w:t>
      </w:r>
      <w:r w:rsidR="00DD0AFC" w:rsidRPr="00EF7D00">
        <w:t xml:space="preserve">.  </w:t>
      </w:r>
      <w:r w:rsidR="00C07B93">
        <w:t xml:space="preserve"> </w:t>
      </w:r>
      <w:r w:rsidR="00DD0AFC" w:rsidRPr="00EF7D00">
        <w:t xml:space="preserve">This clause is prescribed </w:t>
      </w:r>
      <w:r w:rsidR="00393F00" w:rsidRPr="00EF7D00">
        <w:t>at DFARS</w:t>
      </w:r>
      <w:r w:rsidR="00DD0AFC" w:rsidRPr="00EF7D00">
        <w:t xml:space="preserve"> 223.370-5 for use in solicitations and contracts for acquisitions </w:t>
      </w:r>
      <w:r w:rsidR="00E20660" w:rsidRPr="00EF7D00">
        <w:t>requiring the use or the incorporation of materials involving the initiation, propulsion, or detonation as an integral or component part of an explosive, an ammunition or explosive end item or weapon system</w:t>
      </w:r>
      <w:r w:rsidR="00004846" w:rsidRPr="00EF7D00">
        <w:t>.</w:t>
      </w:r>
    </w:p>
    <w:p w14:paraId="5666A44D" w14:textId="77777777" w:rsidR="00C07B93" w:rsidRPr="00EF7D00" w:rsidRDefault="00C07B93" w:rsidP="00EF7D00">
      <w:pPr>
        <w:tabs>
          <w:tab w:val="left" w:pos="360"/>
        </w:tabs>
      </w:pPr>
    </w:p>
    <w:p w14:paraId="4338C874" w14:textId="5C1110EA" w:rsidR="00DD0AFC" w:rsidRPr="00EF7D00" w:rsidRDefault="000A68E9" w:rsidP="00EF7D00">
      <w:pPr>
        <w:tabs>
          <w:tab w:val="left" w:pos="360"/>
        </w:tabs>
      </w:pPr>
      <w:r w:rsidRPr="00EF7D00">
        <w:tab/>
      </w:r>
      <w:r w:rsidR="000F629D">
        <w:tab/>
      </w:r>
      <w:r w:rsidR="00C07B93">
        <w:t>i.</w:t>
      </w:r>
      <w:r w:rsidR="000F629D">
        <w:t xml:space="preserve">  </w:t>
      </w:r>
      <w:r w:rsidR="00DD0AFC" w:rsidRPr="00EF7D00">
        <w:t xml:space="preserve">Paragraph (c)(2) </w:t>
      </w:r>
      <w:r w:rsidR="00CE6326" w:rsidRPr="00EF7D00">
        <w:t>requires the c</w:t>
      </w:r>
      <w:r w:rsidR="00DD0AFC" w:rsidRPr="00EF7D00">
        <w:t>ontractor, within 30 days of notification o</w:t>
      </w:r>
      <w:r w:rsidR="00CE6326" w:rsidRPr="00EF7D00">
        <w:t>f noncompliance, to notify the c</w:t>
      </w:r>
      <w:r w:rsidR="00281F73" w:rsidRPr="00EF7D00">
        <w:t>ontracting o</w:t>
      </w:r>
      <w:r w:rsidR="00DD0AFC" w:rsidRPr="00EF7D00">
        <w:t xml:space="preserve">fficer of </w:t>
      </w:r>
      <w:r w:rsidR="009C5149" w:rsidRPr="00EF7D00">
        <w:t xml:space="preserve">the corrective </w:t>
      </w:r>
      <w:r w:rsidR="00DD0AFC" w:rsidRPr="00EF7D00">
        <w:t>action</w:t>
      </w:r>
      <w:r w:rsidR="009564C0" w:rsidRPr="00EF7D00">
        <w:t>(</w:t>
      </w:r>
      <w:r w:rsidR="00DD0AFC" w:rsidRPr="00EF7D00">
        <w:t>s</w:t>
      </w:r>
      <w:r w:rsidR="009564C0" w:rsidRPr="00EF7D00">
        <w:t>) it has</w:t>
      </w:r>
      <w:r w:rsidR="00DD0AFC" w:rsidRPr="00EF7D00">
        <w:t xml:space="preserve"> taken.</w:t>
      </w:r>
      <w:r w:rsidR="009C5149" w:rsidRPr="00EF7D00">
        <w:t xml:space="preserve">  </w:t>
      </w:r>
      <w:r w:rsidR="008611B6" w:rsidRPr="00EF7D00">
        <w:t xml:space="preserve">Based on information provided </w:t>
      </w:r>
      <w:r w:rsidR="00A37628" w:rsidRPr="00EF7D00">
        <w:t>by the</w:t>
      </w:r>
      <w:r w:rsidR="008611B6" w:rsidRPr="00EF7D00">
        <w:t xml:space="preserve"> DoD Explosives and Safety Board</w:t>
      </w:r>
      <w:r w:rsidR="00E6087C" w:rsidRPr="00EF7D00">
        <w:t xml:space="preserve"> technical</w:t>
      </w:r>
      <w:r w:rsidR="002358A6" w:rsidRPr="00EF7D00">
        <w:t xml:space="preserve"> expert</w:t>
      </w:r>
      <w:r w:rsidR="00004846" w:rsidRPr="00EF7D00">
        <w:t>, we estimate there are</w:t>
      </w:r>
      <w:r w:rsidR="008611B6" w:rsidRPr="00EF7D00">
        <w:t xml:space="preserve"> </w:t>
      </w:r>
      <w:r w:rsidR="00004846" w:rsidRPr="00EF7D00">
        <w:t>approximately 332 DoD contractors performing on contracts involving ammunition and explosives</w:t>
      </w:r>
      <w:r w:rsidR="00757DB2" w:rsidRPr="00EF7D00">
        <w:t xml:space="preserve"> (A&amp;E)</w:t>
      </w:r>
      <w:r w:rsidR="00004846" w:rsidRPr="00EF7D00">
        <w:t xml:space="preserve">.  It is further estimated that </w:t>
      </w:r>
      <w:r w:rsidR="0005348C" w:rsidRPr="00EF7D00">
        <w:t>30</w:t>
      </w:r>
      <w:r w:rsidR="009564C0" w:rsidRPr="00EF7D00">
        <w:t xml:space="preserve"> </w:t>
      </w:r>
      <w:r w:rsidR="00DD0AFC" w:rsidRPr="00EF7D00">
        <w:t>percent of these contractors</w:t>
      </w:r>
      <w:r w:rsidR="009C5149" w:rsidRPr="00EF7D00">
        <w:t xml:space="preserve"> or </w:t>
      </w:r>
      <w:r w:rsidR="003803F2" w:rsidRPr="00EF7D00">
        <w:t>approximately 100</w:t>
      </w:r>
      <w:r w:rsidR="00230780" w:rsidRPr="00EF7D00">
        <w:t xml:space="preserve"> (</w:t>
      </w:r>
      <w:r w:rsidR="00004846" w:rsidRPr="00EF7D00">
        <w:t>332</w:t>
      </w:r>
      <w:r w:rsidR="009564C0" w:rsidRPr="00EF7D00">
        <w:t xml:space="preserve"> * </w:t>
      </w:r>
      <w:r w:rsidR="00230780" w:rsidRPr="00EF7D00">
        <w:t>.</w:t>
      </w:r>
      <w:r w:rsidR="0005348C" w:rsidRPr="00EF7D00">
        <w:t>3</w:t>
      </w:r>
      <w:r w:rsidR="00230780" w:rsidRPr="00EF7D00">
        <w:t>0)</w:t>
      </w:r>
      <w:r w:rsidR="00B36FD1" w:rsidRPr="00EF7D00">
        <w:t>,</w:t>
      </w:r>
      <w:r w:rsidR="009C5149" w:rsidRPr="00EF7D00">
        <w:t xml:space="preserve"> </w:t>
      </w:r>
      <w:r w:rsidR="00DD0AFC" w:rsidRPr="00EF7D00">
        <w:t>will have 1 or more non</w:t>
      </w:r>
      <w:r w:rsidR="00134142" w:rsidRPr="00EF7D00">
        <w:t>-</w:t>
      </w:r>
      <w:r w:rsidR="00DD0AFC" w:rsidRPr="00EF7D00">
        <w:t xml:space="preserve">compliances and require corrective action (average of 1.5).  </w:t>
      </w:r>
      <w:r w:rsidR="009564C0" w:rsidRPr="00EF7D00">
        <w:t>The</w:t>
      </w:r>
      <w:r w:rsidR="00004846" w:rsidRPr="00EF7D00">
        <w:t xml:space="preserve">se contractors will be notified of some sort of noncompliance requiring corrective action, for a total of </w:t>
      </w:r>
      <w:r w:rsidR="003803F2" w:rsidRPr="00EF7D00">
        <w:t>150</w:t>
      </w:r>
      <w:r w:rsidR="00004846" w:rsidRPr="00EF7D00">
        <w:t xml:space="preserve"> corrective actions per year (</w:t>
      </w:r>
      <w:r w:rsidR="003803F2" w:rsidRPr="00EF7D00">
        <w:t>100</w:t>
      </w:r>
      <w:r w:rsidR="00004846" w:rsidRPr="00EF7D00">
        <w:t xml:space="preserve"> </w:t>
      </w:r>
      <w:r w:rsidR="00C07B93">
        <w:t>*</w:t>
      </w:r>
      <w:r w:rsidR="00C07B93" w:rsidRPr="00EF7D00">
        <w:t xml:space="preserve"> </w:t>
      </w:r>
      <w:r w:rsidR="00004846" w:rsidRPr="00EF7D00">
        <w:t xml:space="preserve">1.5).  </w:t>
      </w:r>
      <w:r w:rsidR="00DD0AFC" w:rsidRPr="00EF7D00">
        <w:t xml:space="preserve">Some of these actions are minor, while other corrective actions are more extensive.  We estimate that, on the average, it takes the contractor 1 hour to report the corrective action taken.  We estimate a cost per hour of </w:t>
      </w:r>
      <w:r w:rsidR="00B36FD1" w:rsidRPr="00EF7D00">
        <w:t>$</w:t>
      </w:r>
      <w:r w:rsidR="003803F2" w:rsidRPr="00EF7D00">
        <w:t>53</w:t>
      </w:r>
      <w:r w:rsidR="00B36FD1" w:rsidRPr="00EF7D00">
        <w:t xml:space="preserve"> </w:t>
      </w:r>
      <w:r w:rsidR="00DD0AFC" w:rsidRPr="00EF7D00">
        <w:t xml:space="preserve">(equivalent </w:t>
      </w:r>
      <w:r w:rsidR="00D26D5B" w:rsidRPr="00EF7D00">
        <w:t>to</w:t>
      </w:r>
      <w:r w:rsidR="00DD0AFC" w:rsidRPr="00EF7D00">
        <w:t xml:space="preserve"> GS-12, step 5 salary of </w:t>
      </w:r>
      <w:r w:rsidR="00B36FD1" w:rsidRPr="00EF7D00">
        <w:t>$</w:t>
      </w:r>
      <w:r w:rsidR="003803F2" w:rsidRPr="00EF7D00">
        <w:t>39.19</w:t>
      </w:r>
      <w:r w:rsidR="00B36FD1" w:rsidRPr="00EF7D00">
        <w:t xml:space="preserve"> plus 36.25 </w:t>
      </w:r>
      <w:r w:rsidR="00DD0AFC" w:rsidRPr="00EF7D00">
        <w:t>percent burden rounded to</w:t>
      </w:r>
      <w:r w:rsidR="00B36FD1" w:rsidRPr="00EF7D00">
        <w:t xml:space="preserve"> the nearest whole dollar</w:t>
      </w:r>
      <w:r w:rsidR="00DD0AFC" w:rsidRPr="00EF7D00">
        <w:t>):</w:t>
      </w:r>
    </w:p>
    <w:p w14:paraId="7CDB7702" w14:textId="77777777" w:rsidR="009564C0" w:rsidRPr="00EF7D00" w:rsidRDefault="009564C0" w:rsidP="00EF7D00">
      <w:pPr>
        <w:pStyle w:val="NormalWeb"/>
        <w:tabs>
          <w:tab w:val="left" w:pos="360"/>
          <w:tab w:val="left" w:pos="720"/>
          <w:tab w:val="left" w:pos="1080"/>
          <w:tab w:val="left" w:pos="1440"/>
        </w:tabs>
        <w:spacing w:before="0" w:beforeAutospacing="0" w:after="0" w:afterAutospacing="0"/>
        <w:rPr>
          <w:i/>
          <w:u w:val="single"/>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DD0AFC" w:rsidRPr="00EF7D00" w14:paraId="0AF97F09" w14:textId="77777777" w:rsidTr="0009682D">
        <w:trPr>
          <w:trHeight w:val="389"/>
        </w:trPr>
        <w:tc>
          <w:tcPr>
            <w:tcW w:w="9270" w:type="dxa"/>
            <w:gridSpan w:val="2"/>
            <w:shd w:val="clear" w:color="auto" w:fill="auto"/>
            <w:vAlign w:val="center"/>
          </w:tcPr>
          <w:p w14:paraId="5C0D72C9" w14:textId="2FD867B9" w:rsidR="00DD0AFC" w:rsidRPr="00EF7D00" w:rsidRDefault="00DD0AFC" w:rsidP="00EF7D00">
            <w:pPr>
              <w:pStyle w:val="NormalWeb"/>
              <w:tabs>
                <w:tab w:val="left" w:pos="360"/>
              </w:tabs>
              <w:spacing w:before="0" w:beforeAutospacing="0" w:after="0" w:afterAutospacing="0"/>
              <w:jc w:val="center"/>
            </w:pPr>
            <w:r w:rsidRPr="00EF7D00">
              <w:t>Estimation of Respondent Burden Hours:</w:t>
            </w:r>
            <w:r w:rsidR="001C0C40" w:rsidRPr="00EF7D00">
              <w:t xml:space="preserve"> </w:t>
            </w:r>
            <w:r w:rsidRPr="00EF7D00">
              <w:t xml:space="preserve"> 252.223-7002(c)(2)</w:t>
            </w:r>
          </w:p>
        </w:tc>
      </w:tr>
      <w:tr w:rsidR="00DD0AFC" w:rsidRPr="00EF7D00" w14:paraId="05B1D624" w14:textId="77777777" w:rsidTr="0009682D">
        <w:trPr>
          <w:trHeight w:val="389"/>
        </w:trPr>
        <w:tc>
          <w:tcPr>
            <w:tcW w:w="7020" w:type="dxa"/>
            <w:shd w:val="clear" w:color="auto" w:fill="auto"/>
            <w:vAlign w:val="center"/>
          </w:tcPr>
          <w:p w14:paraId="208B32F8" w14:textId="77777777" w:rsidR="00DD0AFC" w:rsidRPr="00EF7D00" w:rsidRDefault="00DD0AFC" w:rsidP="00EF7D00">
            <w:pPr>
              <w:tabs>
                <w:tab w:val="left" w:pos="360"/>
              </w:tabs>
              <w:rPr>
                <w:color w:val="000000"/>
              </w:rPr>
            </w:pPr>
            <w:r w:rsidRPr="00EF7D00">
              <w:rPr>
                <w:color w:val="000000"/>
              </w:rPr>
              <w:t xml:space="preserve">Number of respondents </w:t>
            </w:r>
          </w:p>
        </w:tc>
        <w:tc>
          <w:tcPr>
            <w:tcW w:w="2250" w:type="dxa"/>
            <w:shd w:val="clear" w:color="auto" w:fill="auto"/>
            <w:vAlign w:val="center"/>
          </w:tcPr>
          <w:p w14:paraId="172F1E80" w14:textId="1BE18349" w:rsidR="00DD0AFC" w:rsidRPr="00EF7D00" w:rsidRDefault="001C0C40" w:rsidP="00EF7D00">
            <w:pPr>
              <w:pStyle w:val="NormalWeb"/>
              <w:tabs>
                <w:tab w:val="left" w:pos="360"/>
              </w:tabs>
              <w:spacing w:before="0" w:beforeAutospacing="0" w:after="0" w:afterAutospacing="0"/>
              <w:jc w:val="right"/>
            </w:pPr>
            <w:r w:rsidRPr="00EF7D00">
              <w:t>100</w:t>
            </w:r>
          </w:p>
        </w:tc>
      </w:tr>
      <w:tr w:rsidR="00DD0AFC" w:rsidRPr="00EF7D00" w14:paraId="5146A9CE" w14:textId="77777777" w:rsidTr="0009682D">
        <w:trPr>
          <w:trHeight w:val="389"/>
        </w:trPr>
        <w:tc>
          <w:tcPr>
            <w:tcW w:w="7020" w:type="dxa"/>
            <w:shd w:val="clear" w:color="auto" w:fill="auto"/>
            <w:vAlign w:val="center"/>
          </w:tcPr>
          <w:p w14:paraId="1270DB0D" w14:textId="77777777" w:rsidR="00DD0AFC" w:rsidRPr="00EF7D00" w:rsidRDefault="00DD0AFC" w:rsidP="00EF7D00">
            <w:pPr>
              <w:tabs>
                <w:tab w:val="left" w:pos="360"/>
              </w:tabs>
              <w:rPr>
                <w:color w:val="000000"/>
              </w:rPr>
            </w:pPr>
            <w:r w:rsidRPr="00EF7D00">
              <w:rPr>
                <w:color w:val="000000"/>
              </w:rPr>
              <w:t xml:space="preserve">Responses per respondent </w:t>
            </w:r>
          </w:p>
        </w:tc>
        <w:tc>
          <w:tcPr>
            <w:tcW w:w="2250" w:type="dxa"/>
            <w:shd w:val="clear" w:color="auto" w:fill="auto"/>
            <w:vAlign w:val="center"/>
          </w:tcPr>
          <w:p w14:paraId="0E904F80" w14:textId="521C01F8" w:rsidR="00DD0AFC" w:rsidRPr="00EF7D00" w:rsidRDefault="00CD0E0C" w:rsidP="00EF7D00">
            <w:pPr>
              <w:pStyle w:val="NormalWeb"/>
              <w:tabs>
                <w:tab w:val="left" w:pos="360"/>
              </w:tabs>
              <w:spacing w:before="0" w:beforeAutospacing="0" w:after="0" w:afterAutospacing="0"/>
              <w:contextualSpacing/>
              <w:jc w:val="right"/>
            </w:pPr>
            <w:r>
              <w:t xml:space="preserve"> </w:t>
            </w:r>
            <w:r w:rsidR="005645C4" w:rsidRPr="00EF7D00">
              <w:t xml:space="preserve">  1.5</w:t>
            </w:r>
          </w:p>
        </w:tc>
      </w:tr>
      <w:tr w:rsidR="00DD0AFC" w:rsidRPr="00EF7D00" w14:paraId="27DE8CDB" w14:textId="77777777" w:rsidTr="0009682D">
        <w:trPr>
          <w:trHeight w:val="389"/>
        </w:trPr>
        <w:tc>
          <w:tcPr>
            <w:tcW w:w="7020" w:type="dxa"/>
            <w:shd w:val="clear" w:color="auto" w:fill="auto"/>
            <w:vAlign w:val="center"/>
          </w:tcPr>
          <w:p w14:paraId="1EED288B" w14:textId="77777777" w:rsidR="00DD0AFC" w:rsidRPr="00EF7D00" w:rsidRDefault="00DD0AFC" w:rsidP="00EF7D00">
            <w:pPr>
              <w:tabs>
                <w:tab w:val="left" w:pos="360"/>
              </w:tabs>
              <w:rPr>
                <w:color w:val="000000"/>
              </w:rPr>
            </w:pPr>
            <w:r w:rsidRPr="00EF7D00">
              <w:rPr>
                <w:color w:val="000000"/>
              </w:rPr>
              <w:t xml:space="preserve">Number of responses </w:t>
            </w:r>
          </w:p>
        </w:tc>
        <w:tc>
          <w:tcPr>
            <w:tcW w:w="2250" w:type="dxa"/>
            <w:shd w:val="clear" w:color="auto" w:fill="auto"/>
            <w:vAlign w:val="center"/>
          </w:tcPr>
          <w:p w14:paraId="0B3914C5" w14:textId="4F0F540D" w:rsidR="00DD0AFC" w:rsidRPr="00EF7D00" w:rsidRDefault="001C0C40" w:rsidP="00EF7D00">
            <w:pPr>
              <w:pStyle w:val="NormalWeb"/>
              <w:tabs>
                <w:tab w:val="left" w:pos="360"/>
              </w:tabs>
              <w:spacing w:before="0" w:beforeAutospacing="0" w:after="0" w:afterAutospacing="0"/>
              <w:contextualSpacing/>
              <w:jc w:val="right"/>
            </w:pPr>
            <w:r w:rsidRPr="00EF7D00">
              <w:t>150</w:t>
            </w:r>
          </w:p>
        </w:tc>
      </w:tr>
      <w:tr w:rsidR="00DD0AFC" w:rsidRPr="00EF7D00" w14:paraId="3B2D5F99" w14:textId="77777777" w:rsidTr="0009682D">
        <w:trPr>
          <w:trHeight w:val="389"/>
        </w:trPr>
        <w:tc>
          <w:tcPr>
            <w:tcW w:w="7020" w:type="dxa"/>
            <w:shd w:val="clear" w:color="auto" w:fill="auto"/>
            <w:vAlign w:val="center"/>
          </w:tcPr>
          <w:p w14:paraId="1FCE6562" w14:textId="77777777" w:rsidR="00DD0AFC" w:rsidRPr="00EF7D00" w:rsidRDefault="00DD0AFC" w:rsidP="00EF7D00">
            <w:pPr>
              <w:tabs>
                <w:tab w:val="left" w:pos="360"/>
              </w:tabs>
              <w:rPr>
                <w:color w:val="000000"/>
              </w:rPr>
            </w:pPr>
            <w:r w:rsidRPr="00EF7D00">
              <w:rPr>
                <w:color w:val="000000"/>
              </w:rPr>
              <w:t xml:space="preserve">Hours per response </w:t>
            </w:r>
          </w:p>
        </w:tc>
        <w:tc>
          <w:tcPr>
            <w:tcW w:w="2250" w:type="dxa"/>
            <w:shd w:val="clear" w:color="auto" w:fill="auto"/>
            <w:vAlign w:val="center"/>
          </w:tcPr>
          <w:p w14:paraId="4C142071" w14:textId="4D81973F" w:rsidR="00DD0AFC" w:rsidRPr="00EF7D00" w:rsidRDefault="00CD0E0C" w:rsidP="00EF7D00">
            <w:pPr>
              <w:pStyle w:val="NormalWeb"/>
              <w:tabs>
                <w:tab w:val="left" w:pos="360"/>
              </w:tabs>
              <w:spacing w:before="0" w:beforeAutospacing="0" w:after="0" w:afterAutospacing="0"/>
              <w:contextualSpacing/>
              <w:jc w:val="right"/>
            </w:pPr>
            <w:r>
              <w:t xml:space="preserve"> </w:t>
            </w:r>
            <w:r w:rsidR="005645C4" w:rsidRPr="00EF7D00">
              <w:t xml:space="preserve">  1</w:t>
            </w:r>
          </w:p>
        </w:tc>
      </w:tr>
      <w:tr w:rsidR="00DD0AFC" w:rsidRPr="00EF7D00" w14:paraId="02F78EEA" w14:textId="77777777" w:rsidTr="0009682D">
        <w:trPr>
          <w:trHeight w:val="389"/>
        </w:trPr>
        <w:tc>
          <w:tcPr>
            <w:tcW w:w="7020" w:type="dxa"/>
            <w:shd w:val="clear" w:color="auto" w:fill="auto"/>
            <w:vAlign w:val="center"/>
          </w:tcPr>
          <w:p w14:paraId="56B95489" w14:textId="76BE6A10" w:rsidR="00DD0AFC" w:rsidRPr="00EF7D00" w:rsidRDefault="00DD0AFC" w:rsidP="00CD0E0C">
            <w:pPr>
              <w:tabs>
                <w:tab w:val="left" w:pos="360"/>
              </w:tabs>
              <w:rPr>
                <w:color w:val="000000"/>
              </w:rPr>
            </w:pPr>
            <w:r w:rsidRPr="00EF7D00">
              <w:rPr>
                <w:color w:val="000000"/>
              </w:rPr>
              <w:t xml:space="preserve">Estimated hours </w:t>
            </w:r>
          </w:p>
        </w:tc>
        <w:tc>
          <w:tcPr>
            <w:tcW w:w="2250" w:type="dxa"/>
            <w:shd w:val="clear" w:color="auto" w:fill="auto"/>
            <w:vAlign w:val="center"/>
          </w:tcPr>
          <w:p w14:paraId="1EECF173" w14:textId="64806AAA" w:rsidR="00DD0AFC" w:rsidRPr="00EF7D00" w:rsidRDefault="001C0C40" w:rsidP="00EF7D00">
            <w:pPr>
              <w:pStyle w:val="NormalWeb"/>
              <w:tabs>
                <w:tab w:val="left" w:pos="360"/>
              </w:tabs>
              <w:spacing w:before="0" w:beforeAutospacing="0" w:after="0" w:afterAutospacing="0"/>
              <w:contextualSpacing/>
              <w:jc w:val="right"/>
            </w:pPr>
            <w:r w:rsidRPr="00EF7D00">
              <w:t>150</w:t>
            </w:r>
          </w:p>
        </w:tc>
      </w:tr>
      <w:tr w:rsidR="00DD0AFC" w:rsidRPr="00EF7D00" w14:paraId="68E28A6F" w14:textId="77777777" w:rsidTr="0009682D">
        <w:trPr>
          <w:trHeight w:val="389"/>
        </w:trPr>
        <w:tc>
          <w:tcPr>
            <w:tcW w:w="7020" w:type="dxa"/>
            <w:shd w:val="clear" w:color="auto" w:fill="auto"/>
            <w:vAlign w:val="center"/>
          </w:tcPr>
          <w:p w14:paraId="6E325B15" w14:textId="77777777" w:rsidR="00DD0AFC" w:rsidRPr="00EF7D00" w:rsidRDefault="00DD0AFC" w:rsidP="00EF7D00">
            <w:pPr>
              <w:tabs>
                <w:tab w:val="left" w:pos="360"/>
              </w:tabs>
              <w:rPr>
                <w:color w:val="000000"/>
              </w:rPr>
            </w:pPr>
            <w:r w:rsidRPr="00EF7D00">
              <w:rPr>
                <w:color w:val="000000"/>
              </w:rPr>
              <w:t>Cost per hour (hourly wage)</w:t>
            </w:r>
          </w:p>
        </w:tc>
        <w:tc>
          <w:tcPr>
            <w:tcW w:w="2250" w:type="dxa"/>
            <w:shd w:val="clear" w:color="auto" w:fill="auto"/>
            <w:vAlign w:val="center"/>
          </w:tcPr>
          <w:p w14:paraId="1CDD17B0" w14:textId="6F6A19E8" w:rsidR="00DD0AFC" w:rsidRPr="00EF7D00" w:rsidRDefault="00CD0E0C" w:rsidP="00EF7D00">
            <w:pPr>
              <w:pStyle w:val="NormalWeb"/>
              <w:tabs>
                <w:tab w:val="left" w:pos="360"/>
              </w:tabs>
              <w:spacing w:before="0" w:beforeAutospacing="0" w:after="0" w:afterAutospacing="0"/>
              <w:contextualSpacing/>
              <w:jc w:val="right"/>
            </w:pPr>
            <w:r>
              <w:t xml:space="preserve"> </w:t>
            </w:r>
            <w:r w:rsidR="005645C4" w:rsidRPr="00EF7D00">
              <w:t xml:space="preserve">  $</w:t>
            </w:r>
            <w:r w:rsidR="001C0C40" w:rsidRPr="00EF7D00">
              <w:t>53</w:t>
            </w:r>
          </w:p>
        </w:tc>
      </w:tr>
      <w:tr w:rsidR="00DD0AFC" w:rsidRPr="00EF7D00" w14:paraId="13B75F82" w14:textId="77777777" w:rsidTr="0009682D">
        <w:trPr>
          <w:trHeight w:val="389"/>
        </w:trPr>
        <w:tc>
          <w:tcPr>
            <w:tcW w:w="7020" w:type="dxa"/>
            <w:shd w:val="clear" w:color="auto" w:fill="auto"/>
            <w:vAlign w:val="center"/>
          </w:tcPr>
          <w:p w14:paraId="55E5B9D0" w14:textId="01F7E22D" w:rsidR="00DD0AFC" w:rsidRPr="00EF7D00" w:rsidRDefault="00DD0AFC" w:rsidP="00CD0E0C">
            <w:pPr>
              <w:tabs>
                <w:tab w:val="left" w:pos="360"/>
              </w:tabs>
              <w:rPr>
                <w:color w:val="000000"/>
              </w:rPr>
            </w:pPr>
            <w:r w:rsidRPr="00EF7D00">
              <w:rPr>
                <w:color w:val="000000"/>
              </w:rPr>
              <w:t xml:space="preserve">Annual public burden </w:t>
            </w:r>
          </w:p>
        </w:tc>
        <w:tc>
          <w:tcPr>
            <w:tcW w:w="2250" w:type="dxa"/>
            <w:shd w:val="clear" w:color="auto" w:fill="auto"/>
            <w:vAlign w:val="center"/>
          </w:tcPr>
          <w:p w14:paraId="69163335" w14:textId="0527A92B" w:rsidR="00DD0AFC" w:rsidRPr="00EF7D00" w:rsidRDefault="005645C4" w:rsidP="00EF7D00">
            <w:pPr>
              <w:pStyle w:val="NormalWeb"/>
              <w:tabs>
                <w:tab w:val="left" w:pos="360"/>
              </w:tabs>
              <w:spacing w:before="0" w:beforeAutospacing="0" w:after="0" w:afterAutospacing="0"/>
              <w:contextualSpacing/>
              <w:jc w:val="right"/>
            </w:pPr>
            <w:r w:rsidRPr="00EF7D00">
              <w:t>$</w:t>
            </w:r>
            <w:r w:rsidR="001C0C40" w:rsidRPr="00EF7D00">
              <w:t>7,950</w:t>
            </w:r>
          </w:p>
        </w:tc>
      </w:tr>
    </w:tbl>
    <w:p w14:paraId="7CD7BD3D" w14:textId="33196A86" w:rsidR="00DD0AFC" w:rsidRPr="00EF7D00" w:rsidRDefault="00DD0AFC" w:rsidP="00EF7D00">
      <w:pPr>
        <w:pStyle w:val="NormalWeb"/>
        <w:tabs>
          <w:tab w:val="left" w:pos="360"/>
          <w:tab w:val="left" w:pos="720"/>
          <w:tab w:val="left" w:pos="1080"/>
          <w:tab w:val="left" w:pos="1440"/>
        </w:tabs>
        <w:spacing w:before="0" w:beforeAutospacing="0" w:after="0" w:afterAutospacing="0"/>
      </w:pPr>
    </w:p>
    <w:p w14:paraId="7B83C425" w14:textId="6ABAA62C" w:rsidR="00DD0AFC" w:rsidRPr="00EF7D00" w:rsidRDefault="00DD0AFC" w:rsidP="00EF7D00">
      <w:pPr>
        <w:tabs>
          <w:tab w:val="left" w:pos="360"/>
        </w:tabs>
      </w:pPr>
      <w:r w:rsidRPr="00EF7D00">
        <w:tab/>
      </w:r>
      <w:r w:rsidR="000F629D">
        <w:tab/>
      </w:r>
      <w:r w:rsidR="00C07B93">
        <w:t>ii.</w:t>
      </w:r>
      <w:r w:rsidR="000F629D">
        <w:t xml:space="preserve">  </w:t>
      </w:r>
      <w:r w:rsidRPr="00EF7D00">
        <w:t>Paragraph (d)</w:t>
      </w:r>
      <w:r w:rsidR="00B14F0D" w:rsidRPr="00EF7D00">
        <w:t xml:space="preserve">(1) </w:t>
      </w:r>
      <w:r w:rsidR="00E6087C" w:rsidRPr="00EF7D00">
        <w:t>requires</w:t>
      </w:r>
      <w:r w:rsidRPr="00EF7D00">
        <w:t xml:space="preserve"> contractors to notify the contracting officer immediately of any mishaps involving ammunition or explosives</w:t>
      </w:r>
      <w:r w:rsidR="00E6087C" w:rsidRPr="00EF7D00">
        <w:t xml:space="preserve">.  Paragraph (d)(3) requires the contractor to </w:t>
      </w:r>
      <w:r w:rsidR="00230780" w:rsidRPr="00EF7D00">
        <w:t xml:space="preserve">submit </w:t>
      </w:r>
      <w:r w:rsidRPr="00EF7D00">
        <w:t xml:space="preserve">a written report of the investigation </w:t>
      </w:r>
      <w:r w:rsidR="00230780" w:rsidRPr="00EF7D00">
        <w:t xml:space="preserve">of the incident </w:t>
      </w:r>
      <w:r w:rsidRPr="00EF7D00">
        <w:t xml:space="preserve">to the contracting officer.  </w:t>
      </w:r>
      <w:r w:rsidR="00E6087C" w:rsidRPr="00EF7D00">
        <w:t xml:space="preserve">Based on information provided by the DoD Explosives and Safety Board technical expert, we estimate </w:t>
      </w:r>
      <w:r w:rsidR="002365D3" w:rsidRPr="00EF7D00">
        <w:t>10</w:t>
      </w:r>
      <w:r w:rsidR="00E6087C" w:rsidRPr="00EF7D00">
        <w:t xml:space="preserve"> mishaps per year.  These mishaps will be attributed to 10 contractors, </w:t>
      </w:r>
      <w:r w:rsidR="009564C0" w:rsidRPr="00EF7D00">
        <w:t xml:space="preserve">one </w:t>
      </w:r>
      <w:r w:rsidR="00E6087C" w:rsidRPr="00EF7D00">
        <w:t>response per</w:t>
      </w:r>
      <w:r w:rsidR="00DA5C17" w:rsidRPr="00EF7D00">
        <w:t xml:space="preserve"> contractor.  Each report will require 24 hours to complete, at </w:t>
      </w:r>
      <w:r w:rsidRPr="00EF7D00">
        <w:t>a cost of</w:t>
      </w:r>
      <w:r w:rsidR="008F502A" w:rsidRPr="00EF7D00">
        <w:t xml:space="preserve"> $46 (equivalent of a GS-12, step 5 salary of $</w:t>
      </w:r>
      <w:r w:rsidR="004D322B" w:rsidRPr="00EF7D00">
        <w:t>39.19</w:t>
      </w:r>
      <w:r w:rsidR="008F502A" w:rsidRPr="00EF7D00">
        <w:t xml:space="preserve"> plus 36.25 percent burden rounded to the nearest whole dollar):</w:t>
      </w:r>
    </w:p>
    <w:p w14:paraId="2C7C936B" w14:textId="77777777" w:rsidR="00DD0AFC" w:rsidRPr="00EF7D00" w:rsidRDefault="00DD0AFC" w:rsidP="00EF7D00">
      <w:pPr>
        <w:tabs>
          <w:tab w:val="left" w:pos="360"/>
        </w:tabs>
        <w:ind w:hanging="36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DD0AFC" w:rsidRPr="00EF7D00" w14:paraId="4FAE5221" w14:textId="77777777" w:rsidTr="0009682D">
        <w:trPr>
          <w:trHeight w:val="389"/>
        </w:trPr>
        <w:tc>
          <w:tcPr>
            <w:tcW w:w="9270" w:type="dxa"/>
            <w:gridSpan w:val="2"/>
            <w:shd w:val="clear" w:color="auto" w:fill="auto"/>
            <w:vAlign w:val="center"/>
          </w:tcPr>
          <w:p w14:paraId="42303D59" w14:textId="066EAEAA" w:rsidR="00DD0AFC" w:rsidRPr="00EF7D00" w:rsidRDefault="00DD0AFC" w:rsidP="00EF7D00">
            <w:pPr>
              <w:pStyle w:val="NormalWeb"/>
              <w:tabs>
                <w:tab w:val="left" w:pos="360"/>
              </w:tabs>
              <w:spacing w:before="0" w:beforeAutospacing="0" w:after="0" w:afterAutospacing="0"/>
              <w:jc w:val="center"/>
            </w:pPr>
            <w:r w:rsidRPr="00EF7D00">
              <w:t xml:space="preserve">Estimation of Respondent Burden Hours: </w:t>
            </w:r>
            <w:r w:rsidR="001C0C40" w:rsidRPr="00EF7D00">
              <w:t xml:space="preserve"> </w:t>
            </w:r>
            <w:r w:rsidRPr="00EF7D00">
              <w:t>252.223-7002(d)</w:t>
            </w:r>
          </w:p>
        </w:tc>
      </w:tr>
      <w:tr w:rsidR="00DD0AFC" w:rsidRPr="00EF7D00" w14:paraId="737DE679" w14:textId="77777777" w:rsidTr="0009682D">
        <w:trPr>
          <w:trHeight w:val="389"/>
        </w:trPr>
        <w:tc>
          <w:tcPr>
            <w:tcW w:w="7020" w:type="dxa"/>
            <w:shd w:val="clear" w:color="auto" w:fill="auto"/>
            <w:vAlign w:val="center"/>
          </w:tcPr>
          <w:p w14:paraId="6D918ACF" w14:textId="77777777" w:rsidR="00DD0AFC" w:rsidRPr="00EF7D00" w:rsidRDefault="00DD0AFC" w:rsidP="00EF7D00">
            <w:pPr>
              <w:tabs>
                <w:tab w:val="left" w:pos="360"/>
              </w:tabs>
              <w:rPr>
                <w:color w:val="000000"/>
              </w:rPr>
            </w:pPr>
            <w:r w:rsidRPr="00EF7D00">
              <w:rPr>
                <w:color w:val="000000"/>
              </w:rPr>
              <w:t xml:space="preserve">Number of respondents </w:t>
            </w:r>
          </w:p>
        </w:tc>
        <w:tc>
          <w:tcPr>
            <w:tcW w:w="2250" w:type="dxa"/>
            <w:shd w:val="clear" w:color="auto" w:fill="auto"/>
            <w:vAlign w:val="center"/>
          </w:tcPr>
          <w:p w14:paraId="03872AB4" w14:textId="2FEE6CF7" w:rsidR="00DD0AFC" w:rsidRPr="00EF7D00" w:rsidRDefault="00DF33C9" w:rsidP="00EF7D00">
            <w:pPr>
              <w:pStyle w:val="NormalWeb"/>
              <w:tabs>
                <w:tab w:val="left" w:pos="360"/>
              </w:tabs>
              <w:spacing w:before="0" w:beforeAutospacing="0" w:after="0" w:afterAutospacing="0"/>
              <w:jc w:val="right"/>
            </w:pPr>
            <w:r w:rsidRPr="00EF7D00">
              <w:t>10</w:t>
            </w:r>
          </w:p>
        </w:tc>
      </w:tr>
      <w:tr w:rsidR="00DD0AFC" w:rsidRPr="00EF7D00" w14:paraId="51DCFEF8" w14:textId="77777777" w:rsidTr="0009682D">
        <w:trPr>
          <w:trHeight w:val="389"/>
        </w:trPr>
        <w:tc>
          <w:tcPr>
            <w:tcW w:w="7020" w:type="dxa"/>
            <w:shd w:val="clear" w:color="auto" w:fill="auto"/>
            <w:vAlign w:val="center"/>
          </w:tcPr>
          <w:p w14:paraId="3FFF9ACE" w14:textId="77777777" w:rsidR="00DD0AFC" w:rsidRPr="00EF7D00" w:rsidRDefault="00DD0AFC" w:rsidP="00EF7D00">
            <w:pPr>
              <w:tabs>
                <w:tab w:val="left" w:pos="360"/>
              </w:tabs>
              <w:rPr>
                <w:color w:val="000000"/>
              </w:rPr>
            </w:pPr>
            <w:r w:rsidRPr="00EF7D00">
              <w:rPr>
                <w:color w:val="000000"/>
              </w:rPr>
              <w:t xml:space="preserve">Responses per respondent </w:t>
            </w:r>
          </w:p>
        </w:tc>
        <w:tc>
          <w:tcPr>
            <w:tcW w:w="2250" w:type="dxa"/>
            <w:shd w:val="clear" w:color="auto" w:fill="auto"/>
            <w:vAlign w:val="center"/>
          </w:tcPr>
          <w:p w14:paraId="4BE2AB93" w14:textId="064ED313" w:rsidR="00DD0AFC" w:rsidRPr="00EF7D00" w:rsidRDefault="00CD0E0C" w:rsidP="00EF7D00">
            <w:pPr>
              <w:pStyle w:val="NormalWeb"/>
              <w:tabs>
                <w:tab w:val="left" w:pos="360"/>
              </w:tabs>
              <w:spacing w:before="0" w:beforeAutospacing="0" w:after="0" w:afterAutospacing="0"/>
              <w:contextualSpacing/>
              <w:jc w:val="right"/>
            </w:pPr>
            <w:r>
              <w:t xml:space="preserve"> </w:t>
            </w:r>
            <w:r w:rsidR="005645C4" w:rsidRPr="00EF7D00">
              <w:t xml:space="preserve">  1</w:t>
            </w:r>
          </w:p>
        </w:tc>
      </w:tr>
      <w:tr w:rsidR="00DD0AFC" w:rsidRPr="00EF7D00" w14:paraId="7AB7595C" w14:textId="77777777" w:rsidTr="0009682D">
        <w:trPr>
          <w:trHeight w:val="389"/>
        </w:trPr>
        <w:tc>
          <w:tcPr>
            <w:tcW w:w="7020" w:type="dxa"/>
            <w:shd w:val="clear" w:color="auto" w:fill="auto"/>
            <w:vAlign w:val="center"/>
          </w:tcPr>
          <w:p w14:paraId="262E3E65" w14:textId="77777777" w:rsidR="00DD0AFC" w:rsidRPr="00EF7D00" w:rsidRDefault="00DD0AFC" w:rsidP="00EF7D00">
            <w:pPr>
              <w:tabs>
                <w:tab w:val="left" w:pos="360"/>
              </w:tabs>
              <w:rPr>
                <w:color w:val="000000"/>
              </w:rPr>
            </w:pPr>
            <w:r w:rsidRPr="00EF7D00">
              <w:rPr>
                <w:color w:val="000000"/>
              </w:rPr>
              <w:t xml:space="preserve">Number of responses </w:t>
            </w:r>
          </w:p>
        </w:tc>
        <w:tc>
          <w:tcPr>
            <w:tcW w:w="2250" w:type="dxa"/>
            <w:shd w:val="clear" w:color="auto" w:fill="auto"/>
            <w:vAlign w:val="center"/>
          </w:tcPr>
          <w:p w14:paraId="571C7B69" w14:textId="3F517881" w:rsidR="00DD0AFC" w:rsidRPr="00EF7D00" w:rsidRDefault="00DF33C9" w:rsidP="00EF7D00">
            <w:pPr>
              <w:pStyle w:val="NormalWeb"/>
              <w:tabs>
                <w:tab w:val="left" w:pos="360"/>
              </w:tabs>
              <w:spacing w:before="0" w:beforeAutospacing="0" w:after="0" w:afterAutospacing="0"/>
              <w:contextualSpacing/>
              <w:jc w:val="right"/>
            </w:pPr>
            <w:r w:rsidRPr="00EF7D00">
              <w:t>10</w:t>
            </w:r>
          </w:p>
        </w:tc>
      </w:tr>
      <w:tr w:rsidR="00DD0AFC" w:rsidRPr="00EF7D00" w14:paraId="16756B6B" w14:textId="77777777" w:rsidTr="0009682D">
        <w:trPr>
          <w:trHeight w:val="389"/>
        </w:trPr>
        <w:tc>
          <w:tcPr>
            <w:tcW w:w="7020" w:type="dxa"/>
            <w:shd w:val="clear" w:color="auto" w:fill="auto"/>
            <w:vAlign w:val="center"/>
          </w:tcPr>
          <w:p w14:paraId="66EC260A" w14:textId="77777777" w:rsidR="00DD0AFC" w:rsidRPr="00EF7D00" w:rsidRDefault="00DD0AFC" w:rsidP="00EF7D00">
            <w:pPr>
              <w:tabs>
                <w:tab w:val="left" w:pos="360"/>
              </w:tabs>
              <w:rPr>
                <w:color w:val="000000"/>
              </w:rPr>
            </w:pPr>
            <w:r w:rsidRPr="00EF7D00">
              <w:rPr>
                <w:color w:val="000000"/>
              </w:rPr>
              <w:t xml:space="preserve">Hours per response </w:t>
            </w:r>
          </w:p>
        </w:tc>
        <w:tc>
          <w:tcPr>
            <w:tcW w:w="2250" w:type="dxa"/>
            <w:shd w:val="clear" w:color="auto" w:fill="auto"/>
            <w:vAlign w:val="center"/>
          </w:tcPr>
          <w:p w14:paraId="0C7C4526" w14:textId="541C606A" w:rsidR="00DD0AFC" w:rsidRPr="00EF7D00" w:rsidRDefault="00CD0E0C" w:rsidP="00EF7D00">
            <w:pPr>
              <w:pStyle w:val="NormalWeb"/>
              <w:tabs>
                <w:tab w:val="left" w:pos="360"/>
              </w:tabs>
              <w:spacing w:before="0" w:beforeAutospacing="0" w:after="0" w:afterAutospacing="0"/>
              <w:contextualSpacing/>
              <w:jc w:val="right"/>
            </w:pPr>
            <w:r>
              <w:t xml:space="preserve"> </w:t>
            </w:r>
            <w:r w:rsidR="005645C4" w:rsidRPr="00EF7D00">
              <w:t xml:space="preserve">  24</w:t>
            </w:r>
          </w:p>
        </w:tc>
      </w:tr>
      <w:tr w:rsidR="00DD0AFC" w:rsidRPr="00EF7D00" w14:paraId="09FF5D9C" w14:textId="77777777" w:rsidTr="0009682D">
        <w:trPr>
          <w:trHeight w:val="389"/>
        </w:trPr>
        <w:tc>
          <w:tcPr>
            <w:tcW w:w="7020" w:type="dxa"/>
            <w:shd w:val="clear" w:color="auto" w:fill="auto"/>
            <w:vAlign w:val="center"/>
          </w:tcPr>
          <w:p w14:paraId="31A6AC95" w14:textId="1DAC7D4A" w:rsidR="00DD0AFC" w:rsidRPr="00EF7D00" w:rsidRDefault="00DD0AFC" w:rsidP="00CD0E0C">
            <w:pPr>
              <w:tabs>
                <w:tab w:val="left" w:pos="360"/>
              </w:tabs>
              <w:rPr>
                <w:color w:val="000000"/>
              </w:rPr>
            </w:pPr>
            <w:r w:rsidRPr="00EF7D00">
              <w:rPr>
                <w:color w:val="000000"/>
              </w:rPr>
              <w:t xml:space="preserve">Estimated hours </w:t>
            </w:r>
          </w:p>
        </w:tc>
        <w:tc>
          <w:tcPr>
            <w:tcW w:w="2250" w:type="dxa"/>
            <w:shd w:val="clear" w:color="auto" w:fill="auto"/>
            <w:vAlign w:val="center"/>
          </w:tcPr>
          <w:p w14:paraId="62379942" w14:textId="23606525" w:rsidR="00DD0AFC" w:rsidRPr="00EF7D00" w:rsidRDefault="00DF33C9" w:rsidP="00EF7D00">
            <w:pPr>
              <w:pStyle w:val="NormalWeb"/>
              <w:tabs>
                <w:tab w:val="left" w:pos="360"/>
              </w:tabs>
              <w:spacing w:before="0" w:beforeAutospacing="0" w:after="0" w:afterAutospacing="0"/>
              <w:contextualSpacing/>
              <w:jc w:val="right"/>
            </w:pPr>
            <w:r w:rsidRPr="00EF7D00">
              <w:t>240</w:t>
            </w:r>
          </w:p>
        </w:tc>
      </w:tr>
      <w:tr w:rsidR="00DD0AFC" w:rsidRPr="00EF7D00" w14:paraId="6A0D3EE1" w14:textId="77777777" w:rsidTr="0009682D">
        <w:trPr>
          <w:trHeight w:val="389"/>
        </w:trPr>
        <w:tc>
          <w:tcPr>
            <w:tcW w:w="7020" w:type="dxa"/>
            <w:shd w:val="clear" w:color="auto" w:fill="auto"/>
            <w:vAlign w:val="center"/>
          </w:tcPr>
          <w:p w14:paraId="24B6DAFA" w14:textId="77777777" w:rsidR="00DD0AFC" w:rsidRPr="00EF7D00" w:rsidRDefault="00DD0AFC" w:rsidP="00EF7D00">
            <w:pPr>
              <w:tabs>
                <w:tab w:val="left" w:pos="360"/>
              </w:tabs>
              <w:rPr>
                <w:color w:val="000000"/>
              </w:rPr>
            </w:pPr>
            <w:r w:rsidRPr="00EF7D00">
              <w:rPr>
                <w:color w:val="000000"/>
              </w:rPr>
              <w:t>Cost per hour (hourly wage)</w:t>
            </w:r>
          </w:p>
        </w:tc>
        <w:tc>
          <w:tcPr>
            <w:tcW w:w="2250" w:type="dxa"/>
            <w:shd w:val="clear" w:color="auto" w:fill="auto"/>
            <w:vAlign w:val="center"/>
          </w:tcPr>
          <w:p w14:paraId="15FB703B" w14:textId="568E2903" w:rsidR="00DD0AFC" w:rsidRPr="00EF7D00" w:rsidRDefault="00CD0E0C" w:rsidP="00EF7D00">
            <w:pPr>
              <w:pStyle w:val="NormalWeb"/>
              <w:tabs>
                <w:tab w:val="left" w:pos="360"/>
              </w:tabs>
              <w:spacing w:before="0" w:beforeAutospacing="0" w:after="0" w:afterAutospacing="0"/>
              <w:contextualSpacing/>
              <w:jc w:val="right"/>
            </w:pPr>
            <w:r>
              <w:t xml:space="preserve"> </w:t>
            </w:r>
            <w:r w:rsidR="005645C4" w:rsidRPr="00EF7D00">
              <w:t xml:space="preserve">  $</w:t>
            </w:r>
            <w:r w:rsidR="001C0C40" w:rsidRPr="00EF7D00">
              <w:t>53</w:t>
            </w:r>
          </w:p>
        </w:tc>
      </w:tr>
      <w:tr w:rsidR="00DD0AFC" w:rsidRPr="00EF7D00" w14:paraId="674D04E5" w14:textId="77777777" w:rsidTr="0009682D">
        <w:trPr>
          <w:trHeight w:val="389"/>
        </w:trPr>
        <w:tc>
          <w:tcPr>
            <w:tcW w:w="7020" w:type="dxa"/>
            <w:shd w:val="clear" w:color="auto" w:fill="auto"/>
            <w:vAlign w:val="center"/>
          </w:tcPr>
          <w:p w14:paraId="19322777" w14:textId="7D4F486A" w:rsidR="00DD0AFC" w:rsidRPr="00EF7D00" w:rsidRDefault="00DD0AFC" w:rsidP="00CD0E0C">
            <w:pPr>
              <w:tabs>
                <w:tab w:val="left" w:pos="360"/>
              </w:tabs>
              <w:rPr>
                <w:color w:val="000000"/>
              </w:rPr>
            </w:pPr>
            <w:r w:rsidRPr="00EF7D00">
              <w:rPr>
                <w:color w:val="000000"/>
              </w:rPr>
              <w:t xml:space="preserve">Annual public burden </w:t>
            </w:r>
          </w:p>
        </w:tc>
        <w:tc>
          <w:tcPr>
            <w:tcW w:w="2250" w:type="dxa"/>
            <w:shd w:val="clear" w:color="auto" w:fill="auto"/>
            <w:vAlign w:val="center"/>
          </w:tcPr>
          <w:p w14:paraId="3420BF05" w14:textId="6777B770" w:rsidR="00DD0AFC" w:rsidRPr="00EF7D00" w:rsidRDefault="005645C4" w:rsidP="00EF7D00">
            <w:pPr>
              <w:pStyle w:val="NormalWeb"/>
              <w:tabs>
                <w:tab w:val="left" w:pos="360"/>
              </w:tabs>
              <w:spacing w:before="0" w:beforeAutospacing="0" w:after="0" w:afterAutospacing="0"/>
              <w:contextualSpacing/>
              <w:jc w:val="right"/>
            </w:pPr>
            <w:r w:rsidRPr="00EF7D00">
              <w:t>$</w:t>
            </w:r>
            <w:r w:rsidR="001C0C40" w:rsidRPr="00EF7D00">
              <w:t>12,720</w:t>
            </w:r>
          </w:p>
        </w:tc>
      </w:tr>
    </w:tbl>
    <w:p w14:paraId="10C1BC7B" w14:textId="77777777" w:rsidR="00DD0AFC" w:rsidRPr="00EF7D00" w:rsidRDefault="00DD0AFC" w:rsidP="00EF7D00">
      <w:pPr>
        <w:tabs>
          <w:tab w:val="left" w:pos="360"/>
        </w:tabs>
      </w:pPr>
    </w:p>
    <w:p w14:paraId="736874C0" w14:textId="1585E84A" w:rsidR="00DD0AFC" w:rsidRPr="00EF7D00" w:rsidRDefault="00DD0AFC" w:rsidP="00EF7D00">
      <w:pPr>
        <w:tabs>
          <w:tab w:val="left" w:pos="360"/>
        </w:tabs>
      </w:pPr>
      <w:r w:rsidRPr="00EF7D00">
        <w:tab/>
      </w:r>
      <w:r w:rsidR="000F629D">
        <w:tab/>
      </w:r>
      <w:r w:rsidR="00C07B93">
        <w:t>iii.</w:t>
      </w:r>
      <w:r w:rsidR="000F629D">
        <w:t xml:space="preserve">  </w:t>
      </w:r>
      <w:r w:rsidRPr="00EF7D00">
        <w:t>Paragraph (g)(4) requires contractors to notify the contracting officer when placing a subcontract for ammunition or explosives.  We estimate</w:t>
      </w:r>
      <w:r w:rsidR="00E04880" w:rsidRPr="00EF7D00">
        <w:t xml:space="preserve"> an average of 6 responses per </w:t>
      </w:r>
      <w:r w:rsidR="00757DB2" w:rsidRPr="00EF7D00">
        <w:t>contractor performing on an A&amp;E contract</w:t>
      </w:r>
      <w:r w:rsidR="00E04880" w:rsidRPr="00EF7D00">
        <w:t>,</w:t>
      </w:r>
      <w:r w:rsidRPr="00EF7D00">
        <w:t xml:space="preserve"> </w:t>
      </w:r>
      <w:r w:rsidR="00E04880" w:rsidRPr="00EF7D00">
        <w:t>15 minutes</w:t>
      </w:r>
      <w:r w:rsidRPr="00EF7D00">
        <w:t xml:space="preserve"> per response, at a cost of </w:t>
      </w:r>
      <w:r w:rsidR="00E04880" w:rsidRPr="00EF7D00">
        <w:t xml:space="preserve">$26 </w:t>
      </w:r>
      <w:r w:rsidRPr="00EF7D00">
        <w:t xml:space="preserve">per hour (equivalent of a GS-7, step 5 salary of </w:t>
      </w:r>
      <w:r w:rsidR="00E04880" w:rsidRPr="00EF7D00">
        <w:t>$</w:t>
      </w:r>
      <w:r w:rsidR="004D322B" w:rsidRPr="00EF7D00">
        <w:t>22.02</w:t>
      </w:r>
      <w:r w:rsidR="00E04880" w:rsidRPr="00EF7D00">
        <w:t xml:space="preserve">, plus 36.25 </w:t>
      </w:r>
      <w:r w:rsidRPr="00EF7D00">
        <w:t>percent burden rounded to</w:t>
      </w:r>
      <w:r w:rsidR="00E04880" w:rsidRPr="00EF7D00">
        <w:t xml:space="preserve"> the nearest whole dollar</w:t>
      </w:r>
      <w:r w:rsidRPr="00EF7D00">
        <w:t>):</w:t>
      </w:r>
    </w:p>
    <w:p w14:paraId="0953E130" w14:textId="77777777" w:rsidR="00DD0AFC" w:rsidRPr="00EF7D00" w:rsidRDefault="00DD0AFC" w:rsidP="006F73BD">
      <w:pPr>
        <w:tabs>
          <w:tab w:val="left" w:pos="360"/>
        </w:tabs>
        <w:ind w:left="360" w:hanging="36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DD0AFC" w:rsidRPr="00EF7D00" w14:paraId="0753BBFD" w14:textId="77777777" w:rsidTr="0009682D">
        <w:trPr>
          <w:trHeight w:val="389"/>
        </w:trPr>
        <w:tc>
          <w:tcPr>
            <w:tcW w:w="9270" w:type="dxa"/>
            <w:gridSpan w:val="2"/>
            <w:shd w:val="clear" w:color="auto" w:fill="auto"/>
            <w:vAlign w:val="center"/>
          </w:tcPr>
          <w:p w14:paraId="71F2B697" w14:textId="76C53427" w:rsidR="00DD0AFC" w:rsidRPr="00EF7D00" w:rsidRDefault="00DD0AFC" w:rsidP="00EF7D00">
            <w:pPr>
              <w:pStyle w:val="NormalWeb"/>
              <w:tabs>
                <w:tab w:val="left" w:pos="360"/>
              </w:tabs>
              <w:spacing w:before="0" w:beforeAutospacing="0" w:after="0" w:afterAutospacing="0"/>
              <w:jc w:val="center"/>
            </w:pPr>
            <w:r w:rsidRPr="00EF7D00">
              <w:t xml:space="preserve">Estimation of Respondent Burden Hours: </w:t>
            </w:r>
            <w:r w:rsidR="001C0C40" w:rsidRPr="00EF7D00">
              <w:t xml:space="preserve"> </w:t>
            </w:r>
            <w:r w:rsidRPr="00EF7D00">
              <w:t>252.223-7002(g)(4)</w:t>
            </w:r>
          </w:p>
        </w:tc>
      </w:tr>
      <w:tr w:rsidR="00DD0AFC" w:rsidRPr="00EF7D00" w14:paraId="6AC4AA5C" w14:textId="77777777" w:rsidTr="0009682D">
        <w:trPr>
          <w:trHeight w:val="389"/>
        </w:trPr>
        <w:tc>
          <w:tcPr>
            <w:tcW w:w="7020" w:type="dxa"/>
            <w:shd w:val="clear" w:color="auto" w:fill="auto"/>
            <w:vAlign w:val="center"/>
          </w:tcPr>
          <w:p w14:paraId="325F9993" w14:textId="77777777" w:rsidR="00DD0AFC" w:rsidRPr="00EF7D00" w:rsidRDefault="00DD0AFC" w:rsidP="00EF7D00">
            <w:pPr>
              <w:tabs>
                <w:tab w:val="left" w:pos="360"/>
              </w:tabs>
              <w:rPr>
                <w:color w:val="000000"/>
              </w:rPr>
            </w:pPr>
            <w:r w:rsidRPr="00EF7D00">
              <w:rPr>
                <w:color w:val="000000"/>
              </w:rPr>
              <w:t xml:space="preserve">Number of respondents </w:t>
            </w:r>
          </w:p>
        </w:tc>
        <w:tc>
          <w:tcPr>
            <w:tcW w:w="2250" w:type="dxa"/>
            <w:shd w:val="clear" w:color="auto" w:fill="auto"/>
            <w:vAlign w:val="center"/>
          </w:tcPr>
          <w:p w14:paraId="18936CE1" w14:textId="7D167A57" w:rsidR="00034B6C" w:rsidRPr="00EF7D00" w:rsidRDefault="00757DB2" w:rsidP="00EF7D00">
            <w:pPr>
              <w:pStyle w:val="NormalWeb"/>
              <w:tabs>
                <w:tab w:val="left" w:pos="360"/>
              </w:tabs>
              <w:spacing w:before="0" w:beforeAutospacing="0" w:after="0" w:afterAutospacing="0"/>
              <w:jc w:val="right"/>
            </w:pPr>
            <w:r w:rsidRPr="00EF7D00">
              <w:t>332</w:t>
            </w:r>
          </w:p>
        </w:tc>
      </w:tr>
      <w:tr w:rsidR="00DD0AFC" w:rsidRPr="00EF7D00" w14:paraId="7F81A030" w14:textId="77777777" w:rsidTr="0009682D">
        <w:trPr>
          <w:trHeight w:val="389"/>
        </w:trPr>
        <w:tc>
          <w:tcPr>
            <w:tcW w:w="7020" w:type="dxa"/>
            <w:shd w:val="clear" w:color="auto" w:fill="auto"/>
            <w:vAlign w:val="center"/>
          </w:tcPr>
          <w:p w14:paraId="15C87539" w14:textId="77777777" w:rsidR="00DD0AFC" w:rsidRPr="00EF7D00" w:rsidRDefault="00DD0AFC" w:rsidP="00EF7D00">
            <w:pPr>
              <w:tabs>
                <w:tab w:val="left" w:pos="360"/>
              </w:tabs>
              <w:rPr>
                <w:color w:val="000000"/>
              </w:rPr>
            </w:pPr>
            <w:r w:rsidRPr="00EF7D00">
              <w:rPr>
                <w:color w:val="000000"/>
              </w:rPr>
              <w:t xml:space="preserve">Responses per respondent </w:t>
            </w:r>
          </w:p>
        </w:tc>
        <w:tc>
          <w:tcPr>
            <w:tcW w:w="2250" w:type="dxa"/>
            <w:shd w:val="clear" w:color="auto" w:fill="auto"/>
            <w:vAlign w:val="center"/>
          </w:tcPr>
          <w:p w14:paraId="4645D177" w14:textId="4D2D0D7D" w:rsidR="00DD0AFC" w:rsidRPr="00EF7D00" w:rsidRDefault="00034B6C" w:rsidP="00EF7D00">
            <w:pPr>
              <w:pStyle w:val="NormalWeb"/>
              <w:tabs>
                <w:tab w:val="left" w:pos="360"/>
              </w:tabs>
              <w:spacing w:before="0" w:beforeAutospacing="0" w:after="0" w:afterAutospacing="0"/>
              <w:contextualSpacing/>
              <w:jc w:val="right"/>
            </w:pPr>
            <w:r w:rsidRPr="00EF7D00">
              <w:t>6</w:t>
            </w:r>
          </w:p>
        </w:tc>
      </w:tr>
      <w:tr w:rsidR="00DD0AFC" w:rsidRPr="00EF7D00" w14:paraId="45E172F9" w14:textId="77777777" w:rsidTr="0009682D">
        <w:trPr>
          <w:trHeight w:val="389"/>
        </w:trPr>
        <w:tc>
          <w:tcPr>
            <w:tcW w:w="7020" w:type="dxa"/>
            <w:shd w:val="clear" w:color="auto" w:fill="auto"/>
            <w:vAlign w:val="center"/>
          </w:tcPr>
          <w:p w14:paraId="2AEB4919" w14:textId="77777777" w:rsidR="00DD0AFC" w:rsidRPr="00EF7D00" w:rsidRDefault="00DD0AFC" w:rsidP="00EF7D00">
            <w:pPr>
              <w:tabs>
                <w:tab w:val="left" w:pos="360"/>
              </w:tabs>
              <w:rPr>
                <w:color w:val="000000"/>
              </w:rPr>
            </w:pPr>
            <w:r w:rsidRPr="00EF7D00">
              <w:rPr>
                <w:color w:val="000000"/>
              </w:rPr>
              <w:t xml:space="preserve">Number of responses </w:t>
            </w:r>
          </w:p>
        </w:tc>
        <w:tc>
          <w:tcPr>
            <w:tcW w:w="2250" w:type="dxa"/>
            <w:shd w:val="clear" w:color="auto" w:fill="auto"/>
            <w:vAlign w:val="center"/>
          </w:tcPr>
          <w:p w14:paraId="1F602112" w14:textId="54EC5CBB" w:rsidR="00DD0AFC" w:rsidRPr="00EF7D00" w:rsidRDefault="00E47A25" w:rsidP="00EF7D00">
            <w:pPr>
              <w:pStyle w:val="NormalWeb"/>
              <w:tabs>
                <w:tab w:val="left" w:pos="360"/>
              </w:tabs>
              <w:spacing w:before="0" w:beforeAutospacing="0" w:after="0" w:afterAutospacing="0"/>
              <w:contextualSpacing/>
              <w:jc w:val="right"/>
            </w:pPr>
            <w:r w:rsidRPr="00EF7D00">
              <w:t>1,99</w:t>
            </w:r>
            <w:r w:rsidR="001C0C40" w:rsidRPr="00EF7D00">
              <w:t>2</w:t>
            </w:r>
          </w:p>
        </w:tc>
      </w:tr>
      <w:tr w:rsidR="00DD0AFC" w:rsidRPr="00EF7D00" w14:paraId="53BA0604" w14:textId="77777777" w:rsidTr="0009682D">
        <w:trPr>
          <w:trHeight w:val="389"/>
        </w:trPr>
        <w:tc>
          <w:tcPr>
            <w:tcW w:w="7020" w:type="dxa"/>
            <w:shd w:val="clear" w:color="auto" w:fill="auto"/>
            <w:vAlign w:val="center"/>
          </w:tcPr>
          <w:p w14:paraId="7504A693" w14:textId="77777777" w:rsidR="00DD0AFC" w:rsidRPr="00EF7D00" w:rsidRDefault="00DD0AFC" w:rsidP="00EF7D00">
            <w:pPr>
              <w:tabs>
                <w:tab w:val="left" w:pos="360"/>
              </w:tabs>
              <w:rPr>
                <w:color w:val="000000"/>
              </w:rPr>
            </w:pPr>
            <w:r w:rsidRPr="00EF7D00">
              <w:rPr>
                <w:color w:val="000000"/>
              </w:rPr>
              <w:t xml:space="preserve">Hours per response </w:t>
            </w:r>
          </w:p>
        </w:tc>
        <w:tc>
          <w:tcPr>
            <w:tcW w:w="2250" w:type="dxa"/>
            <w:shd w:val="clear" w:color="auto" w:fill="auto"/>
            <w:vAlign w:val="center"/>
          </w:tcPr>
          <w:p w14:paraId="4E7759BA" w14:textId="546B4D80" w:rsidR="00DD0AFC" w:rsidRPr="00EF7D00" w:rsidRDefault="00034B6C" w:rsidP="00EF7D00">
            <w:pPr>
              <w:pStyle w:val="NormalWeb"/>
              <w:tabs>
                <w:tab w:val="left" w:pos="360"/>
              </w:tabs>
              <w:spacing w:before="0" w:beforeAutospacing="0" w:after="0" w:afterAutospacing="0"/>
              <w:contextualSpacing/>
              <w:jc w:val="right"/>
            </w:pPr>
            <w:r w:rsidRPr="00EF7D00">
              <w:t>.25</w:t>
            </w:r>
          </w:p>
        </w:tc>
      </w:tr>
      <w:tr w:rsidR="00DD0AFC" w:rsidRPr="00EF7D00" w14:paraId="2F3974F1" w14:textId="77777777" w:rsidTr="0009682D">
        <w:trPr>
          <w:trHeight w:val="389"/>
        </w:trPr>
        <w:tc>
          <w:tcPr>
            <w:tcW w:w="7020" w:type="dxa"/>
            <w:shd w:val="clear" w:color="auto" w:fill="auto"/>
            <w:vAlign w:val="center"/>
          </w:tcPr>
          <w:p w14:paraId="2285B24E" w14:textId="6599F4C1" w:rsidR="00DD0AFC" w:rsidRPr="00EF7D00" w:rsidRDefault="00DD0AFC" w:rsidP="00CD0E0C">
            <w:pPr>
              <w:tabs>
                <w:tab w:val="left" w:pos="360"/>
              </w:tabs>
              <w:rPr>
                <w:color w:val="000000"/>
              </w:rPr>
            </w:pPr>
            <w:r w:rsidRPr="00EF7D00">
              <w:rPr>
                <w:color w:val="000000"/>
              </w:rPr>
              <w:t xml:space="preserve">Estimated hours </w:t>
            </w:r>
          </w:p>
        </w:tc>
        <w:tc>
          <w:tcPr>
            <w:tcW w:w="2250" w:type="dxa"/>
            <w:shd w:val="clear" w:color="auto" w:fill="auto"/>
            <w:vAlign w:val="center"/>
          </w:tcPr>
          <w:p w14:paraId="7E160E8F" w14:textId="38D0000B" w:rsidR="00DD0AFC" w:rsidRPr="00EF7D00" w:rsidRDefault="00E47A25" w:rsidP="00EF7D00">
            <w:pPr>
              <w:pStyle w:val="NormalWeb"/>
              <w:tabs>
                <w:tab w:val="left" w:pos="360"/>
              </w:tabs>
              <w:spacing w:before="0" w:beforeAutospacing="0" w:after="0" w:afterAutospacing="0"/>
              <w:contextualSpacing/>
              <w:jc w:val="right"/>
            </w:pPr>
            <w:r w:rsidRPr="00EF7D00">
              <w:t>498</w:t>
            </w:r>
          </w:p>
        </w:tc>
      </w:tr>
      <w:tr w:rsidR="00DD0AFC" w:rsidRPr="00EF7D00" w14:paraId="542CAF33" w14:textId="77777777" w:rsidTr="0009682D">
        <w:trPr>
          <w:trHeight w:val="389"/>
        </w:trPr>
        <w:tc>
          <w:tcPr>
            <w:tcW w:w="7020" w:type="dxa"/>
            <w:shd w:val="clear" w:color="auto" w:fill="auto"/>
            <w:vAlign w:val="center"/>
          </w:tcPr>
          <w:p w14:paraId="4A481818" w14:textId="77777777" w:rsidR="00DD0AFC" w:rsidRPr="00EF7D00" w:rsidRDefault="00DD0AFC" w:rsidP="00EF7D00">
            <w:pPr>
              <w:tabs>
                <w:tab w:val="left" w:pos="360"/>
              </w:tabs>
              <w:rPr>
                <w:color w:val="000000"/>
              </w:rPr>
            </w:pPr>
            <w:r w:rsidRPr="00EF7D00">
              <w:rPr>
                <w:color w:val="000000"/>
              </w:rPr>
              <w:t>Cost per hour (hourly wage)</w:t>
            </w:r>
          </w:p>
        </w:tc>
        <w:tc>
          <w:tcPr>
            <w:tcW w:w="2250" w:type="dxa"/>
            <w:shd w:val="clear" w:color="auto" w:fill="auto"/>
            <w:vAlign w:val="center"/>
          </w:tcPr>
          <w:p w14:paraId="4AD122B1" w14:textId="33890037" w:rsidR="00DD0AFC" w:rsidRPr="00EF7D00" w:rsidRDefault="00034B6C" w:rsidP="00EF7D00">
            <w:pPr>
              <w:pStyle w:val="NormalWeb"/>
              <w:tabs>
                <w:tab w:val="left" w:pos="360"/>
              </w:tabs>
              <w:spacing w:before="0" w:beforeAutospacing="0" w:after="0" w:afterAutospacing="0"/>
              <w:contextualSpacing/>
              <w:jc w:val="right"/>
            </w:pPr>
            <w:r w:rsidRPr="00EF7D00">
              <w:t>$</w:t>
            </w:r>
            <w:r w:rsidR="001C0C40" w:rsidRPr="00EF7D00">
              <w:t>30</w:t>
            </w:r>
          </w:p>
        </w:tc>
      </w:tr>
      <w:tr w:rsidR="00DD0AFC" w:rsidRPr="00EF7D00" w14:paraId="269F40B4" w14:textId="77777777" w:rsidTr="0009682D">
        <w:trPr>
          <w:trHeight w:val="389"/>
        </w:trPr>
        <w:tc>
          <w:tcPr>
            <w:tcW w:w="7020" w:type="dxa"/>
            <w:shd w:val="clear" w:color="auto" w:fill="auto"/>
            <w:vAlign w:val="center"/>
          </w:tcPr>
          <w:p w14:paraId="514A1BA1" w14:textId="5E4F7FD4" w:rsidR="00DD0AFC" w:rsidRPr="00EF7D00" w:rsidRDefault="00DD0AFC" w:rsidP="00CD0E0C">
            <w:pPr>
              <w:tabs>
                <w:tab w:val="left" w:pos="360"/>
              </w:tabs>
              <w:rPr>
                <w:color w:val="000000"/>
              </w:rPr>
            </w:pPr>
            <w:r w:rsidRPr="00EF7D00">
              <w:rPr>
                <w:color w:val="000000"/>
              </w:rPr>
              <w:t xml:space="preserve">Annual public burden </w:t>
            </w:r>
          </w:p>
        </w:tc>
        <w:tc>
          <w:tcPr>
            <w:tcW w:w="2250" w:type="dxa"/>
            <w:shd w:val="clear" w:color="auto" w:fill="auto"/>
            <w:vAlign w:val="center"/>
          </w:tcPr>
          <w:p w14:paraId="2312E31B" w14:textId="58901AC0" w:rsidR="00DD0AFC" w:rsidRPr="00EF7D00" w:rsidRDefault="00034B6C" w:rsidP="00EF7D00">
            <w:pPr>
              <w:pStyle w:val="NormalWeb"/>
              <w:tabs>
                <w:tab w:val="left" w:pos="360"/>
              </w:tabs>
              <w:spacing w:before="0" w:beforeAutospacing="0" w:after="0" w:afterAutospacing="0"/>
              <w:contextualSpacing/>
              <w:jc w:val="right"/>
            </w:pPr>
            <w:r w:rsidRPr="00EF7D00">
              <w:t>$</w:t>
            </w:r>
            <w:r w:rsidR="001C0C40" w:rsidRPr="00EF7D00">
              <w:t>14,940</w:t>
            </w:r>
          </w:p>
        </w:tc>
      </w:tr>
    </w:tbl>
    <w:p w14:paraId="019C8FFF" w14:textId="77777777" w:rsidR="00DD0AFC" w:rsidRDefault="00DD0AFC" w:rsidP="00EF7D00">
      <w:pPr>
        <w:tabs>
          <w:tab w:val="left" w:pos="360"/>
        </w:tabs>
      </w:pPr>
    </w:p>
    <w:p w14:paraId="0D2BB1F2" w14:textId="72522AF3" w:rsidR="000F629D" w:rsidRPr="0009682D" w:rsidRDefault="004273D3" w:rsidP="00EF7D00">
      <w:pPr>
        <w:tabs>
          <w:tab w:val="left" w:pos="360"/>
        </w:tabs>
        <w:rPr>
          <w:i/>
        </w:rPr>
      </w:pPr>
      <w:r>
        <w:rPr>
          <w:i/>
        </w:rPr>
        <w:tab/>
      </w:r>
      <w:r w:rsidR="00C07B93" w:rsidRPr="0009682D">
        <w:rPr>
          <w:i/>
        </w:rPr>
        <w:t>NOTE:</w:t>
      </w:r>
      <w:r w:rsidR="000F629D" w:rsidRPr="0009682D">
        <w:rPr>
          <w:i/>
        </w:rPr>
        <w:tab/>
      </w:r>
      <w:r w:rsidR="00C07B93" w:rsidRPr="0009682D">
        <w:rPr>
          <w:i/>
        </w:rPr>
        <w:t xml:space="preserve"> </w:t>
      </w:r>
      <w:r w:rsidR="000F629D" w:rsidRPr="0009682D">
        <w:rPr>
          <w:i/>
        </w:rPr>
        <w:t xml:space="preserve">Respondents shown in </w:t>
      </w:r>
      <w:r w:rsidR="00C07B93" w:rsidRPr="0009682D">
        <w:rPr>
          <w:i/>
        </w:rPr>
        <w:t>12.b.i. and 12.b.ii.</w:t>
      </w:r>
      <w:r w:rsidR="000F629D" w:rsidRPr="0009682D">
        <w:rPr>
          <w:i/>
        </w:rPr>
        <w:t xml:space="preserve"> above are a subset of respondents </w:t>
      </w:r>
      <w:r w:rsidR="006F73BD" w:rsidRPr="0009682D">
        <w:rPr>
          <w:i/>
        </w:rPr>
        <w:t xml:space="preserve">represented </w:t>
      </w:r>
      <w:r w:rsidR="000F629D" w:rsidRPr="0009682D">
        <w:rPr>
          <w:i/>
        </w:rPr>
        <w:t xml:space="preserve">in </w:t>
      </w:r>
      <w:r w:rsidR="00C07B93" w:rsidRPr="0009682D">
        <w:rPr>
          <w:i/>
        </w:rPr>
        <w:t>12.b.iii.</w:t>
      </w:r>
      <w:r w:rsidR="000F629D" w:rsidRPr="0009682D">
        <w:rPr>
          <w:i/>
        </w:rPr>
        <w:t>, and are therefore not additive.</w:t>
      </w:r>
    </w:p>
    <w:p w14:paraId="63786724" w14:textId="77777777" w:rsidR="000F629D" w:rsidRPr="00EF7D00" w:rsidRDefault="000F629D" w:rsidP="00EF7D00">
      <w:pPr>
        <w:tabs>
          <w:tab w:val="left" w:pos="360"/>
        </w:tabs>
      </w:pPr>
    </w:p>
    <w:p w14:paraId="6C6B5110" w14:textId="777E631E" w:rsidR="000168C3" w:rsidRPr="00EF7D00" w:rsidRDefault="0065478C" w:rsidP="00EF7D00">
      <w:pPr>
        <w:tabs>
          <w:tab w:val="left" w:pos="360"/>
        </w:tabs>
      </w:pPr>
      <w:r w:rsidRPr="00EF7D00">
        <w:rPr>
          <w:b/>
        </w:rPr>
        <w:tab/>
      </w:r>
      <w:r w:rsidRPr="00EF7D00">
        <w:t xml:space="preserve">c.  </w:t>
      </w:r>
      <w:r w:rsidRPr="0009682D">
        <w:rPr>
          <w:u w:val="single"/>
        </w:rPr>
        <w:t xml:space="preserve">252.223-7003, Changes in Place of Performance—Ammunition and Explosives, paragraphs </w:t>
      </w:r>
      <w:r w:rsidR="000168C3" w:rsidRPr="0009682D">
        <w:rPr>
          <w:u w:val="single"/>
        </w:rPr>
        <w:t xml:space="preserve">(a), (b), </w:t>
      </w:r>
      <w:r w:rsidR="00EF7D00" w:rsidRPr="0009682D">
        <w:rPr>
          <w:u w:val="single"/>
        </w:rPr>
        <w:t xml:space="preserve">and </w:t>
      </w:r>
      <w:r w:rsidRPr="0009682D">
        <w:rPr>
          <w:u w:val="single"/>
        </w:rPr>
        <w:t>(c)</w:t>
      </w:r>
      <w:r w:rsidRPr="00EF7D00">
        <w:t>.</w:t>
      </w:r>
      <w:r w:rsidR="000168C3" w:rsidRPr="00EF7D00">
        <w:t xml:space="preserve">  </w:t>
      </w:r>
      <w:r w:rsidR="000B6AE2" w:rsidRPr="00EF7D00">
        <w:t xml:space="preserve">This clause is prescribed </w:t>
      </w:r>
      <w:r w:rsidR="004273D3">
        <w:t>at</w:t>
      </w:r>
      <w:r w:rsidR="004273D3" w:rsidRPr="00EF7D00">
        <w:t xml:space="preserve"> </w:t>
      </w:r>
      <w:r w:rsidR="004273D3">
        <w:t xml:space="preserve">DFARS </w:t>
      </w:r>
      <w:r w:rsidR="000B6AE2" w:rsidRPr="00EF7D00">
        <w:t xml:space="preserve">223.370-5, for use in contracts </w:t>
      </w:r>
      <w:r w:rsidR="000B1D51" w:rsidRPr="00EF7D00">
        <w:t xml:space="preserve">under which ammunition and explosives are handled.  </w:t>
      </w:r>
    </w:p>
    <w:p w14:paraId="02187ACB" w14:textId="77777777" w:rsidR="000168C3" w:rsidRPr="00EF7D00" w:rsidRDefault="000168C3" w:rsidP="00EF7D00">
      <w:pPr>
        <w:tabs>
          <w:tab w:val="left" w:pos="360"/>
        </w:tabs>
      </w:pPr>
    </w:p>
    <w:p w14:paraId="6ED71D7D" w14:textId="03D88064" w:rsidR="000168C3" w:rsidRPr="00EF7D00" w:rsidRDefault="00FD6E74" w:rsidP="00EF7D00">
      <w:pPr>
        <w:tabs>
          <w:tab w:val="left" w:pos="360"/>
        </w:tabs>
      </w:pPr>
      <w:r w:rsidRPr="00EF7D00">
        <w:tab/>
      </w:r>
      <w:r w:rsidR="000F629D">
        <w:tab/>
      </w:r>
      <w:r w:rsidR="00C07B93">
        <w:t>i.</w:t>
      </w:r>
      <w:r w:rsidR="000F629D">
        <w:t xml:space="preserve">  </w:t>
      </w:r>
      <w:r w:rsidR="000168C3" w:rsidRPr="00EF7D00">
        <w:t xml:space="preserve">Paragraph (a) of the clause requires the offeror to identify, in the “Place of Performance” provision of the solicitation, the place of performance of all ammunition and explosives work covered by DFARS 252.223-7002, Safety Precautions for Ammunition and Explosives.  Based on information provided by the DoD Explosives and Safety Board technical expert, we estimate </w:t>
      </w:r>
      <w:r w:rsidR="004D322B" w:rsidRPr="00EF7D00">
        <w:t xml:space="preserve">approximately </w:t>
      </w:r>
      <w:r w:rsidR="000168C3" w:rsidRPr="00EF7D00">
        <w:t>2,</w:t>
      </w:r>
      <w:r w:rsidR="004D322B" w:rsidRPr="00EF7D00">
        <w:t>324</w:t>
      </w:r>
      <w:r w:rsidR="000168C3" w:rsidRPr="00EF7D00">
        <w:t xml:space="preserve"> responses (485 solicitations </w:t>
      </w:r>
      <w:r w:rsidR="00C07B93">
        <w:t>*</w:t>
      </w:r>
      <w:r w:rsidR="00C07B93" w:rsidRPr="00EF7D00">
        <w:t xml:space="preserve"> </w:t>
      </w:r>
      <w:r w:rsidR="000168C3" w:rsidRPr="00EF7D00">
        <w:t xml:space="preserve">5 responses per solicitation).  Using the estimate of 332 contractors established in </w:t>
      </w:r>
      <w:r w:rsidR="00AF1582" w:rsidRPr="00EF7D00">
        <w:t>252.223-7002</w:t>
      </w:r>
      <w:r w:rsidR="000168C3" w:rsidRPr="00EF7D00">
        <w:t>(c)(2)</w:t>
      </w:r>
      <w:r w:rsidR="004273D3">
        <w:t xml:space="preserve"> (see section 12.b.i.)</w:t>
      </w:r>
      <w:r w:rsidR="000168C3" w:rsidRPr="00EF7D00">
        <w:t xml:space="preserve">, we calculate an average of </w:t>
      </w:r>
      <w:r w:rsidR="004D322B" w:rsidRPr="00EF7D00">
        <w:t xml:space="preserve"> approximately </w:t>
      </w:r>
      <w:r w:rsidR="000168C3" w:rsidRPr="00EF7D00">
        <w:t>7 responses per respondent (2,425/332 = 7.3</w:t>
      </w:r>
      <w:r w:rsidR="004D322B" w:rsidRPr="00EF7D00">
        <w:t xml:space="preserve"> rounded to 7</w:t>
      </w:r>
      <w:r w:rsidR="000168C3" w:rsidRPr="00EF7D00">
        <w:t xml:space="preserve">).  We further estimate that </w:t>
      </w:r>
      <w:r w:rsidR="00F07E33" w:rsidRPr="00EF7D00">
        <w:t xml:space="preserve">it takes an offeror approximately ten minutes to </w:t>
      </w:r>
      <w:r w:rsidR="000168C3" w:rsidRPr="00EF7D00">
        <w:t>identif</w:t>
      </w:r>
      <w:r w:rsidR="00F07E33" w:rsidRPr="00EF7D00">
        <w:t>y</w:t>
      </w:r>
      <w:r w:rsidR="000168C3" w:rsidRPr="00EF7D00">
        <w:t xml:space="preserve"> the place of performance in the solicitation, at a cost of $</w:t>
      </w:r>
      <w:r w:rsidR="004D322B" w:rsidRPr="00EF7D00">
        <w:t>37</w:t>
      </w:r>
      <w:r w:rsidR="000168C3" w:rsidRPr="00EF7D00">
        <w:t xml:space="preserve"> per hour (equivalent of a GS-9, step 5 salary of </w:t>
      </w:r>
      <w:r w:rsidR="004D322B" w:rsidRPr="00EF7D00">
        <w:t>$27.02</w:t>
      </w:r>
      <w:r w:rsidR="000168C3" w:rsidRPr="00EF7D00">
        <w:t>, plus 36.25 percent burden rounded to the nearest whole dollar):</w:t>
      </w:r>
    </w:p>
    <w:p w14:paraId="7F1E8F5C" w14:textId="77777777" w:rsidR="00082075" w:rsidRPr="00EF7D00" w:rsidRDefault="00082075" w:rsidP="00EF7D00">
      <w:pPr>
        <w:tabs>
          <w:tab w:val="left" w:pos="360"/>
        </w:tabs>
        <w:ind w:hanging="36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0168C3" w:rsidRPr="00EF7D00" w14:paraId="48412E4F" w14:textId="77777777" w:rsidTr="0009682D">
        <w:trPr>
          <w:trHeight w:val="389"/>
        </w:trPr>
        <w:tc>
          <w:tcPr>
            <w:tcW w:w="9270" w:type="dxa"/>
            <w:gridSpan w:val="2"/>
            <w:shd w:val="clear" w:color="auto" w:fill="auto"/>
            <w:vAlign w:val="center"/>
          </w:tcPr>
          <w:p w14:paraId="7EF641A4" w14:textId="575B45AE" w:rsidR="000168C3" w:rsidRPr="00EF7D00" w:rsidRDefault="000168C3" w:rsidP="00EF7D00">
            <w:pPr>
              <w:pStyle w:val="NormalWeb"/>
              <w:tabs>
                <w:tab w:val="left" w:pos="360"/>
              </w:tabs>
              <w:spacing w:before="0" w:beforeAutospacing="0" w:after="0" w:afterAutospacing="0"/>
              <w:jc w:val="center"/>
            </w:pPr>
            <w:r w:rsidRPr="00EF7D00">
              <w:t xml:space="preserve">Estimation of Respondent Burden Hours: </w:t>
            </w:r>
            <w:r w:rsidR="00993243" w:rsidRPr="00EF7D00">
              <w:t xml:space="preserve"> </w:t>
            </w:r>
            <w:r w:rsidRPr="00EF7D00">
              <w:t>252.223-7003(a)</w:t>
            </w:r>
          </w:p>
        </w:tc>
      </w:tr>
      <w:tr w:rsidR="000168C3" w:rsidRPr="00EF7D00" w14:paraId="321DEC99" w14:textId="77777777" w:rsidTr="0009682D">
        <w:trPr>
          <w:trHeight w:val="389"/>
        </w:trPr>
        <w:tc>
          <w:tcPr>
            <w:tcW w:w="7020" w:type="dxa"/>
            <w:shd w:val="clear" w:color="auto" w:fill="auto"/>
            <w:vAlign w:val="center"/>
          </w:tcPr>
          <w:p w14:paraId="079A5EC0" w14:textId="77777777" w:rsidR="000168C3" w:rsidRPr="00EF7D00" w:rsidRDefault="000168C3" w:rsidP="00EF7D00">
            <w:pPr>
              <w:tabs>
                <w:tab w:val="left" w:pos="360"/>
              </w:tabs>
              <w:rPr>
                <w:color w:val="000000"/>
              </w:rPr>
            </w:pPr>
            <w:r w:rsidRPr="00EF7D00">
              <w:rPr>
                <w:color w:val="000000"/>
              </w:rPr>
              <w:t xml:space="preserve">Number of respondents </w:t>
            </w:r>
          </w:p>
        </w:tc>
        <w:tc>
          <w:tcPr>
            <w:tcW w:w="2250" w:type="dxa"/>
            <w:shd w:val="clear" w:color="auto" w:fill="auto"/>
            <w:vAlign w:val="center"/>
          </w:tcPr>
          <w:p w14:paraId="48319B41" w14:textId="77777777" w:rsidR="000168C3" w:rsidRPr="00EF7D00" w:rsidRDefault="000168C3" w:rsidP="00EF7D00">
            <w:pPr>
              <w:pStyle w:val="NormalWeb"/>
              <w:tabs>
                <w:tab w:val="left" w:pos="360"/>
              </w:tabs>
              <w:spacing w:before="0" w:beforeAutospacing="0" w:after="0" w:afterAutospacing="0"/>
              <w:jc w:val="right"/>
            </w:pPr>
            <w:r w:rsidRPr="00EF7D00">
              <w:t>332</w:t>
            </w:r>
          </w:p>
        </w:tc>
      </w:tr>
      <w:tr w:rsidR="000168C3" w:rsidRPr="00EF7D00" w14:paraId="1CDB0C7F" w14:textId="77777777" w:rsidTr="0009682D">
        <w:trPr>
          <w:trHeight w:val="389"/>
        </w:trPr>
        <w:tc>
          <w:tcPr>
            <w:tcW w:w="7020" w:type="dxa"/>
            <w:shd w:val="clear" w:color="auto" w:fill="auto"/>
            <w:vAlign w:val="center"/>
          </w:tcPr>
          <w:p w14:paraId="410A7735" w14:textId="77777777" w:rsidR="000168C3" w:rsidRPr="00EF7D00" w:rsidRDefault="000168C3" w:rsidP="00EF7D00">
            <w:pPr>
              <w:tabs>
                <w:tab w:val="left" w:pos="360"/>
              </w:tabs>
              <w:rPr>
                <w:color w:val="000000"/>
              </w:rPr>
            </w:pPr>
            <w:r w:rsidRPr="00EF7D00">
              <w:rPr>
                <w:color w:val="000000"/>
              </w:rPr>
              <w:t xml:space="preserve">Responses per respondent </w:t>
            </w:r>
          </w:p>
        </w:tc>
        <w:tc>
          <w:tcPr>
            <w:tcW w:w="2250" w:type="dxa"/>
            <w:shd w:val="clear" w:color="auto" w:fill="auto"/>
            <w:vAlign w:val="center"/>
          </w:tcPr>
          <w:p w14:paraId="498C0CFC" w14:textId="23C231AE" w:rsidR="000168C3" w:rsidRPr="00EF7D00" w:rsidRDefault="000168C3" w:rsidP="007A37FF">
            <w:pPr>
              <w:pStyle w:val="NormalWeb"/>
              <w:tabs>
                <w:tab w:val="left" w:pos="360"/>
              </w:tabs>
              <w:spacing w:before="0" w:beforeAutospacing="0" w:after="0" w:afterAutospacing="0"/>
              <w:contextualSpacing/>
              <w:jc w:val="right"/>
            </w:pPr>
            <w:r w:rsidRPr="00EF7D00">
              <w:t>7</w:t>
            </w:r>
          </w:p>
        </w:tc>
      </w:tr>
      <w:tr w:rsidR="000168C3" w:rsidRPr="00EF7D00" w14:paraId="72E6563D" w14:textId="77777777" w:rsidTr="0009682D">
        <w:trPr>
          <w:trHeight w:val="389"/>
        </w:trPr>
        <w:tc>
          <w:tcPr>
            <w:tcW w:w="7020" w:type="dxa"/>
            <w:shd w:val="clear" w:color="auto" w:fill="auto"/>
            <w:vAlign w:val="center"/>
          </w:tcPr>
          <w:p w14:paraId="1A7B1BA9" w14:textId="77777777" w:rsidR="000168C3" w:rsidRPr="00EF7D00" w:rsidRDefault="000168C3" w:rsidP="00EF7D00">
            <w:pPr>
              <w:tabs>
                <w:tab w:val="left" w:pos="360"/>
              </w:tabs>
              <w:rPr>
                <w:color w:val="000000"/>
              </w:rPr>
            </w:pPr>
            <w:r w:rsidRPr="00EF7D00">
              <w:rPr>
                <w:color w:val="000000"/>
              </w:rPr>
              <w:t xml:space="preserve">Number of responses </w:t>
            </w:r>
          </w:p>
        </w:tc>
        <w:tc>
          <w:tcPr>
            <w:tcW w:w="2250" w:type="dxa"/>
            <w:shd w:val="clear" w:color="auto" w:fill="auto"/>
            <w:vAlign w:val="center"/>
          </w:tcPr>
          <w:p w14:paraId="7FE0ECB8" w14:textId="036EC6FA" w:rsidR="000168C3" w:rsidRPr="00EF7D00" w:rsidRDefault="000168C3" w:rsidP="00EF7D00">
            <w:pPr>
              <w:pStyle w:val="NormalWeb"/>
              <w:tabs>
                <w:tab w:val="left" w:pos="360"/>
              </w:tabs>
              <w:spacing w:before="0" w:beforeAutospacing="0" w:after="0" w:afterAutospacing="0"/>
              <w:contextualSpacing/>
              <w:jc w:val="right"/>
            </w:pPr>
            <w:r w:rsidRPr="00EF7D00">
              <w:t>2,</w:t>
            </w:r>
            <w:r w:rsidR="001C0C40" w:rsidRPr="00EF7D00">
              <w:t>324</w:t>
            </w:r>
          </w:p>
        </w:tc>
      </w:tr>
      <w:tr w:rsidR="000168C3" w:rsidRPr="00EF7D00" w14:paraId="6439840F" w14:textId="77777777" w:rsidTr="0009682D">
        <w:trPr>
          <w:trHeight w:val="389"/>
        </w:trPr>
        <w:tc>
          <w:tcPr>
            <w:tcW w:w="7020" w:type="dxa"/>
            <w:shd w:val="clear" w:color="auto" w:fill="auto"/>
            <w:vAlign w:val="center"/>
          </w:tcPr>
          <w:p w14:paraId="098744B2" w14:textId="77777777" w:rsidR="000168C3" w:rsidRPr="00EF7D00" w:rsidRDefault="000168C3" w:rsidP="00EF7D00">
            <w:pPr>
              <w:tabs>
                <w:tab w:val="left" w:pos="360"/>
              </w:tabs>
              <w:rPr>
                <w:color w:val="000000"/>
              </w:rPr>
            </w:pPr>
            <w:r w:rsidRPr="00EF7D00">
              <w:rPr>
                <w:color w:val="000000"/>
              </w:rPr>
              <w:t xml:space="preserve">Hours per response </w:t>
            </w:r>
          </w:p>
        </w:tc>
        <w:tc>
          <w:tcPr>
            <w:tcW w:w="2250" w:type="dxa"/>
            <w:shd w:val="clear" w:color="auto" w:fill="auto"/>
            <w:vAlign w:val="center"/>
          </w:tcPr>
          <w:p w14:paraId="25630EBF" w14:textId="6BF8A046" w:rsidR="000168C3" w:rsidRPr="00EF7D00" w:rsidRDefault="000168C3" w:rsidP="007A37FF">
            <w:pPr>
              <w:pStyle w:val="NormalWeb"/>
              <w:tabs>
                <w:tab w:val="left" w:pos="360"/>
              </w:tabs>
              <w:spacing w:before="0" w:beforeAutospacing="0" w:after="0" w:afterAutospacing="0"/>
              <w:contextualSpacing/>
              <w:jc w:val="right"/>
            </w:pPr>
            <w:r w:rsidRPr="00EF7D00">
              <w:t>.</w:t>
            </w:r>
            <w:r w:rsidR="00C840CA" w:rsidRPr="00EF7D00">
              <w:t>1</w:t>
            </w:r>
            <w:r w:rsidR="00F07E33" w:rsidRPr="00EF7D00">
              <w:t>7</w:t>
            </w:r>
          </w:p>
        </w:tc>
      </w:tr>
      <w:tr w:rsidR="000168C3" w:rsidRPr="00EF7D00" w14:paraId="1C95A986" w14:textId="77777777" w:rsidTr="0009682D">
        <w:trPr>
          <w:trHeight w:val="389"/>
        </w:trPr>
        <w:tc>
          <w:tcPr>
            <w:tcW w:w="7020" w:type="dxa"/>
            <w:shd w:val="clear" w:color="auto" w:fill="auto"/>
            <w:vAlign w:val="center"/>
          </w:tcPr>
          <w:p w14:paraId="0D8C2904" w14:textId="2AE7E18D" w:rsidR="000168C3" w:rsidRPr="00EF7D00" w:rsidRDefault="000168C3" w:rsidP="00CD0E0C">
            <w:pPr>
              <w:tabs>
                <w:tab w:val="left" w:pos="360"/>
              </w:tabs>
              <w:rPr>
                <w:color w:val="000000"/>
              </w:rPr>
            </w:pPr>
            <w:r w:rsidRPr="00EF7D00">
              <w:rPr>
                <w:color w:val="000000"/>
              </w:rPr>
              <w:t xml:space="preserve">Estimated hours </w:t>
            </w:r>
          </w:p>
        </w:tc>
        <w:tc>
          <w:tcPr>
            <w:tcW w:w="2250" w:type="dxa"/>
            <w:shd w:val="clear" w:color="auto" w:fill="auto"/>
            <w:vAlign w:val="center"/>
          </w:tcPr>
          <w:p w14:paraId="550E31B4" w14:textId="3B65CF2C" w:rsidR="000168C3" w:rsidRPr="00EF7D00" w:rsidRDefault="001C0C40" w:rsidP="00EF7D00">
            <w:pPr>
              <w:pStyle w:val="NormalWeb"/>
              <w:tabs>
                <w:tab w:val="left" w:pos="360"/>
              </w:tabs>
              <w:spacing w:before="0" w:beforeAutospacing="0" w:after="0" w:afterAutospacing="0"/>
              <w:contextualSpacing/>
              <w:jc w:val="right"/>
            </w:pPr>
            <w:r w:rsidRPr="00EF7D00">
              <w:t>395</w:t>
            </w:r>
          </w:p>
        </w:tc>
      </w:tr>
      <w:tr w:rsidR="000168C3" w:rsidRPr="00EF7D00" w14:paraId="37DF4DE5" w14:textId="77777777" w:rsidTr="0009682D">
        <w:trPr>
          <w:trHeight w:val="389"/>
        </w:trPr>
        <w:tc>
          <w:tcPr>
            <w:tcW w:w="7020" w:type="dxa"/>
            <w:shd w:val="clear" w:color="auto" w:fill="auto"/>
            <w:vAlign w:val="center"/>
          </w:tcPr>
          <w:p w14:paraId="34953912" w14:textId="77777777" w:rsidR="000168C3" w:rsidRPr="00EF7D00" w:rsidRDefault="000168C3" w:rsidP="00EF7D00">
            <w:pPr>
              <w:tabs>
                <w:tab w:val="left" w:pos="360"/>
              </w:tabs>
              <w:rPr>
                <w:color w:val="000000"/>
              </w:rPr>
            </w:pPr>
            <w:r w:rsidRPr="00EF7D00">
              <w:rPr>
                <w:color w:val="000000"/>
              </w:rPr>
              <w:t>Cost per hour (hourly wage)</w:t>
            </w:r>
          </w:p>
        </w:tc>
        <w:tc>
          <w:tcPr>
            <w:tcW w:w="2250" w:type="dxa"/>
            <w:shd w:val="clear" w:color="auto" w:fill="auto"/>
            <w:vAlign w:val="center"/>
          </w:tcPr>
          <w:p w14:paraId="5BBB34A4" w14:textId="3C2982E2" w:rsidR="000168C3" w:rsidRPr="00EF7D00" w:rsidRDefault="000168C3" w:rsidP="007A37FF">
            <w:pPr>
              <w:pStyle w:val="NormalWeb"/>
              <w:tabs>
                <w:tab w:val="left" w:pos="360"/>
              </w:tabs>
              <w:spacing w:before="0" w:beforeAutospacing="0" w:after="0" w:afterAutospacing="0"/>
              <w:contextualSpacing/>
              <w:jc w:val="right"/>
            </w:pPr>
            <w:r w:rsidRPr="00EF7D00">
              <w:t>$3</w:t>
            </w:r>
            <w:r w:rsidR="001C0C40" w:rsidRPr="00EF7D00">
              <w:t>7</w:t>
            </w:r>
          </w:p>
        </w:tc>
      </w:tr>
      <w:tr w:rsidR="000168C3" w:rsidRPr="00EF7D00" w14:paraId="6953B128" w14:textId="77777777" w:rsidTr="0009682D">
        <w:trPr>
          <w:trHeight w:val="389"/>
        </w:trPr>
        <w:tc>
          <w:tcPr>
            <w:tcW w:w="7020" w:type="dxa"/>
            <w:shd w:val="clear" w:color="auto" w:fill="auto"/>
            <w:vAlign w:val="center"/>
          </w:tcPr>
          <w:p w14:paraId="0CBC2DA0" w14:textId="1CC4A987" w:rsidR="000168C3" w:rsidRPr="00EF7D00" w:rsidRDefault="000168C3" w:rsidP="00CD0E0C">
            <w:pPr>
              <w:tabs>
                <w:tab w:val="left" w:pos="360"/>
              </w:tabs>
              <w:rPr>
                <w:color w:val="000000"/>
              </w:rPr>
            </w:pPr>
            <w:r w:rsidRPr="00EF7D00">
              <w:rPr>
                <w:color w:val="000000"/>
              </w:rPr>
              <w:t xml:space="preserve">Annual public burden </w:t>
            </w:r>
          </w:p>
        </w:tc>
        <w:tc>
          <w:tcPr>
            <w:tcW w:w="2250" w:type="dxa"/>
            <w:shd w:val="clear" w:color="auto" w:fill="auto"/>
            <w:vAlign w:val="center"/>
          </w:tcPr>
          <w:p w14:paraId="2A2F0807" w14:textId="4E5D697C" w:rsidR="000168C3" w:rsidRPr="00EF7D00" w:rsidRDefault="000168C3" w:rsidP="00EF7D00">
            <w:pPr>
              <w:pStyle w:val="NormalWeb"/>
              <w:tabs>
                <w:tab w:val="left" w:pos="360"/>
              </w:tabs>
              <w:spacing w:before="0" w:beforeAutospacing="0" w:after="0" w:afterAutospacing="0"/>
              <w:contextualSpacing/>
              <w:jc w:val="right"/>
            </w:pPr>
            <w:r w:rsidRPr="00EF7D00">
              <w:t>$</w:t>
            </w:r>
            <w:r w:rsidR="001C0C40" w:rsidRPr="00EF7D00">
              <w:t>14,615</w:t>
            </w:r>
          </w:p>
        </w:tc>
      </w:tr>
    </w:tbl>
    <w:p w14:paraId="7B765420" w14:textId="77777777" w:rsidR="000168C3" w:rsidRPr="00EF7D00" w:rsidRDefault="000168C3" w:rsidP="00EF7D00">
      <w:pPr>
        <w:tabs>
          <w:tab w:val="left" w:pos="360"/>
        </w:tabs>
      </w:pPr>
    </w:p>
    <w:p w14:paraId="27BF0E6E" w14:textId="1F8EEFD8" w:rsidR="00DB34F4" w:rsidRPr="00EF7D00" w:rsidRDefault="00541902" w:rsidP="00EF7D00">
      <w:pPr>
        <w:tabs>
          <w:tab w:val="left" w:pos="360"/>
        </w:tabs>
      </w:pPr>
      <w:r w:rsidRPr="00EF7D00">
        <w:tab/>
      </w:r>
      <w:r w:rsidR="000F629D">
        <w:tab/>
      </w:r>
      <w:r w:rsidR="004273D3">
        <w:t>ii.</w:t>
      </w:r>
      <w:r w:rsidR="000F629D">
        <w:t xml:space="preserve">  </w:t>
      </w:r>
      <w:r w:rsidR="000B1D51" w:rsidRPr="00EF7D00">
        <w:t>Pa</w:t>
      </w:r>
      <w:r w:rsidR="00DB34F4" w:rsidRPr="00EF7D00">
        <w:t>ragraph</w:t>
      </w:r>
      <w:r w:rsidR="00D52C3E" w:rsidRPr="00EF7D00">
        <w:t xml:space="preserve">s </w:t>
      </w:r>
      <w:r w:rsidR="000168C3" w:rsidRPr="00EF7D00">
        <w:t xml:space="preserve">(b) and </w:t>
      </w:r>
      <w:r w:rsidR="00DB34F4" w:rsidRPr="00EF7D00">
        <w:t xml:space="preserve">(c) require the contractor to obtain written permission from the contracting officer before changing the place of performance of any portion of the contract covered by 252.223-7002, Safety Precautions for Ammunition and Explosives.  </w:t>
      </w:r>
      <w:r w:rsidR="001F3B22" w:rsidRPr="00EF7D00">
        <w:t xml:space="preserve">Discussions with the technical expert from the DoD Explosives and Safety Board, indicate that </w:t>
      </w:r>
      <w:r w:rsidR="00A57995" w:rsidRPr="00EF7D00">
        <w:t xml:space="preserve">generally, </w:t>
      </w:r>
      <w:r w:rsidR="00F508A6" w:rsidRPr="00EF7D00">
        <w:t xml:space="preserve">30 percent of the </w:t>
      </w:r>
      <w:r w:rsidR="00D25ED0" w:rsidRPr="00EF7D00">
        <w:t xml:space="preserve">332 </w:t>
      </w:r>
      <w:r w:rsidR="00F508A6" w:rsidRPr="00EF7D00">
        <w:t xml:space="preserve">contractors performing A&amp;E contracts will request a change of its place of performance.  These </w:t>
      </w:r>
      <w:r w:rsidR="00AD3AD5" w:rsidRPr="00EF7D00">
        <w:t>100 respondents</w:t>
      </w:r>
      <w:r w:rsidR="000B1D51" w:rsidRPr="00EF7D00">
        <w:t xml:space="preserve"> (332</w:t>
      </w:r>
      <w:r w:rsidR="004273D3">
        <w:t xml:space="preserve"> </w:t>
      </w:r>
      <w:r w:rsidR="004D322B" w:rsidRPr="00EF7D00">
        <w:t>*</w:t>
      </w:r>
      <w:r w:rsidR="004273D3">
        <w:t xml:space="preserve"> </w:t>
      </w:r>
      <w:r w:rsidR="004D322B" w:rsidRPr="00EF7D00">
        <w:t>.</w:t>
      </w:r>
      <w:r w:rsidR="000B1D51" w:rsidRPr="00EF7D00">
        <w:t xml:space="preserve">30) </w:t>
      </w:r>
      <w:r w:rsidR="00C20DF7" w:rsidRPr="00EF7D00">
        <w:t>will submit approximately 5 responses each, many times due to a change in the place of performance of their subcontractors.</w:t>
      </w:r>
      <w:r w:rsidR="004D322B" w:rsidRPr="00EF7D00">
        <w:t xml:space="preserve"> </w:t>
      </w:r>
      <w:r w:rsidR="00C20DF7" w:rsidRPr="00EF7D00">
        <w:t xml:space="preserve"> </w:t>
      </w:r>
      <w:r w:rsidR="009A026F" w:rsidRPr="00EF7D00">
        <w:t xml:space="preserve">Each response will require </w:t>
      </w:r>
      <w:r w:rsidR="00D25ED0" w:rsidRPr="00EF7D00">
        <w:t xml:space="preserve">approximately </w:t>
      </w:r>
      <w:r w:rsidR="009A026F" w:rsidRPr="00EF7D00">
        <w:t>8 hours to complete</w:t>
      </w:r>
      <w:r w:rsidR="00743B54" w:rsidRPr="00EF7D00">
        <w:t xml:space="preserve">, </w:t>
      </w:r>
      <w:r w:rsidR="009A026F" w:rsidRPr="00EF7D00">
        <w:t xml:space="preserve">due to the </w:t>
      </w:r>
      <w:r w:rsidR="00C20DF7" w:rsidRPr="00EF7D00">
        <w:t>amount of detailed information</w:t>
      </w:r>
      <w:r w:rsidR="00743B54" w:rsidRPr="00EF7D00">
        <w:t xml:space="preserve"> the contractor is required to submit in order </w:t>
      </w:r>
      <w:r w:rsidR="009A026F" w:rsidRPr="00EF7D00">
        <w:t xml:space="preserve">to demonstrate that the new place of performance </w:t>
      </w:r>
      <w:r w:rsidR="00AC4E19" w:rsidRPr="00EF7D00">
        <w:t>meets the stringent safety requirements associated with this type of work</w:t>
      </w:r>
      <w:r w:rsidR="00902FCB" w:rsidRPr="00EF7D00">
        <w:t>, at</w:t>
      </w:r>
      <w:r w:rsidR="00DB34F4" w:rsidRPr="00EF7D00">
        <w:t xml:space="preserve"> a cost of $32 per hour (equivalent of a GS-9, step 5 salary of $</w:t>
      </w:r>
      <w:r w:rsidR="004D322B" w:rsidRPr="00EF7D00">
        <w:t>27.02</w:t>
      </w:r>
      <w:r w:rsidR="00DB34F4" w:rsidRPr="00EF7D00">
        <w:t>, plus 36.25 percent burden rounded to the nearest whole dollar):</w:t>
      </w:r>
    </w:p>
    <w:p w14:paraId="042F5B7F" w14:textId="77777777" w:rsidR="004D4631" w:rsidRPr="00EF7D00" w:rsidRDefault="004D4631" w:rsidP="00EF7D00">
      <w:pPr>
        <w:tabs>
          <w:tab w:val="left" w:pos="360"/>
        </w:tabs>
        <w:ind w:hanging="36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DB34F4" w:rsidRPr="00EF7D00" w14:paraId="37F6A8B5" w14:textId="77777777" w:rsidTr="0009682D">
        <w:trPr>
          <w:trHeight w:val="389"/>
        </w:trPr>
        <w:tc>
          <w:tcPr>
            <w:tcW w:w="9270" w:type="dxa"/>
            <w:gridSpan w:val="2"/>
            <w:shd w:val="clear" w:color="auto" w:fill="auto"/>
            <w:vAlign w:val="center"/>
          </w:tcPr>
          <w:p w14:paraId="3C342831" w14:textId="2721D1CB" w:rsidR="00DB34F4" w:rsidRPr="00EF7D00" w:rsidRDefault="00DB34F4" w:rsidP="00EF7D00">
            <w:pPr>
              <w:pStyle w:val="NormalWeb"/>
              <w:tabs>
                <w:tab w:val="left" w:pos="360"/>
              </w:tabs>
              <w:spacing w:before="0" w:beforeAutospacing="0" w:after="0" w:afterAutospacing="0"/>
              <w:jc w:val="center"/>
            </w:pPr>
            <w:r w:rsidRPr="00EF7D00">
              <w:t>Estimation of Respondent Burden Hours: 252.223-7003(b)</w:t>
            </w:r>
            <w:r w:rsidR="004273D3">
              <w:t xml:space="preserve"> </w:t>
            </w:r>
            <w:r w:rsidR="00D52C3E" w:rsidRPr="00EF7D00">
              <w:t>&amp;</w:t>
            </w:r>
            <w:r w:rsidR="004273D3">
              <w:t xml:space="preserve"> </w:t>
            </w:r>
            <w:r w:rsidR="00D52C3E" w:rsidRPr="00EF7D00">
              <w:t>(c)</w:t>
            </w:r>
          </w:p>
        </w:tc>
      </w:tr>
      <w:tr w:rsidR="00DB34F4" w:rsidRPr="00EF7D00" w14:paraId="77D42DFA" w14:textId="77777777" w:rsidTr="0009682D">
        <w:trPr>
          <w:trHeight w:val="389"/>
        </w:trPr>
        <w:tc>
          <w:tcPr>
            <w:tcW w:w="7020" w:type="dxa"/>
            <w:shd w:val="clear" w:color="auto" w:fill="auto"/>
            <w:vAlign w:val="center"/>
          </w:tcPr>
          <w:p w14:paraId="0CB2F77B" w14:textId="77777777" w:rsidR="00DB34F4" w:rsidRPr="00EF7D00" w:rsidRDefault="00DB34F4" w:rsidP="00EF7D00">
            <w:pPr>
              <w:tabs>
                <w:tab w:val="left" w:pos="360"/>
              </w:tabs>
              <w:rPr>
                <w:color w:val="000000"/>
              </w:rPr>
            </w:pPr>
            <w:r w:rsidRPr="00EF7D00">
              <w:rPr>
                <w:color w:val="000000"/>
              </w:rPr>
              <w:t xml:space="preserve">Number of respondents </w:t>
            </w:r>
          </w:p>
        </w:tc>
        <w:tc>
          <w:tcPr>
            <w:tcW w:w="2250" w:type="dxa"/>
            <w:shd w:val="clear" w:color="auto" w:fill="auto"/>
            <w:vAlign w:val="center"/>
          </w:tcPr>
          <w:p w14:paraId="48CCE759" w14:textId="01194F29" w:rsidR="00DB34F4" w:rsidRPr="00EF7D00" w:rsidRDefault="009C3D3E" w:rsidP="00EF7D00">
            <w:pPr>
              <w:pStyle w:val="NormalWeb"/>
              <w:tabs>
                <w:tab w:val="left" w:pos="360"/>
              </w:tabs>
              <w:spacing w:before="0" w:beforeAutospacing="0" w:after="0" w:afterAutospacing="0"/>
              <w:jc w:val="right"/>
            </w:pPr>
            <w:r w:rsidRPr="00EF7D00">
              <w:t>100</w:t>
            </w:r>
          </w:p>
        </w:tc>
      </w:tr>
      <w:tr w:rsidR="00DB34F4" w:rsidRPr="00EF7D00" w14:paraId="13A5A63A" w14:textId="77777777" w:rsidTr="0009682D">
        <w:trPr>
          <w:trHeight w:val="389"/>
        </w:trPr>
        <w:tc>
          <w:tcPr>
            <w:tcW w:w="7020" w:type="dxa"/>
            <w:shd w:val="clear" w:color="auto" w:fill="auto"/>
            <w:vAlign w:val="center"/>
          </w:tcPr>
          <w:p w14:paraId="21F4B833" w14:textId="77777777" w:rsidR="00DB34F4" w:rsidRPr="00EF7D00" w:rsidRDefault="00DB34F4" w:rsidP="00EF7D00">
            <w:pPr>
              <w:tabs>
                <w:tab w:val="left" w:pos="360"/>
              </w:tabs>
              <w:rPr>
                <w:color w:val="000000"/>
              </w:rPr>
            </w:pPr>
            <w:r w:rsidRPr="00EF7D00">
              <w:rPr>
                <w:color w:val="000000"/>
              </w:rPr>
              <w:t xml:space="preserve">Responses per respondent </w:t>
            </w:r>
          </w:p>
        </w:tc>
        <w:tc>
          <w:tcPr>
            <w:tcW w:w="2250" w:type="dxa"/>
            <w:shd w:val="clear" w:color="auto" w:fill="auto"/>
            <w:vAlign w:val="center"/>
          </w:tcPr>
          <w:p w14:paraId="444B310D" w14:textId="4993FFD8" w:rsidR="00DB34F4" w:rsidRPr="00EF7D00" w:rsidRDefault="00DB34F4" w:rsidP="00EF7D00">
            <w:pPr>
              <w:pStyle w:val="NormalWeb"/>
              <w:tabs>
                <w:tab w:val="left" w:pos="360"/>
              </w:tabs>
              <w:spacing w:before="0" w:beforeAutospacing="0" w:after="0" w:afterAutospacing="0"/>
              <w:contextualSpacing/>
              <w:jc w:val="right"/>
            </w:pPr>
            <w:r w:rsidRPr="00EF7D00">
              <w:t>5</w:t>
            </w:r>
          </w:p>
        </w:tc>
      </w:tr>
      <w:tr w:rsidR="00DB34F4" w:rsidRPr="00EF7D00" w14:paraId="1772ADAF" w14:textId="77777777" w:rsidTr="0009682D">
        <w:trPr>
          <w:trHeight w:val="389"/>
        </w:trPr>
        <w:tc>
          <w:tcPr>
            <w:tcW w:w="7020" w:type="dxa"/>
            <w:shd w:val="clear" w:color="auto" w:fill="auto"/>
            <w:vAlign w:val="center"/>
          </w:tcPr>
          <w:p w14:paraId="54E6C521" w14:textId="77777777" w:rsidR="00DB34F4" w:rsidRPr="00EF7D00" w:rsidRDefault="00DB34F4" w:rsidP="00EF7D00">
            <w:pPr>
              <w:tabs>
                <w:tab w:val="left" w:pos="360"/>
              </w:tabs>
              <w:rPr>
                <w:color w:val="000000"/>
              </w:rPr>
            </w:pPr>
            <w:r w:rsidRPr="00EF7D00">
              <w:rPr>
                <w:color w:val="000000"/>
              </w:rPr>
              <w:t xml:space="preserve">Number of responses </w:t>
            </w:r>
          </w:p>
        </w:tc>
        <w:tc>
          <w:tcPr>
            <w:tcW w:w="2250" w:type="dxa"/>
            <w:shd w:val="clear" w:color="auto" w:fill="auto"/>
            <w:vAlign w:val="center"/>
          </w:tcPr>
          <w:p w14:paraId="34255676" w14:textId="2DD0982D" w:rsidR="00DB34F4" w:rsidRPr="00EF7D00" w:rsidRDefault="009C3D3E" w:rsidP="00EF7D00">
            <w:pPr>
              <w:pStyle w:val="NormalWeb"/>
              <w:tabs>
                <w:tab w:val="left" w:pos="360"/>
              </w:tabs>
              <w:spacing w:before="0" w:beforeAutospacing="0" w:after="0" w:afterAutospacing="0"/>
              <w:contextualSpacing/>
              <w:jc w:val="right"/>
            </w:pPr>
            <w:r w:rsidRPr="00EF7D00">
              <w:t>500</w:t>
            </w:r>
          </w:p>
        </w:tc>
      </w:tr>
      <w:tr w:rsidR="00DB34F4" w:rsidRPr="00EF7D00" w14:paraId="6C46E169" w14:textId="77777777" w:rsidTr="0009682D">
        <w:trPr>
          <w:trHeight w:val="389"/>
        </w:trPr>
        <w:tc>
          <w:tcPr>
            <w:tcW w:w="7020" w:type="dxa"/>
            <w:shd w:val="clear" w:color="auto" w:fill="auto"/>
            <w:vAlign w:val="center"/>
          </w:tcPr>
          <w:p w14:paraId="257DCA9F" w14:textId="77777777" w:rsidR="00DB34F4" w:rsidRPr="00EF7D00" w:rsidRDefault="00DB34F4" w:rsidP="00EF7D00">
            <w:pPr>
              <w:tabs>
                <w:tab w:val="left" w:pos="360"/>
              </w:tabs>
              <w:rPr>
                <w:color w:val="000000"/>
              </w:rPr>
            </w:pPr>
            <w:r w:rsidRPr="00EF7D00">
              <w:rPr>
                <w:color w:val="000000"/>
              </w:rPr>
              <w:t xml:space="preserve">Hours per response </w:t>
            </w:r>
          </w:p>
        </w:tc>
        <w:tc>
          <w:tcPr>
            <w:tcW w:w="2250" w:type="dxa"/>
            <w:shd w:val="clear" w:color="auto" w:fill="auto"/>
            <w:vAlign w:val="center"/>
          </w:tcPr>
          <w:p w14:paraId="65D30A81" w14:textId="7A4677A0" w:rsidR="00DB34F4" w:rsidRPr="00EF7D00" w:rsidRDefault="009C3D3E" w:rsidP="007A37FF">
            <w:pPr>
              <w:pStyle w:val="NormalWeb"/>
              <w:tabs>
                <w:tab w:val="left" w:pos="360"/>
              </w:tabs>
              <w:spacing w:before="0" w:beforeAutospacing="0" w:after="0" w:afterAutospacing="0"/>
              <w:contextualSpacing/>
              <w:jc w:val="right"/>
            </w:pPr>
            <w:r w:rsidRPr="00EF7D00">
              <w:t>8</w:t>
            </w:r>
          </w:p>
        </w:tc>
      </w:tr>
      <w:tr w:rsidR="00DB34F4" w:rsidRPr="00EF7D00" w14:paraId="1A74AC48" w14:textId="77777777" w:rsidTr="0009682D">
        <w:trPr>
          <w:trHeight w:val="389"/>
        </w:trPr>
        <w:tc>
          <w:tcPr>
            <w:tcW w:w="7020" w:type="dxa"/>
            <w:shd w:val="clear" w:color="auto" w:fill="auto"/>
            <w:vAlign w:val="center"/>
          </w:tcPr>
          <w:p w14:paraId="76425E38" w14:textId="3FA86893" w:rsidR="00DB34F4" w:rsidRPr="00EF7D00" w:rsidRDefault="00DB34F4" w:rsidP="00CD0E0C">
            <w:pPr>
              <w:tabs>
                <w:tab w:val="left" w:pos="360"/>
              </w:tabs>
              <w:rPr>
                <w:color w:val="000000"/>
              </w:rPr>
            </w:pPr>
            <w:r w:rsidRPr="00EF7D00">
              <w:rPr>
                <w:color w:val="000000"/>
              </w:rPr>
              <w:t xml:space="preserve">Estimated hours </w:t>
            </w:r>
          </w:p>
        </w:tc>
        <w:tc>
          <w:tcPr>
            <w:tcW w:w="2250" w:type="dxa"/>
            <w:shd w:val="clear" w:color="auto" w:fill="auto"/>
            <w:vAlign w:val="center"/>
          </w:tcPr>
          <w:p w14:paraId="6B258BE4" w14:textId="22C68108" w:rsidR="00DB34F4" w:rsidRPr="00EF7D00" w:rsidRDefault="00AD3AD5" w:rsidP="00EF7D00">
            <w:pPr>
              <w:pStyle w:val="NormalWeb"/>
              <w:tabs>
                <w:tab w:val="left" w:pos="360"/>
              </w:tabs>
              <w:spacing w:before="0" w:beforeAutospacing="0" w:after="0" w:afterAutospacing="0"/>
              <w:contextualSpacing/>
              <w:jc w:val="right"/>
            </w:pPr>
            <w:r w:rsidRPr="00EF7D00">
              <w:t>4,000</w:t>
            </w:r>
          </w:p>
        </w:tc>
      </w:tr>
      <w:tr w:rsidR="00DB34F4" w:rsidRPr="00EF7D00" w14:paraId="551A9DBB" w14:textId="77777777" w:rsidTr="0009682D">
        <w:trPr>
          <w:trHeight w:val="389"/>
        </w:trPr>
        <w:tc>
          <w:tcPr>
            <w:tcW w:w="7020" w:type="dxa"/>
            <w:shd w:val="clear" w:color="auto" w:fill="auto"/>
            <w:vAlign w:val="center"/>
          </w:tcPr>
          <w:p w14:paraId="090202C7" w14:textId="77777777" w:rsidR="00DB34F4" w:rsidRPr="00EF7D00" w:rsidRDefault="00DB34F4" w:rsidP="00EF7D00">
            <w:pPr>
              <w:tabs>
                <w:tab w:val="left" w:pos="360"/>
              </w:tabs>
              <w:rPr>
                <w:color w:val="000000"/>
              </w:rPr>
            </w:pPr>
            <w:r w:rsidRPr="00EF7D00">
              <w:rPr>
                <w:color w:val="000000"/>
              </w:rPr>
              <w:t>Cost per hour (hourly wage)</w:t>
            </w:r>
          </w:p>
        </w:tc>
        <w:tc>
          <w:tcPr>
            <w:tcW w:w="2250" w:type="dxa"/>
            <w:shd w:val="clear" w:color="auto" w:fill="auto"/>
            <w:vAlign w:val="center"/>
          </w:tcPr>
          <w:p w14:paraId="2D313DBF" w14:textId="7C683D1E" w:rsidR="00DB34F4" w:rsidRPr="00EF7D00" w:rsidRDefault="00DB34F4" w:rsidP="00EF7D00">
            <w:pPr>
              <w:pStyle w:val="NormalWeb"/>
              <w:tabs>
                <w:tab w:val="left" w:pos="360"/>
              </w:tabs>
              <w:spacing w:before="0" w:beforeAutospacing="0" w:after="0" w:afterAutospacing="0"/>
              <w:contextualSpacing/>
              <w:jc w:val="right"/>
            </w:pPr>
            <w:r w:rsidRPr="00EF7D00">
              <w:t>$3</w:t>
            </w:r>
            <w:r w:rsidR="001C0C40" w:rsidRPr="00EF7D00">
              <w:t>7</w:t>
            </w:r>
          </w:p>
        </w:tc>
      </w:tr>
      <w:tr w:rsidR="00DB34F4" w:rsidRPr="00EF7D00" w14:paraId="765AEAA4" w14:textId="77777777" w:rsidTr="0009682D">
        <w:trPr>
          <w:trHeight w:val="389"/>
        </w:trPr>
        <w:tc>
          <w:tcPr>
            <w:tcW w:w="7020" w:type="dxa"/>
            <w:shd w:val="clear" w:color="auto" w:fill="auto"/>
            <w:vAlign w:val="center"/>
          </w:tcPr>
          <w:p w14:paraId="7921E480" w14:textId="3AC0A2A6" w:rsidR="00DB34F4" w:rsidRPr="00EF7D00" w:rsidRDefault="00DB34F4" w:rsidP="00CD0E0C">
            <w:pPr>
              <w:tabs>
                <w:tab w:val="left" w:pos="360"/>
              </w:tabs>
              <w:rPr>
                <w:color w:val="000000"/>
              </w:rPr>
            </w:pPr>
            <w:r w:rsidRPr="00EF7D00">
              <w:rPr>
                <w:color w:val="000000"/>
              </w:rPr>
              <w:t xml:space="preserve">Annual public burden </w:t>
            </w:r>
          </w:p>
        </w:tc>
        <w:tc>
          <w:tcPr>
            <w:tcW w:w="2250" w:type="dxa"/>
            <w:shd w:val="clear" w:color="auto" w:fill="auto"/>
            <w:vAlign w:val="center"/>
          </w:tcPr>
          <w:p w14:paraId="2447ECFA" w14:textId="69835A89" w:rsidR="00DB34F4" w:rsidRPr="00EF7D00" w:rsidRDefault="009C3D3E" w:rsidP="00EF7D00">
            <w:pPr>
              <w:pStyle w:val="NormalWeb"/>
              <w:tabs>
                <w:tab w:val="left" w:pos="360"/>
              </w:tabs>
              <w:spacing w:before="0" w:beforeAutospacing="0" w:after="0" w:afterAutospacing="0"/>
              <w:contextualSpacing/>
              <w:jc w:val="right"/>
            </w:pPr>
            <w:r w:rsidRPr="00EF7D00">
              <w:t>$1</w:t>
            </w:r>
            <w:r w:rsidR="001C0C40" w:rsidRPr="00EF7D00">
              <w:t>4</w:t>
            </w:r>
            <w:r w:rsidRPr="00EF7D00">
              <w:t>8,0</w:t>
            </w:r>
            <w:r w:rsidR="00AD3AD5" w:rsidRPr="00EF7D00">
              <w:t>00</w:t>
            </w:r>
          </w:p>
        </w:tc>
      </w:tr>
    </w:tbl>
    <w:p w14:paraId="18E87BC8" w14:textId="77777777" w:rsidR="00DB34F4" w:rsidRDefault="00DB34F4" w:rsidP="00EF7D00">
      <w:pPr>
        <w:pStyle w:val="NormalWeb"/>
        <w:tabs>
          <w:tab w:val="left" w:pos="360"/>
          <w:tab w:val="left" w:pos="720"/>
          <w:tab w:val="left" w:pos="1080"/>
          <w:tab w:val="left" w:pos="1440"/>
        </w:tabs>
        <w:spacing w:before="0" w:beforeAutospacing="0" w:after="0" w:afterAutospacing="0"/>
      </w:pPr>
    </w:p>
    <w:p w14:paraId="3899E830" w14:textId="7646DCBE" w:rsidR="000F629D" w:rsidRPr="0009682D" w:rsidRDefault="004273D3" w:rsidP="00EF7D00">
      <w:pPr>
        <w:pStyle w:val="NormalWeb"/>
        <w:tabs>
          <w:tab w:val="left" w:pos="360"/>
          <w:tab w:val="left" w:pos="720"/>
          <w:tab w:val="left" w:pos="1080"/>
          <w:tab w:val="left" w:pos="1440"/>
        </w:tabs>
        <w:spacing w:before="0" w:beforeAutospacing="0" w:after="0" w:afterAutospacing="0"/>
        <w:rPr>
          <w:i/>
        </w:rPr>
      </w:pPr>
      <w:r>
        <w:rPr>
          <w:i/>
        </w:rPr>
        <w:tab/>
      </w:r>
      <w:r w:rsidRPr="0009682D">
        <w:rPr>
          <w:i/>
        </w:rPr>
        <w:t>NOTE:</w:t>
      </w:r>
      <w:r w:rsidR="000F629D" w:rsidRPr="0009682D">
        <w:rPr>
          <w:i/>
        </w:rPr>
        <w:t xml:space="preserve">  Respondents shown in </w:t>
      </w:r>
      <w:r>
        <w:rPr>
          <w:i/>
        </w:rPr>
        <w:t xml:space="preserve">12.c.i. </w:t>
      </w:r>
      <w:r w:rsidR="000F629D" w:rsidRPr="0009682D">
        <w:rPr>
          <w:i/>
        </w:rPr>
        <w:t xml:space="preserve">and </w:t>
      </w:r>
      <w:r>
        <w:rPr>
          <w:i/>
        </w:rPr>
        <w:t>12.c.ii.</w:t>
      </w:r>
      <w:r w:rsidR="000F629D" w:rsidRPr="0009682D">
        <w:rPr>
          <w:i/>
        </w:rPr>
        <w:t xml:space="preserve"> above are a subset of respondents </w:t>
      </w:r>
      <w:r w:rsidR="006F73BD" w:rsidRPr="0009682D">
        <w:rPr>
          <w:i/>
        </w:rPr>
        <w:t xml:space="preserve">represented </w:t>
      </w:r>
      <w:r w:rsidR="000F629D" w:rsidRPr="0009682D">
        <w:rPr>
          <w:i/>
        </w:rPr>
        <w:t xml:space="preserve">in </w:t>
      </w:r>
      <w:r w:rsidR="006F73BD" w:rsidRPr="0009682D">
        <w:rPr>
          <w:i/>
        </w:rPr>
        <w:t xml:space="preserve">paragraph </w:t>
      </w:r>
      <w:r>
        <w:rPr>
          <w:i/>
        </w:rPr>
        <w:t>12.</w:t>
      </w:r>
      <w:r w:rsidR="00DC7363">
        <w:rPr>
          <w:i/>
        </w:rPr>
        <w:t>b</w:t>
      </w:r>
      <w:r>
        <w:rPr>
          <w:i/>
        </w:rPr>
        <w:t>.iii.</w:t>
      </w:r>
      <w:r w:rsidR="006F73BD" w:rsidRPr="0009682D">
        <w:rPr>
          <w:i/>
        </w:rPr>
        <w:t xml:space="preserve"> for 252.223-7002(g)</w:t>
      </w:r>
      <w:r w:rsidR="000F629D" w:rsidRPr="0009682D">
        <w:rPr>
          <w:i/>
        </w:rPr>
        <w:t>, and are therefore not additive.</w:t>
      </w:r>
    </w:p>
    <w:p w14:paraId="59CBD722" w14:textId="77777777" w:rsidR="000F629D" w:rsidRPr="00EF7D00" w:rsidRDefault="000F629D" w:rsidP="00EF7D00">
      <w:pPr>
        <w:pStyle w:val="NormalWeb"/>
        <w:tabs>
          <w:tab w:val="left" w:pos="360"/>
          <w:tab w:val="left" w:pos="720"/>
          <w:tab w:val="left" w:pos="1080"/>
          <w:tab w:val="left" w:pos="1440"/>
        </w:tabs>
        <w:spacing w:before="0" w:beforeAutospacing="0" w:after="0" w:afterAutospacing="0"/>
      </w:pPr>
    </w:p>
    <w:p w14:paraId="3B6E3302" w14:textId="16CABC5D" w:rsidR="00687732" w:rsidRPr="00EF7D00" w:rsidRDefault="00842ACA" w:rsidP="00EF7D00">
      <w:pPr>
        <w:tabs>
          <w:tab w:val="left" w:pos="360"/>
        </w:tabs>
      </w:pPr>
      <w:r w:rsidRPr="00EF7D00">
        <w:rPr>
          <w:b/>
        </w:rPr>
        <w:tab/>
      </w:r>
      <w:r w:rsidRPr="00EF7D00">
        <w:t xml:space="preserve">d.  </w:t>
      </w:r>
      <w:r w:rsidRPr="0009682D">
        <w:rPr>
          <w:u w:val="single"/>
        </w:rPr>
        <w:t xml:space="preserve">252.223-7007, </w:t>
      </w:r>
      <w:r w:rsidR="00722076" w:rsidRPr="0009682D">
        <w:rPr>
          <w:u w:val="single"/>
        </w:rPr>
        <w:t>Safeguarding</w:t>
      </w:r>
      <w:r w:rsidRPr="0009682D">
        <w:rPr>
          <w:u w:val="single"/>
        </w:rPr>
        <w:t xml:space="preserve"> Sensitive Conventional Arms, Ammunition, and Explosives, paragraph (e)</w:t>
      </w:r>
      <w:r w:rsidRPr="00EF7D00">
        <w:t xml:space="preserve">.  This clause is prescribed in </w:t>
      </w:r>
      <w:r w:rsidR="004273D3">
        <w:t xml:space="preserve">DFARS </w:t>
      </w:r>
      <w:r w:rsidRPr="00EF7D00">
        <w:t>223.7203, for use in solicitations and contracts for acquisitions involving items within the scope (Chapter 1, paragraph B) of DoD 5100.76-M, Physical Security of Sensitive Conventional Arms, Ammunitions, and Explosives (AA&amp;E).  Paragraph (e) requires the contractor to notify the cognizant Defense Security Service (DSS) field office within 10 days of any subcontract involving AA&amp;E.</w:t>
      </w:r>
    </w:p>
    <w:p w14:paraId="5908A61F" w14:textId="77777777" w:rsidR="00D52C3E" w:rsidRPr="00EF7D00" w:rsidRDefault="00D52C3E" w:rsidP="00EF7D00">
      <w:pPr>
        <w:tabs>
          <w:tab w:val="left" w:pos="360"/>
        </w:tabs>
      </w:pPr>
    </w:p>
    <w:p w14:paraId="37ABCAFE" w14:textId="56A0A6FA" w:rsidR="0088751D" w:rsidRPr="00EF7D00" w:rsidRDefault="0088751D" w:rsidP="00EF7D00">
      <w:pPr>
        <w:tabs>
          <w:tab w:val="left" w:pos="360"/>
        </w:tabs>
      </w:pPr>
      <w:r w:rsidRPr="00EF7D00">
        <w:tab/>
      </w:r>
      <w:r w:rsidR="004273D3">
        <w:t>According to s</w:t>
      </w:r>
      <w:r w:rsidR="00FC2DD9" w:rsidRPr="00EF7D00">
        <w:t>ubject matter experts (SMEs)</w:t>
      </w:r>
      <w:r w:rsidR="001E1D0F" w:rsidRPr="00EF7D00">
        <w:t xml:space="preserve"> from DSS</w:t>
      </w:r>
      <w:r w:rsidR="004273D3">
        <w:t>,</w:t>
      </w:r>
      <w:r w:rsidR="00041F73" w:rsidRPr="00EF7D00">
        <w:t xml:space="preserve"> AA&amp;E records pertinent to DoD 5100.76-M are maintained in the DSS Industrial Security Facility Database (ISFD).  According to </w:t>
      </w:r>
      <w:r w:rsidR="00B0563F" w:rsidRPr="00EF7D00">
        <w:t>the ISFD</w:t>
      </w:r>
      <w:r w:rsidR="00041F73" w:rsidRPr="00EF7D00">
        <w:t>, as</w:t>
      </w:r>
      <w:r w:rsidR="00FE5A59" w:rsidRPr="00EF7D00">
        <w:t xml:space="preserve"> of June of 2017, the estimated total number of respondents per year is 149; the average number of notifications per respondent is 1; and the amount of time required to prepare each notification is 30 minutes</w:t>
      </w:r>
      <w:r w:rsidR="004D322B" w:rsidRPr="00EF7D00">
        <w:t>,</w:t>
      </w:r>
      <w:r w:rsidR="00FE5A59" w:rsidRPr="00EF7D00">
        <w:t xml:space="preserve"> </w:t>
      </w:r>
      <w:r w:rsidRPr="00EF7D00">
        <w:t>at a cost of $</w:t>
      </w:r>
      <w:r w:rsidR="004D322B" w:rsidRPr="00EF7D00">
        <w:t>45</w:t>
      </w:r>
      <w:r w:rsidRPr="00EF7D00">
        <w:t xml:space="preserve"> per hour </w:t>
      </w:r>
      <w:r w:rsidR="004D322B" w:rsidRPr="00EF7D00">
        <w:t>(equivalent of a GS-11, step 5 salary of $32.70, plus 36.25 percent burden rounded to the nearest whole dollar</w:t>
      </w:r>
      <w:r w:rsidRPr="00EF7D00">
        <w:t>):</w:t>
      </w:r>
    </w:p>
    <w:p w14:paraId="75CB5DF6" w14:textId="77777777" w:rsidR="00AF1582" w:rsidRPr="00EF7D00" w:rsidRDefault="00AF1582" w:rsidP="00EF7D00">
      <w:pPr>
        <w:tabs>
          <w:tab w:val="left" w:pos="36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87189A" w:rsidRPr="00EF7D00" w14:paraId="7BE5CD9B" w14:textId="77777777" w:rsidTr="0009682D">
        <w:trPr>
          <w:trHeight w:val="389"/>
        </w:trPr>
        <w:tc>
          <w:tcPr>
            <w:tcW w:w="9270" w:type="dxa"/>
            <w:gridSpan w:val="2"/>
            <w:shd w:val="clear" w:color="auto" w:fill="auto"/>
            <w:vAlign w:val="center"/>
          </w:tcPr>
          <w:p w14:paraId="4A6410D0" w14:textId="749BCDEE" w:rsidR="0087189A" w:rsidRPr="00EF7D00" w:rsidRDefault="0087189A" w:rsidP="00EF7D00">
            <w:pPr>
              <w:pStyle w:val="NormalWeb"/>
              <w:tabs>
                <w:tab w:val="left" w:pos="360"/>
              </w:tabs>
              <w:spacing w:before="0" w:beforeAutospacing="0" w:after="0" w:afterAutospacing="0"/>
              <w:jc w:val="center"/>
            </w:pPr>
            <w:r w:rsidRPr="00EF7D00">
              <w:t xml:space="preserve">Estimation of Respondent Burden Hours: </w:t>
            </w:r>
            <w:r w:rsidR="002D04DE" w:rsidRPr="00EF7D00">
              <w:t xml:space="preserve"> </w:t>
            </w:r>
            <w:r w:rsidRPr="00EF7D00">
              <w:t>252.223-700</w:t>
            </w:r>
            <w:r w:rsidR="0088751D" w:rsidRPr="00EF7D00">
              <w:t>7</w:t>
            </w:r>
            <w:r w:rsidR="00956969" w:rsidRPr="00EF7D00">
              <w:t>(e)</w:t>
            </w:r>
          </w:p>
        </w:tc>
      </w:tr>
      <w:tr w:rsidR="0087189A" w:rsidRPr="00EF7D00" w14:paraId="314D0944" w14:textId="77777777" w:rsidTr="0009682D">
        <w:trPr>
          <w:trHeight w:val="389"/>
        </w:trPr>
        <w:tc>
          <w:tcPr>
            <w:tcW w:w="7020" w:type="dxa"/>
            <w:shd w:val="clear" w:color="auto" w:fill="auto"/>
            <w:vAlign w:val="center"/>
          </w:tcPr>
          <w:p w14:paraId="3A0DAF8A" w14:textId="77777777" w:rsidR="0087189A" w:rsidRPr="00EF7D00" w:rsidRDefault="0087189A" w:rsidP="00EF7D00">
            <w:pPr>
              <w:tabs>
                <w:tab w:val="left" w:pos="360"/>
              </w:tabs>
              <w:rPr>
                <w:color w:val="000000"/>
              </w:rPr>
            </w:pPr>
            <w:r w:rsidRPr="00EF7D00">
              <w:rPr>
                <w:color w:val="000000"/>
              </w:rPr>
              <w:t xml:space="preserve">Number of respondents </w:t>
            </w:r>
          </w:p>
        </w:tc>
        <w:tc>
          <w:tcPr>
            <w:tcW w:w="2250" w:type="dxa"/>
            <w:shd w:val="clear" w:color="auto" w:fill="auto"/>
            <w:vAlign w:val="center"/>
          </w:tcPr>
          <w:p w14:paraId="3A142144" w14:textId="0F627679" w:rsidR="0087189A" w:rsidRPr="00EF7D00" w:rsidRDefault="00956969" w:rsidP="00EF7D00">
            <w:pPr>
              <w:pStyle w:val="NormalWeb"/>
              <w:tabs>
                <w:tab w:val="left" w:pos="360"/>
              </w:tabs>
              <w:spacing w:before="0" w:beforeAutospacing="0" w:after="0" w:afterAutospacing="0"/>
              <w:jc w:val="right"/>
            </w:pPr>
            <w:r w:rsidRPr="00EF7D00">
              <w:t>1</w:t>
            </w:r>
            <w:r w:rsidR="00FE5A59" w:rsidRPr="00EF7D00">
              <w:t>49</w:t>
            </w:r>
          </w:p>
        </w:tc>
      </w:tr>
      <w:tr w:rsidR="0087189A" w:rsidRPr="00EF7D00" w14:paraId="01FF2DFC" w14:textId="77777777" w:rsidTr="0009682D">
        <w:trPr>
          <w:trHeight w:val="389"/>
        </w:trPr>
        <w:tc>
          <w:tcPr>
            <w:tcW w:w="7020" w:type="dxa"/>
            <w:shd w:val="clear" w:color="auto" w:fill="auto"/>
            <w:vAlign w:val="center"/>
          </w:tcPr>
          <w:p w14:paraId="73694E31" w14:textId="77777777" w:rsidR="0087189A" w:rsidRPr="00EF7D00" w:rsidRDefault="0087189A" w:rsidP="00EF7D00">
            <w:pPr>
              <w:tabs>
                <w:tab w:val="left" w:pos="360"/>
              </w:tabs>
              <w:rPr>
                <w:color w:val="000000"/>
              </w:rPr>
            </w:pPr>
            <w:r w:rsidRPr="00EF7D00">
              <w:rPr>
                <w:color w:val="000000"/>
              </w:rPr>
              <w:t xml:space="preserve">Responses per respondent </w:t>
            </w:r>
          </w:p>
        </w:tc>
        <w:tc>
          <w:tcPr>
            <w:tcW w:w="2250" w:type="dxa"/>
            <w:shd w:val="clear" w:color="auto" w:fill="auto"/>
            <w:vAlign w:val="center"/>
          </w:tcPr>
          <w:p w14:paraId="29E99B7F" w14:textId="5FCD3280" w:rsidR="0087189A" w:rsidRPr="00EF7D00" w:rsidRDefault="00333268">
            <w:pPr>
              <w:pStyle w:val="NormalWeb"/>
              <w:tabs>
                <w:tab w:val="left" w:pos="360"/>
              </w:tabs>
              <w:spacing w:before="0" w:beforeAutospacing="0" w:after="0" w:afterAutospacing="0"/>
              <w:contextualSpacing/>
              <w:jc w:val="right"/>
            </w:pPr>
            <w:r w:rsidRPr="00EF7D00">
              <w:t>1</w:t>
            </w:r>
          </w:p>
        </w:tc>
      </w:tr>
      <w:tr w:rsidR="0087189A" w:rsidRPr="00EF7D00" w14:paraId="508E0F60" w14:textId="77777777" w:rsidTr="0009682D">
        <w:trPr>
          <w:trHeight w:val="389"/>
        </w:trPr>
        <w:tc>
          <w:tcPr>
            <w:tcW w:w="7020" w:type="dxa"/>
            <w:shd w:val="clear" w:color="auto" w:fill="auto"/>
            <w:vAlign w:val="center"/>
          </w:tcPr>
          <w:p w14:paraId="3593BDAB" w14:textId="77777777" w:rsidR="0087189A" w:rsidRPr="00EF7D00" w:rsidRDefault="0087189A" w:rsidP="00EF7D00">
            <w:pPr>
              <w:tabs>
                <w:tab w:val="left" w:pos="360"/>
              </w:tabs>
              <w:rPr>
                <w:color w:val="000000"/>
              </w:rPr>
            </w:pPr>
            <w:r w:rsidRPr="00EF7D00">
              <w:rPr>
                <w:color w:val="000000"/>
              </w:rPr>
              <w:t xml:space="preserve">Number of responses </w:t>
            </w:r>
          </w:p>
        </w:tc>
        <w:tc>
          <w:tcPr>
            <w:tcW w:w="2250" w:type="dxa"/>
            <w:shd w:val="clear" w:color="auto" w:fill="auto"/>
            <w:vAlign w:val="center"/>
          </w:tcPr>
          <w:p w14:paraId="7FE00789" w14:textId="1195D8BF" w:rsidR="0087189A" w:rsidRPr="00EF7D00" w:rsidRDefault="00FE5A59" w:rsidP="00EF7D00">
            <w:pPr>
              <w:pStyle w:val="NormalWeb"/>
              <w:tabs>
                <w:tab w:val="left" w:pos="360"/>
              </w:tabs>
              <w:spacing w:before="0" w:beforeAutospacing="0" w:after="0" w:afterAutospacing="0"/>
              <w:contextualSpacing/>
              <w:jc w:val="right"/>
            </w:pPr>
            <w:r w:rsidRPr="00EF7D00">
              <w:t>149</w:t>
            </w:r>
          </w:p>
        </w:tc>
      </w:tr>
      <w:tr w:rsidR="0087189A" w:rsidRPr="00EF7D00" w14:paraId="06F882C6" w14:textId="77777777" w:rsidTr="0009682D">
        <w:trPr>
          <w:trHeight w:val="389"/>
        </w:trPr>
        <w:tc>
          <w:tcPr>
            <w:tcW w:w="7020" w:type="dxa"/>
            <w:shd w:val="clear" w:color="auto" w:fill="auto"/>
            <w:vAlign w:val="center"/>
          </w:tcPr>
          <w:p w14:paraId="74F0B269" w14:textId="77777777" w:rsidR="0087189A" w:rsidRPr="00EF7D00" w:rsidRDefault="0087189A" w:rsidP="00EF7D00">
            <w:pPr>
              <w:tabs>
                <w:tab w:val="left" w:pos="360"/>
              </w:tabs>
              <w:rPr>
                <w:color w:val="000000"/>
              </w:rPr>
            </w:pPr>
            <w:r w:rsidRPr="00EF7D00">
              <w:rPr>
                <w:color w:val="000000"/>
              </w:rPr>
              <w:t xml:space="preserve">Hours per response </w:t>
            </w:r>
          </w:p>
        </w:tc>
        <w:tc>
          <w:tcPr>
            <w:tcW w:w="2250" w:type="dxa"/>
            <w:shd w:val="clear" w:color="auto" w:fill="auto"/>
            <w:vAlign w:val="center"/>
          </w:tcPr>
          <w:p w14:paraId="50F94C7F" w14:textId="5E1753F1" w:rsidR="0087189A" w:rsidRPr="00EF7D00" w:rsidRDefault="0087189A">
            <w:pPr>
              <w:pStyle w:val="NormalWeb"/>
              <w:tabs>
                <w:tab w:val="left" w:pos="360"/>
              </w:tabs>
              <w:spacing w:before="0" w:beforeAutospacing="0" w:after="0" w:afterAutospacing="0"/>
              <w:contextualSpacing/>
              <w:jc w:val="right"/>
            </w:pPr>
            <w:r w:rsidRPr="00EF7D00">
              <w:t>.</w:t>
            </w:r>
            <w:r w:rsidR="00956969" w:rsidRPr="00EF7D00">
              <w:t>50</w:t>
            </w:r>
          </w:p>
        </w:tc>
      </w:tr>
      <w:tr w:rsidR="0087189A" w:rsidRPr="00EF7D00" w14:paraId="7B950E75" w14:textId="77777777" w:rsidTr="0009682D">
        <w:trPr>
          <w:trHeight w:val="389"/>
        </w:trPr>
        <w:tc>
          <w:tcPr>
            <w:tcW w:w="7020" w:type="dxa"/>
            <w:shd w:val="clear" w:color="auto" w:fill="auto"/>
            <w:vAlign w:val="center"/>
          </w:tcPr>
          <w:p w14:paraId="06BDA938" w14:textId="0B2C8C94" w:rsidR="0087189A" w:rsidRPr="00EF7D00" w:rsidRDefault="0087189A" w:rsidP="00CD0E0C">
            <w:pPr>
              <w:tabs>
                <w:tab w:val="left" w:pos="360"/>
              </w:tabs>
              <w:rPr>
                <w:color w:val="000000"/>
              </w:rPr>
            </w:pPr>
            <w:r w:rsidRPr="00EF7D00">
              <w:rPr>
                <w:color w:val="000000"/>
              </w:rPr>
              <w:t xml:space="preserve">Estimated hours </w:t>
            </w:r>
          </w:p>
        </w:tc>
        <w:tc>
          <w:tcPr>
            <w:tcW w:w="2250" w:type="dxa"/>
            <w:shd w:val="clear" w:color="auto" w:fill="auto"/>
            <w:vAlign w:val="center"/>
          </w:tcPr>
          <w:p w14:paraId="3511812B" w14:textId="756EF9EF" w:rsidR="0087189A" w:rsidRPr="00EF7D00" w:rsidRDefault="00FE5A59" w:rsidP="00EF7D00">
            <w:pPr>
              <w:pStyle w:val="NormalWeb"/>
              <w:tabs>
                <w:tab w:val="left" w:pos="360"/>
              </w:tabs>
              <w:spacing w:before="0" w:beforeAutospacing="0" w:after="0" w:afterAutospacing="0"/>
              <w:contextualSpacing/>
              <w:jc w:val="right"/>
            </w:pPr>
            <w:r w:rsidRPr="00EF7D00">
              <w:t>75</w:t>
            </w:r>
          </w:p>
        </w:tc>
      </w:tr>
      <w:tr w:rsidR="0087189A" w:rsidRPr="00EF7D00" w14:paraId="30875F6B" w14:textId="77777777" w:rsidTr="0009682D">
        <w:trPr>
          <w:trHeight w:val="389"/>
        </w:trPr>
        <w:tc>
          <w:tcPr>
            <w:tcW w:w="7020" w:type="dxa"/>
            <w:shd w:val="clear" w:color="auto" w:fill="auto"/>
            <w:vAlign w:val="center"/>
          </w:tcPr>
          <w:p w14:paraId="2058956B" w14:textId="77777777" w:rsidR="0087189A" w:rsidRPr="00EF7D00" w:rsidRDefault="0087189A" w:rsidP="00EF7D00">
            <w:pPr>
              <w:tabs>
                <w:tab w:val="left" w:pos="360"/>
              </w:tabs>
              <w:rPr>
                <w:color w:val="000000"/>
              </w:rPr>
            </w:pPr>
            <w:r w:rsidRPr="00EF7D00">
              <w:rPr>
                <w:color w:val="000000"/>
              </w:rPr>
              <w:t>Cost per hour (hourly wage)</w:t>
            </w:r>
          </w:p>
        </w:tc>
        <w:tc>
          <w:tcPr>
            <w:tcW w:w="2250" w:type="dxa"/>
            <w:shd w:val="clear" w:color="auto" w:fill="auto"/>
            <w:vAlign w:val="center"/>
          </w:tcPr>
          <w:p w14:paraId="0168E78B" w14:textId="3FFC3B3D" w:rsidR="0087189A" w:rsidRPr="00EF7D00" w:rsidRDefault="00956969">
            <w:pPr>
              <w:pStyle w:val="NormalWeb"/>
              <w:tabs>
                <w:tab w:val="left" w:pos="360"/>
              </w:tabs>
              <w:spacing w:before="0" w:beforeAutospacing="0" w:after="0" w:afterAutospacing="0"/>
              <w:contextualSpacing/>
              <w:jc w:val="right"/>
            </w:pPr>
            <w:r w:rsidRPr="00EF7D00">
              <w:t>$</w:t>
            </w:r>
            <w:r w:rsidR="002D04DE" w:rsidRPr="00EF7D00">
              <w:t>45</w:t>
            </w:r>
          </w:p>
        </w:tc>
      </w:tr>
      <w:tr w:rsidR="0087189A" w:rsidRPr="00EF7D00" w14:paraId="2ECB79A7" w14:textId="77777777" w:rsidTr="0009682D">
        <w:trPr>
          <w:trHeight w:val="389"/>
        </w:trPr>
        <w:tc>
          <w:tcPr>
            <w:tcW w:w="7020" w:type="dxa"/>
            <w:shd w:val="clear" w:color="auto" w:fill="auto"/>
            <w:vAlign w:val="center"/>
          </w:tcPr>
          <w:p w14:paraId="54644DE2" w14:textId="4719CE2D" w:rsidR="0087189A" w:rsidRPr="00EF7D00" w:rsidRDefault="0087189A" w:rsidP="00CD0E0C">
            <w:pPr>
              <w:tabs>
                <w:tab w:val="left" w:pos="360"/>
              </w:tabs>
              <w:rPr>
                <w:color w:val="000000"/>
              </w:rPr>
            </w:pPr>
            <w:r w:rsidRPr="00EF7D00">
              <w:rPr>
                <w:color w:val="000000"/>
              </w:rPr>
              <w:t xml:space="preserve">Annual public burden </w:t>
            </w:r>
          </w:p>
        </w:tc>
        <w:tc>
          <w:tcPr>
            <w:tcW w:w="2250" w:type="dxa"/>
            <w:shd w:val="clear" w:color="auto" w:fill="auto"/>
            <w:vAlign w:val="center"/>
          </w:tcPr>
          <w:p w14:paraId="270CBD6B" w14:textId="4F6A3F85" w:rsidR="0087189A" w:rsidRPr="00EF7D00" w:rsidRDefault="0087189A" w:rsidP="00EF7D00">
            <w:pPr>
              <w:pStyle w:val="NormalWeb"/>
              <w:tabs>
                <w:tab w:val="left" w:pos="360"/>
              </w:tabs>
              <w:spacing w:before="0" w:beforeAutospacing="0" w:after="0" w:afterAutospacing="0"/>
              <w:contextualSpacing/>
              <w:jc w:val="right"/>
            </w:pPr>
            <w:r w:rsidRPr="00EF7D00">
              <w:t>$</w:t>
            </w:r>
            <w:r w:rsidR="002D04DE" w:rsidRPr="00EF7D00">
              <w:t>3,375</w:t>
            </w:r>
          </w:p>
        </w:tc>
      </w:tr>
    </w:tbl>
    <w:p w14:paraId="4F06D5F5" w14:textId="77777777" w:rsidR="00956969" w:rsidRPr="00EF7D00" w:rsidRDefault="00956969" w:rsidP="00EF7D00">
      <w:pPr>
        <w:pStyle w:val="NormalWeb"/>
        <w:tabs>
          <w:tab w:val="left" w:pos="360"/>
          <w:tab w:val="left" w:pos="720"/>
          <w:tab w:val="left" w:pos="1080"/>
          <w:tab w:val="left" w:pos="1440"/>
        </w:tabs>
        <w:spacing w:before="0" w:beforeAutospacing="0" w:after="0" w:afterAutospacing="0"/>
      </w:pPr>
    </w:p>
    <w:p w14:paraId="7EC548BA" w14:textId="2BCE7891" w:rsidR="00AF1582" w:rsidRPr="00EF7D00" w:rsidRDefault="006210D1" w:rsidP="00EF7D00">
      <w:pPr>
        <w:tabs>
          <w:tab w:val="left" w:pos="360"/>
        </w:tabs>
      </w:pPr>
      <w:r w:rsidRPr="00EF7D00">
        <w:rPr>
          <w:b/>
        </w:rPr>
        <w:tab/>
      </w:r>
      <w:r w:rsidR="00B45644" w:rsidRPr="00EF7D00">
        <w:t xml:space="preserve">e.  </w:t>
      </w:r>
      <w:r w:rsidR="00B45644" w:rsidRPr="0009682D">
        <w:rPr>
          <w:u w:val="single"/>
        </w:rPr>
        <w:t xml:space="preserve">252.223-7004, Drug-Free Work </w:t>
      </w:r>
      <w:r w:rsidR="003D33A2" w:rsidRPr="0009682D">
        <w:rPr>
          <w:u w:val="single"/>
        </w:rPr>
        <w:t>Force</w:t>
      </w:r>
      <w:r w:rsidR="00B45644" w:rsidRPr="00EF7D00">
        <w:t>.</w:t>
      </w:r>
      <w:r w:rsidR="00B45644" w:rsidRPr="00EF7D00">
        <w:rPr>
          <w:b/>
        </w:rPr>
        <w:t xml:space="preserve">  </w:t>
      </w:r>
      <w:r w:rsidR="00B45644" w:rsidRPr="00EF7D00">
        <w:t xml:space="preserve">This clause is prescribed at </w:t>
      </w:r>
      <w:r w:rsidR="004273D3">
        <w:t xml:space="preserve">DFARS </w:t>
      </w:r>
      <w:r w:rsidR="00B45644" w:rsidRPr="00EF7D00">
        <w:t>223.570-2, for use in contracts that involve access to classified information or when the contracting officer determines that the clause is necessary for reasons of national security or for the purpose of protecting the health or safety of those using or affected by the product of, or performance of, the contract.</w:t>
      </w:r>
      <w:r w:rsidR="00AF1582" w:rsidRPr="00EF7D00">
        <w:t xml:space="preserve">  </w:t>
      </w:r>
    </w:p>
    <w:p w14:paraId="68F9647D" w14:textId="77777777" w:rsidR="00B45644" w:rsidRPr="00EF7D00" w:rsidRDefault="00B45644" w:rsidP="00EF7D00">
      <w:pPr>
        <w:tabs>
          <w:tab w:val="left" w:pos="360"/>
        </w:tabs>
      </w:pPr>
    </w:p>
    <w:p w14:paraId="4291093E" w14:textId="5605EEF3" w:rsidR="00B45644" w:rsidRPr="00EF7D00" w:rsidRDefault="00B45644" w:rsidP="00EF7D00">
      <w:pPr>
        <w:tabs>
          <w:tab w:val="left" w:pos="360"/>
        </w:tabs>
      </w:pPr>
      <w:r w:rsidRPr="00EF7D00">
        <w:rPr>
          <w:b/>
        </w:rPr>
        <w:tab/>
      </w:r>
      <w:r w:rsidRPr="00EF7D00">
        <w:tab/>
      </w:r>
      <w:r w:rsidR="004273D3">
        <w:t>i.</w:t>
      </w:r>
      <w:r w:rsidRPr="00EF7D00">
        <w:t xml:space="preserve">  </w:t>
      </w:r>
      <w:r w:rsidR="007A37FF" w:rsidRPr="0009682D">
        <w:rPr>
          <w:u w:val="single"/>
        </w:rPr>
        <w:t xml:space="preserve">Ongoing recordkeeping </w:t>
      </w:r>
      <w:r w:rsidR="00430E97" w:rsidRPr="0009682D">
        <w:rPr>
          <w:u w:val="single"/>
        </w:rPr>
        <w:t xml:space="preserve">– </w:t>
      </w:r>
      <w:r w:rsidR="004273D3" w:rsidRPr="0009682D">
        <w:rPr>
          <w:u w:val="single"/>
        </w:rPr>
        <w:t>e</w:t>
      </w:r>
      <w:r w:rsidR="00430E97" w:rsidRPr="0009682D">
        <w:rPr>
          <w:u w:val="single"/>
        </w:rPr>
        <w:t>xisting contracts</w:t>
      </w:r>
      <w:r w:rsidRPr="00EF7D00">
        <w:t>:</w:t>
      </w:r>
      <w:r w:rsidR="006918BD">
        <w:t xml:space="preserve">  According to FPDS</w:t>
      </w:r>
      <w:r w:rsidR="00791583">
        <w:t xml:space="preserve"> data, there were</w:t>
      </w:r>
      <w:r w:rsidR="006918BD">
        <w:t xml:space="preserve"> approximately </w:t>
      </w:r>
      <w:r w:rsidR="00791583">
        <w:t xml:space="preserve">20,498 contractors with existing ongoing noncommercial item contracts valued at greater than the simplified acquisition threshold that are performed in the U.S., of which </w:t>
      </w:r>
      <w:r w:rsidR="009C6D20">
        <w:t xml:space="preserve">approximately </w:t>
      </w:r>
      <w:r w:rsidR="00791583">
        <w:t>14,599 were small businesses. According to subject matter experts</w:t>
      </w:r>
      <w:r w:rsidR="009C6D20">
        <w:t>,</w:t>
      </w:r>
      <w:r w:rsidR="00791583">
        <w:t xml:space="preserve"> it is estimated that</w:t>
      </w:r>
      <w:r w:rsidR="009C6D20">
        <w:t xml:space="preserve"> </w:t>
      </w:r>
      <w:r w:rsidR="00791583">
        <w:t xml:space="preserve">50% of </w:t>
      </w:r>
      <w:r w:rsidR="009C6D20">
        <w:t xml:space="preserve">the </w:t>
      </w:r>
      <w:r w:rsidR="00791583">
        <w:t>small businesses</w:t>
      </w:r>
      <w:r w:rsidR="009C6D20">
        <w:t xml:space="preserve"> and 90% of the large businesses are performing sensitive contracts. In addition, it is estimated that it would take a recordkeeper 40 hours per year to maintain records of compliance with the clause requirements under an existing contract at a cost of $37 per hour (equivalent of a GS-09, step 5 salary of $36.81, plus 36.25 percent burden rounded to the nearest dollar).</w:t>
      </w:r>
    </w:p>
    <w:p w14:paraId="511C76B3" w14:textId="77777777" w:rsidR="00B45644" w:rsidRPr="00EF7D00" w:rsidRDefault="00B45644" w:rsidP="00EF7D00">
      <w:pPr>
        <w:tabs>
          <w:tab w:val="left" w:pos="360"/>
        </w:tabs>
      </w:pPr>
    </w:p>
    <w:tbl>
      <w:tblPr>
        <w:tblW w:w="9337" w:type="dxa"/>
        <w:tblInd w:w="108" w:type="dxa"/>
        <w:tblLayout w:type="fixed"/>
        <w:tblLook w:val="04A0" w:firstRow="1" w:lastRow="0" w:firstColumn="1" w:lastColumn="0" w:noHBand="0" w:noVBand="1"/>
      </w:tblPr>
      <w:tblGrid>
        <w:gridCol w:w="4927"/>
        <w:gridCol w:w="1470"/>
        <w:gridCol w:w="1470"/>
        <w:gridCol w:w="1470"/>
      </w:tblGrid>
      <w:tr w:rsidR="002F3B8D" w:rsidRPr="00EF7D00" w14:paraId="28A4651E" w14:textId="77777777" w:rsidTr="0009682D">
        <w:trPr>
          <w:trHeight w:val="389"/>
        </w:trPr>
        <w:tc>
          <w:tcPr>
            <w:tcW w:w="933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1C5B458" w14:textId="010CCEDF" w:rsidR="002F3B8D" w:rsidRPr="007A37FF" w:rsidRDefault="002F3B8D">
            <w:pPr>
              <w:tabs>
                <w:tab w:val="left" w:pos="360"/>
              </w:tabs>
              <w:jc w:val="center"/>
              <w:rPr>
                <w:bCs/>
                <w:color w:val="000000"/>
              </w:rPr>
            </w:pPr>
            <w:r>
              <w:rPr>
                <w:bCs/>
                <w:color w:val="000000"/>
              </w:rPr>
              <w:t>Estimation of Respondent Recordkeeping: 252.223-7004 (Existing Contracts)</w:t>
            </w:r>
          </w:p>
        </w:tc>
      </w:tr>
      <w:tr w:rsidR="00B45644" w:rsidRPr="00EF7D00" w14:paraId="635A5172" w14:textId="77777777" w:rsidTr="0009682D">
        <w:trPr>
          <w:trHeight w:val="389"/>
        </w:trPr>
        <w:tc>
          <w:tcPr>
            <w:tcW w:w="4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28F70" w14:textId="4DB4114C" w:rsidR="00B45644" w:rsidRPr="0009682D" w:rsidRDefault="00DA5F8B">
            <w:pPr>
              <w:tabs>
                <w:tab w:val="left" w:pos="360"/>
              </w:tabs>
              <w:rPr>
                <w:bCs/>
                <w:color w:val="000000"/>
              </w:rPr>
            </w:pPr>
            <w:r w:rsidRPr="0009682D">
              <w:rPr>
                <w:bCs/>
                <w:color w:val="000000"/>
              </w:rPr>
              <w:t>Ongoing Program Requirements</w:t>
            </w:r>
            <w:r w:rsidR="007A37FF">
              <w:rPr>
                <w:bCs/>
                <w:color w:val="000000"/>
              </w:rPr>
              <w:t xml:space="preserve"> - Businesses</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1945906F" w14:textId="10086CC6" w:rsidR="00B45644" w:rsidRPr="0009682D" w:rsidRDefault="00B45644">
            <w:pPr>
              <w:tabs>
                <w:tab w:val="left" w:pos="360"/>
              </w:tabs>
              <w:jc w:val="center"/>
              <w:rPr>
                <w:bCs/>
                <w:color w:val="000000"/>
              </w:rPr>
            </w:pPr>
            <w:r w:rsidRPr="0009682D">
              <w:rPr>
                <w:bCs/>
                <w:color w:val="000000"/>
              </w:rPr>
              <w:t xml:space="preserve">Small </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1CC2B683" w14:textId="2E41AB71" w:rsidR="00B45644" w:rsidRPr="0009682D" w:rsidRDefault="00B45644">
            <w:pPr>
              <w:tabs>
                <w:tab w:val="left" w:pos="360"/>
              </w:tabs>
              <w:jc w:val="center"/>
              <w:rPr>
                <w:bCs/>
                <w:color w:val="000000"/>
              </w:rPr>
            </w:pPr>
            <w:r w:rsidRPr="0009682D">
              <w:rPr>
                <w:bCs/>
                <w:color w:val="000000"/>
              </w:rPr>
              <w:t>Large</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14:paraId="74E07E4D" w14:textId="77777777" w:rsidR="00B45644" w:rsidRPr="0009682D" w:rsidRDefault="00B45644" w:rsidP="00EF7D00">
            <w:pPr>
              <w:tabs>
                <w:tab w:val="left" w:pos="360"/>
              </w:tabs>
              <w:jc w:val="center"/>
              <w:rPr>
                <w:bCs/>
                <w:color w:val="000000"/>
              </w:rPr>
            </w:pPr>
            <w:r w:rsidRPr="0009682D">
              <w:rPr>
                <w:bCs/>
                <w:color w:val="000000"/>
              </w:rPr>
              <w:t>Total</w:t>
            </w:r>
          </w:p>
        </w:tc>
      </w:tr>
      <w:tr w:rsidR="00B45644" w:rsidRPr="00EF7D00" w14:paraId="6539AC13" w14:textId="77777777" w:rsidTr="0009682D">
        <w:trPr>
          <w:trHeight w:val="389"/>
        </w:trPr>
        <w:tc>
          <w:tcPr>
            <w:tcW w:w="4927" w:type="dxa"/>
            <w:tcBorders>
              <w:top w:val="nil"/>
              <w:left w:val="single" w:sz="4" w:space="0" w:color="auto"/>
              <w:bottom w:val="single" w:sz="4" w:space="0" w:color="auto"/>
              <w:right w:val="single" w:sz="4" w:space="0" w:color="auto"/>
            </w:tcBorders>
            <w:shd w:val="clear" w:color="auto" w:fill="auto"/>
            <w:noWrap/>
            <w:vAlign w:val="center"/>
            <w:hideMark/>
          </w:tcPr>
          <w:p w14:paraId="1AF37DD3" w14:textId="7EE05674" w:rsidR="00B45644" w:rsidRPr="00EF7D00" w:rsidRDefault="007A37FF" w:rsidP="007A37FF">
            <w:pPr>
              <w:tabs>
                <w:tab w:val="left" w:pos="360"/>
              </w:tabs>
              <w:rPr>
                <w:color w:val="000000"/>
              </w:rPr>
            </w:pPr>
            <w:r>
              <w:rPr>
                <w:color w:val="000000"/>
              </w:rPr>
              <w:t>Respondents</w:t>
            </w:r>
            <w:r w:rsidR="00715171" w:rsidRPr="00EF7D00">
              <w:rPr>
                <w:color w:val="000000"/>
              </w:rPr>
              <w:t xml:space="preserve"> </w:t>
            </w:r>
          </w:p>
        </w:tc>
        <w:tc>
          <w:tcPr>
            <w:tcW w:w="1470" w:type="dxa"/>
            <w:tcBorders>
              <w:top w:val="nil"/>
              <w:left w:val="nil"/>
              <w:bottom w:val="single" w:sz="4" w:space="0" w:color="auto"/>
              <w:right w:val="single" w:sz="4" w:space="0" w:color="auto"/>
            </w:tcBorders>
            <w:shd w:val="clear" w:color="auto" w:fill="auto"/>
            <w:noWrap/>
            <w:vAlign w:val="center"/>
            <w:hideMark/>
          </w:tcPr>
          <w:p w14:paraId="0A2EC15A" w14:textId="64EE1049" w:rsidR="00B45644" w:rsidRPr="00EF7D00" w:rsidRDefault="0050550D" w:rsidP="0009682D">
            <w:pPr>
              <w:tabs>
                <w:tab w:val="left" w:pos="360"/>
              </w:tabs>
              <w:jc w:val="center"/>
              <w:rPr>
                <w:color w:val="000000"/>
              </w:rPr>
            </w:pPr>
            <w:r>
              <w:rPr>
                <w:color w:val="000000"/>
              </w:rPr>
              <w:t>14,599</w:t>
            </w:r>
          </w:p>
        </w:tc>
        <w:tc>
          <w:tcPr>
            <w:tcW w:w="1470" w:type="dxa"/>
            <w:tcBorders>
              <w:top w:val="nil"/>
              <w:left w:val="nil"/>
              <w:bottom w:val="single" w:sz="4" w:space="0" w:color="auto"/>
              <w:right w:val="single" w:sz="4" w:space="0" w:color="auto"/>
            </w:tcBorders>
            <w:shd w:val="clear" w:color="auto" w:fill="auto"/>
            <w:noWrap/>
            <w:vAlign w:val="center"/>
            <w:hideMark/>
          </w:tcPr>
          <w:p w14:paraId="3EBC47ED" w14:textId="1BF39EA2" w:rsidR="00B45644" w:rsidRPr="00EF7D00" w:rsidRDefault="0050550D" w:rsidP="0009682D">
            <w:pPr>
              <w:tabs>
                <w:tab w:val="left" w:pos="360"/>
              </w:tabs>
              <w:jc w:val="center"/>
              <w:rPr>
                <w:color w:val="000000"/>
              </w:rPr>
            </w:pPr>
            <w:r>
              <w:rPr>
                <w:color w:val="000000"/>
              </w:rPr>
              <w:t>5,899</w:t>
            </w:r>
          </w:p>
        </w:tc>
        <w:tc>
          <w:tcPr>
            <w:tcW w:w="1470" w:type="dxa"/>
            <w:tcBorders>
              <w:top w:val="nil"/>
              <w:left w:val="nil"/>
              <w:bottom w:val="single" w:sz="4" w:space="0" w:color="auto"/>
              <w:right w:val="single" w:sz="4" w:space="0" w:color="auto"/>
            </w:tcBorders>
            <w:shd w:val="clear" w:color="auto" w:fill="auto"/>
            <w:noWrap/>
            <w:vAlign w:val="center"/>
            <w:hideMark/>
          </w:tcPr>
          <w:p w14:paraId="58202BB5" w14:textId="7858FB1A" w:rsidR="00B45644" w:rsidRPr="00EF7D00" w:rsidRDefault="0050550D" w:rsidP="00EF7D00">
            <w:pPr>
              <w:tabs>
                <w:tab w:val="left" w:pos="360"/>
              </w:tabs>
              <w:jc w:val="right"/>
              <w:rPr>
                <w:color w:val="000000"/>
              </w:rPr>
            </w:pPr>
            <w:r>
              <w:rPr>
                <w:color w:val="000000"/>
              </w:rPr>
              <w:t>20,498</w:t>
            </w:r>
          </w:p>
        </w:tc>
      </w:tr>
      <w:tr w:rsidR="00B45644" w:rsidRPr="00EF7D00" w14:paraId="2530374A" w14:textId="77777777" w:rsidTr="0009682D">
        <w:trPr>
          <w:trHeight w:val="389"/>
        </w:trPr>
        <w:tc>
          <w:tcPr>
            <w:tcW w:w="4927" w:type="dxa"/>
            <w:tcBorders>
              <w:top w:val="nil"/>
              <w:left w:val="single" w:sz="4" w:space="0" w:color="auto"/>
              <w:bottom w:val="single" w:sz="4" w:space="0" w:color="auto"/>
              <w:right w:val="single" w:sz="4" w:space="0" w:color="auto"/>
            </w:tcBorders>
            <w:shd w:val="clear" w:color="auto" w:fill="auto"/>
            <w:noWrap/>
            <w:vAlign w:val="center"/>
            <w:hideMark/>
          </w:tcPr>
          <w:p w14:paraId="708B2F43" w14:textId="67FD348D" w:rsidR="00B45644" w:rsidRPr="00EF7D00" w:rsidRDefault="00B45644" w:rsidP="00EF7D00">
            <w:pPr>
              <w:tabs>
                <w:tab w:val="left" w:pos="360"/>
              </w:tabs>
              <w:rPr>
                <w:color w:val="000000"/>
              </w:rPr>
            </w:pPr>
            <w:r w:rsidRPr="00EF7D00">
              <w:rPr>
                <w:color w:val="000000"/>
              </w:rPr>
              <w:t>% performing sensitive contracts</w:t>
            </w:r>
          </w:p>
        </w:tc>
        <w:tc>
          <w:tcPr>
            <w:tcW w:w="1470" w:type="dxa"/>
            <w:tcBorders>
              <w:top w:val="nil"/>
              <w:left w:val="nil"/>
              <w:bottom w:val="single" w:sz="4" w:space="0" w:color="auto"/>
              <w:right w:val="single" w:sz="4" w:space="0" w:color="auto"/>
            </w:tcBorders>
            <w:shd w:val="clear" w:color="auto" w:fill="auto"/>
            <w:noWrap/>
            <w:vAlign w:val="center"/>
            <w:hideMark/>
          </w:tcPr>
          <w:p w14:paraId="26A11FCB" w14:textId="7F61928D" w:rsidR="00B45644" w:rsidRPr="00EF7D00" w:rsidRDefault="00B45644" w:rsidP="0009682D">
            <w:pPr>
              <w:tabs>
                <w:tab w:val="left" w:pos="360"/>
              </w:tabs>
              <w:jc w:val="center"/>
              <w:rPr>
                <w:color w:val="000000"/>
              </w:rPr>
            </w:pPr>
            <w:r w:rsidRPr="00EF7D00">
              <w:rPr>
                <w:color w:val="000000"/>
              </w:rPr>
              <w:t>50%</w:t>
            </w:r>
          </w:p>
        </w:tc>
        <w:tc>
          <w:tcPr>
            <w:tcW w:w="1470" w:type="dxa"/>
            <w:tcBorders>
              <w:top w:val="nil"/>
              <w:left w:val="nil"/>
              <w:bottom w:val="single" w:sz="4" w:space="0" w:color="auto"/>
              <w:right w:val="single" w:sz="4" w:space="0" w:color="auto"/>
            </w:tcBorders>
            <w:shd w:val="clear" w:color="auto" w:fill="auto"/>
            <w:noWrap/>
            <w:vAlign w:val="center"/>
            <w:hideMark/>
          </w:tcPr>
          <w:p w14:paraId="0E4D6B5E" w14:textId="5D403983" w:rsidR="00B45644" w:rsidRPr="00EF7D00" w:rsidRDefault="00B45644" w:rsidP="0009682D">
            <w:pPr>
              <w:tabs>
                <w:tab w:val="left" w:pos="360"/>
              </w:tabs>
              <w:jc w:val="center"/>
              <w:rPr>
                <w:color w:val="000000"/>
              </w:rPr>
            </w:pPr>
            <w:r w:rsidRPr="00EF7D00">
              <w:rPr>
                <w:color w:val="000000"/>
              </w:rPr>
              <w:t>90%</w:t>
            </w:r>
          </w:p>
        </w:tc>
        <w:tc>
          <w:tcPr>
            <w:tcW w:w="1470" w:type="dxa"/>
            <w:tcBorders>
              <w:top w:val="nil"/>
              <w:left w:val="nil"/>
              <w:bottom w:val="single" w:sz="4" w:space="0" w:color="auto"/>
              <w:right w:val="single" w:sz="4" w:space="0" w:color="auto"/>
            </w:tcBorders>
            <w:shd w:val="clear" w:color="auto" w:fill="auto"/>
            <w:noWrap/>
            <w:vAlign w:val="center"/>
            <w:hideMark/>
          </w:tcPr>
          <w:p w14:paraId="4B1CA69A" w14:textId="49CC2BDA" w:rsidR="00B45644" w:rsidRPr="00EF7D00" w:rsidRDefault="00B45644" w:rsidP="00EF7D00">
            <w:pPr>
              <w:tabs>
                <w:tab w:val="left" w:pos="360"/>
              </w:tabs>
              <w:jc w:val="right"/>
              <w:rPr>
                <w:color w:val="000000"/>
              </w:rPr>
            </w:pPr>
            <w:r w:rsidRPr="00EF7D00">
              <w:rPr>
                <w:color w:val="000000"/>
              </w:rPr>
              <w:t> </w:t>
            </w:r>
          </w:p>
        </w:tc>
      </w:tr>
      <w:tr w:rsidR="00B45644" w:rsidRPr="00EF7D00" w14:paraId="6A913BB3" w14:textId="77777777" w:rsidTr="0009682D">
        <w:trPr>
          <w:trHeight w:val="389"/>
        </w:trPr>
        <w:tc>
          <w:tcPr>
            <w:tcW w:w="4927" w:type="dxa"/>
            <w:tcBorders>
              <w:top w:val="nil"/>
              <w:left w:val="single" w:sz="4" w:space="0" w:color="auto"/>
              <w:bottom w:val="single" w:sz="4" w:space="0" w:color="auto"/>
              <w:right w:val="single" w:sz="4" w:space="0" w:color="auto"/>
            </w:tcBorders>
            <w:shd w:val="clear" w:color="auto" w:fill="auto"/>
            <w:noWrap/>
            <w:vAlign w:val="center"/>
            <w:hideMark/>
          </w:tcPr>
          <w:p w14:paraId="45C5E773" w14:textId="413EB67B" w:rsidR="00B45644" w:rsidRPr="00EF7D00" w:rsidRDefault="00B45644" w:rsidP="00EF7D00">
            <w:pPr>
              <w:tabs>
                <w:tab w:val="left" w:pos="360"/>
              </w:tabs>
              <w:rPr>
                <w:color w:val="000000"/>
              </w:rPr>
            </w:pPr>
            <w:r w:rsidRPr="00EF7D00">
              <w:rPr>
                <w:color w:val="000000"/>
              </w:rPr>
              <w:t>Total number of recordkeepers</w:t>
            </w:r>
          </w:p>
        </w:tc>
        <w:tc>
          <w:tcPr>
            <w:tcW w:w="1470" w:type="dxa"/>
            <w:tcBorders>
              <w:top w:val="nil"/>
              <w:left w:val="nil"/>
              <w:bottom w:val="single" w:sz="4" w:space="0" w:color="auto"/>
              <w:right w:val="single" w:sz="4" w:space="0" w:color="auto"/>
            </w:tcBorders>
            <w:shd w:val="clear" w:color="auto" w:fill="auto"/>
            <w:noWrap/>
            <w:vAlign w:val="center"/>
            <w:hideMark/>
          </w:tcPr>
          <w:p w14:paraId="544D1140" w14:textId="5BDA3E16" w:rsidR="00B45644" w:rsidRPr="00EF7D00" w:rsidRDefault="0050550D" w:rsidP="0009682D">
            <w:pPr>
              <w:tabs>
                <w:tab w:val="left" w:pos="360"/>
              </w:tabs>
              <w:jc w:val="center"/>
              <w:rPr>
                <w:color w:val="000000"/>
              </w:rPr>
            </w:pPr>
            <w:r>
              <w:rPr>
                <w:color w:val="000000"/>
              </w:rPr>
              <w:t>7,300</w:t>
            </w:r>
          </w:p>
        </w:tc>
        <w:tc>
          <w:tcPr>
            <w:tcW w:w="1470" w:type="dxa"/>
            <w:tcBorders>
              <w:top w:val="nil"/>
              <w:left w:val="nil"/>
              <w:bottom w:val="single" w:sz="4" w:space="0" w:color="auto"/>
              <w:right w:val="single" w:sz="4" w:space="0" w:color="auto"/>
            </w:tcBorders>
            <w:shd w:val="clear" w:color="auto" w:fill="auto"/>
            <w:noWrap/>
            <w:vAlign w:val="center"/>
            <w:hideMark/>
          </w:tcPr>
          <w:p w14:paraId="2B9BA25D" w14:textId="7EE2CAEA" w:rsidR="00B45644" w:rsidRPr="00EF7D00" w:rsidRDefault="0050550D" w:rsidP="0009682D">
            <w:pPr>
              <w:tabs>
                <w:tab w:val="left" w:pos="360"/>
              </w:tabs>
              <w:jc w:val="center"/>
              <w:rPr>
                <w:color w:val="000000"/>
              </w:rPr>
            </w:pPr>
            <w:r>
              <w:rPr>
                <w:color w:val="000000"/>
              </w:rPr>
              <w:t>5,309</w:t>
            </w:r>
          </w:p>
        </w:tc>
        <w:tc>
          <w:tcPr>
            <w:tcW w:w="1470" w:type="dxa"/>
            <w:tcBorders>
              <w:top w:val="nil"/>
              <w:left w:val="nil"/>
              <w:bottom w:val="single" w:sz="4" w:space="0" w:color="auto"/>
              <w:right w:val="single" w:sz="4" w:space="0" w:color="auto"/>
            </w:tcBorders>
            <w:shd w:val="clear" w:color="auto" w:fill="auto"/>
            <w:noWrap/>
            <w:vAlign w:val="center"/>
            <w:hideMark/>
          </w:tcPr>
          <w:p w14:paraId="0CB082A9" w14:textId="16F11FCE" w:rsidR="00B45644" w:rsidRPr="00EF7D00" w:rsidRDefault="0050550D" w:rsidP="00EF7D00">
            <w:pPr>
              <w:tabs>
                <w:tab w:val="left" w:pos="360"/>
              </w:tabs>
              <w:jc w:val="right"/>
              <w:rPr>
                <w:color w:val="000000"/>
              </w:rPr>
            </w:pPr>
            <w:r>
              <w:rPr>
                <w:color w:val="000000"/>
              </w:rPr>
              <w:t>12,610</w:t>
            </w:r>
          </w:p>
        </w:tc>
      </w:tr>
      <w:tr w:rsidR="00926C15" w:rsidRPr="00EF7D00" w14:paraId="647ABF0F" w14:textId="77777777" w:rsidTr="0009682D">
        <w:trPr>
          <w:trHeight w:val="389"/>
        </w:trPr>
        <w:tc>
          <w:tcPr>
            <w:tcW w:w="7867" w:type="dxa"/>
            <w:gridSpan w:val="3"/>
            <w:tcBorders>
              <w:top w:val="nil"/>
              <w:left w:val="single" w:sz="4" w:space="0" w:color="auto"/>
              <w:bottom w:val="single" w:sz="4" w:space="0" w:color="auto"/>
              <w:right w:val="single" w:sz="4" w:space="0" w:color="auto"/>
            </w:tcBorders>
            <w:shd w:val="clear" w:color="auto" w:fill="auto"/>
            <w:noWrap/>
            <w:vAlign w:val="center"/>
            <w:hideMark/>
          </w:tcPr>
          <w:p w14:paraId="6DED19F6" w14:textId="03EB2E09" w:rsidR="00926C15" w:rsidRPr="00EF7D00" w:rsidRDefault="00926C15" w:rsidP="0009682D">
            <w:pPr>
              <w:tabs>
                <w:tab w:val="left" w:pos="360"/>
              </w:tabs>
              <w:rPr>
                <w:color w:val="000000"/>
              </w:rPr>
            </w:pPr>
            <w:r w:rsidRPr="00EF7D00">
              <w:rPr>
                <w:color w:val="000000"/>
              </w:rPr>
              <w:t>Recordkeeping hours per year per contractor</w:t>
            </w:r>
          </w:p>
        </w:tc>
        <w:tc>
          <w:tcPr>
            <w:tcW w:w="1470" w:type="dxa"/>
            <w:tcBorders>
              <w:top w:val="nil"/>
              <w:left w:val="nil"/>
              <w:bottom w:val="single" w:sz="4" w:space="0" w:color="auto"/>
              <w:right w:val="single" w:sz="4" w:space="0" w:color="auto"/>
            </w:tcBorders>
            <w:shd w:val="clear" w:color="auto" w:fill="auto"/>
            <w:noWrap/>
            <w:vAlign w:val="center"/>
            <w:hideMark/>
          </w:tcPr>
          <w:p w14:paraId="3C09F14C" w14:textId="7051C1C5" w:rsidR="00926C15" w:rsidRPr="00EF7D00" w:rsidRDefault="00926C15" w:rsidP="00EF7D00">
            <w:pPr>
              <w:tabs>
                <w:tab w:val="left" w:pos="360"/>
              </w:tabs>
              <w:jc w:val="right"/>
              <w:rPr>
                <w:color w:val="000000"/>
              </w:rPr>
            </w:pPr>
            <w:r w:rsidRPr="00EF7D00">
              <w:rPr>
                <w:color w:val="000000"/>
              </w:rPr>
              <w:t>40</w:t>
            </w:r>
          </w:p>
        </w:tc>
      </w:tr>
      <w:tr w:rsidR="00926C15" w:rsidRPr="00EF7D00" w14:paraId="60281BB0" w14:textId="77777777" w:rsidTr="0009682D">
        <w:trPr>
          <w:trHeight w:val="389"/>
        </w:trPr>
        <w:tc>
          <w:tcPr>
            <w:tcW w:w="7867" w:type="dxa"/>
            <w:gridSpan w:val="3"/>
            <w:tcBorders>
              <w:top w:val="nil"/>
              <w:left w:val="single" w:sz="4" w:space="0" w:color="auto"/>
              <w:bottom w:val="single" w:sz="4" w:space="0" w:color="auto"/>
              <w:right w:val="single" w:sz="4" w:space="0" w:color="auto"/>
            </w:tcBorders>
            <w:shd w:val="clear" w:color="auto" w:fill="auto"/>
            <w:noWrap/>
            <w:vAlign w:val="center"/>
            <w:hideMark/>
          </w:tcPr>
          <w:p w14:paraId="06366908" w14:textId="0B838CBE" w:rsidR="00926C15" w:rsidRPr="00EF7D00" w:rsidRDefault="00926C15" w:rsidP="0009682D">
            <w:pPr>
              <w:tabs>
                <w:tab w:val="left" w:pos="360"/>
              </w:tabs>
              <w:rPr>
                <w:color w:val="000000"/>
              </w:rPr>
            </w:pPr>
            <w:r w:rsidRPr="00EF7D00">
              <w:rPr>
                <w:color w:val="000000"/>
              </w:rPr>
              <w:t>Total recordkeeping burden hours</w:t>
            </w:r>
            <w:r w:rsidRPr="00EF7D00" w:rsidDel="00926C15">
              <w:rPr>
                <w:color w:val="000000"/>
              </w:rPr>
              <w:t xml:space="preserve"> </w:t>
            </w:r>
          </w:p>
        </w:tc>
        <w:tc>
          <w:tcPr>
            <w:tcW w:w="1470" w:type="dxa"/>
            <w:tcBorders>
              <w:top w:val="nil"/>
              <w:left w:val="nil"/>
              <w:bottom w:val="single" w:sz="4" w:space="0" w:color="auto"/>
              <w:right w:val="single" w:sz="4" w:space="0" w:color="auto"/>
            </w:tcBorders>
            <w:shd w:val="clear" w:color="auto" w:fill="auto"/>
            <w:noWrap/>
            <w:vAlign w:val="center"/>
            <w:hideMark/>
          </w:tcPr>
          <w:p w14:paraId="7067FB7F" w14:textId="0AB9689E" w:rsidR="00926C15" w:rsidRPr="00EF7D00" w:rsidRDefault="00926C15" w:rsidP="00EF7D00">
            <w:pPr>
              <w:tabs>
                <w:tab w:val="left" w:pos="360"/>
              </w:tabs>
              <w:jc w:val="right"/>
              <w:rPr>
                <w:color w:val="000000"/>
              </w:rPr>
            </w:pPr>
            <w:r>
              <w:rPr>
                <w:color w:val="000000"/>
              </w:rPr>
              <w:t>504,400</w:t>
            </w:r>
          </w:p>
        </w:tc>
      </w:tr>
      <w:tr w:rsidR="00926C15" w:rsidRPr="00EF7D00" w14:paraId="2DC526BE" w14:textId="77777777" w:rsidTr="0009682D">
        <w:trPr>
          <w:trHeight w:val="389"/>
        </w:trPr>
        <w:tc>
          <w:tcPr>
            <w:tcW w:w="7867" w:type="dxa"/>
            <w:gridSpan w:val="3"/>
            <w:tcBorders>
              <w:top w:val="nil"/>
              <w:left w:val="single" w:sz="4" w:space="0" w:color="auto"/>
              <w:bottom w:val="single" w:sz="4" w:space="0" w:color="auto"/>
              <w:right w:val="single" w:sz="4" w:space="0" w:color="auto"/>
            </w:tcBorders>
            <w:shd w:val="clear" w:color="auto" w:fill="auto"/>
            <w:noWrap/>
            <w:vAlign w:val="center"/>
            <w:hideMark/>
          </w:tcPr>
          <w:p w14:paraId="6E748168" w14:textId="6FEA9FB9" w:rsidR="00926C15" w:rsidRPr="00EF7D00" w:rsidRDefault="00926C15" w:rsidP="0009682D">
            <w:pPr>
              <w:tabs>
                <w:tab w:val="left" w:pos="360"/>
              </w:tabs>
              <w:rPr>
                <w:color w:val="000000"/>
              </w:rPr>
            </w:pPr>
            <w:r w:rsidRPr="00EF7D00">
              <w:rPr>
                <w:color w:val="000000"/>
              </w:rPr>
              <w:t xml:space="preserve">Cost per hour   </w:t>
            </w:r>
          </w:p>
        </w:tc>
        <w:tc>
          <w:tcPr>
            <w:tcW w:w="1470" w:type="dxa"/>
            <w:tcBorders>
              <w:top w:val="nil"/>
              <w:left w:val="nil"/>
              <w:bottom w:val="single" w:sz="4" w:space="0" w:color="auto"/>
              <w:right w:val="single" w:sz="4" w:space="0" w:color="auto"/>
            </w:tcBorders>
            <w:shd w:val="clear" w:color="auto" w:fill="auto"/>
            <w:noWrap/>
            <w:vAlign w:val="center"/>
            <w:hideMark/>
          </w:tcPr>
          <w:p w14:paraId="06956EB7" w14:textId="63FEEB78" w:rsidR="00926C15" w:rsidRPr="00EF7D00" w:rsidRDefault="00926C15" w:rsidP="00EF7D00">
            <w:pPr>
              <w:tabs>
                <w:tab w:val="left" w:pos="360"/>
              </w:tabs>
              <w:jc w:val="right"/>
              <w:rPr>
                <w:color w:val="000000"/>
              </w:rPr>
            </w:pPr>
            <w:r w:rsidRPr="00EF7D00">
              <w:rPr>
                <w:color w:val="000000"/>
              </w:rPr>
              <w:t>$37</w:t>
            </w:r>
          </w:p>
        </w:tc>
      </w:tr>
      <w:tr w:rsidR="00926C15" w:rsidRPr="007A37FF" w14:paraId="623B09A0" w14:textId="77777777" w:rsidTr="0009682D">
        <w:trPr>
          <w:trHeight w:val="389"/>
        </w:trPr>
        <w:tc>
          <w:tcPr>
            <w:tcW w:w="7867" w:type="dxa"/>
            <w:gridSpan w:val="3"/>
            <w:tcBorders>
              <w:top w:val="nil"/>
              <w:left w:val="single" w:sz="4" w:space="0" w:color="auto"/>
              <w:bottom w:val="single" w:sz="4" w:space="0" w:color="auto"/>
              <w:right w:val="single" w:sz="4" w:space="0" w:color="auto"/>
            </w:tcBorders>
            <w:shd w:val="clear" w:color="auto" w:fill="auto"/>
            <w:noWrap/>
            <w:vAlign w:val="center"/>
            <w:hideMark/>
          </w:tcPr>
          <w:p w14:paraId="2BE33EE2" w14:textId="39D85269" w:rsidR="00926C15" w:rsidRPr="007A37FF" w:rsidRDefault="00926C15" w:rsidP="0009682D">
            <w:pPr>
              <w:tabs>
                <w:tab w:val="left" w:pos="360"/>
              </w:tabs>
              <w:rPr>
                <w:color w:val="000000"/>
              </w:rPr>
            </w:pPr>
            <w:r w:rsidRPr="00DF382A">
              <w:rPr>
                <w:bCs/>
                <w:color w:val="000000"/>
              </w:rPr>
              <w:t>Total annual cost burden</w:t>
            </w:r>
          </w:p>
        </w:tc>
        <w:tc>
          <w:tcPr>
            <w:tcW w:w="1470" w:type="dxa"/>
            <w:tcBorders>
              <w:top w:val="nil"/>
              <w:left w:val="nil"/>
              <w:bottom w:val="single" w:sz="4" w:space="0" w:color="auto"/>
              <w:right w:val="single" w:sz="4" w:space="0" w:color="auto"/>
            </w:tcBorders>
            <w:shd w:val="clear" w:color="auto" w:fill="auto"/>
            <w:noWrap/>
            <w:vAlign w:val="center"/>
            <w:hideMark/>
          </w:tcPr>
          <w:p w14:paraId="47F02151" w14:textId="5408D4F8" w:rsidR="00926C15" w:rsidRPr="007A37FF" w:rsidRDefault="00926C15" w:rsidP="00926C15">
            <w:pPr>
              <w:tabs>
                <w:tab w:val="left" w:pos="360"/>
              </w:tabs>
              <w:jc w:val="right"/>
              <w:rPr>
                <w:color w:val="000000"/>
              </w:rPr>
            </w:pPr>
            <w:r w:rsidRPr="0009682D">
              <w:rPr>
                <w:bCs/>
                <w:color w:val="000000"/>
              </w:rPr>
              <w:t>$18,662,800</w:t>
            </w:r>
          </w:p>
        </w:tc>
      </w:tr>
    </w:tbl>
    <w:p w14:paraId="71A6C8B1" w14:textId="77777777" w:rsidR="007A37FF" w:rsidRPr="0009682D" w:rsidRDefault="00B45644" w:rsidP="00EF7D00">
      <w:pPr>
        <w:tabs>
          <w:tab w:val="left" w:pos="360"/>
        </w:tabs>
      </w:pPr>
      <w:r w:rsidRPr="0009682D">
        <w:tab/>
      </w:r>
      <w:r w:rsidR="00EF7D00" w:rsidRPr="0009682D">
        <w:tab/>
      </w:r>
    </w:p>
    <w:p w14:paraId="529B35DF" w14:textId="30CA271F" w:rsidR="00B45644" w:rsidRPr="00EF7D00" w:rsidRDefault="007A37FF" w:rsidP="00EF7D00">
      <w:pPr>
        <w:tabs>
          <w:tab w:val="left" w:pos="360"/>
        </w:tabs>
      </w:pPr>
      <w:r w:rsidRPr="0009682D">
        <w:tab/>
      </w:r>
      <w:r w:rsidRPr="0009682D">
        <w:tab/>
        <w:t>ii.</w:t>
      </w:r>
      <w:r w:rsidR="00B45644" w:rsidRPr="007A37FF">
        <w:t xml:space="preserve">  </w:t>
      </w:r>
      <w:r w:rsidR="00B45644" w:rsidRPr="0009682D">
        <w:rPr>
          <w:u w:val="single"/>
        </w:rPr>
        <w:t>Start-up recordkeeping</w:t>
      </w:r>
      <w:r w:rsidR="00430E97" w:rsidRPr="0009682D">
        <w:rPr>
          <w:u w:val="single"/>
        </w:rPr>
        <w:t xml:space="preserve"> – new awards</w:t>
      </w:r>
      <w:r w:rsidR="00B45644" w:rsidRPr="00EF7D00">
        <w:t>:</w:t>
      </w:r>
      <w:r w:rsidR="009C6D20">
        <w:t xml:space="preserve">  Of the total number of recordkeepers estimated in section 12.e.i. above, it is estimated that 10% are establishing a new program.  It is estimated that it takes a recordkeeper 80 hours to start-up a program to document compliance with the clause</w:t>
      </w:r>
      <w:r w:rsidR="00C600DB">
        <w:t xml:space="preserve"> at a cost of $75 per hour (equivalent of a GS-14, step 5 salary of $55.07, plus 36.25 percent burden rounded to the nearest dollar)</w:t>
      </w:r>
      <w:r w:rsidR="009C6D20">
        <w:t xml:space="preserve">.  </w:t>
      </w:r>
    </w:p>
    <w:p w14:paraId="276E92AB" w14:textId="77777777" w:rsidR="00B45644" w:rsidRPr="00EF7D00" w:rsidRDefault="00B45644" w:rsidP="00EF7D00">
      <w:pPr>
        <w:tabs>
          <w:tab w:val="left" w:pos="360"/>
        </w:tabs>
        <w:rPr>
          <w:b/>
        </w:rPr>
      </w:pPr>
    </w:p>
    <w:tbl>
      <w:tblPr>
        <w:tblW w:w="9337" w:type="dxa"/>
        <w:tblInd w:w="108" w:type="dxa"/>
        <w:tblLayout w:type="fixed"/>
        <w:tblLook w:val="04A0" w:firstRow="1" w:lastRow="0" w:firstColumn="1" w:lastColumn="0" w:noHBand="0" w:noVBand="1"/>
      </w:tblPr>
      <w:tblGrid>
        <w:gridCol w:w="4917"/>
        <w:gridCol w:w="1473"/>
        <w:gridCol w:w="1473"/>
        <w:gridCol w:w="1474"/>
      </w:tblGrid>
      <w:tr w:rsidR="002F3B8D" w:rsidRPr="00EF7D00" w14:paraId="6F98D227" w14:textId="77777777" w:rsidTr="0009682D">
        <w:trPr>
          <w:trHeight w:val="389"/>
        </w:trPr>
        <w:tc>
          <w:tcPr>
            <w:tcW w:w="933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4F3949A" w14:textId="6368F217" w:rsidR="002F3B8D" w:rsidRPr="007A37FF" w:rsidRDefault="002F3B8D" w:rsidP="00EF7D00">
            <w:pPr>
              <w:tabs>
                <w:tab w:val="left" w:pos="360"/>
              </w:tabs>
              <w:jc w:val="center"/>
              <w:rPr>
                <w:bCs/>
                <w:color w:val="000000"/>
              </w:rPr>
            </w:pPr>
            <w:r w:rsidRPr="002F3B8D">
              <w:rPr>
                <w:bCs/>
                <w:color w:val="000000"/>
              </w:rPr>
              <w:t>Estimation of Respondent Recordkeeping: 252.223-7004</w:t>
            </w:r>
            <w:r>
              <w:rPr>
                <w:bCs/>
                <w:color w:val="000000"/>
              </w:rPr>
              <w:t xml:space="preserve"> (New Awards)</w:t>
            </w:r>
          </w:p>
        </w:tc>
      </w:tr>
      <w:tr w:rsidR="00B45644" w:rsidRPr="00EF7D00" w14:paraId="2F956049" w14:textId="77777777" w:rsidTr="0009682D">
        <w:trPr>
          <w:trHeight w:val="389"/>
        </w:trPr>
        <w:tc>
          <w:tcPr>
            <w:tcW w:w="4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D6337" w14:textId="564B9EDC" w:rsidR="00B45644" w:rsidRPr="0009682D" w:rsidRDefault="00DA5F8B" w:rsidP="0050550D">
            <w:pPr>
              <w:tabs>
                <w:tab w:val="left" w:pos="360"/>
              </w:tabs>
              <w:rPr>
                <w:bCs/>
                <w:color w:val="000000"/>
              </w:rPr>
            </w:pPr>
            <w:r w:rsidRPr="0009682D">
              <w:rPr>
                <w:bCs/>
                <w:color w:val="000000"/>
              </w:rPr>
              <w:t xml:space="preserve">New </w:t>
            </w:r>
            <w:r w:rsidR="0050550D" w:rsidRPr="0009682D">
              <w:rPr>
                <w:bCs/>
                <w:color w:val="000000"/>
              </w:rPr>
              <w:t>Start</w:t>
            </w:r>
            <w:r w:rsidRPr="0009682D">
              <w:rPr>
                <w:bCs/>
                <w:color w:val="000000"/>
              </w:rPr>
              <w:t xml:space="preserve"> Program Requirements</w:t>
            </w:r>
            <w:r w:rsidR="007A37FF">
              <w:rPr>
                <w:bCs/>
                <w:color w:val="000000"/>
              </w:rPr>
              <w:t xml:space="preserve"> - Businesses</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2ED41E8E" w14:textId="2E1A4C84" w:rsidR="00B45644" w:rsidRPr="0009682D" w:rsidRDefault="00B45644">
            <w:pPr>
              <w:tabs>
                <w:tab w:val="left" w:pos="360"/>
              </w:tabs>
              <w:jc w:val="center"/>
              <w:rPr>
                <w:bCs/>
                <w:color w:val="000000"/>
              </w:rPr>
            </w:pPr>
            <w:r w:rsidRPr="0009682D">
              <w:rPr>
                <w:bCs/>
                <w:color w:val="000000"/>
              </w:rPr>
              <w:t xml:space="preserve">Small </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1AA504CE" w14:textId="41F641B0" w:rsidR="00B45644" w:rsidRPr="0009682D" w:rsidRDefault="00B45644">
            <w:pPr>
              <w:tabs>
                <w:tab w:val="left" w:pos="360"/>
              </w:tabs>
              <w:jc w:val="center"/>
              <w:rPr>
                <w:bCs/>
                <w:color w:val="000000"/>
              </w:rPr>
            </w:pPr>
            <w:r w:rsidRPr="0009682D">
              <w:rPr>
                <w:bCs/>
                <w:color w:val="000000"/>
              </w:rPr>
              <w:t xml:space="preserve">Large </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47B616CC" w14:textId="77777777" w:rsidR="00B45644" w:rsidRPr="0009682D" w:rsidRDefault="00B45644" w:rsidP="00EF7D00">
            <w:pPr>
              <w:tabs>
                <w:tab w:val="left" w:pos="360"/>
              </w:tabs>
              <w:jc w:val="center"/>
              <w:rPr>
                <w:bCs/>
                <w:color w:val="000000"/>
              </w:rPr>
            </w:pPr>
            <w:r w:rsidRPr="0009682D">
              <w:rPr>
                <w:bCs/>
                <w:color w:val="000000"/>
              </w:rPr>
              <w:t>Total</w:t>
            </w:r>
          </w:p>
        </w:tc>
      </w:tr>
      <w:tr w:rsidR="00B45644" w:rsidRPr="00EF7D00" w14:paraId="5F1FC809" w14:textId="77777777" w:rsidTr="0009682D">
        <w:trPr>
          <w:trHeight w:val="389"/>
        </w:trPr>
        <w:tc>
          <w:tcPr>
            <w:tcW w:w="4917" w:type="dxa"/>
            <w:tcBorders>
              <w:top w:val="nil"/>
              <w:left w:val="single" w:sz="4" w:space="0" w:color="auto"/>
              <w:bottom w:val="single" w:sz="4" w:space="0" w:color="auto"/>
              <w:right w:val="single" w:sz="4" w:space="0" w:color="auto"/>
            </w:tcBorders>
            <w:shd w:val="clear" w:color="auto" w:fill="auto"/>
            <w:noWrap/>
            <w:vAlign w:val="center"/>
            <w:hideMark/>
          </w:tcPr>
          <w:p w14:paraId="109B91A3" w14:textId="1F42DFB2" w:rsidR="00B45644" w:rsidRPr="00EF7D00" w:rsidRDefault="00887ED1">
            <w:pPr>
              <w:tabs>
                <w:tab w:val="left" w:pos="360"/>
              </w:tabs>
              <w:rPr>
                <w:color w:val="000000"/>
              </w:rPr>
            </w:pPr>
            <w:r>
              <w:rPr>
                <w:color w:val="000000"/>
              </w:rPr>
              <w:t>Total number of r</w:t>
            </w:r>
            <w:r w:rsidR="00B45644" w:rsidRPr="00EF7D00">
              <w:rPr>
                <w:color w:val="000000"/>
              </w:rPr>
              <w:t>ecordkeepers</w:t>
            </w:r>
            <w:r w:rsidR="00430E97" w:rsidRPr="00EF7D00">
              <w:rPr>
                <w:color w:val="000000"/>
              </w:rPr>
              <w:t xml:space="preserve"> </w:t>
            </w:r>
          </w:p>
        </w:tc>
        <w:tc>
          <w:tcPr>
            <w:tcW w:w="1473" w:type="dxa"/>
            <w:tcBorders>
              <w:top w:val="nil"/>
              <w:left w:val="nil"/>
              <w:bottom w:val="single" w:sz="4" w:space="0" w:color="auto"/>
              <w:right w:val="single" w:sz="4" w:space="0" w:color="auto"/>
            </w:tcBorders>
            <w:shd w:val="clear" w:color="auto" w:fill="auto"/>
            <w:noWrap/>
            <w:vAlign w:val="center"/>
            <w:hideMark/>
          </w:tcPr>
          <w:p w14:paraId="3B2EC7C6" w14:textId="0E5B5C49" w:rsidR="00B45644" w:rsidRPr="00EF7D00" w:rsidRDefault="0050550D" w:rsidP="0009682D">
            <w:pPr>
              <w:tabs>
                <w:tab w:val="left" w:pos="360"/>
              </w:tabs>
              <w:jc w:val="center"/>
              <w:rPr>
                <w:color w:val="000000"/>
              </w:rPr>
            </w:pPr>
            <w:r>
              <w:rPr>
                <w:color w:val="000000"/>
              </w:rPr>
              <w:t>7,300</w:t>
            </w:r>
          </w:p>
        </w:tc>
        <w:tc>
          <w:tcPr>
            <w:tcW w:w="1473" w:type="dxa"/>
            <w:tcBorders>
              <w:top w:val="nil"/>
              <w:left w:val="nil"/>
              <w:bottom w:val="single" w:sz="4" w:space="0" w:color="auto"/>
              <w:right w:val="single" w:sz="4" w:space="0" w:color="auto"/>
            </w:tcBorders>
            <w:shd w:val="clear" w:color="auto" w:fill="auto"/>
            <w:noWrap/>
            <w:vAlign w:val="center"/>
            <w:hideMark/>
          </w:tcPr>
          <w:p w14:paraId="0CB2BB31" w14:textId="20D73DF6" w:rsidR="00B45644" w:rsidRPr="00EF7D00" w:rsidRDefault="0050550D" w:rsidP="0009682D">
            <w:pPr>
              <w:tabs>
                <w:tab w:val="left" w:pos="360"/>
              </w:tabs>
              <w:jc w:val="center"/>
              <w:rPr>
                <w:color w:val="000000"/>
              </w:rPr>
            </w:pPr>
            <w:r>
              <w:rPr>
                <w:color w:val="000000"/>
              </w:rPr>
              <w:t>5,309</w:t>
            </w:r>
          </w:p>
        </w:tc>
        <w:tc>
          <w:tcPr>
            <w:tcW w:w="1474" w:type="dxa"/>
            <w:tcBorders>
              <w:top w:val="nil"/>
              <w:left w:val="nil"/>
              <w:bottom w:val="single" w:sz="4" w:space="0" w:color="auto"/>
              <w:right w:val="single" w:sz="4" w:space="0" w:color="auto"/>
            </w:tcBorders>
            <w:shd w:val="clear" w:color="auto" w:fill="auto"/>
            <w:noWrap/>
            <w:vAlign w:val="center"/>
            <w:hideMark/>
          </w:tcPr>
          <w:p w14:paraId="3FC40C7C" w14:textId="48AFA881" w:rsidR="00B45644" w:rsidRPr="00EF7D00" w:rsidRDefault="0050550D" w:rsidP="00EF7D00">
            <w:pPr>
              <w:tabs>
                <w:tab w:val="left" w:pos="360"/>
              </w:tabs>
              <w:jc w:val="right"/>
              <w:rPr>
                <w:color w:val="000000"/>
              </w:rPr>
            </w:pPr>
            <w:r>
              <w:rPr>
                <w:color w:val="000000"/>
              </w:rPr>
              <w:t>12,610</w:t>
            </w:r>
          </w:p>
        </w:tc>
      </w:tr>
      <w:tr w:rsidR="00B45644" w:rsidRPr="00EF7D00" w14:paraId="10EB4E75" w14:textId="77777777" w:rsidTr="0009682D">
        <w:trPr>
          <w:trHeight w:val="389"/>
        </w:trPr>
        <w:tc>
          <w:tcPr>
            <w:tcW w:w="4917" w:type="dxa"/>
            <w:tcBorders>
              <w:top w:val="nil"/>
              <w:left w:val="single" w:sz="4" w:space="0" w:color="auto"/>
              <w:bottom w:val="single" w:sz="4" w:space="0" w:color="auto"/>
              <w:right w:val="single" w:sz="4" w:space="0" w:color="auto"/>
            </w:tcBorders>
            <w:shd w:val="clear" w:color="auto" w:fill="auto"/>
            <w:noWrap/>
            <w:vAlign w:val="center"/>
            <w:hideMark/>
          </w:tcPr>
          <w:p w14:paraId="6149FD0D" w14:textId="7EF88E9C" w:rsidR="00B45644" w:rsidRPr="00EF7D00" w:rsidRDefault="00B45644" w:rsidP="00EF7D00">
            <w:pPr>
              <w:tabs>
                <w:tab w:val="left" w:pos="360"/>
              </w:tabs>
              <w:rPr>
                <w:color w:val="000000"/>
              </w:rPr>
            </w:pPr>
            <w:r w:rsidRPr="00EF7D00">
              <w:rPr>
                <w:color w:val="000000"/>
              </w:rPr>
              <w:t xml:space="preserve">% establishing </w:t>
            </w:r>
            <w:r w:rsidR="00430E97" w:rsidRPr="00EF7D00">
              <w:rPr>
                <w:color w:val="000000"/>
              </w:rPr>
              <w:t xml:space="preserve">a new </w:t>
            </w:r>
            <w:r w:rsidRPr="00EF7D00">
              <w:rPr>
                <w:color w:val="000000"/>
              </w:rPr>
              <w:t>program</w:t>
            </w:r>
          </w:p>
        </w:tc>
        <w:tc>
          <w:tcPr>
            <w:tcW w:w="1473" w:type="dxa"/>
            <w:tcBorders>
              <w:top w:val="nil"/>
              <w:left w:val="nil"/>
              <w:bottom w:val="single" w:sz="4" w:space="0" w:color="auto"/>
              <w:right w:val="single" w:sz="4" w:space="0" w:color="auto"/>
            </w:tcBorders>
            <w:shd w:val="clear" w:color="auto" w:fill="auto"/>
            <w:noWrap/>
            <w:vAlign w:val="center"/>
            <w:hideMark/>
          </w:tcPr>
          <w:p w14:paraId="6E7DB842" w14:textId="638C7293" w:rsidR="00B45644" w:rsidRPr="00EF7D00" w:rsidRDefault="0050550D" w:rsidP="0009682D">
            <w:pPr>
              <w:tabs>
                <w:tab w:val="left" w:pos="360"/>
              </w:tabs>
              <w:jc w:val="center"/>
              <w:rPr>
                <w:color w:val="000000"/>
              </w:rPr>
            </w:pPr>
            <w:r>
              <w:rPr>
                <w:color w:val="000000"/>
              </w:rPr>
              <w:t>1</w:t>
            </w:r>
            <w:r w:rsidR="00B45644" w:rsidRPr="00EF7D00">
              <w:rPr>
                <w:color w:val="000000"/>
              </w:rPr>
              <w:t>0%</w:t>
            </w:r>
          </w:p>
        </w:tc>
        <w:tc>
          <w:tcPr>
            <w:tcW w:w="1473" w:type="dxa"/>
            <w:tcBorders>
              <w:top w:val="nil"/>
              <w:left w:val="nil"/>
              <w:bottom w:val="single" w:sz="4" w:space="0" w:color="auto"/>
              <w:right w:val="single" w:sz="4" w:space="0" w:color="auto"/>
            </w:tcBorders>
            <w:shd w:val="clear" w:color="auto" w:fill="auto"/>
            <w:noWrap/>
            <w:vAlign w:val="center"/>
            <w:hideMark/>
          </w:tcPr>
          <w:p w14:paraId="6812A254" w14:textId="1E14531C" w:rsidR="00B45644" w:rsidRPr="00EF7D00" w:rsidRDefault="0050550D" w:rsidP="0009682D">
            <w:pPr>
              <w:tabs>
                <w:tab w:val="left" w:pos="360"/>
              </w:tabs>
              <w:jc w:val="center"/>
              <w:rPr>
                <w:color w:val="000000"/>
              </w:rPr>
            </w:pPr>
            <w:r>
              <w:rPr>
                <w:color w:val="000000"/>
              </w:rPr>
              <w:t>1</w:t>
            </w:r>
            <w:r w:rsidR="00430E97" w:rsidRPr="00EF7D00">
              <w:rPr>
                <w:color w:val="000000"/>
              </w:rPr>
              <w:t>0</w:t>
            </w:r>
            <w:r w:rsidR="00B45644" w:rsidRPr="00EF7D00">
              <w:rPr>
                <w:color w:val="000000"/>
              </w:rPr>
              <w:t>%</w:t>
            </w:r>
          </w:p>
        </w:tc>
        <w:tc>
          <w:tcPr>
            <w:tcW w:w="1474" w:type="dxa"/>
            <w:tcBorders>
              <w:top w:val="nil"/>
              <w:left w:val="nil"/>
              <w:bottom w:val="single" w:sz="4" w:space="0" w:color="auto"/>
              <w:right w:val="single" w:sz="4" w:space="0" w:color="auto"/>
            </w:tcBorders>
            <w:shd w:val="clear" w:color="auto" w:fill="auto"/>
            <w:noWrap/>
            <w:vAlign w:val="center"/>
          </w:tcPr>
          <w:p w14:paraId="2DEA4F27" w14:textId="0CC52D9F" w:rsidR="00B45644" w:rsidRPr="00EF7D00" w:rsidRDefault="00B45644" w:rsidP="00EF7D00">
            <w:pPr>
              <w:tabs>
                <w:tab w:val="left" w:pos="360"/>
              </w:tabs>
              <w:jc w:val="right"/>
              <w:rPr>
                <w:color w:val="000000"/>
              </w:rPr>
            </w:pPr>
          </w:p>
        </w:tc>
      </w:tr>
      <w:tr w:rsidR="00B45644" w:rsidRPr="00EF7D00" w14:paraId="6E954504" w14:textId="77777777" w:rsidTr="0009682D">
        <w:trPr>
          <w:trHeight w:val="389"/>
        </w:trPr>
        <w:tc>
          <w:tcPr>
            <w:tcW w:w="4917" w:type="dxa"/>
            <w:tcBorders>
              <w:top w:val="nil"/>
              <w:left w:val="single" w:sz="4" w:space="0" w:color="auto"/>
              <w:bottom w:val="single" w:sz="4" w:space="0" w:color="auto"/>
              <w:right w:val="single" w:sz="4" w:space="0" w:color="auto"/>
            </w:tcBorders>
            <w:shd w:val="clear" w:color="auto" w:fill="auto"/>
            <w:noWrap/>
            <w:vAlign w:val="center"/>
            <w:hideMark/>
          </w:tcPr>
          <w:p w14:paraId="2E2D9654" w14:textId="0373D514" w:rsidR="00B45644" w:rsidRPr="00EF7D00" w:rsidRDefault="00B45644">
            <w:pPr>
              <w:tabs>
                <w:tab w:val="left" w:pos="360"/>
              </w:tabs>
              <w:rPr>
                <w:color w:val="000000"/>
              </w:rPr>
            </w:pPr>
            <w:r w:rsidRPr="00EF7D00">
              <w:rPr>
                <w:color w:val="000000"/>
              </w:rPr>
              <w:t xml:space="preserve">Total number of new programs per year </w:t>
            </w:r>
          </w:p>
        </w:tc>
        <w:tc>
          <w:tcPr>
            <w:tcW w:w="1473" w:type="dxa"/>
            <w:tcBorders>
              <w:top w:val="nil"/>
              <w:left w:val="nil"/>
              <w:bottom w:val="single" w:sz="4" w:space="0" w:color="auto"/>
              <w:right w:val="single" w:sz="4" w:space="0" w:color="auto"/>
            </w:tcBorders>
            <w:shd w:val="clear" w:color="auto" w:fill="auto"/>
            <w:noWrap/>
            <w:vAlign w:val="center"/>
            <w:hideMark/>
          </w:tcPr>
          <w:p w14:paraId="25ECD45B" w14:textId="58043520" w:rsidR="00B45644" w:rsidRPr="00EF7D00" w:rsidRDefault="0050550D" w:rsidP="0009682D">
            <w:pPr>
              <w:tabs>
                <w:tab w:val="left" w:pos="360"/>
              </w:tabs>
              <w:jc w:val="center"/>
              <w:rPr>
                <w:color w:val="000000"/>
              </w:rPr>
            </w:pPr>
            <w:r>
              <w:rPr>
                <w:color w:val="000000"/>
              </w:rPr>
              <w:t>730</w:t>
            </w:r>
          </w:p>
        </w:tc>
        <w:tc>
          <w:tcPr>
            <w:tcW w:w="1473" w:type="dxa"/>
            <w:tcBorders>
              <w:top w:val="nil"/>
              <w:left w:val="nil"/>
              <w:bottom w:val="single" w:sz="4" w:space="0" w:color="auto"/>
              <w:right w:val="single" w:sz="4" w:space="0" w:color="auto"/>
            </w:tcBorders>
            <w:shd w:val="clear" w:color="auto" w:fill="auto"/>
            <w:noWrap/>
            <w:vAlign w:val="center"/>
            <w:hideMark/>
          </w:tcPr>
          <w:p w14:paraId="099B779C" w14:textId="593C1A07" w:rsidR="00B45644" w:rsidRPr="00EF7D00" w:rsidRDefault="0050550D" w:rsidP="0009682D">
            <w:pPr>
              <w:tabs>
                <w:tab w:val="left" w:pos="360"/>
              </w:tabs>
              <w:jc w:val="center"/>
              <w:rPr>
                <w:color w:val="000000"/>
              </w:rPr>
            </w:pPr>
            <w:r>
              <w:rPr>
                <w:color w:val="000000"/>
              </w:rPr>
              <w:t>530</w:t>
            </w:r>
          </w:p>
        </w:tc>
        <w:tc>
          <w:tcPr>
            <w:tcW w:w="1474" w:type="dxa"/>
            <w:tcBorders>
              <w:top w:val="nil"/>
              <w:left w:val="nil"/>
              <w:bottom w:val="single" w:sz="4" w:space="0" w:color="auto"/>
              <w:right w:val="single" w:sz="4" w:space="0" w:color="auto"/>
            </w:tcBorders>
            <w:shd w:val="clear" w:color="auto" w:fill="auto"/>
            <w:noWrap/>
            <w:vAlign w:val="center"/>
            <w:hideMark/>
          </w:tcPr>
          <w:p w14:paraId="2C485944" w14:textId="505518C7" w:rsidR="00B45644" w:rsidRPr="00EF7D00" w:rsidRDefault="0050550D" w:rsidP="00EF7D00">
            <w:pPr>
              <w:tabs>
                <w:tab w:val="left" w:pos="360"/>
              </w:tabs>
              <w:jc w:val="right"/>
              <w:rPr>
                <w:color w:val="000000"/>
              </w:rPr>
            </w:pPr>
            <w:r>
              <w:rPr>
                <w:color w:val="000000"/>
              </w:rPr>
              <w:t>1,260</w:t>
            </w:r>
          </w:p>
        </w:tc>
      </w:tr>
      <w:tr w:rsidR="00926C15" w:rsidRPr="00EF7D00" w14:paraId="7C2A4191" w14:textId="77777777" w:rsidTr="0009682D">
        <w:trPr>
          <w:trHeight w:val="389"/>
        </w:trPr>
        <w:tc>
          <w:tcPr>
            <w:tcW w:w="7863" w:type="dxa"/>
            <w:gridSpan w:val="3"/>
            <w:tcBorders>
              <w:top w:val="nil"/>
              <w:left w:val="single" w:sz="4" w:space="0" w:color="auto"/>
              <w:bottom w:val="single" w:sz="4" w:space="0" w:color="auto"/>
              <w:right w:val="single" w:sz="4" w:space="0" w:color="auto"/>
            </w:tcBorders>
            <w:shd w:val="clear" w:color="auto" w:fill="auto"/>
            <w:noWrap/>
            <w:vAlign w:val="center"/>
            <w:hideMark/>
          </w:tcPr>
          <w:p w14:paraId="65C6C99C" w14:textId="0DC2091B" w:rsidR="00926C15" w:rsidRPr="00EF7D00" w:rsidRDefault="00926C15" w:rsidP="0009682D">
            <w:pPr>
              <w:tabs>
                <w:tab w:val="left" w:pos="360"/>
              </w:tabs>
              <w:rPr>
                <w:color w:val="000000"/>
              </w:rPr>
            </w:pPr>
            <w:r w:rsidRPr="00EF7D00">
              <w:rPr>
                <w:color w:val="000000"/>
              </w:rPr>
              <w:t>Start-up hours per new program</w:t>
            </w:r>
          </w:p>
        </w:tc>
        <w:tc>
          <w:tcPr>
            <w:tcW w:w="1474" w:type="dxa"/>
            <w:tcBorders>
              <w:top w:val="nil"/>
              <w:left w:val="nil"/>
              <w:bottom w:val="single" w:sz="4" w:space="0" w:color="auto"/>
              <w:right w:val="single" w:sz="4" w:space="0" w:color="auto"/>
            </w:tcBorders>
            <w:shd w:val="clear" w:color="auto" w:fill="auto"/>
            <w:noWrap/>
            <w:vAlign w:val="center"/>
            <w:hideMark/>
          </w:tcPr>
          <w:p w14:paraId="16314B81" w14:textId="77777777" w:rsidR="00926C15" w:rsidRPr="00EF7D00" w:rsidRDefault="00926C15" w:rsidP="00926C15">
            <w:pPr>
              <w:tabs>
                <w:tab w:val="left" w:pos="360"/>
              </w:tabs>
              <w:jc w:val="right"/>
              <w:rPr>
                <w:color w:val="000000"/>
              </w:rPr>
            </w:pPr>
            <w:r w:rsidRPr="00EF7D00">
              <w:rPr>
                <w:color w:val="000000"/>
              </w:rPr>
              <w:t>80</w:t>
            </w:r>
          </w:p>
        </w:tc>
      </w:tr>
      <w:tr w:rsidR="00926C15" w:rsidRPr="00EF7D00" w14:paraId="1BD67ED9" w14:textId="77777777" w:rsidTr="0009682D">
        <w:trPr>
          <w:trHeight w:val="389"/>
        </w:trPr>
        <w:tc>
          <w:tcPr>
            <w:tcW w:w="7863" w:type="dxa"/>
            <w:gridSpan w:val="3"/>
            <w:tcBorders>
              <w:top w:val="nil"/>
              <w:left w:val="single" w:sz="4" w:space="0" w:color="auto"/>
              <w:bottom w:val="single" w:sz="4" w:space="0" w:color="auto"/>
              <w:right w:val="single" w:sz="4" w:space="0" w:color="auto"/>
            </w:tcBorders>
            <w:shd w:val="clear" w:color="auto" w:fill="auto"/>
            <w:noWrap/>
            <w:vAlign w:val="center"/>
            <w:hideMark/>
          </w:tcPr>
          <w:p w14:paraId="2D8058A2" w14:textId="67E4040F" w:rsidR="00926C15" w:rsidRPr="00EF7D00" w:rsidRDefault="00926C15" w:rsidP="0009682D">
            <w:pPr>
              <w:tabs>
                <w:tab w:val="left" w:pos="360"/>
              </w:tabs>
              <w:rPr>
                <w:color w:val="000000"/>
              </w:rPr>
            </w:pPr>
            <w:r w:rsidRPr="00EF7D00">
              <w:rPr>
                <w:color w:val="000000"/>
              </w:rPr>
              <w:t>Total start-up burden hours</w:t>
            </w:r>
            <w:r w:rsidRPr="00EF7D00" w:rsidDel="00926C15">
              <w:rPr>
                <w:color w:val="000000"/>
              </w:rPr>
              <w:t xml:space="preserve"> </w:t>
            </w:r>
          </w:p>
        </w:tc>
        <w:tc>
          <w:tcPr>
            <w:tcW w:w="1474" w:type="dxa"/>
            <w:tcBorders>
              <w:top w:val="nil"/>
              <w:left w:val="nil"/>
              <w:bottom w:val="single" w:sz="4" w:space="0" w:color="auto"/>
              <w:right w:val="single" w:sz="4" w:space="0" w:color="auto"/>
            </w:tcBorders>
            <w:shd w:val="clear" w:color="auto" w:fill="auto"/>
            <w:noWrap/>
            <w:vAlign w:val="center"/>
            <w:hideMark/>
          </w:tcPr>
          <w:p w14:paraId="2FD51013" w14:textId="3A09E054" w:rsidR="00926C15" w:rsidRPr="00EF7D00" w:rsidRDefault="00926C15" w:rsidP="00926C15">
            <w:pPr>
              <w:tabs>
                <w:tab w:val="left" w:pos="360"/>
              </w:tabs>
              <w:jc w:val="right"/>
              <w:rPr>
                <w:color w:val="000000"/>
              </w:rPr>
            </w:pPr>
            <w:r>
              <w:rPr>
                <w:color w:val="000000"/>
              </w:rPr>
              <w:t>100,800</w:t>
            </w:r>
          </w:p>
        </w:tc>
      </w:tr>
      <w:tr w:rsidR="00926C15" w:rsidRPr="00EF7D00" w14:paraId="1154EFD9" w14:textId="77777777" w:rsidTr="0009682D">
        <w:trPr>
          <w:trHeight w:val="389"/>
        </w:trPr>
        <w:tc>
          <w:tcPr>
            <w:tcW w:w="7863" w:type="dxa"/>
            <w:gridSpan w:val="3"/>
            <w:tcBorders>
              <w:top w:val="nil"/>
              <w:left w:val="single" w:sz="4" w:space="0" w:color="auto"/>
              <w:bottom w:val="single" w:sz="4" w:space="0" w:color="auto"/>
              <w:right w:val="single" w:sz="4" w:space="0" w:color="auto"/>
            </w:tcBorders>
            <w:shd w:val="clear" w:color="auto" w:fill="auto"/>
            <w:noWrap/>
            <w:vAlign w:val="center"/>
            <w:hideMark/>
          </w:tcPr>
          <w:p w14:paraId="769BEEC4" w14:textId="314807A0" w:rsidR="00926C15" w:rsidRPr="00EF7D00" w:rsidRDefault="00926C15" w:rsidP="0009682D">
            <w:pPr>
              <w:tabs>
                <w:tab w:val="left" w:pos="360"/>
              </w:tabs>
              <w:rPr>
                <w:color w:val="000000"/>
              </w:rPr>
            </w:pPr>
            <w:r w:rsidRPr="00EF7D00">
              <w:rPr>
                <w:color w:val="000000"/>
              </w:rPr>
              <w:t xml:space="preserve">Cost per hour  </w:t>
            </w:r>
          </w:p>
        </w:tc>
        <w:tc>
          <w:tcPr>
            <w:tcW w:w="1474" w:type="dxa"/>
            <w:tcBorders>
              <w:top w:val="nil"/>
              <w:left w:val="nil"/>
              <w:bottom w:val="single" w:sz="4" w:space="0" w:color="auto"/>
              <w:right w:val="single" w:sz="4" w:space="0" w:color="auto"/>
            </w:tcBorders>
            <w:shd w:val="clear" w:color="auto" w:fill="auto"/>
            <w:noWrap/>
            <w:vAlign w:val="center"/>
            <w:hideMark/>
          </w:tcPr>
          <w:p w14:paraId="5723BEA0" w14:textId="03D7145C" w:rsidR="00926C15" w:rsidRPr="00EF7D00" w:rsidRDefault="00926C15" w:rsidP="00926C15">
            <w:pPr>
              <w:tabs>
                <w:tab w:val="left" w:pos="360"/>
              </w:tabs>
              <w:jc w:val="right"/>
              <w:rPr>
                <w:color w:val="000000"/>
              </w:rPr>
            </w:pPr>
            <w:r w:rsidRPr="00EF7D00">
              <w:rPr>
                <w:color w:val="000000"/>
              </w:rPr>
              <w:t>$75</w:t>
            </w:r>
          </w:p>
        </w:tc>
      </w:tr>
      <w:tr w:rsidR="00926C15" w:rsidRPr="007A37FF" w14:paraId="2DF3EBCD" w14:textId="77777777" w:rsidTr="0009682D">
        <w:trPr>
          <w:trHeight w:val="389"/>
        </w:trPr>
        <w:tc>
          <w:tcPr>
            <w:tcW w:w="7863" w:type="dxa"/>
            <w:gridSpan w:val="3"/>
            <w:tcBorders>
              <w:top w:val="nil"/>
              <w:left w:val="single" w:sz="4" w:space="0" w:color="auto"/>
              <w:bottom w:val="single" w:sz="4" w:space="0" w:color="auto"/>
              <w:right w:val="single" w:sz="4" w:space="0" w:color="auto"/>
            </w:tcBorders>
            <w:shd w:val="clear" w:color="auto" w:fill="auto"/>
            <w:noWrap/>
            <w:vAlign w:val="center"/>
            <w:hideMark/>
          </w:tcPr>
          <w:p w14:paraId="74BEF0A2" w14:textId="29A598F4" w:rsidR="00926C15" w:rsidRPr="0009682D" w:rsidRDefault="00926C15" w:rsidP="0009682D">
            <w:pPr>
              <w:tabs>
                <w:tab w:val="left" w:pos="360"/>
              </w:tabs>
              <w:rPr>
                <w:bCs/>
                <w:color w:val="000000"/>
              </w:rPr>
            </w:pPr>
            <w:r w:rsidRPr="0009682D">
              <w:rPr>
                <w:bCs/>
                <w:color w:val="000000"/>
              </w:rPr>
              <w:t>Total annual start-up cost burden</w:t>
            </w:r>
          </w:p>
        </w:tc>
        <w:tc>
          <w:tcPr>
            <w:tcW w:w="1474" w:type="dxa"/>
            <w:tcBorders>
              <w:top w:val="nil"/>
              <w:left w:val="nil"/>
              <w:bottom w:val="single" w:sz="4" w:space="0" w:color="auto"/>
              <w:right w:val="single" w:sz="4" w:space="0" w:color="auto"/>
            </w:tcBorders>
            <w:shd w:val="clear" w:color="auto" w:fill="auto"/>
            <w:noWrap/>
            <w:vAlign w:val="center"/>
            <w:hideMark/>
          </w:tcPr>
          <w:p w14:paraId="5C226119" w14:textId="4B845B77" w:rsidR="00926C15" w:rsidRPr="0009682D" w:rsidRDefault="00926C15" w:rsidP="00926C15">
            <w:pPr>
              <w:tabs>
                <w:tab w:val="left" w:pos="360"/>
              </w:tabs>
              <w:jc w:val="right"/>
              <w:rPr>
                <w:bCs/>
                <w:color w:val="000000"/>
              </w:rPr>
            </w:pPr>
            <w:r w:rsidRPr="0009682D">
              <w:rPr>
                <w:bCs/>
                <w:color w:val="000000"/>
              </w:rPr>
              <w:t>$7,560,000</w:t>
            </w:r>
          </w:p>
        </w:tc>
      </w:tr>
    </w:tbl>
    <w:p w14:paraId="5FA0446B" w14:textId="77777777" w:rsidR="00B45644" w:rsidRPr="00EF7D00" w:rsidRDefault="00B45644" w:rsidP="00EF7D00">
      <w:pPr>
        <w:tabs>
          <w:tab w:val="left" w:pos="270"/>
          <w:tab w:val="left" w:pos="360"/>
        </w:tabs>
      </w:pPr>
    </w:p>
    <w:p w14:paraId="69CE11A2" w14:textId="2FF294D5" w:rsidR="00715171" w:rsidRDefault="00EF7D00" w:rsidP="00EF7D00">
      <w:pPr>
        <w:pStyle w:val="NormalWeb"/>
        <w:tabs>
          <w:tab w:val="left" w:pos="360"/>
          <w:tab w:val="left" w:pos="720"/>
          <w:tab w:val="left" w:pos="1080"/>
          <w:tab w:val="left" w:pos="1440"/>
        </w:tabs>
        <w:spacing w:before="0" w:beforeAutospacing="0" w:after="0" w:afterAutospacing="0"/>
      </w:pPr>
      <w:r>
        <w:tab/>
      </w:r>
      <w:r w:rsidR="00715171" w:rsidRPr="00EF7D00">
        <w:t xml:space="preserve">f.  </w:t>
      </w:r>
      <w:r w:rsidR="00715171" w:rsidRPr="0009682D">
        <w:rPr>
          <w:u w:val="single"/>
        </w:rPr>
        <w:t xml:space="preserve">Total </w:t>
      </w:r>
      <w:r w:rsidR="00A60349">
        <w:rPr>
          <w:u w:val="single"/>
        </w:rPr>
        <w:t>Public</w:t>
      </w:r>
      <w:r w:rsidR="00A60349" w:rsidRPr="0009682D">
        <w:rPr>
          <w:u w:val="single"/>
        </w:rPr>
        <w:t xml:space="preserve"> </w:t>
      </w:r>
      <w:r w:rsidR="00715171" w:rsidRPr="0009682D">
        <w:rPr>
          <w:u w:val="single"/>
        </w:rPr>
        <w:t>Burden</w:t>
      </w:r>
      <w:r w:rsidR="00971467">
        <w:t>:</w:t>
      </w:r>
      <w:r w:rsidR="00715171" w:rsidRPr="00EF7D00">
        <w:t xml:space="preserve"> </w:t>
      </w:r>
    </w:p>
    <w:p w14:paraId="6FBA6A92" w14:textId="77777777" w:rsidR="00971467" w:rsidRDefault="00971467" w:rsidP="00EF7D00">
      <w:pPr>
        <w:pStyle w:val="NormalWeb"/>
        <w:tabs>
          <w:tab w:val="left" w:pos="360"/>
          <w:tab w:val="left" w:pos="720"/>
          <w:tab w:val="left" w:pos="1080"/>
          <w:tab w:val="left" w:pos="1440"/>
        </w:tabs>
        <w:spacing w:before="0" w:beforeAutospacing="0" w:after="0" w:afterAutospacing="0"/>
      </w:pPr>
    </w:p>
    <w:p w14:paraId="5D976530" w14:textId="63D76B89" w:rsidR="00971467" w:rsidRPr="00EF7D00" w:rsidRDefault="00DC7363">
      <w:pPr>
        <w:pStyle w:val="NormalWeb"/>
        <w:tabs>
          <w:tab w:val="left" w:pos="360"/>
          <w:tab w:val="left" w:pos="720"/>
          <w:tab w:val="left" w:pos="1080"/>
          <w:tab w:val="left" w:pos="1440"/>
        </w:tabs>
        <w:spacing w:before="0" w:beforeAutospacing="0" w:after="0" w:afterAutospacing="0"/>
      </w:pPr>
      <w:r>
        <w:tab/>
      </w:r>
      <w:r>
        <w:tab/>
        <w:t xml:space="preserve">i.  </w:t>
      </w:r>
      <w:r w:rsidR="00971467" w:rsidRPr="0009682D">
        <w:rPr>
          <w:u w:val="single"/>
        </w:rPr>
        <w:t>Reporting</w:t>
      </w:r>
      <w:r w:rsidR="00971467">
        <w:t>:</w:t>
      </w:r>
      <w:r w:rsidR="00A60349">
        <w:t xml:space="preserve">  </w:t>
      </w:r>
      <w:r>
        <w:t xml:space="preserve">The following is a summary of the reporting burden described in sections 12.a. through 12.d. of this supporting statement. </w:t>
      </w:r>
    </w:p>
    <w:p w14:paraId="2632A02C" w14:textId="77777777" w:rsidR="00715171" w:rsidRPr="00EF7D00" w:rsidRDefault="00715171" w:rsidP="00EF7D00">
      <w:pPr>
        <w:pStyle w:val="NormalWeb"/>
        <w:tabs>
          <w:tab w:val="left" w:pos="360"/>
          <w:tab w:val="left" w:pos="720"/>
          <w:tab w:val="left" w:pos="1080"/>
          <w:tab w:val="left" w:pos="1440"/>
        </w:tabs>
        <w:spacing w:before="0" w:beforeAutospacing="0" w:after="0" w:afterAutospacing="0"/>
      </w:pPr>
    </w:p>
    <w:tbl>
      <w:tblPr>
        <w:tblStyle w:val="TableGrid"/>
        <w:tblW w:w="9360" w:type="dxa"/>
        <w:tblInd w:w="85" w:type="dxa"/>
        <w:tblLayout w:type="fixed"/>
        <w:tblLook w:val="04A0" w:firstRow="1" w:lastRow="0" w:firstColumn="1" w:lastColumn="0" w:noHBand="0" w:noVBand="1"/>
      </w:tblPr>
      <w:tblGrid>
        <w:gridCol w:w="1080"/>
        <w:gridCol w:w="1530"/>
        <w:gridCol w:w="1350"/>
        <w:gridCol w:w="1260"/>
        <w:gridCol w:w="900"/>
        <w:gridCol w:w="990"/>
        <w:gridCol w:w="810"/>
        <w:gridCol w:w="1440"/>
      </w:tblGrid>
      <w:tr w:rsidR="00DC7363" w:rsidRPr="00EF7D00" w14:paraId="1B97FC2B" w14:textId="77777777" w:rsidTr="0009682D">
        <w:trPr>
          <w:trHeight w:val="389"/>
        </w:trPr>
        <w:tc>
          <w:tcPr>
            <w:tcW w:w="9360" w:type="dxa"/>
            <w:gridSpan w:val="8"/>
            <w:vAlign w:val="center"/>
          </w:tcPr>
          <w:p w14:paraId="4A578BB8" w14:textId="77777777" w:rsidR="00DC7363" w:rsidRPr="00EF7D00" w:rsidRDefault="00DC7363" w:rsidP="00DC7363">
            <w:pPr>
              <w:tabs>
                <w:tab w:val="left" w:pos="360"/>
              </w:tabs>
              <w:jc w:val="center"/>
            </w:pPr>
            <w:bookmarkStart w:id="14" w:name="cp466"/>
            <w:bookmarkEnd w:id="13"/>
            <w:r w:rsidRPr="00A60349">
              <w:t xml:space="preserve">Estimation of Total Public Burden: </w:t>
            </w:r>
            <w:r>
              <w:t>Total Reporting</w:t>
            </w:r>
          </w:p>
        </w:tc>
      </w:tr>
      <w:tr w:rsidR="00DC7363" w:rsidRPr="00EF7D00" w14:paraId="569370C6" w14:textId="77777777" w:rsidTr="0009682D">
        <w:trPr>
          <w:trHeight w:val="389"/>
        </w:trPr>
        <w:tc>
          <w:tcPr>
            <w:tcW w:w="1080" w:type="dxa"/>
            <w:vAlign w:val="center"/>
          </w:tcPr>
          <w:p w14:paraId="30B1CDCC" w14:textId="77777777" w:rsidR="00DC7363" w:rsidRPr="00A60349" w:rsidRDefault="00DC7363" w:rsidP="00DC7363">
            <w:pPr>
              <w:pStyle w:val="NormalWeb"/>
              <w:tabs>
                <w:tab w:val="left" w:pos="360"/>
                <w:tab w:val="left" w:pos="720"/>
                <w:tab w:val="left" w:pos="1080"/>
                <w:tab w:val="left" w:pos="1440"/>
              </w:tabs>
              <w:spacing w:before="0" w:beforeAutospacing="0" w:after="0" w:afterAutospacing="0"/>
              <w:jc w:val="center"/>
            </w:pPr>
            <w:r w:rsidRPr="00A60349">
              <w:t>Clause</w:t>
            </w:r>
          </w:p>
          <w:p w14:paraId="3030CC39" w14:textId="77777777" w:rsidR="00DC7363" w:rsidRPr="00DF382A" w:rsidRDefault="00DC7363" w:rsidP="00DC7363">
            <w:pPr>
              <w:pStyle w:val="NormalWeb"/>
              <w:tabs>
                <w:tab w:val="left" w:pos="360"/>
                <w:tab w:val="left" w:pos="720"/>
                <w:tab w:val="left" w:pos="1080"/>
                <w:tab w:val="left" w:pos="1440"/>
              </w:tabs>
              <w:spacing w:before="0" w:beforeAutospacing="0" w:after="0" w:afterAutospacing="0"/>
              <w:jc w:val="center"/>
            </w:pPr>
            <w:r w:rsidRPr="00DF382A">
              <w:t>252.223</w:t>
            </w:r>
            <w:r>
              <w:t>-</w:t>
            </w:r>
          </w:p>
        </w:tc>
        <w:tc>
          <w:tcPr>
            <w:tcW w:w="1530" w:type="dxa"/>
            <w:vAlign w:val="center"/>
          </w:tcPr>
          <w:p w14:paraId="5B177AA0"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center"/>
            </w:pPr>
            <w:r w:rsidRPr="00EF7D00">
              <w:t>Respondents</w:t>
            </w:r>
          </w:p>
        </w:tc>
        <w:tc>
          <w:tcPr>
            <w:tcW w:w="1350" w:type="dxa"/>
            <w:vAlign w:val="center"/>
          </w:tcPr>
          <w:p w14:paraId="2EC836C0" w14:textId="77777777" w:rsidR="00DC7363" w:rsidRDefault="00DC7363" w:rsidP="00DC7363">
            <w:pPr>
              <w:pStyle w:val="NormalWeb"/>
              <w:tabs>
                <w:tab w:val="left" w:pos="360"/>
                <w:tab w:val="left" w:pos="720"/>
                <w:tab w:val="left" w:pos="1080"/>
                <w:tab w:val="left" w:pos="1440"/>
              </w:tabs>
              <w:spacing w:before="0" w:beforeAutospacing="0" w:after="0" w:afterAutospacing="0"/>
              <w:jc w:val="center"/>
            </w:pPr>
            <w:r w:rsidRPr="00EF7D00">
              <w:t>Resp</w:t>
            </w:r>
            <w:r>
              <w:t>onses/</w:t>
            </w:r>
          </w:p>
          <w:p w14:paraId="51E9296F"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center"/>
            </w:pPr>
            <w:r w:rsidRPr="00EF7D00">
              <w:t>Respondent</w:t>
            </w:r>
          </w:p>
        </w:tc>
        <w:tc>
          <w:tcPr>
            <w:tcW w:w="1260" w:type="dxa"/>
            <w:vAlign w:val="center"/>
          </w:tcPr>
          <w:p w14:paraId="78E75E50"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center"/>
            </w:pPr>
            <w:r w:rsidRPr="00EF7D00">
              <w:t>Total Responses</w:t>
            </w:r>
          </w:p>
        </w:tc>
        <w:tc>
          <w:tcPr>
            <w:tcW w:w="900" w:type="dxa"/>
            <w:vAlign w:val="center"/>
          </w:tcPr>
          <w:p w14:paraId="5F1A1ED8"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center"/>
            </w:pPr>
            <w:r w:rsidRPr="00EF7D00">
              <w:t>Hours</w:t>
            </w:r>
            <w:r>
              <w:t>/Resp</w:t>
            </w:r>
          </w:p>
        </w:tc>
        <w:tc>
          <w:tcPr>
            <w:tcW w:w="990" w:type="dxa"/>
            <w:vAlign w:val="center"/>
          </w:tcPr>
          <w:p w14:paraId="081E2102"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center"/>
            </w:pPr>
            <w:r w:rsidRPr="00EF7D00">
              <w:t>Total Hours</w:t>
            </w:r>
          </w:p>
        </w:tc>
        <w:tc>
          <w:tcPr>
            <w:tcW w:w="810" w:type="dxa"/>
            <w:vAlign w:val="center"/>
          </w:tcPr>
          <w:p w14:paraId="06E509B8"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center"/>
            </w:pPr>
            <w:r w:rsidRPr="00EF7D00">
              <w:t>Cost</w:t>
            </w:r>
            <w:r>
              <w:t>/</w:t>
            </w:r>
            <w:r w:rsidRPr="00EF7D00">
              <w:t xml:space="preserve"> Hour</w:t>
            </w:r>
          </w:p>
        </w:tc>
        <w:tc>
          <w:tcPr>
            <w:tcW w:w="1440" w:type="dxa"/>
            <w:vAlign w:val="center"/>
          </w:tcPr>
          <w:p w14:paraId="2C49D272"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center"/>
            </w:pPr>
            <w:r w:rsidRPr="00EF7D00">
              <w:t>Total</w:t>
            </w:r>
          </w:p>
          <w:p w14:paraId="271B1F7B"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center"/>
            </w:pPr>
            <w:r w:rsidRPr="00EF7D00">
              <w:t>Cost</w:t>
            </w:r>
          </w:p>
        </w:tc>
      </w:tr>
      <w:tr w:rsidR="00DC7363" w:rsidRPr="00EF7D00" w14:paraId="14008E20" w14:textId="77777777" w:rsidTr="0009682D">
        <w:trPr>
          <w:trHeight w:val="389"/>
        </w:trPr>
        <w:tc>
          <w:tcPr>
            <w:tcW w:w="1080" w:type="dxa"/>
            <w:vAlign w:val="center"/>
          </w:tcPr>
          <w:p w14:paraId="715A3385" w14:textId="77777777" w:rsidR="00DC7363" w:rsidRPr="00DF382A" w:rsidRDefault="00DC7363" w:rsidP="00DC7363">
            <w:pPr>
              <w:pStyle w:val="NormalWeb"/>
              <w:tabs>
                <w:tab w:val="left" w:pos="360"/>
                <w:tab w:val="left" w:pos="720"/>
                <w:tab w:val="left" w:pos="1080"/>
                <w:tab w:val="left" w:pos="1440"/>
              </w:tabs>
              <w:spacing w:before="0" w:beforeAutospacing="0" w:after="0" w:afterAutospacing="0"/>
            </w:pPr>
            <w:r w:rsidRPr="00DF382A">
              <w:t>-7001</w:t>
            </w:r>
          </w:p>
        </w:tc>
        <w:tc>
          <w:tcPr>
            <w:tcW w:w="1530" w:type="dxa"/>
            <w:vAlign w:val="center"/>
          </w:tcPr>
          <w:p w14:paraId="2C775C1F"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t>3,214</w:t>
            </w:r>
          </w:p>
        </w:tc>
        <w:tc>
          <w:tcPr>
            <w:tcW w:w="1350" w:type="dxa"/>
            <w:vAlign w:val="center"/>
          </w:tcPr>
          <w:p w14:paraId="7A15CCD4"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t>13.79</w:t>
            </w:r>
          </w:p>
        </w:tc>
        <w:tc>
          <w:tcPr>
            <w:tcW w:w="1260" w:type="dxa"/>
            <w:vAlign w:val="center"/>
          </w:tcPr>
          <w:p w14:paraId="315FCA5E"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44,318</w:t>
            </w:r>
          </w:p>
        </w:tc>
        <w:tc>
          <w:tcPr>
            <w:tcW w:w="900" w:type="dxa"/>
            <w:vAlign w:val="center"/>
          </w:tcPr>
          <w:p w14:paraId="42E33A9C"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.79</w:t>
            </w:r>
          </w:p>
        </w:tc>
        <w:tc>
          <w:tcPr>
            <w:tcW w:w="990" w:type="dxa"/>
            <w:vAlign w:val="center"/>
          </w:tcPr>
          <w:p w14:paraId="224C50EF"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35,186</w:t>
            </w:r>
          </w:p>
        </w:tc>
        <w:tc>
          <w:tcPr>
            <w:tcW w:w="810" w:type="dxa"/>
            <w:vAlign w:val="center"/>
          </w:tcPr>
          <w:p w14:paraId="64C9A7A1"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$44</w:t>
            </w:r>
          </w:p>
        </w:tc>
        <w:tc>
          <w:tcPr>
            <w:tcW w:w="1440" w:type="dxa"/>
            <w:vAlign w:val="center"/>
          </w:tcPr>
          <w:p w14:paraId="2730BE48"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$1,537,710</w:t>
            </w:r>
          </w:p>
        </w:tc>
      </w:tr>
      <w:tr w:rsidR="00DC7363" w:rsidRPr="00EF7D00" w14:paraId="4B455D7D" w14:textId="77777777" w:rsidTr="0009682D">
        <w:trPr>
          <w:trHeight w:val="389"/>
        </w:trPr>
        <w:tc>
          <w:tcPr>
            <w:tcW w:w="1080" w:type="dxa"/>
            <w:vAlign w:val="center"/>
          </w:tcPr>
          <w:p w14:paraId="74591D6A" w14:textId="77777777" w:rsidR="00DC7363" w:rsidRPr="00DF382A" w:rsidRDefault="00DC7363" w:rsidP="00DC7363">
            <w:pPr>
              <w:pStyle w:val="NormalWeb"/>
              <w:tabs>
                <w:tab w:val="left" w:pos="360"/>
                <w:tab w:val="left" w:pos="720"/>
                <w:tab w:val="left" w:pos="1080"/>
                <w:tab w:val="left" w:pos="1440"/>
              </w:tabs>
              <w:spacing w:before="0" w:beforeAutospacing="0" w:after="0" w:afterAutospacing="0"/>
            </w:pPr>
            <w:r w:rsidRPr="00DF382A">
              <w:t>-7002</w:t>
            </w:r>
          </w:p>
        </w:tc>
        <w:tc>
          <w:tcPr>
            <w:tcW w:w="1530" w:type="dxa"/>
            <w:vAlign w:val="center"/>
          </w:tcPr>
          <w:p w14:paraId="19CA69C4"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t>332</w:t>
            </w:r>
          </w:p>
        </w:tc>
        <w:tc>
          <w:tcPr>
            <w:tcW w:w="1350" w:type="dxa"/>
            <w:vAlign w:val="center"/>
          </w:tcPr>
          <w:p w14:paraId="05483A3B"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t>6.48</w:t>
            </w:r>
          </w:p>
        </w:tc>
        <w:tc>
          <w:tcPr>
            <w:tcW w:w="1260" w:type="dxa"/>
            <w:vAlign w:val="center"/>
          </w:tcPr>
          <w:p w14:paraId="3EEE9B7C"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2,152</w:t>
            </w:r>
          </w:p>
        </w:tc>
        <w:tc>
          <w:tcPr>
            <w:tcW w:w="900" w:type="dxa"/>
            <w:vAlign w:val="center"/>
          </w:tcPr>
          <w:p w14:paraId="62CFCAC6"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.41</w:t>
            </w:r>
          </w:p>
        </w:tc>
        <w:tc>
          <w:tcPr>
            <w:tcW w:w="990" w:type="dxa"/>
            <w:vAlign w:val="center"/>
          </w:tcPr>
          <w:p w14:paraId="58A2E8E4"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888</w:t>
            </w:r>
          </w:p>
        </w:tc>
        <w:tc>
          <w:tcPr>
            <w:tcW w:w="810" w:type="dxa"/>
            <w:vAlign w:val="center"/>
          </w:tcPr>
          <w:p w14:paraId="7CCD604C"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$40</w:t>
            </w:r>
          </w:p>
        </w:tc>
        <w:tc>
          <w:tcPr>
            <w:tcW w:w="1440" w:type="dxa"/>
            <w:vAlign w:val="center"/>
          </w:tcPr>
          <w:p w14:paraId="6DF42BE8"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$35,610</w:t>
            </w:r>
          </w:p>
        </w:tc>
      </w:tr>
      <w:tr w:rsidR="00DC7363" w:rsidRPr="00EF7D00" w14:paraId="0885004A" w14:textId="77777777" w:rsidTr="0009682D">
        <w:trPr>
          <w:trHeight w:val="389"/>
        </w:trPr>
        <w:tc>
          <w:tcPr>
            <w:tcW w:w="1080" w:type="dxa"/>
            <w:vAlign w:val="center"/>
          </w:tcPr>
          <w:p w14:paraId="3F206824" w14:textId="77777777" w:rsidR="00DC7363" w:rsidRPr="00DF382A" w:rsidRDefault="00DC7363" w:rsidP="00DC7363">
            <w:pPr>
              <w:pStyle w:val="NormalWeb"/>
              <w:tabs>
                <w:tab w:val="left" w:pos="360"/>
                <w:tab w:val="left" w:pos="720"/>
                <w:tab w:val="left" w:pos="1080"/>
                <w:tab w:val="left" w:pos="1440"/>
              </w:tabs>
              <w:spacing w:before="0" w:beforeAutospacing="0" w:after="0" w:afterAutospacing="0"/>
            </w:pPr>
            <w:r w:rsidRPr="00DF382A">
              <w:t>-7003</w:t>
            </w:r>
          </w:p>
        </w:tc>
        <w:tc>
          <w:tcPr>
            <w:tcW w:w="1530" w:type="dxa"/>
            <w:vAlign w:val="center"/>
          </w:tcPr>
          <w:p w14:paraId="5947FDD9"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w:t>
            </w:r>
          </w:p>
        </w:tc>
        <w:tc>
          <w:tcPr>
            <w:tcW w:w="1350" w:type="dxa"/>
            <w:vAlign w:val="center"/>
          </w:tcPr>
          <w:p w14:paraId="39E266B1"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t>8.51</w:t>
            </w:r>
          </w:p>
        </w:tc>
        <w:tc>
          <w:tcPr>
            <w:tcW w:w="1260" w:type="dxa"/>
            <w:vAlign w:val="center"/>
          </w:tcPr>
          <w:p w14:paraId="3D8A6D9E"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2,824</w:t>
            </w:r>
          </w:p>
        </w:tc>
        <w:tc>
          <w:tcPr>
            <w:tcW w:w="900" w:type="dxa"/>
            <w:vAlign w:val="center"/>
          </w:tcPr>
          <w:p w14:paraId="029C0DA9"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1.56</w:t>
            </w:r>
          </w:p>
        </w:tc>
        <w:tc>
          <w:tcPr>
            <w:tcW w:w="990" w:type="dxa"/>
            <w:vAlign w:val="center"/>
          </w:tcPr>
          <w:p w14:paraId="37C4B5E8"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4,395</w:t>
            </w:r>
          </w:p>
        </w:tc>
        <w:tc>
          <w:tcPr>
            <w:tcW w:w="810" w:type="dxa"/>
            <w:vAlign w:val="center"/>
          </w:tcPr>
          <w:p w14:paraId="108350E4"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$37</w:t>
            </w:r>
          </w:p>
        </w:tc>
        <w:tc>
          <w:tcPr>
            <w:tcW w:w="1440" w:type="dxa"/>
            <w:vAlign w:val="center"/>
          </w:tcPr>
          <w:p w14:paraId="18C2E983"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$162,615</w:t>
            </w:r>
          </w:p>
        </w:tc>
      </w:tr>
      <w:tr w:rsidR="00DC7363" w:rsidRPr="00EF7D00" w14:paraId="0044D271" w14:textId="77777777" w:rsidTr="0009682D">
        <w:trPr>
          <w:trHeight w:val="389"/>
        </w:trPr>
        <w:tc>
          <w:tcPr>
            <w:tcW w:w="1080" w:type="dxa"/>
            <w:vAlign w:val="center"/>
          </w:tcPr>
          <w:p w14:paraId="7168C51C" w14:textId="77777777" w:rsidR="00DC7363" w:rsidRPr="00DF382A" w:rsidRDefault="00DC7363" w:rsidP="00DC7363">
            <w:pPr>
              <w:pStyle w:val="NormalWeb"/>
              <w:tabs>
                <w:tab w:val="left" w:pos="360"/>
                <w:tab w:val="left" w:pos="720"/>
                <w:tab w:val="left" w:pos="1080"/>
                <w:tab w:val="left" w:pos="1440"/>
              </w:tabs>
              <w:spacing w:before="0" w:beforeAutospacing="0" w:after="0" w:afterAutospacing="0"/>
            </w:pPr>
            <w:r w:rsidRPr="00DF382A">
              <w:t>-7007</w:t>
            </w:r>
          </w:p>
        </w:tc>
        <w:tc>
          <w:tcPr>
            <w:tcW w:w="1530" w:type="dxa"/>
            <w:vAlign w:val="center"/>
          </w:tcPr>
          <w:p w14:paraId="5B5EC625"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149</w:t>
            </w:r>
          </w:p>
        </w:tc>
        <w:tc>
          <w:tcPr>
            <w:tcW w:w="1350" w:type="dxa"/>
            <w:vAlign w:val="center"/>
          </w:tcPr>
          <w:p w14:paraId="5DE466C3"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1</w:t>
            </w:r>
          </w:p>
        </w:tc>
        <w:tc>
          <w:tcPr>
            <w:tcW w:w="1260" w:type="dxa"/>
            <w:vAlign w:val="center"/>
          </w:tcPr>
          <w:p w14:paraId="1E472135"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149</w:t>
            </w:r>
          </w:p>
        </w:tc>
        <w:tc>
          <w:tcPr>
            <w:tcW w:w="900" w:type="dxa"/>
            <w:vAlign w:val="center"/>
          </w:tcPr>
          <w:p w14:paraId="29D1A3FB"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.5</w:t>
            </w:r>
          </w:p>
        </w:tc>
        <w:tc>
          <w:tcPr>
            <w:tcW w:w="990" w:type="dxa"/>
            <w:vAlign w:val="center"/>
          </w:tcPr>
          <w:p w14:paraId="6A8C90B9"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75</w:t>
            </w:r>
          </w:p>
        </w:tc>
        <w:tc>
          <w:tcPr>
            <w:tcW w:w="810" w:type="dxa"/>
            <w:vAlign w:val="center"/>
          </w:tcPr>
          <w:p w14:paraId="2D99006B"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$45</w:t>
            </w:r>
          </w:p>
        </w:tc>
        <w:tc>
          <w:tcPr>
            <w:tcW w:w="1440" w:type="dxa"/>
            <w:vAlign w:val="center"/>
          </w:tcPr>
          <w:p w14:paraId="61B1E255" w14:textId="77777777" w:rsidR="00DC7363" w:rsidRPr="00EF7D00" w:rsidRDefault="00DC7363" w:rsidP="00DC7363">
            <w:pPr>
              <w:pStyle w:val="NormalWeb"/>
              <w:tabs>
                <w:tab w:val="left" w:pos="360"/>
                <w:tab w:val="left" w:pos="720"/>
                <w:tab w:val="left" w:pos="1080"/>
                <w:tab w:val="left" w:pos="1440"/>
              </w:tabs>
              <w:spacing w:before="0" w:beforeAutospacing="0" w:after="0" w:afterAutospacing="0"/>
              <w:jc w:val="right"/>
            </w:pPr>
            <w:r w:rsidRPr="00EF7D00">
              <w:t>$3,375</w:t>
            </w:r>
          </w:p>
        </w:tc>
      </w:tr>
      <w:tr w:rsidR="00DC7363" w:rsidRPr="00DF382A" w14:paraId="05802A45" w14:textId="77777777" w:rsidTr="0009682D">
        <w:trPr>
          <w:trHeight w:val="389"/>
        </w:trPr>
        <w:tc>
          <w:tcPr>
            <w:tcW w:w="1080" w:type="dxa"/>
            <w:vAlign w:val="center"/>
          </w:tcPr>
          <w:p w14:paraId="6B49DA51" w14:textId="77777777" w:rsidR="00DC7363" w:rsidRPr="00DF382A" w:rsidRDefault="00DC7363" w:rsidP="00DC7363">
            <w:pPr>
              <w:pStyle w:val="NormalWeb"/>
              <w:tabs>
                <w:tab w:val="left" w:pos="360"/>
                <w:tab w:val="left" w:pos="720"/>
                <w:tab w:val="left" w:pos="1080"/>
                <w:tab w:val="left" w:pos="1440"/>
              </w:tabs>
              <w:spacing w:before="0" w:beforeAutospacing="0" w:after="0" w:afterAutospacing="0"/>
            </w:pPr>
            <w:r w:rsidRPr="00DF382A">
              <w:t>TOTAL</w:t>
            </w:r>
          </w:p>
        </w:tc>
        <w:tc>
          <w:tcPr>
            <w:tcW w:w="1530" w:type="dxa"/>
            <w:vAlign w:val="center"/>
          </w:tcPr>
          <w:p w14:paraId="0B494825" w14:textId="77777777" w:rsidR="00DC7363" w:rsidRPr="00DF382A" w:rsidRDefault="00DC7363" w:rsidP="00DC7363">
            <w:pPr>
              <w:pStyle w:val="NormalWeb"/>
              <w:tabs>
                <w:tab w:val="left" w:pos="360"/>
                <w:tab w:val="left" w:pos="720"/>
                <w:tab w:val="left" w:pos="1080"/>
                <w:tab w:val="left" w:pos="1440"/>
              </w:tabs>
              <w:spacing w:before="0" w:beforeAutospacing="0" w:after="0" w:afterAutospacing="0"/>
              <w:jc w:val="right"/>
            </w:pPr>
            <w:r w:rsidRPr="00DF382A">
              <w:t>3,695</w:t>
            </w:r>
          </w:p>
        </w:tc>
        <w:tc>
          <w:tcPr>
            <w:tcW w:w="1350" w:type="dxa"/>
            <w:vAlign w:val="center"/>
          </w:tcPr>
          <w:p w14:paraId="156178E7" w14:textId="77777777" w:rsidR="00DC7363" w:rsidRPr="00DF382A" w:rsidRDefault="00DC7363" w:rsidP="00DC7363">
            <w:pPr>
              <w:pStyle w:val="NormalWeb"/>
              <w:tabs>
                <w:tab w:val="left" w:pos="360"/>
                <w:tab w:val="left" w:pos="720"/>
                <w:tab w:val="left" w:pos="1080"/>
                <w:tab w:val="left" w:pos="1440"/>
              </w:tabs>
              <w:spacing w:before="0" w:beforeAutospacing="0" w:after="0" w:afterAutospacing="0"/>
              <w:jc w:val="right"/>
            </w:pPr>
            <w:r w:rsidRPr="00DF382A">
              <w:t>13.38</w:t>
            </w:r>
          </w:p>
        </w:tc>
        <w:tc>
          <w:tcPr>
            <w:tcW w:w="1260" w:type="dxa"/>
            <w:vAlign w:val="center"/>
          </w:tcPr>
          <w:p w14:paraId="5767F801" w14:textId="77777777" w:rsidR="00DC7363" w:rsidRPr="00DF382A" w:rsidRDefault="00DC7363" w:rsidP="00DC7363">
            <w:pPr>
              <w:pStyle w:val="NormalWeb"/>
              <w:tabs>
                <w:tab w:val="left" w:pos="360"/>
                <w:tab w:val="left" w:pos="720"/>
                <w:tab w:val="left" w:pos="1080"/>
                <w:tab w:val="left" w:pos="1440"/>
              </w:tabs>
              <w:spacing w:before="0" w:beforeAutospacing="0" w:after="0" w:afterAutospacing="0"/>
              <w:jc w:val="right"/>
            </w:pPr>
            <w:r w:rsidRPr="00DF382A">
              <w:t>49,443</w:t>
            </w:r>
          </w:p>
        </w:tc>
        <w:tc>
          <w:tcPr>
            <w:tcW w:w="900" w:type="dxa"/>
            <w:vAlign w:val="center"/>
          </w:tcPr>
          <w:p w14:paraId="4AA22025" w14:textId="77777777" w:rsidR="00DC7363" w:rsidRPr="00DF382A" w:rsidRDefault="00DC7363" w:rsidP="00DC7363">
            <w:pPr>
              <w:pStyle w:val="NormalWeb"/>
              <w:tabs>
                <w:tab w:val="left" w:pos="360"/>
                <w:tab w:val="left" w:pos="720"/>
                <w:tab w:val="left" w:pos="1080"/>
                <w:tab w:val="left" w:pos="1440"/>
              </w:tabs>
              <w:spacing w:before="0" w:beforeAutospacing="0" w:after="0" w:afterAutospacing="0"/>
              <w:jc w:val="right"/>
            </w:pPr>
            <w:r w:rsidRPr="00DF382A">
              <w:t>0.82</w:t>
            </w:r>
          </w:p>
        </w:tc>
        <w:tc>
          <w:tcPr>
            <w:tcW w:w="990" w:type="dxa"/>
            <w:vAlign w:val="center"/>
          </w:tcPr>
          <w:p w14:paraId="48B806DB" w14:textId="77777777" w:rsidR="00DC7363" w:rsidRPr="00DF382A" w:rsidRDefault="00DC7363" w:rsidP="00DC7363">
            <w:pPr>
              <w:pStyle w:val="NormalWeb"/>
              <w:tabs>
                <w:tab w:val="left" w:pos="360"/>
                <w:tab w:val="left" w:pos="720"/>
                <w:tab w:val="left" w:pos="1080"/>
                <w:tab w:val="left" w:pos="1440"/>
              </w:tabs>
              <w:spacing w:before="0" w:beforeAutospacing="0" w:after="0" w:afterAutospacing="0"/>
              <w:jc w:val="right"/>
            </w:pPr>
            <w:r w:rsidRPr="00DF382A">
              <w:t>40,544</w:t>
            </w:r>
          </w:p>
        </w:tc>
        <w:tc>
          <w:tcPr>
            <w:tcW w:w="810" w:type="dxa"/>
            <w:vAlign w:val="center"/>
          </w:tcPr>
          <w:p w14:paraId="56EBCA1C" w14:textId="77777777" w:rsidR="00DC7363" w:rsidRPr="00DF382A" w:rsidRDefault="00DC7363" w:rsidP="00DC7363">
            <w:pPr>
              <w:pStyle w:val="NormalWeb"/>
              <w:tabs>
                <w:tab w:val="left" w:pos="360"/>
                <w:tab w:val="left" w:pos="720"/>
                <w:tab w:val="left" w:pos="1080"/>
                <w:tab w:val="left" w:pos="1440"/>
              </w:tabs>
              <w:spacing w:before="0" w:beforeAutospacing="0" w:after="0" w:afterAutospacing="0"/>
              <w:jc w:val="right"/>
            </w:pPr>
            <w:r w:rsidRPr="00DF382A">
              <w:t>$43</w:t>
            </w:r>
          </w:p>
        </w:tc>
        <w:tc>
          <w:tcPr>
            <w:tcW w:w="1440" w:type="dxa"/>
            <w:vAlign w:val="center"/>
          </w:tcPr>
          <w:p w14:paraId="2EB58A1C" w14:textId="77777777" w:rsidR="00DC7363" w:rsidRPr="00DF382A" w:rsidRDefault="00DC7363" w:rsidP="00DC7363">
            <w:pPr>
              <w:pStyle w:val="NormalWeb"/>
              <w:tabs>
                <w:tab w:val="left" w:pos="360"/>
                <w:tab w:val="left" w:pos="720"/>
                <w:tab w:val="left" w:pos="1080"/>
                <w:tab w:val="left" w:pos="1440"/>
              </w:tabs>
              <w:spacing w:before="0" w:beforeAutospacing="0" w:after="0" w:afterAutospacing="0"/>
              <w:jc w:val="right"/>
            </w:pPr>
            <w:r w:rsidRPr="00DF382A">
              <w:t>$1,739,310</w:t>
            </w:r>
          </w:p>
        </w:tc>
      </w:tr>
    </w:tbl>
    <w:p w14:paraId="096DC6FD" w14:textId="77777777" w:rsidR="006918BD" w:rsidRDefault="006918BD" w:rsidP="00EF7D00">
      <w:pPr>
        <w:pStyle w:val="NormalWeb"/>
        <w:tabs>
          <w:tab w:val="left" w:pos="360"/>
          <w:tab w:val="left" w:pos="720"/>
          <w:tab w:val="left" w:pos="1080"/>
          <w:tab w:val="left" w:pos="1440"/>
        </w:tabs>
        <w:spacing w:before="0" w:beforeAutospacing="0" w:after="0" w:afterAutospacing="0"/>
        <w:rPr>
          <w:i/>
        </w:rPr>
      </w:pPr>
    </w:p>
    <w:p w14:paraId="28B970AA" w14:textId="08447ACC" w:rsidR="0044081E" w:rsidRPr="0009682D" w:rsidRDefault="002F3B8D" w:rsidP="00EF7D00">
      <w:pPr>
        <w:pStyle w:val="NormalWeb"/>
        <w:tabs>
          <w:tab w:val="left" w:pos="360"/>
          <w:tab w:val="left" w:pos="720"/>
          <w:tab w:val="left" w:pos="1080"/>
          <w:tab w:val="left" w:pos="1440"/>
        </w:tabs>
        <w:spacing w:before="0" w:beforeAutospacing="0" w:after="0" w:afterAutospacing="0"/>
        <w:rPr>
          <w:i/>
        </w:rPr>
      </w:pPr>
      <w:r>
        <w:rPr>
          <w:i/>
        </w:rPr>
        <w:tab/>
      </w:r>
      <w:r w:rsidR="00926C15">
        <w:rPr>
          <w:i/>
        </w:rPr>
        <w:t>*</w:t>
      </w:r>
      <w:r w:rsidR="006918BD">
        <w:rPr>
          <w:i/>
        </w:rPr>
        <w:t xml:space="preserve"> </w:t>
      </w:r>
      <w:r>
        <w:rPr>
          <w:i/>
        </w:rPr>
        <w:t>NOTE:</w:t>
      </w:r>
      <w:r w:rsidRPr="0009682D">
        <w:rPr>
          <w:i/>
        </w:rPr>
        <w:t xml:space="preserve"> </w:t>
      </w:r>
      <w:r w:rsidR="00AF1582" w:rsidRPr="0009682D">
        <w:rPr>
          <w:i/>
        </w:rPr>
        <w:t>Respondents to 252.223-7003 are the same respondents to 252.223-7002</w:t>
      </w:r>
      <w:r w:rsidR="0092510B" w:rsidRPr="0009682D">
        <w:rPr>
          <w:i/>
        </w:rPr>
        <w:t>, and therefore not additive.</w:t>
      </w:r>
    </w:p>
    <w:p w14:paraId="4C81F9CC" w14:textId="77777777" w:rsidR="0092510B" w:rsidRPr="00EF7D00" w:rsidRDefault="0092510B" w:rsidP="00EF7D00">
      <w:pPr>
        <w:pStyle w:val="NormalWeb"/>
        <w:tabs>
          <w:tab w:val="left" w:pos="360"/>
          <w:tab w:val="left" w:pos="720"/>
          <w:tab w:val="left" w:pos="1080"/>
          <w:tab w:val="left" w:pos="1440"/>
        </w:tabs>
        <w:spacing w:before="0" w:beforeAutospacing="0" w:after="0" w:afterAutospacing="0"/>
        <w:rPr>
          <w:b/>
        </w:rPr>
      </w:pPr>
    </w:p>
    <w:p w14:paraId="63CF228A" w14:textId="08FD5AB4" w:rsidR="00A60349" w:rsidRPr="00EF7D00" w:rsidRDefault="00DC7363" w:rsidP="00A60349">
      <w:pPr>
        <w:tabs>
          <w:tab w:val="left" w:pos="360"/>
        </w:tabs>
      </w:pPr>
      <w:r>
        <w:tab/>
      </w:r>
      <w:r>
        <w:tab/>
        <w:t xml:space="preserve">ii.  </w:t>
      </w:r>
      <w:r w:rsidR="00A60349">
        <w:rPr>
          <w:u w:val="single"/>
        </w:rPr>
        <w:t>R</w:t>
      </w:r>
      <w:r w:rsidR="00A60349" w:rsidRPr="00DF382A">
        <w:rPr>
          <w:u w:val="single"/>
        </w:rPr>
        <w:t>ecordkeeping</w:t>
      </w:r>
      <w:r w:rsidR="00A60349" w:rsidRPr="00EF7D00">
        <w:t>:</w:t>
      </w:r>
      <w:r>
        <w:t xml:space="preserve">  The following is a summary of the recordkeeping burden described in section 12.e. of this supporting statement. </w:t>
      </w:r>
    </w:p>
    <w:p w14:paraId="1C6D0677" w14:textId="77777777" w:rsidR="00A60349" w:rsidRDefault="00A60349" w:rsidP="00A60349">
      <w:pPr>
        <w:tabs>
          <w:tab w:val="left" w:pos="360"/>
        </w:tabs>
        <w:rPr>
          <w:b/>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4410"/>
      </w:tblGrid>
      <w:tr w:rsidR="00A60349" w:rsidRPr="00EF7D00" w14:paraId="6995EC88" w14:textId="77777777" w:rsidTr="0009682D">
        <w:trPr>
          <w:trHeight w:val="389"/>
        </w:trPr>
        <w:tc>
          <w:tcPr>
            <w:tcW w:w="9360" w:type="dxa"/>
            <w:gridSpan w:val="2"/>
            <w:vAlign w:val="center"/>
          </w:tcPr>
          <w:p w14:paraId="4BE6A006" w14:textId="417A1775" w:rsidR="00A60349" w:rsidRPr="00EF7D00" w:rsidRDefault="00A60349" w:rsidP="0009682D">
            <w:pPr>
              <w:tabs>
                <w:tab w:val="left" w:pos="360"/>
              </w:tabs>
              <w:jc w:val="center"/>
            </w:pPr>
            <w:r w:rsidRPr="00A60349">
              <w:t xml:space="preserve">Estimation of Total Public Burden: </w:t>
            </w:r>
            <w:r w:rsidR="00887ED1">
              <w:t xml:space="preserve">Total </w:t>
            </w:r>
            <w:r w:rsidRPr="00A60349">
              <w:t>Recordkeeping</w:t>
            </w:r>
          </w:p>
        </w:tc>
      </w:tr>
      <w:tr w:rsidR="00A60349" w:rsidRPr="00EF7D00" w14:paraId="273FC036" w14:textId="77777777" w:rsidTr="0009682D">
        <w:trPr>
          <w:trHeight w:val="389"/>
        </w:trPr>
        <w:tc>
          <w:tcPr>
            <w:tcW w:w="4950" w:type="dxa"/>
            <w:vAlign w:val="center"/>
          </w:tcPr>
          <w:p w14:paraId="1D9DC026" w14:textId="77777777" w:rsidR="00A60349" w:rsidRPr="00EF7D00" w:rsidRDefault="00A60349" w:rsidP="00DC7363">
            <w:pPr>
              <w:tabs>
                <w:tab w:val="left" w:pos="360"/>
              </w:tabs>
            </w:pPr>
            <w:r>
              <w:t xml:space="preserve">Total </w:t>
            </w:r>
            <w:r w:rsidRPr="00EF7D00">
              <w:t>Recordkeepers</w:t>
            </w:r>
          </w:p>
        </w:tc>
        <w:tc>
          <w:tcPr>
            <w:tcW w:w="4410" w:type="dxa"/>
            <w:vAlign w:val="center"/>
          </w:tcPr>
          <w:p w14:paraId="47E13F21" w14:textId="77777777" w:rsidR="00A60349" w:rsidRPr="00EF7D00" w:rsidRDefault="00A60349" w:rsidP="00DC7363">
            <w:pPr>
              <w:tabs>
                <w:tab w:val="left" w:pos="360"/>
              </w:tabs>
              <w:jc w:val="right"/>
            </w:pPr>
            <w:r w:rsidRPr="00EF7D00">
              <w:t>12,610</w:t>
            </w:r>
          </w:p>
        </w:tc>
      </w:tr>
      <w:tr w:rsidR="00A60349" w:rsidRPr="00EF7D00" w14:paraId="60E5F4C8" w14:textId="77777777" w:rsidTr="0009682D">
        <w:trPr>
          <w:trHeight w:val="389"/>
        </w:trPr>
        <w:tc>
          <w:tcPr>
            <w:tcW w:w="4950" w:type="dxa"/>
            <w:vAlign w:val="center"/>
          </w:tcPr>
          <w:p w14:paraId="53BDAEAF" w14:textId="77777777" w:rsidR="00A60349" w:rsidRPr="00EF7D00" w:rsidRDefault="00A60349" w:rsidP="00DC7363">
            <w:pPr>
              <w:tabs>
                <w:tab w:val="left" w:pos="360"/>
              </w:tabs>
            </w:pPr>
            <w:r w:rsidRPr="00EF7D00">
              <w:t>Total Annual Burden Hours</w:t>
            </w:r>
          </w:p>
        </w:tc>
        <w:tc>
          <w:tcPr>
            <w:tcW w:w="4410" w:type="dxa"/>
            <w:vAlign w:val="center"/>
          </w:tcPr>
          <w:p w14:paraId="2EE34BF6" w14:textId="77777777" w:rsidR="00A60349" w:rsidRPr="00EF7D00" w:rsidRDefault="00A60349" w:rsidP="00DC7363">
            <w:pPr>
              <w:tabs>
                <w:tab w:val="left" w:pos="360"/>
              </w:tabs>
              <w:jc w:val="right"/>
            </w:pPr>
            <w:r w:rsidRPr="00EF7D00">
              <w:t>6</w:t>
            </w:r>
            <w:r>
              <w:t>0</w:t>
            </w:r>
            <w:r w:rsidRPr="00EF7D00">
              <w:t>5,200</w:t>
            </w:r>
          </w:p>
        </w:tc>
      </w:tr>
      <w:tr w:rsidR="00A60349" w:rsidRPr="00EF7D00" w14:paraId="0E097EF0" w14:textId="77777777" w:rsidTr="0009682D">
        <w:trPr>
          <w:trHeight w:val="389"/>
        </w:trPr>
        <w:tc>
          <w:tcPr>
            <w:tcW w:w="4950" w:type="dxa"/>
            <w:vAlign w:val="center"/>
          </w:tcPr>
          <w:p w14:paraId="70EC8361" w14:textId="77777777" w:rsidR="00A60349" w:rsidRPr="00EF7D00" w:rsidRDefault="00A60349" w:rsidP="00DC7363">
            <w:pPr>
              <w:tabs>
                <w:tab w:val="left" w:pos="360"/>
              </w:tabs>
            </w:pPr>
            <w:r w:rsidRPr="00EF7D00">
              <w:t>Total Cost</w:t>
            </w:r>
          </w:p>
        </w:tc>
        <w:tc>
          <w:tcPr>
            <w:tcW w:w="4410" w:type="dxa"/>
            <w:vAlign w:val="center"/>
          </w:tcPr>
          <w:p w14:paraId="3C792191" w14:textId="77777777" w:rsidR="00A60349" w:rsidRPr="00EF7D00" w:rsidRDefault="00A60349" w:rsidP="00DC7363">
            <w:pPr>
              <w:tabs>
                <w:tab w:val="left" w:pos="360"/>
              </w:tabs>
              <w:jc w:val="right"/>
            </w:pPr>
            <w:r w:rsidRPr="00EF7D00">
              <w:t>$</w:t>
            </w:r>
            <w:r>
              <w:t>26,222,800</w:t>
            </w:r>
          </w:p>
        </w:tc>
      </w:tr>
    </w:tbl>
    <w:p w14:paraId="6603C98B" w14:textId="77777777" w:rsidR="00A60349" w:rsidRDefault="00A60349" w:rsidP="00EF7D00">
      <w:pPr>
        <w:pStyle w:val="NormalWeb"/>
        <w:tabs>
          <w:tab w:val="left" w:pos="360"/>
          <w:tab w:val="left" w:pos="720"/>
          <w:tab w:val="left" w:pos="1080"/>
          <w:tab w:val="left" w:pos="1440"/>
        </w:tabs>
        <w:spacing w:before="0" w:beforeAutospacing="0" w:after="0" w:afterAutospacing="0"/>
      </w:pPr>
    </w:p>
    <w:p w14:paraId="4DD1198D" w14:textId="25326D04" w:rsidR="00715171" w:rsidRPr="00EF7D00" w:rsidRDefault="006918BD" w:rsidP="0009682D">
      <w:pPr>
        <w:pStyle w:val="NormalWeb"/>
        <w:tabs>
          <w:tab w:val="left" w:pos="360"/>
          <w:tab w:val="left" w:pos="720"/>
          <w:tab w:val="left" w:pos="1440"/>
        </w:tabs>
        <w:spacing w:before="0" w:beforeAutospacing="0" w:after="0" w:afterAutospacing="0"/>
      </w:pPr>
      <w:r>
        <w:tab/>
      </w:r>
      <w:r>
        <w:tab/>
        <w:t xml:space="preserve">iii.  </w:t>
      </w:r>
      <w:r w:rsidR="006F0533" w:rsidRPr="0009682D">
        <w:rPr>
          <w:u w:val="single"/>
        </w:rPr>
        <w:t xml:space="preserve">Reporting </w:t>
      </w:r>
      <w:r w:rsidR="00971467" w:rsidRPr="0009682D">
        <w:rPr>
          <w:u w:val="single"/>
        </w:rPr>
        <w:t>and</w:t>
      </w:r>
      <w:r w:rsidR="006F0533" w:rsidRPr="0009682D">
        <w:rPr>
          <w:u w:val="single"/>
        </w:rPr>
        <w:t xml:space="preserve"> Recordkeeping</w:t>
      </w:r>
      <w:r w:rsidR="00971467">
        <w:t>:</w:t>
      </w:r>
      <w:r w:rsidR="00DC7363">
        <w:t xml:space="preserve">  The following is a summary of the total public </w:t>
      </w:r>
      <w:r>
        <w:t xml:space="preserve">burden, including reporting and recordkeeping described in sections 12.a. through 12.e. of this supporting statement. </w:t>
      </w:r>
    </w:p>
    <w:p w14:paraId="39DE7B75" w14:textId="77777777" w:rsidR="006F0533" w:rsidRPr="00EF7D00" w:rsidRDefault="006F0533" w:rsidP="00EF7D00">
      <w:pPr>
        <w:pStyle w:val="NormalWeb"/>
        <w:tabs>
          <w:tab w:val="left" w:pos="360"/>
          <w:tab w:val="left" w:pos="720"/>
          <w:tab w:val="left" w:pos="1080"/>
          <w:tab w:val="left" w:pos="1440"/>
        </w:tabs>
        <w:spacing w:before="0" w:beforeAutospacing="0" w:after="0" w:afterAutospacing="0"/>
      </w:pPr>
    </w:p>
    <w:tbl>
      <w:tblPr>
        <w:tblStyle w:val="TableGrid"/>
        <w:tblW w:w="0" w:type="auto"/>
        <w:tblInd w:w="85" w:type="dxa"/>
        <w:tblLook w:val="04A0" w:firstRow="1" w:lastRow="0" w:firstColumn="1" w:lastColumn="0" w:noHBand="0" w:noVBand="1"/>
      </w:tblPr>
      <w:tblGrid>
        <w:gridCol w:w="7020"/>
        <w:gridCol w:w="2245"/>
      </w:tblGrid>
      <w:tr w:rsidR="007937A5" w:rsidRPr="00EF7D00" w14:paraId="1A039AA6" w14:textId="77777777" w:rsidTr="0009682D">
        <w:trPr>
          <w:trHeight w:val="389"/>
        </w:trPr>
        <w:tc>
          <w:tcPr>
            <w:tcW w:w="9265" w:type="dxa"/>
            <w:gridSpan w:val="2"/>
            <w:vAlign w:val="center"/>
          </w:tcPr>
          <w:p w14:paraId="06482D6E" w14:textId="2D8B2889" w:rsidR="007937A5" w:rsidRPr="0009682D" w:rsidRDefault="007937A5" w:rsidP="0009682D">
            <w:pPr>
              <w:pStyle w:val="NormalWeb"/>
              <w:tabs>
                <w:tab w:val="left" w:pos="360"/>
                <w:tab w:val="left" w:pos="720"/>
                <w:tab w:val="left" w:pos="1080"/>
                <w:tab w:val="left" w:pos="1440"/>
              </w:tabs>
              <w:spacing w:before="0" w:beforeAutospacing="0" w:after="0" w:afterAutospacing="0"/>
              <w:jc w:val="center"/>
            </w:pPr>
            <w:r w:rsidRPr="0009682D">
              <w:t xml:space="preserve">Estimation of </w:t>
            </w:r>
            <w:r w:rsidR="00A60349">
              <w:t xml:space="preserve">Public </w:t>
            </w:r>
            <w:r w:rsidRPr="0009682D">
              <w:t xml:space="preserve">Burden: </w:t>
            </w:r>
            <w:r w:rsidR="00887ED1">
              <w:t xml:space="preserve">Total </w:t>
            </w:r>
            <w:r w:rsidR="00A60349">
              <w:t>Reporting and</w:t>
            </w:r>
            <w:r w:rsidRPr="0009682D">
              <w:t xml:space="preserve"> Recordkeeping</w:t>
            </w:r>
          </w:p>
        </w:tc>
      </w:tr>
      <w:tr w:rsidR="006F0533" w:rsidRPr="00EF7D00" w14:paraId="7096870F" w14:textId="77777777" w:rsidTr="0009682D">
        <w:trPr>
          <w:trHeight w:val="389"/>
        </w:trPr>
        <w:tc>
          <w:tcPr>
            <w:tcW w:w="7020" w:type="dxa"/>
            <w:vAlign w:val="center"/>
          </w:tcPr>
          <w:p w14:paraId="175082F0" w14:textId="6867E697" w:rsidR="006F0533" w:rsidRPr="00EF7D00" w:rsidRDefault="007937A5" w:rsidP="00EF7D00">
            <w:pPr>
              <w:pStyle w:val="NormalWeb"/>
              <w:tabs>
                <w:tab w:val="left" w:pos="360"/>
                <w:tab w:val="left" w:pos="720"/>
                <w:tab w:val="left" w:pos="1080"/>
                <w:tab w:val="left" w:pos="1440"/>
              </w:tabs>
              <w:spacing w:before="0" w:beforeAutospacing="0" w:after="0" w:afterAutospacing="0"/>
            </w:pPr>
            <w:r w:rsidRPr="00EF7D00">
              <w:t xml:space="preserve">Number of Respondents </w:t>
            </w:r>
          </w:p>
        </w:tc>
        <w:tc>
          <w:tcPr>
            <w:tcW w:w="2245" w:type="dxa"/>
            <w:vAlign w:val="center"/>
          </w:tcPr>
          <w:p w14:paraId="06BBE03F" w14:textId="25640406" w:rsidR="006F0533" w:rsidRPr="00EF7D00" w:rsidRDefault="0050550D" w:rsidP="00EF7D00">
            <w:pPr>
              <w:pStyle w:val="NormalWeb"/>
              <w:tabs>
                <w:tab w:val="left" w:pos="360"/>
                <w:tab w:val="left" w:pos="720"/>
                <w:tab w:val="left" w:pos="1080"/>
                <w:tab w:val="left" w:pos="1440"/>
              </w:tabs>
              <w:spacing w:before="0" w:beforeAutospacing="0" w:after="0" w:afterAutospacing="0"/>
              <w:jc w:val="right"/>
            </w:pPr>
            <w:r>
              <w:t>3,695</w:t>
            </w:r>
          </w:p>
        </w:tc>
      </w:tr>
      <w:tr w:rsidR="006F0533" w:rsidRPr="00EF7D00" w14:paraId="0BEE8076" w14:textId="77777777" w:rsidTr="0009682D">
        <w:trPr>
          <w:trHeight w:val="389"/>
        </w:trPr>
        <w:tc>
          <w:tcPr>
            <w:tcW w:w="7020" w:type="dxa"/>
            <w:vAlign w:val="center"/>
          </w:tcPr>
          <w:p w14:paraId="59C830CD" w14:textId="30DAC0DC" w:rsidR="006F0533" w:rsidRPr="00EF7D00" w:rsidRDefault="00CB324A" w:rsidP="00F106A6">
            <w:pPr>
              <w:pStyle w:val="NormalWeb"/>
              <w:tabs>
                <w:tab w:val="left" w:pos="360"/>
                <w:tab w:val="left" w:pos="720"/>
                <w:tab w:val="left" w:pos="1080"/>
                <w:tab w:val="left" w:pos="1440"/>
              </w:tabs>
              <w:spacing w:before="0" w:beforeAutospacing="0" w:after="0" w:afterAutospacing="0"/>
            </w:pPr>
            <w:r w:rsidRPr="00EF7D00">
              <w:t>Responses per Respondent</w:t>
            </w:r>
            <w:r w:rsidR="00F106A6">
              <w:t xml:space="preserve"> (</w:t>
            </w:r>
            <w:r w:rsidR="00B70A7B" w:rsidRPr="00EF7D00">
              <w:t>approximately</w:t>
            </w:r>
            <w:r w:rsidR="00F106A6">
              <w:t>)</w:t>
            </w:r>
          </w:p>
        </w:tc>
        <w:tc>
          <w:tcPr>
            <w:tcW w:w="2245" w:type="dxa"/>
            <w:vAlign w:val="center"/>
          </w:tcPr>
          <w:p w14:paraId="7005071B" w14:textId="08904880" w:rsidR="006F0533" w:rsidRPr="00EF7D00" w:rsidRDefault="00556B5E" w:rsidP="00F106A6">
            <w:pPr>
              <w:pStyle w:val="NormalWeb"/>
              <w:tabs>
                <w:tab w:val="left" w:pos="360"/>
                <w:tab w:val="left" w:pos="720"/>
                <w:tab w:val="left" w:pos="1080"/>
                <w:tab w:val="left" w:pos="1440"/>
              </w:tabs>
              <w:spacing w:before="0" w:beforeAutospacing="0" w:after="0" w:afterAutospacing="0"/>
              <w:jc w:val="right"/>
            </w:pPr>
            <w:r>
              <w:t>16.</w:t>
            </w:r>
            <w:r w:rsidR="00F106A6">
              <w:t>8</w:t>
            </w:r>
          </w:p>
        </w:tc>
      </w:tr>
      <w:tr w:rsidR="006F0533" w:rsidRPr="00EF7D00" w14:paraId="0F1C0D69" w14:textId="77777777" w:rsidTr="0009682D">
        <w:trPr>
          <w:trHeight w:val="389"/>
        </w:trPr>
        <w:tc>
          <w:tcPr>
            <w:tcW w:w="7020" w:type="dxa"/>
            <w:vAlign w:val="center"/>
          </w:tcPr>
          <w:p w14:paraId="57C2E6D6" w14:textId="1A511FAB" w:rsidR="006F0533" w:rsidRPr="00EF7D00" w:rsidRDefault="00CB324A" w:rsidP="00EF7D00">
            <w:pPr>
              <w:pStyle w:val="NormalWeb"/>
              <w:tabs>
                <w:tab w:val="left" w:pos="360"/>
                <w:tab w:val="left" w:pos="720"/>
                <w:tab w:val="left" w:pos="1080"/>
                <w:tab w:val="left" w:pos="1440"/>
              </w:tabs>
              <w:spacing w:before="0" w:beforeAutospacing="0" w:after="0" w:afterAutospacing="0"/>
            </w:pPr>
            <w:r w:rsidRPr="00EF7D00">
              <w:t>Number of Responses (</w:t>
            </w:r>
            <w:r w:rsidR="00B70A7B" w:rsidRPr="00EF7D00">
              <w:t xml:space="preserve">49,443 </w:t>
            </w:r>
            <w:r w:rsidRPr="00EF7D00">
              <w:t xml:space="preserve">responses + </w:t>
            </w:r>
            <w:r w:rsidR="00B70A7B" w:rsidRPr="00EF7D00">
              <w:t xml:space="preserve">12,610 </w:t>
            </w:r>
            <w:r w:rsidRPr="00EF7D00">
              <w:t>recordkeepers</w:t>
            </w:r>
            <w:r w:rsidR="00B70A7B" w:rsidRPr="00EF7D00">
              <w:t>)</w:t>
            </w:r>
          </w:p>
        </w:tc>
        <w:tc>
          <w:tcPr>
            <w:tcW w:w="2245" w:type="dxa"/>
            <w:vAlign w:val="center"/>
          </w:tcPr>
          <w:p w14:paraId="6B1E93E1" w14:textId="1F49A36C" w:rsidR="006F0533" w:rsidRPr="00EF7D00" w:rsidRDefault="00B70A7B" w:rsidP="00EF7D00">
            <w:pPr>
              <w:pStyle w:val="NormalWeb"/>
              <w:tabs>
                <w:tab w:val="left" w:pos="360"/>
                <w:tab w:val="left" w:pos="720"/>
                <w:tab w:val="left" w:pos="1080"/>
                <w:tab w:val="left" w:pos="1440"/>
              </w:tabs>
              <w:spacing w:before="0" w:beforeAutospacing="0" w:after="0" w:afterAutospacing="0"/>
              <w:jc w:val="right"/>
            </w:pPr>
            <w:r w:rsidRPr="00EF7D00">
              <w:t>62,053</w:t>
            </w:r>
          </w:p>
        </w:tc>
      </w:tr>
      <w:tr w:rsidR="006F0533" w:rsidRPr="00EF7D00" w14:paraId="510E38C0" w14:textId="77777777" w:rsidTr="0009682D">
        <w:trPr>
          <w:trHeight w:val="389"/>
        </w:trPr>
        <w:tc>
          <w:tcPr>
            <w:tcW w:w="7020" w:type="dxa"/>
            <w:vAlign w:val="center"/>
          </w:tcPr>
          <w:p w14:paraId="423B338F" w14:textId="642D4DCF" w:rsidR="006F0533" w:rsidRPr="00EF7D00" w:rsidRDefault="00CB324A" w:rsidP="00EF7D00">
            <w:pPr>
              <w:pStyle w:val="NormalWeb"/>
              <w:tabs>
                <w:tab w:val="left" w:pos="360"/>
                <w:tab w:val="left" w:pos="720"/>
                <w:tab w:val="left" w:pos="1080"/>
                <w:tab w:val="left" w:pos="1440"/>
              </w:tabs>
              <w:spacing w:before="0" w:beforeAutospacing="0" w:after="0" w:afterAutospacing="0"/>
            </w:pPr>
            <w:r w:rsidRPr="00EF7D00">
              <w:t>Hours per Response</w:t>
            </w:r>
            <w:r w:rsidR="00B70A7B" w:rsidRPr="00EF7D00">
              <w:t xml:space="preserve"> </w:t>
            </w:r>
            <w:r w:rsidR="00F106A6">
              <w:t>(</w:t>
            </w:r>
            <w:r w:rsidR="00B70A7B" w:rsidRPr="00EF7D00">
              <w:t>approximately</w:t>
            </w:r>
            <w:r w:rsidR="00F106A6">
              <w:t>)</w:t>
            </w:r>
          </w:p>
        </w:tc>
        <w:tc>
          <w:tcPr>
            <w:tcW w:w="2245" w:type="dxa"/>
            <w:vAlign w:val="center"/>
          </w:tcPr>
          <w:p w14:paraId="7435DA8D" w14:textId="35AC8809" w:rsidR="006F0533" w:rsidRPr="00EF7D00" w:rsidRDefault="00A44C89" w:rsidP="00F106A6">
            <w:pPr>
              <w:pStyle w:val="NormalWeb"/>
              <w:tabs>
                <w:tab w:val="left" w:pos="360"/>
                <w:tab w:val="left" w:pos="720"/>
                <w:tab w:val="left" w:pos="1080"/>
                <w:tab w:val="left" w:pos="1440"/>
              </w:tabs>
              <w:spacing w:before="0" w:beforeAutospacing="0" w:after="0" w:afterAutospacing="0"/>
              <w:jc w:val="right"/>
            </w:pPr>
            <w:r w:rsidRPr="00EF7D00">
              <w:t>10.</w:t>
            </w:r>
            <w:r w:rsidR="00556B5E">
              <w:t>4</w:t>
            </w:r>
          </w:p>
        </w:tc>
      </w:tr>
      <w:tr w:rsidR="006F0533" w:rsidRPr="00EF7D00" w14:paraId="539FE66F" w14:textId="77777777" w:rsidTr="0009682D">
        <w:trPr>
          <w:trHeight w:val="389"/>
        </w:trPr>
        <w:tc>
          <w:tcPr>
            <w:tcW w:w="7020" w:type="dxa"/>
            <w:vAlign w:val="center"/>
          </w:tcPr>
          <w:p w14:paraId="29A3FC63" w14:textId="23336D1A" w:rsidR="006F0533" w:rsidRPr="00EF7D00" w:rsidRDefault="00CB324A" w:rsidP="0050550D">
            <w:pPr>
              <w:pStyle w:val="NormalWeb"/>
              <w:tabs>
                <w:tab w:val="left" w:pos="360"/>
                <w:tab w:val="left" w:pos="720"/>
                <w:tab w:val="left" w:pos="1080"/>
                <w:tab w:val="left" w:pos="1440"/>
              </w:tabs>
              <w:spacing w:before="0" w:beforeAutospacing="0" w:after="0" w:afterAutospacing="0"/>
            </w:pPr>
            <w:r w:rsidRPr="00EF7D00">
              <w:t>Total Estimated Hours (</w:t>
            </w:r>
            <w:r w:rsidR="00B70A7B" w:rsidRPr="00EF7D00">
              <w:t xml:space="preserve">40,544 burden + </w:t>
            </w:r>
            <w:r w:rsidR="0092510B" w:rsidRPr="00EF7D00">
              <w:t>6</w:t>
            </w:r>
            <w:r w:rsidR="0050550D">
              <w:t>0</w:t>
            </w:r>
            <w:r w:rsidR="0092510B" w:rsidRPr="00EF7D00">
              <w:t>5,200</w:t>
            </w:r>
            <w:r w:rsidR="00B70A7B" w:rsidRPr="00EF7D00">
              <w:t xml:space="preserve"> recordkeeping)</w:t>
            </w:r>
          </w:p>
        </w:tc>
        <w:tc>
          <w:tcPr>
            <w:tcW w:w="2245" w:type="dxa"/>
            <w:vAlign w:val="center"/>
          </w:tcPr>
          <w:p w14:paraId="13162541" w14:textId="07882A0C" w:rsidR="006F0533" w:rsidRPr="00EF7D00" w:rsidRDefault="0092510B" w:rsidP="00556B5E">
            <w:pPr>
              <w:pStyle w:val="NormalWeb"/>
              <w:tabs>
                <w:tab w:val="left" w:pos="360"/>
                <w:tab w:val="left" w:pos="720"/>
                <w:tab w:val="left" w:pos="1080"/>
                <w:tab w:val="left" w:pos="1440"/>
              </w:tabs>
              <w:spacing w:before="0" w:beforeAutospacing="0" w:after="0" w:afterAutospacing="0"/>
              <w:jc w:val="right"/>
            </w:pPr>
            <w:r w:rsidRPr="00EF7D00">
              <w:t>6</w:t>
            </w:r>
            <w:r w:rsidR="00556B5E">
              <w:t>4</w:t>
            </w:r>
            <w:r w:rsidRPr="00EF7D00">
              <w:t>5,744</w:t>
            </w:r>
          </w:p>
        </w:tc>
      </w:tr>
      <w:tr w:rsidR="006F0533" w:rsidRPr="00EF7D00" w14:paraId="0D2DC9D0" w14:textId="77777777" w:rsidTr="0009682D">
        <w:trPr>
          <w:trHeight w:val="389"/>
        </w:trPr>
        <w:tc>
          <w:tcPr>
            <w:tcW w:w="7020" w:type="dxa"/>
            <w:vAlign w:val="center"/>
          </w:tcPr>
          <w:p w14:paraId="38581687" w14:textId="321FB71C" w:rsidR="006F0533" w:rsidRPr="00EF7D00" w:rsidRDefault="00CB324A" w:rsidP="00EF7D00">
            <w:pPr>
              <w:pStyle w:val="NormalWeb"/>
              <w:tabs>
                <w:tab w:val="left" w:pos="360"/>
                <w:tab w:val="left" w:pos="720"/>
                <w:tab w:val="left" w:pos="1080"/>
                <w:tab w:val="left" w:pos="1440"/>
              </w:tabs>
              <w:spacing w:before="0" w:beforeAutospacing="0" w:after="0" w:afterAutospacing="0"/>
            </w:pPr>
            <w:r w:rsidRPr="00EF7D00">
              <w:t>Average Cost per Hour (approximately)</w:t>
            </w:r>
          </w:p>
        </w:tc>
        <w:tc>
          <w:tcPr>
            <w:tcW w:w="2245" w:type="dxa"/>
            <w:vAlign w:val="center"/>
          </w:tcPr>
          <w:p w14:paraId="26650998" w14:textId="24756794" w:rsidR="006F0533" w:rsidRPr="00EF7D00" w:rsidRDefault="00B70A7B" w:rsidP="00556B5E">
            <w:pPr>
              <w:pStyle w:val="NormalWeb"/>
              <w:tabs>
                <w:tab w:val="left" w:pos="360"/>
                <w:tab w:val="left" w:pos="720"/>
                <w:tab w:val="left" w:pos="1080"/>
                <w:tab w:val="left" w:pos="1440"/>
              </w:tabs>
              <w:spacing w:before="0" w:beforeAutospacing="0" w:after="0" w:afterAutospacing="0"/>
              <w:jc w:val="right"/>
            </w:pPr>
            <w:r w:rsidRPr="00EF7D00">
              <w:t>$</w:t>
            </w:r>
            <w:r w:rsidR="00556B5E">
              <w:t>43</w:t>
            </w:r>
          </w:p>
        </w:tc>
      </w:tr>
      <w:tr w:rsidR="006F0533" w:rsidRPr="00EF7D00" w14:paraId="6AC95573" w14:textId="77777777" w:rsidTr="0009682D">
        <w:trPr>
          <w:trHeight w:val="389"/>
        </w:trPr>
        <w:tc>
          <w:tcPr>
            <w:tcW w:w="7020" w:type="dxa"/>
            <w:vAlign w:val="center"/>
          </w:tcPr>
          <w:p w14:paraId="30A3EFE1" w14:textId="7233899C" w:rsidR="006F0533" w:rsidRPr="00EF7D00" w:rsidRDefault="00CB324A" w:rsidP="00EF7D00">
            <w:pPr>
              <w:pStyle w:val="NormalWeb"/>
              <w:tabs>
                <w:tab w:val="left" w:pos="360"/>
                <w:tab w:val="left" w:pos="720"/>
                <w:tab w:val="left" w:pos="1080"/>
                <w:tab w:val="left" w:pos="1440"/>
              </w:tabs>
              <w:spacing w:before="0" w:beforeAutospacing="0" w:after="0" w:afterAutospacing="0"/>
            </w:pPr>
            <w:r w:rsidRPr="00EF7D00">
              <w:t>Annual public burden</w:t>
            </w:r>
          </w:p>
        </w:tc>
        <w:tc>
          <w:tcPr>
            <w:tcW w:w="2245" w:type="dxa"/>
            <w:vAlign w:val="center"/>
          </w:tcPr>
          <w:p w14:paraId="1C3650E0" w14:textId="0E30E15D" w:rsidR="006F0533" w:rsidRPr="00EF7D00" w:rsidRDefault="00B70A7B" w:rsidP="00556B5E">
            <w:pPr>
              <w:pStyle w:val="NormalWeb"/>
              <w:tabs>
                <w:tab w:val="left" w:pos="360"/>
                <w:tab w:val="left" w:pos="720"/>
                <w:tab w:val="left" w:pos="1080"/>
                <w:tab w:val="left" w:pos="1440"/>
              </w:tabs>
              <w:spacing w:before="0" w:beforeAutospacing="0" w:after="0" w:afterAutospacing="0"/>
              <w:jc w:val="right"/>
            </w:pPr>
            <w:r w:rsidRPr="00EF7D00">
              <w:t>$</w:t>
            </w:r>
            <w:r w:rsidR="00556B5E">
              <w:t>27,692,110</w:t>
            </w:r>
          </w:p>
        </w:tc>
      </w:tr>
    </w:tbl>
    <w:p w14:paraId="2915DDED" w14:textId="77777777" w:rsidR="004E3CD9" w:rsidRDefault="004E3CD9" w:rsidP="00EF7D00">
      <w:pPr>
        <w:pStyle w:val="NormalWeb"/>
        <w:tabs>
          <w:tab w:val="left" w:pos="360"/>
          <w:tab w:val="left" w:pos="720"/>
          <w:tab w:val="left" w:pos="1080"/>
          <w:tab w:val="left" w:pos="1440"/>
        </w:tabs>
        <w:spacing w:before="0" w:beforeAutospacing="0" w:after="0" w:afterAutospacing="0"/>
      </w:pPr>
    </w:p>
    <w:p w14:paraId="1AE931E7" w14:textId="5009F557" w:rsidR="001B67DB" w:rsidRPr="00EF7D00" w:rsidRDefault="004E3CD9" w:rsidP="00EF7D00">
      <w:pPr>
        <w:pStyle w:val="NormalWeb"/>
        <w:tabs>
          <w:tab w:val="left" w:pos="360"/>
          <w:tab w:val="left" w:pos="720"/>
          <w:tab w:val="left" w:pos="1080"/>
          <w:tab w:val="left" w:pos="1440"/>
        </w:tabs>
        <w:spacing w:before="0" w:beforeAutospacing="0" w:after="0" w:afterAutospacing="0"/>
        <w:rPr>
          <w:u w:val="single"/>
        </w:rPr>
      </w:pPr>
      <w:r>
        <w:t xml:space="preserve">13.  </w:t>
      </w:r>
      <w:r w:rsidR="001B67DB" w:rsidRPr="00EF7D00">
        <w:rPr>
          <w:u w:val="single"/>
        </w:rPr>
        <w:t xml:space="preserve">Respondent Costs Other </w:t>
      </w:r>
      <w:r w:rsidR="00902FCB" w:rsidRPr="00EF7D00">
        <w:rPr>
          <w:u w:val="single"/>
        </w:rPr>
        <w:t>than</w:t>
      </w:r>
      <w:r w:rsidR="001B67DB" w:rsidRPr="00EF7D00">
        <w:rPr>
          <w:u w:val="single"/>
        </w:rPr>
        <w:t xml:space="preserve"> Burden Hour Costs</w:t>
      </w:r>
    </w:p>
    <w:p w14:paraId="7F2C2881" w14:textId="77777777" w:rsidR="001B67DB" w:rsidRPr="00EF7D00" w:rsidRDefault="001B67DB" w:rsidP="00EF7D00">
      <w:pPr>
        <w:pStyle w:val="NormalWeb"/>
        <w:tabs>
          <w:tab w:val="left" w:pos="360"/>
          <w:tab w:val="left" w:pos="720"/>
          <w:tab w:val="left" w:pos="1080"/>
          <w:tab w:val="left" w:pos="1440"/>
        </w:tabs>
        <w:spacing w:before="0" w:beforeAutospacing="0" w:after="0" w:afterAutospacing="0"/>
      </w:pPr>
    </w:p>
    <w:p w14:paraId="5C1AE8E7" w14:textId="4E9ED9CC" w:rsidR="001B67DB" w:rsidRPr="00EF7D00" w:rsidRDefault="001B67DB" w:rsidP="00EF7D00">
      <w:pPr>
        <w:pStyle w:val="NormalWeb"/>
        <w:tabs>
          <w:tab w:val="left" w:pos="360"/>
          <w:tab w:val="left" w:pos="720"/>
          <w:tab w:val="left" w:pos="1080"/>
          <w:tab w:val="left" w:pos="1440"/>
        </w:tabs>
        <w:spacing w:before="0" w:beforeAutospacing="0" w:after="0" w:afterAutospacing="0"/>
      </w:pPr>
      <w:bookmarkStart w:id="15" w:name="cp464"/>
      <w:r w:rsidRPr="00EF7D00">
        <w:tab/>
      </w:r>
      <w:bookmarkEnd w:id="15"/>
      <w:r w:rsidRPr="00EF7D00">
        <w:t xml:space="preserve">It is not anticipated that this information collection will generate any additional annualized costs to respondents other than the labor burden costs addressed in </w:t>
      </w:r>
      <w:r w:rsidR="00926C15">
        <w:t>section</w:t>
      </w:r>
      <w:r w:rsidR="00926C15" w:rsidRPr="00EF7D00">
        <w:t xml:space="preserve"> </w:t>
      </w:r>
      <w:r w:rsidRPr="00EF7D00">
        <w:t>12.</w:t>
      </w:r>
    </w:p>
    <w:p w14:paraId="481286A6" w14:textId="77777777" w:rsidR="00913277" w:rsidRPr="00EF7D00" w:rsidRDefault="00913277" w:rsidP="00EF7D00">
      <w:pPr>
        <w:pStyle w:val="NormalWeb"/>
        <w:tabs>
          <w:tab w:val="left" w:pos="360"/>
          <w:tab w:val="left" w:pos="720"/>
          <w:tab w:val="left" w:pos="1080"/>
          <w:tab w:val="left" w:pos="1440"/>
        </w:tabs>
        <w:spacing w:before="0" w:beforeAutospacing="0" w:after="0" w:afterAutospacing="0"/>
      </w:pPr>
    </w:p>
    <w:p w14:paraId="7E65DD14" w14:textId="45F9AE3F" w:rsidR="000B5EFC" w:rsidRPr="00EF7D00" w:rsidRDefault="005E0A0F" w:rsidP="00EF7D00">
      <w:pPr>
        <w:pStyle w:val="NormalWeb"/>
        <w:tabs>
          <w:tab w:val="left" w:pos="360"/>
          <w:tab w:val="left" w:pos="720"/>
          <w:tab w:val="left" w:pos="1080"/>
          <w:tab w:val="left" w:pos="1440"/>
        </w:tabs>
        <w:spacing w:before="0" w:beforeAutospacing="0" w:after="0" w:afterAutospacing="0"/>
        <w:rPr>
          <w:u w:val="single"/>
        </w:rPr>
      </w:pPr>
      <w:r w:rsidRPr="00EF7D00">
        <w:t>14.</w:t>
      </w:r>
      <w:r w:rsidR="004E3CD9">
        <w:t xml:space="preserve">  </w:t>
      </w:r>
      <w:r w:rsidRPr="00EF7D00">
        <w:rPr>
          <w:u w:val="single"/>
        </w:rPr>
        <w:t>Cost to the Federal Government</w:t>
      </w:r>
      <w:bookmarkEnd w:id="14"/>
    </w:p>
    <w:p w14:paraId="24DF3C55" w14:textId="39691C6A" w:rsidR="00D141EB" w:rsidRPr="00EF7D00" w:rsidRDefault="00D141EB" w:rsidP="00EF7D00">
      <w:pPr>
        <w:pStyle w:val="NormalWeb"/>
        <w:tabs>
          <w:tab w:val="left" w:pos="360"/>
          <w:tab w:val="left" w:pos="720"/>
          <w:tab w:val="left" w:pos="1080"/>
          <w:tab w:val="left" w:pos="1440"/>
        </w:tabs>
        <w:spacing w:before="0" w:beforeAutospacing="0" w:after="0" w:afterAutospacing="0"/>
      </w:pPr>
    </w:p>
    <w:p w14:paraId="231A4A4B" w14:textId="13162E8D" w:rsidR="00607CB8" w:rsidRPr="00EF7D00" w:rsidRDefault="00EB0C6C" w:rsidP="00EF7D00">
      <w:pPr>
        <w:pStyle w:val="NormalWeb"/>
        <w:tabs>
          <w:tab w:val="left" w:pos="360"/>
          <w:tab w:val="left" w:pos="720"/>
          <w:tab w:val="left" w:pos="1080"/>
          <w:tab w:val="left" w:pos="1440"/>
        </w:tabs>
        <w:spacing w:before="0" w:beforeAutospacing="0" w:after="0" w:afterAutospacing="0"/>
      </w:pPr>
      <w:r w:rsidRPr="00EF7D00">
        <w:tab/>
      </w:r>
      <w:r w:rsidR="000B5EFC" w:rsidRPr="00EF7D00">
        <w:t xml:space="preserve">In the table below, the number of respondents and the number of responses are based on the same information and calculated </w:t>
      </w:r>
      <w:r w:rsidR="00607CB8" w:rsidRPr="00EF7D00">
        <w:t>in</w:t>
      </w:r>
      <w:r w:rsidR="000B5EFC" w:rsidRPr="00EF7D00">
        <w:t xml:space="preserve"> the same manner as discussed in </w:t>
      </w:r>
      <w:r w:rsidR="00926C15">
        <w:t>section</w:t>
      </w:r>
      <w:r w:rsidR="00926C15" w:rsidRPr="00EF7D00">
        <w:t xml:space="preserve"> </w:t>
      </w:r>
      <w:r w:rsidR="000B5EFC" w:rsidRPr="00EF7D00">
        <w:t xml:space="preserve">12.  The estimate of hours expended by DoD reviewing </w:t>
      </w:r>
      <w:r w:rsidR="00DB1D73" w:rsidRPr="00EF7D00">
        <w:t xml:space="preserve">and analysis of the contractors’ or offerors’ documentation is based on estimations provided by </w:t>
      </w:r>
      <w:r w:rsidR="00FC0556" w:rsidRPr="00EF7D00">
        <w:t xml:space="preserve">the </w:t>
      </w:r>
      <w:r w:rsidR="00DB1D73" w:rsidRPr="00EF7D00">
        <w:t>subject matter experts.</w:t>
      </w:r>
      <w:bookmarkStart w:id="16" w:name="cp468"/>
      <w:r w:rsidR="00DB1D73" w:rsidRPr="00EF7D00">
        <w:t xml:space="preserve"> </w:t>
      </w:r>
    </w:p>
    <w:p w14:paraId="09C46813" w14:textId="77777777" w:rsidR="00913277" w:rsidRPr="00EF7D00" w:rsidRDefault="00913277" w:rsidP="00EF7D00">
      <w:pPr>
        <w:pStyle w:val="NormalWeb"/>
        <w:tabs>
          <w:tab w:val="left" w:pos="360"/>
          <w:tab w:val="left" w:pos="720"/>
          <w:tab w:val="left" w:pos="1080"/>
          <w:tab w:val="left" w:pos="1440"/>
        </w:tabs>
        <w:spacing w:before="0" w:beforeAutospacing="0" w:after="0" w:afterAutospacing="0"/>
      </w:pPr>
    </w:p>
    <w:tbl>
      <w:tblPr>
        <w:tblStyle w:val="TableGrid"/>
        <w:tblW w:w="9360" w:type="dxa"/>
        <w:tblInd w:w="-5" w:type="dxa"/>
        <w:tblLayout w:type="fixed"/>
        <w:tblLook w:val="04A0" w:firstRow="1" w:lastRow="0" w:firstColumn="1" w:lastColumn="0" w:noHBand="0" w:noVBand="1"/>
      </w:tblPr>
      <w:tblGrid>
        <w:gridCol w:w="1980"/>
        <w:gridCol w:w="1476"/>
        <w:gridCol w:w="1476"/>
        <w:gridCol w:w="1476"/>
        <w:gridCol w:w="1476"/>
        <w:gridCol w:w="1476"/>
      </w:tblGrid>
      <w:tr w:rsidR="00926C15" w:rsidRPr="00EF7D00" w14:paraId="3C2E2887" w14:textId="77777777" w:rsidTr="0009682D">
        <w:trPr>
          <w:trHeight w:val="389"/>
        </w:trPr>
        <w:tc>
          <w:tcPr>
            <w:tcW w:w="9360" w:type="dxa"/>
            <w:gridSpan w:val="6"/>
            <w:vAlign w:val="center"/>
          </w:tcPr>
          <w:p w14:paraId="63D34C97" w14:textId="77777777" w:rsidR="00926C15" w:rsidRPr="00DF382A" w:rsidDel="007A37FF" w:rsidRDefault="00926C15" w:rsidP="00DC7363">
            <w:pPr>
              <w:pStyle w:val="NormalWeb"/>
              <w:tabs>
                <w:tab w:val="left" w:pos="360"/>
                <w:tab w:val="left" w:pos="720"/>
                <w:tab w:val="left" w:pos="1080"/>
                <w:tab w:val="left" w:pos="1440"/>
              </w:tabs>
              <w:spacing w:before="0" w:beforeAutospacing="0" w:after="0" w:afterAutospacing="0"/>
              <w:jc w:val="center"/>
            </w:pPr>
            <w:r>
              <w:t>Estimation of Government Burden: Total</w:t>
            </w:r>
          </w:p>
        </w:tc>
      </w:tr>
      <w:tr w:rsidR="00607CB8" w:rsidRPr="00EF7D00" w14:paraId="344AD0E2" w14:textId="77777777" w:rsidTr="0009682D">
        <w:trPr>
          <w:trHeight w:val="389"/>
        </w:trPr>
        <w:tc>
          <w:tcPr>
            <w:tcW w:w="1980" w:type="dxa"/>
            <w:vAlign w:val="center"/>
          </w:tcPr>
          <w:p w14:paraId="0E50F2AC" w14:textId="2C2CB0F9" w:rsidR="00993243" w:rsidRPr="0009682D" w:rsidRDefault="00607CB8" w:rsidP="0009682D">
            <w:pPr>
              <w:pStyle w:val="NormalWeb"/>
              <w:tabs>
                <w:tab w:val="left" w:pos="360"/>
                <w:tab w:val="left" w:pos="720"/>
                <w:tab w:val="left" w:pos="1080"/>
                <w:tab w:val="left" w:pos="1440"/>
              </w:tabs>
              <w:spacing w:before="0" w:beforeAutospacing="0" w:after="0" w:afterAutospacing="0"/>
            </w:pPr>
            <w:r w:rsidRPr="0009682D">
              <w:t>Clause</w:t>
            </w:r>
            <w:r w:rsidR="00926C15">
              <w:t xml:space="preserve"> 252.223-</w:t>
            </w:r>
          </w:p>
        </w:tc>
        <w:tc>
          <w:tcPr>
            <w:tcW w:w="1476" w:type="dxa"/>
            <w:vAlign w:val="center"/>
          </w:tcPr>
          <w:p w14:paraId="3E732DDB" w14:textId="77777777" w:rsidR="00607CB8" w:rsidRPr="0009682D" w:rsidRDefault="00607CB8" w:rsidP="00EF7D00">
            <w:pPr>
              <w:pStyle w:val="NormalWeb"/>
              <w:tabs>
                <w:tab w:val="left" w:pos="360"/>
                <w:tab w:val="left" w:pos="720"/>
                <w:tab w:val="left" w:pos="1080"/>
                <w:tab w:val="left" w:pos="1440"/>
              </w:tabs>
              <w:spacing w:before="0" w:beforeAutospacing="0" w:after="0" w:afterAutospacing="0"/>
              <w:jc w:val="center"/>
            </w:pPr>
            <w:r w:rsidRPr="0009682D">
              <w:t>Total Responses</w:t>
            </w:r>
          </w:p>
        </w:tc>
        <w:tc>
          <w:tcPr>
            <w:tcW w:w="1476" w:type="dxa"/>
            <w:vAlign w:val="center"/>
          </w:tcPr>
          <w:p w14:paraId="6529F552" w14:textId="77777777" w:rsidR="00607CB8" w:rsidRPr="0009682D" w:rsidRDefault="00607CB8" w:rsidP="00EF7D00">
            <w:pPr>
              <w:pStyle w:val="NormalWeb"/>
              <w:tabs>
                <w:tab w:val="left" w:pos="360"/>
                <w:tab w:val="left" w:pos="720"/>
                <w:tab w:val="left" w:pos="1080"/>
                <w:tab w:val="left" w:pos="1440"/>
              </w:tabs>
              <w:spacing w:before="0" w:beforeAutospacing="0" w:after="0" w:afterAutospacing="0"/>
              <w:jc w:val="center"/>
            </w:pPr>
            <w:r w:rsidRPr="0009682D">
              <w:t>Hours per Response</w:t>
            </w:r>
          </w:p>
        </w:tc>
        <w:tc>
          <w:tcPr>
            <w:tcW w:w="1476" w:type="dxa"/>
            <w:vAlign w:val="center"/>
          </w:tcPr>
          <w:p w14:paraId="3A5DB643" w14:textId="77777777" w:rsidR="007A37FF" w:rsidRPr="0009682D" w:rsidRDefault="00607CB8">
            <w:pPr>
              <w:pStyle w:val="NormalWeb"/>
              <w:tabs>
                <w:tab w:val="left" w:pos="360"/>
                <w:tab w:val="left" w:pos="720"/>
                <w:tab w:val="left" w:pos="1080"/>
                <w:tab w:val="left" w:pos="1440"/>
              </w:tabs>
              <w:spacing w:before="0" w:beforeAutospacing="0" w:after="0" w:afterAutospacing="0"/>
              <w:jc w:val="center"/>
            </w:pPr>
            <w:r w:rsidRPr="0009682D">
              <w:t>Total</w:t>
            </w:r>
          </w:p>
          <w:p w14:paraId="15B5368A" w14:textId="6B3D6B29" w:rsidR="00607CB8" w:rsidRPr="0009682D" w:rsidRDefault="00607CB8">
            <w:pPr>
              <w:pStyle w:val="NormalWeb"/>
              <w:tabs>
                <w:tab w:val="left" w:pos="360"/>
                <w:tab w:val="left" w:pos="720"/>
                <w:tab w:val="left" w:pos="1080"/>
                <w:tab w:val="left" w:pos="1440"/>
              </w:tabs>
              <w:spacing w:before="0" w:beforeAutospacing="0" w:after="0" w:afterAutospacing="0"/>
              <w:jc w:val="center"/>
            </w:pPr>
            <w:r w:rsidRPr="0009682D">
              <w:t>Hours</w:t>
            </w:r>
          </w:p>
        </w:tc>
        <w:tc>
          <w:tcPr>
            <w:tcW w:w="1476" w:type="dxa"/>
            <w:vAlign w:val="center"/>
          </w:tcPr>
          <w:p w14:paraId="09F50828" w14:textId="77777777" w:rsidR="00607CB8" w:rsidRPr="0009682D" w:rsidRDefault="00607CB8" w:rsidP="00EF7D00">
            <w:pPr>
              <w:pStyle w:val="NormalWeb"/>
              <w:tabs>
                <w:tab w:val="left" w:pos="360"/>
                <w:tab w:val="left" w:pos="720"/>
                <w:tab w:val="left" w:pos="1080"/>
                <w:tab w:val="left" w:pos="1440"/>
              </w:tabs>
              <w:spacing w:before="0" w:beforeAutospacing="0" w:after="0" w:afterAutospacing="0"/>
              <w:jc w:val="center"/>
            </w:pPr>
            <w:r w:rsidRPr="0009682D">
              <w:t>Cost per Hour</w:t>
            </w:r>
          </w:p>
        </w:tc>
        <w:tc>
          <w:tcPr>
            <w:tcW w:w="1476" w:type="dxa"/>
            <w:vAlign w:val="center"/>
          </w:tcPr>
          <w:p w14:paraId="67BD0E54" w14:textId="77777777" w:rsidR="00607CB8" w:rsidRPr="0009682D" w:rsidRDefault="00607CB8" w:rsidP="00EF7D00">
            <w:pPr>
              <w:pStyle w:val="NormalWeb"/>
              <w:tabs>
                <w:tab w:val="left" w:pos="360"/>
                <w:tab w:val="left" w:pos="720"/>
                <w:tab w:val="left" w:pos="1080"/>
                <w:tab w:val="left" w:pos="1440"/>
              </w:tabs>
              <w:spacing w:before="0" w:beforeAutospacing="0" w:after="0" w:afterAutospacing="0"/>
              <w:jc w:val="center"/>
            </w:pPr>
            <w:r w:rsidRPr="0009682D">
              <w:t>Total</w:t>
            </w:r>
          </w:p>
          <w:p w14:paraId="5ADB90B2" w14:textId="77777777" w:rsidR="00607CB8" w:rsidRPr="0009682D" w:rsidRDefault="00607CB8" w:rsidP="00EF7D00">
            <w:pPr>
              <w:pStyle w:val="NormalWeb"/>
              <w:tabs>
                <w:tab w:val="left" w:pos="360"/>
                <w:tab w:val="left" w:pos="720"/>
                <w:tab w:val="left" w:pos="1080"/>
                <w:tab w:val="left" w:pos="1440"/>
              </w:tabs>
              <w:spacing w:before="0" w:beforeAutospacing="0" w:after="0" w:afterAutospacing="0"/>
              <w:jc w:val="center"/>
            </w:pPr>
            <w:r w:rsidRPr="0009682D">
              <w:t>Cost</w:t>
            </w:r>
          </w:p>
        </w:tc>
      </w:tr>
      <w:tr w:rsidR="00607CB8" w:rsidRPr="00EF7D00" w14:paraId="7363C69E" w14:textId="77777777" w:rsidTr="0009682D">
        <w:trPr>
          <w:trHeight w:val="389"/>
        </w:trPr>
        <w:tc>
          <w:tcPr>
            <w:tcW w:w="1980" w:type="dxa"/>
            <w:vAlign w:val="center"/>
          </w:tcPr>
          <w:p w14:paraId="04BA30B8" w14:textId="2E44E5D4" w:rsidR="00607CB8" w:rsidRPr="002F3B8D" w:rsidRDefault="002F3B8D" w:rsidP="00EF7D00">
            <w:pPr>
              <w:pStyle w:val="NormalWeb"/>
              <w:tabs>
                <w:tab w:val="left" w:pos="360"/>
                <w:tab w:val="left" w:pos="720"/>
                <w:tab w:val="left" w:pos="1080"/>
                <w:tab w:val="left" w:pos="1440"/>
              </w:tabs>
              <w:spacing w:before="0" w:beforeAutospacing="0" w:after="0" w:afterAutospacing="0"/>
            </w:pPr>
            <w:r w:rsidRPr="002F3B8D">
              <w:t>-7001(c)</w:t>
            </w:r>
          </w:p>
        </w:tc>
        <w:tc>
          <w:tcPr>
            <w:tcW w:w="1476" w:type="dxa"/>
            <w:vAlign w:val="center"/>
          </w:tcPr>
          <w:p w14:paraId="75EBC201" w14:textId="22C00A0B" w:rsidR="00607CB8" w:rsidRPr="002F3B8D" w:rsidRDefault="00607CB8" w:rsidP="00EF7D00">
            <w:pPr>
              <w:pStyle w:val="NormalWeb"/>
              <w:tabs>
                <w:tab w:val="left" w:pos="360"/>
                <w:tab w:val="left" w:pos="720"/>
                <w:tab w:val="left" w:pos="1080"/>
                <w:tab w:val="left" w:pos="1440"/>
              </w:tabs>
              <w:spacing w:before="0" w:beforeAutospacing="0" w:after="0" w:afterAutospacing="0"/>
              <w:jc w:val="right"/>
            </w:pPr>
            <w:r w:rsidRPr="002F3B8D">
              <w:t>32,14</w:t>
            </w:r>
            <w:r w:rsidR="00930D2D" w:rsidRPr="002F3B8D">
              <w:t>2</w:t>
            </w:r>
          </w:p>
        </w:tc>
        <w:tc>
          <w:tcPr>
            <w:tcW w:w="1476" w:type="dxa"/>
            <w:vAlign w:val="center"/>
          </w:tcPr>
          <w:p w14:paraId="707EA549" w14:textId="77777777" w:rsidR="00607CB8" w:rsidRPr="002F3B8D" w:rsidRDefault="00607CB8" w:rsidP="00EF7D00">
            <w:pPr>
              <w:pStyle w:val="NormalWeb"/>
              <w:tabs>
                <w:tab w:val="left" w:pos="360"/>
                <w:tab w:val="left" w:pos="720"/>
                <w:tab w:val="left" w:pos="1080"/>
                <w:tab w:val="left" w:pos="1440"/>
              </w:tabs>
              <w:spacing w:before="0" w:beforeAutospacing="0" w:after="0" w:afterAutospacing="0"/>
              <w:jc w:val="right"/>
            </w:pPr>
            <w:r w:rsidRPr="002F3B8D">
              <w:t>1.0</w:t>
            </w:r>
          </w:p>
        </w:tc>
        <w:tc>
          <w:tcPr>
            <w:tcW w:w="1476" w:type="dxa"/>
            <w:vAlign w:val="center"/>
          </w:tcPr>
          <w:p w14:paraId="4597C45A" w14:textId="0577EE8F" w:rsidR="00607CB8" w:rsidRPr="002F3B8D" w:rsidRDefault="00607CB8" w:rsidP="00EF7D00">
            <w:pPr>
              <w:pStyle w:val="NormalWeb"/>
              <w:tabs>
                <w:tab w:val="left" w:pos="360"/>
                <w:tab w:val="left" w:pos="720"/>
                <w:tab w:val="left" w:pos="1080"/>
                <w:tab w:val="left" w:pos="1440"/>
              </w:tabs>
              <w:spacing w:before="0" w:beforeAutospacing="0" w:after="0" w:afterAutospacing="0"/>
              <w:jc w:val="right"/>
            </w:pPr>
            <w:r w:rsidRPr="002F3B8D">
              <w:t>32,14</w:t>
            </w:r>
            <w:r w:rsidR="005D7161" w:rsidRPr="002F3B8D">
              <w:t>2</w:t>
            </w:r>
          </w:p>
        </w:tc>
        <w:tc>
          <w:tcPr>
            <w:tcW w:w="1476" w:type="dxa"/>
            <w:vAlign w:val="center"/>
          </w:tcPr>
          <w:p w14:paraId="6A547AA6" w14:textId="35258083" w:rsidR="00607CB8" w:rsidRPr="002F3B8D" w:rsidRDefault="00607CB8" w:rsidP="00EF7D00">
            <w:pPr>
              <w:pStyle w:val="NormalWeb"/>
              <w:tabs>
                <w:tab w:val="left" w:pos="360"/>
                <w:tab w:val="left" w:pos="720"/>
                <w:tab w:val="left" w:pos="1080"/>
                <w:tab w:val="left" w:pos="1440"/>
              </w:tabs>
              <w:spacing w:before="0" w:beforeAutospacing="0" w:after="0" w:afterAutospacing="0"/>
              <w:jc w:val="right"/>
            </w:pPr>
            <w:r w:rsidRPr="002F3B8D">
              <w:t>$</w:t>
            </w:r>
            <w:r w:rsidR="005D7161" w:rsidRPr="002F3B8D">
              <w:t>45</w:t>
            </w:r>
          </w:p>
        </w:tc>
        <w:tc>
          <w:tcPr>
            <w:tcW w:w="1476" w:type="dxa"/>
            <w:vAlign w:val="center"/>
          </w:tcPr>
          <w:p w14:paraId="45F216DC" w14:textId="01286D94" w:rsidR="00607CB8" w:rsidRPr="002F3B8D" w:rsidRDefault="00607CB8" w:rsidP="00EF7D00">
            <w:pPr>
              <w:pStyle w:val="NormalWeb"/>
              <w:tabs>
                <w:tab w:val="left" w:pos="360"/>
                <w:tab w:val="left" w:pos="720"/>
                <w:tab w:val="left" w:pos="1080"/>
                <w:tab w:val="left" w:pos="1440"/>
              </w:tabs>
              <w:spacing w:before="0" w:beforeAutospacing="0" w:after="0" w:afterAutospacing="0"/>
              <w:jc w:val="right"/>
            </w:pPr>
            <w:r w:rsidRPr="002F3B8D">
              <w:t>$1</w:t>
            </w:r>
            <w:r w:rsidR="005D7161" w:rsidRPr="002F3B8D">
              <w:t>,446,390</w:t>
            </w:r>
          </w:p>
        </w:tc>
      </w:tr>
      <w:tr w:rsidR="00607CB8" w:rsidRPr="00EF7D00" w14:paraId="7544FCC8" w14:textId="77777777" w:rsidTr="0009682D">
        <w:trPr>
          <w:trHeight w:val="389"/>
        </w:trPr>
        <w:tc>
          <w:tcPr>
            <w:tcW w:w="1980" w:type="dxa"/>
            <w:vAlign w:val="center"/>
          </w:tcPr>
          <w:p w14:paraId="55C78D4A" w14:textId="2431B914" w:rsidR="00607CB8" w:rsidRPr="002F3B8D" w:rsidRDefault="002F3B8D">
            <w:pPr>
              <w:pStyle w:val="NormalWeb"/>
              <w:tabs>
                <w:tab w:val="left" w:pos="360"/>
                <w:tab w:val="left" w:pos="720"/>
                <w:tab w:val="left" w:pos="1080"/>
                <w:tab w:val="left" w:pos="1440"/>
              </w:tabs>
              <w:spacing w:before="0" w:beforeAutospacing="0" w:after="0" w:afterAutospacing="0"/>
            </w:pPr>
            <w:r w:rsidRPr="002F3B8D">
              <w:t>-7001(</w:t>
            </w:r>
            <w:r>
              <w:t>d</w:t>
            </w:r>
            <w:r w:rsidRPr="002F3B8D">
              <w:t>)</w:t>
            </w:r>
          </w:p>
        </w:tc>
        <w:tc>
          <w:tcPr>
            <w:tcW w:w="1476" w:type="dxa"/>
            <w:vAlign w:val="center"/>
          </w:tcPr>
          <w:p w14:paraId="63842D51" w14:textId="71A3E795" w:rsidR="00607CB8" w:rsidRPr="002F3B8D" w:rsidRDefault="00463852" w:rsidP="00EF7D00">
            <w:pPr>
              <w:pStyle w:val="NormalWeb"/>
              <w:tabs>
                <w:tab w:val="left" w:pos="360"/>
                <w:tab w:val="left" w:pos="720"/>
                <w:tab w:val="left" w:pos="1080"/>
                <w:tab w:val="left" w:pos="1440"/>
              </w:tabs>
              <w:spacing w:before="0" w:beforeAutospacing="0" w:after="0" w:afterAutospacing="0"/>
              <w:jc w:val="right"/>
            </w:pPr>
            <w:r w:rsidRPr="002F3B8D">
              <w:t>12,176</w:t>
            </w:r>
          </w:p>
        </w:tc>
        <w:tc>
          <w:tcPr>
            <w:tcW w:w="1476" w:type="dxa"/>
            <w:vAlign w:val="center"/>
          </w:tcPr>
          <w:p w14:paraId="60CB69AB" w14:textId="609F964A" w:rsidR="00607CB8" w:rsidRPr="002F3B8D" w:rsidRDefault="00607CB8" w:rsidP="00556B5E">
            <w:pPr>
              <w:pStyle w:val="NormalWeb"/>
              <w:tabs>
                <w:tab w:val="left" w:pos="360"/>
                <w:tab w:val="left" w:pos="720"/>
                <w:tab w:val="left" w:pos="1080"/>
                <w:tab w:val="left" w:pos="1440"/>
              </w:tabs>
              <w:spacing w:before="0" w:beforeAutospacing="0" w:after="0" w:afterAutospacing="0"/>
              <w:jc w:val="right"/>
            </w:pPr>
            <w:r w:rsidRPr="002F3B8D">
              <w:t>0.</w:t>
            </w:r>
            <w:r w:rsidR="00556B5E" w:rsidRPr="002F3B8D">
              <w:t>25</w:t>
            </w:r>
          </w:p>
        </w:tc>
        <w:tc>
          <w:tcPr>
            <w:tcW w:w="1476" w:type="dxa"/>
            <w:vAlign w:val="center"/>
          </w:tcPr>
          <w:p w14:paraId="76A1BEE0" w14:textId="6BCACCEC" w:rsidR="00607CB8" w:rsidRPr="002F3B8D" w:rsidRDefault="00463852" w:rsidP="00EF7D00">
            <w:pPr>
              <w:pStyle w:val="NormalWeb"/>
              <w:tabs>
                <w:tab w:val="left" w:pos="360"/>
                <w:tab w:val="left" w:pos="720"/>
                <w:tab w:val="left" w:pos="1080"/>
                <w:tab w:val="left" w:pos="1440"/>
              </w:tabs>
              <w:spacing w:before="0" w:beforeAutospacing="0" w:after="0" w:afterAutospacing="0"/>
              <w:jc w:val="right"/>
            </w:pPr>
            <w:r w:rsidRPr="002F3B8D">
              <w:t>3,044</w:t>
            </w:r>
          </w:p>
        </w:tc>
        <w:tc>
          <w:tcPr>
            <w:tcW w:w="1476" w:type="dxa"/>
            <w:vAlign w:val="center"/>
          </w:tcPr>
          <w:p w14:paraId="36249DF2" w14:textId="6A4DD029" w:rsidR="00607CB8" w:rsidRPr="002F3B8D" w:rsidRDefault="00607CB8" w:rsidP="00EF7D00">
            <w:pPr>
              <w:pStyle w:val="NormalWeb"/>
              <w:tabs>
                <w:tab w:val="left" w:pos="360"/>
                <w:tab w:val="left" w:pos="720"/>
                <w:tab w:val="left" w:pos="1080"/>
                <w:tab w:val="left" w:pos="1440"/>
              </w:tabs>
              <w:spacing w:before="0" w:beforeAutospacing="0" w:after="0" w:afterAutospacing="0"/>
              <w:jc w:val="right"/>
            </w:pPr>
            <w:r w:rsidRPr="002F3B8D">
              <w:t>$</w:t>
            </w:r>
            <w:r w:rsidR="00463852" w:rsidRPr="002F3B8D">
              <w:t>30</w:t>
            </w:r>
          </w:p>
        </w:tc>
        <w:tc>
          <w:tcPr>
            <w:tcW w:w="1476" w:type="dxa"/>
            <w:vAlign w:val="center"/>
          </w:tcPr>
          <w:p w14:paraId="35CC2F72" w14:textId="2FDDB658" w:rsidR="00607CB8" w:rsidRPr="002F3B8D" w:rsidRDefault="00607CB8" w:rsidP="00EF7D00">
            <w:pPr>
              <w:pStyle w:val="NormalWeb"/>
              <w:tabs>
                <w:tab w:val="left" w:pos="360"/>
                <w:tab w:val="left" w:pos="720"/>
                <w:tab w:val="left" w:pos="1080"/>
                <w:tab w:val="left" w:pos="1440"/>
              </w:tabs>
              <w:spacing w:before="0" w:beforeAutospacing="0" w:after="0" w:afterAutospacing="0"/>
              <w:jc w:val="right"/>
            </w:pPr>
            <w:r w:rsidRPr="002F3B8D">
              <w:t>$</w:t>
            </w:r>
            <w:r w:rsidR="00463852" w:rsidRPr="002F3B8D">
              <w:t>91,320</w:t>
            </w:r>
          </w:p>
        </w:tc>
      </w:tr>
      <w:tr w:rsidR="00607CB8" w:rsidRPr="00EF7D00" w14:paraId="15E0CB98" w14:textId="77777777" w:rsidTr="0009682D">
        <w:trPr>
          <w:trHeight w:val="389"/>
        </w:trPr>
        <w:tc>
          <w:tcPr>
            <w:tcW w:w="1980" w:type="dxa"/>
            <w:vAlign w:val="center"/>
          </w:tcPr>
          <w:p w14:paraId="574E63A6" w14:textId="2295FD8C" w:rsidR="00607CB8" w:rsidRPr="002F3B8D" w:rsidRDefault="002F3B8D">
            <w:pPr>
              <w:pStyle w:val="NormalWeb"/>
              <w:tabs>
                <w:tab w:val="left" w:pos="360"/>
                <w:tab w:val="left" w:pos="720"/>
                <w:tab w:val="left" w:pos="1080"/>
                <w:tab w:val="left" w:pos="1440"/>
              </w:tabs>
              <w:spacing w:before="0" w:beforeAutospacing="0" w:after="0" w:afterAutospacing="0"/>
            </w:pPr>
            <w:r w:rsidRPr="002F3B8D">
              <w:t>-700</w:t>
            </w:r>
            <w:r>
              <w:t>2</w:t>
            </w:r>
            <w:r w:rsidRPr="002F3B8D">
              <w:t>(c</w:t>
            </w:r>
            <w:r>
              <w:t>)</w:t>
            </w:r>
            <w:r w:rsidRPr="002F3B8D" w:rsidDel="002F3B8D">
              <w:t xml:space="preserve"> </w:t>
            </w:r>
          </w:p>
        </w:tc>
        <w:tc>
          <w:tcPr>
            <w:tcW w:w="1476" w:type="dxa"/>
            <w:vAlign w:val="center"/>
          </w:tcPr>
          <w:p w14:paraId="7551C539" w14:textId="6C848F19" w:rsidR="008D508D" w:rsidRPr="002F3B8D" w:rsidRDefault="00463852" w:rsidP="00EF7D00">
            <w:pPr>
              <w:pStyle w:val="NormalWeb"/>
              <w:tabs>
                <w:tab w:val="left" w:pos="360"/>
                <w:tab w:val="left" w:pos="720"/>
                <w:tab w:val="left" w:pos="1080"/>
                <w:tab w:val="left" w:pos="1440"/>
              </w:tabs>
              <w:spacing w:before="0" w:beforeAutospacing="0" w:after="0" w:afterAutospacing="0"/>
              <w:jc w:val="right"/>
            </w:pPr>
            <w:r w:rsidRPr="002F3B8D">
              <w:t>150</w:t>
            </w:r>
          </w:p>
        </w:tc>
        <w:tc>
          <w:tcPr>
            <w:tcW w:w="1476" w:type="dxa"/>
            <w:vAlign w:val="center"/>
          </w:tcPr>
          <w:p w14:paraId="5D080774" w14:textId="77777777" w:rsidR="00607CB8" w:rsidRPr="002F3B8D" w:rsidRDefault="00607CB8" w:rsidP="00EF7D00">
            <w:pPr>
              <w:pStyle w:val="NormalWeb"/>
              <w:tabs>
                <w:tab w:val="left" w:pos="360"/>
                <w:tab w:val="left" w:pos="720"/>
                <w:tab w:val="left" w:pos="1080"/>
                <w:tab w:val="left" w:pos="1440"/>
              </w:tabs>
              <w:spacing w:before="0" w:beforeAutospacing="0" w:after="0" w:afterAutospacing="0"/>
              <w:jc w:val="right"/>
            </w:pPr>
            <w:r w:rsidRPr="002F3B8D">
              <w:t>1.0</w:t>
            </w:r>
          </w:p>
        </w:tc>
        <w:tc>
          <w:tcPr>
            <w:tcW w:w="1476" w:type="dxa"/>
            <w:vAlign w:val="center"/>
          </w:tcPr>
          <w:p w14:paraId="1812CEC6" w14:textId="0DD24626" w:rsidR="00607CB8" w:rsidRPr="002F3B8D" w:rsidRDefault="00463852" w:rsidP="00EF7D00">
            <w:pPr>
              <w:pStyle w:val="NormalWeb"/>
              <w:tabs>
                <w:tab w:val="left" w:pos="360"/>
                <w:tab w:val="left" w:pos="720"/>
                <w:tab w:val="left" w:pos="1080"/>
                <w:tab w:val="left" w:pos="1440"/>
              </w:tabs>
              <w:spacing w:before="0" w:beforeAutospacing="0" w:after="0" w:afterAutospacing="0"/>
              <w:jc w:val="right"/>
            </w:pPr>
            <w:r w:rsidRPr="002F3B8D">
              <w:t>150</w:t>
            </w:r>
          </w:p>
        </w:tc>
        <w:tc>
          <w:tcPr>
            <w:tcW w:w="1476" w:type="dxa"/>
            <w:vAlign w:val="center"/>
          </w:tcPr>
          <w:p w14:paraId="24934F68" w14:textId="2975F0D8" w:rsidR="00607CB8" w:rsidRPr="002F3B8D" w:rsidRDefault="00607CB8" w:rsidP="00EF7D00">
            <w:pPr>
              <w:pStyle w:val="NormalWeb"/>
              <w:tabs>
                <w:tab w:val="left" w:pos="360"/>
                <w:tab w:val="left" w:pos="720"/>
                <w:tab w:val="left" w:pos="1080"/>
                <w:tab w:val="left" w:pos="1440"/>
              </w:tabs>
              <w:spacing w:before="0" w:beforeAutospacing="0" w:after="0" w:afterAutospacing="0"/>
              <w:jc w:val="right"/>
            </w:pPr>
            <w:r w:rsidRPr="002F3B8D">
              <w:t>$</w:t>
            </w:r>
            <w:r w:rsidR="00463852" w:rsidRPr="002F3B8D">
              <w:t>53</w:t>
            </w:r>
          </w:p>
        </w:tc>
        <w:tc>
          <w:tcPr>
            <w:tcW w:w="1476" w:type="dxa"/>
            <w:vAlign w:val="center"/>
          </w:tcPr>
          <w:p w14:paraId="425A1B94" w14:textId="305C5E38" w:rsidR="00607CB8" w:rsidRPr="002F3B8D" w:rsidRDefault="00607CB8" w:rsidP="00EF7D00">
            <w:pPr>
              <w:pStyle w:val="NormalWeb"/>
              <w:tabs>
                <w:tab w:val="left" w:pos="360"/>
                <w:tab w:val="left" w:pos="720"/>
                <w:tab w:val="left" w:pos="1080"/>
                <w:tab w:val="left" w:pos="1440"/>
              </w:tabs>
              <w:spacing w:before="0" w:beforeAutospacing="0" w:after="0" w:afterAutospacing="0"/>
              <w:jc w:val="right"/>
            </w:pPr>
            <w:r w:rsidRPr="002F3B8D">
              <w:t>$</w:t>
            </w:r>
            <w:r w:rsidR="00463852" w:rsidRPr="002F3B8D">
              <w:t>7,950</w:t>
            </w:r>
          </w:p>
        </w:tc>
      </w:tr>
      <w:tr w:rsidR="00607CB8" w:rsidRPr="00EF7D00" w14:paraId="1B5D002A" w14:textId="77777777" w:rsidTr="0009682D">
        <w:trPr>
          <w:trHeight w:val="389"/>
        </w:trPr>
        <w:tc>
          <w:tcPr>
            <w:tcW w:w="1980" w:type="dxa"/>
            <w:vAlign w:val="center"/>
          </w:tcPr>
          <w:p w14:paraId="6BEF3CFD" w14:textId="6F2CB00F" w:rsidR="00607CB8" w:rsidRPr="002F3B8D" w:rsidRDefault="002F3B8D">
            <w:pPr>
              <w:pStyle w:val="NormalWeb"/>
              <w:tabs>
                <w:tab w:val="left" w:pos="360"/>
                <w:tab w:val="left" w:pos="720"/>
                <w:tab w:val="left" w:pos="1080"/>
                <w:tab w:val="left" w:pos="1440"/>
              </w:tabs>
              <w:spacing w:before="0" w:beforeAutospacing="0" w:after="0" w:afterAutospacing="0"/>
            </w:pPr>
            <w:r>
              <w:t>-7002</w:t>
            </w:r>
            <w:r w:rsidR="00607CB8" w:rsidRPr="002F3B8D">
              <w:t>(d)</w:t>
            </w:r>
          </w:p>
        </w:tc>
        <w:tc>
          <w:tcPr>
            <w:tcW w:w="1476" w:type="dxa"/>
            <w:vAlign w:val="center"/>
          </w:tcPr>
          <w:p w14:paraId="5403ADA5" w14:textId="75EEC96F" w:rsidR="00607CB8" w:rsidRPr="002F3B8D" w:rsidRDefault="008D508D" w:rsidP="00EF7D00">
            <w:pPr>
              <w:pStyle w:val="NormalWeb"/>
              <w:tabs>
                <w:tab w:val="left" w:pos="360"/>
                <w:tab w:val="left" w:pos="720"/>
                <w:tab w:val="left" w:pos="1080"/>
                <w:tab w:val="left" w:pos="1440"/>
              </w:tabs>
              <w:spacing w:before="0" w:beforeAutospacing="0" w:after="0" w:afterAutospacing="0"/>
              <w:jc w:val="right"/>
            </w:pPr>
            <w:r w:rsidRPr="002F3B8D">
              <w:t>10</w:t>
            </w:r>
          </w:p>
        </w:tc>
        <w:tc>
          <w:tcPr>
            <w:tcW w:w="1476" w:type="dxa"/>
            <w:vAlign w:val="center"/>
          </w:tcPr>
          <w:p w14:paraId="2C2976F9" w14:textId="77777777" w:rsidR="00607CB8" w:rsidRPr="002F3B8D" w:rsidRDefault="00607CB8" w:rsidP="00EF7D00">
            <w:pPr>
              <w:pStyle w:val="NormalWeb"/>
              <w:tabs>
                <w:tab w:val="left" w:pos="360"/>
                <w:tab w:val="left" w:pos="720"/>
                <w:tab w:val="left" w:pos="1080"/>
                <w:tab w:val="left" w:pos="1440"/>
              </w:tabs>
              <w:spacing w:before="0" w:beforeAutospacing="0" w:after="0" w:afterAutospacing="0"/>
              <w:jc w:val="right"/>
            </w:pPr>
            <w:r w:rsidRPr="002F3B8D">
              <w:t>24</w:t>
            </w:r>
          </w:p>
        </w:tc>
        <w:tc>
          <w:tcPr>
            <w:tcW w:w="1476" w:type="dxa"/>
            <w:vAlign w:val="center"/>
          </w:tcPr>
          <w:p w14:paraId="4DC5F4BD" w14:textId="5B51DF23" w:rsidR="00607CB8" w:rsidRPr="002F3B8D" w:rsidRDefault="00E033CD" w:rsidP="00EF7D00">
            <w:pPr>
              <w:pStyle w:val="NormalWeb"/>
              <w:tabs>
                <w:tab w:val="left" w:pos="360"/>
                <w:tab w:val="left" w:pos="720"/>
                <w:tab w:val="left" w:pos="1080"/>
                <w:tab w:val="left" w:pos="1440"/>
              </w:tabs>
              <w:spacing w:before="0" w:beforeAutospacing="0" w:after="0" w:afterAutospacing="0"/>
              <w:jc w:val="right"/>
            </w:pPr>
            <w:r w:rsidRPr="002F3B8D">
              <w:t>240</w:t>
            </w:r>
          </w:p>
        </w:tc>
        <w:tc>
          <w:tcPr>
            <w:tcW w:w="1476" w:type="dxa"/>
            <w:vAlign w:val="center"/>
          </w:tcPr>
          <w:p w14:paraId="3E4ADF09" w14:textId="74A04136" w:rsidR="00607CB8" w:rsidRPr="002F3B8D" w:rsidRDefault="00607CB8" w:rsidP="00EF7D00">
            <w:pPr>
              <w:pStyle w:val="NormalWeb"/>
              <w:tabs>
                <w:tab w:val="left" w:pos="360"/>
                <w:tab w:val="left" w:pos="720"/>
                <w:tab w:val="left" w:pos="1080"/>
                <w:tab w:val="left" w:pos="1440"/>
              </w:tabs>
              <w:spacing w:before="0" w:beforeAutospacing="0" w:after="0" w:afterAutospacing="0"/>
              <w:jc w:val="right"/>
            </w:pPr>
            <w:r w:rsidRPr="002F3B8D">
              <w:t>$</w:t>
            </w:r>
            <w:r w:rsidR="00463852" w:rsidRPr="002F3B8D">
              <w:t>53</w:t>
            </w:r>
          </w:p>
        </w:tc>
        <w:tc>
          <w:tcPr>
            <w:tcW w:w="1476" w:type="dxa"/>
            <w:vAlign w:val="center"/>
          </w:tcPr>
          <w:p w14:paraId="595B3715" w14:textId="366F2CE4" w:rsidR="00607CB8" w:rsidRPr="002F3B8D" w:rsidRDefault="00607CB8" w:rsidP="00EF7D00">
            <w:pPr>
              <w:pStyle w:val="NormalWeb"/>
              <w:tabs>
                <w:tab w:val="left" w:pos="360"/>
                <w:tab w:val="left" w:pos="720"/>
                <w:tab w:val="left" w:pos="1080"/>
                <w:tab w:val="left" w:pos="1440"/>
              </w:tabs>
              <w:spacing w:before="0" w:beforeAutospacing="0" w:after="0" w:afterAutospacing="0"/>
              <w:jc w:val="right"/>
            </w:pPr>
            <w:r w:rsidRPr="002F3B8D">
              <w:t>$</w:t>
            </w:r>
            <w:r w:rsidR="00463852" w:rsidRPr="002F3B8D">
              <w:t>12,720</w:t>
            </w:r>
          </w:p>
        </w:tc>
      </w:tr>
      <w:tr w:rsidR="00607CB8" w:rsidRPr="00EF7D00" w14:paraId="06831769" w14:textId="77777777" w:rsidTr="0009682D">
        <w:trPr>
          <w:trHeight w:val="389"/>
        </w:trPr>
        <w:tc>
          <w:tcPr>
            <w:tcW w:w="1980" w:type="dxa"/>
            <w:vAlign w:val="center"/>
          </w:tcPr>
          <w:p w14:paraId="59DC1570" w14:textId="206B253D" w:rsidR="00607CB8" w:rsidRPr="002F3B8D" w:rsidRDefault="002F3B8D">
            <w:pPr>
              <w:pStyle w:val="NormalWeb"/>
              <w:tabs>
                <w:tab w:val="left" w:pos="360"/>
                <w:tab w:val="left" w:pos="720"/>
                <w:tab w:val="left" w:pos="1080"/>
                <w:tab w:val="left" w:pos="1440"/>
              </w:tabs>
              <w:spacing w:before="0" w:beforeAutospacing="0" w:after="0" w:afterAutospacing="0"/>
            </w:pPr>
            <w:r>
              <w:t>-7002</w:t>
            </w:r>
            <w:r w:rsidR="00607CB8" w:rsidRPr="002F3B8D">
              <w:t>(g)</w:t>
            </w:r>
          </w:p>
        </w:tc>
        <w:tc>
          <w:tcPr>
            <w:tcW w:w="1476" w:type="dxa"/>
            <w:vAlign w:val="center"/>
          </w:tcPr>
          <w:p w14:paraId="6B2F3CC8" w14:textId="6ABFB9A7" w:rsidR="00607CB8" w:rsidRPr="002F3B8D" w:rsidRDefault="008D508D" w:rsidP="00EF7D00">
            <w:pPr>
              <w:pStyle w:val="NormalWeb"/>
              <w:tabs>
                <w:tab w:val="left" w:pos="360"/>
                <w:tab w:val="left" w:pos="720"/>
                <w:tab w:val="left" w:pos="1080"/>
                <w:tab w:val="left" w:pos="1440"/>
              </w:tabs>
              <w:spacing w:before="0" w:beforeAutospacing="0" w:after="0" w:afterAutospacing="0"/>
              <w:jc w:val="right"/>
            </w:pPr>
            <w:r w:rsidRPr="002F3B8D">
              <w:t>1,992</w:t>
            </w:r>
          </w:p>
        </w:tc>
        <w:tc>
          <w:tcPr>
            <w:tcW w:w="1476" w:type="dxa"/>
            <w:vAlign w:val="center"/>
          </w:tcPr>
          <w:p w14:paraId="0E3BAF5C" w14:textId="77777777" w:rsidR="00607CB8" w:rsidRPr="002F3B8D" w:rsidRDefault="00607CB8" w:rsidP="00EF7D00">
            <w:pPr>
              <w:pStyle w:val="NormalWeb"/>
              <w:tabs>
                <w:tab w:val="left" w:pos="360"/>
                <w:tab w:val="left" w:pos="720"/>
                <w:tab w:val="left" w:pos="1080"/>
                <w:tab w:val="left" w:pos="1440"/>
              </w:tabs>
              <w:spacing w:before="0" w:beforeAutospacing="0" w:after="0" w:afterAutospacing="0"/>
              <w:jc w:val="right"/>
            </w:pPr>
            <w:r w:rsidRPr="002F3B8D">
              <w:t>0.25</w:t>
            </w:r>
          </w:p>
        </w:tc>
        <w:tc>
          <w:tcPr>
            <w:tcW w:w="1476" w:type="dxa"/>
            <w:vAlign w:val="center"/>
          </w:tcPr>
          <w:p w14:paraId="22C302B6" w14:textId="45E9A726" w:rsidR="00607CB8" w:rsidRPr="002F3B8D" w:rsidRDefault="00E033CD" w:rsidP="00EF7D00">
            <w:pPr>
              <w:pStyle w:val="NormalWeb"/>
              <w:tabs>
                <w:tab w:val="left" w:pos="360"/>
                <w:tab w:val="left" w:pos="720"/>
                <w:tab w:val="left" w:pos="1080"/>
                <w:tab w:val="left" w:pos="1440"/>
              </w:tabs>
              <w:spacing w:before="0" w:beforeAutospacing="0" w:after="0" w:afterAutospacing="0"/>
              <w:jc w:val="right"/>
            </w:pPr>
            <w:r w:rsidRPr="002F3B8D">
              <w:t>498</w:t>
            </w:r>
          </w:p>
        </w:tc>
        <w:tc>
          <w:tcPr>
            <w:tcW w:w="1476" w:type="dxa"/>
            <w:vAlign w:val="center"/>
          </w:tcPr>
          <w:p w14:paraId="2E4BD2FD" w14:textId="2C38AA93" w:rsidR="00607CB8" w:rsidRPr="002F3B8D" w:rsidRDefault="00607CB8" w:rsidP="00EF7D00">
            <w:pPr>
              <w:pStyle w:val="NormalWeb"/>
              <w:tabs>
                <w:tab w:val="left" w:pos="360"/>
                <w:tab w:val="left" w:pos="720"/>
                <w:tab w:val="left" w:pos="1080"/>
                <w:tab w:val="left" w:pos="1440"/>
              </w:tabs>
              <w:spacing w:before="0" w:beforeAutospacing="0" w:after="0" w:afterAutospacing="0"/>
              <w:jc w:val="right"/>
            </w:pPr>
            <w:r w:rsidRPr="002F3B8D">
              <w:t>$</w:t>
            </w:r>
            <w:r w:rsidR="00463852" w:rsidRPr="002F3B8D">
              <w:t>30</w:t>
            </w:r>
          </w:p>
        </w:tc>
        <w:tc>
          <w:tcPr>
            <w:tcW w:w="1476" w:type="dxa"/>
            <w:vAlign w:val="center"/>
          </w:tcPr>
          <w:p w14:paraId="2DEA09B4" w14:textId="116C0855" w:rsidR="00607CB8" w:rsidRPr="002F3B8D" w:rsidRDefault="00607CB8" w:rsidP="00EF7D00">
            <w:pPr>
              <w:pStyle w:val="NormalWeb"/>
              <w:tabs>
                <w:tab w:val="left" w:pos="360"/>
                <w:tab w:val="left" w:pos="720"/>
                <w:tab w:val="left" w:pos="1080"/>
                <w:tab w:val="left" w:pos="1440"/>
              </w:tabs>
              <w:spacing w:before="0" w:beforeAutospacing="0" w:after="0" w:afterAutospacing="0"/>
              <w:jc w:val="right"/>
            </w:pPr>
            <w:r w:rsidRPr="002F3B8D">
              <w:t>$</w:t>
            </w:r>
            <w:r w:rsidR="00463852" w:rsidRPr="002F3B8D">
              <w:t>19,940</w:t>
            </w:r>
          </w:p>
        </w:tc>
      </w:tr>
      <w:tr w:rsidR="00607CB8" w:rsidRPr="00EF7D00" w14:paraId="5293ED07" w14:textId="77777777" w:rsidTr="0009682D">
        <w:trPr>
          <w:trHeight w:val="389"/>
        </w:trPr>
        <w:tc>
          <w:tcPr>
            <w:tcW w:w="1980" w:type="dxa"/>
            <w:vAlign w:val="center"/>
          </w:tcPr>
          <w:p w14:paraId="16558352" w14:textId="49805D51" w:rsidR="00607CB8" w:rsidRPr="002F3B8D" w:rsidRDefault="002F3B8D">
            <w:pPr>
              <w:pStyle w:val="NormalWeb"/>
              <w:tabs>
                <w:tab w:val="left" w:pos="360"/>
                <w:tab w:val="left" w:pos="720"/>
                <w:tab w:val="left" w:pos="1080"/>
                <w:tab w:val="left" w:pos="1440"/>
              </w:tabs>
              <w:spacing w:before="0" w:beforeAutospacing="0" w:after="0" w:afterAutospacing="0"/>
            </w:pPr>
            <w:r w:rsidRPr="00DF382A">
              <w:t>-7003</w:t>
            </w:r>
            <w:r w:rsidR="00607CB8" w:rsidRPr="002F3B8D">
              <w:t>(a)</w:t>
            </w:r>
          </w:p>
        </w:tc>
        <w:tc>
          <w:tcPr>
            <w:tcW w:w="1476" w:type="dxa"/>
            <w:vAlign w:val="center"/>
          </w:tcPr>
          <w:p w14:paraId="699BA5B9" w14:textId="105FFE59" w:rsidR="00607CB8" w:rsidRPr="002F3B8D" w:rsidRDefault="00463852" w:rsidP="00EF7D00">
            <w:pPr>
              <w:pStyle w:val="NormalWeb"/>
              <w:tabs>
                <w:tab w:val="left" w:pos="360"/>
                <w:tab w:val="left" w:pos="720"/>
                <w:tab w:val="left" w:pos="1080"/>
                <w:tab w:val="left" w:pos="1440"/>
              </w:tabs>
              <w:spacing w:before="0" w:beforeAutospacing="0" w:after="0" w:afterAutospacing="0"/>
              <w:jc w:val="right"/>
            </w:pPr>
            <w:r w:rsidRPr="002F3B8D">
              <w:t>2,324</w:t>
            </w:r>
          </w:p>
        </w:tc>
        <w:tc>
          <w:tcPr>
            <w:tcW w:w="1476" w:type="dxa"/>
            <w:vAlign w:val="center"/>
          </w:tcPr>
          <w:p w14:paraId="1331883F" w14:textId="19801303" w:rsidR="00607CB8" w:rsidRPr="002F3B8D" w:rsidRDefault="00607CB8" w:rsidP="00EF7D00">
            <w:pPr>
              <w:pStyle w:val="NormalWeb"/>
              <w:tabs>
                <w:tab w:val="left" w:pos="360"/>
                <w:tab w:val="left" w:pos="720"/>
                <w:tab w:val="left" w:pos="1080"/>
                <w:tab w:val="left" w:pos="1440"/>
              </w:tabs>
              <w:spacing w:before="0" w:beforeAutospacing="0" w:after="0" w:afterAutospacing="0"/>
              <w:jc w:val="right"/>
            </w:pPr>
            <w:r w:rsidRPr="002F3B8D">
              <w:t>.1</w:t>
            </w:r>
            <w:r w:rsidR="00F07E33" w:rsidRPr="002F3B8D">
              <w:t>7</w:t>
            </w:r>
          </w:p>
        </w:tc>
        <w:tc>
          <w:tcPr>
            <w:tcW w:w="1476" w:type="dxa"/>
            <w:vAlign w:val="center"/>
          </w:tcPr>
          <w:p w14:paraId="6E448AC9" w14:textId="6AB462F4" w:rsidR="00607CB8" w:rsidRPr="002F3B8D" w:rsidRDefault="00463852" w:rsidP="00EF7D00">
            <w:pPr>
              <w:pStyle w:val="NormalWeb"/>
              <w:tabs>
                <w:tab w:val="left" w:pos="360"/>
                <w:tab w:val="left" w:pos="720"/>
                <w:tab w:val="left" w:pos="1080"/>
                <w:tab w:val="left" w:pos="1440"/>
              </w:tabs>
              <w:spacing w:before="0" w:beforeAutospacing="0" w:after="0" w:afterAutospacing="0"/>
              <w:jc w:val="right"/>
            </w:pPr>
            <w:r w:rsidRPr="002F3B8D">
              <w:t>395</w:t>
            </w:r>
          </w:p>
        </w:tc>
        <w:tc>
          <w:tcPr>
            <w:tcW w:w="1476" w:type="dxa"/>
            <w:vAlign w:val="center"/>
          </w:tcPr>
          <w:p w14:paraId="568D402C" w14:textId="66CC11B2" w:rsidR="00607CB8" w:rsidRPr="002F3B8D" w:rsidRDefault="00607CB8" w:rsidP="00EF7D00">
            <w:pPr>
              <w:pStyle w:val="NormalWeb"/>
              <w:tabs>
                <w:tab w:val="left" w:pos="360"/>
                <w:tab w:val="left" w:pos="720"/>
                <w:tab w:val="left" w:pos="1080"/>
                <w:tab w:val="left" w:pos="1440"/>
              </w:tabs>
              <w:spacing w:before="0" w:beforeAutospacing="0" w:after="0" w:afterAutospacing="0"/>
              <w:jc w:val="right"/>
            </w:pPr>
            <w:r w:rsidRPr="002F3B8D">
              <w:t>$3</w:t>
            </w:r>
            <w:r w:rsidR="00463852" w:rsidRPr="002F3B8D">
              <w:t>7</w:t>
            </w:r>
          </w:p>
        </w:tc>
        <w:tc>
          <w:tcPr>
            <w:tcW w:w="1476" w:type="dxa"/>
            <w:vAlign w:val="center"/>
          </w:tcPr>
          <w:p w14:paraId="03E3BB45" w14:textId="17BBEB02" w:rsidR="00607CB8" w:rsidRPr="002F3B8D" w:rsidRDefault="00607CB8" w:rsidP="00EF7D00">
            <w:pPr>
              <w:pStyle w:val="NormalWeb"/>
              <w:tabs>
                <w:tab w:val="left" w:pos="360"/>
                <w:tab w:val="left" w:pos="720"/>
                <w:tab w:val="left" w:pos="1080"/>
                <w:tab w:val="left" w:pos="1440"/>
              </w:tabs>
              <w:spacing w:before="0" w:beforeAutospacing="0" w:after="0" w:afterAutospacing="0"/>
              <w:jc w:val="right"/>
            </w:pPr>
            <w:r w:rsidRPr="002F3B8D">
              <w:t>$</w:t>
            </w:r>
            <w:r w:rsidR="00463852" w:rsidRPr="002F3B8D">
              <w:t>14,615</w:t>
            </w:r>
          </w:p>
        </w:tc>
      </w:tr>
      <w:tr w:rsidR="008D508D" w:rsidRPr="00EF7D00" w14:paraId="43288FAC" w14:textId="77777777" w:rsidTr="0009682D">
        <w:trPr>
          <w:trHeight w:val="389"/>
        </w:trPr>
        <w:tc>
          <w:tcPr>
            <w:tcW w:w="1980" w:type="dxa"/>
            <w:vAlign w:val="center"/>
          </w:tcPr>
          <w:p w14:paraId="6961149A" w14:textId="0F0D76C0" w:rsidR="008D508D" w:rsidRPr="002F3B8D" w:rsidRDefault="002F3B8D">
            <w:pPr>
              <w:pStyle w:val="NormalWeb"/>
              <w:tabs>
                <w:tab w:val="left" w:pos="360"/>
                <w:tab w:val="left" w:pos="720"/>
                <w:tab w:val="left" w:pos="1080"/>
                <w:tab w:val="left" w:pos="1440"/>
              </w:tabs>
              <w:spacing w:before="0" w:beforeAutospacing="0" w:after="0" w:afterAutospacing="0"/>
            </w:pPr>
            <w:r w:rsidRPr="00DF382A">
              <w:t>-7003</w:t>
            </w:r>
            <w:r>
              <w:t>(</w:t>
            </w:r>
            <w:r w:rsidR="008D508D" w:rsidRPr="002F3B8D">
              <w:t>b)</w:t>
            </w:r>
            <w:r w:rsidR="004C7343" w:rsidRPr="002F3B8D">
              <w:t xml:space="preserve"> </w:t>
            </w:r>
            <w:r w:rsidR="008D508D" w:rsidRPr="002F3B8D">
              <w:t>&amp; (c)</w:t>
            </w:r>
          </w:p>
        </w:tc>
        <w:tc>
          <w:tcPr>
            <w:tcW w:w="1476" w:type="dxa"/>
            <w:vAlign w:val="center"/>
          </w:tcPr>
          <w:p w14:paraId="4C605227" w14:textId="460B8376" w:rsidR="008D508D" w:rsidRPr="002F3B8D" w:rsidRDefault="008D508D" w:rsidP="00EF7D00">
            <w:pPr>
              <w:pStyle w:val="NormalWeb"/>
              <w:tabs>
                <w:tab w:val="left" w:pos="360"/>
                <w:tab w:val="left" w:pos="720"/>
                <w:tab w:val="left" w:pos="1080"/>
                <w:tab w:val="left" w:pos="1440"/>
              </w:tabs>
              <w:spacing w:before="0" w:beforeAutospacing="0" w:after="0" w:afterAutospacing="0"/>
              <w:jc w:val="right"/>
            </w:pPr>
            <w:r w:rsidRPr="002F3B8D">
              <w:t>500</w:t>
            </w:r>
          </w:p>
        </w:tc>
        <w:tc>
          <w:tcPr>
            <w:tcW w:w="1476" w:type="dxa"/>
            <w:vAlign w:val="center"/>
          </w:tcPr>
          <w:p w14:paraId="263C85D3" w14:textId="42BF2793" w:rsidR="008D508D" w:rsidRPr="002F3B8D" w:rsidRDefault="008D508D" w:rsidP="00EF7D00">
            <w:pPr>
              <w:pStyle w:val="NormalWeb"/>
              <w:tabs>
                <w:tab w:val="left" w:pos="360"/>
                <w:tab w:val="left" w:pos="720"/>
                <w:tab w:val="left" w:pos="1080"/>
                <w:tab w:val="left" w:pos="1440"/>
              </w:tabs>
              <w:spacing w:before="0" w:beforeAutospacing="0" w:after="0" w:afterAutospacing="0"/>
              <w:jc w:val="right"/>
            </w:pPr>
            <w:r w:rsidRPr="002F3B8D">
              <w:t>8.00</w:t>
            </w:r>
          </w:p>
        </w:tc>
        <w:tc>
          <w:tcPr>
            <w:tcW w:w="1476" w:type="dxa"/>
            <w:vAlign w:val="center"/>
          </w:tcPr>
          <w:p w14:paraId="7AE6B974" w14:textId="3A5E06D9" w:rsidR="008D508D" w:rsidRPr="002F3B8D" w:rsidRDefault="008D508D" w:rsidP="00EF7D00">
            <w:pPr>
              <w:pStyle w:val="NormalWeb"/>
              <w:tabs>
                <w:tab w:val="left" w:pos="360"/>
                <w:tab w:val="left" w:pos="720"/>
                <w:tab w:val="left" w:pos="1080"/>
                <w:tab w:val="left" w:pos="1440"/>
              </w:tabs>
              <w:spacing w:before="0" w:beforeAutospacing="0" w:after="0" w:afterAutospacing="0"/>
              <w:jc w:val="right"/>
            </w:pPr>
            <w:r w:rsidRPr="002F3B8D">
              <w:t>4,000</w:t>
            </w:r>
          </w:p>
        </w:tc>
        <w:tc>
          <w:tcPr>
            <w:tcW w:w="1476" w:type="dxa"/>
            <w:vAlign w:val="center"/>
          </w:tcPr>
          <w:p w14:paraId="00659420" w14:textId="14D491A8" w:rsidR="008D508D" w:rsidRPr="002F3B8D" w:rsidRDefault="008D508D" w:rsidP="00EF7D00">
            <w:pPr>
              <w:pStyle w:val="NormalWeb"/>
              <w:tabs>
                <w:tab w:val="left" w:pos="360"/>
                <w:tab w:val="left" w:pos="720"/>
                <w:tab w:val="left" w:pos="1080"/>
                <w:tab w:val="left" w:pos="1440"/>
              </w:tabs>
              <w:spacing w:before="0" w:beforeAutospacing="0" w:after="0" w:afterAutospacing="0"/>
              <w:jc w:val="right"/>
            </w:pPr>
            <w:r w:rsidRPr="002F3B8D">
              <w:t>$3</w:t>
            </w:r>
            <w:r w:rsidR="00463852" w:rsidRPr="002F3B8D">
              <w:t>7</w:t>
            </w:r>
          </w:p>
        </w:tc>
        <w:tc>
          <w:tcPr>
            <w:tcW w:w="1476" w:type="dxa"/>
            <w:vAlign w:val="center"/>
          </w:tcPr>
          <w:p w14:paraId="53F04233" w14:textId="0F3DEF9A" w:rsidR="008D508D" w:rsidRPr="002F3B8D" w:rsidRDefault="008D508D" w:rsidP="00EF7D00">
            <w:pPr>
              <w:pStyle w:val="NormalWeb"/>
              <w:tabs>
                <w:tab w:val="left" w:pos="360"/>
                <w:tab w:val="left" w:pos="720"/>
                <w:tab w:val="left" w:pos="1080"/>
                <w:tab w:val="left" w:pos="1440"/>
              </w:tabs>
              <w:spacing w:before="0" w:beforeAutospacing="0" w:after="0" w:afterAutospacing="0"/>
              <w:jc w:val="right"/>
            </w:pPr>
            <w:r w:rsidRPr="002F3B8D">
              <w:t>$1</w:t>
            </w:r>
            <w:r w:rsidR="00463852" w:rsidRPr="002F3B8D">
              <w:t>4</w:t>
            </w:r>
            <w:r w:rsidRPr="002F3B8D">
              <w:t>8,000</w:t>
            </w:r>
          </w:p>
        </w:tc>
      </w:tr>
      <w:tr w:rsidR="008D508D" w:rsidRPr="00EF7D00" w14:paraId="46B7C671" w14:textId="77777777" w:rsidTr="0009682D">
        <w:trPr>
          <w:trHeight w:val="389"/>
        </w:trPr>
        <w:tc>
          <w:tcPr>
            <w:tcW w:w="1980" w:type="dxa"/>
            <w:vAlign w:val="center"/>
          </w:tcPr>
          <w:p w14:paraId="7C4C6133" w14:textId="3862715F" w:rsidR="008D508D" w:rsidRPr="002F3B8D" w:rsidRDefault="002F3B8D">
            <w:pPr>
              <w:pStyle w:val="NormalWeb"/>
              <w:tabs>
                <w:tab w:val="left" w:pos="360"/>
                <w:tab w:val="left" w:pos="720"/>
                <w:tab w:val="left" w:pos="1080"/>
                <w:tab w:val="left" w:pos="1440"/>
              </w:tabs>
              <w:spacing w:before="0" w:beforeAutospacing="0" w:after="0" w:afterAutospacing="0"/>
            </w:pPr>
            <w:r w:rsidRPr="00DF382A">
              <w:t>-7007</w:t>
            </w:r>
            <w:r w:rsidR="008D508D" w:rsidRPr="002F3B8D">
              <w:t>(</w:t>
            </w:r>
            <w:r w:rsidR="00DC7363">
              <w:t>e)</w:t>
            </w:r>
          </w:p>
        </w:tc>
        <w:tc>
          <w:tcPr>
            <w:tcW w:w="1476" w:type="dxa"/>
            <w:vAlign w:val="center"/>
          </w:tcPr>
          <w:p w14:paraId="1939DBAA" w14:textId="34CF5BB1" w:rsidR="008D508D" w:rsidRPr="002F3B8D" w:rsidRDefault="008D508D" w:rsidP="00EF7D00">
            <w:pPr>
              <w:pStyle w:val="NormalWeb"/>
              <w:tabs>
                <w:tab w:val="left" w:pos="360"/>
                <w:tab w:val="left" w:pos="720"/>
                <w:tab w:val="left" w:pos="1080"/>
                <w:tab w:val="left" w:pos="1440"/>
              </w:tabs>
              <w:spacing w:before="0" w:beforeAutospacing="0" w:after="0" w:afterAutospacing="0"/>
              <w:jc w:val="right"/>
            </w:pPr>
            <w:r w:rsidRPr="002F3B8D">
              <w:t>149</w:t>
            </w:r>
          </w:p>
        </w:tc>
        <w:tc>
          <w:tcPr>
            <w:tcW w:w="1476" w:type="dxa"/>
            <w:vAlign w:val="center"/>
          </w:tcPr>
          <w:p w14:paraId="5BACBF3B" w14:textId="11FD70B7" w:rsidR="008D508D" w:rsidRPr="002F3B8D" w:rsidRDefault="008D508D" w:rsidP="00EF7D00">
            <w:pPr>
              <w:pStyle w:val="NormalWeb"/>
              <w:tabs>
                <w:tab w:val="left" w:pos="360"/>
                <w:tab w:val="left" w:pos="720"/>
                <w:tab w:val="left" w:pos="1080"/>
                <w:tab w:val="left" w:pos="1440"/>
              </w:tabs>
              <w:spacing w:before="0" w:beforeAutospacing="0" w:after="0" w:afterAutospacing="0"/>
              <w:jc w:val="right"/>
            </w:pPr>
            <w:r w:rsidRPr="002F3B8D">
              <w:t>.50</w:t>
            </w:r>
          </w:p>
        </w:tc>
        <w:tc>
          <w:tcPr>
            <w:tcW w:w="1476" w:type="dxa"/>
            <w:vAlign w:val="center"/>
          </w:tcPr>
          <w:p w14:paraId="0D31164D" w14:textId="42D9E709" w:rsidR="008D508D" w:rsidRPr="002F3B8D" w:rsidRDefault="008D508D" w:rsidP="00EF7D00">
            <w:pPr>
              <w:pStyle w:val="NormalWeb"/>
              <w:tabs>
                <w:tab w:val="left" w:pos="360"/>
                <w:tab w:val="left" w:pos="720"/>
                <w:tab w:val="left" w:pos="1080"/>
                <w:tab w:val="left" w:pos="1440"/>
              </w:tabs>
              <w:spacing w:before="0" w:beforeAutospacing="0" w:after="0" w:afterAutospacing="0"/>
              <w:jc w:val="right"/>
            </w:pPr>
            <w:r w:rsidRPr="002F3B8D">
              <w:t>75</w:t>
            </w:r>
          </w:p>
        </w:tc>
        <w:tc>
          <w:tcPr>
            <w:tcW w:w="1476" w:type="dxa"/>
            <w:vAlign w:val="center"/>
          </w:tcPr>
          <w:p w14:paraId="2F312F9C" w14:textId="08FC0B29" w:rsidR="008D508D" w:rsidRPr="002F3B8D" w:rsidRDefault="008D508D" w:rsidP="00EF7D00">
            <w:pPr>
              <w:pStyle w:val="NormalWeb"/>
              <w:tabs>
                <w:tab w:val="left" w:pos="360"/>
                <w:tab w:val="left" w:pos="720"/>
                <w:tab w:val="left" w:pos="1080"/>
                <w:tab w:val="left" w:pos="1440"/>
              </w:tabs>
              <w:spacing w:before="0" w:beforeAutospacing="0" w:after="0" w:afterAutospacing="0"/>
              <w:jc w:val="right"/>
            </w:pPr>
            <w:r w:rsidRPr="002F3B8D">
              <w:t>$</w:t>
            </w:r>
            <w:r w:rsidR="00463852" w:rsidRPr="002F3B8D">
              <w:t>45</w:t>
            </w:r>
          </w:p>
        </w:tc>
        <w:tc>
          <w:tcPr>
            <w:tcW w:w="1476" w:type="dxa"/>
            <w:vAlign w:val="center"/>
          </w:tcPr>
          <w:p w14:paraId="0CFC50E3" w14:textId="36C33DD7" w:rsidR="008D508D" w:rsidRPr="002F3B8D" w:rsidRDefault="008D508D" w:rsidP="00EF7D00">
            <w:pPr>
              <w:pStyle w:val="NormalWeb"/>
              <w:tabs>
                <w:tab w:val="left" w:pos="360"/>
                <w:tab w:val="left" w:pos="720"/>
                <w:tab w:val="left" w:pos="1080"/>
                <w:tab w:val="left" w:pos="1440"/>
              </w:tabs>
              <w:spacing w:before="0" w:beforeAutospacing="0" w:after="0" w:afterAutospacing="0"/>
              <w:jc w:val="right"/>
            </w:pPr>
            <w:r w:rsidRPr="002F3B8D">
              <w:t>$</w:t>
            </w:r>
            <w:r w:rsidR="00463852" w:rsidRPr="002F3B8D">
              <w:t>3,375</w:t>
            </w:r>
          </w:p>
        </w:tc>
      </w:tr>
      <w:tr w:rsidR="008D508D" w:rsidRPr="00EF7D00" w14:paraId="4B82B243" w14:textId="77777777" w:rsidTr="0009682D">
        <w:trPr>
          <w:trHeight w:val="389"/>
        </w:trPr>
        <w:tc>
          <w:tcPr>
            <w:tcW w:w="1980" w:type="dxa"/>
            <w:vAlign w:val="center"/>
          </w:tcPr>
          <w:p w14:paraId="3EAB59BB" w14:textId="30C86FA1" w:rsidR="008D508D" w:rsidRPr="0009682D" w:rsidRDefault="008D508D" w:rsidP="00EF7D00">
            <w:pPr>
              <w:pStyle w:val="NormalWeb"/>
              <w:tabs>
                <w:tab w:val="left" w:pos="360"/>
                <w:tab w:val="left" w:pos="720"/>
                <w:tab w:val="left" w:pos="1080"/>
                <w:tab w:val="left" w:pos="1440"/>
              </w:tabs>
              <w:spacing w:before="0" w:beforeAutospacing="0" w:after="0" w:afterAutospacing="0"/>
            </w:pPr>
            <w:r w:rsidRPr="0009682D">
              <w:t>TOTAL</w:t>
            </w:r>
          </w:p>
        </w:tc>
        <w:tc>
          <w:tcPr>
            <w:tcW w:w="1476" w:type="dxa"/>
            <w:vAlign w:val="center"/>
          </w:tcPr>
          <w:p w14:paraId="4E9E3B37" w14:textId="04D8A7C6" w:rsidR="008D508D" w:rsidRPr="0009682D" w:rsidRDefault="008D508D" w:rsidP="00EF7D00">
            <w:pPr>
              <w:pStyle w:val="NormalWeb"/>
              <w:tabs>
                <w:tab w:val="left" w:pos="360"/>
                <w:tab w:val="left" w:pos="720"/>
                <w:tab w:val="left" w:pos="1080"/>
                <w:tab w:val="left" w:pos="1440"/>
              </w:tabs>
              <w:spacing w:before="0" w:beforeAutospacing="0" w:after="0" w:afterAutospacing="0"/>
              <w:jc w:val="right"/>
            </w:pPr>
            <w:r w:rsidRPr="0009682D">
              <w:t>39,</w:t>
            </w:r>
            <w:r w:rsidR="00463852" w:rsidRPr="0009682D">
              <w:t>443</w:t>
            </w:r>
          </w:p>
        </w:tc>
        <w:tc>
          <w:tcPr>
            <w:tcW w:w="1476" w:type="dxa"/>
            <w:vAlign w:val="center"/>
          </w:tcPr>
          <w:p w14:paraId="2752967B" w14:textId="0CDDC777" w:rsidR="008D508D" w:rsidRPr="0009682D" w:rsidRDefault="008D508D" w:rsidP="00EF7D00">
            <w:pPr>
              <w:pStyle w:val="NormalWeb"/>
              <w:tabs>
                <w:tab w:val="left" w:pos="360"/>
                <w:tab w:val="left" w:pos="720"/>
                <w:tab w:val="left" w:pos="1080"/>
                <w:tab w:val="left" w:pos="1440"/>
              </w:tabs>
              <w:spacing w:before="0" w:beforeAutospacing="0" w:after="0" w:afterAutospacing="0"/>
              <w:jc w:val="right"/>
            </w:pPr>
            <w:r w:rsidRPr="0009682D">
              <w:t>.</w:t>
            </w:r>
            <w:r w:rsidR="00463852" w:rsidRPr="0009682D">
              <w:t>82</w:t>
            </w:r>
          </w:p>
        </w:tc>
        <w:tc>
          <w:tcPr>
            <w:tcW w:w="1476" w:type="dxa"/>
            <w:vAlign w:val="center"/>
          </w:tcPr>
          <w:p w14:paraId="2663BCEF" w14:textId="52781C8B" w:rsidR="008D508D" w:rsidRPr="0009682D" w:rsidRDefault="00463852" w:rsidP="00EF7D00">
            <w:pPr>
              <w:pStyle w:val="NormalWeb"/>
              <w:tabs>
                <w:tab w:val="left" w:pos="360"/>
                <w:tab w:val="left" w:pos="720"/>
                <w:tab w:val="left" w:pos="1080"/>
                <w:tab w:val="left" w:pos="1440"/>
              </w:tabs>
              <w:spacing w:before="0" w:beforeAutospacing="0" w:after="0" w:afterAutospacing="0"/>
              <w:jc w:val="right"/>
            </w:pPr>
            <w:r w:rsidRPr="0009682D">
              <w:t>40,544</w:t>
            </w:r>
          </w:p>
        </w:tc>
        <w:tc>
          <w:tcPr>
            <w:tcW w:w="1476" w:type="dxa"/>
            <w:vAlign w:val="center"/>
          </w:tcPr>
          <w:p w14:paraId="5B53E4E7" w14:textId="09DB772D" w:rsidR="008D508D" w:rsidRPr="0009682D" w:rsidRDefault="008D508D" w:rsidP="00EF7D00">
            <w:pPr>
              <w:pStyle w:val="NormalWeb"/>
              <w:tabs>
                <w:tab w:val="left" w:pos="360"/>
                <w:tab w:val="left" w:pos="720"/>
                <w:tab w:val="left" w:pos="1080"/>
                <w:tab w:val="left" w:pos="1440"/>
              </w:tabs>
              <w:spacing w:before="0" w:beforeAutospacing="0" w:after="0" w:afterAutospacing="0"/>
              <w:jc w:val="right"/>
            </w:pPr>
            <w:r w:rsidRPr="0009682D">
              <w:t>$</w:t>
            </w:r>
            <w:r w:rsidR="00463852" w:rsidRPr="0009682D">
              <w:t>45</w:t>
            </w:r>
          </w:p>
        </w:tc>
        <w:tc>
          <w:tcPr>
            <w:tcW w:w="1476" w:type="dxa"/>
            <w:vAlign w:val="center"/>
          </w:tcPr>
          <w:p w14:paraId="3C816815" w14:textId="561E211A" w:rsidR="008D508D" w:rsidRPr="0009682D" w:rsidRDefault="008D508D" w:rsidP="00EF7D00">
            <w:pPr>
              <w:pStyle w:val="NormalWeb"/>
              <w:tabs>
                <w:tab w:val="left" w:pos="360"/>
                <w:tab w:val="left" w:pos="720"/>
                <w:tab w:val="left" w:pos="1080"/>
                <w:tab w:val="left" w:pos="1440"/>
              </w:tabs>
              <w:spacing w:before="0" w:beforeAutospacing="0" w:after="0" w:afterAutospacing="0"/>
              <w:jc w:val="right"/>
            </w:pPr>
            <w:r w:rsidRPr="0009682D">
              <w:t>$</w:t>
            </w:r>
            <w:r w:rsidR="00463852" w:rsidRPr="0009682D">
              <w:t>1,739,310</w:t>
            </w:r>
          </w:p>
        </w:tc>
      </w:tr>
    </w:tbl>
    <w:p w14:paraId="67374A4D" w14:textId="77777777" w:rsidR="00607CB8" w:rsidRPr="00EF7D00" w:rsidRDefault="00607CB8" w:rsidP="00EF7D00">
      <w:pPr>
        <w:pStyle w:val="NormalWeb"/>
        <w:tabs>
          <w:tab w:val="left" w:pos="360"/>
          <w:tab w:val="left" w:pos="720"/>
          <w:tab w:val="left" w:pos="1080"/>
          <w:tab w:val="left" w:pos="1440"/>
        </w:tabs>
        <w:spacing w:before="0" w:beforeAutospacing="0" w:after="0" w:afterAutospacing="0"/>
      </w:pPr>
    </w:p>
    <w:p w14:paraId="4A33C69E" w14:textId="355CDCB9" w:rsidR="005E0A0F" w:rsidRPr="00EF7D00" w:rsidRDefault="003A4BD3" w:rsidP="00EF7D00">
      <w:pPr>
        <w:pStyle w:val="NormalWeb"/>
        <w:tabs>
          <w:tab w:val="left" w:pos="360"/>
          <w:tab w:val="left" w:pos="720"/>
          <w:tab w:val="left" w:pos="1080"/>
          <w:tab w:val="left" w:pos="1440"/>
        </w:tabs>
        <w:spacing w:before="0" w:beforeAutospacing="0" w:after="0" w:afterAutospacing="0"/>
        <w:rPr>
          <w:u w:val="single"/>
        </w:rPr>
      </w:pPr>
      <w:r w:rsidRPr="00EF7D00">
        <w:t>1</w:t>
      </w:r>
      <w:r w:rsidR="005E0A0F" w:rsidRPr="00EF7D00">
        <w:t>5.</w:t>
      </w:r>
      <w:r w:rsidR="007F14BC" w:rsidRPr="00EF7D00">
        <w:t xml:space="preserve">  </w:t>
      </w:r>
      <w:r w:rsidR="005E0A0F" w:rsidRPr="00EF7D00">
        <w:rPr>
          <w:u w:val="single"/>
        </w:rPr>
        <w:t>Reasons for Change in Burden</w:t>
      </w:r>
    </w:p>
    <w:p w14:paraId="39F9B182" w14:textId="77777777" w:rsidR="003A4BD3" w:rsidRPr="00EF7D00" w:rsidRDefault="003A4BD3" w:rsidP="00EF7D00">
      <w:pPr>
        <w:pStyle w:val="NormalWeb"/>
        <w:tabs>
          <w:tab w:val="left" w:pos="360"/>
          <w:tab w:val="left" w:pos="720"/>
          <w:tab w:val="left" w:pos="1080"/>
          <w:tab w:val="left" w:pos="1440"/>
        </w:tabs>
        <w:spacing w:before="0" w:beforeAutospacing="0" w:after="0" w:afterAutospacing="0"/>
      </w:pPr>
    </w:p>
    <w:bookmarkEnd w:id="16"/>
    <w:p w14:paraId="3F5778C2" w14:textId="31301521" w:rsidR="00EB0C6C" w:rsidRDefault="00551ADB" w:rsidP="00EF7D00">
      <w:pPr>
        <w:pStyle w:val="FootnoteText"/>
        <w:tabs>
          <w:tab w:val="left" w:pos="360"/>
        </w:tabs>
        <w:ind w:firstLine="360"/>
        <w:rPr>
          <w:sz w:val="24"/>
          <w:szCs w:val="24"/>
        </w:rPr>
      </w:pPr>
      <w:r w:rsidRPr="00EF7D00">
        <w:rPr>
          <w:sz w:val="24"/>
          <w:szCs w:val="24"/>
        </w:rPr>
        <w:t>The reason</w:t>
      </w:r>
      <w:r w:rsidR="00067BE2" w:rsidRPr="00EF7D00">
        <w:rPr>
          <w:sz w:val="24"/>
          <w:szCs w:val="24"/>
        </w:rPr>
        <w:t>s</w:t>
      </w:r>
      <w:r w:rsidRPr="00EF7D00">
        <w:rPr>
          <w:sz w:val="24"/>
          <w:szCs w:val="24"/>
        </w:rPr>
        <w:t xml:space="preserve"> for the change in burden </w:t>
      </w:r>
      <w:r w:rsidR="00067BE2" w:rsidRPr="00EF7D00">
        <w:rPr>
          <w:sz w:val="24"/>
          <w:szCs w:val="24"/>
        </w:rPr>
        <w:t>are not attributed to any programmatic changes.  The</w:t>
      </w:r>
      <w:r w:rsidR="0020797A" w:rsidRPr="00EF7D00">
        <w:rPr>
          <w:sz w:val="24"/>
          <w:szCs w:val="24"/>
        </w:rPr>
        <w:t xml:space="preserve"> technical expert from the</w:t>
      </w:r>
      <w:r w:rsidR="00067BE2" w:rsidRPr="00EF7D00">
        <w:rPr>
          <w:sz w:val="24"/>
          <w:szCs w:val="24"/>
        </w:rPr>
        <w:t xml:space="preserve"> </w:t>
      </w:r>
      <w:r w:rsidR="0020797A" w:rsidRPr="00EF7D00">
        <w:rPr>
          <w:sz w:val="24"/>
          <w:szCs w:val="24"/>
        </w:rPr>
        <w:t xml:space="preserve">DoD Explosives and Safety Board notes that </w:t>
      </w:r>
      <w:r w:rsidR="00082075" w:rsidRPr="00EF7D00">
        <w:rPr>
          <w:sz w:val="24"/>
          <w:szCs w:val="24"/>
        </w:rPr>
        <w:t xml:space="preserve">the </w:t>
      </w:r>
      <w:r w:rsidR="0020797A" w:rsidRPr="00EF7D00">
        <w:rPr>
          <w:sz w:val="24"/>
          <w:szCs w:val="24"/>
        </w:rPr>
        <w:t>drop in the annual number of mishaps from 15 to 10</w:t>
      </w:r>
      <w:r w:rsidR="003F79A7" w:rsidRPr="00EF7D00">
        <w:rPr>
          <w:sz w:val="24"/>
          <w:szCs w:val="24"/>
        </w:rPr>
        <w:t xml:space="preserve"> </w:t>
      </w:r>
      <w:r w:rsidR="002F3B8D">
        <w:rPr>
          <w:sz w:val="24"/>
          <w:szCs w:val="24"/>
        </w:rPr>
        <w:t xml:space="preserve">for </w:t>
      </w:r>
      <w:r w:rsidR="003F79A7" w:rsidRPr="00EF7D00">
        <w:rPr>
          <w:sz w:val="24"/>
          <w:szCs w:val="24"/>
        </w:rPr>
        <w:t>252.223-7002(d)</w:t>
      </w:r>
      <w:r w:rsidR="0020797A" w:rsidRPr="00EF7D00">
        <w:rPr>
          <w:sz w:val="24"/>
          <w:szCs w:val="24"/>
        </w:rPr>
        <w:t xml:space="preserve"> is due to the increased oversi</w:t>
      </w:r>
      <w:r w:rsidR="00556B5E">
        <w:rPr>
          <w:sz w:val="24"/>
          <w:szCs w:val="24"/>
        </w:rPr>
        <w:t>ght</w:t>
      </w:r>
      <w:r w:rsidR="0020797A" w:rsidRPr="00EF7D00">
        <w:rPr>
          <w:sz w:val="24"/>
          <w:szCs w:val="24"/>
        </w:rPr>
        <w:t xml:space="preserve"> put forth by </w:t>
      </w:r>
      <w:r w:rsidR="002F3B8D">
        <w:rPr>
          <w:sz w:val="24"/>
          <w:szCs w:val="24"/>
        </w:rPr>
        <w:t xml:space="preserve">the </w:t>
      </w:r>
      <w:r w:rsidR="0020797A" w:rsidRPr="00EF7D00">
        <w:rPr>
          <w:sz w:val="24"/>
          <w:szCs w:val="24"/>
        </w:rPr>
        <w:t>D</w:t>
      </w:r>
      <w:r w:rsidR="002F3B8D">
        <w:rPr>
          <w:sz w:val="24"/>
          <w:szCs w:val="24"/>
        </w:rPr>
        <w:t xml:space="preserve">efense </w:t>
      </w:r>
      <w:r w:rsidR="0020797A" w:rsidRPr="00EF7D00">
        <w:rPr>
          <w:sz w:val="24"/>
          <w:szCs w:val="24"/>
        </w:rPr>
        <w:t>C</w:t>
      </w:r>
      <w:r w:rsidR="002F3B8D">
        <w:rPr>
          <w:sz w:val="24"/>
          <w:szCs w:val="24"/>
        </w:rPr>
        <w:t xml:space="preserve">ontract </w:t>
      </w:r>
      <w:r w:rsidR="0020797A" w:rsidRPr="00EF7D00">
        <w:rPr>
          <w:sz w:val="24"/>
          <w:szCs w:val="24"/>
        </w:rPr>
        <w:t>M</w:t>
      </w:r>
      <w:r w:rsidR="002F3B8D">
        <w:rPr>
          <w:sz w:val="24"/>
          <w:szCs w:val="24"/>
        </w:rPr>
        <w:t xml:space="preserve">anagement </w:t>
      </w:r>
      <w:r w:rsidR="0020797A" w:rsidRPr="00EF7D00">
        <w:rPr>
          <w:sz w:val="24"/>
          <w:szCs w:val="24"/>
        </w:rPr>
        <w:t>A</w:t>
      </w:r>
      <w:r w:rsidR="002F3B8D">
        <w:rPr>
          <w:sz w:val="24"/>
          <w:szCs w:val="24"/>
        </w:rPr>
        <w:t>gency</w:t>
      </w:r>
      <w:r w:rsidR="003F79A7" w:rsidRPr="00EF7D00">
        <w:rPr>
          <w:sz w:val="24"/>
          <w:szCs w:val="24"/>
        </w:rPr>
        <w:t xml:space="preserve"> in recent years</w:t>
      </w:r>
      <w:r w:rsidR="0020797A" w:rsidRPr="00EF7D00">
        <w:rPr>
          <w:sz w:val="24"/>
          <w:szCs w:val="24"/>
        </w:rPr>
        <w:t>.  He also notes that in the previous 2014 Paperwork Reduction Act</w:t>
      </w:r>
      <w:r w:rsidR="0074793C" w:rsidRPr="00EF7D00">
        <w:rPr>
          <w:sz w:val="24"/>
          <w:szCs w:val="24"/>
        </w:rPr>
        <w:t xml:space="preserve"> </w:t>
      </w:r>
      <w:r w:rsidR="0020797A" w:rsidRPr="00EF7D00">
        <w:rPr>
          <w:sz w:val="24"/>
          <w:szCs w:val="24"/>
        </w:rPr>
        <w:t>submission, the</w:t>
      </w:r>
      <w:r w:rsidR="003F79A7" w:rsidRPr="00EF7D00">
        <w:rPr>
          <w:sz w:val="24"/>
          <w:szCs w:val="24"/>
        </w:rPr>
        <w:t xml:space="preserve"> amount of time needed to prepare the paperwork necessary to request a change in the place of performance</w:t>
      </w:r>
      <w:r w:rsidR="00082075" w:rsidRPr="00EF7D00">
        <w:rPr>
          <w:sz w:val="24"/>
          <w:szCs w:val="24"/>
        </w:rPr>
        <w:t xml:space="preserve"> pursuant with 252.223-7003(c)</w:t>
      </w:r>
      <w:r w:rsidR="003F79A7" w:rsidRPr="00EF7D00">
        <w:rPr>
          <w:sz w:val="24"/>
          <w:szCs w:val="24"/>
        </w:rPr>
        <w:t xml:space="preserve"> was underestimated, since the nature of the work involved dictates that such a request must </w:t>
      </w:r>
      <w:r w:rsidR="00082075" w:rsidRPr="00EF7D00">
        <w:rPr>
          <w:sz w:val="24"/>
          <w:szCs w:val="24"/>
        </w:rPr>
        <w:t xml:space="preserve">be extremely </w:t>
      </w:r>
      <w:r w:rsidR="0074793C" w:rsidRPr="00EF7D00">
        <w:rPr>
          <w:sz w:val="24"/>
          <w:szCs w:val="24"/>
        </w:rPr>
        <w:t>detail-oriented.  Other changes to the burden amounts reflect the use of updated FPDS information</w:t>
      </w:r>
      <w:r w:rsidR="003F79A7" w:rsidRPr="00EF7D00">
        <w:rPr>
          <w:sz w:val="24"/>
          <w:szCs w:val="24"/>
        </w:rPr>
        <w:t xml:space="preserve"> and </w:t>
      </w:r>
      <w:r w:rsidR="00082075" w:rsidRPr="00EF7D00">
        <w:rPr>
          <w:sz w:val="24"/>
          <w:szCs w:val="24"/>
        </w:rPr>
        <w:t xml:space="preserve">the application of </w:t>
      </w:r>
      <w:r w:rsidR="00967B6D" w:rsidRPr="00EF7D00">
        <w:rPr>
          <w:sz w:val="24"/>
          <w:szCs w:val="24"/>
        </w:rPr>
        <w:t>FY 2017</w:t>
      </w:r>
      <w:r w:rsidR="0074793C" w:rsidRPr="00EF7D00">
        <w:rPr>
          <w:sz w:val="24"/>
          <w:szCs w:val="24"/>
        </w:rPr>
        <w:t xml:space="preserve"> GS hourly rates.  </w:t>
      </w:r>
      <w:r w:rsidR="00B040E7" w:rsidRPr="00EF7D00">
        <w:rPr>
          <w:sz w:val="24"/>
          <w:szCs w:val="24"/>
        </w:rPr>
        <w:t xml:space="preserve">Recordkeeping hours to maintain </w:t>
      </w:r>
      <w:r w:rsidR="000D5967">
        <w:rPr>
          <w:sz w:val="24"/>
          <w:szCs w:val="24"/>
        </w:rPr>
        <w:t>p</w:t>
      </w:r>
      <w:r w:rsidR="00B040E7" w:rsidRPr="00EF7D00">
        <w:rPr>
          <w:sz w:val="24"/>
          <w:szCs w:val="24"/>
        </w:rPr>
        <w:t>rogram records under 252.223-7004 were adjusted downward slightly from 48 to 40 to account for program maturity</w:t>
      </w:r>
      <w:r w:rsidR="000D5967">
        <w:rPr>
          <w:sz w:val="24"/>
          <w:szCs w:val="24"/>
        </w:rPr>
        <w:t xml:space="preserve"> for ongoing programs</w:t>
      </w:r>
      <w:r w:rsidR="00B040E7" w:rsidRPr="00EF7D00">
        <w:rPr>
          <w:sz w:val="24"/>
          <w:szCs w:val="24"/>
        </w:rPr>
        <w:t>.</w:t>
      </w:r>
    </w:p>
    <w:p w14:paraId="07533200" w14:textId="77777777" w:rsidR="00C600DB" w:rsidRDefault="00C600DB" w:rsidP="0009682D">
      <w:pPr>
        <w:pStyle w:val="FootnoteText"/>
        <w:tabs>
          <w:tab w:val="left" w:pos="360"/>
        </w:tabs>
        <w:rPr>
          <w:sz w:val="24"/>
          <w:szCs w:val="24"/>
        </w:rPr>
      </w:pPr>
    </w:p>
    <w:tbl>
      <w:tblPr>
        <w:tblStyle w:val="TableGrid"/>
        <w:tblW w:w="9000" w:type="dxa"/>
        <w:tblInd w:w="175" w:type="dxa"/>
        <w:tblLayout w:type="fixed"/>
        <w:tblLook w:val="04A0" w:firstRow="1" w:lastRow="0" w:firstColumn="1" w:lastColumn="0" w:noHBand="0" w:noVBand="1"/>
      </w:tblPr>
      <w:tblGrid>
        <w:gridCol w:w="3972"/>
        <w:gridCol w:w="1676"/>
        <w:gridCol w:w="1676"/>
        <w:gridCol w:w="1676"/>
      </w:tblGrid>
      <w:tr w:rsidR="00C600DB" w:rsidRPr="00DF382A" w14:paraId="6B9DE121" w14:textId="77777777" w:rsidTr="0009682D">
        <w:trPr>
          <w:trHeight w:val="389"/>
        </w:trPr>
        <w:tc>
          <w:tcPr>
            <w:tcW w:w="3972" w:type="dxa"/>
            <w:vAlign w:val="center"/>
          </w:tcPr>
          <w:p w14:paraId="7EBD423A" w14:textId="21E815C6" w:rsidR="00C600DB" w:rsidRPr="00DF382A" w:rsidRDefault="00692AED" w:rsidP="0009682D">
            <w:pPr>
              <w:pStyle w:val="NormalWeb"/>
              <w:tabs>
                <w:tab w:val="left" w:pos="360"/>
                <w:tab w:val="left" w:pos="720"/>
                <w:tab w:val="left" w:pos="1080"/>
                <w:tab w:val="left" w:pos="1440"/>
              </w:tabs>
              <w:spacing w:before="0" w:beforeAutospacing="0" w:after="0" w:afterAutospacing="0"/>
            </w:pPr>
            <w:r>
              <w:t>0704-0272: Reporting</w:t>
            </w:r>
            <w:r w:rsidR="00C600DB">
              <w:t xml:space="preserve"> </w:t>
            </w:r>
          </w:p>
        </w:tc>
        <w:tc>
          <w:tcPr>
            <w:tcW w:w="1676" w:type="dxa"/>
            <w:vAlign w:val="center"/>
          </w:tcPr>
          <w:p w14:paraId="7DE85FDA" w14:textId="1EC9198B" w:rsidR="00C600DB" w:rsidRPr="00DF382A" w:rsidRDefault="00C600DB">
            <w:pPr>
              <w:pStyle w:val="NormalWeb"/>
              <w:tabs>
                <w:tab w:val="left" w:pos="360"/>
                <w:tab w:val="left" w:pos="720"/>
                <w:tab w:val="left" w:pos="1080"/>
                <w:tab w:val="left" w:pos="1440"/>
              </w:tabs>
              <w:spacing w:before="0" w:beforeAutospacing="0" w:after="0" w:afterAutospacing="0"/>
              <w:jc w:val="center"/>
            </w:pPr>
            <w:r>
              <w:t>2014</w:t>
            </w:r>
          </w:p>
        </w:tc>
        <w:tc>
          <w:tcPr>
            <w:tcW w:w="1676" w:type="dxa"/>
            <w:vAlign w:val="center"/>
          </w:tcPr>
          <w:p w14:paraId="56B22FBF" w14:textId="30F7F001" w:rsidR="00C600DB" w:rsidRPr="00DF382A" w:rsidRDefault="00C600DB">
            <w:pPr>
              <w:pStyle w:val="NormalWeb"/>
              <w:tabs>
                <w:tab w:val="left" w:pos="360"/>
                <w:tab w:val="left" w:pos="720"/>
                <w:tab w:val="left" w:pos="1080"/>
                <w:tab w:val="left" w:pos="1440"/>
              </w:tabs>
              <w:spacing w:before="0" w:beforeAutospacing="0" w:after="0" w:afterAutospacing="0"/>
              <w:jc w:val="center"/>
            </w:pPr>
            <w:r>
              <w:t>2017</w:t>
            </w:r>
          </w:p>
        </w:tc>
        <w:tc>
          <w:tcPr>
            <w:tcW w:w="1676" w:type="dxa"/>
            <w:vAlign w:val="center"/>
          </w:tcPr>
          <w:p w14:paraId="510C9ADD" w14:textId="225E292B" w:rsidR="00C600DB" w:rsidRPr="00DF382A" w:rsidRDefault="00C600DB">
            <w:pPr>
              <w:pStyle w:val="NormalWeb"/>
              <w:tabs>
                <w:tab w:val="left" w:pos="360"/>
                <w:tab w:val="left" w:pos="720"/>
                <w:tab w:val="left" w:pos="1080"/>
                <w:tab w:val="left" w:pos="1440"/>
              </w:tabs>
              <w:spacing w:before="0" w:beforeAutospacing="0" w:after="0" w:afterAutospacing="0"/>
              <w:jc w:val="center"/>
            </w:pPr>
            <w:r>
              <w:t>Change</w:t>
            </w:r>
          </w:p>
        </w:tc>
      </w:tr>
      <w:tr w:rsidR="00692AED" w:rsidRPr="002F3B8D" w14:paraId="39CD9162" w14:textId="77777777" w:rsidTr="00932C6E">
        <w:trPr>
          <w:trHeight w:val="389"/>
        </w:trPr>
        <w:tc>
          <w:tcPr>
            <w:tcW w:w="3972" w:type="dxa"/>
            <w:vAlign w:val="center"/>
          </w:tcPr>
          <w:p w14:paraId="1BDC5BC7" w14:textId="1E4F3758" w:rsidR="00692AED" w:rsidRDefault="00692AED" w:rsidP="00932C6E">
            <w:pPr>
              <w:pStyle w:val="NormalWeb"/>
              <w:tabs>
                <w:tab w:val="left" w:pos="360"/>
                <w:tab w:val="left" w:pos="720"/>
                <w:tab w:val="left" w:pos="1080"/>
                <w:tab w:val="left" w:pos="1440"/>
              </w:tabs>
              <w:spacing w:before="0" w:beforeAutospacing="0" w:after="0" w:afterAutospacing="0"/>
            </w:pPr>
            <w:r>
              <w:t>Respondents</w:t>
            </w:r>
          </w:p>
        </w:tc>
        <w:tc>
          <w:tcPr>
            <w:tcW w:w="1676" w:type="dxa"/>
            <w:vAlign w:val="center"/>
          </w:tcPr>
          <w:p w14:paraId="6FB99118" w14:textId="5F980786" w:rsidR="00692AED" w:rsidRPr="002F3B8D" w:rsidRDefault="00692AED" w:rsidP="00692AED">
            <w:pPr>
              <w:pStyle w:val="NormalWeb"/>
              <w:tabs>
                <w:tab w:val="left" w:pos="360"/>
                <w:tab w:val="left" w:pos="720"/>
                <w:tab w:val="left" w:pos="1080"/>
                <w:tab w:val="left" w:pos="1440"/>
              </w:tabs>
              <w:spacing w:before="0" w:beforeAutospacing="0" w:after="0" w:afterAutospacing="0"/>
              <w:jc w:val="center"/>
            </w:pPr>
            <w:r>
              <w:t>1,519</w:t>
            </w:r>
          </w:p>
        </w:tc>
        <w:tc>
          <w:tcPr>
            <w:tcW w:w="1676" w:type="dxa"/>
            <w:vAlign w:val="center"/>
          </w:tcPr>
          <w:p w14:paraId="3D004193" w14:textId="600ADD2B" w:rsidR="00692AED" w:rsidRDefault="00692AED" w:rsidP="00932C6E">
            <w:pPr>
              <w:pStyle w:val="NormalWeb"/>
              <w:tabs>
                <w:tab w:val="left" w:pos="360"/>
                <w:tab w:val="left" w:pos="720"/>
                <w:tab w:val="left" w:pos="1080"/>
                <w:tab w:val="left" w:pos="1440"/>
              </w:tabs>
              <w:spacing w:before="0" w:beforeAutospacing="0" w:after="0" w:afterAutospacing="0"/>
              <w:jc w:val="center"/>
            </w:pPr>
            <w:r>
              <w:t>3,695</w:t>
            </w:r>
          </w:p>
        </w:tc>
        <w:tc>
          <w:tcPr>
            <w:tcW w:w="1676" w:type="dxa"/>
            <w:vAlign w:val="center"/>
          </w:tcPr>
          <w:p w14:paraId="4DE087FB" w14:textId="1250601D" w:rsidR="00692AED" w:rsidRPr="002F3B8D" w:rsidRDefault="008271BA" w:rsidP="00932C6E">
            <w:pPr>
              <w:pStyle w:val="NormalWeb"/>
              <w:tabs>
                <w:tab w:val="left" w:pos="360"/>
                <w:tab w:val="left" w:pos="720"/>
                <w:tab w:val="left" w:pos="1080"/>
                <w:tab w:val="left" w:pos="1440"/>
              </w:tabs>
              <w:spacing w:before="0" w:beforeAutospacing="0" w:after="0" w:afterAutospacing="0"/>
              <w:jc w:val="center"/>
            </w:pPr>
            <w:r>
              <w:t>+2,176</w:t>
            </w:r>
          </w:p>
        </w:tc>
      </w:tr>
      <w:tr w:rsidR="00932C6E" w:rsidRPr="002F3B8D" w14:paraId="6E2CCB9A" w14:textId="77777777" w:rsidTr="0009682D">
        <w:trPr>
          <w:trHeight w:val="389"/>
        </w:trPr>
        <w:tc>
          <w:tcPr>
            <w:tcW w:w="3972" w:type="dxa"/>
            <w:vAlign w:val="center"/>
          </w:tcPr>
          <w:p w14:paraId="24813C09" w14:textId="302BCB0F" w:rsidR="00932C6E" w:rsidRPr="002F3B8D" w:rsidRDefault="00692AED" w:rsidP="0009682D">
            <w:pPr>
              <w:pStyle w:val="NormalWeb"/>
              <w:tabs>
                <w:tab w:val="left" w:pos="360"/>
                <w:tab w:val="left" w:pos="720"/>
                <w:tab w:val="left" w:pos="1080"/>
                <w:tab w:val="left" w:pos="1440"/>
              </w:tabs>
              <w:spacing w:before="0" w:beforeAutospacing="0" w:after="0" w:afterAutospacing="0"/>
            </w:pPr>
            <w:r>
              <w:t>Responses</w:t>
            </w:r>
          </w:p>
        </w:tc>
        <w:tc>
          <w:tcPr>
            <w:tcW w:w="1676" w:type="dxa"/>
            <w:vAlign w:val="center"/>
          </w:tcPr>
          <w:p w14:paraId="5F5F2010" w14:textId="66657B2A" w:rsidR="00932C6E" w:rsidRPr="002F3B8D" w:rsidRDefault="00692AED" w:rsidP="0009682D">
            <w:pPr>
              <w:pStyle w:val="NormalWeb"/>
              <w:tabs>
                <w:tab w:val="left" w:pos="360"/>
                <w:tab w:val="left" w:pos="720"/>
                <w:tab w:val="left" w:pos="1080"/>
                <w:tab w:val="left" w:pos="1440"/>
              </w:tabs>
              <w:spacing w:before="0" w:beforeAutospacing="0" w:after="0" w:afterAutospacing="0"/>
              <w:jc w:val="center"/>
            </w:pPr>
            <w:r>
              <w:t>13,507</w:t>
            </w:r>
          </w:p>
        </w:tc>
        <w:tc>
          <w:tcPr>
            <w:tcW w:w="1676" w:type="dxa"/>
            <w:vAlign w:val="center"/>
          </w:tcPr>
          <w:p w14:paraId="5F5DDD2D" w14:textId="1BE177AE" w:rsidR="00932C6E" w:rsidRPr="002F3B8D" w:rsidRDefault="0009682D" w:rsidP="0009682D">
            <w:pPr>
              <w:pStyle w:val="NormalWeb"/>
              <w:tabs>
                <w:tab w:val="left" w:pos="360"/>
                <w:tab w:val="left" w:pos="720"/>
                <w:tab w:val="left" w:pos="1080"/>
                <w:tab w:val="left" w:pos="1440"/>
              </w:tabs>
              <w:spacing w:before="0" w:beforeAutospacing="0" w:after="0" w:afterAutospacing="0"/>
              <w:jc w:val="center"/>
            </w:pPr>
            <w:r>
              <w:t>3</w:t>
            </w:r>
            <w:r w:rsidR="00692AED">
              <w:t>9,443</w:t>
            </w:r>
          </w:p>
        </w:tc>
        <w:tc>
          <w:tcPr>
            <w:tcW w:w="1676" w:type="dxa"/>
            <w:vAlign w:val="center"/>
          </w:tcPr>
          <w:p w14:paraId="2EFAFF9C" w14:textId="5D207BFC" w:rsidR="00932C6E" w:rsidRPr="002F3B8D" w:rsidRDefault="008271BA" w:rsidP="0009682D">
            <w:pPr>
              <w:pStyle w:val="NormalWeb"/>
              <w:tabs>
                <w:tab w:val="left" w:pos="360"/>
                <w:tab w:val="left" w:pos="720"/>
                <w:tab w:val="left" w:pos="1080"/>
                <w:tab w:val="left" w:pos="1440"/>
              </w:tabs>
              <w:spacing w:before="0" w:beforeAutospacing="0" w:after="0" w:afterAutospacing="0"/>
              <w:jc w:val="center"/>
            </w:pPr>
            <w:r>
              <w:t>+</w:t>
            </w:r>
            <w:r w:rsidR="0009682D">
              <w:t>2</w:t>
            </w:r>
            <w:r>
              <w:t>5,936</w:t>
            </w:r>
          </w:p>
        </w:tc>
      </w:tr>
      <w:tr w:rsidR="00932C6E" w:rsidRPr="002F3B8D" w14:paraId="60211BD2" w14:textId="77777777" w:rsidTr="0009682D">
        <w:trPr>
          <w:trHeight w:val="389"/>
        </w:trPr>
        <w:tc>
          <w:tcPr>
            <w:tcW w:w="3972" w:type="dxa"/>
            <w:vAlign w:val="center"/>
          </w:tcPr>
          <w:p w14:paraId="33E272C0" w14:textId="0F6C84C4" w:rsidR="00932C6E" w:rsidRPr="002F3B8D" w:rsidRDefault="00932C6E" w:rsidP="00932C6E">
            <w:pPr>
              <w:pStyle w:val="NormalWeb"/>
              <w:tabs>
                <w:tab w:val="left" w:pos="360"/>
                <w:tab w:val="left" w:pos="720"/>
                <w:tab w:val="left" w:pos="1080"/>
                <w:tab w:val="left" w:pos="1440"/>
              </w:tabs>
              <w:spacing w:before="0" w:beforeAutospacing="0" w:after="0" w:afterAutospacing="0"/>
            </w:pPr>
            <w:r>
              <w:t>Estimated Hours</w:t>
            </w:r>
          </w:p>
        </w:tc>
        <w:tc>
          <w:tcPr>
            <w:tcW w:w="1676" w:type="dxa"/>
            <w:vAlign w:val="center"/>
          </w:tcPr>
          <w:p w14:paraId="1CD519EE" w14:textId="5E32F224" w:rsidR="00932C6E" w:rsidRPr="002F3B8D" w:rsidRDefault="00692AED" w:rsidP="0009682D">
            <w:pPr>
              <w:pStyle w:val="NormalWeb"/>
              <w:tabs>
                <w:tab w:val="left" w:pos="360"/>
                <w:tab w:val="left" w:pos="720"/>
                <w:tab w:val="left" w:pos="1080"/>
                <w:tab w:val="left" w:pos="1440"/>
              </w:tabs>
              <w:spacing w:before="0" w:beforeAutospacing="0" w:after="0" w:afterAutospacing="0"/>
              <w:jc w:val="center"/>
            </w:pPr>
            <w:r>
              <w:t>9,448</w:t>
            </w:r>
          </w:p>
        </w:tc>
        <w:tc>
          <w:tcPr>
            <w:tcW w:w="1676" w:type="dxa"/>
            <w:vAlign w:val="center"/>
          </w:tcPr>
          <w:p w14:paraId="36508884" w14:textId="2C115062" w:rsidR="00932C6E" w:rsidRPr="002F3B8D" w:rsidRDefault="00692AED" w:rsidP="0009682D">
            <w:pPr>
              <w:pStyle w:val="NormalWeb"/>
              <w:tabs>
                <w:tab w:val="left" w:pos="360"/>
                <w:tab w:val="left" w:pos="720"/>
                <w:tab w:val="left" w:pos="1080"/>
                <w:tab w:val="left" w:pos="1440"/>
              </w:tabs>
              <w:spacing w:before="0" w:beforeAutospacing="0" w:after="0" w:afterAutospacing="0"/>
              <w:jc w:val="center"/>
            </w:pPr>
            <w:r>
              <w:t>40,544</w:t>
            </w:r>
          </w:p>
        </w:tc>
        <w:tc>
          <w:tcPr>
            <w:tcW w:w="1676" w:type="dxa"/>
            <w:vAlign w:val="center"/>
          </w:tcPr>
          <w:p w14:paraId="4A920D9D" w14:textId="5060DC7E" w:rsidR="00932C6E" w:rsidRPr="002F3B8D" w:rsidRDefault="008271BA" w:rsidP="0009682D">
            <w:pPr>
              <w:pStyle w:val="NormalWeb"/>
              <w:tabs>
                <w:tab w:val="left" w:pos="360"/>
                <w:tab w:val="left" w:pos="720"/>
                <w:tab w:val="left" w:pos="1080"/>
                <w:tab w:val="left" w:pos="1440"/>
              </w:tabs>
              <w:spacing w:before="0" w:beforeAutospacing="0" w:after="0" w:afterAutospacing="0"/>
              <w:jc w:val="center"/>
            </w:pPr>
            <w:r>
              <w:t>+31,096</w:t>
            </w:r>
          </w:p>
        </w:tc>
      </w:tr>
      <w:tr w:rsidR="00932C6E" w:rsidRPr="002F3B8D" w14:paraId="0C2ED8C7" w14:textId="77777777" w:rsidTr="0009682D">
        <w:trPr>
          <w:trHeight w:val="389"/>
        </w:trPr>
        <w:tc>
          <w:tcPr>
            <w:tcW w:w="3972" w:type="dxa"/>
            <w:vAlign w:val="center"/>
          </w:tcPr>
          <w:p w14:paraId="68DC6356" w14:textId="5AE3B170" w:rsidR="00932C6E" w:rsidRPr="002F3B8D" w:rsidRDefault="00932C6E" w:rsidP="00932C6E">
            <w:pPr>
              <w:pStyle w:val="NormalWeb"/>
              <w:tabs>
                <w:tab w:val="left" w:pos="360"/>
                <w:tab w:val="left" w:pos="720"/>
                <w:tab w:val="left" w:pos="1080"/>
                <w:tab w:val="left" w:pos="1440"/>
              </w:tabs>
              <w:spacing w:before="0" w:beforeAutospacing="0" w:after="0" w:afterAutospacing="0"/>
            </w:pPr>
            <w:r>
              <w:t>Annual Public Burden</w:t>
            </w:r>
          </w:p>
        </w:tc>
        <w:tc>
          <w:tcPr>
            <w:tcW w:w="1676" w:type="dxa"/>
            <w:vAlign w:val="center"/>
          </w:tcPr>
          <w:p w14:paraId="3166A3F3" w14:textId="4A4667A9" w:rsidR="00932C6E" w:rsidRPr="002F3B8D" w:rsidRDefault="00692AED" w:rsidP="0009682D">
            <w:pPr>
              <w:pStyle w:val="NormalWeb"/>
              <w:tabs>
                <w:tab w:val="left" w:pos="360"/>
                <w:tab w:val="left" w:pos="720"/>
                <w:tab w:val="left" w:pos="1080"/>
                <w:tab w:val="left" w:pos="1440"/>
              </w:tabs>
              <w:spacing w:before="0" w:beforeAutospacing="0" w:after="0" w:afterAutospacing="0"/>
              <w:jc w:val="center"/>
            </w:pPr>
            <w:r>
              <w:t>$331,816</w:t>
            </w:r>
          </w:p>
        </w:tc>
        <w:tc>
          <w:tcPr>
            <w:tcW w:w="1676" w:type="dxa"/>
            <w:vAlign w:val="center"/>
          </w:tcPr>
          <w:p w14:paraId="49AC7B91" w14:textId="2F457A7F" w:rsidR="00932C6E" w:rsidRPr="002F3B8D" w:rsidRDefault="00692AED" w:rsidP="0009682D">
            <w:pPr>
              <w:pStyle w:val="NormalWeb"/>
              <w:tabs>
                <w:tab w:val="left" w:pos="360"/>
                <w:tab w:val="left" w:pos="720"/>
                <w:tab w:val="left" w:pos="1080"/>
                <w:tab w:val="left" w:pos="1440"/>
              </w:tabs>
              <w:spacing w:before="0" w:beforeAutospacing="0" w:after="0" w:afterAutospacing="0"/>
              <w:jc w:val="center"/>
            </w:pPr>
            <w:r>
              <w:t>$1,739,310</w:t>
            </w:r>
          </w:p>
        </w:tc>
        <w:tc>
          <w:tcPr>
            <w:tcW w:w="1676" w:type="dxa"/>
            <w:vAlign w:val="center"/>
          </w:tcPr>
          <w:p w14:paraId="790D3ECB" w14:textId="156AF7AB" w:rsidR="00932C6E" w:rsidRPr="002F3B8D" w:rsidRDefault="008271BA" w:rsidP="0009682D">
            <w:pPr>
              <w:pStyle w:val="NormalWeb"/>
              <w:tabs>
                <w:tab w:val="left" w:pos="360"/>
                <w:tab w:val="left" w:pos="720"/>
                <w:tab w:val="left" w:pos="1080"/>
                <w:tab w:val="left" w:pos="1440"/>
              </w:tabs>
              <w:spacing w:before="0" w:beforeAutospacing="0" w:after="0" w:afterAutospacing="0"/>
              <w:jc w:val="center"/>
            </w:pPr>
            <w:r>
              <w:t>+$1,407,494</w:t>
            </w:r>
          </w:p>
        </w:tc>
      </w:tr>
    </w:tbl>
    <w:p w14:paraId="1F2386D8" w14:textId="77777777" w:rsidR="00692AED" w:rsidRDefault="00CF44DB" w:rsidP="0009682D">
      <w:pPr>
        <w:pStyle w:val="FootnoteText"/>
        <w:tabs>
          <w:tab w:val="left" w:pos="360"/>
        </w:tabs>
        <w:rPr>
          <w:sz w:val="24"/>
          <w:szCs w:val="24"/>
        </w:rPr>
      </w:pPr>
      <w:r>
        <w:rPr>
          <w:sz w:val="24"/>
          <w:szCs w:val="24"/>
        </w:rPr>
        <w:tab/>
      </w:r>
    </w:p>
    <w:tbl>
      <w:tblPr>
        <w:tblStyle w:val="TableGrid"/>
        <w:tblW w:w="9000" w:type="dxa"/>
        <w:tblInd w:w="175" w:type="dxa"/>
        <w:tblLayout w:type="fixed"/>
        <w:tblLook w:val="04A0" w:firstRow="1" w:lastRow="0" w:firstColumn="1" w:lastColumn="0" w:noHBand="0" w:noVBand="1"/>
      </w:tblPr>
      <w:tblGrid>
        <w:gridCol w:w="3972"/>
        <w:gridCol w:w="1676"/>
        <w:gridCol w:w="1676"/>
        <w:gridCol w:w="1676"/>
      </w:tblGrid>
      <w:tr w:rsidR="00692AED" w:rsidRPr="00DF382A" w14:paraId="7C8EC1F1" w14:textId="77777777" w:rsidTr="00DA5B5B">
        <w:trPr>
          <w:trHeight w:val="389"/>
        </w:trPr>
        <w:tc>
          <w:tcPr>
            <w:tcW w:w="3972" w:type="dxa"/>
            <w:vAlign w:val="center"/>
          </w:tcPr>
          <w:p w14:paraId="3B765D63" w14:textId="2E26CF36" w:rsidR="00692AED" w:rsidRPr="00DF382A" w:rsidRDefault="00692AED" w:rsidP="00DA5B5B">
            <w:pPr>
              <w:pStyle w:val="NormalWeb"/>
              <w:tabs>
                <w:tab w:val="left" w:pos="360"/>
                <w:tab w:val="left" w:pos="720"/>
                <w:tab w:val="left" w:pos="1080"/>
                <w:tab w:val="left" w:pos="1440"/>
              </w:tabs>
              <w:spacing w:before="0" w:beforeAutospacing="0" w:after="0" w:afterAutospacing="0"/>
            </w:pPr>
            <w:r>
              <w:t>0704-0272: Recordkeeping</w:t>
            </w:r>
          </w:p>
        </w:tc>
        <w:tc>
          <w:tcPr>
            <w:tcW w:w="1676" w:type="dxa"/>
            <w:vAlign w:val="center"/>
          </w:tcPr>
          <w:p w14:paraId="46E976B5" w14:textId="77777777" w:rsidR="00692AED" w:rsidRPr="00DF382A" w:rsidRDefault="00692AED" w:rsidP="00DA5B5B">
            <w:pPr>
              <w:pStyle w:val="NormalWeb"/>
              <w:tabs>
                <w:tab w:val="left" w:pos="360"/>
                <w:tab w:val="left" w:pos="720"/>
                <w:tab w:val="left" w:pos="1080"/>
                <w:tab w:val="left" w:pos="1440"/>
              </w:tabs>
              <w:spacing w:before="0" w:beforeAutospacing="0" w:after="0" w:afterAutospacing="0"/>
              <w:jc w:val="center"/>
            </w:pPr>
            <w:r>
              <w:t>2014</w:t>
            </w:r>
          </w:p>
        </w:tc>
        <w:tc>
          <w:tcPr>
            <w:tcW w:w="1676" w:type="dxa"/>
            <w:vAlign w:val="center"/>
          </w:tcPr>
          <w:p w14:paraId="057BCC22" w14:textId="77777777" w:rsidR="00692AED" w:rsidRPr="00DF382A" w:rsidRDefault="00692AED" w:rsidP="00DA5B5B">
            <w:pPr>
              <w:pStyle w:val="NormalWeb"/>
              <w:tabs>
                <w:tab w:val="left" w:pos="360"/>
                <w:tab w:val="left" w:pos="720"/>
                <w:tab w:val="left" w:pos="1080"/>
                <w:tab w:val="left" w:pos="1440"/>
              </w:tabs>
              <w:spacing w:before="0" w:beforeAutospacing="0" w:after="0" w:afterAutospacing="0"/>
              <w:jc w:val="center"/>
            </w:pPr>
            <w:r>
              <w:t>2017</w:t>
            </w:r>
          </w:p>
        </w:tc>
        <w:tc>
          <w:tcPr>
            <w:tcW w:w="1676" w:type="dxa"/>
            <w:vAlign w:val="center"/>
          </w:tcPr>
          <w:p w14:paraId="7952E7AD" w14:textId="77777777" w:rsidR="00692AED" w:rsidRPr="00DF382A" w:rsidRDefault="00692AED" w:rsidP="00DA5B5B">
            <w:pPr>
              <w:pStyle w:val="NormalWeb"/>
              <w:tabs>
                <w:tab w:val="left" w:pos="360"/>
                <w:tab w:val="left" w:pos="720"/>
                <w:tab w:val="left" w:pos="1080"/>
                <w:tab w:val="left" w:pos="1440"/>
              </w:tabs>
              <w:spacing w:before="0" w:beforeAutospacing="0" w:after="0" w:afterAutospacing="0"/>
              <w:jc w:val="center"/>
            </w:pPr>
            <w:r>
              <w:t>Change</w:t>
            </w:r>
          </w:p>
        </w:tc>
      </w:tr>
      <w:tr w:rsidR="00692AED" w:rsidRPr="002F3B8D" w14:paraId="4F947B95" w14:textId="77777777" w:rsidTr="00DA5B5B">
        <w:trPr>
          <w:trHeight w:val="389"/>
        </w:trPr>
        <w:tc>
          <w:tcPr>
            <w:tcW w:w="3972" w:type="dxa"/>
            <w:vAlign w:val="center"/>
          </w:tcPr>
          <w:p w14:paraId="0BB3428D" w14:textId="753CEC54" w:rsidR="00692AED" w:rsidRPr="002F3B8D" w:rsidRDefault="00692AED" w:rsidP="00692AED">
            <w:pPr>
              <w:pStyle w:val="NormalWeb"/>
              <w:tabs>
                <w:tab w:val="left" w:pos="360"/>
                <w:tab w:val="left" w:pos="720"/>
                <w:tab w:val="left" w:pos="1080"/>
                <w:tab w:val="left" w:pos="1440"/>
              </w:tabs>
              <w:spacing w:before="0" w:beforeAutospacing="0" w:after="0" w:afterAutospacing="0"/>
            </w:pPr>
            <w:r>
              <w:t>Recordkeepers</w:t>
            </w:r>
          </w:p>
        </w:tc>
        <w:tc>
          <w:tcPr>
            <w:tcW w:w="1676" w:type="dxa"/>
            <w:vAlign w:val="center"/>
          </w:tcPr>
          <w:p w14:paraId="770CC268" w14:textId="0A038967" w:rsidR="00692AED" w:rsidRPr="002F3B8D" w:rsidRDefault="00692AED" w:rsidP="00692AED">
            <w:pPr>
              <w:pStyle w:val="NormalWeb"/>
              <w:tabs>
                <w:tab w:val="left" w:pos="360"/>
                <w:tab w:val="left" w:pos="720"/>
                <w:tab w:val="left" w:pos="1080"/>
                <w:tab w:val="left" w:pos="1440"/>
              </w:tabs>
              <w:spacing w:before="0" w:beforeAutospacing="0" w:after="0" w:afterAutospacing="0"/>
              <w:jc w:val="center"/>
            </w:pPr>
            <w:r>
              <w:t>12,255</w:t>
            </w:r>
          </w:p>
        </w:tc>
        <w:tc>
          <w:tcPr>
            <w:tcW w:w="1676" w:type="dxa"/>
            <w:vAlign w:val="center"/>
          </w:tcPr>
          <w:p w14:paraId="3F8B0FE9" w14:textId="43B90DBD" w:rsidR="00692AED" w:rsidRPr="002F3B8D" w:rsidRDefault="00692AED" w:rsidP="00692AED">
            <w:pPr>
              <w:pStyle w:val="NormalWeb"/>
              <w:tabs>
                <w:tab w:val="left" w:pos="360"/>
                <w:tab w:val="left" w:pos="720"/>
                <w:tab w:val="left" w:pos="1080"/>
                <w:tab w:val="left" w:pos="1440"/>
              </w:tabs>
              <w:spacing w:before="0" w:beforeAutospacing="0" w:after="0" w:afterAutospacing="0"/>
              <w:jc w:val="center"/>
            </w:pPr>
            <w:r w:rsidRPr="00EF7D00">
              <w:t>12,610</w:t>
            </w:r>
          </w:p>
        </w:tc>
        <w:tc>
          <w:tcPr>
            <w:tcW w:w="1676" w:type="dxa"/>
            <w:vAlign w:val="center"/>
          </w:tcPr>
          <w:p w14:paraId="54EE287F" w14:textId="14C9B88A" w:rsidR="00692AED" w:rsidRPr="002F3B8D" w:rsidRDefault="008271BA" w:rsidP="00692AED">
            <w:pPr>
              <w:pStyle w:val="NormalWeb"/>
              <w:tabs>
                <w:tab w:val="left" w:pos="360"/>
                <w:tab w:val="left" w:pos="720"/>
                <w:tab w:val="left" w:pos="1080"/>
                <w:tab w:val="left" w:pos="1440"/>
              </w:tabs>
              <w:spacing w:before="0" w:beforeAutospacing="0" w:after="0" w:afterAutospacing="0"/>
              <w:jc w:val="center"/>
            </w:pPr>
            <w:r>
              <w:t>+355</w:t>
            </w:r>
          </w:p>
        </w:tc>
      </w:tr>
      <w:tr w:rsidR="00692AED" w:rsidRPr="002F3B8D" w14:paraId="7F61149C" w14:textId="77777777" w:rsidTr="00DA5B5B">
        <w:trPr>
          <w:trHeight w:val="389"/>
        </w:trPr>
        <w:tc>
          <w:tcPr>
            <w:tcW w:w="3972" w:type="dxa"/>
            <w:vAlign w:val="center"/>
          </w:tcPr>
          <w:p w14:paraId="0E55EF1B" w14:textId="42D2FAB6" w:rsidR="00692AED" w:rsidRPr="002F3B8D" w:rsidRDefault="00692AED" w:rsidP="00692AED">
            <w:pPr>
              <w:pStyle w:val="NormalWeb"/>
              <w:tabs>
                <w:tab w:val="left" w:pos="360"/>
                <w:tab w:val="left" w:pos="720"/>
                <w:tab w:val="left" w:pos="1080"/>
                <w:tab w:val="left" w:pos="1440"/>
              </w:tabs>
              <w:spacing w:before="0" w:beforeAutospacing="0" w:after="0" w:afterAutospacing="0"/>
            </w:pPr>
            <w:r>
              <w:t>Estimated Hours</w:t>
            </w:r>
          </w:p>
        </w:tc>
        <w:tc>
          <w:tcPr>
            <w:tcW w:w="1676" w:type="dxa"/>
            <w:vAlign w:val="center"/>
          </w:tcPr>
          <w:p w14:paraId="11C28879" w14:textId="19BEAF91" w:rsidR="00692AED" w:rsidRPr="002F3B8D" w:rsidRDefault="008271BA">
            <w:pPr>
              <w:pStyle w:val="NormalWeb"/>
              <w:tabs>
                <w:tab w:val="left" w:pos="360"/>
                <w:tab w:val="left" w:pos="720"/>
                <w:tab w:val="left" w:pos="1080"/>
                <w:tab w:val="left" w:pos="1440"/>
              </w:tabs>
              <w:spacing w:before="0" w:beforeAutospacing="0" w:after="0" w:afterAutospacing="0"/>
              <w:jc w:val="center"/>
            </w:pPr>
            <w:r>
              <w:t>665,631</w:t>
            </w:r>
          </w:p>
        </w:tc>
        <w:tc>
          <w:tcPr>
            <w:tcW w:w="1676" w:type="dxa"/>
            <w:vAlign w:val="center"/>
          </w:tcPr>
          <w:p w14:paraId="6EFA3D21" w14:textId="2D50D8C3" w:rsidR="00692AED" w:rsidRPr="002F3B8D" w:rsidRDefault="00692AED" w:rsidP="00692AED">
            <w:pPr>
              <w:pStyle w:val="NormalWeb"/>
              <w:tabs>
                <w:tab w:val="left" w:pos="360"/>
                <w:tab w:val="left" w:pos="720"/>
                <w:tab w:val="left" w:pos="1080"/>
                <w:tab w:val="left" w:pos="1440"/>
              </w:tabs>
              <w:spacing w:before="0" w:beforeAutospacing="0" w:after="0" w:afterAutospacing="0"/>
              <w:jc w:val="center"/>
            </w:pPr>
            <w:r w:rsidRPr="00EF7D00">
              <w:t>6</w:t>
            </w:r>
            <w:r>
              <w:t>0</w:t>
            </w:r>
            <w:r w:rsidRPr="00EF7D00">
              <w:t>5,200</w:t>
            </w:r>
          </w:p>
        </w:tc>
        <w:tc>
          <w:tcPr>
            <w:tcW w:w="1676" w:type="dxa"/>
            <w:vAlign w:val="center"/>
          </w:tcPr>
          <w:p w14:paraId="11081D84" w14:textId="1D8B4D62" w:rsidR="00692AED" w:rsidRPr="002F3B8D" w:rsidRDefault="00692AED">
            <w:pPr>
              <w:pStyle w:val="NormalWeb"/>
              <w:tabs>
                <w:tab w:val="left" w:pos="360"/>
                <w:tab w:val="left" w:pos="720"/>
                <w:tab w:val="left" w:pos="1080"/>
                <w:tab w:val="left" w:pos="1440"/>
              </w:tabs>
              <w:spacing w:before="0" w:beforeAutospacing="0" w:after="0" w:afterAutospacing="0"/>
              <w:jc w:val="center"/>
            </w:pPr>
            <w:r>
              <w:t>-</w:t>
            </w:r>
            <w:r w:rsidR="008271BA">
              <w:t>60,431</w:t>
            </w:r>
          </w:p>
        </w:tc>
      </w:tr>
      <w:tr w:rsidR="00692AED" w:rsidRPr="002F3B8D" w14:paraId="1718AAC8" w14:textId="77777777" w:rsidTr="00DA5B5B">
        <w:trPr>
          <w:trHeight w:val="389"/>
        </w:trPr>
        <w:tc>
          <w:tcPr>
            <w:tcW w:w="3972" w:type="dxa"/>
            <w:vAlign w:val="center"/>
          </w:tcPr>
          <w:p w14:paraId="4A60A5B3" w14:textId="77777777" w:rsidR="00692AED" w:rsidRPr="002F3B8D" w:rsidRDefault="00692AED" w:rsidP="00692AED">
            <w:pPr>
              <w:pStyle w:val="NormalWeb"/>
              <w:tabs>
                <w:tab w:val="left" w:pos="360"/>
                <w:tab w:val="left" w:pos="720"/>
                <w:tab w:val="left" w:pos="1080"/>
                <w:tab w:val="left" w:pos="1440"/>
              </w:tabs>
              <w:spacing w:before="0" w:beforeAutospacing="0" w:after="0" w:afterAutospacing="0"/>
            </w:pPr>
            <w:r>
              <w:t>Annual Public Burden</w:t>
            </w:r>
          </w:p>
        </w:tc>
        <w:tc>
          <w:tcPr>
            <w:tcW w:w="1676" w:type="dxa"/>
            <w:vAlign w:val="center"/>
          </w:tcPr>
          <w:p w14:paraId="78C195C5" w14:textId="55F5645D" w:rsidR="00692AED" w:rsidRPr="002F3B8D" w:rsidRDefault="00692AED">
            <w:pPr>
              <w:pStyle w:val="NormalWeb"/>
              <w:tabs>
                <w:tab w:val="left" w:pos="360"/>
                <w:tab w:val="left" w:pos="720"/>
                <w:tab w:val="left" w:pos="1080"/>
                <w:tab w:val="left" w:pos="1440"/>
              </w:tabs>
              <w:spacing w:before="0" w:beforeAutospacing="0" w:after="0" w:afterAutospacing="0"/>
              <w:jc w:val="center"/>
            </w:pPr>
            <w:r>
              <w:t>$23,110,849</w:t>
            </w:r>
          </w:p>
        </w:tc>
        <w:tc>
          <w:tcPr>
            <w:tcW w:w="1676" w:type="dxa"/>
            <w:vAlign w:val="center"/>
          </w:tcPr>
          <w:p w14:paraId="359BAD4A" w14:textId="11988729" w:rsidR="00692AED" w:rsidRPr="002F3B8D" w:rsidRDefault="00692AED" w:rsidP="00692AED">
            <w:pPr>
              <w:pStyle w:val="NormalWeb"/>
              <w:tabs>
                <w:tab w:val="left" w:pos="360"/>
                <w:tab w:val="left" w:pos="720"/>
                <w:tab w:val="left" w:pos="1080"/>
                <w:tab w:val="left" w:pos="1440"/>
              </w:tabs>
              <w:spacing w:before="0" w:beforeAutospacing="0" w:after="0" w:afterAutospacing="0"/>
              <w:jc w:val="center"/>
            </w:pPr>
            <w:r w:rsidRPr="00EF7D00">
              <w:t>$</w:t>
            </w:r>
            <w:r>
              <w:t>26,222,800</w:t>
            </w:r>
          </w:p>
        </w:tc>
        <w:tc>
          <w:tcPr>
            <w:tcW w:w="1676" w:type="dxa"/>
            <w:vAlign w:val="center"/>
          </w:tcPr>
          <w:p w14:paraId="3053BA23" w14:textId="71B3AB90" w:rsidR="00692AED" w:rsidRPr="002F3B8D" w:rsidRDefault="008271BA" w:rsidP="00692AED">
            <w:pPr>
              <w:pStyle w:val="NormalWeb"/>
              <w:tabs>
                <w:tab w:val="left" w:pos="360"/>
                <w:tab w:val="left" w:pos="720"/>
                <w:tab w:val="left" w:pos="1080"/>
                <w:tab w:val="left" w:pos="1440"/>
              </w:tabs>
              <w:spacing w:before="0" w:beforeAutospacing="0" w:after="0" w:afterAutospacing="0"/>
              <w:jc w:val="center"/>
            </w:pPr>
            <w:r>
              <w:t>+</w:t>
            </w:r>
            <w:r w:rsidR="00692AED">
              <w:t>$3,111,951</w:t>
            </w:r>
          </w:p>
        </w:tc>
      </w:tr>
    </w:tbl>
    <w:p w14:paraId="5660851D" w14:textId="77777777" w:rsidR="00692AED" w:rsidRDefault="00692AED" w:rsidP="0009682D">
      <w:pPr>
        <w:pStyle w:val="FootnoteText"/>
        <w:tabs>
          <w:tab w:val="left" w:pos="360"/>
        </w:tabs>
        <w:rPr>
          <w:sz w:val="24"/>
          <w:szCs w:val="24"/>
        </w:rPr>
      </w:pPr>
    </w:p>
    <w:p w14:paraId="3C6FC0D3" w14:textId="1CA754ED" w:rsidR="00932C6E" w:rsidRPr="0009682D" w:rsidRDefault="008271BA" w:rsidP="0009682D">
      <w:pPr>
        <w:pStyle w:val="FootnoteText"/>
        <w:tabs>
          <w:tab w:val="left" w:pos="360"/>
        </w:tabs>
        <w:rPr>
          <w:i/>
          <w:sz w:val="24"/>
          <w:szCs w:val="24"/>
        </w:rPr>
      </w:pPr>
      <w:r>
        <w:rPr>
          <w:i/>
          <w:sz w:val="24"/>
          <w:szCs w:val="24"/>
        </w:rPr>
        <w:tab/>
      </w:r>
      <w:r w:rsidR="00CF44DB" w:rsidRPr="0009682D">
        <w:rPr>
          <w:i/>
        </w:rPr>
        <w:t xml:space="preserve">* </w:t>
      </w:r>
      <w:r w:rsidR="00932C6E" w:rsidRPr="0009682D">
        <w:rPr>
          <w:i/>
        </w:rPr>
        <w:t>NOT</w:t>
      </w:r>
      <w:r w:rsidR="00CF44DB" w:rsidRPr="0009682D">
        <w:rPr>
          <w:i/>
        </w:rPr>
        <w:t xml:space="preserve">E: </w:t>
      </w:r>
      <w:r w:rsidR="001C09ED" w:rsidRPr="0009682D">
        <w:rPr>
          <w:i/>
        </w:rPr>
        <w:t xml:space="preserve">The above numbers represent the </w:t>
      </w:r>
      <w:r>
        <w:rPr>
          <w:i/>
          <w:sz w:val="24"/>
          <w:szCs w:val="24"/>
        </w:rPr>
        <w:t>burden estimates illustrated in the Supporting Statement and published in the Federal Register notices associated with the request for renewal of 0704-0272 in 2014. The numbers in the 2014 notice of action do not illustrate the numbers presented in the Supporting Statement or those Federal register notices.</w:t>
      </w:r>
    </w:p>
    <w:p w14:paraId="616D20F8" w14:textId="77777777" w:rsidR="00E65FA0" w:rsidRPr="00EF7D00" w:rsidRDefault="00E65FA0" w:rsidP="00EF7D00">
      <w:pPr>
        <w:pStyle w:val="FootnoteText"/>
        <w:tabs>
          <w:tab w:val="left" w:pos="360"/>
        </w:tabs>
        <w:rPr>
          <w:sz w:val="24"/>
          <w:szCs w:val="24"/>
        </w:rPr>
      </w:pPr>
    </w:p>
    <w:p w14:paraId="19C090C2" w14:textId="1073E787" w:rsidR="005E0A0F" w:rsidRPr="00EF7D00" w:rsidRDefault="007F14BC" w:rsidP="00EF7D00">
      <w:pPr>
        <w:pStyle w:val="NormalWeb"/>
        <w:tabs>
          <w:tab w:val="left" w:pos="360"/>
          <w:tab w:val="left" w:pos="720"/>
          <w:tab w:val="left" w:pos="1080"/>
          <w:tab w:val="left" w:pos="1440"/>
        </w:tabs>
        <w:spacing w:before="0" w:beforeAutospacing="0" w:after="0" w:afterAutospacing="0"/>
        <w:rPr>
          <w:u w:val="single"/>
        </w:rPr>
      </w:pPr>
      <w:r w:rsidRPr="00EF7D00">
        <w:t xml:space="preserve">16. </w:t>
      </w:r>
      <w:r w:rsidR="005E0A0F" w:rsidRPr="00EF7D00">
        <w:t xml:space="preserve"> </w:t>
      </w:r>
      <w:r w:rsidR="005E0A0F" w:rsidRPr="00EF7D00">
        <w:rPr>
          <w:u w:val="single"/>
        </w:rPr>
        <w:t>Publication of Results</w:t>
      </w:r>
    </w:p>
    <w:p w14:paraId="79466B30" w14:textId="77777777" w:rsidR="000C5A66" w:rsidRPr="00EF7D00" w:rsidRDefault="000C5A66" w:rsidP="00EF7D00">
      <w:pPr>
        <w:pStyle w:val="NormalWeb"/>
        <w:tabs>
          <w:tab w:val="left" w:pos="360"/>
          <w:tab w:val="left" w:pos="720"/>
          <w:tab w:val="left" w:pos="1080"/>
          <w:tab w:val="left" w:pos="1440"/>
        </w:tabs>
        <w:spacing w:before="0" w:beforeAutospacing="0" w:after="0" w:afterAutospacing="0"/>
        <w:rPr>
          <w:u w:val="single"/>
        </w:rPr>
      </w:pPr>
    </w:p>
    <w:p w14:paraId="0B7E13A2" w14:textId="2039F9A2" w:rsidR="00EB0C6C" w:rsidRPr="00EF7D00" w:rsidRDefault="00D141EB" w:rsidP="00EF7D00">
      <w:pPr>
        <w:pStyle w:val="NormalWeb"/>
        <w:tabs>
          <w:tab w:val="left" w:pos="360"/>
          <w:tab w:val="left" w:pos="720"/>
          <w:tab w:val="left" w:pos="1080"/>
          <w:tab w:val="left" w:pos="1440"/>
        </w:tabs>
        <w:spacing w:before="0" w:beforeAutospacing="0" w:after="0" w:afterAutospacing="0"/>
      </w:pPr>
      <w:bookmarkStart w:id="17" w:name="cp471"/>
      <w:r w:rsidRPr="00EF7D00">
        <w:tab/>
      </w:r>
      <w:r w:rsidR="000C5A66" w:rsidRPr="00EF7D00">
        <w:t>The results of this collection will not be published</w:t>
      </w:r>
      <w:r w:rsidR="00EB0C6C" w:rsidRPr="00EF7D00">
        <w:t>.</w:t>
      </w:r>
    </w:p>
    <w:p w14:paraId="6613B119" w14:textId="77777777" w:rsidR="000C5A66" w:rsidRPr="00EF7D00" w:rsidRDefault="000C5A66" w:rsidP="00EF7D00">
      <w:pPr>
        <w:pStyle w:val="NormalWeb"/>
        <w:tabs>
          <w:tab w:val="left" w:pos="360"/>
          <w:tab w:val="left" w:pos="720"/>
          <w:tab w:val="left" w:pos="1080"/>
          <w:tab w:val="left" w:pos="1440"/>
        </w:tabs>
        <w:spacing w:before="0" w:beforeAutospacing="0" w:after="0" w:afterAutospacing="0"/>
      </w:pPr>
    </w:p>
    <w:p w14:paraId="7EC3E751" w14:textId="4985D16D" w:rsidR="005E0A0F" w:rsidRPr="00EF7D00" w:rsidRDefault="005E0A0F" w:rsidP="00EF7D00">
      <w:pPr>
        <w:pStyle w:val="NormalWeb"/>
        <w:tabs>
          <w:tab w:val="left" w:pos="360"/>
          <w:tab w:val="left" w:pos="720"/>
          <w:tab w:val="left" w:pos="1080"/>
          <w:tab w:val="left" w:pos="1440"/>
        </w:tabs>
        <w:spacing w:before="0" w:beforeAutospacing="0" w:after="0" w:afterAutospacing="0"/>
        <w:rPr>
          <w:u w:val="single"/>
        </w:rPr>
      </w:pPr>
      <w:r w:rsidRPr="00EF7D00">
        <w:t>17.</w:t>
      </w:r>
      <w:r w:rsidR="007F14BC" w:rsidRPr="00EF7D00">
        <w:t xml:space="preserve"> </w:t>
      </w:r>
      <w:r w:rsidRPr="00EF7D00">
        <w:t xml:space="preserve"> </w:t>
      </w:r>
      <w:r w:rsidRPr="00EF7D00">
        <w:rPr>
          <w:u w:val="single"/>
        </w:rPr>
        <w:t>Non-Display of OMB Expiration Date</w:t>
      </w:r>
    </w:p>
    <w:p w14:paraId="1C7E08EA" w14:textId="77777777" w:rsidR="000C5A66" w:rsidRPr="00EF7D00" w:rsidRDefault="000C5A66" w:rsidP="00EF7D00">
      <w:pPr>
        <w:pStyle w:val="NormalWeb"/>
        <w:tabs>
          <w:tab w:val="left" w:pos="360"/>
          <w:tab w:val="left" w:pos="720"/>
          <w:tab w:val="left" w:pos="1080"/>
          <w:tab w:val="left" w:pos="1440"/>
        </w:tabs>
        <w:spacing w:before="0" w:beforeAutospacing="0" w:after="0" w:afterAutospacing="0"/>
      </w:pPr>
    </w:p>
    <w:p w14:paraId="3C8E1AD8" w14:textId="6B2A723F" w:rsidR="00D141EB" w:rsidRPr="00EF7D00" w:rsidRDefault="00D141EB" w:rsidP="00EF7D00">
      <w:pPr>
        <w:pStyle w:val="NormalWeb"/>
        <w:tabs>
          <w:tab w:val="left" w:pos="360"/>
          <w:tab w:val="left" w:pos="720"/>
          <w:tab w:val="left" w:pos="1080"/>
          <w:tab w:val="left" w:pos="1440"/>
        </w:tabs>
        <w:spacing w:before="0" w:beforeAutospacing="0" w:after="0" w:afterAutospacing="0"/>
      </w:pPr>
      <w:bookmarkStart w:id="18" w:name="cp473"/>
      <w:bookmarkEnd w:id="17"/>
      <w:r w:rsidRPr="00EF7D00">
        <w:tab/>
      </w:r>
      <w:r w:rsidR="000C5A66" w:rsidRPr="00EF7D00">
        <w:t>DoD is not seeking</w:t>
      </w:r>
      <w:r w:rsidR="00EB0C6C" w:rsidRPr="00EF7D00">
        <w:t xml:space="preserve"> approval to omit </w:t>
      </w:r>
      <w:r w:rsidR="00082075" w:rsidRPr="00EF7D00">
        <w:t xml:space="preserve">the </w:t>
      </w:r>
      <w:r w:rsidR="00EB0C6C" w:rsidRPr="00EF7D00">
        <w:t xml:space="preserve">display of the expiration date of OMB approval </w:t>
      </w:r>
      <w:r w:rsidR="000C5A66" w:rsidRPr="00EF7D00">
        <w:t>of the information collection.</w:t>
      </w:r>
    </w:p>
    <w:p w14:paraId="10FA5B14" w14:textId="77777777" w:rsidR="000C5A66" w:rsidRPr="00EF7D00" w:rsidRDefault="000C5A66" w:rsidP="00EF7D00">
      <w:pPr>
        <w:pStyle w:val="NormalWeb"/>
        <w:tabs>
          <w:tab w:val="left" w:pos="360"/>
          <w:tab w:val="left" w:pos="720"/>
          <w:tab w:val="left" w:pos="1080"/>
          <w:tab w:val="left" w:pos="1440"/>
        </w:tabs>
        <w:spacing w:before="0" w:beforeAutospacing="0" w:after="0" w:afterAutospacing="0"/>
      </w:pPr>
    </w:p>
    <w:p w14:paraId="32A8933B" w14:textId="2DC022F5" w:rsidR="005E0A0F" w:rsidRPr="00EF7D00" w:rsidRDefault="005E0A0F" w:rsidP="00EF7D00">
      <w:pPr>
        <w:pStyle w:val="NormalWeb"/>
        <w:tabs>
          <w:tab w:val="left" w:pos="360"/>
          <w:tab w:val="left" w:pos="720"/>
          <w:tab w:val="left" w:pos="1080"/>
          <w:tab w:val="left" w:pos="1440"/>
        </w:tabs>
        <w:spacing w:before="0" w:beforeAutospacing="0" w:after="0" w:afterAutospacing="0"/>
        <w:rPr>
          <w:u w:val="single"/>
        </w:rPr>
      </w:pPr>
      <w:r w:rsidRPr="00EF7D00">
        <w:t>18.</w:t>
      </w:r>
      <w:r w:rsidR="007F14BC" w:rsidRPr="00EF7D00">
        <w:t xml:space="preserve"> </w:t>
      </w:r>
      <w:r w:rsidRPr="00EF7D00">
        <w:t xml:space="preserve"> </w:t>
      </w:r>
      <w:r w:rsidRPr="00EF7D00">
        <w:rPr>
          <w:u w:val="single"/>
        </w:rPr>
        <w:t>Exceptions to "Certification for Paperwork Reduction Submissions"</w:t>
      </w:r>
    </w:p>
    <w:p w14:paraId="6F84C99B" w14:textId="77777777" w:rsidR="000C5A66" w:rsidRPr="00EF7D00" w:rsidRDefault="000C5A66" w:rsidP="00EF7D00">
      <w:pPr>
        <w:pStyle w:val="NormalWeb"/>
        <w:tabs>
          <w:tab w:val="left" w:pos="360"/>
          <w:tab w:val="left" w:pos="720"/>
          <w:tab w:val="left" w:pos="1080"/>
          <w:tab w:val="left" w:pos="1440"/>
        </w:tabs>
        <w:spacing w:before="0" w:beforeAutospacing="0" w:after="0" w:afterAutospacing="0"/>
      </w:pPr>
    </w:p>
    <w:p w14:paraId="08251235" w14:textId="566DD625" w:rsidR="00D141EB" w:rsidRPr="00EF7D00" w:rsidRDefault="00D141EB" w:rsidP="00EF7D00">
      <w:pPr>
        <w:pStyle w:val="NormalWeb"/>
        <w:tabs>
          <w:tab w:val="left" w:pos="360"/>
          <w:tab w:val="left" w:pos="720"/>
          <w:tab w:val="left" w:pos="1080"/>
          <w:tab w:val="left" w:pos="1440"/>
        </w:tabs>
        <w:spacing w:before="0" w:beforeAutospacing="0" w:after="0" w:afterAutospacing="0"/>
      </w:pPr>
      <w:bookmarkStart w:id="19" w:name="cp474"/>
      <w:bookmarkEnd w:id="18"/>
      <w:r w:rsidRPr="00EF7D00">
        <w:tab/>
      </w:r>
      <w:bookmarkEnd w:id="19"/>
      <w:r w:rsidR="000C5A66" w:rsidRPr="00EF7D00">
        <w:t>There are no exceptions to the certification accompanying this Paperwork Reduction Act submission.</w:t>
      </w:r>
    </w:p>
    <w:p w14:paraId="2C6C6434" w14:textId="77777777" w:rsidR="004E3252" w:rsidRPr="00EF7D00" w:rsidRDefault="004E3252" w:rsidP="00EF7D00">
      <w:pPr>
        <w:pStyle w:val="NormalWeb"/>
        <w:tabs>
          <w:tab w:val="left" w:pos="360"/>
          <w:tab w:val="left" w:pos="720"/>
          <w:tab w:val="left" w:pos="1080"/>
          <w:tab w:val="left" w:pos="1440"/>
        </w:tabs>
        <w:spacing w:before="0" w:beforeAutospacing="0" w:after="0" w:afterAutospacing="0"/>
      </w:pPr>
    </w:p>
    <w:p w14:paraId="11383195" w14:textId="77777777" w:rsidR="00D141EB" w:rsidRPr="00EF7D00" w:rsidRDefault="00D141EB" w:rsidP="00EF7D00">
      <w:pPr>
        <w:pStyle w:val="NormalWeb"/>
        <w:tabs>
          <w:tab w:val="left" w:pos="360"/>
          <w:tab w:val="left" w:pos="720"/>
          <w:tab w:val="left" w:pos="1080"/>
          <w:tab w:val="left" w:pos="1440"/>
        </w:tabs>
        <w:spacing w:before="0" w:beforeAutospacing="0" w:after="0" w:afterAutospacing="0"/>
        <w:rPr>
          <w:u w:val="single"/>
        </w:rPr>
      </w:pPr>
      <w:r w:rsidRPr="00EF7D00">
        <w:t xml:space="preserve">B.  </w:t>
      </w:r>
      <w:r w:rsidRPr="00EF7D00">
        <w:rPr>
          <w:u w:val="single"/>
        </w:rPr>
        <w:t>COLLECTION OF INFORMATION EMPLOYING STATISTICAL METHODS</w:t>
      </w:r>
    </w:p>
    <w:p w14:paraId="6A3DEDFE" w14:textId="77777777" w:rsidR="000C5A66" w:rsidRPr="00EF7D00" w:rsidRDefault="000C5A66" w:rsidP="00EF7D00">
      <w:pPr>
        <w:pStyle w:val="NormalWeb"/>
        <w:tabs>
          <w:tab w:val="left" w:pos="360"/>
          <w:tab w:val="left" w:pos="720"/>
          <w:tab w:val="left" w:pos="1080"/>
          <w:tab w:val="left" w:pos="1440"/>
        </w:tabs>
        <w:spacing w:before="0" w:beforeAutospacing="0" w:after="0" w:afterAutospacing="0"/>
      </w:pPr>
    </w:p>
    <w:p w14:paraId="33D2C8B1" w14:textId="77777777" w:rsidR="00D141EB" w:rsidRPr="00EF7D00" w:rsidRDefault="00D141EB" w:rsidP="00EF7D00">
      <w:pPr>
        <w:tabs>
          <w:tab w:val="left" w:pos="360"/>
        </w:tabs>
      </w:pPr>
      <w:r w:rsidRPr="00EF7D00">
        <w:tab/>
        <w:t>Statistical methods will not be employed.</w:t>
      </w:r>
    </w:p>
    <w:sectPr w:rsidR="00D141EB" w:rsidRPr="00EF7D00" w:rsidSect="00A7063B">
      <w:headerReference w:type="default" r:id="rId9"/>
      <w:footerReference w:type="default" r:id="rId10"/>
      <w:pgSz w:w="12240" w:h="15840"/>
      <w:pgMar w:top="1440" w:right="1440" w:bottom="144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84C4A" w14:textId="77777777" w:rsidR="00DA5B5B" w:rsidRDefault="00DA5B5B" w:rsidP="00D74D55">
      <w:r>
        <w:separator/>
      </w:r>
    </w:p>
  </w:endnote>
  <w:endnote w:type="continuationSeparator" w:id="0">
    <w:p w14:paraId="0B46B9C4" w14:textId="77777777" w:rsidR="00DA5B5B" w:rsidRDefault="00DA5B5B"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767177"/>
      <w:docPartObj>
        <w:docPartGallery w:val="Page Numbers (Bottom of Page)"/>
        <w:docPartUnique/>
      </w:docPartObj>
    </w:sdtPr>
    <w:sdtEndPr/>
    <w:sdtContent>
      <w:sdt>
        <w:sdtPr>
          <w:id w:val="1728636285"/>
          <w:docPartObj>
            <w:docPartGallery w:val="Page Numbers (Top of Page)"/>
            <w:docPartUnique/>
          </w:docPartObj>
        </w:sdtPr>
        <w:sdtEndPr/>
        <w:sdtContent>
          <w:p w14:paraId="64BA07CC" w14:textId="12D9F107" w:rsidR="00DA5B5B" w:rsidRDefault="00DA5B5B">
            <w:pPr>
              <w:pStyle w:val="Footer"/>
              <w:jc w:val="center"/>
            </w:pPr>
            <w:r>
              <w:t xml:space="preserve">Page </w:t>
            </w:r>
            <w:r>
              <w:rPr>
                <w:b/>
                <w:bCs/>
              </w:rPr>
              <w:fldChar w:fldCharType="begin"/>
            </w:r>
            <w:r>
              <w:rPr>
                <w:b/>
                <w:bCs/>
              </w:rPr>
              <w:instrText xml:space="preserve"> PAGE </w:instrText>
            </w:r>
            <w:r>
              <w:rPr>
                <w:b/>
                <w:bCs/>
              </w:rPr>
              <w:fldChar w:fldCharType="separate"/>
            </w:r>
            <w:r w:rsidR="00104F1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04F17">
              <w:rPr>
                <w:b/>
                <w:bCs/>
                <w:noProof/>
              </w:rPr>
              <w:t>3</w:t>
            </w:r>
            <w:r>
              <w:rPr>
                <w:b/>
                <w:bCs/>
              </w:rPr>
              <w:fldChar w:fldCharType="end"/>
            </w:r>
          </w:p>
        </w:sdtContent>
      </w:sdt>
    </w:sdtContent>
  </w:sdt>
  <w:p w14:paraId="6119E5A3" w14:textId="77777777" w:rsidR="00DA5B5B" w:rsidRDefault="00DA5B5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91197" w14:textId="77777777" w:rsidR="00DA5B5B" w:rsidRDefault="00DA5B5B" w:rsidP="00D74D55">
      <w:r>
        <w:separator/>
      </w:r>
    </w:p>
  </w:footnote>
  <w:footnote w:type="continuationSeparator" w:id="0">
    <w:p w14:paraId="31FF2A42" w14:textId="77777777" w:rsidR="00DA5B5B" w:rsidRDefault="00DA5B5B" w:rsidP="00D74D55">
      <w:r>
        <w:continuationSeparator/>
      </w:r>
    </w:p>
  </w:footnote>
  <w:footnote w:id="1">
    <w:p w14:paraId="26FC5F16" w14:textId="369F1F80" w:rsidR="00DA5B5B" w:rsidRDefault="00DA5B5B" w:rsidP="001C1C8D">
      <w:pPr>
        <w:pStyle w:val="FootnoteText"/>
      </w:pPr>
      <w:r>
        <w:rPr>
          <w:rStyle w:val="FootnoteReference"/>
        </w:rPr>
        <w:footnoteRef/>
      </w:r>
      <w:r>
        <w:t xml:space="preserve"> In all instances, the hourly rates are based on OPM 2017 General Schedule and Locality Payment of 15.06% hourly rates plus OMB Memorandum M-08-13 March 11, 2008 Civilian Position Full Fringe Benefit Cost Factor </w:t>
      </w:r>
    </w:p>
    <w:p w14:paraId="42E5572C" w14:textId="14D30661" w:rsidR="00DA5B5B" w:rsidRDefault="00DA5B5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4C59C" w14:textId="77777777" w:rsidR="00DA5B5B" w:rsidRDefault="00DA5B5B" w:rsidP="00C735EB">
    <w:pPr>
      <w:pStyle w:val="Header"/>
      <w:jc w:val="right"/>
      <w:rPr>
        <w:color w:val="FF0000"/>
      </w:rPr>
    </w:pPr>
  </w:p>
  <w:p w14:paraId="252DCCDD" w14:textId="77777777" w:rsidR="00DA5B5B" w:rsidRPr="00C735EB" w:rsidRDefault="00DA5B5B" w:rsidP="00C735EB">
    <w:pPr>
      <w:pStyle w:val="Header"/>
      <w:jc w:val="right"/>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86350"/>
    <w:multiLevelType w:val="hybridMultilevel"/>
    <w:tmpl w:val="D018A7E8"/>
    <w:lvl w:ilvl="0" w:tplc="7CCE7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7E4023"/>
    <w:multiLevelType w:val="hybridMultilevel"/>
    <w:tmpl w:val="AB5A32F8"/>
    <w:lvl w:ilvl="0" w:tplc="4B4AD7E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7062AE"/>
    <w:multiLevelType w:val="hybridMultilevel"/>
    <w:tmpl w:val="16946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0D76FC"/>
    <w:multiLevelType w:val="hybridMultilevel"/>
    <w:tmpl w:val="D19E4CB2"/>
    <w:lvl w:ilvl="0" w:tplc="70E2E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7A6FB8"/>
    <w:multiLevelType w:val="hybridMultilevel"/>
    <w:tmpl w:val="77B82F5C"/>
    <w:lvl w:ilvl="0" w:tplc="32681E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2568AA"/>
    <w:multiLevelType w:val="hybridMultilevel"/>
    <w:tmpl w:val="D19E4CB2"/>
    <w:lvl w:ilvl="0" w:tplc="70E2E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D686A"/>
    <w:multiLevelType w:val="hybridMultilevel"/>
    <w:tmpl w:val="D19E4CB2"/>
    <w:lvl w:ilvl="0" w:tplc="70E2E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D31B51"/>
    <w:multiLevelType w:val="hybridMultilevel"/>
    <w:tmpl w:val="EC40FA72"/>
    <w:lvl w:ilvl="0" w:tplc="04090001">
      <w:start w:val="70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C560C1"/>
    <w:multiLevelType w:val="hybridMultilevel"/>
    <w:tmpl w:val="AC0A763C"/>
    <w:lvl w:ilvl="0" w:tplc="08C0F8C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A93B4F"/>
    <w:multiLevelType w:val="hybridMultilevel"/>
    <w:tmpl w:val="6972A1F4"/>
    <w:lvl w:ilvl="0" w:tplc="BF76A8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346874"/>
    <w:multiLevelType w:val="hybridMultilevel"/>
    <w:tmpl w:val="0862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0D6853"/>
    <w:multiLevelType w:val="hybridMultilevel"/>
    <w:tmpl w:val="CA107D2C"/>
    <w:lvl w:ilvl="0" w:tplc="BDE443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704642"/>
    <w:multiLevelType w:val="hybridMultilevel"/>
    <w:tmpl w:val="D19E4CB2"/>
    <w:lvl w:ilvl="0" w:tplc="70E2E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E91421"/>
    <w:multiLevelType w:val="hybridMultilevel"/>
    <w:tmpl w:val="2E78FB8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4"/>
  </w:num>
  <w:num w:numId="4">
    <w:abstractNumId w:val="4"/>
  </w:num>
  <w:num w:numId="5">
    <w:abstractNumId w:val="13"/>
  </w:num>
  <w:num w:numId="6">
    <w:abstractNumId w:val="6"/>
  </w:num>
  <w:num w:numId="7">
    <w:abstractNumId w:val="7"/>
  </w:num>
  <w:num w:numId="8">
    <w:abstractNumId w:val="0"/>
  </w:num>
  <w:num w:numId="9">
    <w:abstractNumId w:val="12"/>
  </w:num>
  <w:num w:numId="10">
    <w:abstractNumId w:val="2"/>
  </w:num>
  <w:num w:numId="11">
    <w:abstractNumId w:val="11"/>
  </w:num>
  <w:num w:numId="12">
    <w:abstractNumId w:val="10"/>
  </w:num>
  <w:num w:numId="13">
    <w:abstractNumId w:val="1"/>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04846"/>
    <w:rsid w:val="000168C3"/>
    <w:rsid w:val="00034B6C"/>
    <w:rsid w:val="00036199"/>
    <w:rsid w:val="00041F73"/>
    <w:rsid w:val="00045225"/>
    <w:rsid w:val="00050CB1"/>
    <w:rsid w:val="0005348C"/>
    <w:rsid w:val="000611B8"/>
    <w:rsid w:val="00067BE2"/>
    <w:rsid w:val="00082075"/>
    <w:rsid w:val="0009682D"/>
    <w:rsid w:val="000A0A75"/>
    <w:rsid w:val="000A13AC"/>
    <w:rsid w:val="000A16AC"/>
    <w:rsid w:val="000A2459"/>
    <w:rsid w:val="000A2A03"/>
    <w:rsid w:val="000A4085"/>
    <w:rsid w:val="000A68E9"/>
    <w:rsid w:val="000B1D51"/>
    <w:rsid w:val="000B475E"/>
    <w:rsid w:val="000B5EFC"/>
    <w:rsid w:val="000B6AE2"/>
    <w:rsid w:val="000C060F"/>
    <w:rsid w:val="000C5A66"/>
    <w:rsid w:val="000D5967"/>
    <w:rsid w:val="000D65DD"/>
    <w:rsid w:val="000E7B7D"/>
    <w:rsid w:val="000F629D"/>
    <w:rsid w:val="001047BC"/>
    <w:rsid w:val="00104F17"/>
    <w:rsid w:val="00107AE0"/>
    <w:rsid w:val="00127C69"/>
    <w:rsid w:val="00132159"/>
    <w:rsid w:val="00134142"/>
    <w:rsid w:val="00147A69"/>
    <w:rsid w:val="001551EA"/>
    <w:rsid w:val="00173102"/>
    <w:rsid w:val="0018366F"/>
    <w:rsid w:val="00186B0E"/>
    <w:rsid w:val="00191C5D"/>
    <w:rsid w:val="001A50D4"/>
    <w:rsid w:val="001A51B8"/>
    <w:rsid w:val="001B4153"/>
    <w:rsid w:val="001B6354"/>
    <w:rsid w:val="001B67DB"/>
    <w:rsid w:val="001C09ED"/>
    <w:rsid w:val="001C0C40"/>
    <w:rsid w:val="001C1C8D"/>
    <w:rsid w:val="001D35F7"/>
    <w:rsid w:val="001D5427"/>
    <w:rsid w:val="001E1D0F"/>
    <w:rsid w:val="001F3B22"/>
    <w:rsid w:val="001F6700"/>
    <w:rsid w:val="0020797A"/>
    <w:rsid w:val="002230B5"/>
    <w:rsid w:val="00230780"/>
    <w:rsid w:val="00231322"/>
    <w:rsid w:val="0023367A"/>
    <w:rsid w:val="002358A6"/>
    <w:rsid w:val="00235C7C"/>
    <w:rsid w:val="002365D3"/>
    <w:rsid w:val="002429FD"/>
    <w:rsid w:val="00255B64"/>
    <w:rsid w:val="00280AF3"/>
    <w:rsid w:val="00281F73"/>
    <w:rsid w:val="00283D29"/>
    <w:rsid w:val="002B180D"/>
    <w:rsid w:val="002D04DE"/>
    <w:rsid w:val="002D2ACB"/>
    <w:rsid w:val="002D3DF0"/>
    <w:rsid w:val="002D54B0"/>
    <w:rsid w:val="002E335E"/>
    <w:rsid w:val="002F3B8D"/>
    <w:rsid w:val="0030008B"/>
    <w:rsid w:val="003002A0"/>
    <w:rsid w:val="00301623"/>
    <w:rsid w:val="00305997"/>
    <w:rsid w:val="0032295F"/>
    <w:rsid w:val="003301CE"/>
    <w:rsid w:val="00333268"/>
    <w:rsid w:val="0035101C"/>
    <w:rsid w:val="0035175E"/>
    <w:rsid w:val="0035492B"/>
    <w:rsid w:val="00362A9D"/>
    <w:rsid w:val="00374CD6"/>
    <w:rsid w:val="003803F2"/>
    <w:rsid w:val="00393F00"/>
    <w:rsid w:val="003A4BD3"/>
    <w:rsid w:val="003B5239"/>
    <w:rsid w:val="003C26F7"/>
    <w:rsid w:val="003C38B9"/>
    <w:rsid w:val="003D33A2"/>
    <w:rsid w:val="003E20CC"/>
    <w:rsid w:val="003E4099"/>
    <w:rsid w:val="003E50F7"/>
    <w:rsid w:val="003F0140"/>
    <w:rsid w:val="003F0F34"/>
    <w:rsid w:val="003F1687"/>
    <w:rsid w:val="003F79A7"/>
    <w:rsid w:val="00411887"/>
    <w:rsid w:val="00422690"/>
    <w:rsid w:val="004248E7"/>
    <w:rsid w:val="004273D3"/>
    <w:rsid w:val="00430E97"/>
    <w:rsid w:val="004358AE"/>
    <w:rsid w:val="0044081E"/>
    <w:rsid w:val="004429A5"/>
    <w:rsid w:val="00455AC2"/>
    <w:rsid w:val="00456606"/>
    <w:rsid w:val="00463852"/>
    <w:rsid w:val="00475A8F"/>
    <w:rsid w:val="00481D13"/>
    <w:rsid w:val="004834CB"/>
    <w:rsid w:val="00494DDE"/>
    <w:rsid w:val="004A03A0"/>
    <w:rsid w:val="004B27AF"/>
    <w:rsid w:val="004B6441"/>
    <w:rsid w:val="004C7343"/>
    <w:rsid w:val="004C7516"/>
    <w:rsid w:val="004C7E91"/>
    <w:rsid w:val="004D322B"/>
    <w:rsid w:val="004D3D00"/>
    <w:rsid w:val="004D4631"/>
    <w:rsid w:val="004D60A9"/>
    <w:rsid w:val="004E3252"/>
    <w:rsid w:val="004E3CD9"/>
    <w:rsid w:val="004F0665"/>
    <w:rsid w:val="0050263A"/>
    <w:rsid w:val="0050550D"/>
    <w:rsid w:val="00516774"/>
    <w:rsid w:val="00525C5E"/>
    <w:rsid w:val="00533827"/>
    <w:rsid w:val="00536360"/>
    <w:rsid w:val="00541902"/>
    <w:rsid w:val="00551ADB"/>
    <w:rsid w:val="00555DFE"/>
    <w:rsid w:val="00556B5E"/>
    <w:rsid w:val="005645C4"/>
    <w:rsid w:val="0057195B"/>
    <w:rsid w:val="00582B2E"/>
    <w:rsid w:val="0059291C"/>
    <w:rsid w:val="005A1FE8"/>
    <w:rsid w:val="005A32DB"/>
    <w:rsid w:val="005C4463"/>
    <w:rsid w:val="005D7161"/>
    <w:rsid w:val="005E0A0F"/>
    <w:rsid w:val="005E6AF7"/>
    <w:rsid w:val="005F2452"/>
    <w:rsid w:val="005F3F56"/>
    <w:rsid w:val="005F4116"/>
    <w:rsid w:val="0060388A"/>
    <w:rsid w:val="0060426F"/>
    <w:rsid w:val="00607CB8"/>
    <w:rsid w:val="006210D1"/>
    <w:rsid w:val="0062206C"/>
    <w:rsid w:val="00635430"/>
    <w:rsid w:val="0065478C"/>
    <w:rsid w:val="00685BAC"/>
    <w:rsid w:val="00687732"/>
    <w:rsid w:val="006918BD"/>
    <w:rsid w:val="00692AED"/>
    <w:rsid w:val="006A2249"/>
    <w:rsid w:val="006A2C2D"/>
    <w:rsid w:val="006B2B17"/>
    <w:rsid w:val="006C0918"/>
    <w:rsid w:val="006D7F07"/>
    <w:rsid w:val="006E7819"/>
    <w:rsid w:val="006F0533"/>
    <w:rsid w:val="006F73BD"/>
    <w:rsid w:val="00707BBE"/>
    <w:rsid w:val="00715171"/>
    <w:rsid w:val="00722076"/>
    <w:rsid w:val="00735F84"/>
    <w:rsid w:val="00743B54"/>
    <w:rsid w:val="00746F33"/>
    <w:rsid w:val="0074793C"/>
    <w:rsid w:val="00757DB2"/>
    <w:rsid w:val="00762C0A"/>
    <w:rsid w:val="0076396E"/>
    <w:rsid w:val="0076442B"/>
    <w:rsid w:val="00791583"/>
    <w:rsid w:val="00791B70"/>
    <w:rsid w:val="00791CBF"/>
    <w:rsid w:val="007937A5"/>
    <w:rsid w:val="007A37FF"/>
    <w:rsid w:val="007A7940"/>
    <w:rsid w:val="007B14BF"/>
    <w:rsid w:val="007B44D5"/>
    <w:rsid w:val="007C3C58"/>
    <w:rsid w:val="007C48A9"/>
    <w:rsid w:val="007D334B"/>
    <w:rsid w:val="007D435C"/>
    <w:rsid w:val="007E450E"/>
    <w:rsid w:val="007F14BC"/>
    <w:rsid w:val="00814483"/>
    <w:rsid w:val="008271BA"/>
    <w:rsid w:val="00842ACA"/>
    <w:rsid w:val="008611B6"/>
    <w:rsid w:val="008630DE"/>
    <w:rsid w:val="008642BC"/>
    <w:rsid w:val="0087189A"/>
    <w:rsid w:val="00881148"/>
    <w:rsid w:val="0088751D"/>
    <w:rsid w:val="00887ED1"/>
    <w:rsid w:val="0089510E"/>
    <w:rsid w:val="008972BD"/>
    <w:rsid w:val="008A330F"/>
    <w:rsid w:val="008B21B2"/>
    <w:rsid w:val="008B37B5"/>
    <w:rsid w:val="008B44D2"/>
    <w:rsid w:val="008D2759"/>
    <w:rsid w:val="008D3837"/>
    <w:rsid w:val="008D508D"/>
    <w:rsid w:val="008E47E4"/>
    <w:rsid w:val="008E60D1"/>
    <w:rsid w:val="008F3DCF"/>
    <w:rsid w:val="008F502A"/>
    <w:rsid w:val="00902FCB"/>
    <w:rsid w:val="00912052"/>
    <w:rsid w:val="00913277"/>
    <w:rsid w:val="00922519"/>
    <w:rsid w:val="0092510B"/>
    <w:rsid w:val="00926C15"/>
    <w:rsid w:val="00930D2D"/>
    <w:rsid w:val="00932C6E"/>
    <w:rsid w:val="00943984"/>
    <w:rsid w:val="009564C0"/>
    <w:rsid w:val="00956969"/>
    <w:rsid w:val="00967B6D"/>
    <w:rsid w:val="00971467"/>
    <w:rsid w:val="00972808"/>
    <w:rsid w:val="009900ED"/>
    <w:rsid w:val="00993243"/>
    <w:rsid w:val="00997592"/>
    <w:rsid w:val="009A026F"/>
    <w:rsid w:val="009A4744"/>
    <w:rsid w:val="009C3D3E"/>
    <w:rsid w:val="009C5149"/>
    <w:rsid w:val="009C6D20"/>
    <w:rsid w:val="009D04F8"/>
    <w:rsid w:val="009D3210"/>
    <w:rsid w:val="009E5CC8"/>
    <w:rsid w:val="009F5413"/>
    <w:rsid w:val="00A03583"/>
    <w:rsid w:val="00A04D2A"/>
    <w:rsid w:val="00A166E1"/>
    <w:rsid w:val="00A37628"/>
    <w:rsid w:val="00A44C89"/>
    <w:rsid w:val="00A57995"/>
    <w:rsid w:val="00A60349"/>
    <w:rsid w:val="00A6761C"/>
    <w:rsid w:val="00A7063B"/>
    <w:rsid w:val="00A70FB1"/>
    <w:rsid w:val="00A93CBF"/>
    <w:rsid w:val="00AA2293"/>
    <w:rsid w:val="00AA5DDD"/>
    <w:rsid w:val="00AA79E1"/>
    <w:rsid w:val="00AB1B87"/>
    <w:rsid w:val="00AC2AE0"/>
    <w:rsid w:val="00AC3144"/>
    <w:rsid w:val="00AC4E19"/>
    <w:rsid w:val="00AC5BD4"/>
    <w:rsid w:val="00AD3AD5"/>
    <w:rsid w:val="00AE5B65"/>
    <w:rsid w:val="00AE6FA3"/>
    <w:rsid w:val="00AF1582"/>
    <w:rsid w:val="00AF492C"/>
    <w:rsid w:val="00AF66E0"/>
    <w:rsid w:val="00B0046A"/>
    <w:rsid w:val="00B03BD4"/>
    <w:rsid w:val="00B040E7"/>
    <w:rsid w:val="00B0563F"/>
    <w:rsid w:val="00B14F0D"/>
    <w:rsid w:val="00B25827"/>
    <w:rsid w:val="00B32A23"/>
    <w:rsid w:val="00B34DAC"/>
    <w:rsid w:val="00B36FD1"/>
    <w:rsid w:val="00B45644"/>
    <w:rsid w:val="00B47974"/>
    <w:rsid w:val="00B70A7B"/>
    <w:rsid w:val="00B70CAB"/>
    <w:rsid w:val="00B71AB2"/>
    <w:rsid w:val="00B75E8A"/>
    <w:rsid w:val="00B9300B"/>
    <w:rsid w:val="00B95160"/>
    <w:rsid w:val="00BA06A8"/>
    <w:rsid w:val="00BA4828"/>
    <w:rsid w:val="00BB43D9"/>
    <w:rsid w:val="00BC1263"/>
    <w:rsid w:val="00BC258A"/>
    <w:rsid w:val="00BC7693"/>
    <w:rsid w:val="00BD4C1A"/>
    <w:rsid w:val="00BD73F1"/>
    <w:rsid w:val="00BE7FA4"/>
    <w:rsid w:val="00BF57D3"/>
    <w:rsid w:val="00BF6680"/>
    <w:rsid w:val="00C00C1A"/>
    <w:rsid w:val="00C07B93"/>
    <w:rsid w:val="00C07E1A"/>
    <w:rsid w:val="00C20DF7"/>
    <w:rsid w:val="00C23713"/>
    <w:rsid w:val="00C34D08"/>
    <w:rsid w:val="00C4222B"/>
    <w:rsid w:val="00C50085"/>
    <w:rsid w:val="00C568E3"/>
    <w:rsid w:val="00C600DB"/>
    <w:rsid w:val="00C66D8C"/>
    <w:rsid w:val="00C67050"/>
    <w:rsid w:val="00C735EB"/>
    <w:rsid w:val="00C775F0"/>
    <w:rsid w:val="00C840CA"/>
    <w:rsid w:val="00C8432B"/>
    <w:rsid w:val="00C902E3"/>
    <w:rsid w:val="00C9075D"/>
    <w:rsid w:val="00C941EB"/>
    <w:rsid w:val="00CB068C"/>
    <w:rsid w:val="00CB324A"/>
    <w:rsid w:val="00CD0E0C"/>
    <w:rsid w:val="00CD40C9"/>
    <w:rsid w:val="00CD5C8B"/>
    <w:rsid w:val="00CE6326"/>
    <w:rsid w:val="00CF44DB"/>
    <w:rsid w:val="00CF7C68"/>
    <w:rsid w:val="00D141EB"/>
    <w:rsid w:val="00D25ED0"/>
    <w:rsid w:val="00D26D5B"/>
    <w:rsid w:val="00D34F71"/>
    <w:rsid w:val="00D37A50"/>
    <w:rsid w:val="00D46148"/>
    <w:rsid w:val="00D52C3E"/>
    <w:rsid w:val="00D6044B"/>
    <w:rsid w:val="00D704FE"/>
    <w:rsid w:val="00D74D55"/>
    <w:rsid w:val="00D820C3"/>
    <w:rsid w:val="00DA1EC8"/>
    <w:rsid w:val="00DA5B5B"/>
    <w:rsid w:val="00DA5C17"/>
    <w:rsid w:val="00DA5F8B"/>
    <w:rsid w:val="00DB1D73"/>
    <w:rsid w:val="00DB34F4"/>
    <w:rsid w:val="00DC38FD"/>
    <w:rsid w:val="00DC55B6"/>
    <w:rsid w:val="00DC7363"/>
    <w:rsid w:val="00DD08DE"/>
    <w:rsid w:val="00DD0AFC"/>
    <w:rsid w:val="00DF1FE1"/>
    <w:rsid w:val="00DF33C9"/>
    <w:rsid w:val="00E033CD"/>
    <w:rsid w:val="00E04880"/>
    <w:rsid w:val="00E06A73"/>
    <w:rsid w:val="00E20660"/>
    <w:rsid w:val="00E25E23"/>
    <w:rsid w:val="00E311F9"/>
    <w:rsid w:val="00E344B9"/>
    <w:rsid w:val="00E4100B"/>
    <w:rsid w:val="00E47A25"/>
    <w:rsid w:val="00E53C2C"/>
    <w:rsid w:val="00E6087C"/>
    <w:rsid w:val="00E65FA0"/>
    <w:rsid w:val="00E670A3"/>
    <w:rsid w:val="00E77C5C"/>
    <w:rsid w:val="00E90B41"/>
    <w:rsid w:val="00E93E8F"/>
    <w:rsid w:val="00E97E7E"/>
    <w:rsid w:val="00EA3C78"/>
    <w:rsid w:val="00EB0C6C"/>
    <w:rsid w:val="00EC79AB"/>
    <w:rsid w:val="00ED24D3"/>
    <w:rsid w:val="00EE1BD9"/>
    <w:rsid w:val="00EF7D00"/>
    <w:rsid w:val="00F0159C"/>
    <w:rsid w:val="00F07E33"/>
    <w:rsid w:val="00F106A6"/>
    <w:rsid w:val="00F1301E"/>
    <w:rsid w:val="00F1447C"/>
    <w:rsid w:val="00F32885"/>
    <w:rsid w:val="00F357EB"/>
    <w:rsid w:val="00F36A90"/>
    <w:rsid w:val="00F374CE"/>
    <w:rsid w:val="00F508A6"/>
    <w:rsid w:val="00F508E6"/>
    <w:rsid w:val="00F646BA"/>
    <w:rsid w:val="00F64C7E"/>
    <w:rsid w:val="00F73130"/>
    <w:rsid w:val="00F76840"/>
    <w:rsid w:val="00F92085"/>
    <w:rsid w:val="00F92ACC"/>
    <w:rsid w:val="00F940F7"/>
    <w:rsid w:val="00F948BA"/>
    <w:rsid w:val="00FB3212"/>
    <w:rsid w:val="00FC0556"/>
    <w:rsid w:val="00FC2DD9"/>
    <w:rsid w:val="00FD0AA7"/>
    <w:rsid w:val="00FD6E74"/>
    <w:rsid w:val="00FE0D1E"/>
    <w:rsid w:val="00FE0D74"/>
    <w:rsid w:val="00FE5A59"/>
    <w:rsid w:val="00FE631D"/>
    <w:rsid w:val="00FF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8D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unhideWhenUsed/>
    <w:rsid w:val="006E7819"/>
    <w:rPr>
      <w:sz w:val="20"/>
      <w:szCs w:val="20"/>
    </w:rPr>
  </w:style>
  <w:style w:type="character" w:customStyle="1" w:styleId="FootnoteTextChar">
    <w:name w:val="Footnote Text Char"/>
    <w:basedOn w:val="DefaultParagraphFont"/>
    <w:link w:val="FootnoteText"/>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Hyperlink">
    <w:name w:val="Hyperlink"/>
    <w:rsid w:val="003301CE"/>
    <w:rPr>
      <w:color w:val="0000FF"/>
      <w:u w:val="single"/>
    </w:rPr>
  </w:style>
  <w:style w:type="paragraph" w:styleId="ListParagraph">
    <w:name w:val="List Paragraph"/>
    <w:basedOn w:val="Normal"/>
    <w:uiPriority w:val="34"/>
    <w:qFormat/>
    <w:rsid w:val="00525C5E"/>
    <w:pPr>
      <w:ind w:left="720"/>
      <w:contextualSpacing/>
    </w:pPr>
  </w:style>
  <w:style w:type="table" w:styleId="TableGrid">
    <w:name w:val="Table Grid"/>
    <w:basedOn w:val="TableNormal"/>
    <w:uiPriority w:val="59"/>
    <w:rsid w:val="004A0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4153"/>
    <w:rPr>
      <w:sz w:val="16"/>
      <w:szCs w:val="16"/>
    </w:rPr>
  </w:style>
  <w:style w:type="paragraph" w:styleId="CommentText">
    <w:name w:val="annotation text"/>
    <w:basedOn w:val="Normal"/>
    <w:link w:val="CommentTextChar"/>
    <w:uiPriority w:val="99"/>
    <w:semiHidden/>
    <w:unhideWhenUsed/>
    <w:rsid w:val="001B4153"/>
    <w:rPr>
      <w:sz w:val="20"/>
      <w:szCs w:val="20"/>
    </w:rPr>
  </w:style>
  <w:style w:type="character" w:customStyle="1" w:styleId="CommentTextChar">
    <w:name w:val="Comment Text Char"/>
    <w:basedOn w:val="DefaultParagraphFont"/>
    <w:link w:val="CommentText"/>
    <w:uiPriority w:val="99"/>
    <w:semiHidden/>
    <w:rsid w:val="001B415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B4153"/>
    <w:rPr>
      <w:b/>
      <w:bCs/>
    </w:rPr>
  </w:style>
  <w:style w:type="character" w:customStyle="1" w:styleId="CommentSubjectChar">
    <w:name w:val="Comment Subject Char"/>
    <w:basedOn w:val="CommentTextChar"/>
    <w:link w:val="CommentSubject"/>
    <w:uiPriority w:val="99"/>
    <w:semiHidden/>
    <w:rsid w:val="001B4153"/>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unhideWhenUsed/>
    <w:rsid w:val="006E7819"/>
    <w:rPr>
      <w:sz w:val="20"/>
      <w:szCs w:val="20"/>
    </w:rPr>
  </w:style>
  <w:style w:type="character" w:customStyle="1" w:styleId="FootnoteTextChar">
    <w:name w:val="Footnote Text Char"/>
    <w:basedOn w:val="DefaultParagraphFont"/>
    <w:link w:val="FootnoteText"/>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Hyperlink">
    <w:name w:val="Hyperlink"/>
    <w:rsid w:val="003301CE"/>
    <w:rPr>
      <w:color w:val="0000FF"/>
      <w:u w:val="single"/>
    </w:rPr>
  </w:style>
  <w:style w:type="paragraph" w:styleId="ListParagraph">
    <w:name w:val="List Paragraph"/>
    <w:basedOn w:val="Normal"/>
    <w:uiPriority w:val="34"/>
    <w:qFormat/>
    <w:rsid w:val="00525C5E"/>
    <w:pPr>
      <w:ind w:left="720"/>
      <w:contextualSpacing/>
    </w:pPr>
  </w:style>
  <w:style w:type="table" w:styleId="TableGrid">
    <w:name w:val="Table Grid"/>
    <w:basedOn w:val="TableNormal"/>
    <w:uiPriority w:val="59"/>
    <w:rsid w:val="004A0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4153"/>
    <w:rPr>
      <w:sz w:val="16"/>
      <w:szCs w:val="16"/>
    </w:rPr>
  </w:style>
  <w:style w:type="paragraph" w:styleId="CommentText">
    <w:name w:val="annotation text"/>
    <w:basedOn w:val="Normal"/>
    <w:link w:val="CommentTextChar"/>
    <w:uiPriority w:val="99"/>
    <w:semiHidden/>
    <w:unhideWhenUsed/>
    <w:rsid w:val="001B4153"/>
    <w:rPr>
      <w:sz w:val="20"/>
      <w:szCs w:val="20"/>
    </w:rPr>
  </w:style>
  <w:style w:type="character" w:customStyle="1" w:styleId="CommentTextChar">
    <w:name w:val="Comment Text Char"/>
    <w:basedOn w:val="DefaultParagraphFont"/>
    <w:link w:val="CommentText"/>
    <w:uiPriority w:val="99"/>
    <w:semiHidden/>
    <w:rsid w:val="001B415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B4153"/>
    <w:rPr>
      <w:b/>
      <w:bCs/>
    </w:rPr>
  </w:style>
  <w:style w:type="character" w:customStyle="1" w:styleId="CommentSubjectChar">
    <w:name w:val="Comment Subject Char"/>
    <w:basedOn w:val="CommentTextChar"/>
    <w:link w:val="CommentSubject"/>
    <w:uiPriority w:val="99"/>
    <w:semiHidden/>
    <w:rsid w:val="001B4153"/>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51178">
      <w:bodyDiv w:val="1"/>
      <w:marLeft w:val="0"/>
      <w:marRight w:val="0"/>
      <w:marTop w:val="0"/>
      <w:marBottom w:val="0"/>
      <w:divBdr>
        <w:top w:val="none" w:sz="0" w:space="0" w:color="auto"/>
        <w:left w:val="none" w:sz="0" w:space="0" w:color="auto"/>
        <w:bottom w:val="none" w:sz="0" w:space="0" w:color="auto"/>
        <w:right w:val="none" w:sz="0" w:space="0" w:color="auto"/>
      </w:divBdr>
    </w:div>
    <w:div w:id="428551511">
      <w:bodyDiv w:val="1"/>
      <w:marLeft w:val="0"/>
      <w:marRight w:val="0"/>
      <w:marTop w:val="0"/>
      <w:marBottom w:val="0"/>
      <w:divBdr>
        <w:top w:val="none" w:sz="0" w:space="0" w:color="auto"/>
        <w:left w:val="none" w:sz="0" w:space="0" w:color="auto"/>
        <w:bottom w:val="none" w:sz="0" w:space="0" w:color="auto"/>
        <w:right w:val="none" w:sz="0" w:space="0" w:color="auto"/>
      </w:divBdr>
    </w:div>
    <w:div w:id="1343094919">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AF60B-6C6F-4C6F-AE8A-049A66357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3791</Words>
  <Characters>21613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SYSTEM</cp:lastModifiedBy>
  <cp:revision>2</cp:revision>
  <cp:lastPrinted>2017-09-21T15:09:00Z</cp:lastPrinted>
  <dcterms:created xsi:type="dcterms:W3CDTF">2017-10-24T13:42:00Z</dcterms:created>
  <dcterms:modified xsi:type="dcterms:W3CDTF">2017-10-24T13:42:00Z</dcterms:modified>
</cp:coreProperties>
</file>