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1C" w:rsidRDefault="0045541C">
      <w:pPr>
        <w:pStyle w:val="Title"/>
      </w:pPr>
      <w:bookmarkStart w:id="0" w:name="_GoBack"/>
      <w:bookmarkEnd w:id="0"/>
      <w:r>
        <w:t>SUPPORTING STATEMENT FOR VA FORM 28-1905</w:t>
      </w:r>
    </w:p>
    <w:p w:rsidR="0045541C" w:rsidRDefault="00CB453D">
      <w:pPr>
        <w:pStyle w:val="Title"/>
      </w:pPr>
      <w:r>
        <w:t xml:space="preserve">OMB Control Number </w:t>
      </w:r>
      <w:r w:rsidR="0045541C">
        <w:t>2900-0014</w:t>
      </w:r>
    </w:p>
    <w:p w:rsidR="0045541C" w:rsidRDefault="0045541C">
      <w:pPr>
        <w:tabs>
          <w:tab w:val="left" w:pos="475"/>
        </w:tabs>
      </w:pPr>
    </w:p>
    <w:p w:rsidR="0045541C" w:rsidRDefault="0045541C">
      <w:pPr>
        <w:tabs>
          <w:tab w:val="left" w:pos="475"/>
        </w:tabs>
      </w:pPr>
    </w:p>
    <w:p w:rsidR="0045541C" w:rsidRDefault="0045541C" w:rsidP="00CB453D">
      <w:pPr>
        <w:pStyle w:val="Heading1"/>
        <w:numPr>
          <w:ilvl w:val="0"/>
          <w:numId w:val="5"/>
        </w:numPr>
        <w:rPr>
          <w:b/>
        </w:rPr>
      </w:pPr>
      <w:r w:rsidRPr="00CB453D">
        <w:rPr>
          <w:b/>
        </w:rPr>
        <w:t>Justification</w:t>
      </w:r>
    </w:p>
    <w:p w:rsidR="00CB453D" w:rsidRDefault="00CB453D" w:rsidP="00CB453D"/>
    <w:p w:rsidR="00CB453D" w:rsidRPr="00B74824" w:rsidRDefault="00CB453D" w:rsidP="00CB453D">
      <w:pPr>
        <w:pStyle w:val="ListParagraph"/>
        <w:numPr>
          <w:ilvl w:val="0"/>
          <w:numId w:val="7"/>
        </w:numPr>
        <w:rPr>
          <w:b/>
        </w:rPr>
      </w:pPr>
      <w:r w:rsidRPr="00B74824">
        <w:rPr>
          <w:b/>
        </w:rPr>
        <w:t>Explain the circumstances that make the collection of information necessary. Identify legal or administrative requirements that necessitate the collection of information.</w:t>
      </w:r>
    </w:p>
    <w:p w:rsidR="0045541C" w:rsidRDefault="0045541C">
      <w:pPr>
        <w:tabs>
          <w:tab w:val="left" w:pos="475"/>
        </w:tabs>
        <w:rPr>
          <w:bCs/>
          <w:u w:val="single"/>
        </w:rPr>
      </w:pPr>
    </w:p>
    <w:p w:rsidR="00B74824" w:rsidRDefault="0045541C">
      <w:pPr>
        <w:tabs>
          <w:tab w:val="left" w:pos="475"/>
        </w:tabs>
      </w:pPr>
      <w:r>
        <w:tab/>
      </w:r>
      <w:r w:rsidR="00B74824">
        <w:t xml:space="preserve">    </w:t>
      </w:r>
      <w:r>
        <w:t>The Department of Veterans Affairs (VA) is required to define the enrollment conditions</w:t>
      </w:r>
    </w:p>
    <w:p w:rsidR="00B74824" w:rsidRDefault="00B74824">
      <w:pPr>
        <w:tabs>
          <w:tab w:val="left" w:pos="475"/>
        </w:tabs>
      </w:pPr>
      <w:r>
        <w:t xml:space="preserve">           </w:t>
      </w:r>
      <w:r w:rsidR="0045541C">
        <w:t xml:space="preserve"> and to certify pursuit and attendance for any </w:t>
      </w:r>
      <w:r w:rsidR="00415F3F">
        <w:t>C</w:t>
      </w:r>
      <w:r w:rsidR="0045541C">
        <w:t xml:space="preserve">hapter 31, rehabilitation or </w:t>
      </w:r>
      <w:r w:rsidR="00415F3F">
        <w:t>C</w:t>
      </w:r>
      <w:r w:rsidR="0045541C">
        <w:t xml:space="preserve">hapter 35, </w:t>
      </w:r>
    </w:p>
    <w:p w:rsidR="00B74824" w:rsidRDefault="00B74824">
      <w:pPr>
        <w:tabs>
          <w:tab w:val="left" w:pos="475"/>
        </w:tabs>
      </w:pPr>
      <w:r>
        <w:t xml:space="preserve">            </w:t>
      </w:r>
      <w:r w:rsidR="0045541C">
        <w:t>special restorative or specialized vocational training program.  The information the</w:t>
      </w:r>
    </w:p>
    <w:p w:rsidR="00B74824" w:rsidRDefault="00B74824">
      <w:pPr>
        <w:tabs>
          <w:tab w:val="left" w:pos="475"/>
        </w:tabs>
      </w:pPr>
      <w:r>
        <w:t xml:space="preserve">            </w:t>
      </w:r>
      <w:r w:rsidR="0045541C">
        <w:t xml:space="preserve">facility provides to VA on the VA Form 28-1905, </w:t>
      </w:r>
      <w:r w:rsidR="0045541C" w:rsidRPr="00B74824">
        <w:rPr>
          <w:i/>
        </w:rPr>
        <w:t>Authorization and Certification of</w:t>
      </w:r>
      <w:r w:rsidR="0045541C">
        <w:t xml:space="preserve"> </w:t>
      </w:r>
    </w:p>
    <w:p w:rsidR="00B74824" w:rsidRDefault="00B74824">
      <w:pPr>
        <w:tabs>
          <w:tab w:val="left" w:pos="475"/>
        </w:tabs>
      </w:pPr>
      <w:r>
        <w:t xml:space="preserve">            </w:t>
      </w:r>
      <w:r w:rsidR="0045541C" w:rsidRPr="00B74824">
        <w:rPr>
          <w:i/>
        </w:rPr>
        <w:t>Entrance or Reentrance into Rehabilitation and Certification of Status</w:t>
      </w:r>
      <w:r w:rsidR="0045541C">
        <w:t>, ensures that</w:t>
      </w:r>
    </w:p>
    <w:p w:rsidR="00B74824" w:rsidRDefault="00B74824">
      <w:pPr>
        <w:tabs>
          <w:tab w:val="left" w:pos="475"/>
        </w:tabs>
      </w:pPr>
      <w:r>
        <w:t xml:space="preserve">           </w:t>
      </w:r>
      <w:r w:rsidR="0045541C">
        <w:t xml:space="preserve"> individuals do not receive benefits for periods when they did not actually participate in </w:t>
      </w:r>
    </w:p>
    <w:p w:rsidR="00B74824" w:rsidRDefault="00B74824">
      <w:pPr>
        <w:tabs>
          <w:tab w:val="left" w:pos="475"/>
        </w:tabs>
      </w:pPr>
      <w:r>
        <w:t xml:space="preserve">            </w:t>
      </w:r>
      <w:r w:rsidR="0045541C">
        <w:t xml:space="preserve">the planned program.  Facilities also affirm they will request payment only for properly </w:t>
      </w:r>
    </w:p>
    <w:p w:rsidR="00B74824" w:rsidRDefault="00B74824">
      <w:pPr>
        <w:tabs>
          <w:tab w:val="left" w:pos="475"/>
        </w:tabs>
      </w:pPr>
      <w:r>
        <w:t xml:space="preserve">            </w:t>
      </w:r>
      <w:r w:rsidR="0045541C">
        <w:t xml:space="preserve">established charges.  The authority to collect this information is in </w:t>
      </w:r>
      <w:r w:rsidR="00783537">
        <w:t xml:space="preserve">Title </w:t>
      </w:r>
      <w:r w:rsidR="0045541C">
        <w:t xml:space="preserve">38 </w:t>
      </w:r>
      <w:r w:rsidR="00783537">
        <w:t xml:space="preserve">of the United </w:t>
      </w:r>
    </w:p>
    <w:p w:rsidR="00B74824" w:rsidRDefault="00B74824">
      <w:pPr>
        <w:tabs>
          <w:tab w:val="left" w:pos="475"/>
        </w:tabs>
      </w:pPr>
      <w:r>
        <w:t xml:space="preserve">            </w:t>
      </w:r>
      <w:r w:rsidR="00783537">
        <w:t>States Code (</w:t>
      </w:r>
      <w:r w:rsidR="0045541C">
        <w:t>U.S.C.</w:t>
      </w:r>
      <w:r w:rsidR="00783537">
        <w:t>)</w:t>
      </w:r>
      <w:r w:rsidR="0045541C">
        <w:t xml:space="preserve"> 501(a) and 3680(g), </w:t>
      </w:r>
      <w:r w:rsidR="00783537">
        <w:t xml:space="preserve">Title </w:t>
      </w:r>
      <w:r w:rsidR="0045541C">
        <w:t xml:space="preserve">38 </w:t>
      </w:r>
      <w:r w:rsidR="00783537">
        <w:t>of the Code of Federal Regulations</w:t>
      </w:r>
    </w:p>
    <w:p w:rsidR="0045541C" w:rsidRDefault="00B74824">
      <w:pPr>
        <w:tabs>
          <w:tab w:val="left" w:pos="475"/>
        </w:tabs>
      </w:pPr>
      <w:r>
        <w:t xml:space="preserve">            </w:t>
      </w:r>
      <w:r w:rsidR="00783537">
        <w:t xml:space="preserve"> (</w:t>
      </w:r>
      <w:r w:rsidR="0045541C">
        <w:t>CFR</w:t>
      </w:r>
      <w:r w:rsidR="00783537">
        <w:t>)</w:t>
      </w:r>
      <w:r w:rsidR="0045541C">
        <w:t xml:space="preserve"> 21.294, and 48 CFR 871.201-2.</w:t>
      </w:r>
    </w:p>
    <w:p w:rsidR="00B74824" w:rsidRDefault="00B74824">
      <w:pPr>
        <w:tabs>
          <w:tab w:val="left" w:pos="475"/>
        </w:tabs>
      </w:pPr>
      <w:r>
        <w:t xml:space="preserve">   </w:t>
      </w:r>
    </w:p>
    <w:p w:rsidR="00B74824" w:rsidRPr="00B74824" w:rsidRDefault="00B74824" w:rsidP="00B74824">
      <w:pPr>
        <w:pStyle w:val="ListParagraph"/>
        <w:numPr>
          <w:ilvl w:val="0"/>
          <w:numId w:val="7"/>
        </w:numPr>
        <w:tabs>
          <w:tab w:val="left" w:pos="475"/>
        </w:tabs>
        <w:rPr>
          <w:b/>
        </w:rPr>
      </w:pPr>
      <w:r w:rsidRPr="00B74824">
        <w:rPr>
          <w:b/>
        </w:rPr>
        <w:t>Indicate how, by whom, and for what purposes the information is to be used;</w:t>
      </w:r>
    </w:p>
    <w:p w:rsidR="00B74824" w:rsidRDefault="00B74824" w:rsidP="00B74824">
      <w:pPr>
        <w:pStyle w:val="ListParagraph"/>
        <w:tabs>
          <w:tab w:val="left" w:pos="475"/>
        </w:tabs>
      </w:pPr>
      <w:r w:rsidRPr="00B74824">
        <w:rPr>
          <w:b/>
        </w:rPr>
        <w:t>Indicate actual use the agency has made of the information received from current collection</w:t>
      </w:r>
      <w:r>
        <w:t>.</w:t>
      </w:r>
    </w:p>
    <w:p w:rsidR="0045541C" w:rsidRDefault="0045541C">
      <w:pPr>
        <w:tabs>
          <w:tab w:val="left" w:pos="475"/>
        </w:tabs>
      </w:pPr>
    </w:p>
    <w:p w:rsidR="00B74824" w:rsidRDefault="0045541C">
      <w:pPr>
        <w:tabs>
          <w:tab w:val="left" w:pos="475"/>
        </w:tabs>
      </w:pPr>
      <w:r>
        <w:tab/>
      </w:r>
      <w:r w:rsidR="00B74824">
        <w:t xml:space="preserve">    </w:t>
      </w:r>
      <w:r>
        <w:t xml:space="preserve">The VA case manager supervising the veteran’s or other eligible person’s program </w:t>
      </w:r>
    </w:p>
    <w:p w:rsidR="00B74824" w:rsidRDefault="00B74824">
      <w:pPr>
        <w:tabs>
          <w:tab w:val="left" w:pos="475"/>
        </w:tabs>
      </w:pPr>
      <w:r>
        <w:t xml:space="preserve">            </w:t>
      </w:r>
      <w:r w:rsidR="0045541C">
        <w:t xml:space="preserve">completes sections A and B of VA form 28-1905 to identify the program participant and </w:t>
      </w:r>
    </w:p>
    <w:p w:rsidR="00B74824" w:rsidRDefault="00B74824">
      <w:pPr>
        <w:tabs>
          <w:tab w:val="left" w:pos="475"/>
        </w:tabs>
      </w:pPr>
      <w:r>
        <w:t xml:space="preserve">            </w:t>
      </w:r>
      <w:r w:rsidR="0045541C">
        <w:t xml:space="preserve">to communicate the scope of the planned program to facilities providing the education, </w:t>
      </w:r>
    </w:p>
    <w:p w:rsidR="0045541C" w:rsidRDefault="00B74824">
      <w:pPr>
        <w:tabs>
          <w:tab w:val="left" w:pos="475"/>
        </w:tabs>
      </w:pPr>
      <w:r>
        <w:t xml:space="preserve">            </w:t>
      </w:r>
      <w:r w:rsidR="0045541C">
        <w:t xml:space="preserve">training, or other rehabilitation services.  The form: </w:t>
      </w:r>
    </w:p>
    <w:p w:rsidR="0045541C" w:rsidRDefault="0045541C">
      <w:pPr>
        <w:tabs>
          <w:tab w:val="left" w:pos="475"/>
        </w:tabs>
      </w:pPr>
    </w:p>
    <w:p w:rsidR="0045541C" w:rsidRDefault="00B74824" w:rsidP="00B74824">
      <w:pPr>
        <w:ind w:left="360"/>
      </w:pPr>
      <w:r>
        <w:t xml:space="preserve">      •  </w:t>
      </w:r>
      <w:r w:rsidR="0045541C">
        <w:t>Affirms that the facility’s charges will accord with an existing contract or agreement</w:t>
      </w:r>
    </w:p>
    <w:p w:rsidR="00B74824" w:rsidRDefault="00B74824" w:rsidP="00B74824">
      <w:r>
        <w:t xml:space="preserve">            •  </w:t>
      </w:r>
      <w:r w:rsidR="0045541C">
        <w:t xml:space="preserve">Serves as the only contractual document </w:t>
      </w:r>
      <w:r w:rsidR="00A41EAF">
        <w:t xml:space="preserve">to authorize services </w:t>
      </w:r>
      <w:r w:rsidR="00C2357F">
        <w:t>for a particular period</w:t>
      </w:r>
    </w:p>
    <w:p w:rsidR="0045541C" w:rsidRDefault="00B74824" w:rsidP="00B74824">
      <w:pPr>
        <w:ind w:left="720"/>
      </w:pPr>
      <w:r>
        <w:t xml:space="preserve">  </w:t>
      </w:r>
      <w:r w:rsidR="00C2357F">
        <w:t xml:space="preserve"> </w:t>
      </w:r>
      <w:r w:rsidR="00A41EAF">
        <w:t>to</w:t>
      </w:r>
      <w:r>
        <w:t xml:space="preserve"> </w:t>
      </w:r>
      <w:r w:rsidR="0045541C">
        <w:t>facilities without a formal contract or agreement</w:t>
      </w:r>
    </w:p>
    <w:p w:rsidR="00610DB1" w:rsidRDefault="00B74824" w:rsidP="00B74824">
      <w:r>
        <w:t xml:space="preserve">            •  </w:t>
      </w:r>
      <w:r w:rsidR="00610DB1">
        <w:t>N</w:t>
      </w:r>
      <w:r w:rsidR="00610DB1" w:rsidRPr="00610DB1">
        <w:t xml:space="preserve">otifies the facility of the approved program of study for the </w:t>
      </w:r>
      <w:r w:rsidR="00783537">
        <w:t>participant</w:t>
      </w:r>
    </w:p>
    <w:p w:rsidR="00396982" w:rsidRDefault="00B74824" w:rsidP="00B74824">
      <w:r>
        <w:t xml:space="preserve">            •  </w:t>
      </w:r>
      <w:r w:rsidR="00396982" w:rsidRPr="00396982">
        <w:t>Notif</w:t>
      </w:r>
      <w:r w:rsidR="00396982">
        <w:t>ies</w:t>
      </w:r>
      <w:r w:rsidR="00396982" w:rsidRPr="00396982">
        <w:t xml:space="preserve"> the facility that the </w:t>
      </w:r>
      <w:r w:rsidR="00783537">
        <w:t>participant</w:t>
      </w:r>
      <w:r w:rsidR="00396982" w:rsidRPr="00396982">
        <w:t xml:space="preserve"> is authorized to attend at VA expense</w:t>
      </w:r>
    </w:p>
    <w:p w:rsidR="0045541C" w:rsidRDefault="00B74824" w:rsidP="00B74824">
      <w:r>
        <w:t xml:space="preserve">            •  </w:t>
      </w:r>
      <w:r w:rsidR="0045541C">
        <w:t>Reminds all service providers of their reporting obligations</w:t>
      </w:r>
    </w:p>
    <w:p w:rsidR="0045541C" w:rsidRDefault="0045541C"/>
    <w:p w:rsidR="001617F6" w:rsidRDefault="001617F6">
      <w:r>
        <w:t xml:space="preserve">            </w:t>
      </w:r>
      <w:r w:rsidR="0045541C">
        <w:t xml:space="preserve">Under the terms on the form, the facility is entitled to submit vouchers for program </w:t>
      </w:r>
    </w:p>
    <w:p w:rsidR="0045541C" w:rsidRDefault="001617F6">
      <w:r>
        <w:t xml:space="preserve">            </w:t>
      </w:r>
      <w:r w:rsidR="0045541C">
        <w:t xml:space="preserve">participants to VA for payment of tuition, fees, books, and supplies.  </w:t>
      </w:r>
    </w:p>
    <w:p w:rsidR="0045541C" w:rsidRDefault="0045541C">
      <w:pPr>
        <w:tabs>
          <w:tab w:val="left" w:pos="475"/>
        </w:tabs>
      </w:pPr>
    </w:p>
    <w:p w:rsidR="002578D9" w:rsidRDefault="002578D9">
      <w:pPr>
        <w:tabs>
          <w:tab w:val="left" w:pos="475"/>
        </w:tabs>
      </w:pPr>
      <w:r>
        <w:t xml:space="preserve">            </w:t>
      </w:r>
      <w:r w:rsidR="0045541C">
        <w:t xml:space="preserve">A facility official then completes section C and returns the form to VA to certify that the </w:t>
      </w:r>
    </w:p>
    <w:p w:rsidR="002578D9" w:rsidRDefault="002578D9">
      <w:pPr>
        <w:tabs>
          <w:tab w:val="left" w:pos="475"/>
        </w:tabs>
      </w:pPr>
      <w:r>
        <w:t xml:space="preserve">            </w:t>
      </w:r>
      <w:r w:rsidR="00783537">
        <w:t xml:space="preserve">participant </w:t>
      </w:r>
      <w:r w:rsidR="0045541C">
        <w:t>actually</w:t>
      </w:r>
      <w:r>
        <w:t xml:space="preserve"> </w:t>
      </w:r>
      <w:r w:rsidR="0045541C">
        <w:t xml:space="preserve">began the planned program of courses.  Once VA receives the </w:t>
      </w:r>
    </w:p>
    <w:p w:rsidR="002578D9" w:rsidRDefault="002578D9">
      <w:pPr>
        <w:tabs>
          <w:tab w:val="left" w:pos="475"/>
        </w:tabs>
      </w:pPr>
      <w:r>
        <w:t xml:space="preserve">            </w:t>
      </w:r>
      <w:r w:rsidR="0045541C">
        <w:t xml:space="preserve">information, the case manager uses it to establish the correct beginning and ending dates </w:t>
      </w:r>
    </w:p>
    <w:p w:rsidR="002578D9" w:rsidRDefault="002578D9">
      <w:pPr>
        <w:tabs>
          <w:tab w:val="left" w:pos="475"/>
        </w:tabs>
      </w:pPr>
      <w:r>
        <w:t xml:space="preserve">            </w:t>
      </w:r>
      <w:r w:rsidR="0045541C">
        <w:t>and the correct rates for subsistence allowance payments under 38 U.S.C. 3108 and 38</w:t>
      </w:r>
    </w:p>
    <w:p w:rsidR="0045541C" w:rsidRDefault="002578D9">
      <w:pPr>
        <w:tabs>
          <w:tab w:val="left" w:pos="475"/>
        </w:tabs>
      </w:pPr>
      <w:r>
        <w:t xml:space="preserve">            </w:t>
      </w:r>
      <w:r w:rsidR="0045541C">
        <w:t xml:space="preserve">CFR 21.320-322 and 21.332.  </w:t>
      </w:r>
    </w:p>
    <w:p w:rsidR="0045541C" w:rsidRDefault="0045541C">
      <w:pPr>
        <w:tabs>
          <w:tab w:val="left" w:pos="475"/>
        </w:tabs>
      </w:pPr>
    </w:p>
    <w:p w:rsidR="002578D9" w:rsidRPr="004B7576" w:rsidRDefault="002578D9" w:rsidP="002578D9">
      <w:pPr>
        <w:pStyle w:val="ListParagraph"/>
        <w:numPr>
          <w:ilvl w:val="0"/>
          <w:numId w:val="3"/>
        </w:numPr>
        <w:tabs>
          <w:tab w:val="left" w:pos="475"/>
        </w:tabs>
        <w:rPr>
          <w:b/>
        </w:rPr>
      </w:pPr>
      <w:r>
        <w:lastRenderedPageBreak/>
        <w:t xml:space="preserve">  </w:t>
      </w:r>
      <w:r w:rsidRPr="004B7576">
        <w:rPr>
          <w:b/>
        </w:rPr>
        <w:t>Describe whether, and to what extent, the collection of information involves the use</w:t>
      </w:r>
    </w:p>
    <w:p w:rsidR="004B7576" w:rsidRDefault="004B7576" w:rsidP="002578D9">
      <w:pPr>
        <w:pStyle w:val="ListParagraph"/>
        <w:tabs>
          <w:tab w:val="left" w:pos="475"/>
        </w:tabs>
        <w:ind w:left="630"/>
        <w:rPr>
          <w:b/>
        </w:rPr>
      </w:pPr>
      <w:r w:rsidRPr="004B7576">
        <w:rPr>
          <w:b/>
        </w:rPr>
        <w:t>o</w:t>
      </w:r>
      <w:r w:rsidR="002578D9" w:rsidRPr="004B7576">
        <w:rPr>
          <w:b/>
        </w:rPr>
        <w:t>f</w:t>
      </w:r>
      <w:r w:rsidRPr="004B7576">
        <w:rPr>
          <w:b/>
        </w:rPr>
        <w:t xml:space="preserve"> automated, electronic, mechanical, or other technological collection techniques or other</w:t>
      </w:r>
      <w:r w:rsidR="004D29B6">
        <w:rPr>
          <w:b/>
        </w:rPr>
        <w:t xml:space="preserve"> </w:t>
      </w:r>
      <w:r w:rsidRPr="004B7576">
        <w:rPr>
          <w:b/>
        </w:rPr>
        <w:t>forms of information technology, e.g. permitting electronic submission of responses, and the basis for the decision for adopting this means of collection. Also describe any consideration of using information technology to reduce burden.</w:t>
      </w:r>
    </w:p>
    <w:p w:rsidR="004B7576" w:rsidRPr="004B7576" w:rsidRDefault="004B7576" w:rsidP="002578D9">
      <w:pPr>
        <w:pStyle w:val="ListParagraph"/>
        <w:tabs>
          <w:tab w:val="left" w:pos="475"/>
        </w:tabs>
        <w:ind w:left="630"/>
        <w:rPr>
          <w:b/>
        </w:rPr>
      </w:pPr>
    </w:p>
    <w:p w:rsidR="002578D9" w:rsidRDefault="00790C55" w:rsidP="004D29B6">
      <w:pPr>
        <w:pStyle w:val="ListParagraph"/>
        <w:tabs>
          <w:tab w:val="left" w:pos="475"/>
        </w:tabs>
        <w:ind w:left="630"/>
      </w:pPr>
      <w:r>
        <w:t>The use of the</w:t>
      </w:r>
      <w:r w:rsidR="004D29B6">
        <w:t xml:space="preserve"> online</w:t>
      </w:r>
      <w:r>
        <w:t xml:space="preserve"> form allows VA to authorize services to a facility</w:t>
      </w:r>
      <w:r w:rsidR="004D29B6">
        <w:t>. After receiving VA Form 28-1905 for authorization, most facilities use VA Online Certification of Enrollment (VA-ONCE) to certify the participant’s enrollment. VA-ONCE allows training facilities to electronically certify attendance including number and type of hours, beginning and ending dates, and changes in enrollment.</w:t>
      </w:r>
    </w:p>
    <w:p w:rsidR="004D29B6" w:rsidRDefault="004D29B6" w:rsidP="004D29B6">
      <w:pPr>
        <w:pStyle w:val="ListParagraph"/>
        <w:tabs>
          <w:tab w:val="left" w:pos="475"/>
        </w:tabs>
        <w:ind w:left="630"/>
      </w:pPr>
    </w:p>
    <w:p w:rsidR="002578D9" w:rsidRPr="00EE0746" w:rsidRDefault="00EE0746" w:rsidP="002578D9">
      <w:pPr>
        <w:pStyle w:val="ListParagraph"/>
        <w:numPr>
          <w:ilvl w:val="0"/>
          <w:numId w:val="3"/>
        </w:numPr>
        <w:tabs>
          <w:tab w:val="left" w:pos="475"/>
        </w:tabs>
        <w:rPr>
          <w:b/>
        </w:rPr>
      </w:pPr>
      <w:r>
        <w:t xml:space="preserve">  </w:t>
      </w:r>
      <w:r w:rsidRPr="00EE0746">
        <w:rPr>
          <w:b/>
        </w:rPr>
        <w:t>Describe efforts to identify duplication Show specifically why any similar information already available cannot be used or modified for use for the purposes described in Item 2 above.</w:t>
      </w:r>
    </w:p>
    <w:p w:rsidR="00EE0746" w:rsidRDefault="00EE0746" w:rsidP="00EE0746">
      <w:pPr>
        <w:pStyle w:val="ListParagraph"/>
        <w:tabs>
          <w:tab w:val="left" w:pos="475"/>
        </w:tabs>
        <w:ind w:left="630"/>
      </w:pPr>
    </w:p>
    <w:p w:rsidR="00D44C3E" w:rsidRDefault="00EE0746" w:rsidP="00EE0746">
      <w:pPr>
        <w:pStyle w:val="ListParagraph"/>
        <w:tabs>
          <w:tab w:val="left" w:pos="475"/>
        </w:tabs>
        <w:ind w:left="630"/>
      </w:pPr>
      <w:r>
        <w:t>There is no known</w:t>
      </w:r>
      <w:r w:rsidR="00D44C3E">
        <w:t xml:space="preserve"> Department or Agency that maintains the necessary information; neither is it available from other sources within VA. The form allows VA to authorize services to facilities without a formal contract or agreement, and only information required to certify enrollment for a particular period is requested.</w:t>
      </w:r>
    </w:p>
    <w:p w:rsidR="00EE0746" w:rsidRDefault="00EE0746" w:rsidP="00EE0746">
      <w:pPr>
        <w:pStyle w:val="ListParagraph"/>
        <w:tabs>
          <w:tab w:val="left" w:pos="475"/>
        </w:tabs>
        <w:ind w:left="630"/>
      </w:pPr>
      <w:r>
        <w:t xml:space="preserve"> </w:t>
      </w:r>
    </w:p>
    <w:p w:rsidR="00D44C3E" w:rsidRDefault="00D44C3E" w:rsidP="002578D9">
      <w:pPr>
        <w:pStyle w:val="ListParagraph"/>
        <w:numPr>
          <w:ilvl w:val="0"/>
          <w:numId w:val="3"/>
        </w:numPr>
        <w:tabs>
          <w:tab w:val="left" w:pos="475"/>
        </w:tabs>
        <w:rPr>
          <w:b/>
        </w:rPr>
      </w:pPr>
      <w:r>
        <w:t xml:space="preserve">  </w:t>
      </w:r>
      <w:r w:rsidRPr="00D44C3E">
        <w:rPr>
          <w:b/>
        </w:rPr>
        <w:t>If the collection of information impacts small business or other small entities, describe any methods used to minimize burden.</w:t>
      </w:r>
    </w:p>
    <w:p w:rsidR="00D44C3E" w:rsidRDefault="00D44C3E" w:rsidP="00D44C3E">
      <w:pPr>
        <w:pStyle w:val="ListParagraph"/>
        <w:tabs>
          <w:tab w:val="left" w:pos="475"/>
        </w:tabs>
        <w:ind w:left="630"/>
        <w:rPr>
          <w:b/>
        </w:rPr>
      </w:pPr>
    </w:p>
    <w:p w:rsidR="00D44C3E" w:rsidRPr="00D44C3E" w:rsidRDefault="00D44C3E" w:rsidP="00D44C3E">
      <w:pPr>
        <w:pStyle w:val="ListParagraph"/>
        <w:tabs>
          <w:tab w:val="left" w:pos="475"/>
        </w:tabs>
        <w:ind w:left="630"/>
      </w:pPr>
      <w:r w:rsidRPr="00D44C3E">
        <w:t>The collection of this information will not have a significant economic impact on small businesses or other small entities.</w:t>
      </w:r>
    </w:p>
    <w:p w:rsidR="00D44C3E" w:rsidRDefault="00D44C3E" w:rsidP="00D44C3E">
      <w:pPr>
        <w:pStyle w:val="ListParagraph"/>
        <w:tabs>
          <w:tab w:val="left" w:pos="475"/>
        </w:tabs>
        <w:ind w:left="630"/>
      </w:pPr>
    </w:p>
    <w:p w:rsidR="002578D9" w:rsidRDefault="00D44C3E" w:rsidP="002578D9">
      <w:pPr>
        <w:pStyle w:val="ListParagraph"/>
        <w:numPr>
          <w:ilvl w:val="0"/>
          <w:numId w:val="3"/>
        </w:numPr>
        <w:tabs>
          <w:tab w:val="left" w:pos="475"/>
        </w:tabs>
      </w:pPr>
      <w:r>
        <w:t xml:space="preserve">   </w:t>
      </w:r>
      <w:r w:rsidRPr="00D44C3E">
        <w:rPr>
          <w:b/>
        </w:rPr>
        <w:t>Describe the consequences to Federal programs or policy activities if the collection is not conducted or is conducted less frequently as well as any technical or legal obstacles to reducing burden</w:t>
      </w:r>
      <w:r>
        <w:t>.</w:t>
      </w:r>
    </w:p>
    <w:p w:rsidR="004B4131" w:rsidRDefault="004B4131" w:rsidP="004B4131">
      <w:pPr>
        <w:pStyle w:val="ListParagraph"/>
        <w:tabs>
          <w:tab w:val="left" w:pos="475"/>
        </w:tabs>
        <w:ind w:left="630"/>
      </w:pPr>
    </w:p>
    <w:p w:rsidR="004B4131" w:rsidRDefault="004B4131" w:rsidP="004B4131">
      <w:pPr>
        <w:pStyle w:val="ListParagraph"/>
        <w:tabs>
          <w:tab w:val="left" w:pos="475"/>
        </w:tabs>
        <w:ind w:left="630"/>
      </w:pPr>
      <w:r>
        <w:t>If VA did not collect this information or collected it less frequently, the potential for abuse of the Chapter 31 and Chapter 35 programs by participants would increase greatly because participants could be paid benefits for prolonged periods of non-attendance.</w:t>
      </w:r>
    </w:p>
    <w:p w:rsidR="00334C11" w:rsidRDefault="00334C11" w:rsidP="004B4131">
      <w:pPr>
        <w:pStyle w:val="ListParagraph"/>
        <w:tabs>
          <w:tab w:val="left" w:pos="475"/>
        </w:tabs>
        <w:ind w:left="630"/>
      </w:pPr>
    </w:p>
    <w:p w:rsidR="00334C11" w:rsidRDefault="00334C11" w:rsidP="00334C11">
      <w:pPr>
        <w:pStyle w:val="ListParagraph"/>
        <w:numPr>
          <w:ilvl w:val="0"/>
          <w:numId w:val="3"/>
        </w:numPr>
        <w:tabs>
          <w:tab w:val="left" w:pos="475"/>
        </w:tabs>
        <w:rPr>
          <w:b/>
        </w:rPr>
      </w:pPr>
      <w:r>
        <w:t xml:space="preserve">   </w:t>
      </w:r>
      <w:r w:rsidRPr="00334C11">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34C11" w:rsidRDefault="00334C11" w:rsidP="00334C11">
      <w:pPr>
        <w:pStyle w:val="ListParagraph"/>
        <w:tabs>
          <w:tab w:val="left" w:pos="475"/>
        </w:tabs>
        <w:ind w:left="630"/>
        <w:rPr>
          <w:b/>
        </w:rPr>
      </w:pPr>
    </w:p>
    <w:p w:rsidR="00282EBB" w:rsidRDefault="00334C11" w:rsidP="00334C11">
      <w:pPr>
        <w:pStyle w:val="ListParagraph"/>
        <w:tabs>
          <w:tab w:val="left" w:pos="475"/>
        </w:tabs>
        <w:ind w:left="630"/>
      </w:pPr>
      <w:r w:rsidRPr="00334C11">
        <w:t>The collection of this information is consistent with 5CFR 1320.6.</w:t>
      </w:r>
    </w:p>
    <w:p w:rsidR="00B061CB" w:rsidRDefault="00B061CB" w:rsidP="00282EBB">
      <w:pPr>
        <w:pStyle w:val="ListParagraph"/>
        <w:numPr>
          <w:ilvl w:val="0"/>
          <w:numId w:val="3"/>
        </w:numPr>
        <w:tabs>
          <w:tab w:val="left" w:pos="475"/>
        </w:tabs>
      </w:pPr>
      <w:r>
        <w:lastRenderedPageBreak/>
        <w:t xml:space="preserve">  </w:t>
      </w:r>
      <w:r w:rsidR="00282EBB">
        <w:t xml:space="preserve"> </w:t>
      </w:r>
      <w:r w:rsidR="00282EBB" w:rsidRPr="00B061CB">
        <w:rPr>
          <w:b/>
        </w:rPr>
        <w:t>If applicable, provide a copy and identify the date and page number of publication in the Federal Register of the sponsor’s notice, required by 5 CFR 1320.8(d), soliciting</w:t>
      </w:r>
      <w:r w:rsidRPr="00B061CB">
        <w:rPr>
          <w:b/>
        </w:rPr>
        <w:t xml:space="preserve"> comments on the information collection prior to submission to OMB. Summarize public comments received in response to that notice and describe actions taken by the sponsor in responses to these comments. Specifically address comments received on cost and hour burden</w:t>
      </w:r>
      <w:r>
        <w:t>.</w:t>
      </w:r>
    </w:p>
    <w:p w:rsidR="00B061CB" w:rsidRDefault="00B061CB" w:rsidP="00B061CB">
      <w:pPr>
        <w:pStyle w:val="ListParagraph"/>
        <w:tabs>
          <w:tab w:val="left" w:pos="475"/>
        </w:tabs>
        <w:ind w:left="630"/>
      </w:pPr>
    </w:p>
    <w:p w:rsidR="00B061CB" w:rsidRDefault="00B061CB" w:rsidP="00B061CB">
      <w:pPr>
        <w:pStyle w:val="ListParagraph"/>
        <w:tabs>
          <w:tab w:val="left" w:pos="475"/>
        </w:tabs>
        <w:ind w:left="630"/>
      </w:pPr>
      <w:r>
        <w:t xml:space="preserve">The Department notice was published in the Federal Register on </w:t>
      </w:r>
      <w:r w:rsidR="00865FED">
        <w:t xml:space="preserve">February 13, 2019,                       </w:t>
      </w:r>
    </w:p>
    <w:p w:rsidR="00B061CB" w:rsidRDefault="00B061CB" w:rsidP="00B061CB">
      <w:pPr>
        <w:pStyle w:val="ListParagraph"/>
        <w:tabs>
          <w:tab w:val="left" w:pos="475"/>
        </w:tabs>
        <w:ind w:left="630"/>
      </w:pPr>
      <w:r>
        <w:t xml:space="preserve">Volume </w:t>
      </w:r>
      <w:r w:rsidR="00865FED">
        <w:t>84</w:t>
      </w:r>
      <w:r>
        <w:t xml:space="preserve">, No. </w:t>
      </w:r>
      <w:r w:rsidR="00865FED">
        <w:t>30</w:t>
      </w:r>
      <w:r>
        <w:t>, page</w:t>
      </w:r>
      <w:r w:rsidR="00865FED">
        <w:t xml:space="preserve"> 3854</w:t>
      </w:r>
      <w:r>
        <w:t>. No comments were received in response to</w:t>
      </w:r>
    </w:p>
    <w:p w:rsidR="00291027" w:rsidRDefault="00B061CB" w:rsidP="00B061CB">
      <w:pPr>
        <w:pStyle w:val="ListParagraph"/>
        <w:tabs>
          <w:tab w:val="left" w:pos="475"/>
        </w:tabs>
        <w:ind w:left="630"/>
      </w:pPr>
      <w:r>
        <w:t>this notice.</w:t>
      </w:r>
    </w:p>
    <w:p w:rsidR="00CA5104" w:rsidRDefault="00CA5104" w:rsidP="00B061CB">
      <w:pPr>
        <w:pStyle w:val="ListParagraph"/>
        <w:tabs>
          <w:tab w:val="left" w:pos="475"/>
        </w:tabs>
        <w:ind w:left="630"/>
      </w:pPr>
    </w:p>
    <w:p w:rsidR="00355967" w:rsidRDefault="00334C11" w:rsidP="00CA5104">
      <w:pPr>
        <w:pStyle w:val="ListParagraph"/>
        <w:numPr>
          <w:ilvl w:val="0"/>
          <w:numId w:val="3"/>
        </w:numPr>
        <w:tabs>
          <w:tab w:val="left" w:pos="450"/>
        </w:tabs>
        <w:spacing w:after="240"/>
      </w:pPr>
      <w:r w:rsidRPr="00CA5104">
        <w:rPr>
          <w:b/>
        </w:rPr>
        <w:t xml:space="preserve">  </w:t>
      </w:r>
      <w:r w:rsidR="00CA5104" w:rsidRPr="00CA5104">
        <w:rPr>
          <w:b/>
        </w:rPr>
        <w:t xml:space="preserve"> Explain any decision to provide any payment or gift to respondents, other than remuneration of contractors or grantees</w:t>
      </w:r>
      <w:r w:rsidR="00CA5104">
        <w:t>.</w:t>
      </w:r>
      <w:r w:rsidR="009B0F5A" w:rsidRPr="00DD5E30">
        <w:t xml:space="preserve">  </w:t>
      </w:r>
    </w:p>
    <w:p w:rsidR="0045541C" w:rsidRDefault="00CA5104" w:rsidP="00CA5104">
      <w:pPr>
        <w:tabs>
          <w:tab w:val="left" w:pos="475"/>
        </w:tabs>
        <w:ind w:left="630"/>
      </w:pPr>
      <w:r>
        <w:t>No payments or gifts to respondents have been made under this collection of information.</w:t>
      </w:r>
    </w:p>
    <w:p w:rsidR="0045541C" w:rsidRDefault="0045541C">
      <w:pPr>
        <w:tabs>
          <w:tab w:val="left" w:pos="475"/>
        </w:tabs>
      </w:pPr>
    </w:p>
    <w:p w:rsidR="0045541C" w:rsidRDefault="0045541C">
      <w:pPr>
        <w:tabs>
          <w:tab w:val="left" w:pos="475"/>
        </w:tabs>
      </w:pPr>
    </w:p>
    <w:p w:rsidR="00CA5104" w:rsidRDefault="00CA5104" w:rsidP="00CA5104">
      <w:pPr>
        <w:pStyle w:val="ListParagraph"/>
        <w:numPr>
          <w:ilvl w:val="0"/>
          <w:numId w:val="3"/>
        </w:numPr>
        <w:tabs>
          <w:tab w:val="left" w:pos="475"/>
        </w:tabs>
      </w:pPr>
      <w:r w:rsidRPr="00CA5104">
        <w:rPr>
          <w:b/>
        </w:rPr>
        <w:t>Describe any assurance of privacy to the extent permitted by law provided to respondents and the basis for the assurance in statute, regulation, or agency policy</w:t>
      </w:r>
      <w:r>
        <w:t>.</w:t>
      </w:r>
    </w:p>
    <w:p w:rsidR="00CA5104" w:rsidRDefault="00CA5104" w:rsidP="00CA5104">
      <w:pPr>
        <w:pStyle w:val="ListParagraph"/>
        <w:tabs>
          <w:tab w:val="left" w:pos="475"/>
        </w:tabs>
        <w:ind w:left="630"/>
        <w:rPr>
          <w:b/>
        </w:rPr>
      </w:pPr>
    </w:p>
    <w:p w:rsidR="00CA5104" w:rsidRDefault="00CA5104" w:rsidP="00CA5104">
      <w:pPr>
        <w:pStyle w:val="ListParagraph"/>
        <w:tabs>
          <w:tab w:val="left" w:pos="475"/>
        </w:tabs>
        <w:ind w:left="630"/>
      </w:pPr>
      <w:r w:rsidRPr="00CA5104">
        <w:t>The records are maintained in the appropriate Privacy Act System of Records identified as “Compensation, Pension, Education, and Vocational Rehabilitation and Employment Records – VA (58VA21/22/28,” published at 74 FR 29275 on June 19, 2009, and last amended at 77 FR 42593 (July 19, 2012).</w:t>
      </w:r>
    </w:p>
    <w:p w:rsidR="00051E96" w:rsidRPr="00CA5104" w:rsidRDefault="00051E96" w:rsidP="00CA5104">
      <w:pPr>
        <w:pStyle w:val="ListParagraph"/>
        <w:tabs>
          <w:tab w:val="left" w:pos="475"/>
        </w:tabs>
        <w:ind w:left="630"/>
      </w:pPr>
    </w:p>
    <w:p w:rsidR="00CA5104" w:rsidRDefault="00CA5104" w:rsidP="00CA5104">
      <w:pPr>
        <w:pStyle w:val="ListParagraph"/>
        <w:tabs>
          <w:tab w:val="left" w:pos="475"/>
        </w:tabs>
        <w:ind w:left="630"/>
      </w:pPr>
    </w:p>
    <w:p w:rsidR="0045541C" w:rsidRDefault="00051E96" w:rsidP="00051E96">
      <w:pPr>
        <w:pStyle w:val="ListParagraph"/>
        <w:numPr>
          <w:ilvl w:val="0"/>
          <w:numId w:val="3"/>
        </w:numPr>
        <w:tabs>
          <w:tab w:val="left" w:pos="475"/>
        </w:tabs>
        <w:rPr>
          <w:b/>
        </w:rPr>
      </w:pPr>
      <w:r w:rsidRPr="00D25F46">
        <w:rPr>
          <w:b/>
        </w:rPr>
        <w:t>Provide additional justification for any questions of a sensitive</w:t>
      </w:r>
      <w:r w:rsidR="0045541C" w:rsidRPr="00D25F46">
        <w:rPr>
          <w:b/>
        </w:rPr>
        <w:t xml:space="preserve"> nature</w:t>
      </w:r>
      <w:r w:rsidR="000B6053" w:rsidRPr="00D25F46">
        <w:rPr>
          <w:b/>
        </w:rPr>
        <w:t xml:space="preserv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25F46" w:rsidRDefault="00D25F46" w:rsidP="00D25F46">
      <w:pPr>
        <w:pStyle w:val="ListParagraph"/>
        <w:tabs>
          <w:tab w:val="left" w:pos="475"/>
        </w:tabs>
        <w:ind w:left="630"/>
        <w:rPr>
          <w:b/>
        </w:rPr>
      </w:pPr>
    </w:p>
    <w:p w:rsidR="00D25F46" w:rsidRPr="00D25F46" w:rsidRDefault="00D25F46" w:rsidP="00D25F46">
      <w:pPr>
        <w:pStyle w:val="ListParagraph"/>
        <w:tabs>
          <w:tab w:val="left" w:pos="475"/>
        </w:tabs>
        <w:ind w:left="630"/>
      </w:pPr>
      <w:r w:rsidRPr="00D25F46">
        <w:t>There are no questions of a sensitive nature.</w:t>
      </w:r>
    </w:p>
    <w:p w:rsidR="0045541C" w:rsidRDefault="0045541C">
      <w:pPr>
        <w:tabs>
          <w:tab w:val="left" w:pos="475"/>
        </w:tabs>
      </w:pPr>
    </w:p>
    <w:p w:rsidR="0045541C" w:rsidRPr="00A77F3A" w:rsidRDefault="00A77F3A">
      <w:pPr>
        <w:tabs>
          <w:tab w:val="left" w:pos="475"/>
        </w:tabs>
        <w:rPr>
          <w:b/>
          <w:u w:val="single"/>
        </w:rPr>
      </w:pPr>
      <w:r>
        <w:t xml:space="preserve">     </w:t>
      </w:r>
      <w:r w:rsidR="0045541C" w:rsidRPr="00A77F3A">
        <w:rPr>
          <w:b/>
        </w:rPr>
        <w:t>12.</w:t>
      </w:r>
      <w:r w:rsidR="0045541C" w:rsidRPr="00A77F3A">
        <w:rPr>
          <w:b/>
        </w:rPr>
        <w:tab/>
      </w:r>
      <w:r w:rsidR="0045541C" w:rsidRPr="00A77F3A">
        <w:rPr>
          <w:b/>
          <w:u w:val="single"/>
        </w:rPr>
        <w:t>Estimate of Annual Information Collection Burden</w:t>
      </w:r>
    </w:p>
    <w:p w:rsidR="0045541C" w:rsidRDefault="0045541C">
      <w:pPr>
        <w:tabs>
          <w:tab w:val="left" w:pos="475"/>
        </w:tabs>
        <w:rPr>
          <w:u w:val="single"/>
        </w:rPr>
      </w:pPr>
    </w:p>
    <w:p w:rsidR="0045541C" w:rsidRDefault="00A77F3A" w:rsidP="0032412A">
      <w:pPr>
        <w:pStyle w:val="ListParagraph"/>
        <w:numPr>
          <w:ilvl w:val="0"/>
          <w:numId w:val="4"/>
        </w:numPr>
        <w:tabs>
          <w:tab w:val="left" w:pos="475"/>
          <w:tab w:val="left" w:pos="900"/>
          <w:tab w:val="right" w:pos="5220"/>
        </w:tabs>
      </w:pPr>
      <w:r>
        <w:t>Total Number of</w:t>
      </w:r>
      <w:r w:rsidR="0045541C">
        <w:t xml:space="preserve"> </w:t>
      </w:r>
      <w:r w:rsidR="0032412A">
        <w:t>R</w:t>
      </w:r>
      <w:r w:rsidR="0045541C">
        <w:t>espondents</w:t>
      </w:r>
      <w:r>
        <w:t xml:space="preserve"> is estimated at</w:t>
      </w:r>
      <w:r w:rsidR="0045541C">
        <w:t>:</w:t>
      </w:r>
      <w:r w:rsidR="0045541C">
        <w:tab/>
        <w:t>90,000</w:t>
      </w:r>
    </w:p>
    <w:p w:rsidR="0045541C" w:rsidRDefault="0045541C">
      <w:pPr>
        <w:tabs>
          <w:tab w:val="left" w:pos="475"/>
          <w:tab w:val="left" w:pos="900"/>
          <w:tab w:val="right" w:pos="5220"/>
        </w:tabs>
      </w:pPr>
      <w:r>
        <w:tab/>
        <w:t>b.</w:t>
      </w:r>
      <w:r>
        <w:tab/>
        <w:t xml:space="preserve">Frequency of </w:t>
      </w:r>
      <w:r w:rsidR="0032412A">
        <w:t>R</w:t>
      </w:r>
      <w:r>
        <w:t>esponse</w:t>
      </w:r>
      <w:r w:rsidR="0032412A">
        <w:t>:</w:t>
      </w:r>
      <w:r w:rsidR="0032412A">
        <w:tab/>
        <w:t>Once</w:t>
      </w:r>
    </w:p>
    <w:p w:rsidR="0045541C" w:rsidRDefault="0045541C">
      <w:pPr>
        <w:tabs>
          <w:tab w:val="left" w:pos="475"/>
          <w:tab w:val="left" w:pos="900"/>
          <w:tab w:val="right" w:pos="5220"/>
        </w:tabs>
      </w:pPr>
      <w:r>
        <w:tab/>
        <w:t>c.</w:t>
      </w:r>
      <w:r>
        <w:tab/>
      </w:r>
      <w:r w:rsidR="00A77F3A">
        <w:t xml:space="preserve">Total </w:t>
      </w:r>
      <w:r w:rsidR="0032412A">
        <w:t xml:space="preserve">Annual </w:t>
      </w:r>
      <w:r>
        <w:t xml:space="preserve">Burden </w:t>
      </w:r>
      <w:r w:rsidR="0032412A">
        <w:t>H</w:t>
      </w:r>
      <w:r>
        <w:t>ours</w:t>
      </w:r>
      <w:r w:rsidR="0032412A">
        <w:t>:</w:t>
      </w:r>
      <w:r>
        <w:tab/>
        <w:t>7,500</w:t>
      </w:r>
    </w:p>
    <w:p w:rsidR="0045541C" w:rsidRDefault="0045541C" w:rsidP="00E8478A">
      <w:pPr>
        <w:tabs>
          <w:tab w:val="left" w:pos="475"/>
          <w:tab w:val="left" w:pos="900"/>
          <w:tab w:val="right" w:pos="5220"/>
        </w:tabs>
        <w:ind w:left="900" w:hanging="900"/>
      </w:pPr>
      <w:r>
        <w:tab/>
        <w:t>d.</w:t>
      </w:r>
      <w:r>
        <w:tab/>
      </w:r>
      <w:r w:rsidR="0032412A">
        <w:t>E</w:t>
      </w:r>
      <w:r>
        <w:t xml:space="preserve">stimated </w:t>
      </w:r>
      <w:r w:rsidR="0032412A">
        <w:t>C</w:t>
      </w:r>
      <w:r>
        <w:t xml:space="preserve">ompletion </w:t>
      </w:r>
      <w:r w:rsidR="0032412A">
        <w:t>T</w:t>
      </w:r>
      <w:r>
        <w:t>ime</w:t>
      </w:r>
      <w:r w:rsidR="0032412A">
        <w:t>:</w:t>
      </w:r>
      <w:r>
        <w:t xml:space="preserve"> </w:t>
      </w:r>
      <w:r w:rsidR="0032412A">
        <w:tab/>
        <w:t>5 Minutes</w:t>
      </w:r>
    </w:p>
    <w:p w:rsidR="004646F3" w:rsidRDefault="0045541C" w:rsidP="00E8478A">
      <w:pPr>
        <w:tabs>
          <w:tab w:val="left" w:pos="475"/>
        </w:tabs>
        <w:ind w:left="900" w:hanging="900"/>
      </w:pPr>
      <w:r>
        <w:tab/>
        <w:t xml:space="preserve">e.  </w:t>
      </w:r>
      <w:r w:rsidR="00E8478A">
        <w:tab/>
      </w:r>
      <w:r w:rsidR="00A77F3A">
        <w:t>The respondent population for VA Form 28-1905 is composed of individuals who are enrolled in any Chapter 31 or Chapter 35, special restorative or specialized vocational training programs.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4646F3" w:rsidRDefault="004646F3" w:rsidP="00E8478A">
      <w:pPr>
        <w:tabs>
          <w:tab w:val="left" w:pos="475"/>
        </w:tabs>
        <w:ind w:left="900" w:hanging="900"/>
      </w:pPr>
    </w:p>
    <w:p w:rsidR="004646F3" w:rsidRDefault="004646F3" w:rsidP="00E8478A">
      <w:pPr>
        <w:tabs>
          <w:tab w:val="left" w:pos="475"/>
        </w:tabs>
        <w:ind w:left="900" w:hanging="900"/>
      </w:pPr>
      <w:r>
        <w:t xml:space="preserve">               T</w:t>
      </w:r>
      <w:r w:rsidR="0032412A">
        <w:t>he Bureau of Labor Statistics</w:t>
      </w:r>
      <w:r>
        <w:t xml:space="preserve"> (BLS) gathers information on full-time wage and salary workers. According to the latest available BLS data, the mean weekly earnings of full-time wage and salary workers is $973.60. Assuming a forty (40) hour work week, the mean hourly wage is $24.34 based on the BLS wage code – “00-0000 All Occupations.” This information was taken from the following website: (</w:t>
      </w:r>
      <w:hyperlink r:id="rId6" w:history="1">
        <w:r w:rsidRPr="009A4322">
          <w:rPr>
            <w:rStyle w:val="Hyperlink"/>
          </w:rPr>
          <w:t>https://www.bls.gov/oes/current/oes_nat.htm</w:t>
        </w:r>
      </w:hyperlink>
      <w:r>
        <w:t>, May 2017.</w:t>
      </w:r>
    </w:p>
    <w:p w:rsidR="004646F3" w:rsidRDefault="004646F3" w:rsidP="00E8478A">
      <w:pPr>
        <w:tabs>
          <w:tab w:val="left" w:pos="475"/>
        </w:tabs>
        <w:ind w:left="900" w:hanging="900"/>
      </w:pPr>
    </w:p>
    <w:p w:rsidR="000D7156" w:rsidRDefault="004646F3" w:rsidP="00E8478A">
      <w:pPr>
        <w:tabs>
          <w:tab w:val="left" w:pos="475"/>
        </w:tabs>
        <w:ind w:left="900" w:hanging="900"/>
      </w:pPr>
      <w:r>
        <w:t xml:space="preserve">               Legally, respondents may not pay a person or business for assistance in completing the information collection. Therefore, there are no expected overhead costs for completing the information collection. VBA estimates the total</w:t>
      </w:r>
      <w:r w:rsidR="0032412A">
        <w:t xml:space="preserve"> </w:t>
      </w:r>
      <w:r w:rsidR="0045541C">
        <w:t xml:space="preserve">cost to </w:t>
      </w:r>
      <w:r>
        <w:t>all</w:t>
      </w:r>
      <w:r w:rsidR="0032412A">
        <w:t xml:space="preserve"> </w:t>
      </w:r>
      <w:r w:rsidR="0045541C">
        <w:t>respondent</w:t>
      </w:r>
      <w:r>
        <w:t>s</w:t>
      </w:r>
      <w:r w:rsidR="000D7156">
        <w:t xml:space="preserve"> to be </w:t>
      </w:r>
      <w:r w:rsidR="0045541C">
        <w:t>$1</w:t>
      </w:r>
      <w:r w:rsidR="0032412A">
        <w:t>8</w:t>
      </w:r>
      <w:r w:rsidR="000D7156">
        <w:t>2</w:t>
      </w:r>
      <w:r w:rsidR="0045541C">
        <w:t>,</w:t>
      </w:r>
      <w:r w:rsidR="000D7156">
        <w:t>550</w:t>
      </w:r>
      <w:r w:rsidR="0032412A">
        <w:t>.</w:t>
      </w:r>
      <w:r w:rsidR="0045541C">
        <w:t xml:space="preserve"> </w:t>
      </w:r>
      <w:r w:rsidR="0032412A">
        <w:t xml:space="preserve"> (</w:t>
      </w:r>
      <w:r w:rsidR="0045541C">
        <w:t>7,500</w:t>
      </w:r>
      <w:r w:rsidR="0032412A">
        <w:t xml:space="preserve"> burden</w:t>
      </w:r>
      <w:r w:rsidR="0045541C">
        <w:t xml:space="preserve"> hours X $</w:t>
      </w:r>
      <w:r w:rsidR="0032412A">
        <w:t>24</w:t>
      </w:r>
      <w:r w:rsidR="000D7156">
        <w:t>.34</w:t>
      </w:r>
      <w:r w:rsidR="0045541C">
        <w:t xml:space="preserve"> per hour</w:t>
      </w:r>
      <w:r w:rsidR="0032412A">
        <w:t>)</w:t>
      </w:r>
      <w:r w:rsidR="0045541C">
        <w:t xml:space="preserve">. </w:t>
      </w:r>
    </w:p>
    <w:p w:rsidR="0045541C" w:rsidRDefault="0045541C" w:rsidP="00E8478A">
      <w:pPr>
        <w:tabs>
          <w:tab w:val="left" w:pos="475"/>
        </w:tabs>
        <w:ind w:left="900" w:hanging="900"/>
      </w:pPr>
      <w:r>
        <w:t xml:space="preserve"> </w:t>
      </w:r>
    </w:p>
    <w:p w:rsidR="000D7156" w:rsidRDefault="000D7156" w:rsidP="00E8478A">
      <w:pPr>
        <w:tabs>
          <w:tab w:val="left" w:pos="475"/>
        </w:tabs>
        <w:ind w:left="900" w:hanging="900"/>
      </w:pPr>
    </w:p>
    <w:p w:rsidR="000D7156" w:rsidRDefault="00FC0EFC" w:rsidP="000D7156">
      <w:pPr>
        <w:pStyle w:val="ListParagraph"/>
        <w:tabs>
          <w:tab w:val="left" w:pos="475"/>
        </w:tabs>
        <w:ind w:left="630"/>
        <w:rPr>
          <w:b/>
        </w:rPr>
      </w:pPr>
      <w:r>
        <w:rPr>
          <w:b/>
        </w:rPr>
        <w:t>13.</w:t>
      </w:r>
      <w:r w:rsidR="000D7156" w:rsidRPr="000D7156">
        <w:rPr>
          <w:b/>
        </w:rPr>
        <w:t xml:space="preserve"> Provide an estimate of the total annual cost burden to resp</w:t>
      </w:r>
      <w:r w:rsidR="000D7156">
        <w:rPr>
          <w:b/>
        </w:rPr>
        <w:t>ondents or record-</w:t>
      </w:r>
    </w:p>
    <w:p w:rsidR="00FC0EFC" w:rsidRDefault="00FC0EFC" w:rsidP="000D7156">
      <w:pPr>
        <w:pStyle w:val="ListParagraph"/>
        <w:tabs>
          <w:tab w:val="left" w:pos="475"/>
        </w:tabs>
        <w:ind w:left="630"/>
        <w:rPr>
          <w:b/>
        </w:rPr>
      </w:pPr>
      <w:r>
        <w:rPr>
          <w:b/>
        </w:rPr>
        <w:t xml:space="preserve">     </w:t>
      </w:r>
      <w:r w:rsidR="000D7156">
        <w:rPr>
          <w:b/>
        </w:rPr>
        <w:t xml:space="preserve"> </w:t>
      </w:r>
      <w:r w:rsidR="000D7156" w:rsidRPr="000D7156">
        <w:rPr>
          <w:b/>
        </w:rPr>
        <w:t>Keepers</w:t>
      </w:r>
      <w:r w:rsidR="000D7156">
        <w:rPr>
          <w:b/>
        </w:rPr>
        <w:t xml:space="preserve"> resulting from the collection of information. (Do not include the cost of </w:t>
      </w:r>
    </w:p>
    <w:p w:rsidR="000D7156" w:rsidRDefault="00FC0EFC" w:rsidP="000D7156">
      <w:pPr>
        <w:pStyle w:val="ListParagraph"/>
        <w:tabs>
          <w:tab w:val="left" w:pos="475"/>
        </w:tabs>
        <w:ind w:left="630"/>
        <w:rPr>
          <w:b/>
        </w:rPr>
      </w:pPr>
      <w:r>
        <w:rPr>
          <w:b/>
        </w:rPr>
        <w:t xml:space="preserve">      </w:t>
      </w:r>
      <w:r w:rsidR="000D7156">
        <w:rPr>
          <w:b/>
        </w:rPr>
        <w:t>any hour burden shown in Items 12 and 14).</w:t>
      </w:r>
    </w:p>
    <w:p w:rsidR="000D7156" w:rsidRPr="000D7156" w:rsidRDefault="000D7156" w:rsidP="000D7156">
      <w:pPr>
        <w:pStyle w:val="ListParagraph"/>
        <w:tabs>
          <w:tab w:val="left" w:pos="475"/>
        </w:tabs>
        <w:ind w:left="630"/>
        <w:rPr>
          <w:b/>
        </w:rPr>
      </w:pPr>
    </w:p>
    <w:p w:rsidR="005E5C97" w:rsidRDefault="000D7156" w:rsidP="000D7156">
      <w:pPr>
        <w:pStyle w:val="ListParagraph"/>
        <w:tabs>
          <w:tab w:val="left" w:pos="475"/>
        </w:tabs>
        <w:ind w:left="630"/>
      </w:pPr>
      <w:r w:rsidRPr="000D7156">
        <w:rPr>
          <w:b/>
        </w:rPr>
        <w:t xml:space="preserve">   </w:t>
      </w:r>
      <w:r>
        <w:rPr>
          <w:b/>
        </w:rPr>
        <w:t xml:space="preserve">   </w:t>
      </w:r>
      <w:r w:rsidRPr="000D7156">
        <w:t>This submission does not involve any recordkeeping costs.</w:t>
      </w:r>
    </w:p>
    <w:p w:rsidR="005E5C97" w:rsidRDefault="005E5C97" w:rsidP="000D7156">
      <w:pPr>
        <w:pStyle w:val="ListParagraph"/>
        <w:tabs>
          <w:tab w:val="left" w:pos="475"/>
        </w:tabs>
        <w:ind w:left="630"/>
      </w:pPr>
    </w:p>
    <w:p w:rsidR="005E5C97" w:rsidRPr="002E7437" w:rsidRDefault="005E5C97" w:rsidP="000D7156">
      <w:pPr>
        <w:pStyle w:val="ListParagraph"/>
        <w:tabs>
          <w:tab w:val="left" w:pos="475"/>
        </w:tabs>
        <w:ind w:left="630"/>
        <w:rPr>
          <w:b/>
        </w:rPr>
      </w:pPr>
      <w:r w:rsidRPr="002E7437">
        <w:rPr>
          <w:b/>
        </w:rPr>
        <w:t>14.</w:t>
      </w:r>
      <w:r>
        <w:t xml:space="preserve"> </w:t>
      </w:r>
      <w:r w:rsidRPr="002E7437">
        <w:rPr>
          <w:b/>
        </w:rPr>
        <w:t>Provide estimates of annual cost to the Federal Government. Also, provide a</w:t>
      </w:r>
    </w:p>
    <w:p w:rsidR="002E7437" w:rsidRDefault="005E5C97" w:rsidP="000D7156">
      <w:pPr>
        <w:pStyle w:val="ListParagraph"/>
        <w:tabs>
          <w:tab w:val="left" w:pos="475"/>
        </w:tabs>
        <w:ind w:left="630"/>
        <w:rPr>
          <w:b/>
        </w:rPr>
      </w:pPr>
      <w:r w:rsidRPr="002E7437">
        <w:rPr>
          <w:b/>
        </w:rPr>
        <w:t xml:space="preserve">      description of the method used to estimate cost, which should include </w:t>
      </w:r>
    </w:p>
    <w:p w:rsidR="002E7437" w:rsidRDefault="002E7437" w:rsidP="000D7156">
      <w:pPr>
        <w:pStyle w:val="ListParagraph"/>
        <w:tabs>
          <w:tab w:val="left" w:pos="475"/>
        </w:tabs>
        <w:ind w:left="630"/>
        <w:rPr>
          <w:b/>
        </w:rPr>
      </w:pPr>
      <w:r>
        <w:rPr>
          <w:b/>
        </w:rPr>
        <w:t xml:space="preserve">      </w:t>
      </w:r>
      <w:r w:rsidR="005E5C97" w:rsidRPr="002E7437">
        <w:rPr>
          <w:b/>
        </w:rPr>
        <w:t>quantification of hours, operation expenses (such as equipment, overhead,</w:t>
      </w:r>
    </w:p>
    <w:p w:rsidR="002E7437" w:rsidRDefault="002E7437" w:rsidP="000D7156">
      <w:pPr>
        <w:pStyle w:val="ListParagraph"/>
        <w:tabs>
          <w:tab w:val="left" w:pos="475"/>
        </w:tabs>
        <w:ind w:left="630"/>
        <w:rPr>
          <w:b/>
        </w:rPr>
      </w:pPr>
      <w:r>
        <w:rPr>
          <w:b/>
        </w:rPr>
        <w:t xml:space="preserve">      </w:t>
      </w:r>
      <w:r w:rsidR="005E5C97" w:rsidRPr="002E7437">
        <w:rPr>
          <w:b/>
        </w:rPr>
        <w:t>printing and support staff),</w:t>
      </w:r>
      <w:r>
        <w:rPr>
          <w:b/>
        </w:rPr>
        <w:t xml:space="preserve"> </w:t>
      </w:r>
      <w:r w:rsidR="005E5C97" w:rsidRPr="002E7437">
        <w:rPr>
          <w:b/>
        </w:rPr>
        <w:t>and any other expense that would not have been</w:t>
      </w:r>
    </w:p>
    <w:p w:rsidR="002E7437" w:rsidRDefault="002E7437" w:rsidP="000D7156">
      <w:pPr>
        <w:pStyle w:val="ListParagraph"/>
        <w:tabs>
          <w:tab w:val="left" w:pos="475"/>
        </w:tabs>
        <w:ind w:left="630"/>
        <w:rPr>
          <w:b/>
        </w:rPr>
      </w:pPr>
      <w:r>
        <w:rPr>
          <w:b/>
        </w:rPr>
        <w:t xml:space="preserve">     </w:t>
      </w:r>
      <w:r w:rsidR="005E5C97" w:rsidRPr="002E7437">
        <w:rPr>
          <w:b/>
        </w:rPr>
        <w:t xml:space="preserve"> incurred without this collection of information. Agencies also may aggregate cost</w:t>
      </w:r>
    </w:p>
    <w:p w:rsidR="0045541C" w:rsidRDefault="002E7437" w:rsidP="000D7156">
      <w:pPr>
        <w:pStyle w:val="ListParagraph"/>
        <w:tabs>
          <w:tab w:val="left" w:pos="475"/>
        </w:tabs>
        <w:ind w:left="630"/>
        <w:rPr>
          <w:b/>
        </w:rPr>
      </w:pPr>
      <w:r>
        <w:rPr>
          <w:b/>
        </w:rPr>
        <w:t xml:space="preserve">     </w:t>
      </w:r>
      <w:r w:rsidR="005E5C97" w:rsidRPr="002E7437">
        <w:rPr>
          <w:b/>
        </w:rPr>
        <w:t xml:space="preserve"> estimates from Items 12, 13, and 14 in</w:t>
      </w:r>
      <w:r>
        <w:rPr>
          <w:b/>
        </w:rPr>
        <w:t xml:space="preserve"> </w:t>
      </w:r>
      <w:r w:rsidR="005E5C97" w:rsidRPr="002E7437">
        <w:rPr>
          <w:b/>
        </w:rPr>
        <w:t>a single table.</w:t>
      </w:r>
      <w:r w:rsidR="0045541C" w:rsidRPr="002E7437">
        <w:rPr>
          <w:b/>
        </w:rPr>
        <w:t xml:space="preserve">  </w:t>
      </w:r>
    </w:p>
    <w:p w:rsidR="006B505A" w:rsidRDefault="006B505A" w:rsidP="000D7156">
      <w:pPr>
        <w:pStyle w:val="ListParagraph"/>
        <w:tabs>
          <w:tab w:val="left" w:pos="475"/>
        </w:tabs>
        <w:ind w:left="630"/>
        <w:rPr>
          <w:b/>
        </w:rPr>
      </w:pPr>
    </w:p>
    <w:p w:rsidR="006B505A" w:rsidRPr="002E7437" w:rsidRDefault="006B505A" w:rsidP="000D7156">
      <w:pPr>
        <w:pStyle w:val="ListParagraph"/>
        <w:tabs>
          <w:tab w:val="left" w:pos="475"/>
        </w:tabs>
        <w:ind w:left="630"/>
        <w:rPr>
          <w:b/>
        </w:rPr>
      </w:pPr>
      <w:r>
        <w:rPr>
          <w:b/>
        </w:rPr>
        <w:t>Estimated Annual Cost to the Federal Government</w:t>
      </w:r>
    </w:p>
    <w:p w:rsidR="0045541C" w:rsidRDefault="0045541C">
      <w:pPr>
        <w:tabs>
          <w:tab w:val="left" w:pos="475"/>
        </w:tabs>
      </w:pPr>
    </w:p>
    <w:p w:rsidR="006B505A" w:rsidRDefault="006B505A">
      <w:r>
        <w:t xml:space="preserve">                </w:t>
      </w:r>
    </w:p>
    <w:p w:rsidR="006B505A" w:rsidRDefault="006B505A" w:rsidP="006B505A">
      <w:pPr>
        <w:rPr>
          <w:rFonts w:ascii="Arial" w:eastAsia="Arial" w:hAnsi="Arial" w:cs="Arial"/>
        </w:rPr>
      </w:pPr>
      <w:r>
        <w:t xml:space="preserve">                 </w:t>
      </w: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6B505A" w:rsidTr="006B505A">
        <w:trPr>
          <w:cantSplit/>
        </w:trPr>
        <w:tc>
          <w:tcPr>
            <w:tcW w:w="939" w:type="dxa"/>
            <w:tcBorders>
              <w:top w:val="single" w:sz="2" w:space="0" w:color="000000" w:themeColor="text1"/>
              <w:left w:val="single" w:sz="2" w:space="0" w:color="000000" w:themeColor="text1"/>
              <w:bottom w:val="single" w:sz="6" w:space="0" w:color="38383B"/>
              <w:right w:val="single" w:sz="6" w:space="0" w:color="383838"/>
            </w:tcBorders>
          </w:tcPr>
          <w:p w:rsidR="006B505A" w:rsidRDefault="006B505A">
            <w:pPr>
              <w:jc w:val="center"/>
              <w:rPr>
                <w:rFonts w:ascii="Arial" w:eastAsia="Arial" w:hAnsi="Arial" w:cs="Arial"/>
              </w:rPr>
            </w:pPr>
          </w:p>
          <w:p w:rsidR="006B505A" w:rsidRDefault="006B505A">
            <w:pPr>
              <w:jc w:val="center"/>
              <w:rPr>
                <w:rFonts w:ascii="Arial" w:eastAsia="Arial" w:hAnsi="Arial" w:cs="Arial"/>
              </w:rPr>
            </w:pPr>
            <w:r>
              <w:rPr>
                <w:rFonts w:ascii="Arial" w:hAnsi="Arial" w:cs="Arial"/>
              </w:rPr>
              <w:t>Grade</w:t>
            </w:r>
          </w:p>
        </w:tc>
        <w:tc>
          <w:tcPr>
            <w:tcW w:w="707" w:type="dxa"/>
            <w:tcBorders>
              <w:top w:val="single" w:sz="2" w:space="0" w:color="000000" w:themeColor="text1"/>
              <w:left w:val="single" w:sz="6" w:space="0" w:color="383838"/>
              <w:bottom w:val="single" w:sz="6" w:space="0" w:color="38383B"/>
              <w:right w:val="single" w:sz="6" w:space="0" w:color="38383B"/>
            </w:tcBorders>
          </w:tcPr>
          <w:p w:rsidR="006B505A" w:rsidRDefault="006B505A">
            <w:pPr>
              <w:jc w:val="center"/>
              <w:rPr>
                <w:rFonts w:ascii="Arial" w:eastAsia="Arial" w:hAnsi="Arial" w:cs="Arial"/>
              </w:rPr>
            </w:pPr>
          </w:p>
          <w:p w:rsidR="006B505A" w:rsidRDefault="006B505A">
            <w:pPr>
              <w:jc w:val="center"/>
              <w:rPr>
                <w:rFonts w:ascii="Arial" w:eastAsia="Arial" w:hAnsi="Arial" w:cs="Arial"/>
              </w:rPr>
            </w:pPr>
            <w:r>
              <w:rPr>
                <w:rFonts w:ascii="Arial" w:hAnsi="Arial" w:cs="Arial"/>
              </w:rPr>
              <w:t>Step</w:t>
            </w:r>
          </w:p>
        </w:tc>
        <w:tc>
          <w:tcPr>
            <w:tcW w:w="1774" w:type="dxa"/>
            <w:tcBorders>
              <w:top w:val="single" w:sz="2" w:space="0" w:color="000000" w:themeColor="text1"/>
              <w:left w:val="single" w:sz="6" w:space="0" w:color="38383B"/>
              <w:bottom w:val="single" w:sz="6" w:space="0" w:color="38383B"/>
              <w:right w:val="single" w:sz="6" w:space="0" w:color="383438"/>
            </w:tcBorders>
            <w:hideMark/>
          </w:tcPr>
          <w:p w:rsidR="006B505A" w:rsidRDefault="006B505A">
            <w:pPr>
              <w:jc w:val="center"/>
              <w:rPr>
                <w:rFonts w:ascii="Arial" w:hAnsi="Arial" w:cs="Arial"/>
              </w:rPr>
            </w:pPr>
            <w:r>
              <w:rPr>
                <w:rFonts w:ascii="Arial" w:hAnsi="Arial" w:cs="Arial"/>
              </w:rPr>
              <w:t>Burden</w:t>
            </w:r>
            <w:r>
              <w:rPr>
                <w:rFonts w:ascii="Arial" w:hAnsi="Arial" w:cs="Arial"/>
                <w:w w:val="101"/>
              </w:rPr>
              <w:t xml:space="preserve"> </w:t>
            </w:r>
            <w:r>
              <w:rPr>
                <w:rFonts w:ascii="Arial" w:hAnsi="Arial" w:cs="Arial"/>
              </w:rPr>
              <w:t>Time</w:t>
            </w:r>
          </w:p>
          <w:p w:rsidR="006B505A" w:rsidRDefault="006B505A">
            <w:pPr>
              <w:jc w:val="center"/>
              <w:rPr>
                <w:rFonts w:ascii="Arial" w:eastAsia="Arial" w:hAnsi="Arial" w:cs="Arial"/>
              </w:rPr>
            </w:pPr>
            <w:r>
              <w:rPr>
                <w:rFonts w:ascii="Arial" w:hAnsi="Arial" w:cs="Arial"/>
              </w:rPr>
              <w:t>Employee</w:t>
            </w:r>
          </w:p>
        </w:tc>
        <w:tc>
          <w:tcPr>
            <w:tcW w:w="900" w:type="dxa"/>
            <w:tcBorders>
              <w:top w:val="single" w:sz="2" w:space="0" w:color="000000" w:themeColor="text1"/>
              <w:left w:val="single" w:sz="6" w:space="0" w:color="383438"/>
              <w:bottom w:val="single" w:sz="6" w:space="0" w:color="38383B"/>
              <w:right w:val="single" w:sz="6" w:space="0" w:color="38383B"/>
            </w:tcBorders>
            <w:hideMark/>
          </w:tcPr>
          <w:p w:rsidR="006B505A" w:rsidRDefault="006B505A">
            <w:pPr>
              <w:jc w:val="center"/>
              <w:rPr>
                <w:rFonts w:ascii="Arial" w:eastAsia="Arial" w:hAnsi="Arial" w:cs="Arial"/>
              </w:rPr>
            </w:pPr>
            <w:r>
              <w:rPr>
                <w:rFonts w:ascii="Arial" w:hAnsi="Arial" w:cs="Arial"/>
              </w:rPr>
              <w:t>Hourly</w:t>
            </w:r>
            <w:r>
              <w:rPr>
                <w:rFonts w:ascii="Arial" w:hAnsi="Arial" w:cs="Arial"/>
                <w:w w:val="102"/>
              </w:rPr>
              <w:t xml:space="preserve"> </w:t>
            </w:r>
            <w:r>
              <w:rPr>
                <w:rFonts w:ascii="Arial" w:hAnsi="Arial" w:cs="Arial"/>
              </w:rPr>
              <w:t>Rate</w:t>
            </w:r>
          </w:p>
        </w:tc>
        <w:tc>
          <w:tcPr>
            <w:tcW w:w="1170" w:type="dxa"/>
            <w:tcBorders>
              <w:top w:val="single" w:sz="2" w:space="0" w:color="000000" w:themeColor="text1"/>
              <w:left w:val="single" w:sz="6" w:space="0" w:color="38383B"/>
              <w:bottom w:val="single" w:sz="6" w:space="0" w:color="38383B"/>
              <w:right w:val="single" w:sz="6" w:space="0" w:color="383838"/>
            </w:tcBorders>
            <w:hideMark/>
          </w:tcPr>
          <w:p w:rsidR="006B505A" w:rsidRDefault="006B505A">
            <w:pPr>
              <w:jc w:val="center"/>
              <w:rPr>
                <w:rFonts w:ascii="Arial" w:eastAsia="Arial" w:hAnsi="Arial" w:cs="Arial"/>
              </w:rPr>
            </w:pPr>
            <w:r>
              <w:rPr>
                <w:rFonts w:ascii="Arial" w:hAnsi="Arial" w:cs="Arial"/>
              </w:rPr>
              <w:t>Cost</w:t>
            </w:r>
            <w:r>
              <w:rPr>
                <w:rFonts w:ascii="Arial" w:hAnsi="Arial" w:cs="Arial"/>
                <w:spacing w:val="20"/>
              </w:rPr>
              <w:t xml:space="preserve"> </w:t>
            </w:r>
            <w:r>
              <w:rPr>
                <w:rFonts w:ascii="Arial" w:hAnsi="Arial" w:cs="Arial"/>
              </w:rPr>
              <w:t>Per</w:t>
            </w:r>
            <w:r>
              <w:rPr>
                <w:rFonts w:ascii="Arial" w:hAnsi="Arial" w:cs="Arial"/>
                <w:w w:val="101"/>
              </w:rPr>
              <w:t xml:space="preserve"> </w:t>
            </w:r>
            <w:r>
              <w:rPr>
                <w:rFonts w:ascii="Arial" w:hAnsi="Arial" w:cs="Arial"/>
              </w:rPr>
              <w:t>Response</w:t>
            </w:r>
          </w:p>
        </w:tc>
        <w:tc>
          <w:tcPr>
            <w:tcW w:w="2070" w:type="dxa"/>
            <w:tcBorders>
              <w:top w:val="single" w:sz="2" w:space="0" w:color="000000" w:themeColor="text1"/>
              <w:left w:val="single" w:sz="6" w:space="0" w:color="383838"/>
              <w:bottom w:val="single" w:sz="6" w:space="0" w:color="38383B"/>
              <w:right w:val="single" w:sz="6" w:space="0" w:color="343434"/>
            </w:tcBorders>
            <w:hideMark/>
          </w:tcPr>
          <w:p w:rsidR="006B505A" w:rsidRDefault="006B505A">
            <w:pPr>
              <w:jc w:val="center"/>
              <w:rPr>
                <w:rFonts w:ascii="Arial" w:eastAsia="Arial" w:hAnsi="Arial" w:cs="Arial"/>
              </w:rPr>
            </w:pPr>
            <w:r>
              <w:rPr>
                <w:rFonts w:ascii="Arial" w:hAnsi="Arial" w:cs="Arial"/>
              </w:rPr>
              <w:t>Total</w:t>
            </w:r>
            <w:r>
              <w:rPr>
                <w:rFonts w:ascii="Arial" w:hAnsi="Arial" w:cs="Arial"/>
                <w:w w:val="102"/>
              </w:rPr>
              <w:t xml:space="preserve"> </w:t>
            </w:r>
            <w:r>
              <w:rPr>
                <w:rFonts w:ascii="Arial" w:hAnsi="Arial" w:cs="Arial"/>
              </w:rPr>
              <w:t>Responses</w:t>
            </w:r>
          </w:p>
        </w:tc>
        <w:tc>
          <w:tcPr>
            <w:tcW w:w="2070" w:type="dxa"/>
            <w:tcBorders>
              <w:top w:val="single" w:sz="2" w:space="0" w:color="A0A09C"/>
              <w:left w:val="single" w:sz="6" w:space="0" w:color="343434"/>
              <w:bottom w:val="single" w:sz="6" w:space="0" w:color="38383B"/>
              <w:right w:val="single" w:sz="2" w:space="0" w:color="000000" w:themeColor="text1"/>
            </w:tcBorders>
          </w:tcPr>
          <w:p w:rsidR="006B505A" w:rsidRDefault="006B505A">
            <w:pPr>
              <w:jc w:val="center"/>
              <w:rPr>
                <w:rFonts w:ascii="Arial" w:eastAsia="Arial" w:hAnsi="Arial" w:cs="Arial"/>
              </w:rPr>
            </w:pPr>
          </w:p>
          <w:p w:rsidR="006B505A" w:rsidRDefault="006B505A">
            <w:pPr>
              <w:jc w:val="center"/>
              <w:rPr>
                <w:rFonts w:ascii="Arial" w:eastAsia="Arial" w:hAnsi="Arial" w:cs="Arial"/>
              </w:rPr>
            </w:pPr>
            <w:r>
              <w:rPr>
                <w:rFonts w:ascii="Arial" w:hAnsi="Arial" w:cs="Arial"/>
              </w:rPr>
              <w:t>Total</w:t>
            </w:r>
          </w:p>
        </w:tc>
      </w:tr>
      <w:tr w:rsidR="006B505A" w:rsidTr="006B505A">
        <w:trPr>
          <w:cantSplit/>
        </w:trPr>
        <w:tc>
          <w:tcPr>
            <w:tcW w:w="939" w:type="dxa"/>
            <w:tcBorders>
              <w:top w:val="single" w:sz="6" w:space="0" w:color="38383B"/>
              <w:left w:val="single" w:sz="2" w:space="0" w:color="000000" w:themeColor="text1"/>
              <w:bottom w:val="single" w:sz="6" w:space="0" w:color="38383B"/>
              <w:right w:val="single" w:sz="6" w:space="0" w:color="383838"/>
            </w:tcBorders>
            <w:hideMark/>
          </w:tcPr>
          <w:p w:rsidR="006B505A" w:rsidRDefault="006B505A">
            <w:pPr>
              <w:jc w:val="center"/>
              <w:rPr>
                <w:rFonts w:ascii="Arial" w:eastAsia="Arial" w:hAnsi="Arial" w:cs="Arial"/>
              </w:rPr>
            </w:pPr>
            <w:r>
              <w:rPr>
                <w:rFonts w:ascii="Arial" w:eastAsia="Arial" w:hAnsi="Arial" w:cs="Arial"/>
              </w:rPr>
              <w:t>13</w:t>
            </w:r>
          </w:p>
        </w:tc>
        <w:tc>
          <w:tcPr>
            <w:tcW w:w="707" w:type="dxa"/>
            <w:tcBorders>
              <w:top w:val="single" w:sz="6" w:space="0" w:color="38383B"/>
              <w:left w:val="single" w:sz="6" w:space="0" w:color="383838"/>
              <w:bottom w:val="single" w:sz="6" w:space="0" w:color="38383B"/>
              <w:right w:val="single" w:sz="6" w:space="0" w:color="38383B"/>
            </w:tcBorders>
            <w:hideMark/>
          </w:tcPr>
          <w:p w:rsidR="006B505A" w:rsidRDefault="006B505A">
            <w:pPr>
              <w:jc w:val="center"/>
              <w:rPr>
                <w:rFonts w:ascii="Arial" w:eastAsia="Arial" w:hAnsi="Arial" w:cs="Arial"/>
              </w:rPr>
            </w:pPr>
            <w:r>
              <w:rPr>
                <w:rFonts w:ascii="Arial" w:hAnsi="Arial" w:cs="Arial"/>
                <w:w w:val="105"/>
              </w:rPr>
              <w:t>02</w:t>
            </w:r>
          </w:p>
        </w:tc>
        <w:tc>
          <w:tcPr>
            <w:tcW w:w="1774" w:type="dxa"/>
            <w:tcBorders>
              <w:top w:val="single" w:sz="6" w:space="0" w:color="38383B"/>
              <w:left w:val="single" w:sz="6" w:space="0" w:color="38383B"/>
              <w:bottom w:val="single" w:sz="6" w:space="0" w:color="38383B"/>
              <w:right w:val="single" w:sz="6" w:space="0" w:color="383438"/>
            </w:tcBorders>
            <w:hideMark/>
          </w:tcPr>
          <w:p w:rsidR="006B505A" w:rsidRDefault="006B505A">
            <w:pPr>
              <w:jc w:val="center"/>
              <w:rPr>
                <w:rFonts w:ascii="Arial" w:eastAsia="Arial" w:hAnsi="Arial" w:cs="Arial"/>
              </w:rPr>
            </w:pPr>
            <w:r>
              <w:rPr>
                <w:rFonts w:ascii="Arial" w:hAnsi="Arial" w:cs="Arial"/>
                <w:spacing w:val="7"/>
              </w:rPr>
              <w:t>5 min</w:t>
            </w:r>
          </w:p>
        </w:tc>
        <w:tc>
          <w:tcPr>
            <w:tcW w:w="900" w:type="dxa"/>
            <w:tcBorders>
              <w:top w:val="single" w:sz="6" w:space="0" w:color="38383B"/>
              <w:left w:val="single" w:sz="6" w:space="0" w:color="383438"/>
              <w:bottom w:val="single" w:sz="6" w:space="0" w:color="38383B"/>
              <w:right w:val="single" w:sz="6" w:space="0" w:color="38383B"/>
            </w:tcBorders>
            <w:hideMark/>
          </w:tcPr>
          <w:p w:rsidR="006B505A" w:rsidRDefault="006B505A">
            <w:pPr>
              <w:jc w:val="center"/>
              <w:rPr>
                <w:rFonts w:ascii="Arial" w:hAnsi="Arial" w:cs="Arial"/>
              </w:rPr>
            </w:pPr>
            <w:r>
              <w:rPr>
                <w:rFonts w:ascii="Arial" w:hAnsi="Arial" w:cs="Arial"/>
              </w:rPr>
              <w:t>$38.65</w:t>
            </w:r>
          </w:p>
        </w:tc>
        <w:tc>
          <w:tcPr>
            <w:tcW w:w="1170" w:type="dxa"/>
            <w:tcBorders>
              <w:top w:val="single" w:sz="6" w:space="0" w:color="38383B"/>
              <w:left w:val="single" w:sz="6" w:space="0" w:color="38383B"/>
              <w:bottom w:val="single" w:sz="6" w:space="0" w:color="38383B"/>
              <w:right w:val="single" w:sz="6" w:space="0" w:color="383838"/>
            </w:tcBorders>
            <w:hideMark/>
          </w:tcPr>
          <w:p w:rsidR="006B505A" w:rsidRDefault="006B505A">
            <w:pPr>
              <w:jc w:val="center"/>
              <w:rPr>
                <w:rFonts w:ascii="Arial" w:eastAsia="Arial" w:hAnsi="Arial" w:cs="Arial"/>
              </w:rPr>
            </w:pPr>
            <w:r>
              <w:rPr>
                <w:rFonts w:ascii="Arial" w:hAnsi="Arial" w:cs="Arial"/>
              </w:rPr>
              <w:t>$</w:t>
            </w:r>
            <w:r w:rsidR="00742A3B">
              <w:rPr>
                <w:rFonts w:ascii="Arial" w:hAnsi="Arial" w:cs="Arial"/>
              </w:rPr>
              <w:t>7</w:t>
            </w:r>
            <w:r>
              <w:rPr>
                <w:rFonts w:ascii="Arial" w:hAnsi="Arial" w:cs="Arial"/>
              </w:rPr>
              <w:t>.</w:t>
            </w:r>
            <w:r w:rsidR="00742A3B">
              <w:rPr>
                <w:rFonts w:ascii="Arial" w:hAnsi="Arial" w:cs="Arial"/>
              </w:rPr>
              <w:t>73</w:t>
            </w:r>
          </w:p>
        </w:tc>
        <w:tc>
          <w:tcPr>
            <w:tcW w:w="2070" w:type="dxa"/>
            <w:tcBorders>
              <w:top w:val="single" w:sz="6" w:space="0" w:color="38383B"/>
              <w:left w:val="single" w:sz="6" w:space="0" w:color="383838"/>
              <w:bottom w:val="single" w:sz="6" w:space="0" w:color="38383B"/>
              <w:right w:val="single" w:sz="6" w:space="0" w:color="343434"/>
            </w:tcBorders>
            <w:hideMark/>
          </w:tcPr>
          <w:p w:rsidR="006B505A" w:rsidRDefault="006B505A">
            <w:pPr>
              <w:widowControl w:val="0"/>
              <w:ind w:left="115"/>
              <w:jc w:val="center"/>
              <w:rPr>
                <w:rFonts w:ascii="Arial" w:eastAsia="Arial" w:hAnsi="Arial" w:cstheme="minorBidi"/>
              </w:rPr>
            </w:pPr>
            <w:r>
              <w:rPr>
                <w:rFonts w:ascii="Arial" w:eastAsia="Arial" w:hAnsi="Arial" w:cstheme="minorBidi"/>
              </w:rPr>
              <w:t>90,000</w:t>
            </w:r>
          </w:p>
        </w:tc>
        <w:tc>
          <w:tcPr>
            <w:tcW w:w="2070" w:type="dxa"/>
            <w:tcBorders>
              <w:top w:val="single" w:sz="6" w:space="0" w:color="38383B"/>
              <w:left w:val="single" w:sz="6" w:space="0" w:color="343434"/>
              <w:bottom w:val="single" w:sz="6" w:space="0" w:color="38383B"/>
              <w:right w:val="single" w:sz="2" w:space="0" w:color="000000" w:themeColor="text1"/>
            </w:tcBorders>
            <w:vAlign w:val="center"/>
            <w:hideMark/>
          </w:tcPr>
          <w:p w:rsidR="006B505A" w:rsidRDefault="006B505A">
            <w:pPr>
              <w:jc w:val="center"/>
              <w:rPr>
                <w:rFonts w:ascii="Arial" w:eastAsia="Arial" w:hAnsi="Arial" w:cs="Arial"/>
              </w:rPr>
            </w:pPr>
            <w:r>
              <w:rPr>
                <w:rFonts w:ascii="Arial" w:eastAsia="Arial" w:hAnsi="Arial" w:cs="Arial"/>
              </w:rPr>
              <w:t>$</w:t>
            </w:r>
            <w:r w:rsidR="00742A3B">
              <w:rPr>
                <w:rFonts w:ascii="Arial" w:eastAsia="Arial" w:hAnsi="Arial" w:cs="Arial"/>
              </w:rPr>
              <w:t>695</w:t>
            </w:r>
            <w:r>
              <w:rPr>
                <w:rFonts w:ascii="Arial" w:eastAsia="Arial" w:hAnsi="Arial" w:cs="Arial"/>
              </w:rPr>
              <w:t>,</w:t>
            </w:r>
            <w:r w:rsidR="00742A3B">
              <w:rPr>
                <w:rFonts w:ascii="Arial" w:eastAsia="Arial" w:hAnsi="Arial" w:cs="Arial"/>
              </w:rPr>
              <w:t>700</w:t>
            </w:r>
          </w:p>
        </w:tc>
      </w:tr>
      <w:tr w:rsidR="006B505A" w:rsidTr="006B505A">
        <w:trPr>
          <w:cantSplit/>
        </w:trPr>
        <w:tc>
          <w:tcPr>
            <w:tcW w:w="7560" w:type="dxa"/>
            <w:gridSpan w:val="6"/>
            <w:tcBorders>
              <w:top w:val="single" w:sz="6" w:space="0" w:color="383838"/>
              <w:left w:val="single" w:sz="2" w:space="0" w:color="000000" w:themeColor="text1"/>
              <w:bottom w:val="nil"/>
              <w:right w:val="single" w:sz="6" w:space="0" w:color="343434"/>
            </w:tcBorders>
            <w:hideMark/>
          </w:tcPr>
          <w:p w:rsidR="006B505A" w:rsidRDefault="006B505A">
            <w:pPr>
              <w:rPr>
                <w:rFonts w:ascii="Arial" w:eastAsia="Arial" w:hAnsi="Arial" w:cs="Arial"/>
              </w:rPr>
            </w:pPr>
            <w:r>
              <w:rPr>
                <w:rFonts w:ascii="Arial" w:hAnsi="Arial" w:cs="Arial"/>
              </w:rPr>
              <w:t>Overhead</w:t>
            </w:r>
            <w:r>
              <w:rPr>
                <w:rFonts w:ascii="Arial" w:hAnsi="Arial" w:cs="Arial"/>
                <w:spacing w:val="28"/>
              </w:rPr>
              <w:t xml:space="preserve"> </w:t>
            </w:r>
            <w:r>
              <w:rPr>
                <w:rFonts w:ascii="Arial" w:hAnsi="Arial" w:cs="Arial"/>
              </w:rPr>
              <w:t>at</w:t>
            </w:r>
            <w:r>
              <w:rPr>
                <w:rFonts w:ascii="Arial" w:hAnsi="Arial" w:cs="Arial"/>
                <w:spacing w:val="29"/>
              </w:rPr>
              <w:t xml:space="preserve"> </w:t>
            </w:r>
            <w:r>
              <w:rPr>
                <w:rFonts w:ascii="Arial" w:hAnsi="Arial" w:cs="Arial"/>
              </w:rPr>
              <w:t>100%</w:t>
            </w:r>
            <w:r>
              <w:rPr>
                <w:rFonts w:ascii="Arial" w:hAnsi="Arial" w:cs="Arial"/>
                <w:spacing w:val="7"/>
              </w:rPr>
              <w:t xml:space="preserve"> </w:t>
            </w:r>
            <w:r>
              <w:rPr>
                <w:rFonts w:ascii="Arial" w:hAnsi="Arial" w:cs="Arial"/>
              </w:rPr>
              <w:t>Salary</w:t>
            </w:r>
          </w:p>
        </w:tc>
        <w:tc>
          <w:tcPr>
            <w:tcW w:w="2070" w:type="dxa"/>
            <w:vMerge w:val="restart"/>
            <w:tcBorders>
              <w:top w:val="single" w:sz="6" w:space="0" w:color="383838"/>
              <w:left w:val="single" w:sz="6" w:space="0" w:color="343434"/>
              <w:bottom w:val="single" w:sz="6" w:space="0" w:color="383838"/>
              <w:right w:val="single" w:sz="2" w:space="0" w:color="000000" w:themeColor="text1"/>
            </w:tcBorders>
            <w:vAlign w:val="center"/>
            <w:hideMark/>
          </w:tcPr>
          <w:p w:rsidR="006B505A" w:rsidRDefault="006B505A">
            <w:pPr>
              <w:jc w:val="center"/>
              <w:rPr>
                <w:rFonts w:ascii="Arial" w:eastAsia="Arial" w:hAnsi="Arial" w:cs="Arial"/>
              </w:rPr>
            </w:pPr>
            <w:r>
              <w:rPr>
                <w:rFonts w:ascii="Arial" w:eastAsia="Arial" w:hAnsi="Arial" w:cs="Arial"/>
              </w:rPr>
              <w:t>$</w:t>
            </w:r>
            <w:r w:rsidR="00742A3B">
              <w:rPr>
                <w:rFonts w:ascii="Arial" w:eastAsia="Arial" w:hAnsi="Arial" w:cs="Arial"/>
              </w:rPr>
              <w:t>695</w:t>
            </w:r>
            <w:r>
              <w:rPr>
                <w:rFonts w:ascii="Arial" w:eastAsia="Arial" w:hAnsi="Arial" w:cs="Arial"/>
              </w:rPr>
              <w:t>,</w:t>
            </w:r>
            <w:r w:rsidR="00742A3B">
              <w:rPr>
                <w:rFonts w:ascii="Arial" w:eastAsia="Arial" w:hAnsi="Arial" w:cs="Arial"/>
              </w:rPr>
              <w:t>700</w:t>
            </w:r>
          </w:p>
        </w:tc>
      </w:tr>
      <w:tr w:rsidR="006B505A" w:rsidTr="006B505A">
        <w:trPr>
          <w:cantSplit/>
        </w:trPr>
        <w:tc>
          <w:tcPr>
            <w:tcW w:w="7560" w:type="dxa"/>
            <w:gridSpan w:val="6"/>
            <w:tcBorders>
              <w:top w:val="nil"/>
              <w:left w:val="single" w:sz="2" w:space="0" w:color="000000" w:themeColor="text1"/>
              <w:bottom w:val="single" w:sz="6" w:space="0" w:color="383838"/>
              <w:right w:val="single" w:sz="6" w:space="0" w:color="343434"/>
            </w:tcBorders>
            <w:hideMark/>
          </w:tcPr>
          <w:p w:rsidR="006B505A" w:rsidRDefault="006B505A">
            <w:pPr>
              <w:rPr>
                <w:rFonts w:ascii="Arial" w:eastAsia="Arial" w:hAnsi="Arial" w:cs="Arial"/>
              </w:rPr>
            </w:pPr>
            <w:r>
              <w:rPr>
                <w:rFonts w:ascii="Arial" w:hAnsi="Arial" w:cs="Arial"/>
              </w:rPr>
              <w:t>Overhead</w:t>
            </w:r>
            <w:r>
              <w:rPr>
                <w:rFonts w:ascii="Arial" w:hAnsi="Arial" w:cs="Arial"/>
                <w:spacing w:val="36"/>
              </w:rPr>
              <w:t xml:space="preserve"> </w:t>
            </w:r>
            <w:r>
              <w:rPr>
                <w:rFonts w:ascii="Arial" w:hAnsi="Arial" w:cs="Arial"/>
              </w:rPr>
              <w:t>costs</w:t>
            </w:r>
            <w:r>
              <w:rPr>
                <w:rFonts w:ascii="Arial" w:hAnsi="Arial" w:cs="Arial"/>
                <w:spacing w:val="19"/>
              </w:rPr>
              <w:t xml:space="preserve"> </w:t>
            </w:r>
            <w:r>
              <w:rPr>
                <w:rFonts w:ascii="Arial" w:hAnsi="Arial" w:cs="Arial"/>
              </w:rPr>
              <w:t>are</w:t>
            </w:r>
            <w:r>
              <w:rPr>
                <w:rFonts w:ascii="Arial" w:hAnsi="Arial" w:cs="Arial"/>
                <w:spacing w:val="25"/>
              </w:rPr>
              <w:t xml:space="preserve"> </w:t>
            </w:r>
            <w:r>
              <w:rPr>
                <w:rFonts w:ascii="Arial" w:hAnsi="Arial" w:cs="Arial"/>
              </w:rPr>
              <w:t>100%</w:t>
            </w:r>
            <w:r>
              <w:rPr>
                <w:rFonts w:ascii="Arial" w:hAnsi="Arial" w:cs="Arial"/>
                <w:spacing w:val="13"/>
              </w:rPr>
              <w:t xml:space="preserve"> </w:t>
            </w:r>
            <w:r>
              <w:rPr>
                <w:rFonts w:ascii="Arial" w:hAnsi="Arial" w:cs="Arial"/>
              </w:rPr>
              <w:t>of</w:t>
            </w:r>
            <w:r>
              <w:rPr>
                <w:rFonts w:ascii="Arial" w:hAnsi="Arial" w:cs="Arial"/>
                <w:spacing w:val="7"/>
              </w:rPr>
              <w:t xml:space="preserve"> </w:t>
            </w:r>
            <w:r>
              <w:rPr>
                <w:rFonts w:ascii="Arial" w:hAnsi="Arial" w:cs="Arial"/>
              </w:rPr>
              <w:t>salary</w:t>
            </w:r>
            <w:r>
              <w:rPr>
                <w:rFonts w:ascii="Arial" w:hAnsi="Arial" w:cs="Arial"/>
                <w:spacing w:val="29"/>
              </w:rPr>
              <w:t xml:space="preserve"> </w:t>
            </w:r>
            <w:r>
              <w:rPr>
                <w:rFonts w:ascii="Arial" w:hAnsi="Arial" w:cs="Arial"/>
              </w:rPr>
              <w:t>and</w:t>
            </w:r>
            <w:r>
              <w:rPr>
                <w:rFonts w:ascii="Arial" w:hAnsi="Arial" w:cs="Arial"/>
                <w:spacing w:val="15"/>
              </w:rPr>
              <w:t xml:space="preserve"> </w:t>
            </w:r>
            <w:r>
              <w:rPr>
                <w:rFonts w:ascii="Arial" w:hAnsi="Arial" w:cs="Arial"/>
              </w:rPr>
              <w:t>are</w:t>
            </w:r>
            <w:r>
              <w:rPr>
                <w:rFonts w:ascii="Arial" w:hAnsi="Arial" w:cs="Arial"/>
                <w:spacing w:val="10"/>
              </w:rPr>
              <w:t xml:space="preserve"> </w:t>
            </w:r>
            <w:r>
              <w:rPr>
                <w:rFonts w:ascii="Arial" w:hAnsi="Arial" w:cs="Arial"/>
              </w:rPr>
              <w:t>the</w:t>
            </w:r>
            <w:r>
              <w:rPr>
                <w:rFonts w:ascii="Arial" w:hAnsi="Arial" w:cs="Arial"/>
                <w:spacing w:val="17"/>
              </w:rPr>
              <w:t xml:space="preserve"> </w:t>
            </w:r>
            <w:r>
              <w:rPr>
                <w:rFonts w:ascii="Arial" w:hAnsi="Arial" w:cs="Arial"/>
              </w:rPr>
              <w:t>same</w:t>
            </w:r>
            <w:r>
              <w:rPr>
                <w:rFonts w:ascii="Arial" w:hAnsi="Arial" w:cs="Arial"/>
                <w:spacing w:val="23"/>
              </w:rPr>
              <w:t xml:space="preserve"> </w:t>
            </w:r>
            <w:r>
              <w:rPr>
                <w:rFonts w:ascii="Arial" w:hAnsi="Arial" w:cs="Arial"/>
              </w:rPr>
              <w:t>as</w:t>
            </w:r>
            <w:r>
              <w:rPr>
                <w:rFonts w:ascii="Arial" w:hAnsi="Arial" w:cs="Arial"/>
                <w:w w:val="103"/>
              </w:rPr>
              <w:t xml:space="preserve"> </w:t>
            </w:r>
            <w:r>
              <w:rPr>
                <w:rFonts w:ascii="Arial" w:hAnsi="Arial" w:cs="Arial"/>
              </w:rPr>
              <w:t>the</w:t>
            </w:r>
            <w:r>
              <w:rPr>
                <w:rFonts w:ascii="Arial" w:hAnsi="Arial" w:cs="Arial"/>
                <w:spacing w:val="12"/>
              </w:rPr>
              <w:t xml:space="preserve"> </w:t>
            </w:r>
            <w:r>
              <w:rPr>
                <w:rFonts w:ascii="Arial" w:hAnsi="Arial" w:cs="Arial"/>
              </w:rPr>
              <w:t>wage</w:t>
            </w:r>
            <w:r>
              <w:rPr>
                <w:rFonts w:ascii="Arial" w:hAnsi="Arial" w:cs="Arial"/>
                <w:spacing w:val="30"/>
              </w:rPr>
              <w:t xml:space="preserve"> </w:t>
            </w:r>
            <w:r>
              <w:rPr>
                <w:rFonts w:ascii="Arial" w:hAnsi="Arial" w:cs="Arial"/>
              </w:rPr>
              <w:t>listed</w:t>
            </w:r>
            <w:r>
              <w:rPr>
                <w:rFonts w:ascii="Arial" w:hAnsi="Arial" w:cs="Arial"/>
                <w:spacing w:val="7"/>
              </w:rPr>
              <w:t xml:space="preserve"> </w:t>
            </w:r>
            <w:r>
              <w:rPr>
                <w:rFonts w:ascii="Arial" w:hAnsi="Arial" w:cs="Arial"/>
              </w:rPr>
              <w:t>above;</w:t>
            </w:r>
            <w:r>
              <w:rPr>
                <w:rFonts w:ascii="Arial" w:hAnsi="Arial" w:cs="Arial"/>
                <w:spacing w:val="23"/>
              </w:rPr>
              <w:t xml:space="preserve"> </w:t>
            </w:r>
            <w:r>
              <w:rPr>
                <w:rFonts w:ascii="Arial" w:hAnsi="Arial" w:cs="Arial"/>
              </w:rPr>
              <w:t>and</w:t>
            </w:r>
            <w:r>
              <w:rPr>
                <w:rFonts w:ascii="Arial" w:hAnsi="Arial" w:cs="Arial"/>
                <w:spacing w:val="13"/>
              </w:rPr>
              <w:t xml:space="preserve"> </w:t>
            </w:r>
            <w:r>
              <w:rPr>
                <w:rFonts w:ascii="Arial" w:hAnsi="Arial" w:cs="Arial"/>
              </w:rPr>
              <w:t>the</w:t>
            </w:r>
            <w:r>
              <w:rPr>
                <w:rFonts w:ascii="Arial" w:hAnsi="Arial" w:cs="Arial"/>
                <w:spacing w:val="24"/>
              </w:rPr>
              <w:t xml:space="preserve"> </w:t>
            </w:r>
            <w:r>
              <w:rPr>
                <w:rFonts w:ascii="Arial" w:hAnsi="Arial" w:cs="Arial"/>
              </w:rPr>
              <w:t>amount</w:t>
            </w:r>
            <w:r>
              <w:rPr>
                <w:rFonts w:ascii="Arial" w:hAnsi="Arial" w:cs="Arial"/>
                <w:spacing w:val="29"/>
              </w:rPr>
              <w:t xml:space="preserve"> </w:t>
            </w:r>
            <w:r>
              <w:rPr>
                <w:rFonts w:ascii="Arial" w:hAnsi="Arial" w:cs="Arial"/>
              </w:rPr>
              <w:t>is</w:t>
            </w:r>
            <w:r>
              <w:rPr>
                <w:rFonts w:ascii="Arial" w:hAnsi="Arial" w:cs="Arial"/>
                <w:spacing w:val="7"/>
              </w:rPr>
              <w:t xml:space="preserve"> </w:t>
            </w:r>
            <w:r>
              <w:rPr>
                <w:rFonts w:ascii="Arial" w:hAnsi="Arial" w:cs="Arial"/>
              </w:rPr>
              <w:t>included</w:t>
            </w:r>
            <w:r>
              <w:rPr>
                <w:rFonts w:ascii="Arial" w:hAnsi="Arial" w:cs="Arial"/>
                <w:spacing w:val="31"/>
              </w:rPr>
              <w:t xml:space="preserve"> </w:t>
            </w:r>
            <w:r>
              <w:rPr>
                <w:rFonts w:ascii="Arial" w:hAnsi="Arial" w:cs="Arial"/>
              </w:rPr>
              <w:t>in the</w:t>
            </w:r>
            <w:r>
              <w:rPr>
                <w:rFonts w:ascii="Arial" w:hAnsi="Arial" w:cs="Arial"/>
                <w:spacing w:val="18"/>
              </w:rPr>
              <w:t xml:space="preserve"> </w:t>
            </w:r>
            <w:r>
              <w:rPr>
                <w:rFonts w:ascii="Arial" w:hAnsi="Arial" w:cs="Arial"/>
              </w:rPr>
              <w:t>total.</w:t>
            </w:r>
          </w:p>
        </w:tc>
        <w:tc>
          <w:tcPr>
            <w:tcW w:w="2070" w:type="dxa"/>
            <w:vMerge/>
            <w:tcBorders>
              <w:top w:val="single" w:sz="6" w:space="0" w:color="383838"/>
              <w:left w:val="single" w:sz="6" w:space="0" w:color="343434"/>
              <w:bottom w:val="single" w:sz="6" w:space="0" w:color="383838"/>
              <w:right w:val="single" w:sz="2" w:space="0" w:color="000000" w:themeColor="text1"/>
            </w:tcBorders>
            <w:vAlign w:val="center"/>
            <w:hideMark/>
          </w:tcPr>
          <w:p w:rsidR="006B505A" w:rsidRDefault="006B505A">
            <w:pPr>
              <w:rPr>
                <w:rFonts w:ascii="Arial" w:eastAsia="Arial" w:hAnsi="Arial" w:cs="Arial"/>
              </w:rPr>
            </w:pPr>
          </w:p>
        </w:tc>
      </w:tr>
      <w:tr w:rsidR="006B505A" w:rsidTr="006B505A">
        <w:trPr>
          <w:cantSplit/>
        </w:trPr>
        <w:tc>
          <w:tcPr>
            <w:tcW w:w="7560" w:type="dxa"/>
            <w:gridSpan w:val="6"/>
            <w:tcBorders>
              <w:top w:val="single" w:sz="6" w:space="0" w:color="383838"/>
              <w:left w:val="single" w:sz="2" w:space="0" w:color="000000" w:themeColor="text1"/>
              <w:bottom w:val="single" w:sz="4" w:space="0" w:color="2F2F34"/>
              <w:right w:val="single" w:sz="6" w:space="0" w:color="343434"/>
            </w:tcBorders>
            <w:hideMark/>
          </w:tcPr>
          <w:p w:rsidR="006B505A" w:rsidRDefault="006B505A">
            <w:pPr>
              <w:rPr>
                <w:rFonts w:ascii="Arial" w:eastAsia="Arial" w:hAnsi="Arial" w:cs="Arial"/>
              </w:rPr>
            </w:pPr>
            <w:r>
              <w:rPr>
                <w:rFonts w:ascii="Arial" w:hAnsi="Arial" w:cs="Arial"/>
              </w:rPr>
              <w:t>Processing</w:t>
            </w:r>
            <w:r>
              <w:rPr>
                <w:rFonts w:ascii="Arial" w:hAnsi="Arial" w:cs="Arial"/>
                <w:spacing w:val="13"/>
              </w:rPr>
              <w:t xml:space="preserve"> </w:t>
            </w:r>
            <w:r>
              <w:rPr>
                <w:rFonts w:ascii="Arial" w:hAnsi="Arial" w:cs="Arial"/>
                <w:i/>
                <w:iCs/>
              </w:rPr>
              <w:t>I</w:t>
            </w:r>
            <w:r>
              <w:rPr>
                <w:rFonts w:ascii="Arial" w:hAnsi="Arial" w:cs="Arial"/>
                <w:i/>
                <w:iCs/>
                <w:spacing w:val="-9"/>
              </w:rPr>
              <w:t xml:space="preserve"> </w:t>
            </w:r>
            <w:r>
              <w:rPr>
                <w:rFonts w:ascii="Arial" w:hAnsi="Arial" w:cs="Arial"/>
              </w:rPr>
              <w:t>Analyzing</w:t>
            </w:r>
            <w:r>
              <w:rPr>
                <w:rFonts w:ascii="Arial" w:hAnsi="Arial" w:cs="Arial"/>
                <w:spacing w:val="44"/>
              </w:rPr>
              <w:t xml:space="preserve"> </w:t>
            </w:r>
            <w:r>
              <w:rPr>
                <w:rFonts w:ascii="Arial" w:hAnsi="Arial" w:cs="Arial"/>
              </w:rPr>
              <w:t>Costs</w:t>
            </w:r>
            <w:r>
              <w:rPr>
                <w:rFonts w:ascii="Arial" w:hAnsi="Arial" w:cs="Arial"/>
                <w:spacing w:val="21"/>
              </w:rPr>
              <w:t xml:space="preserve"> </w:t>
            </w:r>
          </w:p>
        </w:tc>
        <w:tc>
          <w:tcPr>
            <w:tcW w:w="2070" w:type="dxa"/>
            <w:tcBorders>
              <w:top w:val="single" w:sz="6" w:space="0" w:color="383838"/>
              <w:left w:val="single" w:sz="6" w:space="0" w:color="343434"/>
              <w:bottom w:val="single" w:sz="4" w:space="0" w:color="2F2F34"/>
              <w:right w:val="single" w:sz="2" w:space="0" w:color="000000" w:themeColor="text1"/>
            </w:tcBorders>
            <w:vAlign w:val="center"/>
            <w:hideMark/>
          </w:tcPr>
          <w:p w:rsidR="006B505A" w:rsidRDefault="006B505A">
            <w:pPr>
              <w:jc w:val="center"/>
              <w:rPr>
                <w:rFonts w:ascii="Arial" w:eastAsia="Arial" w:hAnsi="Arial" w:cs="Arial"/>
              </w:rPr>
            </w:pPr>
            <w:r>
              <w:rPr>
                <w:rFonts w:ascii="Arial" w:eastAsia="Arial" w:hAnsi="Arial" w:cs="Arial"/>
              </w:rPr>
              <w:t>$</w:t>
            </w:r>
            <w:r w:rsidR="00742A3B">
              <w:rPr>
                <w:rFonts w:ascii="Arial" w:eastAsia="Arial" w:hAnsi="Arial" w:cs="Arial"/>
              </w:rPr>
              <w:t>695</w:t>
            </w:r>
            <w:r>
              <w:rPr>
                <w:rFonts w:ascii="Arial" w:eastAsia="Arial" w:hAnsi="Arial" w:cs="Arial"/>
              </w:rPr>
              <w:t>,</w:t>
            </w:r>
            <w:r w:rsidR="00742A3B">
              <w:rPr>
                <w:rFonts w:ascii="Arial" w:eastAsia="Arial" w:hAnsi="Arial" w:cs="Arial"/>
              </w:rPr>
              <w:t>700</w:t>
            </w:r>
          </w:p>
        </w:tc>
      </w:tr>
    </w:tbl>
    <w:p w:rsidR="0010110D" w:rsidRDefault="0010110D"/>
    <w:p w:rsidR="0045541C" w:rsidRDefault="0045541C">
      <w:pPr>
        <w:tabs>
          <w:tab w:val="left" w:pos="475"/>
          <w:tab w:val="left" w:pos="900"/>
          <w:tab w:val="right" w:pos="5220"/>
        </w:tabs>
      </w:pPr>
      <w:r>
        <w:t>Total Cost</w:t>
      </w:r>
      <w:r w:rsidR="0010110D">
        <w:t xml:space="preserve"> to Government</w:t>
      </w:r>
      <w:r>
        <w:tab/>
      </w:r>
      <w:r w:rsidR="004D28DE">
        <w:tab/>
      </w:r>
      <w:r w:rsidR="0010110D">
        <w:t xml:space="preserve">                                        </w:t>
      </w:r>
      <w:r w:rsidR="00865FED">
        <w:t>$</w:t>
      </w:r>
      <w:r w:rsidR="0010110D">
        <w:t>695</w:t>
      </w:r>
      <w:r w:rsidR="00FC2F56">
        <w:t>,</w:t>
      </w:r>
      <w:r w:rsidR="0010110D">
        <w:t>700</w:t>
      </w:r>
    </w:p>
    <w:p w:rsidR="0045541C" w:rsidRDefault="0045541C">
      <w:pPr>
        <w:tabs>
          <w:tab w:val="left" w:pos="475"/>
          <w:tab w:val="left" w:pos="900"/>
          <w:tab w:val="right" w:pos="5220"/>
        </w:tabs>
      </w:pPr>
    </w:p>
    <w:p w:rsidR="0010110D" w:rsidRDefault="0010110D">
      <w:pPr>
        <w:tabs>
          <w:tab w:val="left" w:pos="475"/>
        </w:tabs>
      </w:pPr>
      <w:r>
        <w:t xml:space="preserve">Overhead costs are 100% of salary and are same as the wage listed above and the amounts are included in the total. </w:t>
      </w:r>
    </w:p>
    <w:p w:rsidR="0010110D" w:rsidRDefault="0010110D">
      <w:pPr>
        <w:tabs>
          <w:tab w:val="left" w:pos="475"/>
        </w:tabs>
      </w:pPr>
    </w:p>
    <w:p w:rsidR="00DF6D98" w:rsidRDefault="0010110D">
      <w:pPr>
        <w:tabs>
          <w:tab w:val="left" w:pos="475"/>
        </w:tabs>
      </w:pPr>
      <w:r>
        <w:t>Note: The hourly wage information above is based on the hourly 2018 General Schedule (Base) Pay (</w:t>
      </w:r>
      <w:hyperlink r:id="rId7" w:history="1">
        <w:r w:rsidRPr="00200A98">
          <w:rPr>
            <w:rStyle w:val="Hyperlink"/>
          </w:rPr>
          <w:t xml:space="preserve">https:// </w:t>
        </w:r>
        <w:r w:rsidR="00200A98" w:rsidRPr="00200A98">
          <w:rPr>
            <w:rStyle w:val="Hyperlink"/>
          </w:rPr>
          <w:t>www.opm.gov/policy-data-oversight/pay-leave/salaries-wages/salary-tables/pdf/2018/GS_h.pdf</w:t>
        </w:r>
      </w:hyperlink>
      <w:r w:rsidR="00DF6D98">
        <w:t>). This rate does not include any locality adjustment as applicable.</w:t>
      </w:r>
    </w:p>
    <w:p w:rsidR="00DF6D98" w:rsidRDefault="00DF6D98">
      <w:pPr>
        <w:tabs>
          <w:tab w:val="left" w:pos="475"/>
        </w:tabs>
      </w:pPr>
    </w:p>
    <w:p w:rsidR="00DF6D98" w:rsidRPr="00DF6D98" w:rsidRDefault="00DF6D98">
      <w:pPr>
        <w:tabs>
          <w:tab w:val="left" w:pos="475"/>
        </w:tabs>
        <w:rPr>
          <w:b/>
        </w:rPr>
      </w:pPr>
      <w:r w:rsidRPr="00DF6D98">
        <w:rPr>
          <w:b/>
        </w:rPr>
        <w:t>15. Explain the reason for any burden hour changes since the last submission.</w:t>
      </w:r>
    </w:p>
    <w:p w:rsidR="0010110D" w:rsidRDefault="0010110D">
      <w:pPr>
        <w:tabs>
          <w:tab w:val="left" w:pos="475"/>
        </w:tabs>
      </w:pPr>
    </w:p>
    <w:p w:rsidR="0045541C" w:rsidRDefault="00DF6D98">
      <w:pPr>
        <w:tabs>
          <w:tab w:val="left" w:pos="475"/>
        </w:tabs>
      </w:pPr>
      <w:r>
        <w:t xml:space="preserve">      T</w:t>
      </w:r>
      <w:r w:rsidR="006D7AB5">
        <w:t>here is no change in burden</w:t>
      </w:r>
      <w:r w:rsidR="0045541C">
        <w:t xml:space="preserve">.  </w:t>
      </w:r>
    </w:p>
    <w:p w:rsidR="00E314FF" w:rsidRDefault="00E314FF">
      <w:pPr>
        <w:tabs>
          <w:tab w:val="left" w:pos="475"/>
        </w:tabs>
      </w:pPr>
    </w:p>
    <w:p w:rsidR="00DF6D98" w:rsidRPr="00DF6D98" w:rsidRDefault="0045541C">
      <w:pPr>
        <w:tabs>
          <w:tab w:val="left" w:pos="475"/>
        </w:tabs>
        <w:rPr>
          <w:b/>
        </w:rPr>
      </w:pPr>
      <w:r w:rsidRPr="00DF6D98">
        <w:rPr>
          <w:b/>
        </w:rPr>
        <w:t>16.</w:t>
      </w:r>
      <w:r w:rsidR="00DF6D98" w:rsidRPr="00DF6D98">
        <w:rPr>
          <w:b/>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collection of information, completion of report, publication dates, and other actions.</w:t>
      </w:r>
    </w:p>
    <w:p w:rsidR="00DF6D98" w:rsidRDefault="00DF6D98">
      <w:pPr>
        <w:tabs>
          <w:tab w:val="left" w:pos="475"/>
        </w:tabs>
      </w:pPr>
    </w:p>
    <w:p w:rsidR="0045541C" w:rsidRDefault="00DF6D98">
      <w:pPr>
        <w:tabs>
          <w:tab w:val="left" w:pos="475"/>
        </w:tabs>
      </w:pPr>
      <w:r>
        <w:t xml:space="preserve">       The </w:t>
      </w:r>
      <w:r w:rsidR="0045541C">
        <w:t>information collect</w:t>
      </w:r>
      <w:r>
        <w:t>ion is not</w:t>
      </w:r>
      <w:r w:rsidR="0045541C">
        <w:t xml:space="preserve"> for publication.  </w:t>
      </w:r>
    </w:p>
    <w:p w:rsidR="00727595" w:rsidRDefault="00727595">
      <w:pPr>
        <w:tabs>
          <w:tab w:val="left" w:pos="475"/>
        </w:tabs>
      </w:pPr>
    </w:p>
    <w:p w:rsidR="00727595" w:rsidRPr="00727595" w:rsidRDefault="00727595">
      <w:pPr>
        <w:tabs>
          <w:tab w:val="left" w:pos="475"/>
        </w:tabs>
        <w:rPr>
          <w:b/>
        </w:rPr>
      </w:pPr>
      <w:r w:rsidRPr="00727595">
        <w:rPr>
          <w:b/>
        </w:rPr>
        <w:t>17.  If seeking approval to omit the expiration date for OMB approval of the information collection, explain the reasons that display would be inappropriate.</w:t>
      </w:r>
      <w:r w:rsidRPr="00727595">
        <w:rPr>
          <w:b/>
        </w:rPr>
        <w:br/>
      </w:r>
    </w:p>
    <w:p w:rsidR="0045541C" w:rsidRDefault="00727595">
      <w:pPr>
        <w:tabs>
          <w:tab w:val="left" w:pos="475"/>
        </w:tabs>
      </w:pPr>
      <w:r>
        <w:t xml:space="preserve">     </w:t>
      </w:r>
      <w:r w:rsidR="0045541C">
        <w:t xml:space="preserve">  </w:t>
      </w:r>
      <w:r w:rsidR="00213A97">
        <w:t>We are not seeking approval to omit the expiration date for OMB approval.</w:t>
      </w:r>
      <w:r w:rsidR="0045541C">
        <w:t xml:space="preserve">  </w:t>
      </w:r>
    </w:p>
    <w:p w:rsidR="0045541C" w:rsidRDefault="0045541C">
      <w:pPr>
        <w:tabs>
          <w:tab w:val="left" w:pos="475"/>
        </w:tabs>
      </w:pPr>
    </w:p>
    <w:p w:rsidR="00727595" w:rsidRPr="00727595" w:rsidRDefault="00727595">
      <w:pPr>
        <w:tabs>
          <w:tab w:val="left" w:pos="475"/>
        </w:tabs>
        <w:rPr>
          <w:b/>
        </w:rPr>
      </w:pPr>
      <w:r w:rsidRPr="00727595">
        <w:rPr>
          <w:b/>
        </w:rPr>
        <w:t>18</w:t>
      </w:r>
      <w:r w:rsidR="0045541C" w:rsidRPr="00727595">
        <w:rPr>
          <w:b/>
        </w:rPr>
        <w:t xml:space="preserve">.  </w:t>
      </w:r>
      <w:r w:rsidRPr="00727595">
        <w:rPr>
          <w:b/>
        </w:rPr>
        <w:t>Explain each exception to the certification statement identified in Item 19, “Certification for Paperwork Reduction Act Submissions,” of OMB 83-1.</w:t>
      </w:r>
    </w:p>
    <w:p w:rsidR="00727595" w:rsidRDefault="00727595">
      <w:pPr>
        <w:tabs>
          <w:tab w:val="left" w:pos="475"/>
        </w:tabs>
      </w:pPr>
    </w:p>
    <w:p w:rsidR="0045541C" w:rsidRDefault="00727595">
      <w:pPr>
        <w:tabs>
          <w:tab w:val="left" w:pos="475"/>
        </w:tabs>
      </w:pPr>
      <w:r>
        <w:t xml:space="preserve">       </w:t>
      </w:r>
      <w:r w:rsidR="0045541C">
        <w:t>This submission does not contain any exceptions to the certificat</w:t>
      </w:r>
      <w:r w:rsidR="00213A97">
        <w:t>ion</w:t>
      </w:r>
      <w:r w:rsidR="0045541C">
        <w:t xml:space="preserve"> statement.</w:t>
      </w:r>
    </w:p>
    <w:p w:rsidR="0045541C" w:rsidRDefault="0045541C">
      <w:pPr>
        <w:tabs>
          <w:tab w:val="left" w:pos="475"/>
        </w:tabs>
      </w:pPr>
    </w:p>
    <w:p w:rsidR="0045541C" w:rsidRPr="00727595" w:rsidRDefault="0045541C">
      <w:pPr>
        <w:tabs>
          <w:tab w:val="left" w:pos="360"/>
        </w:tabs>
        <w:ind w:right="-540"/>
        <w:rPr>
          <w:b/>
        </w:rPr>
      </w:pPr>
      <w:r w:rsidRPr="00727595">
        <w:rPr>
          <w:b/>
        </w:rPr>
        <w:t xml:space="preserve">B.  </w:t>
      </w:r>
      <w:r w:rsidRPr="00727595">
        <w:rPr>
          <w:b/>
          <w:u w:val="single"/>
        </w:rPr>
        <w:t>Collections of Information Employing Statistical Methods</w:t>
      </w:r>
    </w:p>
    <w:p w:rsidR="0045541C" w:rsidRDefault="0045541C">
      <w:pPr>
        <w:tabs>
          <w:tab w:val="left" w:pos="360"/>
        </w:tabs>
        <w:ind w:right="-540"/>
      </w:pPr>
    </w:p>
    <w:p w:rsidR="0045541C" w:rsidRDefault="0045541C" w:rsidP="00BB08E4">
      <w:pPr>
        <w:tabs>
          <w:tab w:val="left" w:pos="360"/>
        </w:tabs>
        <w:ind w:left="360" w:right="-540"/>
      </w:pPr>
      <w:r>
        <w:t>This collection of information does not employ statistical methods.</w:t>
      </w:r>
    </w:p>
    <w:p w:rsidR="0045541C" w:rsidRDefault="0045541C">
      <w:pPr>
        <w:tabs>
          <w:tab w:val="left" w:pos="475"/>
        </w:tabs>
        <w:jc w:val="center"/>
      </w:pPr>
    </w:p>
    <w:p w:rsidR="0045541C" w:rsidRDefault="0045541C"/>
    <w:sectPr w:rsidR="004554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B25C68"/>
    <w:lvl w:ilvl="0">
      <w:numFmt w:val="bullet"/>
      <w:lvlText w:val="*"/>
      <w:lvlJc w:val="left"/>
    </w:lvl>
  </w:abstractNum>
  <w:abstractNum w:abstractNumId="1">
    <w:nsid w:val="24D35B54"/>
    <w:multiLevelType w:val="hybridMultilevel"/>
    <w:tmpl w:val="846C9614"/>
    <w:lvl w:ilvl="0" w:tplc="7D1E5C5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E52C65"/>
    <w:multiLevelType w:val="hybridMultilevel"/>
    <w:tmpl w:val="85C8C988"/>
    <w:lvl w:ilvl="0" w:tplc="FBDCAC2C">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53646FF1"/>
    <w:multiLevelType w:val="hybridMultilevel"/>
    <w:tmpl w:val="D960CD16"/>
    <w:lvl w:ilvl="0" w:tplc="3DF41A50">
      <w:start w:val="1"/>
      <w:numFmt w:val="lowerLetter"/>
      <w:lvlText w:val="%1."/>
      <w:lvlJc w:val="left"/>
      <w:pPr>
        <w:ind w:left="900" w:hanging="4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6A0E7194"/>
    <w:multiLevelType w:val="hybridMultilevel"/>
    <w:tmpl w:val="0590B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B688B"/>
    <w:multiLevelType w:val="hybridMultilevel"/>
    <w:tmpl w:val="258CE140"/>
    <w:lvl w:ilvl="0" w:tplc="0DEEB58C">
      <w:start w:val="3"/>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B51ED"/>
    <w:multiLevelType w:val="hybridMultilevel"/>
    <w:tmpl w:val="7A72E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050B7E"/>
    <w:multiLevelType w:val="hybridMultilevel"/>
    <w:tmpl w:val="F306B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6B"/>
    <w:rsid w:val="000018A5"/>
    <w:rsid w:val="00010E99"/>
    <w:rsid w:val="00051E96"/>
    <w:rsid w:val="000B6053"/>
    <w:rsid w:val="000D7156"/>
    <w:rsid w:val="0010110D"/>
    <w:rsid w:val="00147A6E"/>
    <w:rsid w:val="0015596B"/>
    <w:rsid w:val="001617F6"/>
    <w:rsid w:val="00171876"/>
    <w:rsid w:val="001A6A03"/>
    <w:rsid w:val="001F1CB6"/>
    <w:rsid w:val="00200A98"/>
    <w:rsid w:val="00213A97"/>
    <w:rsid w:val="002578D9"/>
    <w:rsid w:val="00263133"/>
    <w:rsid w:val="00282EBB"/>
    <w:rsid w:val="00291027"/>
    <w:rsid w:val="002A3362"/>
    <w:rsid w:val="002E7437"/>
    <w:rsid w:val="0032412A"/>
    <w:rsid w:val="00324E7D"/>
    <w:rsid w:val="00334C11"/>
    <w:rsid w:val="00355967"/>
    <w:rsid w:val="0039290B"/>
    <w:rsid w:val="00396982"/>
    <w:rsid w:val="00415F3F"/>
    <w:rsid w:val="0045541C"/>
    <w:rsid w:val="004646F3"/>
    <w:rsid w:val="004829B3"/>
    <w:rsid w:val="004B4131"/>
    <w:rsid w:val="004B7576"/>
    <w:rsid w:val="004D28DE"/>
    <w:rsid w:val="004D29B6"/>
    <w:rsid w:val="004F023D"/>
    <w:rsid w:val="00592524"/>
    <w:rsid w:val="005E5C97"/>
    <w:rsid w:val="005E6078"/>
    <w:rsid w:val="00610DB1"/>
    <w:rsid w:val="00622003"/>
    <w:rsid w:val="00626A89"/>
    <w:rsid w:val="006B505A"/>
    <w:rsid w:val="006D7AB5"/>
    <w:rsid w:val="007146A7"/>
    <w:rsid w:val="00727595"/>
    <w:rsid w:val="00742A3B"/>
    <w:rsid w:val="00783537"/>
    <w:rsid w:val="00790C55"/>
    <w:rsid w:val="007E1DC0"/>
    <w:rsid w:val="00801B1D"/>
    <w:rsid w:val="0084469C"/>
    <w:rsid w:val="00865FED"/>
    <w:rsid w:val="008A236B"/>
    <w:rsid w:val="008C1265"/>
    <w:rsid w:val="009B0F5A"/>
    <w:rsid w:val="00A4091A"/>
    <w:rsid w:val="00A41EAF"/>
    <w:rsid w:val="00A77F3A"/>
    <w:rsid w:val="00B061CB"/>
    <w:rsid w:val="00B74824"/>
    <w:rsid w:val="00BB08E4"/>
    <w:rsid w:val="00C2357F"/>
    <w:rsid w:val="00C323D2"/>
    <w:rsid w:val="00CA5104"/>
    <w:rsid w:val="00CB453D"/>
    <w:rsid w:val="00CF11DC"/>
    <w:rsid w:val="00D25F46"/>
    <w:rsid w:val="00D44C3E"/>
    <w:rsid w:val="00D47790"/>
    <w:rsid w:val="00DF6D98"/>
    <w:rsid w:val="00E314FF"/>
    <w:rsid w:val="00E75C37"/>
    <w:rsid w:val="00E8478A"/>
    <w:rsid w:val="00ED60D6"/>
    <w:rsid w:val="00EE0746"/>
    <w:rsid w:val="00F30872"/>
    <w:rsid w:val="00F548BA"/>
    <w:rsid w:val="00F80A5A"/>
    <w:rsid w:val="00FB38C7"/>
    <w:rsid w:val="00FC0EFC"/>
    <w:rsid w:val="00FC2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75"/>
      </w:tabs>
      <w:outlineLvl w:val="0"/>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75"/>
      </w:tabs>
      <w:overflowPunct w:val="0"/>
      <w:autoSpaceDE w:val="0"/>
      <w:autoSpaceDN w:val="0"/>
      <w:adjustRightInd w:val="0"/>
      <w:jc w:val="center"/>
      <w:textAlignment w:val="baseline"/>
    </w:pPr>
    <w:rPr>
      <w:b/>
      <w:szCs w:val="20"/>
    </w:rPr>
  </w:style>
  <w:style w:type="paragraph" w:styleId="BalloonText">
    <w:name w:val="Balloon Text"/>
    <w:basedOn w:val="Normal"/>
    <w:link w:val="BalloonTextChar"/>
    <w:rsid w:val="00610DB1"/>
    <w:rPr>
      <w:rFonts w:ascii="Tahoma" w:hAnsi="Tahoma" w:cs="Tahoma"/>
      <w:sz w:val="16"/>
      <w:szCs w:val="16"/>
    </w:rPr>
  </w:style>
  <w:style w:type="character" w:customStyle="1" w:styleId="BalloonTextChar">
    <w:name w:val="Balloon Text Char"/>
    <w:basedOn w:val="DefaultParagraphFont"/>
    <w:link w:val="BalloonText"/>
    <w:rsid w:val="00610DB1"/>
    <w:rPr>
      <w:rFonts w:ascii="Tahoma" w:hAnsi="Tahoma" w:cs="Tahoma"/>
      <w:sz w:val="16"/>
      <w:szCs w:val="16"/>
    </w:rPr>
  </w:style>
  <w:style w:type="paragraph" w:styleId="ListParagraph">
    <w:name w:val="List Paragraph"/>
    <w:basedOn w:val="Normal"/>
    <w:uiPriority w:val="34"/>
    <w:qFormat/>
    <w:rsid w:val="009B0F5A"/>
    <w:pPr>
      <w:ind w:left="720"/>
      <w:contextualSpacing/>
    </w:pPr>
  </w:style>
  <w:style w:type="character" w:styleId="CommentReference">
    <w:name w:val="annotation reference"/>
    <w:basedOn w:val="DefaultParagraphFont"/>
    <w:rsid w:val="00783537"/>
    <w:rPr>
      <w:sz w:val="16"/>
      <w:szCs w:val="16"/>
    </w:rPr>
  </w:style>
  <w:style w:type="paragraph" w:styleId="CommentText">
    <w:name w:val="annotation text"/>
    <w:basedOn w:val="Normal"/>
    <w:link w:val="CommentTextChar"/>
    <w:rsid w:val="00783537"/>
    <w:rPr>
      <w:sz w:val="20"/>
      <w:szCs w:val="20"/>
    </w:rPr>
  </w:style>
  <w:style w:type="character" w:customStyle="1" w:styleId="CommentTextChar">
    <w:name w:val="Comment Text Char"/>
    <w:basedOn w:val="DefaultParagraphFont"/>
    <w:link w:val="CommentText"/>
    <w:rsid w:val="00783537"/>
  </w:style>
  <w:style w:type="paragraph" w:styleId="CommentSubject">
    <w:name w:val="annotation subject"/>
    <w:basedOn w:val="CommentText"/>
    <w:next w:val="CommentText"/>
    <w:link w:val="CommentSubjectChar"/>
    <w:rsid w:val="00783537"/>
    <w:rPr>
      <w:b/>
      <w:bCs/>
    </w:rPr>
  </w:style>
  <w:style w:type="character" w:customStyle="1" w:styleId="CommentSubjectChar">
    <w:name w:val="Comment Subject Char"/>
    <w:basedOn w:val="CommentTextChar"/>
    <w:link w:val="CommentSubject"/>
    <w:rsid w:val="00783537"/>
    <w:rPr>
      <w:b/>
      <w:bCs/>
    </w:rPr>
  </w:style>
  <w:style w:type="character" w:styleId="Hyperlink">
    <w:name w:val="Hyperlink"/>
    <w:basedOn w:val="DefaultParagraphFont"/>
    <w:unhideWhenUsed/>
    <w:rsid w:val="004646F3"/>
    <w:rPr>
      <w:color w:val="0000FF" w:themeColor="hyperlink"/>
      <w:u w:val="single"/>
    </w:rPr>
  </w:style>
  <w:style w:type="character" w:customStyle="1" w:styleId="UnresolvedMention1">
    <w:name w:val="Unresolved Mention1"/>
    <w:basedOn w:val="DefaultParagraphFont"/>
    <w:uiPriority w:val="99"/>
    <w:semiHidden/>
    <w:unhideWhenUsed/>
    <w:rsid w:val="004646F3"/>
    <w:rPr>
      <w:color w:val="808080"/>
      <w:shd w:val="clear" w:color="auto" w:fill="E6E6E6"/>
    </w:rPr>
  </w:style>
  <w:style w:type="character" w:styleId="FollowedHyperlink">
    <w:name w:val="FollowedHyperlink"/>
    <w:basedOn w:val="DefaultParagraphFont"/>
    <w:semiHidden/>
    <w:unhideWhenUsed/>
    <w:rsid w:val="00200A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75"/>
      </w:tabs>
      <w:outlineLvl w:val="0"/>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75"/>
      </w:tabs>
      <w:overflowPunct w:val="0"/>
      <w:autoSpaceDE w:val="0"/>
      <w:autoSpaceDN w:val="0"/>
      <w:adjustRightInd w:val="0"/>
      <w:jc w:val="center"/>
      <w:textAlignment w:val="baseline"/>
    </w:pPr>
    <w:rPr>
      <w:b/>
      <w:szCs w:val="20"/>
    </w:rPr>
  </w:style>
  <w:style w:type="paragraph" w:styleId="BalloonText">
    <w:name w:val="Balloon Text"/>
    <w:basedOn w:val="Normal"/>
    <w:link w:val="BalloonTextChar"/>
    <w:rsid w:val="00610DB1"/>
    <w:rPr>
      <w:rFonts w:ascii="Tahoma" w:hAnsi="Tahoma" w:cs="Tahoma"/>
      <w:sz w:val="16"/>
      <w:szCs w:val="16"/>
    </w:rPr>
  </w:style>
  <w:style w:type="character" w:customStyle="1" w:styleId="BalloonTextChar">
    <w:name w:val="Balloon Text Char"/>
    <w:basedOn w:val="DefaultParagraphFont"/>
    <w:link w:val="BalloonText"/>
    <w:rsid w:val="00610DB1"/>
    <w:rPr>
      <w:rFonts w:ascii="Tahoma" w:hAnsi="Tahoma" w:cs="Tahoma"/>
      <w:sz w:val="16"/>
      <w:szCs w:val="16"/>
    </w:rPr>
  </w:style>
  <w:style w:type="paragraph" w:styleId="ListParagraph">
    <w:name w:val="List Paragraph"/>
    <w:basedOn w:val="Normal"/>
    <w:uiPriority w:val="34"/>
    <w:qFormat/>
    <w:rsid w:val="009B0F5A"/>
    <w:pPr>
      <w:ind w:left="720"/>
      <w:contextualSpacing/>
    </w:pPr>
  </w:style>
  <w:style w:type="character" w:styleId="CommentReference">
    <w:name w:val="annotation reference"/>
    <w:basedOn w:val="DefaultParagraphFont"/>
    <w:rsid w:val="00783537"/>
    <w:rPr>
      <w:sz w:val="16"/>
      <w:szCs w:val="16"/>
    </w:rPr>
  </w:style>
  <w:style w:type="paragraph" w:styleId="CommentText">
    <w:name w:val="annotation text"/>
    <w:basedOn w:val="Normal"/>
    <w:link w:val="CommentTextChar"/>
    <w:rsid w:val="00783537"/>
    <w:rPr>
      <w:sz w:val="20"/>
      <w:szCs w:val="20"/>
    </w:rPr>
  </w:style>
  <w:style w:type="character" w:customStyle="1" w:styleId="CommentTextChar">
    <w:name w:val="Comment Text Char"/>
    <w:basedOn w:val="DefaultParagraphFont"/>
    <w:link w:val="CommentText"/>
    <w:rsid w:val="00783537"/>
  </w:style>
  <w:style w:type="paragraph" w:styleId="CommentSubject">
    <w:name w:val="annotation subject"/>
    <w:basedOn w:val="CommentText"/>
    <w:next w:val="CommentText"/>
    <w:link w:val="CommentSubjectChar"/>
    <w:rsid w:val="00783537"/>
    <w:rPr>
      <w:b/>
      <w:bCs/>
    </w:rPr>
  </w:style>
  <w:style w:type="character" w:customStyle="1" w:styleId="CommentSubjectChar">
    <w:name w:val="Comment Subject Char"/>
    <w:basedOn w:val="CommentTextChar"/>
    <w:link w:val="CommentSubject"/>
    <w:rsid w:val="00783537"/>
    <w:rPr>
      <w:b/>
      <w:bCs/>
    </w:rPr>
  </w:style>
  <w:style w:type="character" w:styleId="Hyperlink">
    <w:name w:val="Hyperlink"/>
    <w:basedOn w:val="DefaultParagraphFont"/>
    <w:unhideWhenUsed/>
    <w:rsid w:val="004646F3"/>
    <w:rPr>
      <w:color w:val="0000FF" w:themeColor="hyperlink"/>
      <w:u w:val="single"/>
    </w:rPr>
  </w:style>
  <w:style w:type="character" w:customStyle="1" w:styleId="UnresolvedMention1">
    <w:name w:val="Unresolved Mention1"/>
    <w:basedOn w:val="DefaultParagraphFont"/>
    <w:uiPriority w:val="99"/>
    <w:semiHidden/>
    <w:unhideWhenUsed/>
    <w:rsid w:val="004646F3"/>
    <w:rPr>
      <w:color w:val="808080"/>
      <w:shd w:val="clear" w:color="auto" w:fill="E6E6E6"/>
    </w:rPr>
  </w:style>
  <w:style w:type="character" w:styleId="FollowedHyperlink">
    <w:name w:val="FollowedHyperlink"/>
    <w:basedOn w:val="DefaultParagraphFont"/>
    <w:semiHidden/>
    <w:unhideWhenUsed/>
    <w:rsid w:val="00200A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36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pm.gov/policy-data-oversight/pay-leave/salaries-wages/salary-tables/pdf/2018/G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 VA FORM 28-1905</vt:lpstr>
    </vt:vector>
  </TitlesOfParts>
  <Company>VA</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dc:title>
  <dc:creator>vrelhorw</dc:creator>
  <cp:lastModifiedBy>SYSTEM</cp:lastModifiedBy>
  <cp:revision>2</cp:revision>
  <cp:lastPrinted>2011-06-22T17:43:00Z</cp:lastPrinted>
  <dcterms:created xsi:type="dcterms:W3CDTF">2019-02-27T13:16:00Z</dcterms:created>
  <dcterms:modified xsi:type="dcterms:W3CDTF">2019-02-27T13:16:00Z</dcterms:modified>
</cp:coreProperties>
</file>