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C53525" w:rsidRDefault="00C53525">
      <w:pPr>
        <w:tabs>
          <w:tab w:val="left" w:pos="360"/>
        </w:tabs>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6E8B" w:rsidRDefault="005F6E8B" w:rsidP="005F6E8B">
      <w:pPr>
        <w:rPr>
          <w:color w:val="000000"/>
          <w:sz w:val="24"/>
          <w:szCs w:val="24"/>
        </w:rPr>
      </w:pPr>
      <w:r w:rsidRPr="00F42B53">
        <w:rPr>
          <w:color w:val="000000"/>
          <w:sz w:val="24"/>
          <w:szCs w:val="24"/>
        </w:rPr>
        <w:tab/>
      </w:r>
    </w:p>
    <w:p w:rsidR="005F6E8B" w:rsidRDefault="005F6E8B" w:rsidP="00F82E31">
      <w:pPr>
        <w:ind w:firstLine="720"/>
        <w:rPr>
          <w:color w:val="000000"/>
          <w:sz w:val="24"/>
          <w:szCs w:val="24"/>
        </w:rPr>
      </w:pPr>
      <w:r w:rsidRPr="00F42B53">
        <w:rPr>
          <w:color w:val="000000"/>
          <w:sz w:val="24"/>
          <w:szCs w:val="24"/>
        </w:rPr>
        <w:t xml:space="preserve">The Native American Housing Assistance </w:t>
      </w:r>
      <w:r w:rsidR="00561440">
        <w:rPr>
          <w:color w:val="000000"/>
          <w:sz w:val="24"/>
          <w:szCs w:val="24"/>
        </w:rPr>
        <w:t xml:space="preserve">and </w:t>
      </w:r>
      <w:r w:rsidRPr="00F42B53">
        <w:rPr>
          <w:color w:val="000000"/>
          <w:sz w:val="24"/>
          <w:szCs w:val="24"/>
        </w:rPr>
        <w:t xml:space="preserve">Self-Determination </w:t>
      </w:r>
      <w:r w:rsidR="00D54B1C">
        <w:rPr>
          <w:color w:val="000000"/>
          <w:sz w:val="24"/>
          <w:szCs w:val="24"/>
        </w:rPr>
        <w:t>Reauthorization Act</w:t>
      </w:r>
      <w:r w:rsidRPr="00F42B53">
        <w:rPr>
          <w:color w:val="000000"/>
          <w:sz w:val="24"/>
          <w:szCs w:val="24"/>
        </w:rPr>
        <w:t xml:space="preserve"> (NAHASDA)</w:t>
      </w:r>
      <w:r w:rsidR="00422141">
        <w:rPr>
          <w:color w:val="000000"/>
          <w:sz w:val="24"/>
          <w:szCs w:val="24"/>
        </w:rPr>
        <w:t xml:space="preserve"> </w:t>
      </w:r>
      <w:r w:rsidR="00D54B1C">
        <w:rPr>
          <w:color w:val="000000"/>
          <w:sz w:val="24"/>
          <w:szCs w:val="24"/>
        </w:rPr>
        <w:t>authorizes</w:t>
      </w:r>
      <w:r w:rsidR="00561440">
        <w:rPr>
          <w:color w:val="000000"/>
          <w:sz w:val="24"/>
          <w:szCs w:val="24"/>
        </w:rPr>
        <w:t xml:space="preserve"> funding for the Indian Housing Block Grant (IHBG) program </w:t>
      </w:r>
      <w:r w:rsidR="00D54B1C">
        <w:rPr>
          <w:color w:val="000000"/>
          <w:sz w:val="24"/>
          <w:szCs w:val="24"/>
        </w:rPr>
        <w:t xml:space="preserve">that supports the development, management, and operation of affordable homeownership and rental housing; infrastructure development; and other forms of housing assistance intended for low-income persons.  </w:t>
      </w:r>
      <w:r w:rsidR="006A2EB2">
        <w:rPr>
          <w:color w:val="000000"/>
          <w:sz w:val="24"/>
          <w:szCs w:val="24"/>
        </w:rPr>
        <w:t>Federally-recognized Native American and Alaska Native tribes, tribally-designated housing entities, and the Department of Hawaiian Home Lands are eligible to receive IHBG funds</w:t>
      </w:r>
      <w:r w:rsidR="00020F12" w:rsidRPr="00422141">
        <w:rPr>
          <w:color w:val="000000"/>
          <w:sz w:val="24"/>
          <w:szCs w:val="24"/>
        </w:rPr>
        <w:t>.</w:t>
      </w:r>
      <w:r w:rsidR="00020F12">
        <w:rPr>
          <w:color w:val="000000"/>
          <w:sz w:val="24"/>
          <w:szCs w:val="24"/>
        </w:rPr>
        <w:t xml:space="preserve">  </w:t>
      </w:r>
      <w:r w:rsidR="00422141">
        <w:rPr>
          <w:color w:val="000000"/>
          <w:sz w:val="24"/>
          <w:szCs w:val="24"/>
        </w:rPr>
        <w:t xml:space="preserve">NAHASDA is a formula-driven program whereby eligible recipients receive an equitable share of funds as appropriated by Congress.  </w:t>
      </w:r>
    </w:p>
    <w:p w:rsidR="005F6E8B" w:rsidRPr="00F42B53" w:rsidRDefault="005F6E8B" w:rsidP="005F6E8B">
      <w:pPr>
        <w:ind w:firstLine="360"/>
        <w:rPr>
          <w:color w:val="000000"/>
          <w:sz w:val="24"/>
          <w:szCs w:val="24"/>
        </w:rPr>
      </w:pPr>
    </w:p>
    <w:p w:rsidR="0014773E" w:rsidRDefault="00CC1A0A" w:rsidP="00F82E31">
      <w:pPr>
        <w:ind w:firstLine="720"/>
        <w:rPr>
          <w:color w:val="000000"/>
          <w:sz w:val="24"/>
          <w:szCs w:val="24"/>
        </w:rPr>
      </w:pPr>
      <w:r>
        <w:rPr>
          <w:color w:val="000000"/>
          <w:sz w:val="24"/>
          <w:szCs w:val="24"/>
        </w:rPr>
        <w:t>Within 75 days of the beginning of its program year, a recipient</w:t>
      </w:r>
      <w:r w:rsidR="001F365B">
        <w:rPr>
          <w:color w:val="000000"/>
          <w:sz w:val="24"/>
          <w:szCs w:val="24"/>
        </w:rPr>
        <w:t xml:space="preserve"> of IHBG funds</w:t>
      </w:r>
      <w:r>
        <w:rPr>
          <w:color w:val="000000"/>
          <w:sz w:val="24"/>
          <w:szCs w:val="24"/>
        </w:rPr>
        <w:t xml:space="preserve"> is</w:t>
      </w:r>
      <w:r w:rsidR="005F6E8B" w:rsidRPr="00F42B53">
        <w:rPr>
          <w:color w:val="000000"/>
          <w:sz w:val="24"/>
          <w:szCs w:val="24"/>
        </w:rPr>
        <w:t xml:space="preserve"> </w:t>
      </w:r>
      <w:r w:rsidR="001F365B">
        <w:rPr>
          <w:color w:val="000000"/>
          <w:sz w:val="24"/>
          <w:szCs w:val="24"/>
        </w:rPr>
        <w:t xml:space="preserve">required </w:t>
      </w:r>
      <w:r w:rsidR="00D12EC4">
        <w:rPr>
          <w:color w:val="000000"/>
          <w:sz w:val="24"/>
          <w:szCs w:val="24"/>
        </w:rPr>
        <w:t xml:space="preserve">to submit </w:t>
      </w:r>
      <w:r>
        <w:rPr>
          <w:sz w:val="24"/>
          <w:szCs w:val="24"/>
        </w:rPr>
        <w:t xml:space="preserve">HUD-52737, </w:t>
      </w:r>
      <w:r w:rsidR="00D12EC4" w:rsidRPr="00D12EC4">
        <w:rPr>
          <w:i/>
          <w:sz w:val="24"/>
          <w:szCs w:val="24"/>
        </w:rPr>
        <w:t>Indian Housing Plan/Annual Performance Report</w:t>
      </w:r>
      <w:r w:rsidR="00D12EC4" w:rsidRPr="00D12EC4">
        <w:rPr>
          <w:sz w:val="24"/>
          <w:szCs w:val="24"/>
        </w:rPr>
        <w:t xml:space="preserve"> (IHP/APR</w:t>
      </w:r>
      <w:r w:rsidR="00D12EC4">
        <w:t>)</w:t>
      </w:r>
      <w:r w:rsidR="002B2D72">
        <w:t>,</w:t>
      </w:r>
      <w:r w:rsidR="002B2D72">
        <w:rPr>
          <w:color w:val="000000"/>
          <w:sz w:val="24"/>
          <w:szCs w:val="24"/>
        </w:rPr>
        <w:t xml:space="preserve"> which</w:t>
      </w:r>
      <w:r w:rsidR="005F6E8B" w:rsidRPr="00F42B53">
        <w:rPr>
          <w:color w:val="000000"/>
          <w:sz w:val="24"/>
          <w:szCs w:val="24"/>
        </w:rPr>
        <w:t xml:space="preserve"> </w:t>
      </w:r>
      <w:r w:rsidR="0014773E">
        <w:rPr>
          <w:color w:val="000000"/>
          <w:sz w:val="24"/>
          <w:szCs w:val="24"/>
        </w:rPr>
        <w:t xml:space="preserve">consists of two components.  The Indian Housing Plan </w:t>
      </w:r>
      <w:r w:rsidR="00BC2063">
        <w:rPr>
          <w:color w:val="000000"/>
          <w:sz w:val="24"/>
          <w:szCs w:val="24"/>
        </w:rPr>
        <w:t xml:space="preserve">(IHP) </w:t>
      </w:r>
      <w:r w:rsidR="0014773E">
        <w:rPr>
          <w:color w:val="000000"/>
          <w:sz w:val="24"/>
          <w:szCs w:val="24"/>
        </w:rPr>
        <w:t xml:space="preserve">component </w:t>
      </w:r>
      <w:r w:rsidR="0043335A">
        <w:rPr>
          <w:color w:val="000000"/>
          <w:sz w:val="24"/>
          <w:szCs w:val="24"/>
        </w:rPr>
        <w:t>describes the eligible IHBG-funded</w:t>
      </w:r>
      <w:r w:rsidR="00065991">
        <w:rPr>
          <w:color w:val="000000"/>
          <w:sz w:val="24"/>
          <w:szCs w:val="24"/>
        </w:rPr>
        <w:t>,</w:t>
      </w:r>
      <w:r w:rsidR="0043335A">
        <w:rPr>
          <w:color w:val="000000"/>
          <w:sz w:val="24"/>
          <w:szCs w:val="24"/>
        </w:rPr>
        <w:t xml:space="preserve"> affordable housing activities the recipient plans to conduct for the benefit of low and modera</w:t>
      </w:r>
      <w:r w:rsidR="00065991">
        <w:rPr>
          <w:color w:val="000000"/>
          <w:sz w:val="24"/>
          <w:szCs w:val="24"/>
        </w:rPr>
        <w:t>te income tribal members and identifies the</w:t>
      </w:r>
      <w:r w:rsidR="0043335A">
        <w:rPr>
          <w:color w:val="000000"/>
          <w:sz w:val="24"/>
          <w:szCs w:val="24"/>
        </w:rPr>
        <w:t xml:space="preserve"> intended outcomes and outputs for the upcoming 12-month </w:t>
      </w:r>
      <w:r w:rsidR="002B2D72">
        <w:rPr>
          <w:color w:val="000000"/>
          <w:sz w:val="24"/>
          <w:szCs w:val="24"/>
        </w:rPr>
        <w:t xml:space="preserve">program </w:t>
      </w:r>
      <w:r w:rsidR="0043335A">
        <w:rPr>
          <w:color w:val="000000"/>
          <w:sz w:val="24"/>
          <w:szCs w:val="24"/>
        </w:rPr>
        <w:t>year</w:t>
      </w:r>
      <w:r w:rsidR="0014773E">
        <w:rPr>
          <w:color w:val="000000"/>
          <w:sz w:val="24"/>
          <w:szCs w:val="24"/>
        </w:rPr>
        <w:t xml:space="preserve">.  </w:t>
      </w:r>
      <w:r w:rsidR="0014773E" w:rsidRPr="00F42B53">
        <w:rPr>
          <w:color w:val="000000"/>
          <w:sz w:val="24"/>
          <w:szCs w:val="24"/>
        </w:rPr>
        <w:t>At th</w:t>
      </w:r>
      <w:r w:rsidR="0043335A">
        <w:rPr>
          <w:color w:val="000000"/>
          <w:sz w:val="24"/>
          <w:szCs w:val="24"/>
        </w:rPr>
        <w:t>e end of the 12-month</w:t>
      </w:r>
      <w:r w:rsidR="0014773E" w:rsidRPr="00F42B53">
        <w:rPr>
          <w:color w:val="000000"/>
          <w:sz w:val="24"/>
          <w:szCs w:val="24"/>
        </w:rPr>
        <w:t xml:space="preserve"> peri</w:t>
      </w:r>
      <w:r w:rsidR="0043335A">
        <w:rPr>
          <w:color w:val="000000"/>
          <w:sz w:val="24"/>
          <w:szCs w:val="24"/>
        </w:rPr>
        <w:t>od</w:t>
      </w:r>
      <w:r w:rsidR="00CF688E">
        <w:rPr>
          <w:color w:val="000000"/>
          <w:sz w:val="24"/>
          <w:szCs w:val="24"/>
        </w:rPr>
        <w:t>,</w:t>
      </w:r>
      <w:r w:rsidR="0043335A">
        <w:rPr>
          <w:color w:val="000000"/>
          <w:sz w:val="24"/>
          <w:szCs w:val="24"/>
        </w:rPr>
        <w:t xml:space="preserve"> the recipient </w:t>
      </w:r>
      <w:r w:rsidR="0014773E">
        <w:rPr>
          <w:color w:val="000000"/>
          <w:sz w:val="24"/>
          <w:szCs w:val="24"/>
        </w:rPr>
        <w:t>submit</w:t>
      </w:r>
      <w:r w:rsidR="0043335A">
        <w:rPr>
          <w:color w:val="000000"/>
          <w:sz w:val="24"/>
          <w:szCs w:val="24"/>
        </w:rPr>
        <w:t>s</w:t>
      </w:r>
      <w:r w:rsidR="0014773E">
        <w:rPr>
          <w:color w:val="000000"/>
          <w:sz w:val="24"/>
          <w:szCs w:val="24"/>
        </w:rPr>
        <w:t xml:space="preserve"> the</w:t>
      </w:r>
      <w:r w:rsidR="0014773E" w:rsidRPr="00F42B53">
        <w:rPr>
          <w:color w:val="000000"/>
          <w:sz w:val="24"/>
          <w:szCs w:val="24"/>
        </w:rPr>
        <w:t xml:space="preserve"> </w:t>
      </w:r>
      <w:r w:rsidR="0014773E" w:rsidRPr="0014773E">
        <w:rPr>
          <w:iCs/>
          <w:color w:val="000000"/>
          <w:sz w:val="24"/>
          <w:szCs w:val="24"/>
        </w:rPr>
        <w:t xml:space="preserve">Annual Performance Report </w:t>
      </w:r>
      <w:r w:rsidR="00BC2063">
        <w:rPr>
          <w:iCs/>
          <w:color w:val="000000"/>
          <w:sz w:val="24"/>
          <w:szCs w:val="24"/>
        </w:rPr>
        <w:t xml:space="preserve">(APR) </w:t>
      </w:r>
      <w:r w:rsidR="0014773E">
        <w:rPr>
          <w:iCs/>
          <w:color w:val="000000"/>
          <w:sz w:val="24"/>
          <w:szCs w:val="24"/>
        </w:rPr>
        <w:t>component</w:t>
      </w:r>
      <w:r w:rsidR="0014773E">
        <w:rPr>
          <w:i/>
          <w:iCs/>
          <w:color w:val="000000"/>
          <w:sz w:val="24"/>
          <w:szCs w:val="24"/>
        </w:rPr>
        <w:t xml:space="preserve"> </w:t>
      </w:r>
      <w:r w:rsidR="0014773E" w:rsidRPr="00F42B53">
        <w:rPr>
          <w:color w:val="000000"/>
          <w:sz w:val="24"/>
          <w:szCs w:val="24"/>
        </w:rPr>
        <w:t xml:space="preserve">to </w:t>
      </w:r>
      <w:r w:rsidR="00CF688E">
        <w:rPr>
          <w:color w:val="000000"/>
          <w:sz w:val="24"/>
          <w:szCs w:val="24"/>
        </w:rPr>
        <w:t>describe (1) t</w:t>
      </w:r>
      <w:r w:rsidR="0014773E" w:rsidRPr="00F42B53">
        <w:rPr>
          <w:color w:val="000000"/>
          <w:sz w:val="24"/>
          <w:szCs w:val="24"/>
        </w:rPr>
        <w:t>he use of grant funds</w:t>
      </w:r>
      <w:r w:rsidR="00CF688E">
        <w:rPr>
          <w:color w:val="000000"/>
          <w:sz w:val="24"/>
          <w:szCs w:val="24"/>
        </w:rPr>
        <w:t xml:space="preserve"> during the prior 12-month period; (2)</w:t>
      </w:r>
      <w:r w:rsidR="0043335A">
        <w:rPr>
          <w:color w:val="000000"/>
          <w:sz w:val="24"/>
          <w:szCs w:val="24"/>
        </w:rPr>
        <w:t xml:space="preserve"> the actual outcomes and outputs achieved</w:t>
      </w:r>
      <w:r w:rsidR="00CF688E">
        <w:rPr>
          <w:color w:val="000000"/>
          <w:sz w:val="24"/>
          <w:szCs w:val="24"/>
        </w:rPr>
        <w:t xml:space="preserve">; (3) </w:t>
      </w:r>
      <w:r w:rsidR="0014773E" w:rsidRPr="00F42B53">
        <w:rPr>
          <w:color w:val="000000"/>
          <w:sz w:val="24"/>
          <w:szCs w:val="24"/>
        </w:rPr>
        <w:t xml:space="preserve">program accomplishments; and (4) </w:t>
      </w:r>
      <w:r w:rsidR="00CF688E">
        <w:rPr>
          <w:color w:val="000000"/>
          <w:sz w:val="24"/>
          <w:szCs w:val="24"/>
        </w:rPr>
        <w:t xml:space="preserve">jobs supported by IHBG-funded activities.  </w:t>
      </w:r>
      <w:r w:rsidR="0014773E" w:rsidRPr="00F42B53">
        <w:rPr>
          <w:color w:val="000000"/>
          <w:sz w:val="24"/>
          <w:szCs w:val="24"/>
        </w:rPr>
        <w:t>(NAHASDA §</w:t>
      </w:r>
      <w:r w:rsidR="00BC2063" w:rsidRPr="00F42B53">
        <w:rPr>
          <w:color w:val="000000"/>
          <w:sz w:val="24"/>
          <w:szCs w:val="24"/>
        </w:rPr>
        <w:t xml:space="preserve">§ </w:t>
      </w:r>
      <w:r w:rsidR="00BC2063">
        <w:rPr>
          <w:color w:val="000000"/>
          <w:sz w:val="24"/>
          <w:szCs w:val="24"/>
        </w:rPr>
        <w:t xml:space="preserve">102 and </w:t>
      </w:r>
      <w:r w:rsidR="0014773E" w:rsidRPr="00F42B53">
        <w:rPr>
          <w:color w:val="000000"/>
          <w:sz w:val="24"/>
          <w:szCs w:val="24"/>
        </w:rPr>
        <w:t>404).</w:t>
      </w:r>
    </w:p>
    <w:p w:rsidR="004477D1" w:rsidRDefault="004477D1" w:rsidP="00F82E31">
      <w:pPr>
        <w:ind w:firstLine="720"/>
        <w:rPr>
          <w:color w:val="000000"/>
          <w:sz w:val="24"/>
          <w:szCs w:val="24"/>
        </w:rPr>
      </w:pPr>
    </w:p>
    <w:p w:rsidR="004477D1" w:rsidRDefault="006A2EB2" w:rsidP="004477D1">
      <w:pPr>
        <w:ind w:firstLine="720"/>
        <w:rPr>
          <w:color w:val="000000"/>
          <w:sz w:val="24"/>
          <w:szCs w:val="24"/>
        </w:rPr>
      </w:pPr>
      <w:r>
        <w:rPr>
          <w:sz w:val="24"/>
          <w:szCs w:val="24"/>
        </w:rPr>
        <w:t xml:space="preserve">The IHP/APR </w:t>
      </w:r>
      <w:r w:rsidR="004477D1" w:rsidRPr="008600E8">
        <w:rPr>
          <w:sz w:val="24"/>
          <w:szCs w:val="24"/>
        </w:rPr>
        <w:t>is currently av</w:t>
      </w:r>
      <w:r w:rsidR="00944409">
        <w:rPr>
          <w:sz w:val="24"/>
          <w:szCs w:val="24"/>
        </w:rPr>
        <w:t xml:space="preserve">ailable in </w:t>
      </w:r>
      <w:r w:rsidR="002B2D72">
        <w:rPr>
          <w:sz w:val="24"/>
          <w:szCs w:val="24"/>
        </w:rPr>
        <w:t xml:space="preserve">an </w:t>
      </w:r>
      <w:r w:rsidR="004477D1" w:rsidRPr="008600E8">
        <w:rPr>
          <w:sz w:val="24"/>
          <w:szCs w:val="24"/>
        </w:rPr>
        <w:t xml:space="preserve">Excel </w:t>
      </w:r>
      <w:r w:rsidR="00D32BE8">
        <w:rPr>
          <w:sz w:val="24"/>
          <w:szCs w:val="24"/>
        </w:rPr>
        <w:t xml:space="preserve">version </w:t>
      </w:r>
      <w:r w:rsidR="002B2D72" w:rsidRPr="002B2D72">
        <w:rPr>
          <w:sz w:val="24"/>
          <w:szCs w:val="24"/>
        </w:rPr>
        <w:t>and a version on HUD’s Energy and Performance Information Center (EPIC) website</w:t>
      </w:r>
      <w:r w:rsidR="002B2D72">
        <w:t xml:space="preserve">.  </w:t>
      </w:r>
      <w:r w:rsidR="00944409">
        <w:rPr>
          <w:color w:val="000000"/>
          <w:sz w:val="24"/>
          <w:szCs w:val="24"/>
        </w:rPr>
        <w:t>The two</w:t>
      </w:r>
      <w:r>
        <w:rPr>
          <w:color w:val="000000"/>
          <w:sz w:val="24"/>
          <w:szCs w:val="24"/>
        </w:rPr>
        <w:t xml:space="preserve"> versions of the IHP/APR</w:t>
      </w:r>
      <w:r w:rsidR="002B2D72">
        <w:rPr>
          <w:color w:val="000000"/>
          <w:sz w:val="24"/>
          <w:szCs w:val="24"/>
        </w:rPr>
        <w:t xml:space="preserve"> request the same information and a recipient may elect to </w:t>
      </w:r>
      <w:r w:rsidR="004477D1" w:rsidRPr="008600E8">
        <w:rPr>
          <w:color w:val="000000"/>
          <w:sz w:val="24"/>
          <w:szCs w:val="24"/>
        </w:rPr>
        <w:t>su</w:t>
      </w:r>
      <w:r w:rsidR="00944409">
        <w:rPr>
          <w:color w:val="000000"/>
          <w:sz w:val="24"/>
          <w:szCs w:val="24"/>
        </w:rPr>
        <w:t xml:space="preserve">bmit to HUD either the </w:t>
      </w:r>
      <w:r w:rsidR="004477D1" w:rsidRPr="008600E8">
        <w:rPr>
          <w:color w:val="000000"/>
          <w:sz w:val="24"/>
          <w:szCs w:val="24"/>
        </w:rPr>
        <w:t>Excel</w:t>
      </w:r>
      <w:r w:rsidR="002B2D72">
        <w:rPr>
          <w:color w:val="000000"/>
          <w:sz w:val="24"/>
          <w:szCs w:val="24"/>
        </w:rPr>
        <w:t xml:space="preserve"> or EPIC</w:t>
      </w:r>
      <w:r w:rsidR="004477D1" w:rsidRPr="008600E8">
        <w:rPr>
          <w:color w:val="000000"/>
          <w:sz w:val="24"/>
          <w:szCs w:val="24"/>
        </w:rPr>
        <w:t xml:space="preserve"> versions</w:t>
      </w:r>
      <w:r w:rsidR="00944409">
        <w:rPr>
          <w:color w:val="000000"/>
          <w:sz w:val="24"/>
          <w:szCs w:val="24"/>
        </w:rPr>
        <w:t>.</w:t>
      </w:r>
      <w:r w:rsidR="00D7211F">
        <w:rPr>
          <w:color w:val="000000"/>
          <w:sz w:val="24"/>
          <w:szCs w:val="24"/>
        </w:rPr>
        <w:t xml:space="preserve"> </w:t>
      </w:r>
    </w:p>
    <w:p w:rsidR="00F82E31" w:rsidRDefault="00F82E31" w:rsidP="00115079">
      <w:pPr>
        <w:rPr>
          <w:color w:val="000000"/>
          <w:sz w:val="24"/>
          <w:szCs w:val="24"/>
        </w:rPr>
      </w:pPr>
    </w:p>
    <w:p w:rsidR="007168C1" w:rsidRDefault="007168C1" w:rsidP="00F82E31">
      <w:pPr>
        <w:ind w:firstLine="720"/>
        <w:rPr>
          <w:color w:val="000000"/>
          <w:sz w:val="24"/>
          <w:szCs w:val="24"/>
        </w:rPr>
      </w:pPr>
      <w:r>
        <w:rPr>
          <w:color w:val="000000"/>
          <w:sz w:val="24"/>
          <w:szCs w:val="24"/>
        </w:rPr>
        <w:t xml:space="preserve">IHBG recipients are responsible for notifying HUD of changes to the Formula Current Assisted Stock (FCAS) component of the IHBG formula.  HUD is notified of changes in the FCAS through the </w:t>
      </w:r>
      <w:r w:rsidRPr="007168C1">
        <w:rPr>
          <w:i/>
          <w:color w:val="000000"/>
          <w:sz w:val="24"/>
          <w:szCs w:val="24"/>
        </w:rPr>
        <w:t xml:space="preserve">Formula Response Form </w:t>
      </w:r>
      <w:r>
        <w:rPr>
          <w:color w:val="000000"/>
          <w:sz w:val="24"/>
          <w:szCs w:val="24"/>
        </w:rPr>
        <w:t xml:space="preserve">(HUD-4117).  IHBG recipients or HUD may challenge the data from the U.S. Decennial Census or provide an alternative source of data by submitting the </w:t>
      </w:r>
      <w:r w:rsidRPr="00D32BE8">
        <w:rPr>
          <w:i/>
          <w:color w:val="000000"/>
          <w:sz w:val="24"/>
          <w:szCs w:val="24"/>
        </w:rPr>
        <w:t>Guidelines for Challenging U.S. Decennial Census Data Document</w:t>
      </w:r>
      <w:r>
        <w:rPr>
          <w:color w:val="000000"/>
          <w:sz w:val="24"/>
          <w:szCs w:val="24"/>
        </w:rPr>
        <w:t xml:space="preserve">.  Census challenges </w:t>
      </w:r>
      <w:r w:rsidR="00F82E31">
        <w:rPr>
          <w:color w:val="000000"/>
          <w:sz w:val="24"/>
          <w:szCs w:val="24"/>
        </w:rPr>
        <w:t>(HUD-</w:t>
      </w:r>
      <w:r w:rsidR="00BC2063">
        <w:rPr>
          <w:color w:val="000000"/>
          <w:sz w:val="24"/>
          <w:szCs w:val="24"/>
        </w:rPr>
        <w:t xml:space="preserve">4119) </w:t>
      </w:r>
      <w:r>
        <w:rPr>
          <w:color w:val="000000"/>
          <w:sz w:val="24"/>
          <w:szCs w:val="24"/>
        </w:rPr>
        <w:t xml:space="preserve">are due to HUD by </w:t>
      </w:r>
      <w:r w:rsidR="00DF0E51">
        <w:rPr>
          <w:color w:val="000000"/>
          <w:sz w:val="24"/>
          <w:szCs w:val="24"/>
        </w:rPr>
        <w:t>March 30</w:t>
      </w:r>
      <w:r w:rsidR="00DF0E51" w:rsidRPr="00DF0E51">
        <w:rPr>
          <w:color w:val="000000"/>
          <w:sz w:val="24"/>
          <w:szCs w:val="24"/>
          <w:vertAlign w:val="superscript"/>
        </w:rPr>
        <w:t>th</w:t>
      </w:r>
      <w:r>
        <w:rPr>
          <w:color w:val="000000"/>
          <w:sz w:val="24"/>
          <w:szCs w:val="24"/>
        </w:rPr>
        <w:t xml:space="preserve"> of each fiscal year, as stipulated at 24 CFR </w:t>
      </w:r>
      <w:r w:rsidRPr="00F42B53">
        <w:rPr>
          <w:color w:val="000000"/>
          <w:sz w:val="24"/>
          <w:szCs w:val="24"/>
        </w:rPr>
        <w:t>§</w:t>
      </w:r>
      <w:r>
        <w:rPr>
          <w:color w:val="000000"/>
          <w:sz w:val="24"/>
          <w:szCs w:val="24"/>
        </w:rPr>
        <w:t xml:space="preserve"> 1000.336.  </w:t>
      </w:r>
    </w:p>
    <w:p w:rsidR="00D67737" w:rsidRDefault="00D67737" w:rsidP="00F82E31">
      <w:pPr>
        <w:ind w:firstLine="720"/>
        <w:rPr>
          <w:color w:val="000000"/>
          <w:sz w:val="24"/>
          <w:szCs w:val="24"/>
        </w:rPr>
      </w:pPr>
    </w:p>
    <w:p w:rsidR="00D67737" w:rsidRDefault="00D67737" w:rsidP="00F82E31">
      <w:pPr>
        <w:ind w:firstLine="720"/>
        <w:rPr>
          <w:color w:val="000000"/>
          <w:sz w:val="24"/>
          <w:szCs w:val="24"/>
        </w:rPr>
      </w:pPr>
      <w:r>
        <w:rPr>
          <w:color w:val="000000"/>
          <w:sz w:val="24"/>
          <w:szCs w:val="24"/>
        </w:rPr>
        <w:t xml:space="preserve">IHBG recipients have the option of investing IHBG funds in eligible instruments with bankers and brokers by using the Depository Agreement for bankers (HUD-52736-A) and the Depository Agreement for brokers (HUD-52736-B). These agreements may be executed at any time. </w:t>
      </w:r>
    </w:p>
    <w:p w:rsidR="007A1939" w:rsidRDefault="007A1939" w:rsidP="00491DB6">
      <w:pPr>
        <w:rPr>
          <w:color w:val="000000"/>
          <w:sz w:val="24"/>
          <w:szCs w:val="24"/>
        </w:rPr>
      </w:pPr>
    </w:p>
    <w:p w:rsidR="00C53525" w:rsidRDefault="00C53525" w:rsidP="007A1939">
      <w:pPr>
        <w:tabs>
          <w:tab w:val="left" w:pos="360"/>
        </w:tabs>
        <w:rPr>
          <w:sz w:val="18"/>
        </w:rPr>
      </w:pPr>
    </w:p>
    <w:p w:rsidR="00C53525" w:rsidRDefault="00C53525">
      <w:pPr>
        <w:tabs>
          <w:tab w:val="left" w:pos="360"/>
        </w:tabs>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C53525" w:rsidRDefault="00C53525">
      <w:pPr>
        <w:rPr>
          <w:rFonts w:ascii="Arial" w:hAnsi="Arial"/>
          <w:sz w:val="24"/>
        </w:rPr>
      </w:pPr>
    </w:p>
    <w:p w:rsidR="00893393" w:rsidRDefault="00893393" w:rsidP="00893393">
      <w:pPr>
        <w:ind w:firstLine="720"/>
        <w:rPr>
          <w:color w:val="000000"/>
          <w:sz w:val="24"/>
          <w:szCs w:val="24"/>
        </w:rPr>
      </w:pPr>
      <w:r w:rsidRPr="00652C65">
        <w:rPr>
          <w:color w:val="000000"/>
          <w:sz w:val="24"/>
          <w:szCs w:val="24"/>
        </w:rPr>
        <w:t xml:space="preserve">IHBG </w:t>
      </w:r>
      <w:r>
        <w:rPr>
          <w:color w:val="000000"/>
          <w:sz w:val="24"/>
          <w:szCs w:val="24"/>
        </w:rPr>
        <w:t xml:space="preserve">recipients </w:t>
      </w:r>
      <w:r w:rsidRPr="00652C65">
        <w:rPr>
          <w:color w:val="000000"/>
          <w:sz w:val="24"/>
          <w:szCs w:val="24"/>
        </w:rPr>
        <w:t>are required to submit periodic information to demonstrate compliance with eligibility and other requirements of NAHASDA and for HUD’s annual report to Congress.</w:t>
      </w:r>
      <w:r>
        <w:rPr>
          <w:color w:val="000000"/>
          <w:sz w:val="24"/>
          <w:szCs w:val="24"/>
        </w:rPr>
        <w:t xml:space="preserve"> The quality assurance of data reported is a very important issue in maintaining HUD’s databases used to monitor a recipient’s performance, determine program compliance, and to ensure fair and equitable IHBG allocations.  HUD uses IHP data to verify that plan</w:t>
      </w:r>
      <w:r w:rsidR="00A24526">
        <w:rPr>
          <w:color w:val="000000"/>
          <w:sz w:val="24"/>
          <w:szCs w:val="24"/>
        </w:rPr>
        <w:t xml:space="preserve">ned activities are eligible, </w:t>
      </w:r>
      <w:r>
        <w:rPr>
          <w:color w:val="000000"/>
          <w:sz w:val="24"/>
          <w:szCs w:val="24"/>
        </w:rPr>
        <w:t>expenditures are reasonable</w:t>
      </w:r>
      <w:r w:rsidR="00A24526">
        <w:rPr>
          <w:color w:val="000000"/>
          <w:sz w:val="24"/>
          <w:szCs w:val="24"/>
        </w:rPr>
        <w:t xml:space="preserve">, and </w:t>
      </w:r>
      <w:r w:rsidR="00A24526" w:rsidRPr="00A24526">
        <w:rPr>
          <w:sz w:val="24"/>
          <w:szCs w:val="24"/>
        </w:rPr>
        <w:t>recipient certifies compliance with related requirements.</w:t>
      </w:r>
      <w:r w:rsidR="00A24526" w:rsidRPr="00911C00">
        <w:t xml:space="preserve">  </w:t>
      </w:r>
      <w:r>
        <w:rPr>
          <w:color w:val="000000"/>
          <w:sz w:val="24"/>
          <w:szCs w:val="24"/>
        </w:rPr>
        <w:t>HUD uses APR data to audit the program</w:t>
      </w:r>
      <w:r w:rsidR="00B406FB">
        <w:rPr>
          <w:color w:val="000000"/>
          <w:sz w:val="24"/>
          <w:szCs w:val="24"/>
        </w:rPr>
        <w:t>’s</w:t>
      </w:r>
      <w:r>
        <w:rPr>
          <w:color w:val="000000"/>
          <w:sz w:val="24"/>
          <w:szCs w:val="24"/>
        </w:rPr>
        <w:t xml:space="preserve"> accura</w:t>
      </w:r>
      <w:r w:rsidR="00B406FB">
        <w:rPr>
          <w:color w:val="000000"/>
          <w:sz w:val="24"/>
          <w:szCs w:val="24"/>
        </w:rPr>
        <w:t>cy</w:t>
      </w:r>
      <w:r>
        <w:rPr>
          <w:color w:val="000000"/>
          <w:sz w:val="24"/>
          <w:szCs w:val="24"/>
        </w:rPr>
        <w:t xml:space="preserve"> and monitor recipient progress in completing approved activities, including reported expenditures, outputs, and outcomes.  HUD conducts </w:t>
      </w:r>
      <w:r w:rsidR="00B406FB">
        <w:rPr>
          <w:color w:val="000000"/>
          <w:sz w:val="24"/>
          <w:szCs w:val="24"/>
        </w:rPr>
        <w:t xml:space="preserve">a </w:t>
      </w:r>
      <w:r>
        <w:rPr>
          <w:color w:val="000000"/>
          <w:sz w:val="24"/>
          <w:szCs w:val="24"/>
        </w:rPr>
        <w:t xml:space="preserve">statistical analysis of APR data to compare a recipient’s prior performance and conduct regional and national data analysis for internal use and Congressional reporting.  APR data has been effective in documenting ineligible uses of IHBG funds that HUD determined were disallowed costs and recaptured.  HUD uses the </w:t>
      </w:r>
      <w:r>
        <w:rPr>
          <w:color w:val="000000"/>
          <w:sz w:val="24"/>
          <w:szCs w:val="24"/>
        </w:rPr>
        <w:lastRenderedPageBreak/>
        <w:t>Formula Correction and Formula Challenge form</w:t>
      </w:r>
      <w:r w:rsidR="00B406FB">
        <w:rPr>
          <w:color w:val="000000"/>
          <w:sz w:val="24"/>
          <w:szCs w:val="24"/>
        </w:rPr>
        <w:t>s</w:t>
      </w:r>
      <w:r>
        <w:rPr>
          <w:color w:val="000000"/>
          <w:sz w:val="24"/>
          <w:szCs w:val="24"/>
        </w:rPr>
        <w:t xml:space="preserve"> to ensure that IHBG funds are allocated accurately.  Updated FCAS information addressing the conveyances and conversion of units has resulted in the recapture of funds.  </w:t>
      </w:r>
    </w:p>
    <w:p w:rsidR="00B24E6F" w:rsidRDefault="00B24E6F" w:rsidP="00893393">
      <w:pPr>
        <w:ind w:firstLine="720"/>
        <w:rPr>
          <w:color w:val="000000"/>
          <w:sz w:val="24"/>
          <w:szCs w:val="24"/>
        </w:rPr>
      </w:pPr>
    </w:p>
    <w:p w:rsidR="00B24E6F" w:rsidRPr="00B24E6F" w:rsidRDefault="00B24E6F" w:rsidP="00893393">
      <w:pPr>
        <w:ind w:firstLine="720"/>
        <w:rPr>
          <w:sz w:val="24"/>
          <w:szCs w:val="24"/>
        </w:rPr>
      </w:pPr>
      <w:r w:rsidRPr="00B24E6F">
        <w:rPr>
          <w:sz w:val="24"/>
          <w:szCs w:val="24"/>
        </w:rPr>
        <w:t xml:space="preserve">In conducting statistical analysis of each recipient’s data, HUD compares a recipient’s </w:t>
      </w:r>
      <w:r w:rsidR="00B406FB">
        <w:rPr>
          <w:sz w:val="24"/>
          <w:szCs w:val="24"/>
        </w:rPr>
        <w:t>APR</w:t>
      </w:r>
      <w:r w:rsidRPr="00B24E6F">
        <w:rPr>
          <w:sz w:val="24"/>
          <w:szCs w:val="24"/>
        </w:rPr>
        <w:t xml:space="preserve"> data with what the recipient planned to accomplish as described in its Indian Housing Plan.  The purpose of this analysis is to verify whether the recipient is making timely progress in completing the activities described in the Indian Housing Plan.  Specifically, HUD analyzes outputs including the number of housing units completed, number of households served, and number of acres acquired for low income housing development.  HUD also analyzes expenditure data for reasonableness compared to the accomplishments, and compares the planned uses of Indian Housing Block Grant and Native Hawaiian Housing Block Grant funds with actual uses of these funds. </w:t>
      </w:r>
    </w:p>
    <w:p w:rsidR="00B24E6F" w:rsidRPr="00B24E6F" w:rsidRDefault="00B24E6F" w:rsidP="00893393">
      <w:pPr>
        <w:ind w:firstLine="720"/>
        <w:rPr>
          <w:sz w:val="24"/>
          <w:szCs w:val="24"/>
        </w:rPr>
      </w:pPr>
    </w:p>
    <w:p w:rsidR="00B24E6F" w:rsidRPr="00B24E6F" w:rsidRDefault="00B24E6F" w:rsidP="00893393">
      <w:pPr>
        <w:ind w:firstLine="720"/>
        <w:rPr>
          <w:sz w:val="24"/>
          <w:szCs w:val="24"/>
        </w:rPr>
      </w:pPr>
      <w:r w:rsidRPr="00B24E6F">
        <w:rPr>
          <w:sz w:val="24"/>
          <w:szCs w:val="24"/>
        </w:rPr>
        <w:t>HUD calculates summary performance data on the regional and national levels.  Data includes total number of houses rehabilitated, c</w:t>
      </w:r>
      <w:r w:rsidR="00D67737">
        <w:rPr>
          <w:sz w:val="24"/>
          <w:szCs w:val="24"/>
        </w:rPr>
        <w:t>onstructed, and acquired; total</w:t>
      </w:r>
      <w:r w:rsidRPr="00B24E6F">
        <w:rPr>
          <w:sz w:val="24"/>
          <w:szCs w:val="24"/>
        </w:rPr>
        <w:t xml:space="preserve"> number of households served; and total number of acres acquired for low income housing development.  HUD also calculates the amount of Indian Housing Block Grant and Native Hawaiian Housing Block Grant funds expended and unexpended, as well as the volume of loan guarantees and leveraged funds. </w:t>
      </w:r>
    </w:p>
    <w:p w:rsidR="00B24E6F" w:rsidRPr="00B24E6F" w:rsidRDefault="00B24E6F" w:rsidP="00893393">
      <w:pPr>
        <w:ind w:firstLine="720"/>
        <w:rPr>
          <w:sz w:val="24"/>
          <w:szCs w:val="24"/>
        </w:rPr>
      </w:pPr>
    </w:p>
    <w:p w:rsidR="00B24E6F" w:rsidRPr="00B24E6F" w:rsidRDefault="00B24E6F" w:rsidP="00893393">
      <w:pPr>
        <w:ind w:firstLine="720"/>
        <w:rPr>
          <w:sz w:val="24"/>
          <w:szCs w:val="24"/>
        </w:rPr>
      </w:pPr>
      <w:r w:rsidRPr="00B24E6F">
        <w:rPr>
          <w:sz w:val="24"/>
          <w:szCs w:val="24"/>
        </w:rPr>
        <w:t xml:space="preserve">The results of the statistical analysis are used for annual Congressional reporting and for internal planning and evaluation purposes.  </w:t>
      </w:r>
    </w:p>
    <w:p w:rsidR="005F6E8B" w:rsidRDefault="005F6E8B">
      <w:pPr>
        <w:rPr>
          <w:rFonts w:ascii="Arial" w:hAnsi="Arial"/>
          <w:sz w:val="24"/>
        </w:rPr>
      </w:pPr>
    </w:p>
    <w:p w:rsidR="00C53525" w:rsidRDefault="00C53525">
      <w:pPr>
        <w:tabs>
          <w:tab w:val="left" w:pos="360"/>
        </w:tabs>
        <w:rPr>
          <w:sz w:val="18"/>
        </w:rPr>
      </w:pPr>
    </w:p>
    <w:p w:rsidR="00C53525" w:rsidRDefault="00C53525">
      <w:pPr>
        <w:tabs>
          <w:tab w:val="left" w:pos="360"/>
        </w:tabs>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3525" w:rsidRDefault="00C53525">
      <w:pPr>
        <w:tabs>
          <w:tab w:val="left" w:pos="360"/>
          <w:tab w:val="left" w:pos="720"/>
        </w:tabs>
        <w:ind w:left="360"/>
        <w:rPr>
          <w:sz w:val="18"/>
        </w:rPr>
      </w:pPr>
    </w:p>
    <w:p w:rsidR="00F82E31" w:rsidRDefault="00944409" w:rsidP="00F82E31">
      <w:pPr>
        <w:ind w:firstLine="720"/>
        <w:rPr>
          <w:color w:val="000000"/>
          <w:sz w:val="24"/>
          <w:szCs w:val="24"/>
        </w:rPr>
      </w:pPr>
      <w:r>
        <w:rPr>
          <w:color w:val="000000"/>
          <w:sz w:val="24"/>
          <w:szCs w:val="24"/>
        </w:rPr>
        <w:t>Approximately 90</w:t>
      </w:r>
      <w:r w:rsidR="00352400" w:rsidRPr="00F82E31">
        <w:rPr>
          <w:color w:val="000000"/>
          <w:sz w:val="24"/>
          <w:szCs w:val="24"/>
        </w:rPr>
        <w:t>% of IHBG recipients submit information electr</w:t>
      </w:r>
      <w:r w:rsidR="00D4606C" w:rsidRPr="00F82E31">
        <w:rPr>
          <w:color w:val="000000"/>
          <w:sz w:val="24"/>
          <w:szCs w:val="24"/>
        </w:rPr>
        <w:t>onically</w:t>
      </w:r>
      <w:r>
        <w:rPr>
          <w:color w:val="000000"/>
          <w:sz w:val="24"/>
          <w:szCs w:val="24"/>
        </w:rPr>
        <w:t xml:space="preserve">. </w:t>
      </w:r>
      <w:r w:rsidR="002B2D72">
        <w:rPr>
          <w:color w:val="000000"/>
          <w:sz w:val="24"/>
          <w:szCs w:val="24"/>
        </w:rPr>
        <w:t>ONAP expects 90% of the Excel version of the form</w:t>
      </w:r>
      <w:r w:rsidR="002B2D72" w:rsidRPr="00204577">
        <w:rPr>
          <w:color w:val="000000"/>
          <w:sz w:val="24"/>
          <w:szCs w:val="24"/>
        </w:rPr>
        <w:t xml:space="preserve"> t</w:t>
      </w:r>
      <w:r>
        <w:rPr>
          <w:color w:val="000000"/>
          <w:sz w:val="24"/>
          <w:szCs w:val="24"/>
        </w:rPr>
        <w:t xml:space="preserve">o be submitted electronically. </w:t>
      </w:r>
      <w:r w:rsidR="00D32BE8">
        <w:rPr>
          <w:color w:val="000000"/>
          <w:sz w:val="24"/>
          <w:szCs w:val="24"/>
        </w:rPr>
        <w:t>All IHP/APRs</w:t>
      </w:r>
      <w:r w:rsidR="002B2D72">
        <w:rPr>
          <w:color w:val="000000"/>
          <w:sz w:val="24"/>
          <w:szCs w:val="24"/>
        </w:rPr>
        <w:t xml:space="preserve"> submitted on the EPIC website will be electronic.  </w:t>
      </w:r>
    </w:p>
    <w:p w:rsidR="00F82E31" w:rsidRDefault="00F82E31" w:rsidP="00F82E31">
      <w:pPr>
        <w:ind w:firstLine="360"/>
        <w:rPr>
          <w:color w:val="000000"/>
          <w:sz w:val="24"/>
          <w:szCs w:val="24"/>
        </w:rPr>
      </w:pPr>
    </w:p>
    <w:p w:rsidR="00352400" w:rsidRDefault="00F82E31" w:rsidP="00F82E31">
      <w:pPr>
        <w:ind w:firstLine="720"/>
        <w:rPr>
          <w:color w:val="000000"/>
          <w:sz w:val="24"/>
          <w:szCs w:val="24"/>
        </w:rPr>
      </w:pPr>
      <w:r w:rsidRPr="008600E8">
        <w:rPr>
          <w:color w:val="000000"/>
          <w:sz w:val="24"/>
          <w:szCs w:val="24"/>
        </w:rPr>
        <w:t xml:space="preserve">The Excel </w:t>
      </w:r>
      <w:r w:rsidR="002B2D72">
        <w:rPr>
          <w:color w:val="000000"/>
          <w:sz w:val="24"/>
          <w:szCs w:val="24"/>
        </w:rPr>
        <w:t xml:space="preserve">and EPIC </w:t>
      </w:r>
      <w:r w:rsidRPr="008600E8">
        <w:rPr>
          <w:color w:val="000000"/>
          <w:sz w:val="24"/>
          <w:szCs w:val="24"/>
        </w:rPr>
        <w:t>version</w:t>
      </w:r>
      <w:r w:rsidR="002B2D72">
        <w:rPr>
          <w:color w:val="000000"/>
          <w:sz w:val="24"/>
          <w:szCs w:val="24"/>
        </w:rPr>
        <w:t>s</w:t>
      </w:r>
      <w:r w:rsidRPr="008600E8">
        <w:rPr>
          <w:color w:val="000000"/>
          <w:sz w:val="24"/>
          <w:szCs w:val="24"/>
        </w:rPr>
        <w:t xml:space="preserve"> </w:t>
      </w:r>
      <w:r w:rsidR="00D32BE8">
        <w:rPr>
          <w:color w:val="000000"/>
          <w:sz w:val="24"/>
          <w:szCs w:val="24"/>
        </w:rPr>
        <w:t xml:space="preserve">of the IHP/APR contain numerous automated enhancements such as </w:t>
      </w:r>
      <w:r w:rsidRPr="008600E8">
        <w:rPr>
          <w:color w:val="000000"/>
          <w:sz w:val="24"/>
          <w:szCs w:val="24"/>
        </w:rPr>
        <w:t xml:space="preserve">drop-down menus, check boxes, auto-filling data fields, columns and rows </w:t>
      </w:r>
      <w:r w:rsidR="00D32BE8">
        <w:rPr>
          <w:color w:val="000000"/>
          <w:sz w:val="24"/>
          <w:szCs w:val="24"/>
        </w:rPr>
        <w:t xml:space="preserve">that total automatically, and </w:t>
      </w:r>
      <w:r w:rsidRPr="008600E8">
        <w:rPr>
          <w:color w:val="000000"/>
          <w:sz w:val="24"/>
          <w:szCs w:val="24"/>
        </w:rPr>
        <w:t xml:space="preserve">data quality </w:t>
      </w:r>
      <w:r w:rsidR="00D32BE8">
        <w:rPr>
          <w:color w:val="000000"/>
          <w:sz w:val="24"/>
          <w:szCs w:val="24"/>
        </w:rPr>
        <w:t>checks</w:t>
      </w:r>
      <w:r w:rsidRPr="008600E8">
        <w:rPr>
          <w:color w:val="000000"/>
          <w:sz w:val="24"/>
          <w:szCs w:val="24"/>
        </w:rPr>
        <w:t xml:space="preserve">.  These automated enhancements make the Excel </w:t>
      </w:r>
      <w:r w:rsidR="00D32BE8">
        <w:rPr>
          <w:color w:val="000000"/>
          <w:sz w:val="24"/>
          <w:szCs w:val="24"/>
        </w:rPr>
        <w:t xml:space="preserve">and EPIC </w:t>
      </w:r>
      <w:r w:rsidRPr="008600E8">
        <w:rPr>
          <w:color w:val="000000"/>
          <w:sz w:val="24"/>
          <w:szCs w:val="24"/>
        </w:rPr>
        <w:t>version</w:t>
      </w:r>
      <w:r w:rsidR="00D32BE8">
        <w:rPr>
          <w:color w:val="000000"/>
          <w:sz w:val="24"/>
          <w:szCs w:val="24"/>
        </w:rPr>
        <w:t>s</w:t>
      </w:r>
      <w:r w:rsidR="00944409">
        <w:rPr>
          <w:color w:val="000000"/>
          <w:sz w:val="24"/>
          <w:szCs w:val="24"/>
        </w:rPr>
        <w:t xml:space="preserve"> easy and fast</w:t>
      </w:r>
      <w:r w:rsidRPr="008600E8">
        <w:rPr>
          <w:color w:val="000000"/>
          <w:sz w:val="24"/>
          <w:szCs w:val="24"/>
        </w:rPr>
        <w:t xml:space="preserve"> to complete</w:t>
      </w:r>
      <w:r w:rsidR="00944409">
        <w:rPr>
          <w:color w:val="000000"/>
          <w:sz w:val="24"/>
          <w:szCs w:val="24"/>
        </w:rPr>
        <w:t>.</w:t>
      </w:r>
      <w:r w:rsidRPr="008600E8">
        <w:rPr>
          <w:color w:val="000000"/>
          <w:sz w:val="24"/>
          <w:szCs w:val="24"/>
        </w:rPr>
        <w:t xml:space="preserve"> </w:t>
      </w:r>
    </w:p>
    <w:p w:rsidR="003E56F3" w:rsidRDefault="003E56F3" w:rsidP="00F82E31">
      <w:pPr>
        <w:ind w:firstLine="720"/>
        <w:rPr>
          <w:color w:val="000000"/>
          <w:sz w:val="24"/>
          <w:szCs w:val="24"/>
        </w:rPr>
      </w:pPr>
    </w:p>
    <w:p w:rsidR="003E56F3" w:rsidRPr="00F82E31" w:rsidRDefault="003E56F3" w:rsidP="00F82E31">
      <w:pPr>
        <w:ind w:firstLine="720"/>
        <w:rPr>
          <w:color w:val="000000"/>
          <w:sz w:val="24"/>
          <w:szCs w:val="24"/>
        </w:rPr>
      </w:pPr>
      <w:r>
        <w:rPr>
          <w:color w:val="000000"/>
          <w:sz w:val="24"/>
          <w:szCs w:val="24"/>
        </w:rPr>
        <w:t>The For</w:t>
      </w:r>
      <w:r w:rsidR="00D67737">
        <w:rPr>
          <w:color w:val="000000"/>
          <w:sz w:val="24"/>
          <w:szCs w:val="24"/>
        </w:rPr>
        <w:t xml:space="preserve">mula Response </w:t>
      </w:r>
      <w:r w:rsidR="00A34E95">
        <w:rPr>
          <w:color w:val="000000"/>
          <w:sz w:val="24"/>
          <w:szCs w:val="24"/>
        </w:rPr>
        <w:t>and</w:t>
      </w:r>
      <w:bookmarkStart w:id="0" w:name="_GoBack"/>
      <w:bookmarkEnd w:id="0"/>
      <w:r w:rsidR="00D67737">
        <w:rPr>
          <w:color w:val="000000"/>
          <w:sz w:val="24"/>
          <w:szCs w:val="24"/>
        </w:rPr>
        <w:t xml:space="preserve"> </w:t>
      </w:r>
      <w:r>
        <w:rPr>
          <w:color w:val="000000"/>
          <w:sz w:val="24"/>
          <w:szCs w:val="24"/>
        </w:rPr>
        <w:t>Census Challenge forms</w:t>
      </w:r>
      <w:r w:rsidR="00D67737">
        <w:rPr>
          <w:color w:val="000000"/>
          <w:sz w:val="24"/>
          <w:szCs w:val="24"/>
        </w:rPr>
        <w:t xml:space="preserve"> and</w:t>
      </w:r>
      <w:r w:rsidR="00A34E95">
        <w:rPr>
          <w:color w:val="000000"/>
          <w:sz w:val="24"/>
          <w:szCs w:val="24"/>
        </w:rPr>
        <w:t xml:space="preserve"> the</w:t>
      </w:r>
      <w:r w:rsidR="00D67737">
        <w:rPr>
          <w:color w:val="000000"/>
          <w:sz w:val="24"/>
          <w:szCs w:val="24"/>
        </w:rPr>
        <w:t xml:space="preserve"> Depository Agreements</w:t>
      </w:r>
      <w:r>
        <w:rPr>
          <w:color w:val="000000"/>
          <w:sz w:val="24"/>
          <w:szCs w:val="24"/>
        </w:rPr>
        <w:t xml:space="preserve"> are most frequently submitted by facsimile or as an electronic mail attachment.  </w:t>
      </w:r>
    </w:p>
    <w:p w:rsidR="005F6E8B" w:rsidRDefault="005F6E8B">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C53525" w:rsidRDefault="00C53525">
      <w:pPr>
        <w:rPr>
          <w:rFonts w:ascii="Arial" w:hAnsi="Arial"/>
          <w:sz w:val="24"/>
        </w:rPr>
      </w:pPr>
    </w:p>
    <w:p w:rsidR="005F6E8B" w:rsidRDefault="005F6E8B" w:rsidP="005F6E8B">
      <w:pPr>
        <w:ind w:firstLine="720"/>
        <w:rPr>
          <w:color w:val="000000"/>
          <w:sz w:val="24"/>
          <w:szCs w:val="24"/>
        </w:rPr>
      </w:pPr>
      <w:r w:rsidRPr="00F42B53">
        <w:rPr>
          <w:color w:val="000000"/>
          <w:sz w:val="24"/>
          <w:szCs w:val="24"/>
        </w:rPr>
        <w:t>There is no duplication of i</w:t>
      </w:r>
      <w:r>
        <w:rPr>
          <w:color w:val="000000"/>
          <w:sz w:val="24"/>
          <w:szCs w:val="24"/>
        </w:rPr>
        <w:t xml:space="preserve">nformation. </w:t>
      </w:r>
      <w:r w:rsidRPr="00F42B53">
        <w:rPr>
          <w:color w:val="000000"/>
          <w:sz w:val="24"/>
          <w:szCs w:val="24"/>
        </w:rPr>
        <w:t xml:space="preserve">IHBG </w:t>
      </w:r>
      <w:r>
        <w:rPr>
          <w:color w:val="000000"/>
          <w:sz w:val="24"/>
          <w:szCs w:val="24"/>
        </w:rPr>
        <w:t>recipients</w:t>
      </w:r>
      <w:r w:rsidR="00BC2063">
        <w:rPr>
          <w:color w:val="000000"/>
          <w:sz w:val="24"/>
          <w:szCs w:val="24"/>
        </w:rPr>
        <w:t xml:space="preserve"> must submit the IHP portion of the IHP/APR</w:t>
      </w:r>
      <w:r w:rsidRPr="00F42B53">
        <w:rPr>
          <w:color w:val="000000"/>
          <w:sz w:val="24"/>
          <w:szCs w:val="24"/>
        </w:rPr>
        <w:t xml:space="preserve"> annually describi</w:t>
      </w:r>
      <w:r w:rsidR="00065991">
        <w:rPr>
          <w:color w:val="000000"/>
          <w:sz w:val="24"/>
          <w:szCs w:val="24"/>
        </w:rPr>
        <w:t>ng the recipient’s planned activities</w:t>
      </w:r>
      <w:r w:rsidR="00BC2063">
        <w:rPr>
          <w:color w:val="000000"/>
          <w:sz w:val="24"/>
          <w:szCs w:val="24"/>
        </w:rPr>
        <w:t xml:space="preserve">, outputs, </w:t>
      </w:r>
      <w:r w:rsidR="00065991">
        <w:rPr>
          <w:color w:val="000000"/>
          <w:sz w:val="24"/>
          <w:szCs w:val="24"/>
        </w:rPr>
        <w:t>and outcomes using IHBG funds</w:t>
      </w:r>
      <w:r w:rsidR="00BC2063">
        <w:rPr>
          <w:color w:val="000000"/>
          <w:sz w:val="24"/>
          <w:szCs w:val="24"/>
        </w:rPr>
        <w:t xml:space="preserve">, the </w:t>
      </w:r>
      <w:r w:rsidRPr="00F42B53">
        <w:rPr>
          <w:color w:val="000000"/>
          <w:sz w:val="24"/>
          <w:szCs w:val="24"/>
        </w:rPr>
        <w:t xml:space="preserve">APR </w:t>
      </w:r>
      <w:r w:rsidR="00BC2063">
        <w:rPr>
          <w:color w:val="000000"/>
          <w:sz w:val="24"/>
          <w:szCs w:val="24"/>
        </w:rPr>
        <w:t xml:space="preserve">portion of the IHP/APR </w:t>
      </w:r>
      <w:r w:rsidRPr="00F42B53">
        <w:rPr>
          <w:color w:val="000000"/>
          <w:sz w:val="24"/>
          <w:szCs w:val="24"/>
        </w:rPr>
        <w:t>annually describing ho</w:t>
      </w:r>
      <w:r w:rsidR="00BC2063">
        <w:rPr>
          <w:color w:val="000000"/>
          <w:sz w:val="24"/>
          <w:szCs w:val="24"/>
        </w:rPr>
        <w:t>w the grants were</w:t>
      </w:r>
      <w:r w:rsidRPr="00F42B53">
        <w:rPr>
          <w:color w:val="000000"/>
          <w:sz w:val="24"/>
          <w:szCs w:val="24"/>
        </w:rPr>
        <w:t xml:space="preserve"> used</w:t>
      </w:r>
      <w:r w:rsidR="00065991">
        <w:rPr>
          <w:color w:val="000000"/>
          <w:sz w:val="24"/>
          <w:szCs w:val="24"/>
        </w:rPr>
        <w:t xml:space="preserve"> and the activities</w:t>
      </w:r>
      <w:r w:rsidR="00BC2063">
        <w:rPr>
          <w:color w:val="000000"/>
          <w:sz w:val="24"/>
          <w:szCs w:val="24"/>
        </w:rPr>
        <w:t>, output</w:t>
      </w:r>
      <w:r w:rsidR="00065991">
        <w:rPr>
          <w:color w:val="000000"/>
          <w:sz w:val="24"/>
          <w:szCs w:val="24"/>
        </w:rPr>
        <w:t xml:space="preserve">s, and outcomes achieved.  </w:t>
      </w:r>
      <w:r w:rsidRPr="00F42B53">
        <w:rPr>
          <w:color w:val="000000"/>
          <w:sz w:val="24"/>
          <w:szCs w:val="24"/>
        </w:rPr>
        <w:t>There are no other sources of information that are being submitted to HUD that du</w:t>
      </w:r>
      <w:r w:rsidR="00065991">
        <w:rPr>
          <w:color w:val="000000"/>
          <w:sz w:val="24"/>
          <w:szCs w:val="24"/>
        </w:rPr>
        <w:t>plicate the inform</w:t>
      </w:r>
      <w:r w:rsidR="007F3808">
        <w:rPr>
          <w:color w:val="000000"/>
          <w:sz w:val="24"/>
          <w:szCs w:val="24"/>
        </w:rPr>
        <w:t>ation in the IHP/APR</w:t>
      </w:r>
      <w:r w:rsidRPr="00F42B53">
        <w:rPr>
          <w:color w:val="000000"/>
          <w:sz w:val="24"/>
          <w:szCs w:val="24"/>
        </w:rPr>
        <w:t xml:space="preserve">.  </w:t>
      </w:r>
      <w:r w:rsidR="005D6E42">
        <w:rPr>
          <w:color w:val="000000"/>
          <w:sz w:val="24"/>
          <w:szCs w:val="24"/>
        </w:rPr>
        <w:t xml:space="preserve">IHBG recipients do not have to challenge formula data and, if a recipient opts not to challenge the formula data, HUD will rely on the currently available data for determining a recipient’s allocation.  </w:t>
      </w:r>
    </w:p>
    <w:p w:rsidR="003E56F3" w:rsidRDefault="003E56F3" w:rsidP="005F6E8B">
      <w:pPr>
        <w:ind w:firstLine="720"/>
        <w:rPr>
          <w:color w:val="000000"/>
          <w:sz w:val="24"/>
          <w:szCs w:val="24"/>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C53525" w:rsidRDefault="00C53525">
      <w:pPr>
        <w:rPr>
          <w:rFonts w:ascii="Arial" w:hAnsi="Arial"/>
          <w:sz w:val="24"/>
        </w:rPr>
      </w:pPr>
    </w:p>
    <w:p w:rsidR="00D746F6" w:rsidRPr="00F42B53" w:rsidRDefault="00D746F6" w:rsidP="00D746F6">
      <w:pPr>
        <w:ind w:firstLine="720"/>
        <w:rPr>
          <w:color w:val="000000"/>
          <w:sz w:val="24"/>
          <w:szCs w:val="24"/>
        </w:rPr>
      </w:pPr>
      <w:r w:rsidRPr="00F42B53">
        <w:rPr>
          <w:color w:val="000000"/>
          <w:sz w:val="24"/>
          <w:szCs w:val="24"/>
        </w:rPr>
        <w:t xml:space="preserve">Most </w:t>
      </w:r>
      <w:r>
        <w:rPr>
          <w:color w:val="000000"/>
          <w:sz w:val="24"/>
          <w:szCs w:val="24"/>
        </w:rPr>
        <w:t>IHBG recipients</w:t>
      </w:r>
      <w:r w:rsidRPr="00F42B53">
        <w:rPr>
          <w:color w:val="000000"/>
          <w:sz w:val="24"/>
          <w:szCs w:val="24"/>
        </w:rPr>
        <w:t xml:space="preserve"> are small</w:t>
      </w:r>
      <w:r>
        <w:rPr>
          <w:color w:val="000000"/>
          <w:sz w:val="24"/>
          <w:szCs w:val="24"/>
        </w:rPr>
        <w:t xml:space="preserve"> in population numbers</w:t>
      </w:r>
      <w:r w:rsidRPr="00F42B53">
        <w:rPr>
          <w:color w:val="000000"/>
          <w:sz w:val="24"/>
          <w:szCs w:val="24"/>
        </w:rPr>
        <w:t>.  HUD has minimize</w:t>
      </w:r>
      <w:r>
        <w:rPr>
          <w:color w:val="000000"/>
          <w:sz w:val="24"/>
          <w:szCs w:val="24"/>
        </w:rPr>
        <w:t>d the burden on all recipients by allowing the recipient</w:t>
      </w:r>
      <w:r w:rsidRPr="00F42B53">
        <w:rPr>
          <w:color w:val="000000"/>
          <w:sz w:val="24"/>
          <w:szCs w:val="24"/>
        </w:rPr>
        <w:t xml:space="preserve"> to determine the complexity of the program being offered within their area of responsibility.  The program of</w:t>
      </w:r>
      <w:r>
        <w:rPr>
          <w:color w:val="000000"/>
          <w:sz w:val="24"/>
          <w:szCs w:val="24"/>
        </w:rPr>
        <w:t>fered by the recipient</w:t>
      </w:r>
      <w:r w:rsidRPr="00F42B53">
        <w:rPr>
          <w:color w:val="000000"/>
          <w:sz w:val="24"/>
          <w:szCs w:val="24"/>
        </w:rPr>
        <w:t xml:space="preserve"> determine</w:t>
      </w:r>
      <w:r w:rsidR="00065991">
        <w:rPr>
          <w:color w:val="000000"/>
          <w:sz w:val="24"/>
          <w:szCs w:val="24"/>
        </w:rPr>
        <w:t>s the complexity of the IHP/</w:t>
      </w:r>
      <w:r w:rsidRPr="00F42B53">
        <w:rPr>
          <w:color w:val="000000"/>
          <w:sz w:val="24"/>
          <w:szCs w:val="24"/>
        </w:rPr>
        <w:t xml:space="preserve">APR. </w:t>
      </w:r>
      <w:r>
        <w:rPr>
          <w:color w:val="000000"/>
          <w:sz w:val="24"/>
          <w:szCs w:val="24"/>
        </w:rPr>
        <w:t xml:space="preserve"> </w:t>
      </w:r>
      <w:r w:rsidRPr="00F42B53">
        <w:rPr>
          <w:color w:val="000000"/>
          <w:sz w:val="24"/>
          <w:szCs w:val="24"/>
        </w:rPr>
        <w:t xml:space="preserve">HUD has </w:t>
      </w:r>
      <w:r w:rsidRPr="00F42B53">
        <w:rPr>
          <w:color w:val="000000"/>
          <w:sz w:val="24"/>
          <w:szCs w:val="24"/>
        </w:rPr>
        <w:lastRenderedPageBreak/>
        <w:t>provided ext</w:t>
      </w:r>
      <w:r>
        <w:rPr>
          <w:color w:val="000000"/>
          <w:sz w:val="24"/>
          <w:szCs w:val="24"/>
        </w:rPr>
        <w:t>ensive training for recipients</w:t>
      </w:r>
      <w:r w:rsidRPr="00F42B53">
        <w:rPr>
          <w:color w:val="000000"/>
          <w:sz w:val="24"/>
          <w:szCs w:val="24"/>
        </w:rPr>
        <w:t xml:space="preserve"> on how to design a </w:t>
      </w:r>
      <w:r w:rsidR="00065991">
        <w:rPr>
          <w:color w:val="000000"/>
          <w:sz w:val="24"/>
          <w:szCs w:val="24"/>
        </w:rPr>
        <w:t>program and complete the IHP/</w:t>
      </w:r>
      <w:r w:rsidRPr="00F42B53">
        <w:rPr>
          <w:color w:val="000000"/>
          <w:sz w:val="24"/>
          <w:szCs w:val="24"/>
        </w:rPr>
        <w:t>APR.  Additionally, ONAP staff is available to provide one-on-on</w:t>
      </w:r>
      <w:r w:rsidR="00BC2063">
        <w:rPr>
          <w:color w:val="000000"/>
          <w:sz w:val="24"/>
          <w:szCs w:val="24"/>
        </w:rPr>
        <w:t xml:space="preserve">e assistance if needed. </w:t>
      </w:r>
      <w:r w:rsidR="005D6E42">
        <w:rPr>
          <w:color w:val="000000"/>
          <w:sz w:val="24"/>
          <w:szCs w:val="24"/>
        </w:rPr>
        <w:t>If a recipient opts to challenge the formula data, HUD will make every effort to provide guidance and technical assistance</w:t>
      </w:r>
      <w:r w:rsidR="00100C45">
        <w:rPr>
          <w:color w:val="000000"/>
          <w:sz w:val="24"/>
          <w:szCs w:val="24"/>
        </w:rPr>
        <w:t xml:space="preserve"> </w:t>
      </w:r>
      <w:r w:rsidR="005D6E42">
        <w:rPr>
          <w:color w:val="000000"/>
          <w:sz w:val="24"/>
          <w:szCs w:val="24"/>
        </w:rPr>
        <w:t xml:space="preserve">to the recipient on how to challenge and/or correct the formula data </w:t>
      </w:r>
      <w:r w:rsidR="00100C45">
        <w:rPr>
          <w:color w:val="000000"/>
          <w:sz w:val="24"/>
          <w:szCs w:val="24"/>
        </w:rPr>
        <w:t xml:space="preserve">as easily as possible while still maintaining the integrity of the data.  </w:t>
      </w:r>
    </w:p>
    <w:p w:rsidR="00C53525" w:rsidRDefault="00C53525">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C53525" w:rsidRDefault="00C53525">
      <w:pPr>
        <w:tabs>
          <w:tab w:val="left" w:pos="360"/>
          <w:tab w:val="left" w:pos="720"/>
        </w:tabs>
        <w:ind w:left="360"/>
        <w:rPr>
          <w:rFonts w:ascii="Arial" w:hAnsi="Arial"/>
          <w:sz w:val="24"/>
        </w:rPr>
      </w:pPr>
    </w:p>
    <w:p w:rsidR="00D746F6" w:rsidRDefault="00065991" w:rsidP="00D746F6">
      <w:pPr>
        <w:ind w:firstLine="720"/>
        <w:rPr>
          <w:color w:val="000000"/>
          <w:sz w:val="24"/>
          <w:szCs w:val="24"/>
        </w:rPr>
      </w:pPr>
      <w:r>
        <w:rPr>
          <w:color w:val="000000"/>
          <w:sz w:val="24"/>
          <w:szCs w:val="24"/>
        </w:rPr>
        <w:t>The IHP/APR is</w:t>
      </w:r>
      <w:r w:rsidR="00D746F6" w:rsidRPr="003F0F0F">
        <w:rPr>
          <w:color w:val="000000"/>
          <w:sz w:val="24"/>
          <w:szCs w:val="24"/>
        </w:rPr>
        <w:t xml:space="preserve"> required by NAHASDA to be submitted annually.  If the IHP or APR is not submitted a</w:t>
      </w:r>
      <w:r w:rsidR="00D746F6">
        <w:rPr>
          <w:color w:val="000000"/>
          <w:sz w:val="24"/>
          <w:szCs w:val="24"/>
        </w:rPr>
        <w:t>s required, then the recipient</w:t>
      </w:r>
      <w:r w:rsidR="00D746F6" w:rsidRPr="003F0F0F">
        <w:rPr>
          <w:color w:val="000000"/>
          <w:sz w:val="24"/>
          <w:szCs w:val="24"/>
        </w:rPr>
        <w:t xml:space="preserve"> may be denied grant funds for that year, prohibited from expending prior grant funds, and denied future grants.  </w:t>
      </w:r>
      <w:r w:rsidR="00100C45">
        <w:rPr>
          <w:color w:val="000000"/>
          <w:sz w:val="24"/>
          <w:szCs w:val="24"/>
        </w:rPr>
        <w:t>Given the quality of the data being u</w:t>
      </w:r>
      <w:r w:rsidR="00352400">
        <w:rPr>
          <w:color w:val="000000"/>
          <w:sz w:val="24"/>
          <w:szCs w:val="24"/>
        </w:rPr>
        <w:t>sed, if a recipient cannot or do</w:t>
      </w:r>
      <w:r w:rsidR="00100C45">
        <w:rPr>
          <w:color w:val="000000"/>
          <w:sz w:val="24"/>
          <w:szCs w:val="24"/>
        </w:rPr>
        <w:t xml:space="preserve">es not make corrections or challenge the formula data, it will decrease the fairness of the formula allocation system.  In addition, HUD, the recipient, and the grant beneficiary are involved with program monitoring and auditing activities.  HUD has the responsibility to challenge the validity of data used to allocate IHBG funds. </w:t>
      </w:r>
    </w:p>
    <w:p w:rsidR="00D746F6" w:rsidRDefault="00D746F6">
      <w:pPr>
        <w:tabs>
          <w:tab w:val="left" w:pos="360"/>
          <w:tab w:val="left" w:pos="720"/>
        </w:tabs>
        <w:ind w:left="360"/>
        <w:rPr>
          <w:rFonts w:ascii="Arial" w:hAnsi="Arial"/>
          <w:sz w:val="24"/>
        </w:rPr>
      </w:pPr>
    </w:p>
    <w:p w:rsidR="00C53525" w:rsidRDefault="00C53525">
      <w:pPr>
        <w:tabs>
          <w:tab w:val="left" w:pos="360"/>
        </w:tabs>
        <w:ind w:left="360" w:hanging="360"/>
        <w:rPr>
          <w:sz w:val="18"/>
        </w:rPr>
      </w:pPr>
    </w:p>
    <w:p w:rsidR="00C53525" w:rsidRDefault="00C53525">
      <w:pPr>
        <w:numPr>
          <w:ilvl w:val="0"/>
          <w:numId w:val="7"/>
        </w:numPr>
        <w:tabs>
          <w:tab w:val="left" w:pos="360"/>
        </w:tabs>
        <w:rPr>
          <w:sz w:val="18"/>
        </w:rPr>
      </w:pPr>
      <w:r>
        <w:rPr>
          <w:sz w:val="18"/>
        </w:rPr>
        <w:t xml:space="preserve">Explain any special circumstances that would cause an information collection to be conducted in a manner: </w:t>
      </w:r>
    </w:p>
    <w:p w:rsidR="00C53525" w:rsidRDefault="00C53525">
      <w:pPr>
        <w:numPr>
          <w:ilvl w:val="0"/>
          <w:numId w:val="8"/>
        </w:numPr>
        <w:tabs>
          <w:tab w:val="left" w:pos="600"/>
        </w:tabs>
        <w:rPr>
          <w:sz w:val="18"/>
        </w:rPr>
      </w:pPr>
      <w:r>
        <w:rPr>
          <w:sz w:val="18"/>
        </w:rPr>
        <w:t xml:space="preserve">requiring respondents to report information to the agency more than quarterly; </w:t>
      </w:r>
    </w:p>
    <w:p w:rsidR="00C53525" w:rsidRDefault="00C53525">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C53525" w:rsidRDefault="00C53525">
      <w:pPr>
        <w:numPr>
          <w:ilvl w:val="0"/>
          <w:numId w:val="8"/>
        </w:numPr>
        <w:tabs>
          <w:tab w:val="left" w:pos="600"/>
        </w:tabs>
        <w:rPr>
          <w:sz w:val="18"/>
        </w:rPr>
      </w:pPr>
      <w:r>
        <w:rPr>
          <w:sz w:val="18"/>
        </w:rPr>
        <w:t xml:space="preserve">requiring respondents to submit more than an original and two copies of any document; </w:t>
      </w:r>
    </w:p>
    <w:p w:rsidR="00C53525" w:rsidRDefault="00C53525">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C53525" w:rsidRDefault="00C53525">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C53525" w:rsidRDefault="00C53525">
      <w:pPr>
        <w:numPr>
          <w:ilvl w:val="0"/>
          <w:numId w:val="8"/>
        </w:numPr>
        <w:tabs>
          <w:tab w:val="left" w:pos="600"/>
        </w:tabs>
        <w:rPr>
          <w:sz w:val="18"/>
        </w:rPr>
      </w:pPr>
      <w:r>
        <w:rPr>
          <w:sz w:val="18"/>
        </w:rPr>
        <w:t xml:space="preserve">requiring the use of a statistical data classification that has not been reviewed and approved by OMB; </w:t>
      </w:r>
    </w:p>
    <w:p w:rsidR="00C53525" w:rsidRDefault="00C53525">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53525" w:rsidRDefault="00C53525">
      <w:pPr>
        <w:numPr>
          <w:ilvl w:val="0"/>
          <w:numId w:val="8"/>
        </w:numPr>
        <w:tabs>
          <w:tab w:val="left" w:pos="600"/>
        </w:tabs>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C53525" w:rsidRDefault="00C53525">
      <w:pPr>
        <w:tabs>
          <w:tab w:val="left" w:pos="360"/>
          <w:tab w:val="left" w:pos="720"/>
        </w:tabs>
        <w:ind w:left="360"/>
        <w:rPr>
          <w:rFonts w:ascii="Arial" w:hAnsi="Arial"/>
          <w:sz w:val="24"/>
        </w:rPr>
      </w:pPr>
    </w:p>
    <w:p w:rsidR="00D746F6" w:rsidRPr="003F0F0F" w:rsidRDefault="00D746F6" w:rsidP="00D746F6">
      <w:pPr>
        <w:rPr>
          <w:color w:val="000000"/>
          <w:sz w:val="24"/>
          <w:szCs w:val="24"/>
        </w:rPr>
      </w:pPr>
      <w:r>
        <w:rPr>
          <w:color w:val="000000"/>
          <w:sz w:val="24"/>
          <w:szCs w:val="24"/>
        </w:rPr>
        <w:tab/>
      </w:r>
      <w:r w:rsidRPr="003F0F0F">
        <w:rPr>
          <w:color w:val="000000"/>
          <w:sz w:val="24"/>
          <w:szCs w:val="24"/>
        </w:rPr>
        <w:t>There are no special circumsta</w:t>
      </w:r>
      <w:r w:rsidR="006110B7">
        <w:rPr>
          <w:color w:val="000000"/>
          <w:sz w:val="24"/>
          <w:szCs w:val="24"/>
        </w:rPr>
        <w:t>nces associated with this information collection</w:t>
      </w:r>
      <w:r>
        <w:rPr>
          <w:color w:val="000000"/>
          <w:sz w:val="24"/>
          <w:szCs w:val="24"/>
        </w:rPr>
        <w:t xml:space="preserve">.  </w:t>
      </w:r>
      <w:r w:rsidR="00100C45">
        <w:rPr>
          <w:color w:val="000000"/>
          <w:sz w:val="24"/>
          <w:szCs w:val="24"/>
        </w:rPr>
        <w:t xml:space="preserve">IHBG recipients may submit the </w:t>
      </w:r>
      <w:r w:rsidR="00100C45" w:rsidRPr="00100C45">
        <w:rPr>
          <w:i/>
          <w:color w:val="000000"/>
          <w:sz w:val="24"/>
          <w:szCs w:val="24"/>
        </w:rPr>
        <w:t xml:space="preserve">Formula Response </w:t>
      </w:r>
      <w:r w:rsidR="006A2EB2" w:rsidRPr="006A2EB2">
        <w:rPr>
          <w:color w:val="000000"/>
          <w:sz w:val="24"/>
          <w:szCs w:val="24"/>
        </w:rPr>
        <w:t>or</w:t>
      </w:r>
      <w:r w:rsidR="006A2EB2">
        <w:rPr>
          <w:i/>
          <w:color w:val="000000"/>
          <w:sz w:val="24"/>
          <w:szCs w:val="24"/>
        </w:rPr>
        <w:t xml:space="preserve"> Census Challenge </w:t>
      </w:r>
      <w:r w:rsidR="006A2EB2" w:rsidRPr="006A2EB2">
        <w:rPr>
          <w:color w:val="000000"/>
          <w:sz w:val="24"/>
          <w:szCs w:val="24"/>
        </w:rPr>
        <w:t>form</w:t>
      </w:r>
      <w:r w:rsidR="00100C45" w:rsidRPr="00100C45">
        <w:rPr>
          <w:i/>
          <w:color w:val="000000"/>
          <w:sz w:val="24"/>
          <w:szCs w:val="24"/>
        </w:rPr>
        <w:t xml:space="preserve"> </w:t>
      </w:r>
      <w:r w:rsidR="00100C45">
        <w:rPr>
          <w:color w:val="000000"/>
          <w:sz w:val="24"/>
          <w:szCs w:val="24"/>
        </w:rPr>
        <w:t>to challenge or make corrections at any time.  Recipients receive a copy of the data at least 30 days before the recipient needs to make corrections or submit a challenge that would be acceptable for that fiscal year’s formula allocation.  IHBG recipients are not required to submit more than the original information collection document.</w:t>
      </w:r>
      <w:r w:rsidR="00675E59">
        <w:rPr>
          <w:color w:val="000000"/>
          <w:sz w:val="24"/>
          <w:szCs w:val="24"/>
        </w:rPr>
        <w:t xml:space="preserve"> </w:t>
      </w:r>
      <w:r w:rsidR="00100C45">
        <w:rPr>
          <w:color w:val="000000"/>
          <w:sz w:val="24"/>
          <w:szCs w:val="24"/>
        </w:rPr>
        <w:t xml:space="preserve"> </w:t>
      </w:r>
      <w:r w:rsidRPr="003F0F0F">
        <w:rPr>
          <w:color w:val="000000"/>
          <w:sz w:val="24"/>
          <w:szCs w:val="24"/>
        </w:rPr>
        <w:t xml:space="preserve">Financial and programmatic records, supporting documents, and statistical records of the recipient must be retained for a period of 3 years according to 24 CFR § 1000.550.  </w:t>
      </w:r>
      <w:r w:rsidR="00100C45">
        <w:rPr>
          <w:color w:val="000000"/>
          <w:sz w:val="24"/>
          <w:szCs w:val="24"/>
        </w:rPr>
        <w:t>IHBG recipients may submit data to challenge the U.S. Decennial Census data, but by regulation, that information must be collected in a uniform manner that be confirmed</w:t>
      </w:r>
      <w:r w:rsidR="005B312E">
        <w:rPr>
          <w:color w:val="000000"/>
          <w:sz w:val="24"/>
          <w:szCs w:val="24"/>
        </w:rPr>
        <w:t xml:space="preserve"> and verified (</w:t>
      </w:r>
      <w:r w:rsidR="00100C45">
        <w:rPr>
          <w:color w:val="000000"/>
          <w:sz w:val="24"/>
          <w:szCs w:val="24"/>
        </w:rPr>
        <w:t xml:space="preserve">24 CFR </w:t>
      </w:r>
      <w:r w:rsidR="00100C45" w:rsidRPr="00F42B53">
        <w:rPr>
          <w:color w:val="000000"/>
          <w:sz w:val="24"/>
          <w:szCs w:val="24"/>
        </w:rPr>
        <w:t xml:space="preserve">§ </w:t>
      </w:r>
      <w:r w:rsidR="00100C45">
        <w:rPr>
          <w:color w:val="000000"/>
          <w:sz w:val="24"/>
          <w:szCs w:val="24"/>
        </w:rPr>
        <w:t>1000.330</w:t>
      </w:r>
      <w:r w:rsidR="005B312E">
        <w:rPr>
          <w:color w:val="000000"/>
          <w:sz w:val="24"/>
          <w:szCs w:val="24"/>
        </w:rPr>
        <w:t>)</w:t>
      </w:r>
      <w:r w:rsidR="00100C45">
        <w:rPr>
          <w:color w:val="000000"/>
          <w:sz w:val="24"/>
          <w:szCs w:val="24"/>
        </w:rPr>
        <w:t xml:space="preserve">. </w:t>
      </w:r>
      <w:r w:rsidR="005B312E">
        <w:rPr>
          <w:color w:val="000000"/>
          <w:sz w:val="24"/>
          <w:szCs w:val="24"/>
        </w:rPr>
        <w:t xml:space="preserve">  Data must be gathered, evaluated, and presented in a manner acceptable to HUD and the standards for data acceptability must be applied consistently (24 CFR </w:t>
      </w:r>
      <w:r w:rsidR="005B312E" w:rsidRPr="00F42B53">
        <w:rPr>
          <w:color w:val="000000"/>
          <w:sz w:val="24"/>
          <w:szCs w:val="24"/>
        </w:rPr>
        <w:t xml:space="preserve">§ </w:t>
      </w:r>
      <w:r w:rsidR="005B312E">
        <w:rPr>
          <w:color w:val="000000"/>
          <w:sz w:val="24"/>
          <w:szCs w:val="24"/>
        </w:rPr>
        <w:t xml:space="preserve">1000.334).  </w:t>
      </w:r>
      <w:r>
        <w:rPr>
          <w:color w:val="000000"/>
          <w:sz w:val="24"/>
          <w:szCs w:val="24"/>
        </w:rPr>
        <w:t>IHBG recipients</w:t>
      </w:r>
      <w:r w:rsidRPr="003F0F0F">
        <w:rPr>
          <w:color w:val="000000"/>
          <w:sz w:val="24"/>
          <w:szCs w:val="24"/>
        </w:rPr>
        <w:t xml:space="preserve"> are not requested to submit proprietary trade secrets or other confidential information.</w:t>
      </w:r>
    </w:p>
    <w:p w:rsidR="00C53525" w:rsidRDefault="00C53525" w:rsidP="00D746F6">
      <w:pPr>
        <w:tabs>
          <w:tab w:val="left" w:pos="360"/>
          <w:tab w:val="left" w:pos="720"/>
        </w:tabs>
        <w:rPr>
          <w:sz w:val="18"/>
        </w:rPr>
      </w:pPr>
    </w:p>
    <w:p w:rsidR="00C53525" w:rsidRDefault="00C53525">
      <w:pPr>
        <w:tabs>
          <w:tab w:val="left" w:pos="360"/>
        </w:tabs>
        <w:ind w:left="360" w:hanging="360"/>
        <w:rPr>
          <w:sz w:val="18"/>
        </w:rPr>
      </w:pPr>
    </w:p>
    <w:p w:rsidR="000527ED" w:rsidRPr="00D67005" w:rsidRDefault="00C53525" w:rsidP="000527ED">
      <w:pPr>
        <w:rPr>
          <w:sz w:val="24"/>
          <w:szCs w:val="24"/>
        </w:rPr>
      </w:pPr>
      <w:r w:rsidRPr="00827857">
        <w:rPr>
          <w:sz w:val="24"/>
          <w:szCs w:val="24"/>
        </w:rPr>
        <w:t xml:space="preserve"> </w:t>
      </w:r>
      <w:r w:rsidRPr="00060230">
        <w:rPr>
          <w:sz w:val="18"/>
          <w:szCs w:val="18"/>
        </w:rPr>
        <w:t>8.</w:t>
      </w:r>
      <w:r w:rsidR="00610A1C">
        <w:rPr>
          <w:sz w:val="24"/>
          <w:szCs w:val="24"/>
        </w:rPr>
        <w:t xml:space="preserve"> </w:t>
      </w:r>
      <w:r w:rsidR="000527ED">
        <w:rPr>
          <w:sz w:val="24"/>
          <w:szCs w:val="24"/>
        </w:rPr>
        <w:t xml:space="preserve">HUD published a Notice of Proposed Information Collection for Public Comments in the </w:t>
      </w:r>
      <w:r w:rsidR="000527ED" w:rsidRPr="00DC7470">
        <w:rPr>
          <w:i/>
          <w:sz w:val="24"/>
          <w:szCs w:val="24"/>
        </w:rPr>
        <w:t>Federal Register</w:t>
      </w:r>
      <w:r w:rsidR="00610A1C">
        <w:rPr>
          <w:sz w:val="24"/>
          <w:szCs w:val="24"/>
        </w:rPr>
        <w:t>, Volume 81; No. 3; Page 509 on January 6</w:t>
      </w:r>
      <w:r w:rsidR="000527ED">
        <w:rPr>
          <w:sz w:val="24"/>
          <w:szCs w:val="24"/>
        </w:rPr>
        <w:t>, 2016.  Th</w:t>
      </w:r>
      <w:r w:rsidR="00610A1C">
        <w:rPr>
          <w:sz w:val="24"/>
          <w:szCs w:val="24"/>
        </w:rPr>
        <w:t>e public was given until March 7</w:t>
      </w:r>
      <w:r w:rsidR="000527ED">
        <w:rPr>
          <w:sz w:val="24"/>
          <w:szCs w:val="24"/>
        </w:rPr>
        <w:t xml:space="preserve">, 2016 to submit comments on the proposed information collection. </w:t>
      </w:r>
      <w:r w:rsidR="00610A1C">
        <w:rPr>
          <w:sz w:val="24"/>
          <w:szCs w:val="24"/>
        </w:rPr>
        <w:t xml:space="preserve"> HUD received no comments on this proposed collection.</w:t>
      </w:r>
    </w:p>
    <w:p w:rsidR="00C53525" w:rsidRPr="00610A1C" w:rsidRDefault="00A23370" w:rsidP="00610A1C">
      <w:pPr>
        <w:tabs>
          <w:tab w:val="left" w:pos="360"/>
        </w:tabs>
        <w:ind w:left="360" w:hanging="360"/>
        <w:rPr>
          <w:sz w:val="24"/>
          <w:szCs w:val="24"/>
        </w:rPr>
      </w:pPr>
      <w:r w:rsidRPr="00827857">
        <w:rPr>
          <w:sz w:val="24"/>
          <w:szCs w:val="24"/>
        </w:rPr>
        <w:t xml:space="preserve"> </w:t>
      </w:r>
    </w:p>
    <w:p w:rsidR="00D746F6" w:rsidRPr="00827857" w:rsidRDefault="00D746F6">
      <w:pPr>
        <w:tabs>
          <w:tab w:val="left" w:pos="360"/>
        </w:tabs>
        <w:ind w:left="360" w:hanging="360"/>
        <w:rPr>
          <w:sz w:val="24"/>
          <w:szCs w:val="24"/>
        </w:rPr>
      </w:pPr>
    </w:p>
    <w:p w:rsidR="00C53525" w:rsidRPr="00827857" w:rsidRDefault="00C53525">
      <w:pPr>
        <w:tabs>
          <w:tab w:val="left" w:pos="360"/>
        </w:tabs>
        <w:ind w:left="360" w:hanging="360"/>
        <w:rPr>
          <w:sz w:val="24"/>
          <w:szCs w:val="24"/>
        </w:rPr>
      </w:pPr>
      <w:r w:rsidRPr="00060230">
        <w:rPr>
          <w:sz w:val="18"/>
          <w:szCs w:val="18"/>
        </w:rPr>
        <w:t>9.</w:t>
      </w:r>
      <w:r w:rsidRPr="00827857">
        <w:rPr>
          <w:sz w:val="24"/>
          <w:szCs w:val="24"/>
        </w:rPr>
        <w:tab/>
        <w:t>Explain any decision to provide any payment or gift t</w:t>
      </w:r>
      <w:r w:rsidR="0048334E" w:rsidRPr="00827857">
        <w:rPr>
          <w:sz w:val="24"/>
          <w:szCs w:val="24"/>
        </w:rPr>
        <w:t>o respondents, other than remun</w:t>
      </w:r>
      <w:r w:rsidRPr="00827857">
        <w:rPr>
          <w:sz w:val="24"/>
          <w:szCs w:val="24"/>
        </w:rPr>
        <w:t>eration of contractors or grantees.</w:t>
      </w:r>
    </w:p>
    <w:p w:rsidR="00C53525" w:rsidRPr="00827857" w:rsidRDefault="00C53525">
      <w:pPr>
        <w:tabs>
          <w:tab w:val="left" w:pos="360"/>
          <w:tab w:val="left" w:pos="720"/>
        </w:tabs>
        <w:ind w:left="360"/>
        <w:rPr>
          <w:rFonts w:ascii="Arial" w:hAnsi="Arial"/>
          <w:sz w:val="24"/>
          <w:szCs w:val="24"/>
        </w:rPr>
      </w:pPr>
    </w:p>
    <w:p w:rsidR="00D746F6" w:rsidRPr="00DA1AEC" w:rsidRDefault="00D746F6" w:rsidP="00D746F6">
      <w:pPr>
        <w:rPr>
          <w:sz w:val="24"/>
          <w:szCs w:val="24"/>
        </w:rPr>
      </w:pPr>
      <w:r w:rsidRPr="00DA1AEC">
        <w:rPr>
          <w:color w:val="000000"/>
          <w:sz w:val="24"/>
          <w:szCs w:val="24"/>
        </w:rPr>
        <w:t>There are no provisions to provide any payments or gifts to respondents, other than remuner</w:t>
      </w:r>
      <w:r w:rsidR="00914910">
        <w:rPr>
          <w:color w:val="000000"/>
          <w:sz w:val="24"/>
          <w:szCs w:val="24"/>
        </w:rPr>
        <w:t>ation of contractors or recipients</w:t>
      </w:r>
      <w:r w:rsidRPr="00DA1AEC">
        <w:rPr>
          <w:color w:val="000000"/>
          <w:sz w:val="24"/>
          <w:szCs w:val="24"/>
        </w:rPr>
        <w:t>.</w:t>
      </w:r>
    </w:p>
    <w:p w:rsidR="00D746F6" w:rsidRDefault="00D746F6">
      <w:pPr>
        <w:tabs>
          <w:tab w:val="left" w:pos="360"/>
          <w:tab w:val="left" w:pos="720"/>
        </w:tabs>
        <w:ind w:left="360"/>
        <w:rPr>
          <w:rFonts w:ascii="Arial" w:hAnsi="Arial"/>
          <w:sz w:val="24"/>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sidRPr="00060230">
        <w:rPr>
          <w:sz w:val="18"/>
          <w:szCs w:val="18"/>
        </w:rPr>
        <w:t>10</w:t>
      </w:r>
      <w:r>
        <w:rPr>
          <w:sz w:val="18"/>
        </w:rPr>
        <w:t>.</w:t>
      </w:r>
      <w:r>
        <w:rPr>
          <w:sz w:val="18"/>
        </w:rPr>
        <w:tab/>
        <w:t>Describe any assurance of confidentiality provided to respondents and the basis for assurance in statute, regulation or agency policy.</w:t>
      </w:r>
    </w:p>
    <w:p w:rsidR="00C53525" w:rsidRDefault="00C53525">
      <w:pPr>
        <w:rPr>
          <w:rFonts w:ascii="Arial" w:hAnsi="Arial"/>
          <w:sz w:val="24"/>
        </w:rPr>
      </w:pPr>
    </w:p>
    <w:p w:rsidR="00D746F6" w:rsidRPr="00DA1AEC" w:rsidRDefault="00D746F6" w:rsidP="00D746F6">
      <w:pPr>
        <w:rPr>
          <w:sz w:val="24"/>
          <w:szCs w:val="24"/>
        </w:rPr>
      </w:pPr>
      <w:r w:rsidRPr="00DA1AEC">
        <w:rPr>
          <w:color w:val="000000"/>
          <w:sz w:val="24"/>
          <w:szCs w:val="24"/>
        </w:rPr>
        <w:t>The information collection is public information; therefore, there is no assurance of confidentiality.</w:t>
      </w:r>
    </w:p>
    <w:p w:rsidR="00C53525" w:rsidRDefault="00C53525">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53525" w:rsidRDefault="00C53525">
      <w:pPr>
        <w:rPr>
          <w:rFonts w:ascii="Arial" w:hAnsi="Arial"/>
          <w:sz w:val="24"/>
        </w:rPr>
      </w:pPr>
    </w:p>
    <w:p w:rsidR="00441F7F" w:rsidRDefault="00D746F6" w:rsidP="00D746F6">
      <w:pPr>
        <w:rPr>
          <w:rFonts w:eastAsia="Calibri"/>
          <w:color w:val="000000"/>
          <w:sz w:val="24"/>
          <w:szCs w:val="24"/>
        </w:rPr>
      </w:pPr>
      <w:r w:rsidRPr="00FE3406">
        <w:rPr>
          <w:rFonts w:eastAsia="Calibri"/>
          <w:color w:val="000000"/>
          <w:sz w:val="24"/>
          <w:szCs w:val="24"/>
        </w:rPr>
        <w:t>There are no questions of a sensitive nature included in the information to be collected.</w:t>
      </w:r>
    </w:p>
    <w:p w:rsidR="00C53525" w:rsidRPr="00D746F6" w:rsidRDefault="00C53525" w:rsidP="00D746F6">
      <w:pPr>
        <w:rPr>
          <w:sz w:val="24"/>
          <w:szCs w:val="24"/>
        </w:rPr>
      </w:pPr>
    </w:p>
    <w:p w:rsidR="00C53525" w:rsidRDefault="00C53525">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C53525" w:rsidRDefault="00C53525">
      <w:pPr>
        <w:numPr>
          <w:ilvl w:val="0"/>
          <w:numId w:val="8"/>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C53525" w:rsidRDefault="00C53525">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C53525" w:rsidRDefault="00C53525">
      <w:pPr>
        <w:numPr>
          <w:ilvl w:val="0"/>
          <w:numId w:val="8"/>
        </w:numPr>
        <w:tabs>
          <w:tab w:val="left" w:pos="480"/>
        </w:tabs>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746F6" w:rsidRPr="00335B04" w:rsidRDefault="00D746F6" w:rsidP="00DC2479">
      <w:pPr>
        <w:rPr>
          <w:rFonts w:eastAsia="Calibri"/>
          <w:color w:val="000000"/>
          <w:sz w:val="24"/>
          <w:szCs w:val="24"/>
        </w:rPr>
      </w:pPr>
    </w:p>
    <w:p w:rsidR="007A1939" w:rsidRDefault="002C4A99" w:rsidP="0048334E">
      <w:pPr>
        <w:shd w:val="clear" w:color="auto" w:fill="FFFFFF"/>
        <w:spacing w:after="120"/>
        <w:ind w:firstLine="720"/>
        <w:rPr>
          <w:color w:val="000000"/>
          <w:sz w:val="22"/>
          <w:szCs w:val="24"/>
        </w:rPr>
      </w:pPr>
      <w:r>
        <w:rPr>
          <w:rFonts w:eastAsia="Calibri"/>
          <w:color w:val="000000"/>
          <w:sz w:val="24"/>
          <w:szCs w:val="24"/>
        </w:rPr>
        <w:t xml:space="preserve">There are 366 recipients of IHBG funds.  </w:t>
      </w:r>
      <w:r w:rsidR="00D746F6" w:rsidRPr="00335B04">
        <w:rPr>
          <w:rFonts w:eastAsia="Calibri"/>
          <w:color w:val="000000"/>
          <w:sz w:val="24"/>
          <w:szCs w:val="24"/>
        </w:rPr>
        <w:t xml:space="preserve">Each of the 366 </w:t>
      </w:r>
      <w:r w:rsidR="00001DB8">
        <w:rPr>
          <w:rFonts w:eastAsia="Calibri"/>
          <w:color w:val="000000"/>
          <w:sz w:val="24"/>
          <w:szCs w:val="24"/>
        </w:rPr>
        <w:t xml:space="preserve">IHBG </w:t>
      </w:r>
      <w:r w:rsidR="00D746F6" w:rsidRPr="00335B04">
        <w:rPr>
          <w:rFonts w:eastAsia="Calibri"/>
          <w:color w:val="000000"/>
          <w:sz w:val="24"/>
          <w:szCs w:val="24"/>
        </w:rPr>
        <w:t>recipients is r</w:t>
      </w:r>
      <w:r w:rsidR="00971349">
        <w:rPr>
          <w:rFonts w:eastAsia="Calibri"/>
          <w:color w:val="000000"/>
          <w:sz w:val="24"/>
          <w:szCs w:val="24"/>
        </w:rPr>
        <w:t xml:space="preserve">equired </w:t>
      </w:r>
      <w:r w:rsidR="006C0DF6">
        <w:rPr>
          <w:rFonts w:eastAsia="Calibri"/>
          <w:color w:val="000000"/>
          <w:sz w:val="24"/>
          <w:szCs w:val="24"/>
        </w:rPr>
        <w:t xml:space="preserve">annually </w:t>
      </w:r>
      <w:r w:rsidR="00971349">
        <w:rPr>
          <w:rFonts w:eastAsia="Calibri"/>
          <w:color w:val="000000"/>
          <w:sz w:val="24"/>
          <w:szCs w:val="24"/>
        </w:rPr>
        <w:t>to subm</w:t>
      </w:r>
      <w:r w:rsidR="005B63FA">
        <w:rPr>
          <w:rFonts w:eastAsia="Calibri"/>
          <w:color w:val="000000"/>
          <w:sz w:val="24"/>
          <w:szCs w:val="24"/>
        </w:rPr>
        <w:t>it an IHP and an APR for a total of 732</w:t>
      </w:r>
      <w:r w:rsidR="00D746F6" w:rsidRPr="00335B04">
        <w:rPr>
          <w:rFonts w:eastAsia="Calibri"/>
          <w:color w:val="000000"/>
          <w:sz w:val="24"/>
          <w:szCs w:val="24"/>
        </w:rPr>
        <w:t xml:space="preserve"> responses.  Allowing for variations in the recipient’s program to provide and maintain low-income housing, </w:t>
      </w:r>
      <w:r w:rsidR="00D746F6">
        <w:rPr>
          <w:color w:val="000000"/>
          <w:sz w:val="24"/>
          <w:szCs w:val="24"/>
        </w:rPr>
        <w:t>re</w:t>
      </w:r>
      <w:r w:rsidR="00971349">
        <w:rPr>
          <w:color w:val="000000"/>
          <w:sz w:val="24"/>
          <w:szCs w:val="24"/>
        </w:rPr>
        <w:t>cipient preparation of an</w:t>
      </w:r>
      <w:r w:rsidR="006C0DF6">
        <w:rPr>
          <w:color w:val="000000"/>
          <w:sz w:val="24"/>
          <w:szCs w:val="24"/>
        </w:rPr>
        <w:t xml:space="preserve"> IHP/APR takes an average of 62</w:t>
      </w:r>
      <w:r w:rsidR="00971349">
        <w:rPr>
          <w:color w:val="000000"/>
          <w:sz w:val="24"/>
          <w:szCs w:val="24"/>
        </w:rPr>
        <w:t xml:space="preserve"> hours</w:t>
      </w:r>
      <w:r w:rsidR="00D746F6">
        <w:rPr>
          <w:color w:val="000000"/>
          <w:sz w:val="24"/>
          <w:szCs w:val="24"/>
        </w:rPr>
        <w:t xml:space="preserve">.  </w:t>
      </w:r>
      <w:r w:rsidR="005B63FA">
        <w:rPr>
          <w:color w:val="000000"/>
          <w:sz w:val="24"/>
          <w:szCs w:val="24"/>
        </w:rPr>
        <w:t>This median average in burden hours assumes that the</w:t>
      </w:r>
      <w:r w:rsidR="006C0DF6">
        <w:rPr>
          <w:color w:val="000000"/>
          <w:sz w:val="24"/>
          <w:szCs w:val="24"/>
        </w:rPr>
        <w:t xml:space="preserve"> completion of </w:t>
      </w:r>
      <w:r w:rsidR="00944409">
        <w:rPr>
          <w:color w:val="000000"/>
          <w:sz w:val="24"/>
          <w:szCs w:val="24"/>
        </w:rPr>
        <w:t>the Excel version at 67 hours</w:t>
      </w:r>
      <w:r w:rsidR="006C0DF6">
        <w:rPr>
          <w:color w:val="000000"/>
          <w:sz w:val="24"/>
          <w:szCs w:val="24"/>
        </w:rPr>
        <w:t xml:space="preserve"> and the EPIC version at 52 hours.  </w:t>
      </w:r>
      <w:r w:rsidR="00617CF3">
        <w:rPr>
          <w:color w:val="000000"/>
          <w:sz w:val="24"/>
          <w:szCs w:val="24"/>
        </w:rPr>
        <w:t>HUD</w:t>
      </w:r>
      <w:r w:rsidR="00BA3705">
        <w:rPr>
          <w:color w:val="000000"/>
          <w:sz w:val="24"/>
          <w:szCs w:val="24"/>
        </w:rPr>
        <w:t xml:space="preserve"> typically receives an average of 300 Formula Correction forms and assumes it takes a recipient an average burden of half an hour to complete the form. </w:t>
      </w:r>
      <w:r w:rsidR="00617CF3">
        <w:rPr>
          <w:color w:val="000000"/>
          <w:sz w:val="24"/>
          <w:szCs w:val="24"/>
        </w:rPr>
        <w:t xml:space="preserve"> </w:t>
      </w:r>
      <w:r w:rsidR="005B312E">
        <w:rPr>
          <w:rFonts w:eastAsia="Calibri"/>
          <w:color w:val="000000"/>
          <w:sz w:val="24"/>
          <w:szCs w:val="24"/>
        </w:rPr>
        <w:t>HUD</w:t>
      </w:r>
      <w:r w:rsidR="00BA3705">
        <w:rPr>
          <w:rFonts w:eastAsia="Calibri"/>
          <w:color w:val="000000"/>
          <w:sz w:val="24"/>
          <w:szCs w:val="24"/>
        </w:rPr>
        <w:t xml:space="preserve"> typically receives 15 Formula Correction forms and assumes it takes a recipient an average burden of 150 hours to complete the form. </w:t>
      </w:r>
      <w:r w:rsidR="005B312E">
        <w:rPr>
          <w:rFonts w:eastAsia="Calibri"/>
          <w:color w:val="000000"/>
          <w:sz w:val="24"/>
          <w:szCs w:val="24"/>
        </w:rPr>
        <w:t xml:space="preserve"> </w:t>
      </w:r>
      <w:r w:rsidR="00D672B9">
        <w:rPr>
          <w:rFonts w:eastAsia="Calibri"/>
          <w:color w:val="000000"/>
          <w:sz w:val="24"/>
          <w:szCs w:val="24"/>
        </w:rPr>
        <w:t xml:space="preserve">All IHBG recipients may enter into Depository Agreements with bankers and/or brokers and HUD assumes it takes an average of 15 minutes to complete an Agreement for a total annual burden of 91.5 hours to complete each form. </w:t>
      </w:r>
    </w:p>
    <w:p w:rsidR="00D746F6" w:rsidRPr="00335B04" w:rsidRDefault="00D746F6" w:rsidP="0048334E">
      <w:pPr>
        <w:shd w:val="clear" w:color="auto" w:fill="FFFFFF"/>
        <w:ind w:firstLine="720"/>
        <w:rPr>
          <w:rFonts w:eastAsia="Calibri"/>
          <w:color w:val="000000"/>
          <w:sz w:val="24"/>
          <w:szCs w:val="24"/>
        </w:rPr>
      </w:pPr>
      <w:r>
        <w:rPr>
          <w:color w:val="000000"/>
          <w:sz w:val="24"/>
          <w:szCs w:val="24"/>
        </w:rPr>
        <w:t>The table</w:t>
      </w:r>
      <w:r w:rsidR="003D1318">
        <w:rPr>
          <w:rFonts w:eastAsia="Calibri"/>
          <w:color w:val="000000"/>
          <w:sz w:val="24"/>
          <w:szCs w:val="24"/>
        </w:rPr>
        <w:t xml:space="preserve"> below provide</w:t>
      </w:r>
      <w:r w:rsidR="00D455D0">
        <w:rPr>
          <w:rFonts w:eastAsia="Calibri"/>
          <w:color w:val="000000"/>
          <w:sz w:val="24"/>
          <w:szCs w:val="24"/>
        </w:rPr>
        <w:t>s</w:t>
      </w:r>
      <w:r w:rsidRPr="00335B04">
        <w:rPr>
          <w:rFonts w:eastAsia="Calibri"/>
          <w:color w:val="000000"/>
          <w:sz w:val="24"/>
          <w:szCs w:val="24"/>
        </w:rPr>
        <w:t xml:space="preserve"> </w:t>
      </w:r>
      <w:r w:rsidR="003D1318">
        <w:rPr>
          <w:rFonts w:eastAsia="Calibri"/>
          <w:color w:val="000000"/>
          <w:sz w:val="24"/>
          <w:szCs w:val="24"/>
        </w:rPr>
        <w:t>estimates on the number of respondent</w:t>
      </w:r>
      <w:r w:rsidR="00020F12">
        <w:rPr>
          <w:rFonts w:eastAsia="Calibri"/>
          <w:color w:val="000000"/>
          <w:sz w:val="24"/>
          <w:szCs w:val="24"/>
        </w:rPr>
        <w:t xml:space="preserve">s, frequency of submissions, total responses, and the estimated annual burden.  The estimates are based on field office experience.  </w:t>
      </w:r>
      <w:r w:rsidR="00F84AA4">
        <w:rPr>
          <w:rFonts w:eastAsia="Calibri"/>
          <w:color w:val="000000"/>
          <w:sz w:val="24"/>
          <w:szCs w:val="24"/>
        </w:rPr>
        <w:t xml:space="preserve">The decline in annual burden hours from OMB’s current inventory is due to correcting a mathematical error.  </w:t>
      </w:r>
    </w:p>
    <w:p w:rsidR="00D746F6" w:rsidRDefault="00D746F6" w:rsidP="0048334E">
      <w:pPr>
        <w:shd w:val="clear" w:color="auto" w:fill="FFFFFF"/>
        <w:spacing w:after="120"/>
        <w:rPr>
          <w:rFonts w:eastAsia="Calibri"/>
          <w:color w:val="000000"/>
          <w:sz w:val="24"/>
          <w:szCs w:val="24"/>
        </w:rPr>
      </w:pPr>
    </w:p>
    <w:p w:rsidR="00A34E95" w:rsidRDefault="00A34E95" w:rsidP="0048334E">
      <w:pPr>
        <w:shd w:val="clear" w:color="auto" w:fill="FFFFFF"/>
        <w:spacing w:after="120"/>
        <w:rPr>
          <w:rFonts w:eastAsia="Calibri"/>
          <w:b/>
          <w:color w:val="000000"/>
          <w:sz w:val="24"/>
          <w:szCs w:val="24"/>
        </w:rPr>
      </w:pPr>
    </w:p>
    <w:p w:rsidR="00A34E95" w:rsidRDefault="00A34E95" w:rsidP="0048334E">
      <w:pPr>
        <w:shd w:val="clear" w:color="auto" w:fill="FFFFFF"/>
        <w:spacing w:after="120"/>
        <w:rPr>
          <w:rFonts w:eastAsia="Calibri"/>
          <w:b/>
          <w:color w:val="000000"/>
          <w:sz w:val="24"/>
          <w:szCs w:val="24"/>
        </w:rPr>
      </w:pPr>
    </w:p>
    <w:p w:rsidR="00A34E95" w:rsidRDefault="00A34E95" w:rsidP="0048334E">
      <w:pPr>
        <w:shd w:val="clear" w:color="auto" w:fill="FFFFFF"/>
        <w:spacing w:after="120"/>
        <w:rPr>
          <w:rFonts w:eastAsia="Calibri"/>
          <w:b/>
          <w:color w:val="000000"/>
          <w:sz w:val="24"/>
          <w:szCs w:val="24"/>
        </w:rPr>
      </w:pPr>
    </w:p>
    <w:p w:rsidR="00A34E95" w:rsidRDefault="00A34E95" w:rsidP="0048334E">
      <w:pPr>
        <w:shd w:val="clear" w:color="auto" w:fill="FFFFFF"/>
        <w:spacing w:after="120"/>
        <w:rPr>
          <w:rFonts w:eastAsia="Calibri"/>
          <w:b/>
          <w:color w:val="000000"/>
          <w:sz w:val="24"/>
          <w:szCs w:val="24"/>
        </w:rPr>
      </w:pPr>
    </w:p>
    <w:p w:rsidR="00A34E95" w:rsidRDefault="00A34E95" w:rsidP="0048334E">
      <w:pPr>
        <w:shd w:val="clear" w:color="auto" w:fill="FFFFFF"/>
        <w:spacing w:after="120"/>
        <w:rPr>
          <w:rFonts w:eastAsia="Calibri"/>
          <w:b/>
          <w:color w:val="000000"/>
          <w:sz w:val="24"/>
          <w:szCs w:val="24"/>
        </w:rPr>
      </w:pPr>
    </w:p>
    <w:p w:rsidR="00A34E95" w:rsidRDefault="00A34E95" w:rsidP="0048334E">
      <w:pPr>
        <w:shd w:val="clear" w:color="auto" w:fill="FFFFFF"/>
        <w:spacing w:after="120"/>
        <w:rPr>
          <w:rFonts w:eastAsia="Calibri"/>
          <w:b/>
          <w:color w:val="000000"/>
          <w:sz w:val="24"/>
          <w:szCs w:val="24"/>
        </w:rPr>
      </w:pPr>
    </w:p>
    <w:p w:rsidR="00A34E95" w:rsidRDefault="00A34E95" w:rsidP="0048334E">
      <w:pPr>
        <w:shd w:val="clear" w:color="auto" w:fill="FFFFFF"/>
        <w:spacing w:after="120"/>
        <w:rPr>
          <w:rFonts w:eastAsia="Calibri"/>
          <w:b/>
          <w:color w:val="000000"/>
          <w:sz w:val="24"/>
          <w:szCs w:val="24"/>
        </w:rPr>
      </w:pPr>
    </w:p>
    <w:p w:rsidR="00A34E95" w:rsidRDefault="00A34E95" w:rsidP="0048334E">
      <w:pPr>
        <w:shd w:val="clear" w:color="auto" w:fill="FFFFFF"/>
        <w:spacing w:after="120"/>
        <w:rPr>
          <w:rFonts w:eastAsia="Calibri"/>
          <w:b/>
          <w:color w:val="000000"/>
          <w:sz w:val="24"/>
          <w:szCs w:val="24"/>
        </w:rPr>
      </w:pPr>
    </w:p>
    <w:p w:rsidR="00A34E95" w:rsidRDefault="00A34E95" w:rsidP="0048334E">
      <w:pPr>
        <w:shd w:val="clear" w:color="auto" w:fill="FFFFFF"/>
        <w:spacing w:after="120"/>
        <w:rPr>
          <w:rFonts w:eastAsia="Calibri"/>
          <w:b/>
          <w:color w:val="000000"/>
          <w:sz w:val="24"/>
          <w:szCs w:val="24"/>
        </w:rPr>
      </w:pPr>
    </w:p>
    <w:p w:rsidR="00A34E95" w:rsidRDefault="00A34E95" w:rsidP="0048334E">
      <w:pPr>
        <w:shd w:val="clear" w:color="auto" w:fill="FFFFFF"/>
        <w:spacing w:after="120"/>
        <w:rPr>
          <w:rFonts w:eastAsia="Calibri"/>
          <w:b/>
          <w:color w:val="000000"/>
          <w:sz w:val="24"/>
          <w:szCs w:val="24"/>
        </w:rPr>
      </w:pPr>
    </w:p>
    <w:p w:rsidR="00A34E95" w:rsidRDefault="00A34E95" w:rsidP="0048334E">
      <w:pPr>
        <w:shd w:val="clear" w:color="auto" w:fill="FFFFFF"/>
        <w:spacing w:after="120"/>
        <w:rPr>
          <w:rFonts w:eastAsia="Calibri"/>
          <w:b/>
          <w:color w:val="000000"/>
          <w:sz w:val="24"/>
          <w:szCs w:val="24"/>
        </w:rPr>
      </w:pPr>
    </w:p>
    <w:p w:rsidR="00A34E95" w:rsidRDefault="00A34E95" w:rsidP="0048334E">
      <w:pPr>
        <w:shd w:val="clear" w:color="auto" w:fill="FFFFFF"/>
        <w:spacing w:after="120"/>
        <w:rPr>
          <w:rFonts w:eastAsia="Calibri"/>
          <w:b/>
          <w:color w:val="000000"/>
          <w:sz w:val="24"/>
          <w:szCs w:val="24"/>
        </w:rPr>
      </w:pPr>
    </w:p>
    <w:p w:rsidR="00A34E95" w:rsidRDefault="00A34E95" w:rsidP="0048334E">
      <w:pPr>
        <w:shd w:val="clear" w:color="auto" w:fill="FFFFFF"/>
        <w:spacing w:after="120"/>
        <w:rPr>
          <w:rFonts w:eastAsia="Calibri"/>
          <w:b/>
          <w:color w:val="000000"/>
          <w:sz w:val="24"/>
          <w:szCs w:val="24"/>
        </w:rPr>
      </w:pPr>
    </w:p>
    <w:p w:rsidR="00A34E95" w:rsidRDefault="00A34E95" w:rsidP="0048334E">
      <w:pPr>
        <w:shd w:val="clear" w:color="auto" w:fill="FFFFFF"/>
        <w:spacing w:after="120"/>
        <w:rPr>
          <w:rFonts w:eastAsia="Calibri"/>
          <w:b/>
          <w:color w:val="000000"/>
          <w:sz w:val="24"/>
          <w:szCs w:val="24"/>
        </w:rPr>
      </w:pPr>
    </w:p>
    <w:p w:rsidR="00D67061" w:rsidRPr="00D67061" w:rsidRDefault="003D1318" w:rsidP="0048334E">
      <w:pPr>
        <w:shd w:val="clear" w:color="auto" w:fill="FFFFFF"/>
        <w:spacing w:after="120"/>
        <w:rPr>
          <w:rFonts w:eastAsia="Calibri"/>
          <w:b/>
          <w:color w:val="000000"/>
          <w:sz w:val="24"/>
          <w:szCs w:val="24"/>
        </w:rPr>
      </w:pPr>
      <w:r w:rsidRPr="00D67061">
        <w:rPr>
          <w:rFonts w:eastAsia="Calibri"/>
          <w:b/>
          <w:color w:val="000000"/>
          <w:sz w:val="24"/>
          <w:szCs w:val="24"/>
        </w:rPr>
        <w:t>Estimated Number of Respondents, Responses, and Annual Burden Hours</w:t>
      </w:r>
    </w:p>
    <w:tbl>
      <w:tblPr>
        <w:tblW w:w="9253" w:type="dxa"/>
        <w:tblInd w:w="345" w:type="dxa"/>
        <w:tblCellMar>
          <w:left w:w="0" w:type="dxa"/>
          <w:right w:w="0" w:type="dxa"/>
        </w:tblCellMar>
        <w:tblLook w:val="0000" w:firstRow="0" w:lastRow="0" w:firstColumn="0" w:lastColumn="0" w:noHBand="0" w:noVBand="0"/>
      </w:tblPr>
      <w:tblGrid>
        <w:gridCol w:w="2148"/>
        <w:gridCol w:w="1236"/>
        <w:gridCol w:w="1292"/>
        <w:gridCol w:w="1427"/>
        <w:gridCol w:w="1716"/>
        <w:gridCol w:w="1434"/>
      </w:tblGrid>
      <w:tr w:rsidR="00352400" w:rsidRPr="00D67061" w:rsidTr="001E7234">
        <w:trPr>
          <w:trHeight w:val="799"/>
        </w:trPr>
        <w:tc>
          <w:tcPr>
            <w:tcW w:w="2148" w:type="dxa"/>
            <w:tcBorders>
              <w:top w:val="single" w:sz="4" w:space="0" w:color="auto"/>
              <w:left w:val="single" w:sz="4" w:space="0" w:color="auto"/>
              <w:bottom w:val="single" w:sz="4" w:space="0" w:color="auto"/>
              <w:right w:val="single" w:sz="4" w:space="0" w:color="auto"/>
            </w:tcBorders>
            <w:vAlign w:val="center"/>
          </w:tcPr>
          <w:p w:rsidR="00352400" w:rsidRPr="00D67061" w:rsidRDefault="00352400" w:rsidP="0048334E">
            <w:pPr>
              <w:shd w:val="clear" w:color="auto" w:fill="FFFFFF"/>
              <w:spacing w:before="40" w:after="40"/>
              <w:rPr>
                <w:rFonts w:eastAsia="Calibri"/>
                <w:i/>
                <w:color w:val="000000"/>
                <w:sz w:val="24"/>
                <w:szCs w:val="24"/>
              </w:rPr>
            </w:pPr>
            <w:r w:rsidRPr="00D67061">
              <w:rPr>
                <w:rFonts w:eastAsia="Calibri"/>
                <w:i/>
                <w:color w:val="000000"/>
                <w:sz w:val="24"/>
                <w:szCs w:val="24"/>
              </w:rPr>
              <w:t>Type of Submission</w:t>
            </w:r>
          </w:p>
        </w:tc>
        <w:tc>
          <w:tcPr>
            <w:tcW w:w="1236" w:type="dxa"/>
            <w:tcBorders>
              <w:top w:val="single" w:sz="4" w:space="0" w:color="auto"/>
              <w:left w:val="nil"/>
              <w:bottom w:val="single" w:sz="4" w:space="0" w:color="auto"/>
              <w:right w:val="single" w:sz="4" w:space="0" w:color="auto"/>
            </w:tcBorders>
          </w:tcPr>
          <w:p w:rsidR="00352400" w:rsidRPr="00D67061" w:rsidRDefault="00352400" w:rsidP="0048334E">
            <w:pPr>
              <w:shd w:val="clear" w:color="auto" w:fill="FFFFFF"/>
              <w:spacing w:before="40" w:after="40"/>
              <w:jc w:val="center"/>
              <w:rPr>
                <w:rFonts w:eastAsia="Calibri"/>
                <w:i/>
                <w:color w:val="000000"/>
                <w:sz w:val="24"/>
                <w:szCs w:val="24"/>
              </w:rPr>
            </w:pPr>
            <w:r w:rsidRPr="00D67061">
              <w:rPr>
                <w:rFonts w:eastAsia="Calibri"/>
                <w:i/>
                <w:color w:val="000000"/>
                <w:sz w:val="24"/>
                <w:szCs w:val="24"/>
              </w:rPr>
              <w:t>Number of Respondents</w:t>
            </w:r>
          </w:p>
        </w:tc>
        <w:tc>
          <w:tcPr>
            <w:tcW w:w="1292" w:type="dxa"/>
            <w:tcBorders>
              <w:top w:val="single" w:sz="4" w:space="0" w:color="auto"/>
              <w:left w:val="nil"/>
              <w:bottom w:val="single" w:sz="4" w:space="0" w:color="auto"/>
              <w:right w:val="single" w:sz="4" w:space="0" w:color="auto"/>
            </w:tcBorders>
          </w:tcPr>
          <w:p w:rsidR="00352400" w:rsidRPr="00D67061" w:rsidRDefault="00352400" w:rsidP="0048334E">
            <w:pPr>
              <w:shd w:val="clear" w:color="auto" w:fill="FFFFFF"/>
              <w:spacing w:before="40" w:after="40"/>
              <w:jc w:val="center"/>
              <w:rPr>
                <w:rFonts w:eastAsia="Calibri"/>
                <w:i/>
                <w:color w:val="000000"/>
                <w:sz w:val="24"/>
                <w:szCs w:val="24"/>
              </w:rPr>
            </w:pPr>
            <w:r w:rsidRPr="00D67061">
              <w:rPr>
                <w:rFonts w:eastAsia="Calibri"/>
                <w:i/>
                <w:color w:val="000000"/>
                <w:sz w:val="24"/>
                <w:szCs w:val="24"/>
              </w:rPr>
              <w:t>Frequency of Submissions</w:t>
            </w:r>
          </w:p>
        </w:tc>
        <w:tc>
          <w:tcPr>
            <w:tcW w:w="1427" w:type="dxa"/>
            <w:tcBorders>
              <w:top w:val="single" w:sz="4" w:space="0" w:color="auto"/>
              <w:left w:val="nil"/>
              <w:bottom w:val="single" w:sz="4" w:space="0" w:color="auto"/>
              <w:right w:val="single" w:sz="4" w:space="0" w:color="auto"/>
            </w:tcBorders>
          </w:tcPr>
          <w:p w:rsidR="00352400" w:rsidRPr="00D67061" w:rsidRDefault="00352400" w:rsidP="0048334E">
            <w:pPr>
              <w:shd w:val="clear" w:color="auto" w:fill="FFFFFF"/>
              <w:spacing w:before="40" w:after="40"/>
              <w:jc w:val="center"/>
              <w:rPr>
                <w:rFonts w:eastAsia="Calibri"/>
                <w:i/>
                <w:color w:val="000000"/>
                <w:sz w:val="24"/>
                <w:szCs w:val="24"/>
              </w:rPr>
            </w:pPr>
            <w:r w:rsidRPr="00D67061">
              <w:rPr>
                <w:rFonts w:eastAsia="Calibri"/>
                <w:i/>
                <w:color w:val="000000"/>
                <w:sz w:val="24"/>
                <w:szCs w:val="24"/>
              </w:rPr>
              <w:t>Total Responses</w:t>
            </w:r>
          </w:p>
        </w:tc>
        <w:tc>
          <w:tcPr>
            <w:tcW w:w="1716" w:type="dxa"/>
            <w:tcBorders>
              <w:top w:val="single" w:sz="4" w:space="0" w:color="auto"/>
              <w:left w:val="single" w:sz="4" w:space="0" w:color="auto"/>
              <w:bottom w:val="single" w:sz="4" w:space="0" w:color="auto"/>
              <w:right w:val="single" w:sz="4" w:space="0" w:color="auto"/>
            </w:tcBorders>
          </w:tcPr>
          <w:p w:rsidR="00352400" w:rsidRPr="00D67061" w:rsidRDefault="00352400" w:rsidP="0048334E">
            <w:pPr>
              <w:shd w:val="clear" w:color="auto" w:fill="FFFFFF"/>
              <w:spacing w:before="40" w:after="40"/>
              <w:jc w:val="center"/>
              <w:rPr>
                <w:rFonts w:eastAsia="Calibri"/>
                <w:i/>
                <w:color w:val="000000"/>
                <w:sz w:val="24"/>
                <w:szCs w:val="24"/>
              </w:rPr>
            </w:pPr>
            <w:r w:rsidRPr="00D67061">
              <w:rPr>
                <w:rFonts w:eastAsia="Calibri"/>
                <w:i/>
                <w:color w:val="000000"/>
                <w:sz w:val="24"/>
                <w:szCs w:val="24"/>
              </w:rPr>
              <w:t>Estimate Average Time (Hrs)</w:t>
            </w:r>
          </w:p>
        </w:tc>
        <w:tc>
          <w:tcPr>
            <w:tcW w:w="1434" w:type="dxa"/>
            <w:tcBorders>
              <w:top w:val="single" w:sz="4" w:space="0" w:color="auto"/>
              <w:left w:val="nil"/>
              <w:bottom w:val="single" w:sz="4" w:space="0" w:color="auto"/>
              <w:right w:val="single" w:sz="4" w:space="0" w:color="auto"/>
            </w:tcBorders>
          </w:tcPr>
          <w:p w:rsidR="00352400" w:rsidRPr="00D67061" w:rsidRDefault="00352400" w:rsidP="0048334E">
            <w:pPr>
              <w:shd w:val="clear" w:color="auto" w:fill="FFFFFF"/>
              <w:spacing w:before="40" w:after="40"/>
              <w:jc w:val="center"/>
              <w:rPr>
                <w:rFonts w:eastAsia="Calibri"/>
                <w:i/>
                <w:color w:val="000000"/>
                <w:sz w:val="24"/>
                <w:szCs w:val="24"/>
              </w:rPr>
            </w:pPr>
            <w:r w:rsidRPr="00D67061">
              <w:rPr>
                <w:rFonts w:eastAsia="Calibri"/>
                <w:i/>
                <w:color w:val="000000"/>
                <w:sz w:val="24"/>
                <w:szCs w:val="24"/>
              </w:rPr>
              <w:t>Estimate Annual Burden (Hrs)</w:t>
            </w:r>
          </w:p>
        </w:tc>
      </w:tr>
      <w:tr w:rsidR="006110B7" w:rsidRPr="00D67061" w:rsidTr="001E7234">
        <w:trPr>
          <w:trHeight w:val="300"/>
        </w:trPr>
        <w:tc>
          <w:tcPr>
            <w:tcW w:w="2148" w:type="dxa"/>
            <w:tcBorders>
              <w:top w:val="nil"/>
              <w:left w:val="single" w:sz="4" w:space="0" w:color="auto"/>
              <w:bottom w:val="single" w:sz="4" w:space="0" w:color="auto"/>
              <w:right w:val="single" w:sz="4" w:space="0" w:color="auto"/>
            </w:tcBorders>
            <w:vAlign w:val="center"/>
          </w:tcPr>
          <w:p w:rsidR="006110B7" w:rsidRPr="00D67061" w:rsidRDefault="006110B7" w:rsidP="0048334E">
            <w:pPr>
              <w:shd w:val="clear" w:color="auto" w:fill="FFFFFF"/>
              <w:spacing w:before="40" w:after="40"/>
              <w:rPr>
                <w:color w:val="000000"/>
                <w:sz w:val="24"/>
                <w:szCs w:val="24"/>
              </w:rPr>
            </w:pPr>
            <w:r w:rsidRPr="00D67061">
              <w:rPr>
                <w:color w:val="000000"/>
                <w:sz w:val="24"/>
                <w:szCs w:val="24"/>
              </w:rPr>
              <w:t>IHP</w:t>
            </w:r>
            <w:r>
              <w:rPr>
                <w:color w:val="000000"/>
                <w:sz w:val="24"/>
                <w:szCs w:val="24"/>
              </w:rPr>
              <w:t>/APR</w:t>
            </w:r>
            <w:r w:rsidRPr="00D67061">
              <w:rPr>
                <w:color w:val="000000"/>
                <w:sz w:val="24"/>
                <w:szCs w:val="24"/>
              </w:rPr>
              <w:t xml:space="preserve">  (HUD-</w:t>
            </w:r>
            <w:r>
              <w:rPr>
                <w:rFonts w:eastAsia="Calibri"/>
                <w:color w:val="000000"/>
                <w:sz w:val="24"/>
                <w:szCs w:val="24"/>
              </w:rPr>
              <w:t>52737</w:t>
            </w:r>
            <w:r w:rsidRPr="00D67061">
              <w:rPr>
                <w:rFonts w:eastAsia="Calibri"/>
                <w:color w:val="000000"/>
                <w:sz w:val="24"/>
                <w:szCs w:val="24"/>
              </w:rPr>
              <w:t>)</w:t>
            </w:r>
          </w:p>
        </w:tc>
        <w:tc>
          <w:tcPr>
            <w:tcW w:w="1236" w:type="dxa"/>
            <w:tcBorders>
              <w:top w:val="nil"/>
              <w:left w:val="nil"/>
              <w:bottom w:val="single" w:sz="4" w:space="0" w:color="auto"/>
              <w:right w:val="single" w:sz="4" w:space="0" w:color="auto"/>
            </w:tcBorders>
            <w:vAlign w:val="center"/>
          </w:tcPr>
          <w:p w:rsidR="006110B7" w:rsidRPr="00D67061" w:rsidRDefault="006110B7" w:rsidP="00E93C6E">
            <w:pPr>
              <w:shd w:val="clear" w:color="auto" w:fill="FFFFFF"/>
              <w:spacing w:before="40" w:after="40"/>
              <w:ind w:right="62"/>
              <w:jc w:val="center"/>
              <w:rPr>
                <w:rFonts w:eastAsia="Calibri"/>
                <w:color w:val="000000"/>
                <w:sz w:val="24"/>
                <w:szCs w:val="24"/>
              </w:rPr>
            </w:pPr>
            <w:r>
              <w:rPr>
                <w:rFonts w:eastAsia="Calibri"/>
                <w:color w:val="000000"/>
                <w:sz w:val="24"/>
                <w:szCs w:val="24"/>
              </w:rPr>
              <w:t>366</w:t>
            </w:r>
          </w:p>
        </w:tc>
        <w:tc>
          <w:tcPr>
            <w:tcW w:w="1292" w:type="dxa"/>
            <w:tcBorders>
              <w:top w:val="nil"/>
              <w:left w:val="nil"/>
              <w:bottom w:val="single" w:sz="4" w:space="0" w:color="auto"/>
              <w:right w:val="single" w:sz="4" w:space="0" w:color="auto"/>
            </w:tcBorders>
            <w:vAlign w:val="center"/>
          </w:tcPr>
          <w:p w:rsidR="006110B7" w:rsidRDefault="0013649D" w:rsidP="0048334E">
            <w:pPr>
              <w:shd w:val="clear" w:color="auto" w:fill="FFFFFF"/>
              <w:spacing w:before="40" w:after="40"/>
              <w:jc w:val="center"/>
              <w:rPr>
                <w:rFonts w:eastAsia="Calibri"/>
                <w:color w:val="000000"/>
                <w:sz w:val="24"/>
                <w:szCs w:val="24"/>
              </w:rPr>
            </w:pPr>
            <w:r>
              <w:rPr>
                <w:rFonts w:eastAsia="Calibri"/>
                <w:color w:val="000000"/>
                <w:sz w:val="24"/>
                <w:szCs w:val="24"/>
              </w:rPr>
              <w:t>2</w:t>
            </w:r>
          </w:p>
        </w:tc>
        <w:tc>
          <w:tcPr>
            <w:tcW w:w="1427" w:type="dxa"/>
            <w:tcBorders>
              <w:top w:val="single" w:sz="4" w:space="0" w:color="auto"/>
              <w:left w:val="nil"/>
              <w:bottom w:val="single" w:sz="4" w:space="0" w:color="auto"/>
              <w:right w:val="single" w:sz="4" w:space="0" w:color="auto"/>
            </w:tcBorders>
            <w:vAlign w:val="center"/>
          </w:tcPr>
          <w:p w:rsidR="006110B7" w:rsidRDefault="0013649D" w:rsidP="00E93C6E">
            <w:pPr>
              <w:shd w:val="clear" w:color="auto" w:fill="FFFFFF"/>
              <w:spacing w:before="40" w:after="40"/>
              <w:ind w:right="49"/>
              <w:jc w:val="center"/>
              <w:rPr>
                <w:color w:val="000000"/>
                <w:sz w:val="24"/>
                <w:szCs w:val="24"/>
              </w:rPr>
            </w:pPr>
            <w:r>
              <w:rPr>
                <w:color w:val="000000"/>
                <w:sz w:val="24"/>
                <w:szCs w:val="24"/>
              </w:rPr>
              <w:t>732</w:t>
            </w:r>
          </w:p>
        </w:tc>
        <w:tc>
          <w:tcPr>
            <w:tcW w:w="1716" w:type="dxa"/>
            <w:tcBorders>
              <w:top w:val="nil"/>
              <w:left w:val="single" w:sz="4" w:space="0" w:color="auto"/>
              <w:bottom w:val="single" w:sz="4" w:space="0" w:color="auto"/>
              <w:right w:val="single" w:sz="4" w:space="0" w:color="auto"/>
            </w:tcBorders>
            <w:vAlign w:val="center"/>
          </w:tcPr>
          <w:p w:rsidR="006110B7" w:rsidRDefault="005B63FA" w:rsidP="00E93C6E">
            <w:pPr>
              <w:shd w:val="clear" w:color="auto" w:fill="FFFFFF"/>
              <w:spacing w:before="40" w:after="40"/>
              <w:ind w:right="83"/>
              <w:jc w:val="center"/>
              <w:rPr>
                <w:color w:val="000000"/>
                <w:sz w:val="24"/>
                <w:szCs w:val="24"/>
              </w:rPr>
            </w:pPr>
            <w:r>
              <w:rPr>
                <w:color w:val="000000"/>
                <w:sz w:val="24"/>
                <w:szCs w:val="24"/>
              </w:rPr>
              <w:t>62</w:t>
            </w:r>
          </w:p>
        </w:tc>
        <w:tc>
          <w:tcPr>
            <w:tcW w:w="1434" w:type="dxa"/>
            <w:tcBorders>
              <w:top w:val="nil"/>
              <w:left w:val="nil"/>
              <w:bottom w:val="single" w:sz="4" w:space="0" w:color="auto"/>
              <w:right w:val="single" w:sz="4" w:space="0" w:color="auto"/>
            </w:tcBorders>
            <w:vAlign w:val="center"/>
          </w:tcPr>
          <w:p w:rsidR="006110B7" w:rsidRDefault="006110B7" w:rsidP="00E93C6E">
            <w:pPr>
              <w:shd w:val="clear" w:color="auto" w:fill="FFFFFF"/>
              <w:spacing w:before="40" w:after="40"/>
              <w:ind w:right="53"/>
              <w:jc w:val="right"/>
              <w:rPr>
                <w:color w:val="000000"/>
                <w:sz w:val="24"/>
                <w:szCs w:val="24"/>
              </w:rPr>
            </w:pPr>
            <w:r>
              <w:rPr>
                <w:color w:val="000000"/>
                <w:sz w:val="24"/>
                <w:szCs w:val="24"/>
              </w:rPr>
              <w:t>4</w:t>
            </w:r>
            <w:r w:rsidR="0013649D">
              <w:rPr>
                <w:color w:val="000000"/>
                <w:sz w:val="24"/>
                <w:szCs w:val="24"/>
              </w:rPr>
              <w:t>5,</w:t>
            </w:r>
            <w:r w:rsidR="001E7234">
              <w:rPr>
                <w:color w:val="000000"/>
                <w:sz w:val="24"/>
                <w:szCs w:val="24"/>
              </w:rPr>
              <w:t>384</w:t>
            </w:r>
          </w:p>
        </w:tc>
      </w:tr>
      <w:tr w:rsidR="00352400" w:rsidRPr="00D67061" w:rsidTr="001E7234">
        <w:trPr>
          <w:trHeight w:val="255"/>
        </w:trPr>
        <w:tc>
          <w:tcPr>
            <w:tcW w:w="2148" w:type="dxa"/>
            <w:tcBorders>
              <w:top w:val="nil"/>
              <w:left w:val="single" w:sz="4" w:space="0" w:color="auto"/>
              <w:bottom w:val="single" w:sz="4" w:space="0" w:color="auto"/>
              <w:right w:val="single" w:sz="4" w:space="0" w:color="auto"/>
            </w:tcBorders>
            <w:vAlign w:val="center"/>
          </w:tcPr>
          <w:p w:rsidR="00352400" w:rsidRPr="00D67061" w:rsidRDefault="00352400" w:rsidP="0048334E">
            <w:pPr>
              <w:shd w:val="clear" w:color="auto" w:fill="FFFFFF"/>
              <w:spacing w:before="40" w:after="40"/>
              <w:rPr>
                <w:color w:val="000000"/>
                <w:sz w:val="24"/>
                <w:szCs w:val="24"/>
              </w:rPr>
            </w:pPr>
            <w:r w:rsidRPr="00D67061">
              <w:rPr>
                <w:color w:val="000000"/>
                <w:sz w:val="24"/>
                <w:szCs w:val="24"/>
              </w:rPr>
              <w:t>Formula Correction (HUD-4117)</w:t>
            </w:r>
          </w:p>
        </w:tc>
        <w:tc>
          <w:tcPr>
            <w:tcW w:w="1236" w:type="dxa"/>
            <w:tcBorders>
              <w:top w:val="nil"/>
              <w:left w:val="nil"/>
              <w:bottom w:val="single" w:sz="4" w:space="0" w:color="auto"/>
              <w:right w:val="single" w:sz="4" w:space="0" w:color="auto"/>
            </w:tcBorders>
            <w:vAlign w:val="center"/>
          </w:tcPr>
          <w:p w:rsidR="00352400" w:rsidRPr="00D67061" w:rsidRDefault="00282A59" w:rsidP="00E93C6E">
            <w:pPr>
              <w:shd w:val="clear" w:color="auto" w:fill="FFFFFF"/>
              <w:spacing w:before="40" w:after="40"/>
              <w:ind w:right="62"/>
              <w:jc w:val="center"/>
              <w:rPr>
                <w:rFonts w:eastAsia="Calibri"/>
                <w:color w:val="000000"/>
                <w:sz w:val="24"/>
                <w:szCs w:val="24"/>
              </w:rPr>
            </w:pPr>
            <w:r>
              <w:rPr>
                <w:rFonts w:eastAsia="Calibri"/>
                <w:color w:val="000000"/>
                <w:sz w:val="24"/>
                <w:szCs w:val="24"/>
              </w:rPr>
              <w:t>300</w:t>
            </w:r>
          </w:p>
        </w:tc>
        <w:tc>
          <w:tcPr>
            <w:tcW w:w="1292" w:type="dxa"/>
            <w:tcBorders>
              <w:top w:val="nil"/>
              <w:left w:val="nil"/>
              <w:bottom w:val="single" w:sz="4" w:space="0" w:color="auto"/>
              <w:right w:val="single" w:sz="4" w:space="0" w:color="auto"/>
            </w:tcBorders>
            <w:vAlign w:val="center"/>
          </w:tcPr>
          <w:p w:rsidR="00352400" w:rsidRPr="00D67061" w:rsidRDefault="00352400" w:rsidP="0048334E">
            <w:pPr>
              <w:shd w:val="clear" w:color="auto" w:fill="FFFFFF"/>
              <w:spacing w:before="40" w:after="40"/>
              <w:jc w:val="center"/>
              <w:rPr>
                <w:rFonts w:eastAsia="Calibri"/>
                <w:color w:val="000000"/>
                <w:sz w:val="24"/>
                <w:szCs w:val="24"/>
              </w:rPr>
            </w:pPr>
            <w:r w:rsidRPr="00D67061">
              <w:rPr>
                <w:rFonts w:eastAsia="Calibri"/>
                <w:color w:val="000000"/>
                <w:sz w:val="24"/>
                <w:szCs w:val="24"/>
              </w:rPr>
              <w:t>1</w:t>
            </w:r>
          </w:p>
        </w:tc>
        <w:tc>
          <w:tcPr>
            <w:tcW w:w="1427" w:type="dxa"/>
            <w:tcBorders>
              <w:top w:val="single" w:sz="4" w:space="0" w:color="auto"/>
              <w:left w:val="nil"/>
              <w:bottom w:val="single" w:sz="4" w:space="0" w:color="auto"/>
              <w:right w:val="single" w:sz="4" w:space="0" w:color="auto"/>
            </w:tcBorders>
            <w:vAlign w:val="center"/>
          </w:tcPr>
          <w:p w:rsidR="00352400" w:rsidRPr="00D67061" w:rsidRDefault="00282A59" w:rsidP="00E93C6E">
            <w:pPr>
              <w:shd w:val="clear" w:color="auto" w:fill="FFFFFF"/>
              <w:spacing w:before="40" w:after="40"/>
              <w:ind w:right="49"/>
              <w:jc w:val="center"/>
              <w:rPr>
                <w:rFonts w:eastAsia="Calibri"/>
                <w:color w:val="000000"/>
                <w:sz w:val="24"/>
                <w:szCs w:val="24"/>
              </w:rPr>
            </w:pPr>
            <w:r>
              <w:rPr>
                <w:rFonts w:eastAsia="Calibri"/>
                <w:color w:val="000000"/>
                <w:sz w:val="24"/>
                <w:szCs w:val="24"/>
              </w:rPr>
              <w:t>300</w:t>
            </w:r>
          </w:p>
        </w:tc>
        <w:tc>
          <w:tcPr>
            <w:tcW w:w="1716" w:type="dxa"/>
            <w:tcBorders>
              <w:top w:val="nil"/>
              <w:left w:val="single" w:sz="4" w:space="0" w:color="auto"/>
              <w:bottom w:val="single" w:sz="4" w:space="0" w:color="auto"/>
              <w:right w:val="single" w:sz="4" w:space="0" w:color="auto"/>
            </w:tcBorders>
            <w:vAlign w:val="center"/>
          </w:tcPr>
          <w:p w:rsidR="00352400" w:rsidRPr="00D67061" w:rsidRDefault="00352400" w:rsidP="00E93C6E">
            <w:pPr>
              <w:shd w:val="clear" w:color="auto" w:fill="FFFFFF"/>
              <w:spacing w:before="40" w:after="40"/>
              <w:ind w:right="83"/>
              <w:jc w:val="center"/>
              <w:rPr>
                <w:rFonts w:eastAsia="Calibri"/>
                <w:color w:val="000000"/>
                <w:sz w:val="24"/>
                <w:szCs w:val="24"/>
              </w:rPr>
            </w:pPr>
            <w:r w:rsidRPr="00D67061">
              <w:rPr>
                <w:rFonts w:eastAsia="Calibri"/>
                <w:color w:val="000000"/>
                <w:sz w:val="24"/>
                <w:szCs w:val="24"/>
              </w:rPr>
              <w:t>.5</w:t>
            </w:r>
          </w:p>
        </w:tc>
        <w:tc>
          <w:tcPr>
            <w:tcW w:w="1434" w:type="dxa"/>
            <w:tcBorders>
              <w:top w:val="nil"/>
              <w:left w:val="nil"/>
              <w:bottom w:val="single" w:sz="4" w:space="0" w:color="auto"/>
              <w:right w:val="single" w:sz="4" w:space="0" w:color="auto"/>
            </w:tcBorders>
            <w:vAlign w:val="center"/>
          </w:tcPr>
          <w:p w:rsidR="00352400" w:rsidRPr="00D67061" w:rsidRDefault="00282A59" w:rsidP="00E93C6E">
            <w:pPr>
              <w:shd w:val="clear" w:color="auto" w:fill="FFFFFF"/>
              <w:spacing w:before="40" w:after="40"/>
              <w:ind w:right="53"/>
              <w:jc w:val="right"/>
              <w:rPr>
                <w:rFonts w:eastAsia="Calibri"/>
                <w:color w:val="000000"/>
                <w:sz w:val="24"/>
                <w:szCs w:val="24"/>
              </w:rPr>
            </w:pPr>
            <w:r>
              <w:rPr>
                <w:rFonts w:eastAsia="Calibri"/>
                <w:color w:val="000000"/>
                <w:sz w:val="24"/>
                <w:szCs w:val="24"/>
              </w:rPr>
              <w:t>150</w:t>
            </w:r>
          </w:p>
        </w:tc>
      </w:tr>
      <w:tr w:rsidR="00D67737" w:rsidRPr="00D67061" w:rsidTr="001E7234">
        <w:trPr>
          <w:trHeight w:val="255"/>
        </w:trPr>
        <w:tc>
          <w:tcPr>
            <w:tcW w:w="2148" w:type="dxa"/>
            <w:tcBorders>
              <w:top w:val="nil"/>
              <w:left w:val="single" w:sz="4" w:space="0" w:color="auto"/>
              <w:bottom w:val="single" w:sz="4" w:space="0" w:color="auto"/>
              <w:right w:val="single" w:sz="4" w:space="0" w:color="auto"/>
            </w:tcBorders>
            <w:vAlign w:val="center"/>
          </w:tcPr>
          <w:p w:rsidR="00D67737" w:rsidRPr="00D67061" w:rsidRDefault="00D67737" w:rsidP="00823FF9">
            <w:pPr>
              <w:shd w:val="clear" w:color="auto" w:fill="FFFFFF"/>
              <w:spacing w:before="40" w:after="40"/>
              <w:rPr>
                <w:color w:val="000000"/>
                <w:sz w:val="24"/>
                <w:szCs w:val="24"/>
              </w:rPr>
            </w:pPr>
            <w:r w:rsidRPr="00D67061">
              <w:rPr>
                <w:color w:val="000000"/>
                <w:sz w:val="24"/>
                <w:szCs w:val="24"/>
              </w:rPr>
              <w:t>Formula Challenge (HUD-4119)</w:t>
            </w:r>
          </w:p>
        </w:tc>
        <w:tc>
          <w:tcPr>
            <w:tcW w:w="1236" w:type="dxa"/>
            <w:tcBorders>
              <w:top w:val="nil"/>
              <w:left w:val="nil"/>
              <w:bottom w:val="single" w:sz="4" w:space="0" w:color="auto"/>
              <w:right w:val="single" w:sz="4" w:space="0" w:color="auto"/>
            </w:tcBorders>
            <w:vAlign w:val="center"/>
          </w:tcPr>
          <w:p w:rsidR="00D67737" w:rsidRPr="00D67061" w:rsidRDefault="00D67737" w:rsidP="00823FF9">
            <w:pPr>
              <w:shd w:val="clear" w:color="auto" w:fill="FFFFFF"/>
              <w:spacing w:before="40" w:after="40"/>
              <w:ind w:right="62"/>
              <w:jc w:val="center"/>
              <w:rPr>
                <w:rFonts w:eastAsia="Calibri"/>
                <w:color w:val="000000"/>
                <w:sz w:val="24"/>
                <w:szCs w:val="24"/>
              </w:rPr>
            </w:pPr>
            <w:r>
              <w:rPr>
                <w:rFonts w:eastAsia="Calibri"/>
                <w:color w:val="000000"/>
                <w:sz w:val="24"/>
                <w:szCs w:val="24"/>
              </w:rPr>
              <w:t>15</w:t>
            </w:r>
          </w:p>
        </w:tc>
        <w:tc>
          <w:tcPr>
            <w:tcW w:w="1292" w:type="dxa"/>
            <w:tcBorders>
              <w:top w:val="nil"/>
              <w:left w:val="nil"/>
              <w:bottom w:val="single" w:sz="4" w:space="0" w:color="auto"/>
              <w:right w:val="single" w:sz="4" w:space="0" w:color="auto"/>
            </w:tcBorders>
            <w:vAlign w:val="center"/>
          </w:tcPr>
          <w:p w:rsidR="00D67737" w:rsidRPr="00D67061" w:rsidRDefault="00D67737" w:rsidP="00823FF9">
            <w:pPr>
              <w:shd w:val="clear" w:color="auto" w:fill="FFFFFF"/>
              <w:spacing w:before="40" w:after="40"/>
              <w:jc w:val="center"/>
              <w:rPr>
                <w:rFonts w:eastAsia="Calibri"/>
                <w:color w:val="000000"/>
                <w:sz w:val="24"/>
                <w:szCs w:val="24"/>
              </w:rPr>
            </w:pPr>
            <w:r>
              <w:rPr>
                <w:rFonts w:eastAsia="Calibri"/>
                <w:color w:val="000000"/>
                <w:sz w:val="24"/>
                <w:szCs w:val="24"/>
              </w:rPr>
              <w:t>1</w:t>
            </w:r>
          </w:p>
        </w:tc>
        <w:tc>
          <w:tcPr>
            <w:tcW w:w="1427" w:type="dxa"/>
            <w:tcBorders>
              <w:top w:val="single" w:sz="4" w:space="0" w:color="auto"/>
              <w:left w:val="nil"/>
              <w:bottom w:val="single" w:sz="4" w:space="0" w:color="auto"/>
              <w:right w:val="single" w:sz="4" w:space="0" w:color="auto"/>
            </w:tcBorders>
            <w:vAlign w:val="center"/>
          </w:tcPr>
          <w:p w:rsidR="00D67737" w:rsidRPr="00D67061" w:rsidRDefault="00D67737" w:rsidP="00823FF9">
            <w:pPr>
              <w:shd w:val="clear" w:color="auto" w:fill="FFFFFF"/>
              <w:spacing w:before="40" w:after="40"/>
              <w:ind w:right="49"/>
              <w:jc w:val="center"/>
              <w:rPr>
                <w:rFonts w:eastAsia="Calibri"/>
                <w:color w:val="000000"/>
                <w:sz w:val="24"/>
                <w:szCs w:val="24"/>
              </w:rPr>
            </w:pPr>
            <w:r w:rsidRPr="00D67061">
              <w:rPr>
                <w:rFonts w:eastAsia="Calibri"/>
                <w:color w:val="000000"/>
                <w:sz w:val="24"/>
                <w:szCs w:val="24"/>
              </w:rPr>
              <w:t>15</w:t>
            </w:r>
          </w:p>
        </w:tc>
        <w:tc>
          <w:tcPr>
            <w:tcW w:w="1716" w:type="dxa"/>
            <w:tcBorders>
              <w:top w:val="nil"/>
              <w:left w:val="single" w:sz="4" w:space="0" w:color="auto"/>
              <w:bottom w:val="single" w:sz="4" w:space="0" w:color="auto"/>
              <w:right w:val="single" w:sz="4" w:space="0" w:color="auto"/>
            </w:tcBorders>
            <w:vAlign w:val="center"/>
          </w:tcPr>
          <w:p w:rsidR="00D67737" w:rsidRPr="00D67061" w:rsidRDefault="00D67737" w:rsidP="00823FF9">
            <w:pPr>
              <w:shd w:val="clear" w:color="auto" w:fill="FFFFFF"/>
              <w:spacing w:before="40" w:after="40"/>
              <w:ind w:right="83"/>
              <w:jc w:val="center"/>
              <w:rPr>
                <w:rFonts w:eastAsia="Calibri"/>
                <w:color w:val="000000"/>
                <w:sz w:val="24"/>
                <w:szCs w:val="24"/>
              </w:rPr>
            </w:pPr>
            <w:r w:rsidRPr="00D67061">
              <w:rPr>
                <w:rFonts w:eastAsia="Calibri"/>
                <w:color w:val="000000"/>
                <w:sz w:val="24"/>
                <w:szCs w:val="24"/>
              </w:rPr>
              <w:t>150</w:t>
            </w:r>
          </w:p>
        </w:tc>
        <w:tc>
          <w:tcPr>
            <w:tcW w:w="1434" w:type="dxa"/>
            <w:tcBorders>
              <w:top w:val="nil"/>
              <w:left w:val="nil"/>
              <w:bottom w:val="single" w:sz="4" w:space="0" w:color="auto"/>
              <w:right w:val="single" w:sz="4" w:space="0" w:color="auto"/>
            </w:tcBorders>
            <w:vAlign w:val="center"/>
          </w:tcPr>
          <w:p w:rsidR="00D67737" w:rsidRPr="00D67061" w:rsidRDefault="00D67737" w:rsidP="00823FF9">
            <w:pPr>
              <w:shd w:val="clear" w:color="auto" w:fill="FFFFFF"/>
              <w:spacing w:before="40" w:after="40"/>
              <w:ind w:right="53"/>
              <w:jc w:val="right"/>
              <w:rPr>
                <w:rFonts w:eastAsia="Calibri"/>
                <w:color w:val="000000"/>
                <w:sz w:val="24"/>
                <w:szCs w:val="24"/>
              </w:rPr>
            </w:pPr>
            <w:r w:rsidRPr="00D67061">
              <w:rPr>
                <w:rFonts w:eastAsia="Calibri"/>
                <w:color w:val="000000"/>
                <w:sz w:val="24"/>
                <w:szCs w:val="24"/>
              </w:rPr>
              <w:t>2,250</w:t>
            </w:r>
          </w:p>
        </w:tc>
      </w:tr>
      <w:tr w:rsidR="00D67737" w:rsidRPr="00D67061" w:rsidTr="001E7234">
        <w:trPr>
          <w:trHeight w:val="255"/>
        </w:trPr>
        <w:tc>
          <w:tcPr>
            <w:tcW w:w="2148" w:type="dxa"/>
            <w:tcBorders>
              <w:top w:val="nil"/>
              <w:left w:val="single" w:sz="4" w:space="0" w:color="auto"/>
              <w:bottom w:val="single" w:sz="4" w:space="0" w:color="auto"/>
              <w:right w:val="single" w:sz="4" w:space="0" w:color="auto"/>
            </w:tcBorders>
            <w:vAlign w:val="center"/>
          </w:tcPr>
          <w:p w:rsidR="00D67737" w:rsidRDefault="00D672B9" w:rsidP="0048334E">
            <w:pPr>
              <w:shd w:val="clear" w:color="auto" w:fill="FFFFFF"/>
              <w:spacing w:before="40" w:after="40"/>
              <w:rPr>
                <w:color w:val="000000"/>
                <w:sz w:val="24"/>
                <w:szCs w:val="24"/>
              </w:rPr>
            </w:pPr>
            <w:r>
              <w:rPr>
                <w:color w:val="000000"/>
                <w:sz w:val="24"/>
                <w:szCs w:val="24"/>
              </w:rPr>
              <w:t>Depository Agreement (Banker)</w:t>
            </w:r>
          </w:p>
          <w:p w:rsidR="00D672B9" w:rsidRPr="00D67061" w:rsidRDefault="00D672B9" w:rsidP="0048334E">
            <w:pPr>
              <w:shd w:val="clear" w:color="auto" w:fill="FFFFFF"/>
              <w:spacing w:before="40" w:after="40"/>
              <w:rPr>
                <w:color w:val="000000"/>
                <w:sz w:val="24"/>
                <w:szCs w:val="24"/>
              </w:rPr>
            </w:pPr>
            <w:r>
              <w:rPr>
                <w:color w:val="000000"/>
                <w:sz w:val="24"/>
                <w:szCs w:val="24"/>
              </w:rPr>
              <w:t>(HUD-52736-A)</w:t>
            </w:r>
          </w:p>
        </w:tc>
        <w:tc>
          <w:tcPr>
            <w:tcW w:w="1236" w:type="dxa"/>
            <w:tcBorders>
              <w:top w:val="nil"/>
              <w:left w:val="nil"/>
              <w:bottom w:val="single" w:sz="4" w:space="0" w:color="auto"/>
              <w:right w:val="single" w:sz="4" w:space="0" w:color="auto"/>
            </w:tcBorders>
            <w:vAlign w:val="center"/>
          </w:tcPr>
          <w:p w:rsidR="00D67737" w:rsidRDefault="00D672B9" w:rsidP="00E93C6E">
            <w:pPr>
              <w:shd w:val="clear" w:color="auto" w:fill="FFFFFF"/>
              <w:spacing w:before="40" w:after="40"/>
              <w:ind w:right="62"/>
              <w:jc w:val="center"/>
              <w:rPr>
                <w:rFonts w:eastAsia="Calibri"/>
                <w:color w:val="000000"/>
                <w:sz w:val="24"/>
                <w:szCs w:val="24"/>
              </w:rPr>
            </w:pPr>
            <w:r>
              <w:rPr>
                <w:rFonts w:eastAsia="Calibri"/>
                <w:color w:val="000000"/>
                <w:sz w:val="24"/>
                <w:szCs w:val="24"/>
              </w:rPr>
              <w:t>366</w:t>
            </w:r>
          </w:p>
        </w:tc>
        <w:tc>
          <w:tcPr>
            <w:tcW w:w="1292" w:type="dxa"/>
            <w:tcBorders>
              <w:top w:val="nil"/>
              <w:left w:val="nil"/>
              <w:bottom w:val="single" w:sz="4" w:space="0" w:color="auto"/>
              <w:right w:val="single" w:sz="4" w:space="0" w:color="auto"/>
            </w:tcBorders>
            <w:vAlign w:val="center"/>
          </w:tcPr>
          <w:p w:rsidR="00D67737" w:rsidRPr="00D67061" w:rsidRDefault="00D672B9" w:rsidP="0048334E">
            <w:pPr>
              <w:shd w:val="clear" w:color="auto" w:fill="FFFFFF"/>
              <w:spacing w:before="40" w:after="40"/>
              <w:jc w:val="center"/>
              <w:rPr>
                <w:rFonts w:eastAsia="Calibri"/>
                <w:color w:val="000000"/>
                <w:sz w:val="24"/>
                <w:szCs w:val="24"/>
              </w:rPr>
            </w:pPr>
            <w:r>
              <w:rPr>
                <w:rFonts w:eastAsia="Calibri"/>
                <w:color w:val="000000"/>
                <w:sz w:val="24"/>
                <w:szCs w:val="24"/>
              </w:rPr>
              <w:t>1</w:t>
            </w:r>
          </w:p>
        </w:tc>
        <w:tc>
          <w:tcPr>
            <w:tcW w:w="1427" w:type="dxa"/>
            <w:tcBorders>
              <w:top w:val="single" w:sz="4" w:space="0" w:color="auto"/>
              <w:left w:val="nil"/>
              <w:bottom w:val="single" w:sz="4" w:space="0" w:color="auto"/>
              <w:right w:val="single" w:sz="4" w:space="0" w:color="auto"/>
            </w:tcBorders>
            <w:vAlign w:val="center"/>
          </w:tcPr>
          <w:p w:rsidR="00D67737" w:rsidRDefault="00D672B9" w:rsidP="00E93C6E">
            <w:pPr>
              <w:shd w:val="clear" w:color="auto" w:fill="FFFFFF"/>
              <w:spacing w:before="40" w:after="40"/>
              <w:ind w:right="49"/>
              <w:jc w:val="center"/>
              <w:rPr>
                <w:rFonts w:eastAsia="Calibri"/>
                <w:color w:val="000000"/>
                <w:sz w:val="24"/>
                <w:szCs w:val="24"/>
              </w:rPr>
            </w:pPr>
            <w:r>
              <w:rPr>
                <w:rFonts w:eastAsia="Calibri"/>
                <w:color w:val="000000"/>
                <w:sz w:val="24"/>
                <w:szCs w:val="24"/>
              </w:rPr>
              <w:t>366</w:t>
            </w:r>
          </w:p>
        </w:tc>
        <w:tc>
          <w:tcPr>
            <w:tcW w:w="1716" w:type="dxa"/>
            <w:tcBorders>
              <w:top w:val="nil"/>
              <w:left w:val="single" w:sz="4" w:space="0" w:color="auto"/>
              <w:bottom w:val="single" w:sz="4" w:space="0" w:color="auto"/>
              <w:right w:val="single" w:sz="4" w:space="0" w:color="auto"/>
            </w:tcBorders>
            <w:vAlign w:val="center"/>
          </w:tcPr>
          <w:p w:rsidR="00D67737" w:rsidRPr="00D67061" w:rsidRDefault="00D672B9" w:rsidP="00E93C6E">
            <w:pPr>
              <w:shd w:val="clear" w:color="auto" w:fill="FFFFFF"/>
              <w:spacing w:before="40" w:after="40"/>
              <w:ind w:right="83"/>
              <w:jc w:val="center"/>
              <w:rPr>
                <w:rFonts w:eastAsia="Calibri"/>
                <w:color w:val="000000"/>
                <w:sz w:val="24"/>
                <w:szCs w:val="24"/>
              </w:rPr>
            </w:pPr>
            <w:r>
              <w:rPr>
                <w:rFonts w:eastAsia="Calibri"/>
                <w:color w:val="000000"/>
                <w:sz w:val="24"/>
                <w:szCs w:val="24"/>
              </w:rPr>
              <w:t>.25</w:t>
            </w:r>
          </w:p>
        </w:tc>
        <w:tc>
          <w:tcPr>
            <w:tcW w:w="1434" w:type="dxa"/>
            <w:tcBorders>
              <w:top w:val="nil"/>
              <w:left w:val="nil"/>
              <w:bottom w:val="single" w:sz="4" w:space="0" w:color="auto"/>
              <w:right w:val="single" w:sz="4" w:space="0" w:color="auto"/>
            </w:tcBorders>
            <w:vAlign w:val="center"/>
          </w:tcPr>
          <w:p w:rsidR="00D67737" w:rsidRDefault="00D672B9" w:rsidP="00E93C6E">
            <w:pPr>
              <w:shd w:val="clear" w:color="auto" w:fill="FFFFFF"/>
              <w:spacing w:before="40" w:after="40"/>
              <w:ind w:right="53"/>
              <w:jc w:val="right"/>
              <w:rPr>
                <w:rFonts w:eastAsia="Calibri"/>
                <w:color w:val="000000"/>
                <w:sz w:val="24"/>
                <w:szCs w:val="24"/>
              </w:rPr>
            </w:pPr>
            <w:r>
              <w:rPr>
                <w:rFonts w:eastAsia="Calibri"/>
                <w:color w:val="000000"/>
                <w:sz w:val="24"/>
                <w:szCs w:val="24"/>
              </w:rPr>
              <w:t>91.5</w:t>
            </w:r>
          </w:p>
        </w:tc>
      </w:tr>
      <w:tr w:rsidR="00D672B9" w:rsidRPr="00D67061" w:rsidTr="001E7234">
        <w:trPr>
          <w:trHeight w:val="255"/>
        </w:trPr>
        <w:tc>
          <w:tcPr>
            <w:tcW w:w="2148" w:type="dxa"/>
            <w:tcBorders>
              <w:top w:val="single" w:sz="4" w:space="0" w:color="auto"/>
              <w:left w:val="single" w:sz="4" w:space="0" w:color="auto"/>
              <w:bottom w:val="double" w:sz="4" w:space="0" w:color="auto"/>
              <w:right w:val="single" w:sz="4" w:space="0" w:color="auto"/>
            </w:tcBorders>
            <w:vAlign w:val="center"/>
          </w:tcPr>
          <w:p w:rsidR="00D672B9" w:rsidRDefault="00D672B9" w:rsidP="00823FF9">
            <w:pPr>
              <w:shd w:val="clear" w:color="auto" w:fill="FFFFFF"/>
              <w:spacing w:before="40" w:after="40"/>
              <w:rPr>
                <w:color w:val="000000"/>
                <w:sz w:val="24"/>
                <w:szCs w:val="24"/>
              </w:rPr>
            </w:pPr>
            <w:r>
              <w:rPr>
                <w:color w:val="000000"/>
                <w:sz w:val="24"/>
                <w:szCs w:val="24"/>
              </w:rPr>
              <w:t>Depository Agreement (Broker)</w:t>
            </w:r>
          </w:p>
          <w:p w:rsidR="00D672B9" w:rsidRPr="00D67061" w:rsidRDefault="00D672B9" w:rsidP="00823FF9">
            <w:pPr>
              <w:shd w:val="clear" w:color="auto" w:fill="FFFFFF"/>
              <w:spacing w:before="40" w:after="40"/>
              <w:rPr>
                <w:color w:val="000000"/>
                <w:sz w:val="24"/>
                <w:szCs w:val="24"/>
              </w:rPr>
            </w:pPr>
            <w:r>
              <w:rPr>
                <w:color w:val="000000"/>
                <w:sz w:val="24"/>
                <w:szCs w:val="24"/>
              </w:rPr>
              <w:t>(HUD-52736-B)</w:t>
            </w:r>
          </w:p>
        </w:tc>
        <w:tc>
          <w:tcPr>
            <w:tcW w:w="1236" w:type="dxa"/>
            <w:tcBorders>
              <w:top w:val="single" w:sz="4" w:space="0" w:color="auto"/>
              <w:left w:val="single" w:sz="4" w:space="0" w:color="auto"/>
              <w:bottom w:val="double" w:sz="4" w:space="0" w:color="auto"/>
              <w:right w:val="single" w:sz="4" w:space="0" w:color="auto"/>
            </w:tcBorders>
            <w:vAlign w:val="center"/>
          </w:tcPr>
          <w:p w:rsidR="00D672B9" w:rsidRDefault="00D672B9" w:rsidP="00823FF9">
            <w:pPr>
              <w:shd w:val="clear" w:color="auto" w:fill="FFFFFF"/>
              <w:spacing w:before="40" w:after="40"/>
              <w:ind w:right="62"/>
              <w:jc w:val="center"/>
              <w:rPr>
                <w:rFonts w:eastAsia="Calibri"/>
                <w:color w:val="000000"/>
                <w:sz w:val="24"/>
                <w:szCs w:val="24"/>
              </w:rPr>
            </w:pPr>
            <w:r>
              <w:rPr>
                <w:rFonts w:eastAsia="Calibri"/>
                <w:color w:val="000000"/>
                <w:sz w:val="24"/>
                <w:szCs w:val="24"/>
              </w:rPr>
              <w:t>366</w:t>
            </w:r>
          </w:p>
        </w:tc>
        <w:tc>
          <w:tcPr>
            <w:tcW w:w="1292" w:type="dxa"/>
            <w:tcBorders>
              <w:top w:val="single" w:sz="4" w:space="0" w:color="auto"/>
              <w:left w:val="single" w:sz="4" w:space="0" w:color="auto"/>
              <w:bottom w:val="double" w:sz="4" w:space="0" w:color="auto"/>
              <w:right w:val="single" w:sz="4" w:space="0" w:color="auto"/>
            </w:tcBorders>
            <w:vAlign w:val="center"/>
          </w:tcPr>
          <w:p w:rsidR="00D672B9" w:rsidRPr="00D67061" w:rsidRDefault="00D672B9" w:rsidP="00823FF9">
            <w:pPr>
              <w:shd w:val="clear" w:color="auto" w:fill="FFFFFF"/>
              <w:spacing w:before="40" w:after="40"/>
              <w:jc w:val="center"/>
              <w:rPr>
                <w:rFonts w:eastAsia="Calibri"/>
                <w:color w:val="000000"/>
                <w:sz w:val="24"/>
                <w:szCs w:val="24"/>
              </w:rPr>
            </w:pPr>
            <w:r>
              <w:rPr>
                <w:rFonts w:eastAsia="Calibri"/>
                <w:color w:val="000000"/>
                <w:sz w:val="24"/>
                <w:szCs w:val="24"/>
              </w:rPr>
              <w:t>1</w:t>
            </w:r>
          </w:p>
        </w:tc>
        <w:tc>
          <w:tcPr>
            <w:tcW w:w="1427" w:type="dxa"/>
            <w:tcBorders>
              <w:top w:val="single" w:sz="4" w:space="0" w:color="auto"/>
              <w:left w:val="single" w:sz="4" w:space="0" w:color="auto"/>
              <w:bottom w:val="double" w:sz="4" w:space="0" w:color="auto"/>
              <w:right w:val="single" w:sz="4" w:space="0" w:color="auto"/>
            </w:tcBorders>
            <w:vAlign w:val="center"/>
          </w:tcPr>
          <w:p w:rsidR="00D672B9" w:rsidRDefault="00D672B9" w:rsidP="00823FF9">
            <w:pPr>
              <w:shd w:val="clear" w:color="auto" w:fill="FFFFFF"/>
              <w:spacing w:before="40" w:after="40"/>
              <w:ind w:right="49"/>
              <w:jc w:val="center"/>
              <w:rPr>
                <w:rFonts w:eastAsia="Calibri"/>
                <w:color w:val="000000"/>
                <w:sz w:val="24"/>
                <w:szCs w:val="24"/>
              </w:rPr>
            </w:pPr>
            <w:r>
              <w:rPr>
                <w:rFonts w:eastAsia="Calibri"/>
                <w:color w:val="000000"/>
                <w:sz w:val="24"/>
                <w:szCs w:val="24"/>
              </w:rPr>
              <w:t>366</w:t>
            </w:r>
          </w:p>
        </w:tc>
        <w:tc>
          <w:tcPr>
            <w:tcW w:w="1716" w:type="dxa"/>
            <w:tcBorders>
              <w:top w:val="single" w:sz="4" w:space="0" w:color="auto"/>
              <w:left w:val="single" w:sz="4" w:space="0" w:color="auto"/>
              <w:bottom w:val="double" w:sz="4" w:space="0" w:color="auto"/>
              <w:right w:val="single" w:sz="4" w:space="0" w:color="auto"/>
            </w:tcBorders>
            <w:vAlign w:val="center"/>
          </w:tcPr>
          <w:p w:rsidR="00D672B9" w:rsidRPr="00D67061" w:rsidRDefault="00D672B9" w:rsidP="00823FF9">
            <w:pPr>
              <w:shd w:val="clear" w:color="auto" w:fill="FFFFFF"/>
              <w:spacing w:before="40" w:after="40"/>
              <w:ind w:right="83"/>
              <w:jc w:val="center"/>
              <w:rPr>
                <w:rFonts w:eastAsia="Calibri"/>
                <w:color w:val="000000"/>
                <w:sz w:val="24"/>
                <w:szCs w:val="24"/>
              </w:rPr>
            </w:pPr>
            <w:r>
              <w:rPr>
                <w:rFonts w:eastAsia="Calibri"/>
                <w:color w:val="000000"/>
                <w:sz w:val="24"/>
                <w:szCs w:val="24"/>
              </w:rPr>
              <w:t>.25</w:t>
            </w:r>
          </w:p>
        </w:tc>
        <w:tc>
          <w:tcPr>
            <w:tcW w:w="1434" w:type="dxa"/>
            <w:tcBorders>
              <w:top w:val="single" w:sz="4" w:space="0" w:color="auto"/>
              <w:left w:val="single" w:sz="4" w:space="0" w:color="auto"/>
              <w:bottom w:val="double" w:sz="4" w:space="0" w:color="auto"/>
              <w:right w:val="single" w:sz="4" w:space="0" w:color="auto"/>
            </w:tcBorders>
            <w:vAlign w:val="center"/>
          </w:tcPr>
          <w:p w:rsidR="00D672B9" w:rsidRDefault="00D672B9" w:rsidP="00823FF9">
            <w:pPr>
              <w:shd w:val="clear" w:color="auto" w:fill="FFFFFF"/>
              <w:spacing w:before="40" w:after="40"/>
              <w:ind w:right="53"/>
              <w:jc w:val="right"/>
              <w:rPr>
                <w:rFonts w:eastAsia="Calibri"/>
                <w:color w:val="000000"/>
                <w:sz w:val="24"/>
                <w:szCs w:val="24"/>
              </w:rPr>
            </w:pPr>
            <w:r>
              <w:rPr>
                <w:rFonts w:eastAsia="Calibri"/>
                <w:color w:val="000000"/>
                <w:sz w:val="24"/>
                <w:szCs w:val="24"/>
              </w:rPr>
              <w:t>91.5</w:t>
            </w:r>
          </w:p>
        </w:tc>
      </w:tr>
      <w:tr w:rsidR="00D672B9" w:rsidRPr="00D67061" w:rsidTr="001E7234">
        <w:trPr>
          <w:trHeight w:val="255"/>
        </w:trPr>
        <w:tc>
          <w:tcPr>
            <w:tcW w:w="2148" w:type="dxa"/>
            <w:tcBorders>
              <w:top w:val="double" w:sz="4" w:space="0" w:color="auto"/>
              <w:left w:val="single" w:sz="4" w:space="0" w:color="auto"/>
              <w:bottom w:val="single" w:sz="4" w:space="0" w:color="auto"/>
              <w:right w:val="single" w:sz="4" w:space="0" w:color="auto"/>
            </w:tcBorders>
            <w:vAlign w:val="center"/>
          </w:tcPr>
          <w:p w:rsidR="00D672B9" w:rsidRPr="00D67061" w:rsidRDefault="00D672B9" w:rsidP="0048334E">
            <w:pPr>
              <w:shd w:val="clear" w:color="auto" w:fill="FFFFFF"/>
              <w:spacing w:before="40" w:after="40"/>
              <w:rPr>
                <w:color w:val="000000"/>
                <w:sz w:val="24"/>
                <w:szCs w:val="24"/>
              </w:rPr>
            </w:pPr>
            <w:r>
              <w:rPr>
                <w:color w:val="000000"/>
                <w:sz w:val="24"/>
                <w:szCs w:val="24"/>
              </w:rPr>
              <w:t>Total</w:t>
            </w:r>
          </w:p>
        </w:tc>
        <w:tc>
          <w:tcPr>
            <w:tcW w:w="1236" w:type="dxa"/>
            <w:tcBorders>
              <w:top w:val="double" w:sz="4" w:space="0" w:color="auto"/>
              <w:left w:val="single" w:sz="4" w:space="0" w:color="auto"/>
              <w:bottom w:val="single" w:sz="4" w:space="0" w:color="auto"/>
              <w:right w:val="single" w:sz="4" w:space="0" w:color="auto"/>
            </w:tcBorders>
            <w:vAlign w:val="center"/>
          </w:tcPr>
          <w:p w:rsidR="00D672B9" w:rsidRDefault="00D672B9" w:rsidP="00E93C6E">
            <w:pPr>
              <w:shd w:val="clear" w:color="auto" w:fill="FFFFFF"/>
              <w:spacing w:before="40" w:after="40"/>
              <w:ind w:right="62"/>
              <w:jc w:val="center"/>
              <w:rPr>
                <w:rFonts w:eastAsia="Calibri"/>
                <w:color w:val="000000"/>
                <w:sz w:val="24"/>
                <w:szCs w:val="24"/>
              </w:rPr>
            </w:pPr>
            <w:r>
              <w:rPr>
                <w:rFonts w:eastAsia="Calibri"/>
                <w:color w:val="000000"/>
                <w:sz w:val="24"/>
                <w:szCs w:val="24"/>
              </w:rPr>
              <w:t>366</w:t>
            </w:r>
          </w:p>
        </w:tc>
        <w:tc>
          <w:tcPr>
            <w:tcW w:w="1292" w:type="dxa"/>
            <w:tcBorders>
              <w:top w:val="double" w:sz="4" w:space="0" w:color="auto"/>
              <w:left w:val="single" w:sz="4" w:space="0" w:color="auto"/>
              <w:bottom w:val="single" w:sz="4" w:space="0" w:color="auto"/>
              <w:right w:val="single" w:sz="4" w:space="0" w:color="auto"/>
            </w:tcBorders>
            <w:vAlign w:val="center"/>
          </w:tcPr>
          <w:p w:rsidR="00D672B9" w:rsidRDefault="00D672B9" w:rsidP="0048334E">
            <w:pPr>
              <w:shd w:val="clear" w:color="auto" w:fill="FFFFFF"/>
              <w:spacing w:before="40" w:after="40"/>
              <w:jc w:val="center"/>
              <w:rPr>
                <w:rFonts w:eastAsia="Calibri"/>
                <w:color w:val="000000"/>
                <w:sz w:val="24"/>
                <w:szCs w:val="24"/>
              </w:rPr>
            </w:pPr>
          </w:p>
        </w:tc>
        <w:tc>
          <w:tcPr>
            <w:tcW w:w="1427" w:type="dxa"/>
            <w:tcBorders>
              <w:top w:val="double" w:sz="4" w:space="0" w:color="auto"/>
              <w:left w:val="single" w:sz="4" w:space="0" w:color="auto"/>
              <w:bottom w:val="single" w:sz="4" w:space="0" w:color="auto"/>
              <w:right w:val="single" w:sz="4" w:space="0" w:color="auto"/>
            </w:tcBorders>
            <w:vAlign w:val="center"/>
          </w:tcPr>
          <w:p w:rsidR="00D672B9" w:rsidRPr="00D67061" w:rsidRDefault="00D672B9" w:rsidP="00D672B9">
            <w:pPr>
              <w:shd w:val="clear" w:color="auto" w:fill="FFFFFF"/>
              <w:spacing w:before="40" w:after="40"/>
              <w:ind w:right="49"/>
              <w:jc w:val="center"/>
              <w:rPr>
                <w:rFonts w:eastAsia="Calibri"/>
                <w:color w:val="000000"/>
                <w:sz w:val="24"/>
                <w:szCs w:val="24"/>
              </w:rPr>
            </w:pPr>
            <w:r>
              <w:rPr>
                <w:rFonts w:eastAsia="Calibri"/>
                <w:color w:val="000000"/>
                <w:sz w:val="24"/>
                <w:szCs w:val="24"/>
              </w:rPr>
              <w:t>1,7</w:t>
            </w:r>
            <w:r w:rsidR="007F3060">
              <w:rPr>
                <w:rFonts w:eastAsia="Calibri"/>
                <w:color w:val="000000"/>
                <w:sz w:val="24"/>
                <w:szCs w:val="24"/>
              </w:rPr>
              <w:t>79</w:t>
            </w:r>
          </w:p>
        </w:tc>
        <w:tc>
          <w:tcPr>
            <w:tcW w:w="1716" w:type="dxa"/>
            <w:tcBorders>
              <w:top w:val="double" w:sz="4" w:space="0" w:color="auto"/>
              <w:left w:val="single" w:sz="4" w:space="0" w:color="auto"/>
              <w:bottom w:val="single" w:sz="4" w:space="0" w:color="auto"/>
              <w:right w:val="single" w:sz="4" w:space="0" w:color="auto"/>
            </w:tcBorders>
            <w:vAlign w:val="center"/>
          </w:tcPr>
          <w:p w:rsidR="00D672B9" w:rsidRPr="00D67061" w:rsidRDefault="00D672B9" w:rsidP="00E93C6E">
            <w:pPr>
              <w:shd w:val="clear" w:color="auto" w:fill="FFFFFF"/>
              <w:spacing w:before="40" w:after="40"/>
              <w:ind w:right="83"/>
              <w:jc w:val="center"/>
              <w:rPr>
                <w:rFonts w:eastAsia="Calibri"/>
                <w:color w:val="000000"/>
                <w:sz w:val="24"/>
                <w:szCs w:val="24"/>
              </w:rPr>
            </w:pPr>
          </w:p>
        </w:tc>
        <w:tc>
          <w:tcPr>
            <w:tcW w:w="1434" w:type="dxa"/>
            <w:tcBorders>
              <w:top w:val="double" w:sz="4" w:space="0" w:color="auto"/>
              <w:left w:val="single" w:sz="4" w:space="0" w:color="auto"/>
              <w:bottom w:val="single" w:sz="4" w:space="0" w:color="auto"/>
              <w:right w:val="single" w:sz="4" w:space="0" w:color="auto"/>
            </w:tcBorders>
            <w:vAlign w:val="center"/>
          </w:tcPr>
          <w:p w:rsidR="00D672B9" w:rsidRPr="00D67061" w:rsidRDefault="00D672B9" w:rsidP="00E93C6E">
            <w:pPr>
              <w:shd w:val="clear" w:color="auto" w:fill="FFFFFF"/>
              <w:spacing w:before="40" w:after="40"/>
              <w:ind w:right="53"/>
              <w:jc w:val="right"/>
              <w:rPr>
                <w:rFonts w:eastAsia="Calibri"/>
                <w:color w:val="000000"/>
                <w:sz w:val="24"/>
                <w:szCs w:val="24"/>
              </w:rPr>
            </w:pPr>
            <w:r>
              <w:rPr>
                <w:rFonts w:eastAsia="Calibri"/>
                <w:color w:val="000000"/>
                <w:sz w:val="24"/>
                <w:szCs w:val="24"/>
              </w:rPr>
              <w:t>4</w:t>
            </w:r>
            <w:r w:rsidR="001E7234">
              <w:rPr>
                <w:rFonts w:eastAsia="Calibri"/>
                <w:color w:val="000000"/>
                <w:sz w:val="24"/>
                <w:szCs w:val="24"/>
              </w:rPr>
              <w:t>7,967</w:t>
            </w:r>
          </w:p>
        </w:tc>
      </w:tr>
    </w:tbl>
    <w:p w:rsidR="00D746F6" w:rsidRDefault="00D746F6">
      <w:pPr>
        <w:tabs>
          <w:tab w:val="left" w:pos="360"/>
          <w:tab w:val="left" w:pos="720"/>
        </w:tabs>
        <w:ind w:left="360"/>
        <w:rPr>
          <w:rFonts w:ascii="Arial" w:hAnsi="Arial"/>
          <w:sz w:val="24"/>
        </w:rPr>
      </w:pPr>
    </w:p>
    <w:p w:rsidR="00CB2C47" w:rsidRDefault="00CB2C47" w:rsidP="00CB2C47">
      <w:pPr>
        <w:tabs>
          <w:tab w:val="left" w:pos="360"/>
          <w:tab w:val="left" w:pos="720"/>
        </w:tabs>
        <w:ind w:left="360"/>
        <w:rPr>
          <w:rFonts w:eastAsia="Calibri"/>
          <w:color w:val="000000"/>
          <w:sz w:val="24"/>
          <w:szCs w:val="24"/>
        </w:rPr>
      </w:pPr>
    </w:p>
    <w:p w:rsidR="00CB2C47" w:rsidRPr="00D67061" w:rsidRDefault="00CB2C47" w:rsidP="00CB2C47">
      <w:pPr>
        <w:tabs>
          <w:tab w:val="left" w:pos="360"/>
          <w:tab w:val="left" w:pos="720"/>
        </w:tabs>
        <w:ind w:left="360"/>
        <w:rPr>
          <w:rFonts w:eastAsia="Calibri"/>
          <w:color w:val="000000"/>
          <w:sz w:val="24"/>
          <w:szCs w:val="24"/>
        </w:rPr>
      </w:pPr>
      <w:r w:rsidRPr="00D67061">
        <w:rPr>
          <w:rFonts w:eastAsia="Calibri"/>
          <w:color w:val="000000"/>
          <w:sz w:val="24"/>
          <w:szCs w:val="24"/>
        </w:rPr>
        <w:t xml:space="preserve">The table below shows the estimated cost burden to respondents and is based on an average annual salary of $37,000.  </w:t>
      </w:r>
    </w:p>
    <w:p w:rsidR="00CB2C47" w:rsidRPr="00D67061" w:rsidRDefault="00CB2C47" w:rsidP="00CB2C47">
      <w:pPr>
        <w:tabs>
          <w:tab w:val="left" w:pos="360"/>
          <w:tab w:val="left" w:pos="720"/>
        </w:tabs>
        <w:ind w:left="360"/>
        <w:rPr>
          <w:rFonts w:eastAsia="Calibri"/>
          <w:color w:val="000000"/>
          <w:sz w:val="24"/>
          <w:szCs w:val="24"/>
        </w:rPr>
      </w:pPr>
    </w:p>
    <w:p w:rsidR="00CB2C47" w:rsidRPr="00D67061" w:rsidRDefault="00CB2C47" w:rsidP="00CB2C47">
      <w:pPr>
        <w:tabs>
          <w:tab w:val="left" w:pos="360"/>
          <w:tab w:val="left" w:pos="720"/>
        </w:tabs>
        <w:ind w:left="360"/>
        <w:rPr>
          <w:b/>
          <w:sz w:val="24"/>
        </w:rPr>
      </w:pPr>
      <w:r w:rsidRPr="00D67061">
        <w:rPr>
          <w:b/>
          <w:sz w:val="24"/>
        </w:rPr>
        <w:t>Estimated Annualized Cost to Respondents</w:t>
      </w:r>
    </w:p>
    <w:p w:rsidR="00CB2C47" w:rsidRPr="00D67061" w:rsidRDefault="00CB2C47" w:rsidP="00CB2C47">
      <w:pPr>
        <w:tabs>
          <w:tab w:val="left" w:pos="360"/>
          <w:tab w:val="left" w:pos="720"/>
        </w:tabs>
        <w:ind w:left="360"/>
        <w:rPr>
          <w:rFonts w:ascii="Arial" w:hAnsi="Arial"/>
          <w:sz w:val="24"/>
        </w:rPr>
      </w:pPr>
    </w:p>
    <w:tbl>
      <w:tblPr>
        <w:tblW w:w="944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1530"/>
        <w:gridCol w:w="1170"/>
        <w:gridCol w:w="1326"/>
      </w:tblGrid>
      <w:tr w:rsidR="00CB2C47" w:rsidRPr="00D67061" w:rsidTr="00D455D0">
        <w:tc>
          <w:tcPr>
            <w:tcW w:w="5418" w:type="dxa"/>
            <w:vAlign w:val="center"/>
          </w:tcPr>
          <w:p w:rsidR="00CB2C47" w:rsidRPr="00D67061" w:rsidRDefault="00CB2C47" w:rsidP="00F453DC">
            <w:pPr>
              <w:spacing w:before="40" w:after="40"/>
              <w:jc w:val="center"/>
              <w:rPr>
                <w:rFonts w:eastAsia="Calibri"/>
                <w:i/>
                <w:color w:val="000000"/>
                <w:sz w:val="24"/>
                <w:szCs w:val="24"/>
              </w:rPr>
            </w:pPr>
            <w:r w:rsidRPr="00D67061">
              <w:rPr>
                <w:rFonts w:eastAsia="Calibri"/>
                <w:i/>
                <w:color w:val="000000"/>
                <w:sz w:val="24"/>
                <w:szCs w:val="24"/>
              </w:rPr>
              <w:t>Type of Submission</w:t>
            </w:r>
          </w:p>
        </w:tc>
        <w:tc>
          <w:tcPr>
            <w:tcW w:w="1530" w:type="dxa"/>
          </w:tcPr>
          <w:p w:rsidR="00CB2C47" w:rsidRPr="00D67061" w:rsidRDefault="00CB2C47" w:rsidP="00F453DC">
            <w:pPr>
              <w:tabs>
                <w:tab w:val="left" w:pos="360"/>
                <w:tab w:val="left" w:pos="720"/>
              </w:tabs>
              <w:jc w:val="center"/>
              <w:rPr>
                <w:i/>
                <w:sz w:val="24"/>
              </w:rPr>
            </w:pPr>
            <w:r w:rsidRPr="00D67061">
              <w:rPr>
                <w:i/>
                <w:sz w:val="24"/>
              </w:rPr>
              <w:t>Number of Hours</w:t>
            </w:r>
          </w:p>
        </w:tc>
        <w:tc>
          <w:tcPr>
            <w:tcW w:w="1170" w:type="dxa"/>
          </w:tcPr>
          <w:p w:rsidR="00CB2C47" w:rsidRPr="00D67061" w:rsidRDefault="00CB2C47" w:rsidP="00F453DC">
            <w:pPr>
              <w:tabs>
                <w:tab w:val="left" w:pos="360"/>
                <w:tab w:val="left" w:pos="720"/>
              </w:tabs>
              <w:jc w:val="center"/>
              <w:rPr>
                <w:i/>
                <w:sz w:val="24"/>
              </w:rPr>
            </w:pPr>
            <w:r w:rsidRPr="00D67061">
              <w:rPr>
                <w:i/>
                <w:sz w:val="24"/>
              </w:rPr>
              <w:t>Cost per Hour</w:t>
            </w:r>
          </w:p>
        </w:tc>
        <w:tc>
          <w:tcPr>
            <w:tcW w:w="1326" w:type="dxa"/>
          </w:tcPr>
          <w:p w:rsidR="00CB2C47" w:rsidRPr="00D67061" w:rsidRDefault="00CB2C47" w:rsidP="00F453DC">
            <w:pPr>
              <w:tabs>
                <w:tab w:val="left" w:pos="360"/>
                <w:tab w:val="left" w:pos="720"/>
              </w:tabs>
              <w:jc w:val="center"/>
              <w:rPr>
                <w:i/>
                <w:sz w:val="24"/>
              </w:rPr>
            </w:pPr>
            <w:r w:rsidRPr="00D67061">
              <w:rPr>
                <w:i/>
                <w:sz w:val="24"/>
              </w:rPr>
              <w:t>Total Cost</w:t>
            </w:r>
          </w:p>
        </w:tc>
      </w:tr>
      <w:tr w:rsidR="006110B7" w:rsidRPr="00D67061" w:rsidTr="00D455D0">
        <w:tc>
          <w:tcPr>
            <w:tcW w:w="5418" w:type="dxa"/>
            <w:shd w:val="clear" w:color="auto" w:fill="FFFFFF"/>
            <w:vAlign w:val="center"/>
          </w:tcPr>
          <w:p w:rsidR="006110B7" w:rsidRPr="00284658" w:rsidRDefault="00284658" w:rsidP="00F453DC">
            <w:pPr>
              <w:spacing w:before="40" w:after="40"/>
              <w:rPr>
                <w:rFonts w:eastAsia="Calibri"/>
                <w:bCs/>
                <w:color w:val="000000"/>
                <w:sz w:val="24"/>
                <w:szCs w:val="24"/>
              </w:rPr>
            </w:pPr>
            <w:r>
              <w:rPr>
                <w:rFonts w:eastAsia="Calibri"/>
                <w:bCs/>
                <w:color w:val="000000"/>
                <w:sz w:val="24"/>
                <w:szCs w:val="24"/>
              </w:rPr>
              <w:t xml:space="preserve">IHP/APR </w:t>
            </w:r>
            <w:r w:rsidRPr="00D67061">
              <w:rPr>
                <w:color w:val="000000"/>
                <w:sz w:val="24"/>
                <w:szCs w:val="24"/>
              </w:rPr>
              <w:t>(HUD-</w:t>
            </w:r>
            <w:r>
              <w:rPr>
                <w:rFonts w:eastAsia="Calibri"/>
                <w:color w:val="000000"/>
                <w:sz w:val="24"/>
                <w:szCs w:val="24"/>
              </w:rPr>
              <w:t>52737</w:t>
            </w:r>
            <w:r w:rsidRPr="00D67061">
              <w:rPr>
                <w:rFonts w:eastAsia="Calibri"/>
                <w:color w:val="000000"/>
                <w:sz w:val="24"/>
                <w:szCs w:val="24"/>
              </w:rPr>
              <w:t>)</w:t>
            </w:r>
          </w:p>
        </w:tc>
        <w:tc>
          <w:tcPr>
            <w:tcW w:w="1530" w:type="dxa"/>
            <w:shd w:val="clear" w:color="auto" w:fill="FFFFFF"/>
            <w:vAlign w:val="center"/>
          </w:tcPr>
          <w:p w:rsidR="006110B7" w:rsidRDefault="00284658" w:rsidP="00F453DC">
            <w:pPr>
              <w:spacing w:before="40" w:after="40"/>
              <w:ind w:right="72"/>
              <w:jc w:val="right"/>
              <w:rPr>
                <w:color w:val="000000"/>
                <w:sz w:val="24"/>
                <w:szCs w:val="24"/>
              </w:rPr>
            </w:pPr>
            <w:r>
              <w:rPr>
                <w:color w:val="000000"/>
                <w:sz w:val="24"/>
                <w:szCs w:val="24"/>
              </w:rPr>
              <w:t>4</w:t>
            </w:r>
            <w:r w:rsidR="0013649D">
              <w:rPr>
                <w:color w:val="000000"/>
                <w:sz w:val="24"/>
                <w:szCs w:val="24"/>
              </w:rPr>
              <w:t>5,</w:t>
            </w:r>
            <w:r w:rsidR="001E7234">
              <w:rPr>
                <w:color w:val="000000"/>
                <w:sz w:val="24"/>
                <w:szCs w:val="24"/>
              </w:rPr>
              <w:t>384</w:t>
            </w:r>
          </w:p>
        </w:tc>
        <w:tc>
          <w:tcPr>
            <w:tcW w:w="1170" w:type="dxa"/>
            <w:shd w:val="clear" w:color="auto" w:fill="FFFFFF"/>
          </w:tcPr>
          <w:p w:rsidR="006110B7" w:rsidRPr="00D67061" w:rsidRDefault="00284658" w:rsidP="00284658">
            <w:pPr>
              <w:ind w:right="72"/>
              <w:jc w:val="right"/>
              <w:rPr>
                <w:sz w:val="24"/>
              </w:rPr>
            </w:pPr>
            <w:r w:rsidRPr="00D67061">
              <w:rPr>
                <w:sz w:val="24"/>
              </w:rPr>
              <w:t>$18</w:t>
            </w:r>
          </w:p>
        </w:tc>
        <w:tc>
          <w:tcPr>
            <w:tcW w:w="1326" w:type="dxa"/>
            <w:shd w:val="clear" w:color="auto" w:fill="FFFFFF"/>
          </w:tcPr>
          <w:p w:rsidR="006110B7" w:rsidRPr="00284658" w:rsidRDefault="00284658" w:rsidP="00A1013A">
            <w:pPr>
              <w:tabs>
                <w:tab w:val="left" w:pos="360"/>
                <w:tab w:val="left" w:pos="720"/>
              </w:tabs>
              <w:ind w:right="72"/>
              <w:jc w:val="right"/>
              <w:rPr>
                <w:sz w:val="24"/>
                <w:szCs w:val="24"/>
              </w:rPr>
            </w:pPr>
            <w:r w:rsidRPr="00284658">
              <w:rPr>
                <w:sz w:val="24"/>
                <w:szCs w:val="24"/>
              </w:rPr>
              <w:t>$</w:t>
            </w:r>
            <w:r w:rsidR="0013649D">
              <w:rPr>
                <w:sz w:val="24"/>
                <w:szCs w:val="24"/>
              </w:rPr>
              <w:t>8</w:t>
            </w:r>
            <w:r w:rsidR="001E7234">
              <w:rPr>
                <w:sz w:val="24"/>
                <w:szCs w:val="24"/>
              </w:rPr>
              <w:t>16,912</w:t>
            </w:r>
          </w:p>
        </w:tc>
      </w:tr>
      <w:tr w:rsidR="00CB2C47" w:rsidRPr="00D67061" w:rsidTr="00D455D0">
        <w:tc>
          <w:tcPr>
            <w:tcW w:w="5418" w:type="dxa"/>
            <w:tcBorders>
              <w:bottom w:val="single" w:sz="4" w:space="0" w:color="000000"/>
            </w:tcBorders>
            <w:vAlign w:val="center"/>
          </w:tcPr>
          <w:p w:rsidR="00CB2C47" w:rsidRPr="00D67061" w:rsidRDefault="00CB2C47" w:rsidP="00F453DC">
            <w:pPr>
              <w:spacing w:before="40" w:after="40"/>
              <w:rPr>
                <w:color w:val="000000"/>
                <w:sz w:val="24"/>
                <w:szCs w:val="24"/>
              </w:rPr>
            </w:pPr>
            <w:r w:rsidRPr="00D67061">
              <w:rPr>
                <w:color w:val="000000"/>
                <w:sz w:val="24"/>
                <w:szCs w:val="24"/>
              </w:rPr>
              <w:t>Formula Correction (HUD-4117)</w:t>
            </w:r>
          </w:p>
        </w:tc>
        <w:tc>
          <w:tcPr>
            <w:tcW w:w="1530" w:type="dxa"/>
            <w:tcBorders>
              <w:bottom w:val="single" w:sz="4" w:space="0" w:color="000000"/>
            </w:tcBorders>
          </w:tcPr>
          <w:p w:rsidR="00CB2C47" w:rsidRPr="00D67061" w:rsidRDefault="00282A59" w:rsidP="00F453DC">
            <w:pPr>
              <w:spacing w:before="40" w:after="40"/>
              <w:ind w:right="72"/>
              <w:jc w:val="right"/>
              <w:rPr>
                <w:rFonts w:eastAsia="Calibri"/>
                <w:color w:val="000000"/>
                <w:sz w:val="24"/>
                <w:szCs w:val="24"/>
              </w:rPr>
            </w:pPr>
            <w:r>
              <w:rPr>
                <w:rFonts w:eastAsia="Calibri"/>
                <w:color w:val="000000"/>
                <w:sz w:val="24"/>
                <w:szCs w:val="24"/>
              </w:rPr>
              <w:t>150</w:t>
            </w:r>
          </w:p>
        </w:tc>
        <w:tc>
          <w:tcPr>
            <w:tcW w:w="1170" w:type="dxa"/>
            <w:tcBorders>
              <w:bottom w:val="single" w:sz="4" w:space="0" w:color="000000"/>
            </w:tcBorders>
          </w:tcPr>
          <w:p w:rsidR="00CB2C47" w:rsidRPr="00D67061" w:rsidRDefault="00CB2C47" w:rsidP="00284658">
            <w:pPr>
              <w:tabs>
                <w:tab w:val="left" w:pos="360"/>
                <w:tab w:val="left" w:pos="720"/>
              </w:tabs>
              <w:ind w:right="72"/>
              <w:jc w:val="right"/>
              <w:rPr>
                <w:rFonts w:ascii="Arial" w:hAnsi="Arial"/>
                <w:sz w:val="24"/>
              </w:rPr>
            </w:pPr>
            <w:r w:rsidRPr="00D67061">
              <w:rPr>
                <w:sz w:val="24"/>
              </w:rPr>
              <w:t>$18</w:t>
            </w:r>
          </w:p>
        </w:tc>
        <w:tc>
          <w:tcPr>
            <w:tcW w:w="1326" w:type="dxa"/>
            <w:tcBorders>
              <w:bottom w:val="single" w:sz="4" w:space="0" w:color="000000"/>
            </w:tcBorders>
          </w:tcPr>
          <w:p w:rsidR="00CB2C47" w:rsidRPr="00D67061" w:rsidRDefault="00CB2C47" w:rsidP="00A1013A">
            <w:pPr>
              <w:tabs>
                <w:tab w:val="left" w:pos="360"/>
                <w:tab w:val="left" w:pos="720"/>
              </w:tabs>
              <w:ind w:right="72"/>
              <w:jc w:val="right"/>
              <w:rPr>
                <w:sz w:val="24"/>
              </w:rPr>
            </w:pPr>
            <w:r w:rsidRPr="00D67061">
              <w:rPr>
                <w:sz w:val="24"/>
              </w:rPr>
              <w:t>$</w:t>
            </w:r>
            <w:r w:rsidR="00282A59">
              <w:rPr>
                <w:sz w:val="24"/>
              </w:rPr>
              <w:t>2,700</w:t>
            </w:r>
          </w:p>
        </w:tc>
      </w:tr>
      <w:tr w:rsidR="00D672B9" w:rsidRPr="00D67061" w:rsidTr="00C4654D">
        <w:tc>
          <w:tcPr>
            <w:tcW w:w="5418" w:type="dxa"/>
            <w:tcBorders>
              <w:bottom w:val="single" w:sz="4" w:space="0" w:color="000000"/>
            </w:tcBorders>
            <w:vAlign w:val="center"/>
          </w:tcPr>
          <w:p w:rsidR="00D672B9" w:rsidRPr="00D67061" w:rsidRDefault="00D672B9" w:rsidP="00823FF9">
            <w:pPr>
              <w:spacing w:before="40" w:after="40"/>
              <w:rPr>
                <w:color w:val="000000"/>
                <w:sz w:val="24"/>
                <w:szCs w:val="24"/>
              </w:rPr>
            </w:pPr>
            <w:r w:rsidRPr="00D67061">
              <w:rPr>
                <w:color w:val="000000"/>
                <w:sz w:val="24"/>
                <w:szCs w:val="24"/>
              </w:rPr>
              <w:t>Formula Challenge (HUD-4119)</w:t>
            </w:r>
          </w:p>
        </w:tc>
        <w:tc>
          <w:tcPr>
            <w:tcW w:w="1530" w:type="dxa"/>
            <w:tcBorders>
              <w:bottom w:val="single" w:sz="4" w:space="0" w:color="000000"/>
            </w:tcBorders>
            <w:vAlign w:val="center"/>
          </w:tcPr>
          <w:p w:rsidR="00D672B9" w:rsidRPr="00D67061" w:rsidRDefault="00D672B9" w:rsidP="00823FF9">
            <w:pPr>
              <w:spacing w:before="40" w:after="40"/>
              <w:ind w:right="72"/>
              <w:jc w:val="right"/>
              <w:rPr>
                <w:rFonts w:eastAsia="Calibri"/>
                <w:color w:val="000000"/>
                <w:sz w:val="24"/>
                <w:szCs w:val="24"/>
              </w:rPr>
            </w:pPr>
            <w:r w:rsidRPr="00D67061">
              <w:rPr>
                <w:rFonts w:eastAsia="Calibri"/>
                <w:color w:val="000000"/>
                <w:sz w:val="24"/>
                <w:szCs w:val="24"/>
              </w:rPr>
              <w:t>2,250</w:t>
            </w:r>
          </w:p>
        </w:tc>
        <w:tc>
          <w:tcPr>
            <w:tcW w:w="1170" w:type="dxa"/>
            <w:tcBorders>
              <w:bottom w:val="single" w:sz="4" w:space="0" w:color="000000"/>
            </w:tcBorders>
          </w:tcPr>
          <w:p w:rsidR="00D672B9" w:rsidRPr="00D67061" w:rsidRDefault="00D672B9" w:rsidP="00823FF9">
            <w:pPr>
              <w:tabs>
                <w:tab w:val="left" w:pos="360"/>
                <w:tab w:val="left" w:pos="720"/>
              </w:tabs>
              <w:ind w:right="72"/>
              <w:jc w:val="right"/>
              <w:rPr>
                <w:rFonts w:ascii="Arial" w:hAnsi="Arial"/>
                <w:sz w:val="24"/>
              </w:rPr>
            </w:pPr>
            <w:r w:rsidRPr="00D67061">
              <w:rPr>
                <w:sz w:val="24"/>
              </w:rPr>
              <w:t>$18</w:t>
            </w:r>
          </w:p>
        </w:tc>
        <w:tc>
          <w:tcPr>
            <w:tcW w:w="1326" w:type="dxa"/>
            <w:tcBorders>
              <w:bottom w:val="single" w:sz="4" w:space="0" w:color="000000"/>
            </w:tcBorders>
          </w:tcPr>
          <w:p w:rsidR="00D672B9" w:rsidRPr="00D67061" w:rsidRDefault="00D672B9" w:rsidP="00823FF9">
            <w:pPr>
              <w:tabs>
                <w:tab w:val="left" w:pos="360"/>
                <w:tab w:val="left" w:pos="720"/>
              </w:tabs>
              <w:ind w:right="72"/>
              <w:jc w:val="right"/>
              <w:rPr>
                <w:sz w:val="24"/>
              </w:rPr>
            </w:pPr>
            <w:r w:rsidRPr="00D67061">
              <w:rPr>
                <w:sz w:val="24"/>
              </w:rPr>
              <w:t>$40,500</w:t>
            </w:r>
          </w:p>
        </w:tc>
      </w:tr>
      <w:tr w:rsidR="00D672B9" w:rsidRPr="00D67061" w:rsidTr="00D455D0">
        <w:tc>
          <w:tcPr>
            <w:tcW w:w="5418" w:type="dxa"/>
            <w:tcBorders>
              <w:bottom w:val="single" w:sz="4" w:space="0" w:color="000000"/>
            </w:tcBorders>
            <w:vAlign w:val="center"/>
          </w:tcPr>
          <w:p w:rsidR="00D672B9" w:rsidRDefault="00D672B9" w:rsidP="00823FF9">
            <w:pPr>
              <w:shd w:val="clear" w:color="auto" w:fill="FFFFFF"/>
              <w:spacing w:before="40" w:after="40"/>
              <w:rPr>
                <w:color w:val="000000"/>
                <w:sz w:val="24"/>
                <w:szCs w:val="24"/>
              </w:rPr>
            </w:pPr>
            <w:r>
              <w:rPr>
                <w:color w:val="000000"/>
                <w:sz w:val="24"/>
                <w:szCs w:val="24"/>
              </w:rPr>
              <w:t>Depository Agreement (Banker)</w:t>
            </w:r>
          </w:p>
          <w:p w:rsidR="00D672B9" w:rsidRPr="00D67061" w:rsidRDefault="00D672B9" w:rsidP="00823FF9">
            <w:pPr>
              <w:shd w:val="clear" w:color="auto" w:fill="FFFFFF"/>
              <w:spacing w:before="40" w:after="40"/>
              <w:rPr>
                <w:color w:val="000000"/>
                <w:sz w:val="24"/>
                <w:szCs w:val="24"/>
              </w:rPr>
            </w:pPr>
            <w:r>
              <w:rPr>
                <w:color w:val="000000"/>
                <w:sz w:val="24"/>
                <w:szCs w:val="24"/>
              </w:rPr>
              <w:t>(HUD-52736-A)</w:t>
            </w:r>
          </w:p>
        </w:tc>
        <w:tc>
          <w:tcPr>
            <w:tcW w:w="1530" w:type="dxa"/>
            <w:tcBorders>
              <w:bottom w:val="single" w:sz="4" w:space="0" w:color="000000"/>
            </w:tcBorders>
          </w:tcPr>
          <w:p w:rsidR="00D672B9" w:rsidRDefault="00D672B9" w:rsidP="00F453DC">
            <w:pPr>
              <w:spacing w:before="40" w:after="40"/>
              <w:ind w:right="72"/>
              <w:jc w:val="right"/>
              <w:rPr>
                <w:rFonts w:eastAsia="Calibri"/>
                <w:color w:val="000000"/>
                <w:sz w:val="24"/>
                <w:szCs w:val="24"/>
              </w:rPr>
            </w:pPr>
            <w:r>
              <w:rPr>
                <w:rFonts w:eastAsia="Calibri"/>
                <w:color w:val="000000"/>
                <w:sz w:val="24"/>
                <w:szCs w:val="24"/>
              </w:rPr>
              <w:t>91.5</w:t>
            </w:r>
          </w:p>
        </w:tc>
        <w:tc>
          <w:tcPr>
            <w:tcW w:w="1170" w:type="dxa"/>
            <w:tcBorders>
              <w:bottom w:val="single" w:sz="4" w:space="0" w:color="000000"/>
            </w:tcBorders>
          </w:tcPr>
          <w:p w:rsidR="00D672B9" w:rsidRPr="00D67061" w:rsidRDefault="00D672B9" w:rsidP="00284658">
            <w:pPr>
              <w:tabs>
                <w:tab w:val="left" w:pos="360"/>
                <w:tab w:val="left" w:pos="720"/>
              </w:tabs>
              <w:ind w:right="72"/>
              <w:jc w:val="right"/>
              <w:rPr>
                <w:sz w:val="24"/>
              </w:rPr>
            </w:pPr>
            <w:r>
              <w:rPr>
                <w:sz w:val="24"/>
              </w:rPr>
              <w:t>$18</w:t>
            </w:r>
          </w:p>
        </w:tc>
        <w:tc>
          <w:tcPr>
            <w:tcW w:w="1326" w:type="dxa"/>
            <w:tcBorders>
              <w:bottom w:val="single" w:sz="4" w:space="0" w:color="000000"/>
            </w:tcBorders>
          </w:tcPr>
          <w:p w:rsidR="00D672B9" w:rsidRPr="00D67061" w:rsidRDefault="00D672B9" w:rsidP="00A1013A">
            <w:pPr>
              <w:tabs>
                <w:tab w:val="left" w:pos="360"/>
                <w:tab w:val="left" w:pos="720"/>
              </w:tabs>
              <w:ind w:right="72"/>
              <w:jc w:val="right"/>
              <w:rPr>
                <w:sz w:val="24"/>
              </w:rPr>
            </w:pPr>
            <w:r>
              <w:rPr>
                <w:sz w:val="24"/>
              </w:rPr>
              <w:t>$1,647</w:t>
            </w:r>
          </w:p>
        </w:tc>
      </w:tr>
      <w:tr w:rsidR="00D672B9" w:rsidRPr="00D67061" w:rsidTr="00004DCC">
        <w:tc>
          <w:tcPr>
            <w:tcW w:w="5418" w:type="dxa"/>
            <w:tcBorders>
              <w:bottom w:val="double" w:sz="4" w:space="0" w:color="auto"/>
            </w:tcBorders>
            <w:vAlign w:val="center"/>
          </w:tcPr>
          <w:p w:rsidR="00D672B9" w:rsidRDefault="00D672B9" w:rsidP="00823FF9">
            <w:pPr>
              <w:shd w:val="clear" w:color="auto" w:fill="FFFFFF"/>
              <w:spacing w:before="40" w:after="40"/>
              <w:rPr>
                <w:color w:val="000000"/>
                <w:sz w:val="24"/>
                <w:szCs w:val="24"/>
              </w:rPr>
            </w:pPr>
            <w:r>
              <w:rPr>
                <w:color w:val="000000"/>
                <w:sz w:val="24"/>
                <w:szCs w:val="24"/>
              </w:rPr>
              <w:t>Depository Agreement (Broker)</w:t>
            </w:r>
          </w:p>
          <w:p w:rsidR="00D672B9" w:rsidRPr="00D67061" w:rsidRDefault="00D672B9" w:rsidP="00823FF9">
            <w:pPr>
              <w:shd w:val="clear" w:color="auto" w:fill="FFFFFF"/>
              <w:spacing w:before="40" w:after="40"/>
              <w:rPr>
                <w:color w:val="000000"/>
                <w:sz w:val="24"/>
                <w:szCs w:val="24"/>
              </w:rPr>
            </w:pPr>
            <w:r>
              <w:rPr>
                <w:color w:val="000000"/>
                <w:sz w:val="24"/>
                <w:szCs w:val="24"/>
              </w:rPr>
              <w:t>(HUD-52736-B)</w:t>
            </w:r>
          </w:p>
        </w:tc>
        <w:tc>
          <w:tcPr>
            <w:tcW w:w="1530" w:type="dxa"/>
            <w:tcBorders>
              <w:bottom w:val="double" w:sz="4" w:space="0" w:color="auto"/>
            </w:tcBorders>
          </w:tcPr>
          <w:p w:rsidR="00D672B9" w:rsidRDefault="00D672B9" w:rsidP="00823FF9">
            <w:pPr>
              <w:spacing w:before="40" w:after="40"/>
              <w:ind w:right="72"/>
              <w:jc w:val="right"/>
              <w:rPr>
                <w:rFonts w:eastAsia="Calibri"/>
                <w:color w:val="000000"/>
                <w:sz w:val="24"/>
                <w:szCs w:val="24"/>
              </w:rPr>
            </w:pPr>
            <w:r>
              <w:rPr>
                <w:rFonts w:eastAsia="Calibri"/>
                <w:color w:val="000000"/>
                <w:sz w:val="24"/>
                <w:szCs w:val="24"/>
              </w:rPr>
              <w:t>91.5</w:t>
            </w:r>
          </w:p>
        </w:tc>
        <w:tc>
          <w:tcPr>
            <w:tcW w:w="1170" w:type="dxa"/>
            <w:tcBorders>
              <w:bottom w:val="double" w:sz="4" w:space="0" w:color="auto"/>
            </w:tcBorders>
          </w:tcPr>
          <w:p w:rsidR="00D672B9" w:rsidRPr="00D67061" w:rsidRDefault="00D672B9" w:rsidP="00823FF9">
            <w:pPr>
              <w:tabs>
                <w:tab w:val="left" w:pos="360"/>
                <w:tab w:val="left" w:pos="720"/>
              </w:tabs>
              <w:ind w:right="72"/>
              <w:jc w:val="right"/>
              <w:rPr>
                <w:sz w:val="24"/>
              </w:rPr>
            </w:pPr>
            <w:r>
              <w:rPr>
                <w:sz w:val="24"/>
              </w:rPr>
              <w:t>$18</w:t>
            </w:r>
          </w:p>
        </w:tc>
        <w:tc>
          <w:tcPr>
            <w:tcW w:w="1326" w:type="dxa"/>
            <w:tcBorders>
              <w:bottom w:val="double" w:sz="4" w:space="0" w:color="auto"/>
            </w:tcBorders>
          </w:tcPr>
          <w:p w:rsidR="00D672B9" w:rsidRPr="00D67061" w:rsidRDefault="00D672B9" w:rsidP="00823FF9">
            <w:pPr>
              <w:tabs>
                <w:tab w:val="left" w:pos="360"/>
                <w:tab w:val="left" w:pos="720"/>
              </w:tabs>
              <w:ind w:right="72"/>
              <w:jc w:val="right"/>
              <w:rPr>
                <w:sz w:val="24"/>
              </w:rPr>
            </w:pPr>
            <w:r>
              <w:rPr>
                <w:sz w:val="24"/>
              </w:rPr>
              <w:t>$1,647</w:t>
            </w:r>
          </w:p>
        </w:tc>
      </w:tr>
      <w:tr w:rsidR="00D672B9" w:rsidRPr="00D67061" w:rsidTr="00D455D0">
        <w:tc>
          <w:tcPr>
            <w:tcW w:w="5418" w:type="dxa"/>
            <w:tcBorders>
              <w:top w:val="double" w:sz="4" w:space="0" w:color="auto"/>
            </w:tcBorders>
            <w:vAlign w:val="center"/>
          </w:tcPr>
          <w:p w:rsidR="00D672B9" w:rsidRPr="00D67061" w:rsidRDefault="00D672B9" w:rsidP="006C0DF6">
            <w:pPr>
              <w:spacing w:before="40" w:after="40"/>
              <w:rPr>
                <w:rFonts w:eastAsia="Calibri"/>
                <w:bCs/>
                <w:color w:val="000000"/>
                <w:sz w:val="24"/>
                <w:szCs w:val="24"/>
              </w:rPr>
            </w:pPr>
            <w:r w:rsidRPr="00D67061">
              <w:rPr>
                <w:rFonts w:eastAsia="Calibri"/>
                <w:bCs/>
                <w:color w:val="000000"/>
                <w:sz w:val="24"/>
                <w:szCs w:val="24"/>
              </w:rPr>
              <w:t>Total</w:t>
            </w:r>
            <w:r>
              <w:rPr>
                <w:rFonts w:eastAsia="Calibri"/>
                <w:bCs/>
                <w:color w:val="000000"/>
                <w:sz w:val="24"/>
                <w:szCs w:val="24"/>
              </w:rPr>
              <w:t xml:space="preserve"> </w:t>
            </w:r>
          </w:p>
        </w:tc>
        <w:tc>
          <w:tcPr>
            <w:tcW w:w="1530" w:type="dxa"/>
            <w:tcBorders>
              <w:top w:val="double" w:sz="4" w:space="0" w:color="auto"/>
            </w:tcBorders>
          </w:tcPr>
          <w:p w:rsidR="00D672B9" w:rsidRDefault="00D672B9" w:rsidP="00F453DC">
            <w:pPr>
              <w:spacing w:before="40" w:after="40"/>
              <w:ind w:right="48"/>
              <w:jc w:val="right"/>
              <w:rPr>
                <w:rFonts w:eastAsia="Calibri"/>
                <w:bCs/>
                <w:color w:val="000000"/>
                <w:sz w:val="24"/>
                <w:szCs w:val="24"/>
              </w:rPr>
            </w:pPr>
            <w:r>
              <w:rPr>
                <w:rFonts w:eastAsia="Calibri"/>
                <w:bCs/>
                <w:color w:val="000000"/>
                <w:sz w:val="24"/>
                <w:szCs w:val="24"/>
              </w:rPr>
              <w:t>4</w:t>
            </w:r>
            <w:r w:rsidR="00F84AA4">
              <w:rPr>
                <w:rFonts w:eastAsia="Calibri"/>
                <w:bCs/>
                <w:color w:val="000000"/>
                <w:sz w:val="24"/>
                <w:szCs w:val="24"/>
              </w:rPr>
              <w:t>7,967</w:t>
            </w:r>
          </w:p>
        </w:tc>
        <w:tc>
          <w:tcPr>
            <w:tcW w:w="1170" w:type="dxa"/>
            <w:tcBorders>
              <w:top w:val="double" w:sz="4" w:space="0" w:color="auto"/>
            </w:tcBorders>
          </w:tcPr>
          <w:p w:rsidR="00D672B9" w:rsidRPr="00D67061" w:rsidRDefault="00D672B9" w:rsidP="00284658">
            <w:pPr>
              <w:tabs>
                <w:tab w:val="left" w:pos="360"/>
                <w:tab w:val="left" w:pos="720"/>
              </w:tabs>
              <w:ind w:left="-108" w:right="72"/>
              <w:jc w:val="right"/>
              <w:rPr>
                <w:rFonts w:ascii="Arial" w:hAnsi="Arial"/>
                <w:sz w:val="24"/>
              </w:rPr>
            </w:pPr>
            <w:r w:rsidRPr="00D67061">
              <w:rPr>
                <w:sz w:val="24"/>
              </w:rPr>
              <w:t>$18</w:t>
            </w:r>
          </w:p>
        </w:tc>
        <w:tc>
          <w:tcPr>
            <w:tcW w:w="1326" w:type="dxa"/>
            <w:tcBorders>
              <w:top w:val="double" w:sz="4" w:space="0" w:color="auto"/>
            </w:tcBorders>
          </w:tcPr>
          <w:p w:rsidR="00D672B9" w:rsidRPr="00D67061" w:rsidRDefault="00D672B9" w:rsidP="00A1013A">
            <w:pPr>
              <w:tabs>
                <w:tab w:val="left" w:pos="360"/>
                <w:tab w:val="left" w:pos="720"/>
              </w:tabs>
              <w:jc w:val="right"/>
              <w:rPr>
                <w:sz w:val="24"/>
              </w:rPr>
            </w:pPr>
            <w:r>
              <w:rPr>
                <w:sz w:val="24"/>
              </w:rPr>
              <w:t>$</w:t>
            </w:r>
            <w:r w:rsidR="001E7234">
              <w:rPr>
                <w:sz w:val="24"/>
              </w:rPr>
              <w:t>863,406</w:t>
            </w:r>
          </w:p>
        </w:tc>
      </w:tr>
    </w:tbl>
    <w:p w:rsidR="00441F7F" w:rsidRDefault="00441F7F" w:rsidP="00284658">
      <w:pPr>
        <w:tabs>
          <w:tab w:val="left" w:pos="360"/>
        </w:tabs>
        <w:rPr>
          <w:sz w:val="18"/>
        </w:rPr>
      </w:pPr>
    </w:p>
    <w:p w:rsidR="00441F7F" w:rsidRDefault="00441F7F">
      <w:pPr>
        <w:tabs>
          <w:tab w:val="left" w:pos="360"/>
        </w:tabs>
        <w:ind w:left="360" w:hanging="360"/>
        <w:rPr>
          <w:sz w:val="18"/>
        </w:rPr>
      </w:pPr>
    </w:p>
    <w:p w:rsidR="00441F7F" w:rsidRDefault="00441F7F">
      <w:pPr>
        <w:tabs>
          <w:tab w:val="left" w:pos="360"/>
        </w:tabs>
        <w:ind w:left="360" w:hanging="360"/>
        <w:rPr>
          <w:sz w:val="18"/>
        </w:rPr>
      </w:pPr>
    </w:p>
    <w:p w:rsidR="00C53525" w:rsidRDefault="00C53525">
      <w:pPr>
        <w:tabs>
          <w:tab w:val="left" w:pos="360"/>
        </w:tabs>
        <w:ind w:left="360" w:hanging="360"/>
        <w:rPr>
          <w:sz w:val="18"/>
        </w:rPr>
      </w:pPr>
      <w:r>
        <w:rPr>
          <w:sz w:val="18"/>
        </w:rPr>
        <w:t>13.</w:t>
      </w:r>
      <w:r>
        <w:rPr>
          <w:sz w:val="18"/>
        </w:rPr>
        <w:tab/>
        <w:t>Provide an estimate of the total annual cost burden to respondents or record</w:t>
      </w:r>
      <w:r w:rsidR="00A1013A">
        <w:rPr>
          <w:sz w:val="18"/>
        </w:rPr>
        <w:t xml:space="preserve"> </w:t>
      </w:r>
      <w:r>
        <w:rPr>
          <w:sz w:val="18"/>
        </w:rPr>
        <w:t xml:space="preserve">keepers resulting from the collection of information (do not include the cost of any hour burden shown in Items 12 and 14). </w:t>
      </w:r>
    </w:p>
    <w:p w:rsidR="00C53525" w:rsidRDefault="00C53525">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C53525" w:rsidRDefault="00C53525">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C53525" w:rsidRDefault="00C53525">
      <w:pPr>
        <w:numPr>
          <w:ilvl w:val="0"/>
          <w:numId w:val="8"/>
        </w:numPr>
        <w:tabs>
          <w:tab w:val="left" w:pos="360"/>
        </w:tabs>
        <w:ind w:left="480"/>
        <w:rPr>
          <w:sz w:val="18"/>
        </w:rPr>
      </w:pPr>
      <w:proofErr w:type="gramStart"/>
      <w:r>
        <w:rPr>
          <w:sz w:val="18"/>
        </w:rPr>
        <w:lastRenderedPageBreak/>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53525" w:rsidRDefault="00C53525">
      <w:pPr>
        <w:tabs>
          <w:tab w:val="left" w:pos="360"/>
        </w:tabs>
        <w:ind w:left="336"/>
        <w:rPr>
          <w:sz w:val="18"/>
        </w:rPr>
      </w:pPr>
    </w:p>
    <w:p w:rsidR="00020F12" w:rsidRPr="00D67061" w:rsidRDefault="00CB2C47">
      <w:pPr>
        <w:tabs>
          <w:tab w:val="left" w:pos="360"/>
          <w:tab w:val="left" w:pos="720"/>
        </w:tabs>
        <w:ind w:left="360"/>
        <w:rPr>
          <w:rFonts w:eastAsia="Calibri"/>
          <w:color w:val="000000"/>
          <w:sz w:val="24"/>
          <w:szCs w:val="24"/>
        </w:rPr>
      </w:pPr>
      <w:r>
        <w:rPr>
          <w:rFonts w:eastAsia="Calibri"/>
          <w:color w:val="000000"/>
          <w:sz w:val="24"/>
          <w:szCs w:val="24"/>
        </w:rPr>
        <w:t xml:space="preserve">There are no additional costs other than what is reported above.  </w:t>
      </w:r>
    </w:p>
    <w:p w:rsidR="00020F12" w:rsidRDefault="00020F12">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53525" w:rsidRDefault="00C53525">
      <w:pPr>
        <w:tabs>
          <w:tab w:val="left" w:pos="360"/>
          <w:tab w:val="left" w:pos="720"/>
        </w:tabs>
        <w:ind w:left="360"/>
        <w:rPr>
          <w:sz w:val="18"/>
        </w:rPr>
      </w:pPr>
    </w:p>
    <w:p w:rsidR="00890478" w:rsidRDefault="00D746F6" w:rsidP="00890478">
      <w:pPr>
        <w:rPr>
          <w:rFonts w:eastAsia="Calibri"/>
          <w:color w:val="000000"/>
          <w:sz w:val="24"/>
          <w:szCs w:val="24"/>
        </w:rPr>
      </w:pPr>
      <w:r w:rsidRPr="00DD7DB4">
        <w:rPr>
          <w:rFonts w:eastAsia="Calibri"/>
          <w:color w:val="000000"/>
          <w:sz w:val="24"/>
          <w:szCs w:val="24"/>
        </w:rPr>
        <w:t xml:space="preserve">There are no </w:t>
      </w:r>
      <w:r w:rsidRPr="0007467B">
        <w:rPr>
          <w:rFonts w:eastAsia="Calibri"/>
          <w:color w:val="000000"/>
          <w:sz w:val="24"/>
          <w:szCs w:val="24"/>
          <w:u w:val="single"/>
        </w:rPr>
        <w:t>additiona</w:t>
      </w:r>
      <w:r w:rsidRPr="00DD7DB4">
        <w:rPr>
          <w:rFonts w:eastAsia="Calibri"/>
          <w:color w:val="000000"/>
          <w:sz w:val="24"/>
          <w:szCs w:val="24"/>
        </w:rPr>
        <w:t>l costs to the Federal Government</w:t>
      </w:r>
      <w:r w:rsidR="003244A6">
        <w:rPr>
          <w:rFonts w:eastAsia="Calibri"/>
          <w:color w:val="000000"/>
          <w:sz w:val="24"/>
          <w:szCs w:val="24"/>
        </w:rPr>
        <w:t xml:space="preserve"> for this information collection. </w:t>
      </w:r>
      <w:r w:rsidR="00663C44">
        <w:rPr>
          <w:rFonts w:eastAsia="Calibri"/>
          <w:color w:val="000000"/>
          <w:sz w:val="24"/>
          <w:szCs w:val="24"/>
        </w:rPr>
        <w:t>ONAP staff and contractors have</w:t>
      </w:r>
      <w:r w:rsidR="00890478">
        <w:rPr>
          <w:rFonts w:eastAsia="Calibri"/>
          <w:color w:val="000000"/>
          <w:sz w:val="24"/>
          <w:szCs w:val="24"/>
        </w:rPr>
        <w:t xml:space="preserve"> been reviewing the forms in this information collection since the inception of the IHBG program.  The table below summarizes the annualized cost for reviewing the forms in this information collection.</w:t>
      </w:r>
    </w:p>
    <w:p w:rsidR="00890478" w:rsidRDefault="00890478" w:rsidP="00890478">
      <w:pPr>
        <w:rPr>
          <w:rFonts w:eastAsia="Calibri"/>
          <w:color w:val="000000"/>
          <w:sz w:val="24"/>
          <w:szCs w:val="24"/>
        </w:rPr>
      </w:pPr>
    </w:p>
    <w:tbl>
      <w:tblPr>
        <w:tblStyle w:val="TableGrid"/>
        <w:tblW w:w="0" w:type="auto"/>
        <w:tblLook w:val="04A0" w:firstRow="1" w:lastRow="0" w:firstColumn="1" w:lastColumn="0" w:noHBand="0" w:noVBand="1"/>
      </w:tblPr>
      <w:tblGrid>
        <w:gridCol w:w="1337"/>
        <w:gridCol w:w="1444"/>
        <w:gridCol w:w="1430"/>
        <w:gridCol w:w="1176"/>
        <w:gridCol w:w="1131"/>
        <w:gridCol w:w="1131"/>
        <w:gridCol w:w="1121"/>
      </w:tblGrid>
      <w:tr w:rsidR="00890478" w:rsidTr="00AB2221">
        <w:tc>
          <w:tcPr>
            <w:tcW w:w="1337" w:type="dxa"/>
          </w:tcPr>
          <w:p w:rsidR="00890478" w:rsidRPr="006E0F64" w:rsidRDefault="00890478" w:rsidP="00AB2221">
            <w:pPr>
              <w:rPr>
                <w:i/>
                <w:sz w:val="24"/>
                <w:szCs w:val="24"/>
              </w:rPr>
            </w:pPr>
            <w:r w:rsidRPr="006E0F64">
              <w:rPr>
                <w:i/>
                <w:sz w:val="24"/>
                <w:szCs w:val="24"/>
              </w:rPr>
              <w:t>Type of Submission</w:t>
            </w:r>
          </w:p>
        </w:tc>
        <w:tc>
          <w:tcPr>
            <w:tcW w:w="1444" w:type="dxa"/>
          </w:tcPr>
          <w:p w:rsidR="00890478" w:rsidRPr="006E0F64" w:rsidRDefault="00890478" w:rsidP="00AB2221">
            <w:pPr>
              <w:rPr>
                <w:i/>
                <w:sz w:val="24"/>
                <w:szCs w:val="24"/>
              </w:rPr>
            </w:pPr>
            <w:r w:rsidRPr="006E0F64">
              <w:rPr>
                <w:i/>
                <w:sz w:val="24"/>
                <w:szCs w:val="24"/>
              </w:rPr>
              <w:t>Number of Respondents</w:t>
            </w:r>
          </w:p>
        </w:tc>
        <w:tc>
          <w:tcPr>
            <w:tcW w:w="1430" w:type="dxa"/>
          </w:tcPr>
          <w:p w:rsidR="00890478" w:rsidRPr="006E0F64" w:rsidRDefault="00890478" w:rsidP="00AB2221">
            <w:pPr>
              <w:rPr>
                <w:i/>
                <w:sz w:val="24"/>
                <w:szCs w:val="24"/>
              </w:rPr>
            </w:pPr>
            <w:r w:rsidRPr="006E0F64">
              <w:rPr>
                <w:i/>
                <w:sz w:val="24"/>
                <w:szCs w:val="24"/>
              </w:rPr>
              <w:t>Frequency of Submissions</w:t>
            </w:r>
          </w:p>
        </w:tc>
        <w:tc>
          <w:tcPr>
            <w:tcW w:w="1176" w:type="dxa"/>
          </w:tcPr>
          <w:p w:rsidR="00890478" w:rsidRPr="006E0F64" w:rsidRDefault="00890478" w:rsidP="00AB2221">
            <w:pPr>
              <w:rPr>
                <w:i/>
                <w:sz w:val="24"/>
                <w:szCs w:val="24"/>
              </w:rPr>
            </w:pPr>
            <w:r>
              <w:rPr>
                <w:i/>
                <w:sz w:val="24"/>
                <w:szCs w:val="24"/>
              </w:rPr>
              <w:t>Estimated Hours</w:t>
            </w:r>
          </w:p>
        </w:tc>
        <w:tc>
          <w:tcPr>
            <w:tcW w:w="1131" w:type="dxa"/>
          </w:tcPr>
          <w:p w:rsidR="00890478" w:rsidRPr="006E0F64" w:rsidRDefault="00890478" w:rsidP="00AB2221">
            <w:pPr>
              <w:rPr>
                <w:i/>
                <w:sz w:val="24"/>
                <w:szCs w:val="24"/>
              </w:rPr>
            </w:pPr>
            <w:r>
              <w:rPr>
                <w:i/>
                <w:sz w:val="24"/>
                <w:szCs w:val="24"/>
              </w:rPr>
              <w:t>Total Annual Burden Hours</w:t>
            </w:r>
          </w:p>
        </w:tc>
        <w:tc>
          <w:tcPr>
            <w:tcW w:w="1131" w:type="dxa"/>
          </w:tcPr>
          <w:p w:rsidR="00890478" w:rsidRPr="006E0F64" w:rsidRDefault="00663C44" w:rsidP="00AB2221">
            <w:pPr>
              <w:rPr>
                <w:i/>
                <w:sz w:val="24"/>
                <w:szCs w:val="24"/>
              </w:rPr>
            </w:pPr>
            <w:r>
              <w:rPr>
                <w:i/>
                <w:sz w:val="24"/>
                <w:szCs w:val="24"/>
              </w:rPr>
              <w:t xml:space="preserve">Hourly Base Rate </w:t>
            </w:r>
          </w:p>
        </w:tc>
        <w:tc>
          <w:tcPr>
            <w:tcW w:w="1121" w:type="dxa"/>
          </w:tcPr>
          <w:p w:rsidR="00890478" w:rsidRPr="006E0F64" w:rsidRDefault="00890478" w:rsidP="00AB2221">
            <w:pPr>
              <w:rPr>
                <w:i/>
                <w:sz w:val="24"/>
                <w:szCs w:val="24"/>
              </w:rPr>
            </w:pPr>
            <w:r>
              <w:rPr>
                <w:i/>
                <w:sz w:val="24"/>
                <w:szCs w:val="24"/>
              </w:rPr>
              <w:t>Total Annual Cost</w:t>
            </w:r>
          </w:p>
        </w:tc>
      </w:tr>
      <w:tr w:rsidR="00890478" w:rsidTr="0007467B">
        <w:tc>
          <w:tcPr>
            <w:tcW w:w="1337" w:type="dxa"/>
            <w:vAlign w:val="center"/>
          </w:tcPr>
          <w:p w:rsidR="00890478" w:rsidRPr="00D67061" w:rsidRDefault="00890478" w:rsidP="00AB2221">
            <w:pPr>
              <w:shd w:val="clear" w:color="auto" w:fill="FFFFFF"/>
              <w:spacing w:before="40" w:after="40"/>
              <w:rPr>
                <w:color w:val="000000"/>
                <w:sz w:val="24"/>
                <w:szCs w:val="24"/>
              </w:rPr>
            </w:pPr>
            <w:r w:rsidRPr="00D67061">
              <w:rPr>
                <w:color w:val="000000"/>
                <w:sz w:val="24"/>
                <w:szCs w:val="24"/>
              </w:rPr>
              <w:t>IHP</w:t>
            </w:r>
            <w:r>
              <w:rPr>
                <w:color w:val="000000"/>
                <w:sz w:val="24"/>
                <w:szCs w:val="24"/>
              </w:rPr>
              <w:t>/APR</w:t>
            </w:r>
            <w:r w:rsidRPr="00D67061">
              <w:rPr>
                <w:color w:val="000000"/>
                <w:sz w:val="24"/>
                <w:szCs w:val="24"/>
              </w:rPr>
              <w:t xml:space="preserve">  (HUD-</w:t>
            </w:r>
            <w:r>
              <w:rPr>
                <w:rFonts w:eastAsia="Calibri"/>
                <w:color w:val="000000"/>
                <w:sz w:val="24"/>
                <w:szCs w:val="24"/>
              </w:rPr>
              <w:t>52737</w:t>
            </w:r>
            <w:r w:rsidRPr="00D67061">
              <w:rPr>
                <w:rFonts w:eastAsia="Calibri"/>
                <w:color w:val="000000"/>
                <w:sz w:val="24"/>
                <w:szCs w:val="24"/>
              </w:rPr>
              <w:t>)</w:t>
            </w:r>
          </w:p>
        </w:tc>
        <w:tc>
          <w:tcPr>
            <w:tcW w:w="1444" w:type="dxa"/>
            <w:vAlign w:val="center"/>
          </w:tcPr>
          <w:p w:rsidR="00890478" w:rsidRPr="00D67061" w:rsidRDefault="00890478" w:rsidP="0007467B">
            <w:pPr>
              <w:shd w:val="clear" w:color="auto" w:fill="FFFFFF"/>
              <w:spacing w:before="40" w:after="40"/>
              <w:ind w:right="62"/>
              <w:jc w:val="center"/>
              <w:rPr>
                <w:rFonts w:eastAsia="Calibri"/>
                <w:color w:val="000000"/>
                <w:sz w:val="24"/>
                <w:szCs w:val="24"/>
              </w:rPr>
            </w:pPr>
            <w:r>
              <w:rPr>
                <w:rFonts w:eastAsia="Calibri"/>
                <w:color w:val="000000"/>
                <w:sz w:val="24"/>
                <w:szCs w:val="24"/>
              </w:rPr>
              <w:t>366</w:t>
            </w:r>
          </w:p>
        </w:tc>
        <w:tc>
          <w:tcPr>
            <w:tcW w:w="1430" w:type="dxa"/>
            <w:vAlign w:val="center"/>
          </w:tcPr>
          <w:p w:rsidR="00890478" w:rsidRDefault="00890478" w:rsidP="0007467B">
            <w:pPr>
              <w:shd w:val="clear" w:color="auto" w:fill="FFFFFF"/>
              <w:spacing w:before="40" w:after="40"/>
              <w:jc w:val="center"/>
              <w:rPr>
                <w:rFonts w:eastAsia="Calibri"/>
                <w:color w:val="000000"/>
                <w:sz w:val="24"/>
                <w:szCs w:val="24"/>
              </w:rPr>
            </w:pPr>
            <w:r>
              <w:rPr>
                <w:rFonts w:eastAsia="Calibri"/>
                <w:color w:val="000000"/>
                <w:sz w:val="24"/>
                <w:szCs w:val="24"/>
              </w:rPr>
              <w:t>2</w:t>
            </w:r>
          </w:p>
        </w:tc>
        <w:tc>
          <w:tcPr>
            <w:tcW w:w="1176" w:type="dxa"/>
            <w:vAlign w:val="center"/>
          </w:tcPr>
          <w:p w:rsidR="00890478" w:rsidRDefault="007750B9" w:rsidP="0007467B">
            <w:pPr>
              <w:jc w:val="center"/>
              <w:rPr>
                <w:sz w:val="24"/>
                <w:szCs w:val="24"/>
              </w:rPr>
            </w:pPr>
            <w:r>
              <w:rPr>
                <w:sz w:val="24"/>
                <w:szCs w:val="24"/>
              </w:rPr>
              <w:t>20</w:t>
            </w:r>
          </w:p>
        </w:tc>
        <w:tc>
          <w:tcPr>
            <w:tcW w:w="1131" w:type="dxa"/>
            <w:vAlign w:val="center"/>
          </w:tcPr>
          <w:p w:rsidR="00890478" w:rsidRDefault="007750B9" w:rsidP="0007467B">
            <w:pPr>
              <w:jc w:val="center"/>
              <w:rPr>
                <w:sz w:val="24"/>
                <w:szCs w:val="24"/>
              </w:rPr>
            </w:pPr>
            <w:r>
              <w:rPr>
                <w:sz w:val="24"/>
                <w:szCs w:val="24"/>
              </w:rPr>
              <w:t>14,640</w:t>
            </w:r>
          </w:p>
        </w:tc>
        <w:tc>
          <w:tcPr>
            <w:tcW w:w="1131" w:type="dxa"/>
            <w:vAlign w:val="center"/>
          </w:tcPr>
          <w:p w:rsidR="00890478" w:rsidRDefault="00890478" w:rsidP="0007467B">
            <w:pPr>
              <w:jc w:val="center"/>
              <w:rPr>
                <w:sz w:val="24"/>
                <w:szCs w:val="24"/>
              </w:rPr>
            </w:pPr>
            <w:r>
              <w:rPr>
                <w:sz w:val="24"/>
                <w:szCs w:val="24"/>
              </w:rPr>
              <w:t>$37.54</w:t>
            </w:r>
          </w:p>
        </w:tc>
        <w:tc>
          <w:tcPr>
            <w:tcW w:w="1121" w:type="dxa"/>
            <w:vAlign w:val="center"/>
          </w:tcPr>
          <w:p w:rsidR="00890478" w:rsidRDefault="0007467B" w:rsidP="0007467B">
            <w:pPr>
              <w:jc w:val="center"/>
              <w:rPr>
                <w:sz w:val="24"/>
                <w:szCs w:val="24"/>
              </w:rPr>
            </w:pPr>
            <w:r>
              <w:rPr>
                <w:sz w:val="24"/>
                <w:szCs w:val="24"/>
              </w:rPr>
              <w:t>$</w:t>
            </w:r>
            <w:r w:rsidR="007750B9">
              <w:rPr>
                <w:sz w:val="24"/>
                <w:szCs w:val="24"/>
              </w:rPr>
              <w:t>549,585</w:t>
            </w:r>
          </w:p>
        </w:tc>
      </w:tr>
      <w:tr w:rsidR="00890478" w:rsidTr="0007467B">
        <w:tc>
          <w:tcPr>
            <w:tcW w:w="1337" w:type="dxa"/>
            <w:tcBorders>
              <w:bottom w:val="single" w:sz="4" w:space="0" w:color="000000"/>
            </w:tcBorders>
            <w:vAlign w:val="center"/>
          </w:tcPr>
          <w:p w:rsidR="00890478" w:rsidRPr="00D67061" w:rsidRDefault="00890478" w:rsidP="00AB2221">
            <w:pPr>
              <w:shd w:val="clear" w:color="auto" w:fill="FFFFFF"/>
              <w:spacing w:before="40" w:after="40"/>
              <w:rPr>
                <w:color w:val="000000"/>
                <w:sz w:val="24"/>
                <w:szCs w:val="24"/>
              </w:rPr>
            </w:pPr>
            <w:r w:rsidRPr="00D67061">
              <w:rPr>
                <w:color w:val="000000"/>
                <w:sz w:val="24"/>
                <w:szCs w:val="24"/>
              </w:rPr>
              <w:t>Formula Correction (HUD-4117)</w:t>
            </w:r>
          </w:p>
        </w:tc>
        <w:tc>
          <w:tcPr>
            <w:tcW w:w="1444" w:type="dxa"/>
            <w:tcBorders>
              <w:bottom w:val="single" w:sz="4" w:space="0" w:color="000000"/>
            </w:tcBorders>
            <w:vAlign w:val="center"/>
          </w:tcPr>
          <w:p w:rsidR="00890478" w:rsidRPr="00D67061" w:rsidRDefault="007750B9" w:rsidP="0007467B">
            <w:pPr>
              <w:shd w:val="clear" w:color="auto" w:fill="FFFFFF"/>
              <w:spacing w:before="40" w:after="40"/>
              <w:ind w:right="62"/>
              <w:jc w:val="center"/>
              <w:rPr>
                <w:rFonts w:eastAsia="Calibri"/>
                <w:color w:val="000000"/>
                <w:sz w:val="24"/>
                <w:szCs w:val="24"/>
              </w:rPr>
            </w:pPr>
            <w:r>
              <w:rPr>
                <w:rFonts w:eastAsia="Calibri"/>
                <w:color w:val="000000"/>
                <w:sz w:val="24"/>
                <w:szCs w:val="24"/>
              </w:rPr>
              <w:t>300</w:t>
            </w:r>
          </w:p>
        </w:tc>
        <w:tc>
          <w:tcPr>
            <w:tcW w:w="1430" w:type="dxa"/>
            <w:tcBorders>
              <w:bottom w:val="single" w:sz="4" w:space="0" w:color="000000"/>
            </w:tcBorders>
            <w:vAlign w:val="center"/>
          </w:tcPr>
          <w:p w:rsidR="00890478" w:rsidRPr="00D67061" w:rsidRDefault="00890478" w:rsidP="0007467B">
            <w:pPr>
              <w:shd w:val="clear" w:color="auto" w:fill="FFFFFF"/>
              <w:spacing w:before="40" w:after="40"/>
              <w:jc w:val="center"/>
              <w:rPr>
                <w:rFonts w:eastAsia="Calibri"/>
                <w:color w:val="000000"/>
                <w:sz w:val="24"/>
                <w:szCs w:val="24"/>
              </w:rPr>
            </w:pPr>
            <w:r w:rsidRPr="00D67061">
              <w:rPr>
                <w:rFonts w:eastAsia="Calibri"/>
                <w:color w:val="000000"/>
                <w:sz w:val="24"/>
                <w:szCs w:val="24"/>
              </w:rPr>
              <w:t>1</w:t>
            </w:r>
          </w:p>
        </w:tc>
        <w:tc>
          <w:tcPr>
            <w:tcW w:w="1176" w:type="dxa"/>
            <w:tcBorders>
              <w:bottom w:val="single" w:sz="4" w:space="0" w:color="000000"/>
            </w:tcBorders>
            <w:vAlign w:val="center"/>
          </w:tcPr>
          <w:p w:rsidR="00890478" w:rsidRDefault="00663C44" w:rsidP="0007467B">
            <w:pPr>
              <w:jc w:val="center"/>
              <w:rPr>
                <w:sz w:val="24"/>
                <w:szCs w:val="24"/>
              </w:rPr>
            </w:pPr>
            <w:r>
              <w:rPr>
                <w:sz w:val="24"/>
                <w:szCs w:val="24"/>
              </w:rPr>
              <w:t>15</w:t>
            </w:r>
          </w:p>
        </w:tc>
        <w:tc>
          <w:tcPr>
            <w:tcW w:w="1131" w:type="dxa"/>
            <w:tcBorders>
              <w:bottom w:val="single" w:sz="4" w:space="0" w:color="000000"/>
            </w:tcBorders>
            <w:vAlign w:val="center"/>
          </w:tcPr>
          <w:p w:rsidR="00890478" w:rsidRDefault="007750B9" w:rsidP="0007467B">
            <w:pPr>
              <w:jc w:val="center"/>
              <w:rPr>
                <w:sz w:val="24"/>
                <w:szCs w:val="24"/>
              </w:rPr>
            </w:pPr>
            <w:r>
              <w:rPr>
                <w:sz w:val="24"/>
                <w:szCs w:val="24"/>
              </w:rPr>
              <w:t>4,500</w:t>
            </w:r>
          </w:p>
        </w:tc>
        <w:tc>
          <w:tcPr>
            <w:tcW w:w="1131" w:type="dxa"/>
            <w:tcBorders>
              <w:bottom w:val="single" w:sz="4" w:space="0" w:color="000000"/>
            </w:tcBorders>
            <w:vAlign w:val="center"/>
          </w:tcPr>
          <w:p w:rsidR="00890478" w:rsidRDefault="00890478" w:rsidP="0007467B">
            <w:pPr>
              <w:jc w:val="center"/>
              <w:rPr>
                <w:sz w:val="24"/>
                <w:szCs w:val="24"/>
              </w:rPr>
            </w:pPr>
            <w:r>
              <w:rPr>
                <w:sz w:val="24"/>
                <w:szCs w:val="24"/>
              </w:rPr>
              <w:t>$37.5</w:t>
            </w:r>
            <w:r w:rsidR="00663C44">
              <w:rPr>
                <w:sz w:val="24"/>
                <w:szCs w:val="24"/>
              </w:rPr>
              <w:t>0</w:t>
            </w:r>
          </w:p>
        </w:tc>
        <w:tc>
          <w:tcPr>
            <w:tcW w:w="1121" w:type="dxa"/>
            <w:tcBorders>
              <w:bottom w:val="single" w:sz="4" w:space="0" w:color="000000"/>
            </w:tcBorders>
            <w:vAlign w:val="center"/>
          </w:tcPr>
          <w:p w:rsidR="00890478" w:rsidRDefault="007750B9" w:rsidP="0007467B">
            <w:pPr>
              <w:jc w:val="center"/>
              <w:rPr>
                <w:sz w:val="24"/>
                <w:szCs w:val="24"/>
              </w:rPr>
            </w:pPr>
            <w:r>
              <w:rPr>
                <w:sz w:val="24"/>
                <w:szCs w:val="24"/>
              </w:rPr>
              <w:t>$168,750</w:t>
            </w:r>
          </w:p>
        </w:tc>
      </w:tr>
      <w:tr w:rsidR="00D672B9" w:rsidTr="0007467B">
        <w:tc>
          <w:tcPr>
            <w:tcW w:w="1337" w:type="dxa"/>
            <w:tcBorders>
              <w:bottom w:val="single" w:sz="4" w:space="0" w:color="000000"/>
            </w:tcBorders>
            <w:vAlign w:val="center"/>
          </w:tcPr>
          <w:p w:rsidR="00D672B9" w:rsidRPr="00D67061" w:rsidRDefault="00D672B9" w:rsidP="00823FF9">
            <w:pPr>
              <w:shd w:val="clear" w:color="auto" w:fill="FFFFFF"/>
              <w:spacing w:before="40" w:after="40"/>
              <w:rPr>
                <w:color w:val="000000"/>
                <w:sz w:val="24"/>
                <w:szCs w:val="24"/>
              </w:rPr>
            </w:pPr>
            <w:r w:rsidRPr="00D67061">
              <w:rPr>
                <w:color w:val="000000"/>
                <w:sz w:val="24"/>
                <w:szCs w:val="24"/>
              </w:rPr>
              <w:t>Formula Challenge (HUD-4119)</w:t>
            </w:r>
          </w:p>
        </w:tc>
        <w:tc>
          <w:tcPr>
            <w:tcW w:w="1444" w:type="dxa"/>
            <w:tcBorders>
              <w:bottom w:val="single" w:sz="4" w:space="0" w:color="000000"/>
            </w:tcBorders>
            <w:vAlign w:val="center"/>
          </w:tcPr>
          <w:p w:rsidR="00D672B9" w:rsidRPr="00D67061" w:rsidRDefault="00D672B9" w:rsidP="00823FF9">
            <w:pPr>
              <w:shd w:val="clear" w:color="auto" w:fill="FFFFFF"/>
              <w:spacing w:before="40" w:after="40"/>
              <w:ind w:right="62"/>
              <w:jc w:val="center"/>
              <w:rPr>
                <w:rFonts w:eastAsia="Calibri"/>
                <w:color w:val="000000"/>
                <w:sz w:val="24"/>
                <w:szCs w:val="24"/>
              </w:rPr>
            </w:pPr>
            <w:r>
              <w:rPr>
                <w:rFonts w:eastAsia="Calibri"/>
                <w:color w:val="000000"/>
                <w:sz w:val="24"/>
                <w:szCs w:val="24"/>
              </w:rPr>
              <w:t>15</w:t>
            </w:r>
          </w:p>
        </w:tc>
        <w:tc>
          <w:tcPr>
            <w:tcW w:w="1430" w:type="dxa"/>
            <w:tcBorders>
              <w:bottom w:val="single" w:sz="4" w:space="0" w:color="000000"/>
            </w:tcBorders>
            <w:vAlign w:val="center"/>
          </w:tcPr>
          <w:p w:rsidR="00D672B9" w:rsidRPr="00D67061" w:rsidRDefault="00D672B9" w:rsidP="00823FF9">
            <w:pPr>
              <w:shd w:val="clear" w:color="auto" w:fill="FFFFFF"/>
              <w:spacing w:before="40" w:after="40"/>
              <w:jc w:val="center"/>
              <w:rPr>
                <w:rFonts w:eastAsia="Calibri"/>
                <w:color w:val="000000"/>
                <w:sz w:val="24"/>
                <w:szCs w:val="24"/>
              </w:rPr>
            </w:pPr>
            <w:r>
              <w:rPr>
                <w:rFonts w:eastAsia="Calibri"/>
                <w:color w:val="000000"/>
                <w:sz w:val="24"/>
                <w:szCs w:val="24"/>
              </w:rPr>
              <w:t>1</w:t>
            </w:r>
          </w:p>
        </w:tc>
        <w:tc>
          <w:tcPr>
            <w:tcW w:w="1176" w:type="dxa"/>
            <w:tcBorders>
              <w:bottom w:val="single" w:sz="4" w:space="0" w:color="000000"/>
            </w:tcBorders>
            <w:vAlign w:val="center"/>
          </w:tcPr>
          <w:p w:rsidR="00D672B9" w:rsidRDefault="00D672B9" w:rsidP="00823FF9">
            <w:pPr>
              <w:jc w:val="center"/>
              <w:rPr>
                <w:sz w:val="24"/>
                <w:szCs w:val="24"/>
              </w:rPr>
            </w:pPr>
            <w:r>
              <w:rPr>
                <w:sz w:val="24"/>
                <w:szCs w:val="24"/>
              </w:rPr>
              <w:t>15</w:t>
            </w:r>
          </w:p>
        </w:tc>
        <w:tc>
          <w:tcPr>
            <w:tcW w:w="1131" w:type="dxa"/>
            <w:tcBorders>
              <w:bottom w:val="single" w:sz="4" w:space="0" w:color="000000"/>
            </w:tcBorders>
            <w:vAlign w:val="center"/>
          </w:tcPr>
          <w:p w:rsidR="00D672B9" w:rsidRDefault="00D672B9" w:rsidP="00823FF9">
            <w:pPr>
              <w:jc w:val="center"/>
              <w:rPr>
                <w:sz w:val="24"/>
                <w:szCs w:val="24"/>
              </w:rPr>
            </w:pPr>
            <w:r>
              <w:rPr>
                <w:sz w:val="24"/>
                <w:szCs w:val="24"/>
              </w:rPr>
              <w:t>225</w:t>
            </w:r>
          </w:p>
        </w:tc>
        <w:tc>
          <w:tcPr>
            <w:tcW w:w="1131" w:type="dxa"/>
            <w:tcBorders>
              <w:bottom w:val="single" w:sz="4" w:space="0" w:color="000000"/>
            </w:tcBorders>
            <w:vAlign w:val="center"/>
          </w:tcPr>
          <w:p w:rsidR="00D672B9" w:rsidRDefault="00D672B9" w:rsidP="00823FF9">
            <w:pPr>
              <w:jc w:val="center"/>
              <w:rPr>
                <w:sz w:val="24"/>
                <w:szCs w:val="24"/>
              </w:rPr>
            </w:pPr>
            <w:r>
              <w:rPr>
                <w:sz w:val="24"/>
                <w:szCs w:val="24"/>
              </w:rPr>
              <w:t>$50.00</w:t>
            </w:r>
          </w:p>
        </w:tc>
        <w:tc>
          <w:tcPr>
            <w:tcW w:w="1121" w:type="dxa"/>
            <w:tcBorders>
              <w:bottom w:val="single" w:sz="4" w:space="0" w:color="000000"/>
            </w:tcBorders>
            <w:vAlign w:val="center"/>
          </w:tcPr>
          <w:p w:rsidR="00D672B9" w:rsidRDefault="00D672B9" w:rsidP="00823FF9">
            <w:pPr>
              <w:jc w:val="center"/>
              <w:rPr>
                <w:sz w:val="24"/>
                <w:szCs w:val="24"/>
              </w:rPr>
            </w:pPr>
            <w:r>
              <w:rPr>
                <w:sz w:val="24"/>
                <w:szCs w:val="24"/>
              </w:rPr>
              <w:t>$11,250</w:t>
            </w:r>
          </w:p>
        </w:tc>
      </w:tr>
      <w:tr w:rsidR="00D672B9" w:rsidTr="00AB2221">
        <w:tc>
          <w:tcPr>
            <w:tcW w:w="1337" w:type="dxa"/>
            <w:tcBorders>
              <w:top w:val="double" w:sz="4" w:space="0" w:color="auto"/>
            </w:tcBorders>
            <w:vAlign w:val="center"/>
          </w:tcPr>
          <w:p w:rsidR="00D672B9" w:rsidRPr="00D67061" w:rsidRDefault="00D672B9" w:rsidP="00AB2221">
            <w:pPr>
              <w:shd w:val="clear" w:color="auto" w:fill="FFFFFF"/>
              <w:spacing w:before="40" w:after="40"/>
              <w:rPr>
                <w:color w:val="000000"/>
                <w:sz w:val="24"/>
                <w:szCs w:val="24"/>
              </w:rPr>
            </w:pPr>
            <w:r>
              <w:rPr>
                <w:color w:val="000000"/>
                <w:sz w:val="24"/>
                <w:szCs w:val="24"/>
              </w:rPr>
              <w:t>Total</w:t>
            </w:r>
          </w:p>
        </w:tc>
        <w:tc>
          <w:tcPr>
            <w:tcW w:w="1444" w:type="dxa"/>
            <w:tcBorders>
              <w:top w:val="double" w:sz="4" w:space="0" w:color="auto"/>
            </w:tcBorders>
            <w:vAlign w:val="center"/>
          </w:tcPr>
          <w:p w:rsidR="00D672B9" w:rsidRDefault="00D672B9" w:rsidP="00AB2221">
            <w:pPr>
              <w:shd w:val="clear" w:color="auto" w:fill="FFFFFF"/>
              <w:spacing w:before="40" w:after="40"/>
              <w:ind w:right="62"/>
              <w:jc w:val="center"/>
              <w:rPr>
                <w:rFonts w:eastAsia="Calibri"/>
                <w:color w:val="000000"/>
                <w:sz w:val="24"/>
                <w:szCs w:val="24"/>
              </w:rPr>
            </w:pPr>
            <w:r>
              <w:rPr>
                <w:rFonts w:eastAsia="Calibri"/>
                <w:color w:val="000000"/>
                <w:sz w:val="24"/>
                <w:szCs w:val="24"/>
              </w:rPr>
              <w:t>366</w:t>
            </w:r>
          </w:p>
        </w:tc>
        <w:tc>
          <w:tcPr>
            <w:tcW w:w="1430" w:type="dxa"/>
            <w:tcBorders>
              <w:top w:val="double" w:sz="4" w:space="0" w:color="auto"/>
            </w:tcBorders>
            <w:vAlign w:val="center"/>
          </w:tcPr>
          <w:p w:rsidR="00D672B9" w:rsidRDefault="00D672B9" w:rsidP="00AB2221">
            <w:pPr>
              <w:shd w:val="clear" w:color="auto" w:fill="FFFFFF"/>
              <w:spacing w:before="40" w:after="40"/>
              <w:jc w:val="center"/>
              <w:rPr>
                <w:rFonts w:eastAsia="Calibri"/>
                <w:color w:val="000000"/>
                <w:sz w:val="24"/>
                <w:szCs w:val="24"/>
              </w:rPr>
            </w:pPr>
          </w:p>
        </w:tc>
        <w:tc>
          <w:tcPr>
            <w:tcW w:w="1176" w:type="dxa"/>
            <w:tcBorders>
              <w:top w:val="double" w:sz="4" w:space="0" w:color="auto"/>
            </w:tcBorders>
          </w:tcPr>
          <w:p w:rsidR="00D672B9" w:rsidRDefault="00D672B9" w:rsidP="00AB2221">
            <w:pPr>
              <w:rPr>
                <w:sz w:val="24"/>
                <w:szCs w:val="24"/>
              </w:rPr>
            </w:pPr>
          </w:p>
        </w:tc>
        <w:tc>
          <w:tcPr>
            <w:tcW w:w="1131" w:type="dxa"/>
            <w:tcBorders>
              <w:top w:val="double" w:sz="4" w:space="0" w:color="auto"/>
            </w:tcBorders>
          </w:tcPr>
          <w:p w:rsidR="00D672B9" w:rsidRDefault="00D672B9" w:rsidP="002C4A99">
            <w:pPr>
              <w:jc w:val="center"/>
              <w:rPr>
                <w:sz w:val="24"/>
                <w:szCs w:val="24"/>
              </w:rPr>
            </w:pPr>
            <w:r>
              <w:rPr>
                <w:sz w:val="24"/>
                <w:szCs w:val="24"/>
              </w:rPr>
              <w:t>19,365</w:t>
            </w:r>
          </w:p>
        </w:tc>
        <w:tc>
          <w:tcPr>
            <w:tcW w:w="1131" w:type="dxa"/>
            <w:tcBorders>
              <w:top w:val="double" w:sz="4" w:space="0" w:color="auto"/>
            </w:tcBorders>
          </w:tcPr>
          <w:p w:rsidR="00D672B9" w:rsidRDefault="00D672B9" w:rsidP="00AB2221">
            <w:pPr>
              <w:rPr>
                <w:sz w:val="24"/>
                <w:szCs w:val="24"/>
              </w:rPr>
            </w:pPr>
          </w:p>
        </w:tc>
        <w:tc>
          <w:tcPr>
            <w:tcW w:w="1121" w:type="dxa"/>
            <w:tcBorders>
              <w:top w:val="double" w:sz="4" w:space="0" w:color="auto"/>
            </w:tcBorders>
          </w:tcPr>
          <w:p w:rsidR="00D672B9" w:rsidRDefault="00D672B9" w:rsidP="00AB2221">
            <w:pPr>
              <w:rPr>
                <w:sz w:val="24"/>
                <w:szCs w:val="24"/>
              </w:rPr>
            </w:pPr>
            <w:r>
              <w:rPr>
                <w:sz w:val="24"/>
                <w:szCs w:val="24"/>
              </w:rPr>
              <w:t>$729,585</w:t>
            </w:r>
          </w:p>
        </w:tc>
      </w:tr>
    </w:tbl>
    <w:p w:rsidR="00C53525" w:rsidRDefault="00C53525" w:rsidP="00890478">
      <w:pPr>
        <w:tabs>
          <w:tab w:val="left" w:pos="360"/>
        </w:tabs>
        <w:rPr>
          <w:sz w:val="18"/>
        </w:rPr>
      </w:pPr>
    </w:p>
    <w:p w:rsidR="00D746F6" w:rsidRDefault="00D746F6">
      <w:pPr>
        <w:tabs>
          <w:tab w:val="left" w:pos="360"/>
        </w:tabs>
        <w:ind w:left="360" w:hanging="360"/>
        <w:rPr>
          <w:sz w:val="18"/>
        </w:rPr>
      </w:pPr>
    </w:p>
    <w:p w:rsidR="00C53525" w:rsidRDefault="00C53525">
      <w:pPr>
        <w:tabs>
          <w:tab w:val="left" w:pos="360"/>
        </w:tabs>
        <w:ind w:left="360" w:hanging="360"/>
        <w:rPr>
          <w:sz w:val="18"/>
        </w:rPr>
      </w:pPr>
      <w:r>
        <w:rPr>
          <w:sz w:val="18"/>
        </w:rPr>
        <w:t>15.</w:t>
      </w:r>
      <w:r>
        <w:rPr>
          <w:sz w:val="18"/>
        </w:rPr>
        <w:tab/>
        <w:t>Explain the reasons for any program changes or adjustments reported in Items 13 and 14 of the OMB Form 83-I.</w:t>
      </w:r>
    </w:p>
    <w:p w:rsidR="0009602E" w:rsidRPr="0009602E" w:rsidRDefault="0009602E" w:rsidP="0009602E">
      <w:pPr>
        <w:overflowPunct/>
        <w:autoSpaceDE/>
        <w:autoSpaceDN/>
        <w:adjustRightInd/>
        <w:textAlignment w:val="auto"/>
        <w:rPr>
          <w:rFonts w:eastAsia="Calibri"/>
          <w:color w:val="1F497D"/>
          <w:sz w:val="22"/>
          <w:szCs w:val="22"/>
        </w:rPr>
      </w:pPr>
      <w:r>
        <w:rPr>
          <w:rFonts w:eastAsia="Calibri"/>
          <w:color w:val="000000"/>
          <w:sz w:val="22"/>
          <w:szCs w:val="22"/>
        </w:rPr>
        <w:t xml:space="preserve">       </w:t>
      </w:r>
      <w:r w:rsidRPr="0009602E">
        <w:rPr>
          <w:rFonts w:eastAsia="Calibri"/>
          <w:color w:val="000000"/>
          <w:sz w:val="22"/>
          <w:szCs w:val="22"/>
        </w:rPr>
        <w:t xml:space="preserve">The decline in annual burden hours from OMB’s current inventory is due to correcting a mathematical error.  </w:t>
      </w:r>
    </w:p>
    <w:p w:rsidR="0009602E" w:rsidRPr="0009602E" w:rsidRDefault="0009602E" w:rsidP="0009602E">
      <w:pPr>
        <w:overflowPunct/>
        <w:autoSpaceDE/>
        <w:autoSpaceDN/>
        <w:adjustRightInd/>
        <w:textAlignment w:val="auto"/>
        <w:rPr>
          <w:rFonts w:eastAsia="Calibri"/>
          <w:color w:val="1F497D"/>
          <w:sz w:val="22"/>
          <w:szCs w:val="22"/>
        </w:rPr>
      </w:pPr>
    </w:p>
    <w:p w:rsidR="0009602E" w:rsidRDefault="0009602E">
      <w:pPr>
        <w:tabs>
          <w:tab w:val="left" w:pos="360"/>
        </w:tabs>
        <w:ind w:left="360" w:hanging="360"/>
        <w:rPr>
          <w:sz w:val="18"/>
        </w:rPr>
      </w:pPr>
    </w:p>
    <w:p w:rsidR="0009602E" w:rsidRDefault="0009602E">
      <w:pPr>
        <w:tabs>
          <w:tab w:val="left" w:pos="360"/>
        </w:tabs>
        <w:ind w:left="360" w:hanging="360"/>
        <w:rPr>
          <w:sz w:val="18"/>
        </w:rPr>
      </w:pPr>
    </w:p>
    <w:p w:rsidR="00C53525" w:rsidRDefault="00C53525">
      <w:pPr>
        <w:tabs>
          <w:tab w:val="left" w:pos="360"/>
        </w:tabs>
        <w:ind w:left="360" w:hanging="360"/>
        <w:rPr>
          <w:sz w:val="18"/>
        </w:rPr>
      </w:pPr>
    </w:p>
    <w:p w:rsidR="00C53525" w:rsidRDefault="00FD532F">
      <w:pPr>
        <w:tabs>
          <w:tab w:val="left" w:pos="360"/>
        </w:tabs>
        <w:ind w:left="360" w:hanging="360"/>
        <w:rPr>
          <w:sz w:val="24"/>
        </w:rPr>
      </w:pPr>
      <w:r>
        <w:rPr>
          <w:sz w:val="24"/>
        </w:rPr>
        <w:t xml:space="preserve">No changes or adjustments in Items 13 or 14. </w:t>
      </w:r>
    </w:p>
    <w:p w:rsidR="00FD532F" w:rsidRDefault="00FD532F">
      <w:pPr>
        <w:tabs>
          <w:tab w:val="left" w:pos="360"/>
        </w:tabs>
        <w:ind w:left="360" w:hanging="360"/>
        <w:rPr>
          <w:sz w:val="18"/>
        </w:rPr>
      </w:pPr>
    </w:p>
    <w:p w:rsidR="00C53525" w:rsidRDefault="00C53525">
      <w:pPr>
        <w:tabs>
          <w:tab w:val="left" w:pos="360"/>
        </w:tabs>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53525" w:rsidRDefault="00C53525">
      <w:pPr>
        <w:rPr>
          <w:rFonts w:ascii="Arial" w:hAnsi="Arial"/>
          <w:sz w:val="24"/>
        </w:rPr>
      </w:pPr>
    </w:p>
    <w:p w:rsidR="00D746F6" w:rsidRPr="00DD7DB4" w:rsidRDefault="00D746F6" w:rsidP="00D746F6">
      <w:pPr>
        <w:ind w:firstLine="720"/>
        <w:rPr>
          <w:sz w:val="24"/>
          <w:szCs w:val="24"/>
        </w:rPr>
      </w:pPr>
      <w:r w:rsidRPr="00DD7DB4">
        <w:rPr>
          <w:rFonts w:eastAsia="Calibri"/>
          <w:color w:val="000000"/>
          <w:sz w:val="24"/>
          <w:szCs w:val="24"/>
        </w:rPr>
        <w:t xml:space="preserve">Section 407 of NAHASDA requires the Secretary to prepare an annual report to Congress; the information collected in the APR will be used to prepare that report.  The Secretary is required to include a description of the progress made in accomplishing the objectives of NAHASDA and to summarize the use of funds during the preceding 12-month period.  </w:t>
      </w:r>
    </w:p>
    <w:p w:rsidR="00C53525" w:rsidRDefault="00C53525">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C53525" w:rsidRDefault="00C53525">
      <w:pPr>
        <w:tabs>
          <w:tab w:val="left" w:pos="360"/>
          <w:tab w:val="left" w:pos="720"/>
        </w:tabs>
        <w:ind w:left="360"/>
      </w:pPr>
    </w:p>
    <w:p w:rsidR="00A34E95" w:rsidRDefault="00A34E95" w:rsidP="00D746F6">
      <w:pPr>
        <w:rPr>
          <w:rFonts w:eastAsia="Calibri"/>
          <w:color w:val="000000"/>
          <w:sz w:val="24"/>
          <w:szCs w:val="24"/>
        </w:rPr>
      </w:pPr>
    </w:p>
    <w:p w:rsidR="00A34E95" w:rsidRDefault="00A34E95" w:rsidP="00D746F6">
      <w:pPr>
        <w:rPr>
          <w:rFonts w:eastAsia="Calibri"/>
          <w:color w:val="000000"/>
          <w:sz w:val="24"/>
          <w:szCs w:val="24"/>
        </w:rPr>
      </w:pPr>
    </w:p>
    <w:p w:rsidR="00A34E95" w:rsidRDefault="00A34E95" w:rsidP="00D746F6">
      <w:pPr>
        <w:rPr>
          <w:rFonts w:eastAsia="Calibri"/>
          <w:color w:val="000000"/>
          <w:sz w:val="24"/>
          <w:szCs w:val="24"/>
        </w:rPr>
      </w:pPr>
    </w:p>
    <w:p w:rsidR="00D746F6" w:rsidRPr="0058125C" w:rsidRDefault="00D746F6" w:rsidP="00D746F6">
      <w:pPr>
        <w:rPr>
          <w:sz w:val="24"/>
          <w:szCs w:val="24"/>
        </w:rPr>
      </w:pPr>
      <w:r w:rsidRPr="0058125C">
        <w:rPr>
          <w:rFonts w:eastAsia="Calibri"/>
          <w:color w:val="000000"/>
          <w:sz w:val="24"/>
          <w:szCs w:val="24"/>
        </w:rPr>
        <w:t xml:space="preserve">The OMB number and expiration date of the information collection will be displayed on the forms.  </w:t>
      </w:r>
    </w:p>
    <w:p w:rsidR="00C53525" w:rsidRDefault="00C53525">
      <w:pPr>
        <w:pStyle w:val="BodyTextIndent"/>
      </w:pPr>
    </w:p>
    <w:p w:rsidR="00C53525" w:rsidRDefault="00C53525">
      <w:pPr>
        <w:tabs>
          <w:tab w:val="left" w:pos="360"/>
          <w:tab w:val="left" w:pos="720"/>
        </w:tabs>
        <w:rPr>
          <w:sz w:val="18"/>
        </w:rPr>
      </w:pPr>
    </w:p>
    <w:p w:rsidR="00C53525" w:rsidRDefault="00C53525">
      <w:pPr>
        <w:numPr>
          <w:ilvl w:val="0"/>
          <w:numId w:val="9"/>
        </w:numPr>
        <w:tabs>
          <w:tab w:val="left" w:pos="360"/>
        </w:tabs>
        <w:rPr>
          <w:sz w:val="18"/>
        </w:rPr>
      </w:pPr>
      <w:r>
        <w:rPr>
          <w:sz w:val="18"/>
        </w:rPr>
        <w:t>Explain each exception to the certification statement identified in item 19.</w:t>
      </w:r>
    </w:p>
    <w:p w:rsidR="00C53525" w:rsidRDefault="00C53525">
      <w:pPr>
        <w:tabs>
          <w:tab w:val="left" w:pos="360"/>
        </w:tabs>
        <w:rPr>
          <w:sz w:val="18"/>
        </w:rPr>
      </w:pPr>
    </w:p>
    <w:p w:rsidR="00D746F6" w:rsidRPr="0058125C" w:rsidRDefault="00D746F6" w:rsidP="00D746F6">
      <w:pPr>
        <w:tabs>
          <w:tab w:val="left" w:pos="360"/>
        </w:tabs>
        <w:ind w:left="360" w:hanging="360"/>
        <w:rPr>
          <w:rFonts w:eastAsia="Calibri"/>
          <w:color w:val="000000"/>
          <w:sz w:val="24"/>
          <w:szCs w:val="24"/>
        </w:rPr>
      </w:pPr>
      <w:r w:rsidRPr="0058125C">
        <w:rPr>
          <w:rFonts w:eastAsia="Calibri"/>
          <w:color w:val="000000"/>
          <w:sz w:val="24"/>
          <w:szCs w:val="24"/>
        </w:rPr>
        <w:t>There are no exceptions to the certification identified in Item 19 of the OMB 83-i.</w:t>
      </w:r>
    </w:p>
    <w:p w:rsidR="00C53525" w:rsidRDefault="00C53525">
      <w:pPr>
        <w:tabs>
          <w:tab w:val="left" w:pos="360"/>
          <w:tab w:val="left" w:pos="720"/>
        </w:tabs>
      </w:pPr>
    </w:p>
    <w:p w:rsidR="00C53525" w:rsidRDefault="00C53525">
      <w:pPr>
        <w:tabs>
          <w:tab w:val="left" w:pos="360"/>
          <w:tab w:val="left" w:pos="720"/>
        </w:tabs>
      </w:pP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D746F6" w:rsidRPr="00F42B53" w:rsidRDefault="00D746F6" w:rsidP="00D746F6">
      <w:pPr>
        <w:rPr>
          <w:sz w:val="24"/>
          <w:szCs w:val="24"/>
        </w:rPr>
      </w:pPr>
      <w:r>
        <w:rPr>
          <w:sz w:val="24"/>
          <w:szCs w:val="24"/>
        </w:rPr>
        <w:t xml:space="preserve">The information will not be published for statistical purposes. </w:t>
      </w:r>
    </w:p>
    <w:p w:rsidR="00D746F6" w:rsidRDefault="00D74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sectPr w:rsidR="00D746F6" w:rsidSect="000E72F1">
      <w:footerReference w:type="default" r:id="rId8"/>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699" w:rsidRDefault="00780699">
      <w:r>
        <w:separator/>
      </w:r>
    </w:p>
  </w:endnote>
  <w:endnote w:type="continuationSeparator" w:id="0">
    <w:p w:rsidR="00780699" w:rsidRDefault="0078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61D" w:rsidRDefault="0036261D">
    <w:pPr>
      <w:pStyle w:val="Footer"/>
      <w:tabs>
        <w:tab w:val="clear" w:pos="4320"/>
        <w:tab w:val="clear" w:pos="8640"/>
        <w:tab w:val="right" w:pos="10920"/>
      </w:tabs>
      <w:spacing w:line="120" w:lineRule="exact"/>
      <w:ind w:left="-120" w:right="-120"/>
      <w:rPr>
        <w:rFonts w:ascii="Helvetica" w:hAnsi="Helvetica"/>
        <w:b/>
        <w:sz w:val="18"/>
      </w:rPr>
    </w:pPr>
  </w:p>
  <w:p w:rsidR="0036261D" w:rsidRDefault="0036261D">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699" w:rsidRDefault="00780699">
      <w:r>
        <w:separator/>
      </w:r>
    </w:p>
  </w:footnote>
  <w:footnote w:type="continuationSeparator" w:id="0">
    <w:p w:rsidR="00780699" w:rsidRDefault="00780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8CB8A0"/>
    <w:lvl w:ilvl="0">
      <w:numFmt w:val="decimal"/>
      <w:lvlText w:val="*"/>
      <w:lvlJc w:val="left"/>
    </w:lvl>
  </w:abstractNum>
  <w:abstractNum w:abstractNumId="1">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6447430C"/>
    <w:multiLevelType w:val="hybridMultilevel"/>
    <w:tmpl w:val="E2E2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8"/>
  </w:num>
  <w:num w:numId="3">
    <w:abstractNumId w:val="1"/>
  </w:num>
  <w:num w:numId="4">
    <w:abstractNumId w:val="3"/>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73"/>
    <w:rsid w:val="00001DB8"/>
    <w:rsid w:val="00007881"/>
    <w:rsid w:val="00020F12"/>
    <w:rsid w:val="00035DED"/>
    <w:rsid w:val="00036BC0"/>
    <w:rsid w:val="00041F1B"/>
    <w:rsid w:val="0004300F"/>
    <w:rsid w:val="000527ED"/>
    <w:rsid w:val="00060230"/>
    <w:rsid w:val="00065991"/>
    <w:rsid w:val="000663BC"/>
    <w:rsid w:val="0007467B"/>
    <w:rsid w:val="0009602E"/>
    <w:rsid w:val="000E3880"/>
    <w:rsid w:val="000E72F1"/>
    <w:rsid w:val="00100C45"/>
    <w:rsid w:val="0010626F"/>
    <w:rsid w:val="0011311C"/>
    <w:rsid w:val="00115079"/>
    <w:rsid w:val="0013649D"/>
    <w:rsid w:val="001418D6"/>
    <w:rsid w:val="0014640C"/>
    <w:rsid w:val="0014773E"/>
    <w:rsid w:val="00151D19"/>
    <w:rsid w:val="001E45D4"/>
    <w:rsid w:val="001E7234"/>
    <w:rsid w:val="001F365B"/>
    <w:rsid w:val="001F3789"/>
    <w:rsid w:val="00202971"/>
    <w:rsid w:val="00233E23"/>
    <w:rsid w:val="0024506E"/>
    <w:rsid w:val="002713E8"/>
    <w:rsid w:val="00282A59"/>
    <w:rsid w:val="00284658"/>
    <w:rsid w:val="002A255F"/>
    <w:rsid w:val="002B2D72"/>
    <w:rsid w:val="002C4A99"/>
    <w:rsid w:val="002D2733"/>
    <w:rsid w:val="002E69A3"/>
    <w:rsid w:val="002F6812"/>
    <w:rsid w:val="003047CE"/>
    <w:rsid w:val="0031489D"/>
    <w:rsid w:val="003244A6"/>
    <w:rsid w:val="00352400"/>
    <w:rsid w:val="0036261D"/>
    <w:rsid w:val="00365B87"/>
    <w:rsid w:val="00384C62"/>
    <w:rsid w:val="00393447"/>
    <w:rsid w:val="003D1318"/>
    <w:rsid w:val="003E56F3"/>
    <w:rsid w:val="004202C0"/>
    <w:rsid w:val="00422141"/>
    <w:rsid w:val="0043335A"/>
    <w:rsid w:val="00436B7B"/>
    <w:rsid w:val="00441F7F"/>
    <w:rsid w:val="00442817"/>
    <w:rsid w:val="004477D1"/>
    <w:rsid w:val="00454B77"/>
    <w:rsid w:val="00476BB5"/>
    <w:rsid w:val="0048334E"/>
    <w:rsid w:val="00491DB6"/>
    <w:rsid w:val="004C180C"/>
    <w:rsid w:val="004F2585"/>
    <w:rsid w:val="004F2EF2"/>
    <w:rsid w:val="00561440"/>
    <w:rsid w:val="00585225"/>
    <w:rsid w:val="005866F9"/>
    <w:rsid w:val="005A0B9C"/>
    <w:rsid w:val="005B312E"/>
    <w:rsid w:val="005B63FA"/>
    <w:rsid w:val="005D6E42"/>
    <w:rsid w:val="005E4523"/>
    <w:rsid w:val="005F5306"/>
    <w:rsid w:val="005F6E8B"/>
    <w:rsid w:val="00610A1C"/>
    <w:rsid w:val="006110B7"/>
    <w:rsid w:val="006179E1"/>
    <w:rsid w:val="00617CF3"/>
    <w:rsid w:val="00652C65"/>
    <w:rsid w:val="00663A5A"/>
    <w:rsid w:val="00663C44"/>
    <w:rsid w:val="00675E59"/>
    <w:rsid w:val="00675F61"/>
    <w:rsid w:val="006A2EB2"/>
    <w:rsid w:val="006A71C9"/>
    <w:rsid w:val="006C0DF6"/>
    <w:rsid w:val="006D278A"/>
    <w:rsid w:val="006E0F64"/>
    <w:rsid w:val="006E5454"/>
    <w:rsid w:val="006F3441"/>
    <w:rsid w:val="00704536"/>
    <w:rsid w:val="007168C1"/>
    <w:rsid w:val="00756424"/>
    <w:rsid w:val="00770BBC"/>
    <w:rsid w:val="007750B9"/>
    <w:rsid w:val="00780699"/>
    <w:rsid w:val="0079406E"/>
    <w:rsid w:val="00795DA0"/>
    <w:rsid w:val="007A1939"/>
    <w:rsid w:val="007C5580"/>
    <w:rsid w:val="007F0FCD"/>
    <w:rsid w:val="007F3060"/>
    <w:rsid w:val="007F3808"/>
    <w:rsid w:val="0082293E"/>
    <w:rsid w:val="00827857"/>
    <w:rsid w:val="00863B0C"/>
    <w:rsid w:val="00871412"/>
    <w:rsid w:val="00890478"/>
    <w:rsid w:val="00893393"/>
    <w:rsid w:val="008A0D7D"/>
    <w:rsid w:val="008A4E9E"/>
    <w:rsid w:val="008A6836"/>
    <w:rsid w:val="008D0370"/>
    <w:rsid w:val="008D1857"/>
    <w:rsid w:val="008D3D8F"/>
    <w:rsid w:val="00900E4C"/>
    <w:rsid w:val="00907830"/>
    <w:rsid w:val="00914910"/>
    <w:rsid w:val="00944409"/>
    <w:rsid w:val="009600DA"/>
    <w:rsid w:val="00971349"/>
    <w:rsid w:val="00994094"/>
    <w:rsid w:val="00997964"/>
    <w:rsid w:val="009C52CD"/>
    <w:rsid w:val="009D2CE1"/>
    <w:rsid w:val="009E23E3"/>
    <w:rsid w:val="00A1013A"/>
    <w:rsid w:val="00A156FE"/>
    <w:rsid w:val="00A23370"/>
    <w:rsid w:val="00A24526"/>
    <w:rsid w:val="00A32209"/>
    <w:rsid w:val="00A34E95"/>
    <w:rsid w:val="00A42A21"/>
    <w:rsid w:val="00A55E0F"/>
    <w:rsid w:val="00AA0DCC"/>
    <w:rsid w:val="00AA7F23"/>
    <w:rsid w:val="00AB2AC9"/>
    <w:rsid w:val="00AB4D73"/>
    <w:rsid w:val="00AF01CE"/>
    <w:rsid w:val="00B24E6F"/>
    <w:rsid w:val="00B406FB"/>
    <w:rsid w:val="00B47679"/>
    <w:rsid w:val="00B86605"/>
    <w:rsid w:val="00BA3705"/>
    <w:rsid w:val="00BA6F67"/>
    <w:rsid w:val="00BC2063"/>
    <w:rsid w:val="00BC5FB8"/>
    <w:rsid w:val="00BF1F01"/>
    <w:rsid w:val="00C02037"/>
    <w:rsid w:val="00C477D6"/>
    <w:rsid w:val="00C53525"/>
    <w:rsid w:val="00C74430"/>
    <w:rsid w:val="00C94185"/>
    <w:rsid w:val="00CB2C47"/>
    <w:rsid w:val="00CC1A0A"/>
    <w:rsid w:val="00CF688E"/>
    <w:rsid w:val="00D12EC4"/>
    <w:rsid w:val="00D32BE8"/>
    <w:rsid w:val="00D455D0"/>
    <w:rsid w:val="00D4606C"/>
    <w:rsid w:val="00D54B1C"/>
    <w:rsid w:val="00D67061"/>
    <w:rsid w:val="00D672B9"/>
    <w:rsid w:val="00D67737"/>
    <w:rsid w:val="00D7211F"/>
    <w:rsid w:val="00D733E1"/>
    <w:rsid w:val="00D746F6"/>
    <w:rsid w:val="00D84F73"/>
    <w:rsid w:val="00DC2479"/>
    <w:rsid w:val="00DD53C6"/>
    <w:rsid w:val="00DE28EB"/>
    <w:rsid w:val="00DF0E51"/>
    <w:rsid w:val="00E12C04"/>
    <w:rsid w:val="00E30C75"/>
    <w:rsid w:val="00E42AB4"/>
    <w:rsid w:val="00E726D9"/>
    <w:rsid w:val="00E73E85"/>
    <w:rsid w:val="00E93C6E"/>
    <w:rsid w:val="00EC5C62"/>
    <w:rsid w:val="00ED08B9"/>
    <w:rsid w:val="00F3063C"/>
    <w:rsid w:val="00F453DC"/>
    <w:rsid w:val="00F81D81"/>
    <w:rsid w:val="00F82E31"/>
    <w:rsid w:val="00F84AA4"/>
    <w:rsid w:val="00FA6644"/>
    <w:rsid w:val="00FD532F"/>
    <w:rsid w:val="00FE3BE4"/>
    <w:rsid w:val="00FE46AC"/>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15079"/>
    <w:pPr>
      <w:ind w:left="720"/>
      <w:contextualSpacing/>
    </w:pPr>
    <w:rPr>
      <w:rFonts w:ascii="CG Times (W1)" w:hAnsi="CG Times (W1)"/>
      <w:sz w:val="24"/>
    </w:rPr>
  </w:style>
  <w:style w:type="paragraph" w:styleId="NoSpacing">
    <w:name w:val="No Spacing"/>
    <w:uiPriority w:val="1"/>
    <w:qFormat/>
    <w:rsid w:val="00610A1C"/>
    <w:pPr>
      <w:overflowPunct w:val="0"/>
      <w:autoSpaceDE w:val="0"/>
      <w:autoSpaceDN w:val="0"/>
      <w:adjustRightInd w:val="0"/>
      <w:textAlignment w:val="baseline"/>
    </w:pPr>
  </w:style>
  <w:style w:type="character" w:styleId="CommentReference">
    <w:name w:val="annotation reference"/>
    <w:basedOn w:val="DefaultParagraphFont"/>
    <w:rsid w:val="001418D6"/>
    <w:rPr>
      <w:sz w:val="16"/>
      <w:szCs w:val="16"/>
    </w:rPr>
  </w:style>
  <w:style w:type="paragraph" w:styleId="CommentText">
    <w:name w:val="annotation text"/>
    <w:basedOn w:val="Normal"/>
    <w:link w:val="CommentTextChar"/>
    <w:rsid w:val="001418D6"/>
  </w:style>
  <w:style w:type="character" w:customStyle="1" w:styleId="CommentTextChar">
    <w:name w:val="Comment Text Char"/>
    <w:basedOn w:val="DefaultParagraphFont"/>
    <w:link w:val="CommentText"/>
    <w:rsid w:val="001418D6"/>
  </w:style>
  <w:style w:type="paragraph" w:styleId="CommentSubject">
    <w:name w:val="annotation subject"/>
    <w:basedOn w:val="CommentText"/>
    <w:next w:val="CommentText"/>
    <w:link w:val="CommentSubjectChar"/>
    <w:rsid w:val="001418D6"/>
    <w:rPr>
      <w:b/>
      <w:bCs/>
    </w:rPr>
  </w:style>
  <w:style w:type="character" w:customStyle="1" w:styleId="CommentSubjectChar">
    <w:name w:val="Comment Subject Char"/>
    <w:basedOn w:val="CommentTextChar"/>
    <w:link w:val="CommentSubject"/>
    <w:rsid w:val="001418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15079"/>
    <w:pPr>
      <w:ind w:left="720"/>
      <w:contextualSpacing/>
    </w:pPr>
    <w:rPr>
      <w:rFonts w:ascii="CG Times (W1)" w:hAnsi="CG Times (W1)"/>
      <w:sz w:val="24"/>
    </w:rPr>
  </w:style>
  <w:style w:type="paragraph" w:styleId="NoSpacing">
    <w:name w:val="No Spacing"/>
    <w:uiPriority w:val="1"/>
    <w:qFormat/>
    <w:rsid w:val="00610A1C"/>
    <w:pPr>
      <w:overflowPunct w:val="0"/>
      <w:autoSpaceDE w:val="0"/>
      <w:autoSpaceDN w:val="0"/>
      <w:adjustRightInd w:val="0"/>
      <w:textAlignment w:val="baseline"/>
    </w:pPr>
  </w:style>
  <w:style w:type="character" w:styleId="CommentReference">
    <w:name w:val="annotation reference"/>
    <w:basedOn w:val="DefaultParagraphFont"/>
    <w:rsid w:val="001418D6"/>
    <w:rPr>
      <w:sz w:val="16"/>
      <w:szCs w:val="16"/>
    </w:rPr>
  </w:style>
  <w:style w:type="paragraph" w:styleId="CommentText">
    <w:name w:val="annotation text"/>
    <w:basedOn w:val="Normal"/>
    <w:link w:val="CommentTextChar"/>
    <w:rsid w:val="001418D6"/>
  </w:style>
  <w:style w:type="character" w:customStyle="1" w:styleId="CommentTextChar">
    <w:name w:val="Comment Text Char"/>
    <w:basedOn w:val="DefaultParagraphFont"/>
    <w:link w:val="CommentText"/>
    <w:rsid w:val="001418D6"/>
  </w:style>
  <w:style w:type="paragraph" w:styleId="CommentSubject">
    <w:name w:val="annotation subject"/>
    <w:basedOn w:val="CommentText"/>
    <w:next w:val="CommentText"/>
    <w:link w:val="CommentSubjectChar"/>
    <w:rsid w:val="001418D6"/>
    <w:rPr>
      <w:b/>
      <w:bCs/>
    </w:rPr>
  </w:style>
  <w:style w:type="character" w:customStyle="1" w:styleId="CommentSubjectChar">
    <w:name w:val="Comment Subject Char"/>
    <w:basedOn w:val="CommentTextChar"/>
    <w:link w:val="CommentSubject"/>
    <w:rsid w:val="001418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844635336">
      <w:bodyDiv w:val="1"/>
      <w:marLeft w:val="0"/>
      <w:marRight w:val="0"/>
      <w:marTop w:val="0"/>
      <w:marBottom w:val="0"/>
      <w:divBdr>
        <w:top w:val="none" w:sz="0" w:space="0" w:color="auto"/>
        <w:left w:val="none" w:sz="0" w:space="0" w:color="auto"/>
        <w:bottom w:val="none" w:sz="0" w:space="0" w:color="auto"/>
        <w:right w:val="none" w:sz="0" w:space="0" w:color="auto"/>
      </w:divBdr>
    </w:div>
    <w:div w:id="1595089943">
      <w:bodyDiv w:val="1"/>
      <w:marLeft w:val="0"/>
      <w:marRight w:val="0"/>
      <w:marTop w:val="0"/>
      <w:marBottom w:val="0"/>
      <w:divBdr>
        <w:top w:val="none" w:sz="0" w:space="0" w:color="auto"/>
        <w:left w:val="none" w:sz="0" w:space="0" w:color="auto"/>
        <w:bottom w:val="none" w:sz="0" w:space="0" w:color="auto"/>
        <w:right w:val="none" w:sz="0" w:space="0" w:color="auto"/>
      </w:divBdr>
    </w:div>
    <w:div w:id="1895121351">
      <w:bodyDiv w:val="1"/>
      <w:marLeft w:val="0"/>
      <w:marRight w:val="0"/>
      <w:marTop w:val="0"/>
      <w:marBottom w:val="0"/>
      <w:divBdr>
        <w:top w:val="none" w:sz="0" w:space="0" w:color="auto"/>
        <w:left w:val="none" w:sz="0" w:space="0" w:color="auto"/>
        <w:bottom w:val="none" w:sz="0" w:space="0" w:color="auto"/>
        <w:right w:val="none" w:sz="0" w:space="0" w:color="auto"/>
      </w:divBdr>
    </w:div>
    <w:div w:id="2077045401">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83-i-omb%20MOA-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 MOA-IP</Template>
  <TotalTime>8</TotalTime>
  <Pages>7</Pages>
  <Words>3231</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Gary L. Murphy</dc:creator>
  <cp:lastModifiedBy>H45596</cp:lastModifiedBy>
  <cp:revision>5</cp:revision>
  <cp:lastPrinted>2016-03-22T14:37:00Z</cp:lastPrinted>
  <dcterms:created xsi:type="dcterms:W3CDTF">2016-03-22T12:28:00Z</dcterms:created>
  <dcterms:modified xsi:type="dcterms:W3CDTF">2016-03-22T17:29:00Z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-154871101</vt:i4>
  </property>
  <property fmtid="{D5CDD505-2E9C-101B-9397-08002B2CF9AE}" pid="3" name="_NewReviewCycle">
    <vt:lpwstr/>
  </property>
  <property fmtid="{D5CDD505-2E9C-101B-9397-08002B2CF9AE}" pid="4" name="_EmailSubject">
    <vt:lpwstr>83-I Revised 02-29-2016</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PreviousAdHocReviewCycleID">
    <vt:i4>72195017</vt:i4>
  </property>
  <property fmtid="{D5CDD505-2E9C-101B-9397-08002B2CF9AE}" pid="8" name="_ReviewingToolsShownOnce">
    <vt:lpwstr/>
  </property>
</Properties>
</file>