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B7AE4F" w14:textId="37F05C16" w:rsidR="00903CCF" w:rsidRPr="00ED0CF9" w:rsidRDefault="00903CCF" w:rsidP="0051666E">
      <w:pPr>
        <w:spacing w:before="120" w:after="120"/>
        <w:ind w:firstLine="6480"/>
        <w:contextualSpacing/>
      </w:pPr>
      <w:bookmarkStart w:id="0" w:name="_GoBack"/>
      <w:bookmarkEnd w:id="0"/>
      <w:r w:rsidRPr="00ED0CF9">
        <w:t>2140-</w:t>
      </w:r>
      <w:r w:rsidR="00D16710" w:rsidRPr="00ED0CF9">
        <w:t>00</w:t>
      </w:r>
      <w:r w:rsidR="0035177E">
        <w:t>21</w:t>
      </w:r>
    </w:p>
    <w:p w14:paraId="29537ABB" w14:textId="5FC5C9E5" w:rsidR="00903CCF" w:rsidRPr="00ED0CF9" w:rsidRDefault="00777420" w:rsidP="0051666E">
      <w:pPr>
        <w:spacing w:before="120" w:after="120"/>
        <w:ind w:firstLine="6480"/>
        <w:contextualSpacing/>
      </w:pPr>
      <w:r>
        <w:t>August</w:t>
      </w:r>
      <w:r w:rsidR="00887FE5">
        <w:t> </w:t>
      </w:r>
      <w:r w:rsidR="00CB3725" w:rsidRPr="00ED0CF9">
        <w:t>2017</w:t>
      </w:r>
    </w:p>
    <w:p w14:paraId="5E1BAF04" w14:textId="77777777" w:rsidR="00903CCF" w:rsidRPr="00ED0CF9" w:rsidRDefault="00903CCF" w:rsidP="0051666E">
      <w:pPr>
        <w:spacing w:before="120" w:after="120"/>
        <w:contextualSpacing/>
      </w:pPr>
    </w:p>
    <w:p w14:paraId="04DEE36E" w14:textId="77777777" w:rsidR="00C34A96" w:rsidRPr="00ED0CF9" w:rsidRDefault="00C34A96" w:rsidP="00823285">
      <w:pPr>
        <w:spacing w:before="120" w:after="120"/>
        <w:contextualSpacing/>
        <w:jc w:val="center"/>
        <w:rPr>
          <w:b/>
          <w:bCs/>
        </w:rPr>
      </w:pPr>
      <w:r w:rsidRPr="00ED0CF9">
        <w:rPr>
          <w:b/>
          <w:bCs/>
        </w:rPr>
        <w:t xml:space="preserve">SUPPORTING STATEMENT </w:t>
      </w:r>
    </w:p>
    <w:p w14:paraId="39207BFD" w14:textId="77777777" w:rsidR="00C34A96" w:rsidRPr="00ED0CF9" w:rsidRDefault="00C34A96">
      <w:pPr>
        <w:jc w:val="center"/>
        <w:rPr>
          <w:b/>
          <w:bCs/>
        </w:rPr>
      </w:pPr>
      <w:r w:rsidRPr="00ED0CF9">
        <w:rPr>
          <w:b/>
          <w:bCs/>
        </w:rPr>
        <w:t>FOR REQUEST OF OMB APPROVAL</w:t>
      </w:r>
    </w:p>
    <w:p w14:paraId="176B6591" w14:textId="77777777" w:rsidR="00C34A96" w:rsidRPr="00ED0CF9" w:rsidRDefault="00C34A96" w:rsidP="00C34A96">
      <w:pPr>
        <w:widowControl/>
        <w:tabs>
          <w:tab w:val="center" w:pos="4680"/>
        </w:tabs>
        <w:jc w:val="center"/>
        <w:rPr>
          <w:b/>
          <w:bCs/>
        </w:rPr>
      </w:pPr>
      <w:r w:rsidRPr="00823285">
        <w:rPr>
          <w:b/>
          <w:bCs/>
        </w:rPr>
        <w:t xml:space="preserve">UNDER THE PAPERWORK REDUCTION ACT AND 5 C.F.R. § </w:t>
      </w:r>
      <w:r w:rsidRPr="00ED0CF9">
        <w:rPr>
          <w:b/>
          <w:bCs/>
        </w:rPr>
        <w:t>1320</w:t>
      </w:r>
    </w:p>
    <w:p w14:paraId="3ABA9258" w14:textId="77777777" w:rsidR="00C34A96" w:rsidRPr="00ED0CF9" w:rsidRDefault="00C34A96" w:rsidP="00C34A96">
      <w:pPr>
        <w:spacing w:before="120" w:after="120"/>
        <w:contextualSpacing/>
      </w:pPr>
    </w:p>
    <w:p w14:paraId="34F7F764" w14:textId="5782FB94" w:rsidR="00C34A96" w:rsidRPr="00ED0CF9" w:rsidRDefault="00C34A96" w:rsidP="00C34A96">
      <w:pPr>
        <w:spacing w:before="120" w:after="120"/>
        <w:ind w:firstLine="720"/>
        <w:contextualSpacing/>
      </w:pPr>
      <w:r w:rsidRPr="00ED0CF9">
        <w:t xml:space="preserve">The Surface Transportation Board (STB or Board) requests a three-year extension of approval </w:t>
      </w:r>
      <w:r w:rsidR="000B15C5" w:rsidRPr="00ED0CF9">
        <w:t xml:space="preserve">for </w:t>
      </w:r>
      <w:r w:rsidR="00074E4B" w:rsidRPr="00ED0CF9">
        <w:t xml:space="preserve">the Board’s </w:t>
      </w:r>
      <w:r w:rsidR="00BF16AC">
        <w:t>requirement</w:t>
      </w:r>
      <w:r w:rsidR="0035177E">
        <w:t xml:space="preserve"> </w:t>
      </w:r>
      <w:r w:rsidR="006E0714">
        <w:t xml:space="preserve">that railroads </w:t>
      </w:r>
      <w:r w:rsidR="0007703C">
        <w:t>give notice of their demurrage tariff</w:t>
      </w:r>
      <w:r w:rsidR="00777420">
        <w:t>, otherwise known as Demurrage Liability Disclosure Requirements</w:t>
      </w:r>
      <w:r w:rsidR="007F481F" w:rsidRPr="00ED0CF9">
        <w:t>.</w:t>
      </w:r>
      <w:r w:rsidR="008108A3" w:rsidRPr="00ED0CF9">
        <w:t xml:space="preserve">  </w:t>
      </w:r>
    </w:p>
    <w:p w14:paraId="5DF9CA29" w14:textId="77777777" w:rsidR="00135508" w:rsidRPr="00ED0CF9" w:rsidRDefault="00135508" w:rsidP="0051666E">
      <w:pPr>
        <w:spacing w:before="120" w:after="120"/>
        <w:contextualSpacing/>
      </w:pPr>
    </w:p>
    <w:p w14:paraId="0E76F54C" w14:textId="77777777" w:rsidR="00726250" w:rsidRPr="00ED0CF9" w:rsidRDefault="00903CCF" w:rsidP="0051666E">
      <w:pPr>
        <w:spacing w:before="120" w:after="120"/>
        <w:contextualSpacing/>
        <w:rPr>
          <w:b/>
          <w:bCs/>
          <w:u w:val="single"/>
        </w:rPr>
      </w:pPr>
      <w:r w:rsidRPr="00ED0CF9">
        <w:rPr>
          <w:b/>
          <w:bCs/>
        </w:rPr>
        <w:t xml:space="preserve">A.  </w:t>
      </w:r>
      <w:r w:rsidRPr="00ED0CF9">
        <w:rPr>
          <w:b/>
          <w:bCs/>
          <w:u w:val="single"/>
        </w:rPr>
        <w:t>Justification</w:t>
      </w:r>
      <w:r w:rsidR="004B363E" w:rsidRPr="00ED0CF9">
        <w:rPr>
          <w:b/>
          <w:bCs/>
        </w:rPr>
        <w:t>.</w:t>
      </w:r>
    </w:p>
    <w:p w14:paraId="74AAB84F" w14:textId="77777777" w:rsidR="00726250" w:rsidRPr="00ED0CF9" w:rsidRDefault="00726250" w:rsidP="0051666E">
      <w:pPr>
        <w:spacing w:before="120" w:after="120"/>
        <w:contextualSpacing/>
        <w:rPr>
          <w:b/>
          <w:bCs/>
          <w:u w:val="single"/>
        </w:rPr>
      </w:pPr>
    </w:p>
    <w:p w14:paraId="29D9BF7D" w14:textId="529340F6" w:rsidR="00702AB8" w:rsidRDefault="00E07B23" w:rsidP="009762F2">
      <w:pPr>
        <w:ind w:firstLine="720"/>
        <w:contextualSpacing/>
      </w:pPr>
      <w:r w:rsidRPr="00ED0CF9">
        <w:t xml:space="preserve">1.  </w:t>
      </w:r>
      <w:r w:rsidR="00783008" w:rsidRPr="00702AB8">
        <w:rPr>
          <w:u w:val="single"/>
        </w:rPr>
        <w:t>Why the collection is necessary</w:t>
      </w:r>
      <w:r w:rsidR="00783008" w:rsidRPr="00ED0CF9">
        <w:t xml:space="preserve">.  </w:t>
      </w:r>
      <w:r w:rsidR="00925110" w:rsidRPr="00ED0CF9">
        <w:t xml:space="preserve">The Surface Transportation Board is, by statute, responsible for the economic regulation of common carrier freight railroads and certain other carriers operating in the United States.  </w:t>
      </w:r>
    </w:p>
    <w:p w14:paraId="21CB0BBC" w14:textId="77777777" w:rsidR="00702AB8" w:rsidRDefault="00702AB8" w:rsidP="00115EA7">
      <w:pPr>
        <w:contextualSpacing/>
      </w:pPr>
    </w:p>
    <w:p w14:paraId="65E5DB53" w14:textId="723CE5DB" w:rsidR="00D80451" w:rsidRDefault="00B16B6D" w:rsidP="001F7133">
      <w:pPr>
        <w:ind w:firstLine="720"/>
        <w:contextualSpacing/>
      </w:pPr>
      <w:r>
        <w:t xml:space="preserve">Demurrage is </w:t>
      </w:r>
      <w:r w:rsidR="00702AB8" w:rsidRPr="00702AB8">
        <w:t xml:space="preserve">a charge for detaining rail cars beyond a specified amount of time. </w:t>
      </w:r>
      <w:r w:rsidR="001F7133">
        <w:t xml:space="preserve"> </w:t>
      </w:r>
      <w:r w:rsidR="00702AB8" w:rsidRPr="00702AB8">
        <w:t>It both compensates rail carriers for expenses incurred and serves as a penalty for undue car detention in order to promote efficiency.</w:t>
      </w:r>
      <w:r w:rsidR="001F7133">
        <w:t xml:space="preserve">  D</w:t>
      </w:r>
      <w:r w:rsidR="00D80451" w:rsidRPr="00D80451">
        <w:t>emurrage is subject to Board regulation under 49</w:t>
      </w:r>
      <w:r w:rsidR="00887FE5">
        <w:t> </w:t>
      </w:r>
      <w:r w:rsidR="00D80451" w:rsidRPr="00D80451">
        <w:t>U.S.C. §</w:t>
      </w:r>
      <w:r w:rsidR="00887FE5">
        <w:t> </w:t>
      </w:r>
      <w:r w:rsidR="00D80451" w:rsidRPr="00D80451">
        <w:t>10702, which requires railroads to establish reasonable rates and transportation-related rules and practices, and under 49</w:t>
      </w:r>
      <w:r w:rsidR="00887FE5">
        <w:t> </w:t>
      </w:r>
      <w:r w:rsidR="00D80451" w:rsidRPr="00D80451">
        <w:t>U.S.C. §</w:t>
      </w:r>
      <w:r w:rsidR="00887FE5">
        <w:t> </w:t>
      </w:r>
      <w:r w:rsidR="00D80451" w:rsidRPr="00D80451">
        <w:t>10746, which requires railroads to compute demurrage and to establish demurrage-related rules “in a way that fulfills the national needs</w:t>
      </w:r>
      <w:r w:rsidR="00D0158F">
        <w:t>”</w:t>
      </w:r>
      <w:r w:rsidR="00D80451" w:rsidRPr="00D80451">
        <w:t xml:space="preserve"> related to freight car use and distribution</w:t>
      </w:r>
      <w:r w:rsidR="00D0158F">
        <w:t>,</w:t>
      </w:r>
      <w:r w:rsidR="00D80451" w:rsidRPr="00D80451">
        <w:t xml:space="preserve"> and</w:t>
      </w:r>
      <w:r w:rsidR="00D0158F">
        <w:t xml:space="preserve"> in a way</w:t>
      </w:r>
      <w:r w:rsidR="00D80451" w:rsidRPr="00D80451">
        <w:t xml:space="preserve"> that will promote an adequate car supply.</w:t>
      </w:r>
    </w:p>
    <w:p w14:paraId="116E44C9" w14:textId="77777777" w:rsidR="00D80451" w:rsidRDefault="00D80451" w:rsidP="00115EA7">
      <w:pPr>
        <w:contextualSpacing/>
      </w:pPr>
    </w:p>
    <w:p w14:paraId="266596B8" w14:textId="7E919CCA" w:rsidR="00894135" w:rsidRDefault="00CD0E1B" w:rsidP="001F7133">
      <w:pPr>
        <w:ind w:firstLine="720"/>
        <w:contextualSpacing/>
      </w:pPr>
      <w:r>
        <w:t>A</w:t>
      </w:r>
      <w:r w:rsidR="00702AB8" w:rsidRPr="00702AB8">
        <w:t xml:space="preserve"> carrier and its customers may enter into contracts pertaining to demurrage, but in the absence of such contracts, demurrage will be governed by the carrier’s demurrage tariff. </w:t>
      </w:r>
      <w:r w:rsidR="0007703C">
        <w:t xml:space="preserve"> </w:t>
      </w:r>
      <w:r w:rsidR="00702AB8" w:rsidRPr="00702AB8">
        <w:t xml:space="preserve">The railroad’s ability to charge demurrage </w:t>
      </w:r>
      <w:r w:rsidR="00F536EB">
        <w:t>under</w:t>
      </w:r>
      <w:r w:rsidR="00702AB8" w:rsidRPr="00702AB8">
        <w:t xml:space="preserve"> its tariff </w:t>
      </w:r>
      <w:r w:rsidR="00F536EB">
        <w:t xml:space="preserve">depends </w:t>
      </w:r>
      <w:r w:rsidR="00702AB8" w:rsidRPr="00702AB8">
        <w:t>on its having given, prior to rail car placement, actual notice of the demurrage tariff to the</w:t>
      </w:r>
      <w:r w:rsidR="00D0158F">
        <w:t xml:space="preserve"> party</w:t>
      </w:r>
      <w:r w:rsidR="00702AB8" w:rsidRPr="00702AB8">
        <w:t xml:space="preserve"> receiving rail cars for loading and unloading.</w:t>
      </w:r>
      <w:r w:rsidR="0007703C">
        <w:t xml:space="preserve"> </w:t>
      </w:r>
      <w:r w:rsidR="00702AB8" w:rsidRPr="00702AB8">
        <w:t xml:space="preserve"> The notice requirement for railroads applies in every </w:t>
      </w:r>
      <w:r w:rsidR="00D0158F">
        <w:t xml:space="preserve">demurrage </w:t>
      </w:r>
      <w:r w:rsidR="00702AB8" w:rsidRPr="00702AB8">
        <w:t>situation, but it is a one-time</w:t>
      </w:r>
      <w:r w:rsidR="00D0158F">
        <w:t>-</w:t>
      </w:r>
      <w:r w:rsidR="00702AB8" w:rsidRPr="00702AB8">
        <w:t>per</w:t>
      </w:r>
      <w:r w:rsidR="00D0158F">
        <w:t>-</w:t>
      </w:r>
      <w:r w:rsidR="00702AB8" w:rsidRPr="00702AB8">
        <w:t>shipper requirement.</w:t>
      </w:r>
      <w:r w:rsidR="0007703C">
        <w:t xml:space="preserve"> </w:t>
      </w:r>
      <w:r w:rsidR="00702AB8" w:rsidRPr="00702AB8">
        <w:t xml:space="preserve"> Additional notices are only required when and if the tariff changes materially. </w:t>
      </w:r>
      <w:r w:rsidR="0007703C">
        <w:t xml:space="preserve"> </w:t>
      </w:r>
    </w:p>
    <w:p w14:paraId="3B3DB882" w14:textId="0897EEB9" w:rsidR="009762F2" w:rsidRDefault="009762F2" w:rsidP="00115EA7">
      <w:pPr>
        <w:contextualSpacing/>
      </w:pPr>
    </w:p>
    <w:p w14:paraId="47ADE335" w14:textId="4CC41A55" w:rsidR="009762F2" w:rsidRPr="00ED0CF9" w:rsidRDefault="009762F2" w:rsidP="009762F2">
      <w:pPr>
        <w:ind w:firstLine="720"/>
        <w:contextualSpacing/>
      </w:pPr>
      <w:r>
        <w:t>While disputes between railroads and parties that originate or terminate rail cars usually involve relatively straightforward application of the carrier’s tariffs to the circumstances of the case, complications can arise in cases involving warehousemen or other “third-party intermediaries” who handle the goods but have no property interest in them.</w:t>
      </w:r>
      <w:r w:rsidR="00BF16AC">
        <w:t xml:space="preserve"> </w:t>
      </w:r>
      <w:r>
        <w:t xml:space="preserve"> In recent years, a question </w:t>
      </w:r>
      <w:r w:rsidR="00D0158F">
        <w:t>has arisen</w:t>
      </w:r>
      <w:r>
        <w:t xml:space="preserve"> as to </w:t>
      </w:r>
      <w:r w:rsidR="00D0158F">
        <w:t>which party</w:t>
      </w:r>
      <w:r>
        <w:t xml:space="preserve"> should bear liability when an intermediary that accepts rail cars and detains them too long is named as consignee in the bill of lading, but asserts either that it did not know of its consignee status or that it affirmatively asked the shipper not to name it consignee. The resulting legal debate prompted the Board to reexamine its existing policy and to provid</w:t>
      </w:r>
      <w:r w:rsidR="00D0158F">
        <w:t>e</w:t>
      </w:r>
      <w:r>
        <w:t xml:space="preserve"> clarifi</w:t>
      </w:r>
      <w:r w:rsidR="00A101BB">
        <w:t>cation for the industry.</w:t>
      </w:r>
      <w:r w:rsidR="00BF16AC">
        <w:t xml:space="preserve"> </w:t>
      </w:r>
      <w:r w:rsidR="00A101BB">
        <w:t xml:space="preserve"> The</w:t>
      </w:r>
      <w:r>
        <w:t xml:space="preserve"> </w:t>
      </w:r>
      <w:r w:rsidR="00D0158F">
        <w:t>demurrage liability</w:t>
      </w:r>
      <w:r>
        <w:t xml:space="preserve"> disclosure requirement is necessary to ensure that parties to rail transactions provide and/or receive notice regarding any potential liability for demurrage charges. </w:t>
      </w:r>
      <w:r w:rsidR="00BF16AC">
        <w:t xml:space="preserve"> </w:t>
      </w:r>
      <w:r>
        <w:t>The adopted disclosure requirement</w:t>
      </w:r>
      <w:r w:rsidR="00A101BB">
        <w:t>s</w:t>
      </w:r>
      <w:r>
        <w:t xml:space="preserve"> help to avoid demurrage liability disputes by clarifying when and to whom rail carriers may charge demurrage fees.</w:t>
      </w:r>
    </w:p>
    <w:p w14:paraId="2637810A" w14:textId="77777777" w:rsidR="002B4F5E" w:rsidRPr="00ED0CF9" w:rsidRDefault="002B4F5E" w:rsidP="00823285">
      <w:pPr>
        <w:ind w:firstLine="720"/>
        <w:contextualSpacing/>
      </w:pPr>
    </w:p>
    <w:p w14:paraId="67F9191B" w14:textId="77777777" w:rsidR="007F481F" w:rsidRPr="00ED0CF9" w:rsidRDefault="007F481F" w:rsidP="00115EA7">
      <w:pPr>
        <w:spacing w:before="120" w:after="120"/>
        <w:contextualSpacing/>
        <w:rPr>
          <w:color w:val="000000"/>
        </w:rPr>
      </w:pPr>
    </w:p>
    <w:p w14:paraId="0815C6A2" w14:textId="7FA01B7C" w:rsidR="00D80451" w:rsidRDefault="00726250" w:rsidP="0007703C">
      <w:pPr>
        <w:ind w:firstLine="720"/>
      </w:pPr>
      <w:r w:rsidRPr="00ED0CF9">
        <w:t xml:space="preserve">2.  </w:t>
      </w:r>
      <w:r w:rsidR="00487127" w:rsidRPr="00ED0CF9">
        <w:rPr>
          <w:u w:val="single"/>
        </w:rPr>
        <w:t>How the collection will be used</w:t>
      </w:r>
      <w:r w:rsidR="00487127" w:rsidRPr="00ED0CF9">
        <w:t xml:space="preserve">.  </w:t>
      </w:r>
      <w:r w:rsidR="00D0158F">
        <w:t>Railroads and parties originating or terminating rail cars</w:t>
      </w:r>
      <w:r w:rsidR="00D80451" w:rsidRPr="00D80451">
        <w:t xml:space="preserve"> use the information in the disclosure</w:t>
      </w:r>
      <w:r w:rsidR="00D0158F">
        <w:t>s</w:t>
      </w:r>
      <w:r w:rsidR="00D80451" w:rsidRPr="00D80451">
        <w:t xml:space="preserve"> to avoid demurrage disputes,</w:t>
      </w:r>
      <w:r w:rsidR="00CB46FE">
        <w:t xml:space="preserve"> as the disclosure allows all parties to a tariff to receive notice of potential liability for demurrage charges.  T</w:t>
      </w:r>
      <w:r w:rsidR="00D80451" w:rsidRPr="00D80451">
        <w:t>he Board use</w:t>
      </w:r>
      <w:r w:rsidR="00D0158F">
        <w:t>s</w:t>
      </w:r>
      <w:r w:rsidR="00D80451" w:rsidRPr="00D80451">
        <w:t xml:space="preserve"> the information </w:t>
      </w:r>
      <w:r w:rsidR="00CB46FE">
        <w:t xml:space="preserve">in the disclosures </w:t>
      </w:r>
      <w:r w:rsidR="00D80451" w:rsidRPr="00D80451">
        <w:t>to resolve</w:t>
      </w:r>
      <w:r w:rsidR="0007703C">
        <w:t xml:space="preserve"> demurrage disputes that come before the agency</w:t>
      </w:r>
      <w:r w:rsidR="00CB46FE">
        <w:t>, as the disclosure describes potential liability for demurrage charges before a dispute arises</w:t>
      </w:r>
      <w:r w:rsidR="000513FE">
        <w:t>, and th</w:t>
      </w:r>
      <w:r w:rsidR="001B14C0">
        <w:t>e disclosure</w:t>
      </w:r>
      <w:r w:rsidR="000513FE">
        <w:t xml:space="preserve"> may be presented by the parties to the Board in a demurrage dispute</w:t>
      </w:r>
      <w:r w:rsidR="0007703C">
        <w:t>.</w:t>
      </w:r>
    </w:p>
    <w:p w14:paraId="6C844A6C" w14:textId="77777777" w:rsidR="000F0457" w:rsidRPr="00ED0CF9" w:rsidRDefault="000F0457" w:rsidP="00115EA7"/>
    <w:p w14:paraId="0C78C100" w14:textId="3C4B6F57" w:rsidR="009F1FAD" w:rsidRPr="00823285" w:rsidRDefault="00726250">
      <w:pPr>
        <w:ind w:firstLine="720"/>
        <w:rPr>
          <w:sz w:val="23"/>
          <w:szCs w:val="23"/>
        </w:rPr>
      </w:pPr>
      <w:r w:rsidRPr="00ED0CF9">
        <w:t xml:space="preserve">3.  </w:t>
      </w:r>
      <w:r w:rsidR="00487127" w:rsidRPr="00ED0CF9">
        <w:rPr>
          <w:u w:val="single"/>
        </w:rPr>
        <w:t>Extent of automated information collection</w:t>
      </w:r>
      <w:r w:rsidR="00487127" w:rsidRPr="00ED0CF9">
        <w:t xml:space="preserve">. </w:t>
      </w:r>
      <w:r w:rsidR="00E80B87" w:rsidRPr="00ED0CF9">
        <w:t xml:space="preserve"> </w:t>
      </w:r>
      <w:r w:rsidR="00CB46FE">
        <w:rPr>
          <w:sz w:val="23"/>
          <w:szCs w:val="23"/>
        </w:rPr>
        <w:t>C</w:t>
      </w:r>
      <w:r w:rsidR="004E0958">
        <w:rPr>
          <w:sz w:val="23"/>
          <w:szCs w:val="23"/>
        </w:rPr>
        <w:t xml:space="preserve">arriers may use electronic means to satisfy the proposed notice requirement. </w:t>
      </w:r>
      <w:r w:rsidR="00BF16AC">
        <w:rPr>
          <w:sz w:val="23"/>
          <w:szCs w:val="23"/>
        </w:rPr>
        <w:t xml:space="preserve"> </w:t>
      </w:r>
      <w:r w:rsidR="004E0958">
        <w:rPr>
          <w:sz w:val="23"/>
          <w:szCs w:val="23"/>
        </w:rPr>
        <w:t xml:space="preserve">A carrier may email </w:t>
      </w:r>
      <w:r w:rsidR="00CB46FE">
        <w:rPr>
          <w:sz w:val="23"/>
          <w:szCs w:val="23"/>
        </w:rPr>
        <w:t xml:space="preserve">an affected party </w:t>
      </w:r>
      <w:r w:rsidR="004E0958">
        <w:rPr>
          <w:sz w:val="23"/>
          <w:szCs w:val="23"/>
        </w:rPr>
        <w:t xml:space="preserve">the tariff itself or a link to the tariff that is posted on the carrier’s website. </w:t>
      </w:r>
    </w:p>
    <w:p w14:paraId="0F944F4F" w14:textId="77777777" w:rsidR="007F481F" w:rsidRPr="00ED0CF9" w:rsidRDefault="007F481F" w:rsidP="0051666E">
      <w:pPr>
        <w:spacing w:before="120" w:after="120"/>
        <w:ind w:firstLine="720"/>
        <w:contextualSpacing/>
      </w:pPr>
    </w:p>
    <w:p w14:paraId="0FF07A3B" w14:textId="77777777" w:rsidR="007F481F" w:rsidRPr="00ED0CF9" w:rsidRDefault="007F481F" w:rsidP="0051666E">
      <w:pPr>
        <w:spacing w:before="120" w:after="120"/>
        <w:ind w:firstLine="720"/>
        <w:contextualSpacing/>
        <w:sectPr w:rsidR="007F481F" w:rsidRPr="00ED0CF9" w:rsidSect="002A1577">
          <w:footerReference w:type="default" r:id="rId9"/>
          <w:type w:val="continuous"/>
          <w:pgSz w:w="12240" w:h="15840" w:code="1"/>
          <w:pgMar w:top="1440" w:right="1440" w:bottom="1440" w:left="1440" w:header="1440" w:footer="1440" w:gutter="0"/>
          <w:cols w:space="720"/>
          <w:noEndnote/>
          <w:titlePg/>
        </w:sectPr>
      </w:pPr>
    </w:p>
    <w:p w14:paraId="615D0B00" w14:textId="36E80716" w:rsidR="00EC6BDB" w:rsidRPr="00ED0CF9" w:rsidRDefault="00726250" w:rsidP="0051666E">
      <w:pPr>
        <w:spacing w:before="120" w:after="120"/>
        <w:ind w:firstLine="720"/>
        <w:contextualSpacing/>
      </w:pPr>
      <w:r w:rsidRPr="00ED0CF9">
        <w:t xml:space="preserve">4.  </w:t>
      </w:r>
      <w:r w:rsidR="005E62FF" w:rsidRPr="00ED0CF9">
        <w:rPr>
          <w:u w:val="single"/>
        </w:rPr>
        <w:t>Identification of duplication</w:t>
      </w:r>
      <w:r w:rsidR="005E62FF" w:rsidRPr="00ED0CF9">
        <w:t xml:space="preserve">.  </w:t>
      </w:r>
      <w:r w:rsidR="00191D55">
        <w:rPr>
          <w:sz w:val="23"/>
          <w:szCs w:val="23"/>
        </w:rPr>
        <w:t xml:space="preserve">To the extent that it is already the practice of carriers to provide the actual notice required under the </w:t>
      </w:r>
      <w:r w:rsidR="009E1F02">
        <w:rPr>
          <w:sz w:val="23"/>
          <w:szCs w:val="23"/>
        </w:rPr>
        <w:t xml:space="preserve">Board’s regulations, </w:t>
      </w:r>
      <w:r w:rsidR="00F70648">
        <w:rPr>
          <w:sz w:val="23"/>
          <w:szCs w:val="23"/>
        </w:rPr>
        <w:t xml:space="preserve">carriers may continue in that practice and </w:t>
      </w:r>
      <w:r w:rsidR="009E1F02">
        <w:rPr>
          <w:sz w:val="23"/>
          <w:szCs w:val="23"/>
        </w:rPr>
        <w:t>the Board’s regulations do</w:t>
      </w:r>
      <w:r w:rsidR="00191D55">
        <w:rPr>
          <w:sz w:val="23"/>
          <w:szCs w:val="23"/>
        </w:rPr>
        <w:t xml:space="preserve"> not require duplication of such notice. </w:t>
      </w:r>
      <w:r w:rsidR="00F70648">
        <w:rPr>
          <w:sz w:val="23"/>
          <w:szCs w:val="23"/>
        </w:rPr>
        <w:t xml:space="preserve"> Other than those practices, the Board is not aware of the availability of any similar information</w:t>
      </w:r>
      <w:r w:rsidR="001B14C0">
        <w:rPr>
          <w:sz w:val="23"/>
          <w:szCs w:val="23"/>
        </w:rPr>
        <w:t>. The Board is further not aware of</w:t>
      </w:r>
      <w:r w:rsidR="00F70648">
        <w:rPr>
          <w:sz w:val="23"/>
          <w:szCs w:val="23"/>
        </w:rPr>
        <w:t xml:space="preserve"> any duplication with any other collections conducted by the Board or other federal agencies.</w:t>
      </w:r>
    </w:p>
    <w:p w14:paraId="1BCC7CCC" w14:textId="77777777" w:rsidR="00726250" w:rsidRPr="00ED0CF9" w:rsidRDefault="00726250" w:rsidP="0051666E">
      <w:pPr>
        <w:spacing w:before="120" w:after="120"/>
        <w:contextualSpacing/>
      </w:pPr>
    </w:p>
    <w:p w14:paraId="1C614BF1" w14:textId="611CF8C0" w:rsidR="00ED0CF9" w:rsidRPr="00ED0CF9" w:rsidRDefault="00726250" w:rsidP="0051666E">
      <w:pPr>
        <w:spacing w:before="120" w:after="120"/>
        <w:ind w:firstLine="720"/>
        <w:contextualSpacing/>
      </w:pPr>
      <w:r w:rsidRPr="00ED0CF9">
        <w:t xml:space="preserve">5.  </w:t>
      </w:r>
      <w:r w:rsidR="002B2EB9" w:rsidRPr="00ED0CF9">
        <w:rPr>
          <w:u w:val="single"/>
        </w:rPr>
        <w:t>Effects on small business</w:t>
      </w:r>
      <w:r w:rsidR="002B2EB9" w:rsidRPr="00ED0CF9">
        <w:t xml:space="preserve">.  </w:t>
      </w:r>
      <w:r w:rsidR="00076A63">
        <w:rPr>
          <w:sz w:val="23"/>
          <w:szCs w:val="23"/>
        </w:rPr>
        <w:t>The burden of providing notice is minimal.</w:t>
      </w:r>
      <w:r w:rsidR="00BF16AC">
        <w:rPr>
          <w:sz w:val="23"/>
          <w:szCs w:val="23"/>
        </w:rPr>
        <w:t xml:space="preserve"> </w:t>
      </w:r>
      <w:r w:rsidR="00076A63">
        <w:rPr>
          <w:sz w:val="23"/>
          <w:szCs w:val="23"/>
        </w:rPr>
        <w:t xml:space="preserve"> Moreover, providing the required notice will help small businesses avoid costly litigation regarding demurrage disputes.</w:t>
      </w:r>
      <w:r w:rsidR="00BF16AC">
        <w:rPr>
          <w:sz w:val="23"/>
          <w:szCs w:val="23"/>
        </w:rPr>
        <w:t xml:space="preserve"> </w:t>
      </w:r>
      <w:r w:rsidR="00076A63">
        <w:rPr>
          <w:sz w:val="23"/>
          <w:szCs w:val="23"/>
        </w:rPr>
        <w:t xml:space="preserve"> </w:t>
      </w:r>
      <w:r w:rsidR="00A101BB">
        <w:rPr>
          <w:sz w:val="23"/>
          <w:szCs w:val="23"/>
        </w:rPr>
        <w:t>N</w:t>
      </w:r>
      <w:r w:rsidR="00076A63">
        <w:rPr>
          <w:sz w:val="23"/>
          <w:szCs w:val="23"/>
        </w:rPr>
        <w:t xml:space="preserve">otice is only required once per shipper, and not again unless the railroad chooses to </w:t>
      </w:r>
      <w:r w:rsidR="00B34BDD">
        <w:rPr>
          <w:sz w:val="23"/>
          <w:szCs w:val="23"/>
        </w:rPr>
        <w:t xml:space="preserve">materially </w:t>
      </w:r>
      <w:r w:rsidR="00076A63">
        <w:rPr>
          <w:sz w:val="23"/>
          <w:szCs w:val="23"/>
        </w:rPr>
        <w:t xml:space="preserve">change the terms of its tariff. </w:t>
      </w:r>
      <w:r w:rsidR="00BF16AC">
        <w:rPr>
          <w:sz w:val="23"/>
          <w:szCs w:val="23"/>
        </w:rPr>
        <w:t xml:space="preserve"> </w:t>
      </w:r>
      <w:r w:rsidR="00076A63">
        <w:rPr>
          <w:sz w:val="23"/>
          <w:szCs w:val="23"/>
        </w:rPr>
        <w:t>Moreover,</w:t>
      </w:r>
      <w:r w:rsidR="00B34BDD">
        <w:rPr>
          <w:sz w:val="23"/>
          <w:szCs w:val="23"/>
        </w:rPr>
        <w:t xml:space="preserve"> this burden may be minimized by using electronic notification, as </w:t>
      </w:r>
      <w:r w:rsidR="00076A63">
        <w:rPr>
          <w:sz w:val="23"/>
          <w:szCs w:val="23"/>
        </w:rPr>
        <w:t>carriers may choose between written notice and electronic notice</w:t>
      </w:r>
      <w:r w:rsidR="00B34BDD">
        <w:rPr>
          <w:sz w:val="23"/>
          <w:szCs w:val="23"/>
        </w:rPr>
        <w:t>.  Electronic notice</w:t>
      </w:r>
      <w:r w:rsidR="00076A63">
        <w:rPr>
          <w:sz w:val="23"/>
          <w:szCs w:val="23"/>
        </w:rPr>
        <w:t xml:space="preserve"> may simply be a link to a demurrage tariff published on the carrier’s website. </w:t>
      </w:r>
      <w:r w:rsidR="00BF16AC">
        <w:rPr>
          <w:sz w:val="23"/>
          <w:szCs w:val="23"/>
        </w:rPr>
        <w:t xml:space="preserve"> </w:t>
      </w:r>
      <w:r w:rsidR="00A101BB">
        <w:rPr>
          <w:sz w:val="23"/>
          <w:szCs w:val="23"/>
        </w:rPr>
        <w:t>I</w:t>
      </w:r>
      <w:r w:rsidR="00076A63">
        <w:rPr>
          <w:sz w:val="23"/>
          <w:szCs w:val="23"/>
        </w:rPr>
        <w:t xml:space="preserve">ncorporating this relatively modest requirement into the carriers’ regular business practices and customer communications will be beneficial, both to the industry as a whole and to carriers, including small carriers, in the event of a demurrage dispute. </w:t>
      </w:r>
    </w:p>
    <w:p w14:paraId="24511326" w14:textId="77777777" w:rsidR="002D595A" w:rsidRPr="00ED0CF9" w:rsidRDefault="002D595A" w:rsidP="0051666E">
      <w:pPr>
        <w:spacing w:before="120" w:after="120"/>
        <w:ind w:firstLine="720"/>
        <w:contextualSpacing/>
      </w:pPr>
    </w:p>
    <w:p w14:paraId="6DF4144C" w14:textId="429D2A46" w:rsidR="00ED0CF9" w:rsidRPr="00ED0CF9" w:rsidRDefault="00726250" w:rsidP="00074B95">
      <w:pPr>
        <w:ind w:firstLine="720"/>
      </w:pPr>
      <w:r w:rsidRPr="00ED0CF9">
        <w:t xml:space="preserve">6.  </w:t>
      </w:r>
      <w:r w:rsidR="00F1683D" w:rsidRPr="00ED0CF9">
        <w:rPr>
          <w:u w:val="single"/>
        </w:rPr>
        <w:t>Impact of less frequent collections</w:t>
      </w:r>
      <w:r w:rsidR="00F1683D" w:rsidRPr="00ED0CF9">
        <w:t xml:space="preserve">.  </w:t>
      </w:r>
      <w:r w:rsidR="00076A63" w:rsidRPr="00076A63">
        <w:t xml:space="preserve">The notice requirement is triggered when a shipper initially arranges with a rail carrier for transportation of goods pursuant to the railroad’s tariff, or when a rail carrier </w:t>
      </w:r>
      <w:r w:rsidR="00F70648">
        <w:t xml:space="preserve">materially </w:t>
      </w:r>
      <w:r w:rsidR="00076A63" w:rsidRPr="00076A63">
        <w:t>changes the terms of its demurrage tariff.</w:t>
      </w:r>
      <w:r w:rsidR="00BF16AC">
        <w:t xml:space="preserve"> </w:t>
      </w:r>
      <w:r w:rsidR="00076A63" w:rsidRPr="00076A63">
        <w:t xml:space="preserve"> Less frequent notice</w:t>
      </w:r>
      <w:r w:rsidR="00F70648">
        <w:t xml:space="preserve"> or no notice at all</w:t>
      </w:r>
      <w:r w:rsidR="00076A63" w:rsidRPr="00076A63">
        <w:t xml:space="preserve"> would expose the parties to possible litigation regarding demurrage liability in the instances when such notice has not been provided. </w:t>
      </w:r>
    </w:p>
    <w:p w14:paraId="21BCA482" w14:textId="77777777" w:rsidR="00726250" w:rsidRPr="00ED0CF9" w:rsidRDefault="00726250" w:rsidP="0051666E">
      <w:pPr>
        <w:spacing w:before="120" w:after="120"/>
        <w:contextualSpacing/>
      </w:pPr>
    </w:p>
    <w:p w14:paraId="29682A7A" w14:textId="6FBF6645" w:rsidR="003D358F" w:rsidRPr="00ED0CF9" w:rsidRDefault="00726250">
      <w:pPr>
        <w:spacing w:before="120" w:after="120"/>
        <w:ind w:firstLine="720"/>
        <w:contextualSpacing/>
      </w:pPr>
      <w:r w:rsidRPr="00ED0CF9">
        <w:t xml:space="preserve">7.  </w:t>
      </w:r>
      <w:r w:rsidR="003D358F" w:rsidRPr="00ED0CF9">
        <w:rPr>
          <w:u w:val="single"/>
        </w:rPr>
        <w:t>Special circumstances</w:t>
      </w:r>
      <w:r w:rsidR="003D358F" w:rsidRPr="00ED0CF9">
        <w:t>.  No special circumstances apply to this collection.</w:t>
      </w:r>
    </w:p>
    <w:p w14:paraId="7C52D98F" w14:textId="77777777" w:rsidR="00726250" w:rsidRPr="00ED0CF9" w:rsidRDefault="00726250" w:rsidP="0051666E">
      <w:pPr>
        <w:spacing w:before="120" w:after="120"/>
        <w:ind w:firstLine="720"/>
        <w:contextualSpacing/>
      </w:pPr>
    </w:p>
    <w:p w14:paraId="351211A1" w14:textId="63E83C48" w:rsidR="004E071F" w:rsidRPr="00ED0CF9" w:rsidRDefault="00726250">
      <w:pPr>
        <w:spacing w:before="120" w:after="120"/>
        <w:ind w:firstLine="720"/>
        <w:contextualSpacing/>
      </w:pPr>
      <w:r w:rsidRPr="00ED0CF9">
        <w:t xml:space="preserve">8.  </w:t>
      </w:r>
      <w:r w:rsidR="005B5DE1" w:rsidRPr="00ED0CF9">
        <w:rPr>
          <w:u w:val="single"/>
        </w:rPr>
        <w:t>Compliance with 5</w:t>
      </w:r>
      <w:r w:rsidR="00887FE5">
        <w:rPr>
          <w:u w:val="single"/>
        </w:rPr>
        <w:t> </w:t>
      </w:r>
      <w:r w:rsidR="005B5DE1" w:rsidRPr="00ED0CF9">
        <w:rPr>
          <w:u w:val="single"/>
        </w:rPr>
        <w:t>C.F.R. §</w:t>
      </w:r>
      <w:r w:rsidR="00887FE5">
        <w:rPr>
          <w:u w:val="single"/>
        </w:rPr>
        <w:t> </w:t>
      </w:r>
      <w:r w:rsidR="005B5DE1" w:rsidRPr="00ED0CF9">
        <w:rPr>
          <w:u w:val="single"/>
        </w:rPr>
        <w:t>1320.8</w:t>
      </w:r>
      <w:r w:rsidR="005B5DE1" w:rsidRPr="00ED0CF9">
        <w:t xml:space="preserve">.  </w:t>
      </w:r>
      <w:r w:rsidR="00F70648">
        <w:t>O</w:t>
      </w:r>
      <w:r w:rsidR="00887FE5">
        <w:t>n April </w:t>
      </w:r>
      <w:r w:rsidR="00F70648">
        <w:t>6, 2017, a 60-day Federal Register Notice was published at 82</w:t>
      </w:r>
      <w:r w:rsidR="00887FE5">
        <w:t> </w:t>
      </w:r>
      <w:r w:rsidR="00F70648">
        <w:t>Fed. Reg.</w:t>
      </w:r>
      <w:r w:rsidR="00887FE5">
        <w:t> </w:t>
      </w:r>
      <w:r w:rsidR="00F70648">
        <w:t>16,872.</w:t>
      </w:r>
      <w:r w:rsidR="00217E0B" w:rsidRPr="00ED0CF9">
        <w:t xml:space="preserve">  No comments were received.  A 30-day notice </w:t>
      </w:r>
      <w:r w:rsidR="00F70648">
        <w:t>is being</w:t>
      </w:r>
      <w:r w:rsidR="00217E0B" w:rsidRPr="00ED0CF9">
        <w:t xml:space="preserve"> published concurrently with </w:t>
      </w:r>
      <w:r w:rsidR="00217E0B" w:rsidRPr="00D103A7">
        <w:t xml:space="preserve">this submission to </w:t>
      </w:r>
      <w:r w:rsidR="00217E0B" w:rsidRPr="00D103A7">
        <w:rPr>
          <w:rFonts w:eastAsia="Shruti"/>
        </w:rPr>
        <w:t>Office of Management and Budget (OMB)</w:t>
      </w:r>
      <w:r w:rsidR="00217E0B" w:rsidRPr="00D103A7">
        <w:t xml:space="preserve">.  </w:t>
      </w:r>
      <w:r w:rsidR="002529A1" w:rsidRPr="00D103A7">
        <w:t>82</w:t>
      </w:r>
      <w:r w:rsidR="00887FE5" w:rsidRPr="00D103A7">
        <w:t> </w:t>
      </w:r>
      <w:r w:rsidR="00217E0B" w:rsidRPr="00D103A7">
        <w:t>Fed. Reg.</w:t>
      </w:r>
      <w:r w:rsidR="00887FE5" w:rsidRPr="00D103A7">
        <w:t> </w:t>
      </w:r>
      <w:r w:rsidR="00D103A7" w:rsidRPr="00D103A7">
        <w:t>38985</w:t>
      </w:r>
      <w:r w:rsidR="00217E0B" w:rsidRPr="00D103A7">
        <w:t xml:space="preserve"> (</w:t>
      </w:r>
      <w:r w:rsidR="00887FE5" w:rsidRPr="00D103A7">
        <w:t>Aug. </w:t>
      </w:r>
      <w:r w:rsidR="00D103A7" w:rsidRPr="00D103A7">
        <w:t>16</w:t>
      </w:r>
      <w:r w:rsidR="00217E0B" w:rsidRPr="00D103A7">
        <w:t>, 2017).</w:t>
      </w:r>
    </w:p>
    <w:p w14:paraId="697795E0" w14:textId="77777777" w:rsidR="00726250" w:rsidRPr="00ED0CF9" w:rsidRDefault="00726250" w:rsidP="0051666E">
      <w:pPr>
        <w:spacing w:before="120" w:after="120"/>
        <w:ind w:firstLine="720"/>
        <w:contextualSpacing/>
      </w:pPr>
    </w:p>
    <w:p w14:paraId="7903F773" w14:textId="276BD233" w:rsidR="00726250" w:rsidRPr="00ED0CF9" w:rsidRDefault="00726250" w:rsidP="0051666E">
      <w:pPr>
        <w:spacing w:before="120" w:after="120"/>
        <w:ind w:firstLine="720"/>
        <w:contextualSpacing/>
      </w:pPr>
      <w:r w:rsidRPr="00ED0CF9">
        <w:t xml:space="preserve">9.  </w:t>
      </w:r>
      <w:r w:rsidR="00290F01" w:rsidRPr="00ED0CF9">
        <w:rPr>
          <w:u w:val="single"/>
        </w:rPr>
        <w:t>Payments or</w:t>
      </w:r>
      <w:r w:rsidR="0069229D" w:rsidRPr="00ED0CF9">
        <w:rPr>
          <w:u w:val="single"/>
        </w:rPr>
        <w:t xml:space="preserve"> gifts to respondents</w:t>
      </w:r>
      <w:r w:rsidR="0069229D" w:rsidRPr="00ED0CF9">
        <w:t xml:space="preserve">.  </w:t>
      </w:r>
      <w:r w:rsidRPr="00ED0CF9">
        <w:t>The Board does not provide any payment or gift to respondents.</w:t>
      </w:r>
    </w:p>
    <w:p w14:paraId="71A52150" w14:textId="77777777" w:rsidR="00726250" w:rsidRPr="00ED0CF9" w:rsidRDefault="00726250" w:rsidP="0051666E">
      <w:pPr>
        <w:spacing w:before="120" w:after="120"/>
        <w:ind w:firstLine="7200"/>
        <w:contextualSpacing/>
      </w:pPr>
    </w:p>
    <w:p w14:paraId="7490C59B" w14:textId="3A2A8821" w:rsidR="00ED0CF9" w:rsidRDefault="00726250" w:rsidP="00D03EBF">
      <w:pPr>
        <w:ind w:firstLine="720"/>
      </w:pPr>
      <w:r w:rsidRPr="00ED0CF9">
        <w:t xml:space="preserve">10.  </w:t>
      </w:r>
      <w:r w:rsidR="007134A0" w:rsidRPr="00ED0CF9">
        <w:rPr>
          <w:u w:val="single"/>
        </w:rPr>
        <w:t>Assurance of confidentiality</w:t>
      </w:r>
      <w:r w:rsidR="007134A0" w:rsidRPr="00ED0CF9">
        <w:t xml:space="preserve">.  </w:t>
      </w:r>
      <w:r w:rsidR="00E522F4" w:rsidRPr="00E522F4">
        <w:t>No confidential information is involved in this collection.</w:t>
      </w:r>
    </w:p>
    <w:p w14:paraId="6CA17E5D" w14:textId="77777777" w:rsidR="00726250" w:rsidRPr="00ED0CF9" w:rsidRDefault="00726250" w:rsidP="0051666E">
      <w:pPr>
        <w:spacing w:before="120" w:after="120"/>
        <w:contextualSpacing/>
      </w:pPr>
    </w:p>
    <w:p w14:paraId="0DA83F91" w14:textId="10B91DAB" w:rsidR="00726250" w:rsidRPr="00823285" w:rsidRDefault="00726250">
      <w:pPr>
        <w:spacing w:before="120" w:after="120"/>
        <w:ind w:firstLine="720"/>
        <w:contextualSpacing/>
      </w:pPr>
      <w:r w:rsidRPr="00ED0CF9">
        <w:t xml:space="preserve">11.  </w:t>
      </w:r>
      <w:r w:rsidR="005E5C69" w:rsidRPr="00ED0CF9">
        <w:rPr>
          <w:u w:val="single"/>
        </w:rPr>
        <w:t>Justification for collection of sensitive information</w:t>
      </w:r>
      <w:r w:rsidR="005E5C69" w:rsidRPr="00ED0CF9">
        <w:t xml:space="preserve">.  </w:t>
      </w:r>
      <w:r w:rsidR="000A3FF0" w:rsidRPr="00ED0CF9">
        <w:t>No sensitive information is requested.</w:t>
      </w:r>
    </w:p>
    <w:p w14:paraId="0E36FE54" w14:textId="77777777" w:rsidR="00726250" w:rsidRPr="00ED0CF9" w:rsidRDefault="00726250" w:rsidP="0051666E">
      <w:pPr>
        <w:spacing w:before="120" w:after="120"/>
        <w:contextualSpacing/>
      </w:pPr>
    </w:p>
    <w:p w14:paraId="232BEF17" w14:textId="77777777" w:rsidR="00ED0CF9" w:rsidRDefault="00726250" w:rsidP="00D03EBF">
      <w:pPr>
        <w:keepNext/>
        <w:keepLines/>
        <w:ind w:firstLine="720"/>
      </w:pPr>
      <w:r w:rsidRPr="00ED0CF9">
        <w:t xml:space="preserve">12.  </w:t>
      </w:r>
      <w:r w:rsidR="005E5C69" w:rsidRPr="00ED0CF9">
        <w:rPr>
          <w:u w:val="single"/>
        </w:rPr>
        <w:t>Estimation of burden hours for respondents</w:t>
      </w:r>
      <w:r w:rsidR="005E5C69" w:rsidRPr="00ED0CF9">
        <w:t xml:space="preserve">.  </w:t>
      </w:r>
    </w:p>
    <w:p w14:paraId="0D5F352D" w14:textId="77777777" w:rsidR="00D03EBF" w:rsidRPr="00ED0CF9" w:rsidRDefault="00D03EBF" w:rsidP="00893167">
      <w:pPr>
        <w:widowControl/>
        <w:autoSpaceDE/>
        <w:autoSpaceDN/>
        <w:adjustRightInd/>
        <w:ind w:left="360"/>
        <w:contextualSpacing/>
      </w:pPr>
    </w:p>
    <w:p w14:paraId="7AB5ACB4" w14:textId="5FE81C9B" w:rsidR="00892C99" w:rsidRPr="00ED0CF9" w:rsidRDefault="006C605A" w:rsidP="00823285">
      <w:pPr>
        <w:pStyle w:val="Default"/>
        <w:numPr>
          <w:ilvl w:val="0"/>
          <w:numId w:val="2"/>
        </w:numPr>
        <w:ind w:left="1440"/>
        <w:contextualSpacing/>
        <w:rPr>
          <w:vertAlign w:val="superscript"/>
        </w:rPr>
      </w:pPr>
      <w:r w:rsidRPr="00ED0CF9">
        <w:t xml:space="preserve">Number of respondents:  </w:t>
      </w:r>
      <w:r w:rsidR="00AE7AD7" w:rsidRPr="00AE7AD7">
        <w:t>575 (including seven Class I</w:t>
      </w:r>
      <w:r w:rsidR="008340A9">
        <w:t xml:space="preserve"> </w:t>
      </w:r>
      <w:r w:rsidR="005E19AB">
        <w:t>[</w:t>
      </w:r>
      <w:r w:rsidR="008340A9">
        <w:t>i.e., large</w:t>
      </w:r>
      <w:r w:rsidR="005E19AB">
        <w:t>]</w:t>
      </w:r>
      <w:r w:rsidR="00AE7AD7" w:rsidRPr="00AE7AD7">
        <w:t xml:space="preserve"> railroads)</w:t>
      </w:r>
    </w:p>
    <w:p w14:paraId="651289A2" w14:textId="77777777" w:rsidR="00892C99" w:rsidRPr="00ED0CF9" w:rsidRDefault="00892C99" w:rsidP="00823285">
      <w:pPr>
        <w:pStyle w:val="Default"/>
        <w:ind w:left="1440"/>
        <w:contextualSpacing/>
      </w:pPr>
    </w:p>
    <w:p w14:paraId="01B98085" w14:textId="674595E4" w:rsidR="00AE7AD7" w:rsidRPr="00115EA7" w:rsidRDefault="00EE4633" w:rsidP="00D13D14">
      <w:pPr>
        <w:pStyle w:val="Default"/>
        <w:numPr>
          <w:ilvl w:val="0"/>
          <w:numId w:val="2"/>
        </w:numPr>
        <w:ind w:left="1440"/>
        <w:rPr>
          <w:i/>
        </w:rPr>
      </w:pPr>
      <w:r w:rsidRPr="00ED0CF9">
        <w:t xml:space="preserve">Frequency of response: </w:t>
      </w:r>
      <w:r w:rsidR="006C605A" w:rsidRPr="00ED0CF9">
        <w:t xml:space="preserve"> </w:t>
      </w:r>
      <w:r w:rsidR="00AE7AD7" w:rsidRPr="00AE7AD7">
        <w:t xml:space="preserve">Occasionally.  The notice requirement is triggered in two circumstances:  (1) when a shipper initially arranges with a railroad for transportation of goods pursuant to the railroad’s tariff; or (2) when a railroad </w:t>
      </w:r>
      <w:r w:rsidR="00887FE5">
        <w:t xml:space="preserve">materially </w:t>
      </w:r>
      <w:r w:rsidR="00AE7AD7" w:rsidRPr="00AE7AD7">
        <w:t xml:space="preserve">changes the terms of its demurrage tariff.  </w:t>
      </w:r>
    </w:p>
    <w:p w14:paraId="09EE6C55" w14:textId="430884FB" w:rsidR="00E94B1A" w:rsidRPr="00AE7AD7" w:rsidRDefault="00E94B1A" w:rsidP="00115EA7">
      <w:pPr>
        <w:rPr>
          <w:i/>
        </w:rPr>
      </w:pPr>
    </w:p>
    <w:p w14:paraId="0205D141" w14:textId="705822F8" w:rsidR="00272278" w:rsidRDefault="00EE4633" w:rsidP="00115EA7">
      <w:pPr>
        <w:pStyle w:val="Default"/>
        <w:numPr>
          <w:ilvl w:val="0"/>
          <w:numId w:val="2"/>
        </w:numPr>
        <w:ind w:left="1440"/>
      </w:pPr>
      <w:r w:rsidRPr="00ED0CF9">
        <w:t xml:space="preserve">Annual hour burden for all respondents: </w:t>
      </w:r>
      <w:r w:rsidR="009D2671" w:rsidRPr="00ED0CF9">
        <w:t xml:space="preserve"> </w:t>
      </w:r>
      <w:r w:rsidR="00E94B1A" w:rsidRPr="00E94B1A">
        <w:t xml:space="preserve">864.6 hours.  Board staff estimates that:  (1) seven Class I railroads will each take on 15 new customers each year (105 hours); (2) each of the seven Class I railroads will update its demurrage tariffs every three years (2.3 hours annualized); (3) 568 non-Class I railroads will each take on one new customer a year (568 hours); and (4) each non-Class I railroad will update its demurrage tariffs every three years (189.3 hours annualized).  </w:t>
      </w:r>
    </w:p>
    <w:p w14:paraId="5B948E36" w14:textId="77777777" w:rsidR="00027724" w:rsidRDefault="00027724" w:rsidP="002529A1">
      <w:pPr>
        <w:pStyle w:val="ListParagraph"/>
      </w:pPr>
    </w:p>
    <w:p w14:paraId="00427D7B" w14:textId="534664C4" w:rsidR="00027724" w:rsidRDefault="00027724" w:rsidP="00115EA7">
      <w:pPr>
        <w:pStyle w:val="Default"/>
        <w:numPr>
          <w:ilvl w:val="0"/>
          <w:numId w:val="2"/>
        </w:numPr>
        <w:ind w:left="1440"/>
      </w:pPr>
      <w:r>
        <w:t>Annualized cost to respondents for the hour burden</w:t>
      </w:r>
      <w:r w:rsidR="0064561D">
        <w:t>.</w:t>
      </w:r>
    </w:p>
    <w:p w14:paraId="50AC564F" w14:textId="77777777" w:rsidR="00892C99" w:rsidRPr="00ED0CF9" w:rsidRDefault="00892C99" w:rsidP="00892C99">
      <w:pPr>
        <w:pStyle w:val="Default"/>
        <w:contextualSpacing/>
      </w:pPr>
    </w:p>
    <w:p w14:paraId="0E7E2F48" w14:textId="1D7C5E3E" w:rsidR="00ED0CF9" w:rsidRDefault="00726250" w:rsidP="00892C99">
      <w:pPr>
        <w:spacing w:before="120" w:after="120"/>
        <w:ind w:firstLine="720"/>
        <w:contextualSpacing/>
      </w:pPr>
      <w:r w:rsidRPr="00ED0CF9">
        <w:t xml:space="preserve">13.  </w:t>
      </w:r>
      <w:r w:rsidRPr="00ED0CF9">
        <w:rPr>
          <w:u w:val="single"/>
        </w:rPr>
        <w:t>Other costs to respondents</w:t>
      </w:r>
      <w:r w:rsidR="00421960" w:rsidRPr="00ED0CF9">
        <w:t>.</w:t>
      </w:r>
      <w:r w:rsidRPr="00ED0CF9">
        <w:t xml:space="preserve">  </w:t>
      </w:r>
      <w:r w:rsidR="00847C1F" w:rsidRPr="00847C1F">
        <w:t>No non-labor costs are anticipated as the notice is likely to be delivered electronically.</w:t>
      </w:r>
    </w:p>
    <w:p w14:paraId="1004D644" w14:textId="77777777" w:rsidR="00ED0CF9" w:rsidRDefault="00ED0CF9" w:rsidP="00892C99">
      <w:pPr>
        <w:spacing w:before="120" w:after="120"/>
        <w:ind w:firstLine="720"/>
        <w:contextualSpacing/>
      </w:pPr>
    </w:p>
    <w:p w14:paraId="4C7D79A8" w14:textId="337A0E63" w:rsidR="009032DC" w:rsidRDefault="00726250" w:rsidP="0051666E">
      <w:pPr>
        <w:spacing w:before="120" w:after="120"/>
        <w:ind w:firstLine="720"/>
        <w:contextualSpacing/>
      </w:pPr>
      <w:r w:rsidRPr="00ED0CF9">
        <w:t xml:space="preserve">14.  </w:t>
      </w:r>
      <w:r w:rsidR="00313E57" w:rsidRPr="00ED0CF9">
        <w:rPr>
          <w:u w:val="single"/>
        </w:rPr>
        <w:t>Estimated costs to the</w:t>
      </w:r>
      <w:r w:rsidR="0064561D">
        <w:rPr>
          <w:u w:val="single"/>
        </w:rPr>
        <w:t xml:space="preserve"> federal government</w:t>
      </w:r>
      <w:r w:rsidR="00421960" w:rsidRPr="00ED0CF9">
        <w:t>.</w:t>
      </w:r>
      <w:r w:rsidR="00313E57" w:rsidRPr="00ED0CF9">
        <w:t xml:space="preserve">  </w:t>
      </w:r>
      <w:r w:rsidR="00E522F4" w:rsidRPr="00E522F4">
        <w:t xml:space="preserve">No cost to the </w:t>
      </w:r>
      <w:r w:rsidR="0064561D">
        <w:t xml:space="preserve">Board or the federal </w:t>
      </w:r>
      <w:r w:rsidR="00E522F4" w:rsidRPr="00E522F4">
        <w:t>government</w:t>
      </w:r>
      <w:r w:rsidR="0064561D">
        <w:t xml:space="preserve"> generally</w:t>
      </w:r>
      <w:r w:rsidR="00E522F4" w:rsidRPr="00E522F4">
        <w:t xml:space="preserve"> is anticipated from this collection because </w:t>
      </w:r>
      <w:r w:rsidR="0064561D">
        <w:t>the collection</w:t>
      </w:r>
      <w:r w:rsidR="00E522F4" w:rsidRPr="00E522F4">
        <w:t xml:space="preserve"> consists of notice to parties other than the government, and nothing </w:t>
      </w:r>
      <w:r w:rsidR="001B14C0">
        <w:t>is</w:t>
      </w:r>
      <w:r w:rsidR="00E522F4" w:rsidRPr="00E522F4">
        <w:t xml:space="preserve"> collected by the agency.</w:t>
      </w:r>
    </w:p>
    <w:p w14:paraId="13D20025" w14:textId="77777777" w:rsidR="00AC585D" w:rsidRPr="00ED0CF9" w:rsidRDefault="00AC585D" w:rsidP="0051666E">
      <w:pPr>
        <w:spacing w:before="120" w:after="120"/>
        <w:ind w:firstLine="720"/>
        <w:contextualSpacing/>
      </w:pPr>
    </w:p>
    <w:p w14:paraId="00F46F99" w14:textId="0842AE51" w:rsidR="00CA011E" w:rsidRPr="00ED0CF9" w:rsidRDefault="00726250" w:rsidP="00A36F32">
      <w:pPr>
        <w:spacing w:before="120" w:after="120"/>
        <w:ind w:firstLine="720"/>
        <w:contextualSpacing/>
      </w:pPr>
      <w:r w:rsidRPr="00ED0CF9">
        <w:t xml:space="preserve">15.  </w:t>
      </w:r>
      <w:r w:rsidR="005E5C69" w:rsidRPr="00ED0CF9">
        <w:rPr>
          <w:u w:val="single"/>
        </w:rPr>
        <w:t>Changes in burden hours</w:t>
      </w:r>
      <w:r w:rsidR="005E5C69" w:rsidRPr="00ED0CF9">
        <w:t xml:space="preserve">.  </w:t>
      </w:r>
      <w:r w:rsidR="00ED7224">
        <w:t xml:space="preserve">The requested number of burden hours is significantly lower compared to the previous </w:t>
      </w:r>
      <w:r w:rsidR="00A0459E">
        <w:t xml:space="preserve">Information Collection Request due to the initial burden </w:t>
      </w:r>
      <w:r w:rsidR="008873E1">
        <w:t>associated with a new collection</w:t>
      </w:r>
      <w:r w:rsidR="00BB2B5E">
        <w:t xml:space="preserve">.  Because this is no longer a new collection, carriers will only </w:t>
      </w:r>
      <w:r w:rsidR="00887FE5">
        <w:t>be required</w:t>
      </w:r>
      <w:r w:rsidR="00BB2B5E">
        <w:t xml:space="preserve"> to serve </w:t>
      </w:r>
      <w:r w:rsidR="00887FE5">
        <w:t>the</w:t>
      </w:r>
      <w:r w:rsidR="00BB2B5E">
        <w:t xml:space="preserve"> notice on new customers</w:t>
      </w:r>
      <w:r w:rsidR="00887FE5">
        <w:t xml:space="preserve"> and customers with materially changed tariffs</w:t>
      </w:r>
      <w:r w:rsidR="00BB2B5E">
        <w:t>, not all existing customers.</w:t>
      </w:r>
    </w:p>
    <w:p w14:paraId="244D17DD" w14:textId="77777777" w:rsidR="00726250" w:rsidRPr="00ED0CF9" w:rsidRDefault="00726250" w:rsidP="0051666E">
      <w:pPr>
        <w:spacing w:before="120" w:after="120"/>
        <w:ind w:firstLine="720"/>
        <w:contextualSpacing/>
      </w:pPr>
    </w:p>
    <w:p w14:paraId="39EA6A3C" w14:textId="6593600F" w:rsidR="002E6511" w:rsidRPr="00ED0CF9" w:rsidRDefault="00726250" w:rsidP="0051666E">
      <w:pPr>
        <w:spacing w:before="120" w:after="120"/>
        <w:ind w:firstLine="720"/>
        <w:contextualSpacing/>
      </w:pPr>
      <w:r w:rsidRPr="00ED0CF9">
        <w:t xml:space="preserve">16.  </w:t>
      </w:r>
      <w:r w:rsidR="00460E62" w:rsidRPr="00ED0CF9">
        <w:rPr>
          <w:u w:val="single"/>
        </w:rPr>
        <w:t>Plans for tabulation and publication</w:t>
      </w:r>
      <w:r w:rsidR="00421960" w:rsidRPr="00ED0CF9">
        <w:t>.</w:t>
      </w:r>
      <w:r w:rsidR="00460E62" w:rsidRPr="00ED0CF9">
        <w:t xml:space="preserve">  </w:t>
      </w:r>
      <w:r w:rsidR="00DC4784" w:rsidRPr="00DC4784">
        <w:t>Because the agency will not be collecting this information, there are no plans</w:t>
      </w:r>
      <w:r w:rsidR="00BB2B5E">
        <w:t xml:space="preserve"> for the agency</w:t>
      </w:r>
      <w:r w:rsidR="00DC4784" w:rsidRPr="00DC4784">
        <w:t xml:space="preserve"> to publish the information.</w:t>
      </w:r>
    </w:p>
    <w:p w14:paraId="5BC5AA28" w14:textId="77777777" w:rsidR="005C62B6" w:rsidRPr="00ED0CF9" w:rsidRDefault="005C62B6" w:rsidP="0051666E">
      <w:pPr>
        <w:spacing w:before="120" w:after="120"/>
        <w:ind w:firstLine="720"/>
        <w:contextualSpacing/>
      </w:pPr>
    </w:p>
    <w:p w14:paraId="2376C70C" w14:textId="2AB56C0B" w:rsidR="00726250" w:rsidRPr="00ED0CF9" w:rsidRDefault="00726250" w:rsidP="00892C99">
      <w:pPr>
        <w:ind w:firstLine="720"/>
      </w:pPr>
      <w:r w:rsidRPr="00ED0CF9">
        <w:t xml:space="preserve">17.  </w:t>
      </w:r>
      <w:r w:rsidR="00884BA4" w:rsidRPr="00ED0CF9">
        <w:rPr>
          <w:u w:val="single"/>
        </w:rPr>
        <w:t>Display of expiration date for OMB approval</w:t>
      </w:r>
      <w:r w:rsidR="00884BA4" w:rsidRPr="00ED0CF9">
        <w:t xml:space="preserve">.  </w:t>
      </w:r>
      <w:r w:rsidR="004F444B" w:rsidRPr="004F444B">
        <w:t xml:space="preserve">The new expiration date for this collection will be published in the </w:t>
      </w:r>
      <w:r w:rsidR="004F444B" w:rsidRPr="00115EA7">
        <w:rPr>
          <w:u w:val="single"/>
        </w:rPr>
        <w:t>Federal Register</w:t>
      </w:r>
      <w:r w:rsidR="004F444B" w:rsidRPr="004F444B">
        <w:t xml:space="preserve"> when the collection is approved by OMB.</w:t>
      </w:r>
    </w:p>
    <w:p w14:paraId="21B5D279" w14:textId="77777777" w:rsidR="00884BA4" w:rsidRPr="00ED0CF9" w:rsidRDefault="00884BA4" w:rsidP="0051666E">
      <w:pPr>
        <w:spacing w:before="120" w:after="120"/>
        <w:ind w:firstLine="720"/>
        <w:contextualSpacing/>
      </w:pPr>
    </w:p>
    <w:p w14:paraId="5E9E1785" w14:textId="77777777" w:rsidR="00726250" w:rsidRPr="00ED0CF9" w:rsidRDefault="00726250" w:rsidP="0051666E">
      <w:pPr>
        <w:spacing w:before="120" w:after="120"/>
        <w:ind w:firstLine="720"/>
        <w:contextualSpacing/>
      </w:pPr>
      <w:r w:rsidRPr="00ED0CF9">
        <w:t xml:space="preserve">18.  </w:t>
      </w:r>
      <w:r w:rsidR="00884BA4" w:rsidRPr="00ED0CF9">
        <w:rPr>
          <w:u w:val="single"/>
        </w:rPr>
        <w:t>Exceptions to Certification Statement</w:t>
      </w:r>
      <w:r w:rsidR="00884BA4" w:rsidRPr="00ED0CF9">
        <w:t xml:space="preserve">.  </w:t>
      </w:r>
      <w:r w:rsidRPr="00ED0CF9">
        <w:t>Not applicable</w:t>
      </w:r>
      <w:r w:rsidR="00754529" w:rsidRPr="00ED0CF9">
        <w:t>.</w:t>
      </w:r>
    </w:p>
    <w:p w14:paraId="0A0E898E" w14:textId="77777777" w:rsidR="00726250" w:rsidRPr="00ED0CF9" w:rsidRDefault="00726250" w:rsidP="0051666E">
      <w:pPr>
        <w:spacing w:before="120" w:after="120"/>
        <w:contextualSpacing/>
        <w:rPr>
          <w:b/>
          <w:bCs/>
          <w:u w:val="single"/>
        </w:rPr>
      </w:pPr>
    </w:p>
    <w:p w14:paraId="00D83AB4" w14:textId="77777777" w:rsidR="00726250" w:rsidRPr="00ED0CF9" w:rsidRDefault="00726250" w:rsidP="0051666E">
      <w:pPr>
        <w:spacing w:before="120" w:after="120"/>
        <w:contextualSpacing/>
        <w:rPr>
          <w:b/>
          <w:bCs/>
          <w:u w:val="single"/>
        </w:rPr>
      </w:pPr>
    </w:p>
    <w:p w14:paraId="6541E501" w14:textId="77777777" w:rsidR="00726250" w:rsidRPr="00ED0CF9" w:rsidRDefault="00726250" w:rsidP="0051666E">
      <w:pPr>
        <w:spacing w:before="120" w:after="120"/>
        <w:contextualSpacing/>
        <w:rPr>
          <w:b/>
          <w:bCs/>
          <w:u w:val="single"/>
        </w:rPr>
      </w:pPr>
      <w:r w:rsidRPr="00ED0CF9">
        <w:rPr>
          <w:b/>
          <w:bCs/>
        </w:rPr>
        <w:t xml:space="preserve">B.  </w:t>
      </w:r>
      <w:r w:rsidRPr="00ED0CF9">
        <w:rPr>
          <w:b/>
          <w:bCs/>
          <w:u w:val="single"/>
        </w:rPr>
        <w:t>Collections of Information Employing Statistical Methods</w:t>
      </w:r>
      <w:r w:rsidR="00421960" w:rsidRPr="00ED0CF9">
        <w:rPr>
          <w:b/>
          <w:bCs/>
        </w:rPr>
        <w:t>.</w:t>
      </w:r>
    </w:p>
    <w:p w14:paraId="09C5F634" w14:textId="77777777" w:rsidR="00726250" w:rsidRPr="00ED0CF9" w:rsidRDefault="00726250" w:rsidP="0051666E">
      <w:pPr>
        <w:spacing w:before="120" w:after="120"/>
        <w:contextualSpacing/>
      </w:pPr>
    </w:p>
    <w:p w14:paraId="7D996D77" w14:textId="77777777" w:rsidR="00903CCF" w:rsidRPr="00ED0CF9" w:rsidRDefault="00726250" w:rsidP="00754529">
      <w:pPr>
        <w:spacing w:before="120" w:after="120"/>
        <w:ind w:firstLine="720"/>
        <w:contextualSpacing/>
      </w:pPr>
      <w:r w:rsidRPr="00ED0CF9">
        <w:t>Not applicable</w:t>
      </w:r>
      <w:r w:rsidR="00754529" w:rsidRPr="00ED0CF9">
        <w:t>.</w:t>
      </w:r>
    </w:p>
    <w:sectPr w:rsidR="00903CCF" w:rsidRPr="00ED0CF9" w:rsidSect="00560D36">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007591" w14:textId="77777777" w:rsidR="00E0456E" w:rsidRDefault="00E0456E" w:rsidP="00781746">
      <w:r>
        <w:separator/>
      </w:r>
    </w:p>
  </w:endnote>
  <w:endnote w:type="continuationSeparator" w:id="0">
    <w:p w14:paraId="6C0F5586" w14:textId="77777777" w:rsidR="00E0456E" w:rsidRDefault="00E0456E" w:rsidP="00781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hruti">
    <w:panose1 w:val="020B0502040204020203"/>
    <w:charset w:val="01"/>
    <w:family w:val="roman"/>
    <w:notTrueType/>
    <w:pitch w:val="variable"/>
  </w:font>
  <w:font w:name="Yu Gothic Light">
    <w:altName w:val="MS Gothic"/>
    <w:charset w:val="80"/>
    <w:family w:val="swiss"/>
    <w:pitch w:val="variable"/>
    <w:sig w:usb0="00000000"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MS Mincho"/>
    <w:charset w:val="80"/>
    <w:family w:val="roman"/>
    <w:pitch w:val="variable"/>
    <w:sig w:usb0="00000000" w:usb1="2AC7FCF0"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6A73A" w14:textId="220D5616" w:rsidR="0064561D" w:rsidRDefault="0064561D">
    <w:pPr>
      <w:pStyle w:val="Footer"/>
      <w:jc w:val="center"/>
    </w:pPr>
    <w:r>
      <w:fldChar w:fldCharType="begin"/>
    </w:r>
    <w:r>
      <w:instrText xml:space="preserve"> PAGE   \* MERGEFORMAT </w:instrText>
    </w:r>
    <w:r>
      <w:fldChar w:fldCharType="separate"/>
    </w:r>
    <w:r w:rsidR="00122308">
      <w:rPr>
        <w:noProof/>
      </w:rPr>
      <w:t>4</w:t>
    </w:r>
    <w:r>
      <w:rPr>
        <w:noProof/>
      </w:rPr>
      <w:fldChar w:fldCharType="end"/>
    </w:r>
  </w:p>
  <w:p w14:paraId="10776FB7" w14:textId="77777777" w:rsidR="0064561D" w:rsidRDefault="006456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CD86B0" w14:textId="77777777" w:rsidR="00E0456E" w:rsidRDefault="00E0456E" w:rsidP="00781746">
      <w:r>
        <w:separator/>
      </w:r>
    </w:p>
  </w:footnote>
  <w:footnote w:type="continuationSeparator" w:id="0">
    <w:p w14:paraId="713E50B7" w14:textId="77777777" w:rsidR="00E0456E" w:rsidRDefault="00E0456E" w:rsidP="007817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078D8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D1C6161"/>
    <w:multiLevelType w:val="hybridMultilevel"/>
    <w:tmpl w:val="7E98278E"/>
    <w:lvl w:ilvl="0" w:tplc="E1C4C9E4">
      <w:start w:val="1"/>
      <w:numFmt w:val="decimal"/>
      <w:lvlText w:val="(%1)"/>
      <w:lvlJc w:val="left"/>
      <w:pPr>
        <w:ind w:left="1080" w:hanging="360"/>
      </w:pPr>
      <w:rPr>
        <w:rFonts w:hint="default"/>
        <w:i w:val="0"/>
        <w:vertAlign w:val="baseli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62F279B"/>
    <w:multiLevelType w:val="hybridMultilevel"/>
    <w:tmpl w:val="1884EF16"/>
    <w:lvl w:ilvl="0" w:tplc="700860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CCF"/>
    <w:rsid w:val="00007BE9"/>
    <w:rsid w:val="0001284C"/>
    <w:rsid w:val="000145AA"/>
    <w:rsid w:val="000145EF"/>
    <w:rsid w:val="00014FF0"/>
    <w:rsid w:val="00020D3A"/>
    <w:rsid w:val="00021485"/>
    <w:rsid w:val="000235BE"/>
    <w:rsid w:val="0002708A"/>
    <w:rsid w:val="000276E0"/>
    <w:rsid w:val="00027724"/>
    <w:rsid w:val="00027A89"/>
    <w:rsid w:val="000369EC"/>
    <w:rsid w:val="00040FCB"/>
    <w:rsid w:val="00046548"/>
    <w:rsid w:val="0004797E"/>
    <w:rsid w:val="00050220"/>
    <w:rsid w:val="000513FE"/>
    <w:rsid w:val="00057A1B"/>
    <w:rsid w:val="00062343"/>
    <w:rsid w:val="00062FB1"/>
    <w:rsid w:val="00065C02"/>
    <w:rsid w:val="00070864"/>
    <w:rsid w:val="00072677"/>
    <w:rsid w:val="000748EA"/>
    <w:rsid w:val="00074B95"/>
    <w:rsid w:val="00074E4B"/>
    <w:rsid w:val="00076A63"/>
    <w:rsid w:val="0007703C"/>
    <w:rsid w:val="0008363E"/>
    <w:rsid w:val="000944CD"/>
    <w:rsid w:val="00094E10"/>
    <w:rsid w:val="000976DC"/>
    <w:rsid w:val="000A3FF0"/>
    <w:rsid w:val="000A73A0"/>
    <w:rsid w:val="000B15C5"/>
    <w:rsid w:val="000B40D1"/>
    <w:rsid w:val="000C22F2"/>
    <w:rsid w:val="000D090E"/>
    <w:rsid w:val="000D3C53"/>
    <w:rsid w:val="000E3466"/>
    <w:rsid w:val="000E5330"/>
    <w:rsid w:val="000E6989"/>
    <w:rsid w:val="000F0457"/>
    <w:rsid w:val="000F71F2"/>
    <w:rsid w:val="001032C5"/>
    <w:rsid w:val="00111394"/>
    <w:rsid w:val="00115EA7"/>
    <w:rsid w:val="001160AF"/>
    <w:rsid w:val="00117377"/>
    <w:rsid w:val="00122308"/>
    <w:rsid w:val="001252E6"/>
    <w:rsid w:val="00127125"/>
    <w:rsid w:val="001329CA"/>
    <w:rsid w:val="00135508"/>
    <w:rsid w:val="00137559"/>
    <w:rsid w:val="00140E1C"/>
    <w:rsid w:val="00146540"/>
    <w:rsid w:val="00152D12"/>
    <w:rsid w:val="00161D02"/>
    <w:rsid w:val="00173F0E"/>
    <w:rsid w:val="00177218"/>
    <w:rsid w:val="001911B9"/>
    <w:rsid w:val="00191AB3"/>
    <w:rsid w:val="00191D55"/>
    <w:rsid w:val="001920FD"/>
    <w:rsid w:val="00193613"/>
    <w:rsid w:val="001A0A97"/>
    <w:rsid w:val="001A1CD4"/>
    <w:rsid w:val="001A1FF9"/>
    <w:rsid w:val="001A20CA"/>
    <w:rsid w:val="001A49D8"/>
    <w:rsid w:val="001A5E9B"/>
    <w:rsid w:val="001B0ACE"/>
    <w:rsid w:val="001B14C0"/>
    <w:rsid w:val="001B2607"/>
    <w:rsid w:val="001B301C"/>
    <w:rsid w:val="001C3FB4"/>
    <w:rsid w:val="001C5EF8"/>
    <w:rsid w:val="001C6B55"/>
    <w:rsid w:val="001E3EC2"/>
    <w:rsid w:val="001F21DB"/>
    <w:rsid w:val="001F7133"/>
    <w:rsid w:val="00210EF1"/>
    <w:rsid w:val="002114A6"/>
    <w:rsid w:val="00211D9C"/>
    <w:rsid w:val="002165EF"/>
    <w:rsid w:val="00217E0B"/>
    <w:rsid w:val="00222BE2"/>
    <w:rsid w:val="00224CDD"/>
    <w:rsid w:val="00226588"/>
    <w:rsid w:val="0023181B"/>
    <w:rsid w:val="002504F9"/>
    <w:rsid w:val="002511FC"/>
    <w:rsid w:val="002529A1"/>
    <w:rsid w:val="00252B36"/>
    <w:rsid w:val="00262263"/>
    <w:rsid w:val="00265E0A"/>
    <w:rsid w:val="00272278"/>
    <w:rsid w:val="00272B90"/>
    <w:rsid w:val="002829C6"/>
    <w:rsid w:val="002834B2"/>
    <w:rsid w:val="00285B36"/>
    <w:rsid w:val="002873C1"/>
    <w:rsid w:val="00290F01"/>
    <w:rsid w:val="00292A83"/>
    <w:rsid w:val="002A1577"/>
    <w:rsid w:val="002A402D"/>
    <w:rsid w:val="002A785A"/>
    <w:rsid w:val="002B0342"/>
    <w:rsid w:val="002B2640"/>
    <w:rsid w:val="002B270C"/>
    <w:rsid w:val="002B2EB9"/>
    <w:rsid w:val="002B33ED"/>
    <w:rsid w:val="002B45DC"/>
    <w:rsid w:val="002B4F5E"/>
    <w:rsid w:val="002B5647"/>
    <w:rsid w:val="002B681F"/>
    <w:rsid w:val="002C0C7A"/>
    <w:rsid w:val="002C1E22"/>
    <w:rsid w:val="002D1C92"/>
    <w:rsid w:val="002D3FF2"/>
    <w:rsid w:val="002D595A"/>
    <w:rsid w:val="002D67AD"/>
    <w:rsid w:val="002E349A"/>
    <w:rsid w:val="002E6511"/>
    <w:rsid w:val="00306706"/>
    <w:rsid w:val="00306CA3"/>
    <w:rsid w:val="00310CF4"/>
    <w:rsid w:val="00311CA5"/>
    <w:rsid w:val="00313E57"/>
    <w:rsid w:val="00320B08"/>
    <w:rsid w:val="00320B65"/>
    <w:rsid w:val="003213BB"/>
    <w:rsid w:val="00323245"/>
    <w:rsid w:val="003256F2"/>
    <w:rsid w:val="00326872"/>
    <w:rsid w:val="0034167E"/>
    <w:rsid w:val="00343233"/>
    <w:rsid w:val="00347D6A"/>
    <w:rsid w:val="00350F6C"/>
    <w:rsid w:val="0035177E"/>
    <w:rsid w:val="00360EEA"/>
    <w:rsid w:val="003647CA"/>
    <w:rsid w:val="00365159"/>
    <w:rsid w:val="003651BC"/>
    <w:rsid w:val="003727CF"/>
    <w:rsid w:val="00373A21"/>
    <w:rsid w:val="003741E0"/>
    <w:rsid w:val="00376002"/>
    <w:rsid w:val="003875F5"/>
    <w:rsid w:val="003913A8"/>
    <w:rsid w:val="00395731"/>
    <w:rsid w:val="003A00D4"/>
    <w:rsid w:val="003A07AB"/>
    <w:rsid w:val="003C50EC"/>
    <w:rsid w:val="003D358F"/>
    <w:rsid w:val="003D73B5"/>
    <w:rsid w:val="003E519B"/>
    <w:rsid w:val="00400691"/>
    <w:rsid w:val="00411B93"/>
    <w:rsid w:val="004120D1"/>
    <w:rsid w:val="00414BCE"/>
    <w:rsid w:val="00421960"/>
    <w:rsid w:val="00426080"/>
    <w:rsid w:val="00437DC0"/>
    <w:rsid w:val="0044138D"/>
    <w:rsid w:val="0044345D"/>
    <w:rsid w:val="00445754"/>
    <w:rsid w:val="00450BCD"/>
    <w:rsid w:val="0045242A"/>
    <w:rsid w:val="00453D87"/>
    <w:rsid w:val="00454859"/>
    <w:rsid w:val="00454EDA"/>
    <w:rsid w:val="00455478"/>
    <w:rsid w:val="004572FF"/>
    <w:rsid w:val="0046001E"/>
    <w:rsid w:val="00460A78"/>
    <w:rsid w:val="00460E62"/>
    <w:rsid w:val="00466DB6"/>
    <w:rsid w:val="00473D19"/>
    <w:rsid w:val="004809B7"/>
    <w:rsid w:val="00481A3A"/>
    <w:rsid w:val="004848F9"/>
    <w:rsid w:val="00487127"/>
    <w:rsid w:val="00492262"/>
    <w:rsid w:val="0049349B"/>
    <w:rsid w:val="004A1225"/>
    <w:rsid w:val="004A2CE3"/>
    <w:rsid w:val="004A4134"/>
    <w:rsid w:val="004A4844"/>
    <w:rsid w:val="004A4C5F"/>
    <w:rsid w:val="004A75F9"/>
    <w:rsid w:val="004B0409"/>
    <w:rsid w:val="004B363E"/>
    <w:rsid w:val="004B544C"/>
    <w:rsid w:val="004B5809"/>
    <w:rsid w:val="004C0396"/>
    <w:rsid w:val="004C2786"/>
    <w:rsid w:val="004C3A4F"/>
    <w:rsid w:val="004C3A97"/>
    <w:rsid w:val="004C6ABC"/>
    <w:rsid w:val="004C6B8F"/>
    <w:rsid w:val="004C7B34"/>
    <w:rsid w:val="004D1FAE"/>
    <w:rsid w:val="004E071F"/>
    <w:rsid w:val="004E0958"/>
    <w:rsid w:val="004E52C9"/>
    <w:rsid w:val="004E5F07"/>
    <w:rsid w:val="004F444B"/>
    <w:rsid w:val="00505CD7"/>
    <w:rsid w:val="0050625C"/>
    <w:rsid w:val="00511169"/>
    <w:rsid w:val="00513D02"/>
    <w:rsid w:val="00515429"/>
    <w:rsid w:val="0051666E"/>
    <w:rsid w:val="00516892"/>
    <w:rsid w:val="00520C6D"/>
    <w:rsid w:val="0052359E"/>
    <w:rsid w:val="0052625D"/>
    <w:rsid w:val="00527D54"/>
    <w:rsid w:val="005315B6"/>
    <w:rsid w:val="005375A9"/>
    <w:rsid w:val="00543F21"/>
    <w:rsid w:val="005530B5"/>
    <w:rsid w:val="00553295"/>
    <w:rsid w:val="00555404"/>
    <w:rsid w:val="00557158"/>
    <w:rsid w:val="00560D36"/>
    <w:rsid w:val="00562F36"/>
    <w:rsid w:val="005737E1"/>
    <w:rsid w:val="00577DCC"/>
    <w:rsid w:val="00580FAA"/>
    <w:rsid w:val="00584059"/>
    <w:rsid w:val="00584E25"/>
    <w:rsid w:val="0058571A"/>
    <w:rsid w:val="0058720F"/>
    <w:rsid w:val="005964F5"/>
    <w:rsid w:val="005969D9"/>
    <w:rsid w:val="005A5D6A"/>
    <w:rsid w:val="005B5DE1"/>
    <w:rsid w:val="005C62B6"/>
    <w:rsid w:val="005D2AA7"/>
    <w:rsid w:val="005D5E5F"/>
    <w:rsid w:val="005D6084"/>
    <w:rsid w:val="005D67E8"/>
    <w:rsid w:val="005E19AB"/>
    <w:rsid w:val="005E4D49"/>
    <w:rsid w:val="005E5C69"/>
    <w:rsid w:val="005E62FF"/>
    <w:rsid w:val="005F31F6"/>
    <w:rsid w:val="005F41B0"/>
    <w:rsid w:val="00602CD2"/>
    <w:rsid w:val="00607389"/>
    <w:rsid w:val="00617E3B"/>
    <w:rsid w:val="0062559F"/>
    <w:rsid w:val="00626EBC"/>
    <w:rsid w:val="00627148"/>
    <w:rsid w:val="006271AD"/>
    <w:rsid w:val="00637A6D"/>
    <w:rsid w:val="00637B10"/>
    <w:rsid w:val="006409F7"/>
    <w:rsid w:val="006436C6"/>
    <w:rsid w:val="00643F4C"/>
    <w:rsid w:val="006454AD"/>
    <w:rsid w:val="0064561D"/>
    <w:rsid w:val="00645E03"/>
    <w:rsid w:val="0065185B"/>
    <w:rsid w:val="00653BDC"/>
    <w:rsid w:val="00653E86"/>
    <w:rsid w:val="006610EA"/>
    <w:rsid w:val="00661A77"/>
    <w:rsid w:val="00664543"/>
    <w:rsid w:val="00672CF6"/>
    <w:rsid w:val="006815FA"/>
    <w:rsid w:val="00682739"/>
    <w:rsid w:val="00684331"/>
    <w:rsid w:val="00685609"/>
    <w:rsid w:val="0069229D"/>
    <w:rsid w:val="006C605A"/>
    <w:rsid w:val="006C6227"/>
    <w:rsid w:val="006C6ADE"/>
    <w:rsid w:val="006C7845"/>
    <w:rsid w:val="006D032E"/>
    <w:rsid w:val="006D0E6B"/>
    <w:rsid w:val="006D1575"/>
    <w:rsid w:val="006D27B7"/>
    <w:rsid w:val="006D4F76"/>
    <w:rsid w:val="006D5280"/>
    <w:rsid w:val="006D56D2"/>
    <w:rsid w:val="006D5726"/>
    <w:rsid w:val="006E00FC"/>
    <w:rsid w:val="006E0714"/>
    <w:rsid w:val="006E72DB"/>
    <w:rsid w:val="006F6737"/>
    <w:rsid w:val="00702AB8"/>
    <w:rsid w:val="00702D96"/>
    <w:rsid w:val="00711A76"/>
    <w:rsid w:val="007134A0"/>
    <w:rsid w:val="00713B18"/>
    <w:rsid w:val="00716C6B"/>
    <w:rsid w:val="00724ED2"/>
    <w:rsid w:val="00726250"/>
    <w:rsid w:val="0073025B"/>
    <w:rsid w:val="00736298"/>
    <w:rsid w:val="00736A93"/>
    <w:rsid w:val="00736D40"/>
    <w:rsid w:val="007407EF"/>
    <w:rsid w:val="00741558"/>
    <w:rsid w:val="0074347D"/>
    <w:rsid w:val="007437E5"/>
    <w:rsid w:val="007458C0"/>
    <w:rsid w:val="0075091D"/>
    <w:rsid w:val="00754529"/>
    <w:rsid w:val="00754DA3"/>
    <w:rsid w:val="00756B4F"/>
    <w:rsid w:val="00766D12"/>
    <w:rsid w:val="00772F0F"/>
    <w:rsid w:val="00773B8C"/>
    <w:rsid w:val="00775B06"/>
    <w:rsid w:val="00777314"/>
    <w:rsid w:val="00777420"/>
    <w:rsid w:val="0078023B"/>
    <w:rsid w:val="00781746"/>
    <w:rsid w:val="00783008"/>
    <w:rsid w:val="00783CC8"/>
    <w:rsid w:val="0078455C"/>
    <w:rsid w:val="007858DD"/>
    <w:rsid w:val="0079048D"/>
    <w:rsid w:val="007955C1"/>
    <w:rsid w:val="007A2AAD"/>
    <w:rsid w:val="007A2BFF"/>
    <w:rsid w:val="007A66D9"/>
    <w:rsid w:val="007B2CA8"/>
    <w:rsid w:val="007B444C"/>
    <w:rsid w:val="007B6766"/>
    <w:rsid w:val="007C3C5B"/>
    <w:rsid w:val="007C514C"/>
    <w:rsid w:val="007C6CFD"/>
    <w:rsid w:val="007C74BD"/>
    <w:rsid w:val="007E384A"/>
    <w:rsid w:val="007E4AEE"/>
    <w:rsid w:val="007E6A70"/>
    <w:rsid w:val="007F481F"/>
    <w:rsid w:val="008108A3"/>
    <w:rsid w:val="008117C7"/>
    <w:rsid w:val="00815F04"/>
    <w:rsid w:val="00816FCE"/>
    <w:rsid w:val="0082197B"/>
    <w:rsid w:val="0082260A"/>
    <w:rsid w:val="00823285"/>
    <w:rsid w:val="00825084"/>
    <w:rsid w:val="00827B45"/>
    <w:rsid w:val="00832A3A"/>
    <w:rsid w:val="008340A9"/>
    <w:rsid w:val="008341BB"/>
    <w:rsid w:val="00836DB5"/>
    <w:rsid w:val="00841AAA"/>
    <w:rsid w:val="00845056"/>
    <w:rsid w:val="00845FDF"/>
    <w:rsid w:val="00846BD7"/>
    <w:rsid w:val="008473FE"/>
    <w:rsid w:val="00847C1F"/>
    <w:rsid w:val="00850C93"/>
    <w:rsid w:val="008527EB"/>
    <w:rsid w:val="0085359B"/>
    <w:rsid w:val="00862A2C"/>
    <w:rsid w:val="00863571"/>
    <w:rsid w:val="008713A4"/>
    <w:rsid w:val="00873AC5"/>
    <w:rsid w:val="00883CE8"/>
    <w:rsid w:val="00884BA4"/>
    <w:rsid w:val="00885B53"/>
    <w:rsid w:val="008873E1"/>
    <w:rsid w:val="00887FE5"/>
    <w:rsid w:val="0089052A"/>
    <w:rsid w:val="00892C99"/>
    <w:rsid w:val="00893167"/>
    <w:rsid w:val="00893EAC"/>
    <w:rsid w:val="00894135"/>
    <w:rsid w:val="008946BB"/>
    <w:rsid w:val="00896529"/>
    <w:rsid w:val="00896A54"/>
    <w:rsid w:val="008A06E8"/>
    <w:rsid w:val="008A3D5F"/>
    <w:rsid w:val="008A7F47"/>
    <w:rsid w:val="008B5E99"/>
    <w:rsid w:val="008C7C59"/>
    <w:rsid w:val="008D5890"/>
    <w:rsid w:val="008E161C"/>
    <w:rsid w:val="008E5853"/>
    <w:rsid w:val="008E58AF"/>
    <w:rsid w:val="008E700A"/>
    <w:rsid w:val="008E778C"/>
    <w:rsid w:val="008F1332"/>
    <w:rsid w:val="008F2B87"/>
    <w:rsid w:val="009032DC"/>
    <w:rsid w:val="00903609"/>
    <w:rsid w:val="00903CCF"/>
    <w:rsid w:val="009127D3"/>
    <w:rsid w:val="00914524"/>
    <w:rsid w:val="0092135B"/>
    <w:rsid w:val="00921FD6"/>
    <w:rsid w:val="00925110"/>
    <w:rsid w:val="00932ADC"/>
    <w:rsid w:val="00937586"/>
    <w:rsid w:val="00941B62"/>
    <w:rsid w:val="0095119C"/>
    <w:rsid w:val="00951C13"/>
    <w:rsid w:val="00960A8F"/>
    <w:rsid w:val="00963E20"/>
    <w:rsid w:val="009653B0"/>
    <w:rsid w:val="009705A7"/>
    <w:rsid w:val="00972829"/>
    <w:rsid w:val="009762F2"/>
    <w:rsid w:val="00976304"/>
    <w:rsid w:val="00976E30"/>
    <w:rsid w:val="00980018"/>
    <w:rsid w:val="00987D9E"/>
    <w:rsid w:val="00994823"/>
    <w:rsid w:val="009967B1"/>
    <w:rsid w:val="00996880"/>
    <w:rsid w:val="009A1038"/>
    <w:rsid w:val="009A1274"/>
    <w:rsid w:val="009A1EA1"/>
    <w:rsid w:val="009B37EF"/>
    <w:rsid w:val="009B786F"/>
    <w:rsid w:val="009B79F0"/>
    <w:rsid w:val="009C35F7"/>
    <w:rsid w:val="009C451D"/>
    <w:rsid w:val="009C5BAD"/>
    <w:rsid w:val="009D2671"/>
    <w:rsid w:val="009D3017"/>
    <w:rsid w:val="009E0DFE"/>
    <w:rsid w:val="009E1236"/>
    <w:rsid w:val="009E1F02"/>
    <w:rsid w:val="009E69E3"/>
    <w:rsid w:val="009F146E"/>
    <w:rsid w:val="009F16C9"/>
    <w:rsid w:val="009F1A00"/>
    <w:rsid w:val="009F1FAD"/>
    <w:rsid w:val="009F66AF"/>
    <w:rsid w:val="00A024C9"/>
    <w:rsid w:val="00A0459E"/>
    <w:rsid w:val="00A04A80"/>
    <w:rsid w:val="00A05AD6"/>
    <w:rsid w:val="00A101BB"/>
    <w:rsid w:val="00A12686"/>
    <w:rsid w:val="00A2193E"/>
    <w:rsid w:val="00A32290"/>
    <w:rsid w:val="00A3354B"/>
    <w:rsid w:val="00A36F32"/>
    <w:rsid w:val="00A37355"/>
    <w:rsid w:val="00A4434F"/>
    <w:rsid w:val="00A51512"/>
    <w:rsid w:val="00A562B0"/>
    <w:rsid w:val="00A62733"/>
    <w:rsid w:val="00A651F4"/>
    <w:rsid w:val="00A713ED"/>
    <w:rsid w:val="00A7430B"/>
    <w:rsid w:val="00A83A9C"/>
    <w:rsid w:val="00A97C5E"/>
    <w:rsid w:val="00AA104F"/>
    <w:rsid w:val="00AA1B67"/>
    <w:rsid w:val="00AA29CA"/>
    <w:rsid w:val="00AB45CE"/>
    <w:rsid w:val="00AB7A5D"/>
    <w:rsid w:val="00AC0206"/>
    <w:rsid w:val="00AC384C"/>
    <w:rsid w:val="00AC585D"/>
    <w:rsid w:val="00AD7169"/>
    <w:rsid w:val="00AE2772"/>
    <w:rsid w:val="00AE3CDB"/>
    <w:rsid w:val="00AE3F63"/>
    <w:rsid w:val="00AE6039"/>
    <w:rsid w:val="00AE7AD7"/>
    <w:rsid w:val="00AF48AB"/>
    <w:rsid w:val="00B02537"/>
    <w:rsid w:val="00B05061"/>
    <w:rsid w:val="00B07095"/>
    <w:rsid w:val="00B0794B"/>
    <w:rsid w:val="00B10F83"/>
    <w:rsid w:val="00B112C1"/>
    <w:rsid w:val="00B13D10"/>
    <w:rsid w:val="00B16B6D"/>
    <w:rsid w:val="00B217A4"/>
    <w:rsid w:val="00B264A1"/>
    <w:rsid w:val="00B3114F"/>
    <w:rsid w:val="00B31BCA"/>
    <w:rsid w:val="00B34885"/>
    <w:rsid w:val="00B34BDD"/>
    <w:rsid w:val="00B40936"/>
    <w:rsid w:val="00B4234D"/>
    <w:rsid w:val="00B4556C"/>
    <w:rsid w:val="00B46995"/>
    <w:rsid w:val="00B50769"/>
    <w:rsid w:val="00B50F49"/>
    <w:rsid w:val="00B60DFD"/>
    <w:rsid w:val="00B67E61"/>
    <w:rsid w:val="00B71367"/>
    <w:rsid w:val="00B751DE"/>
    <w:rsid w:val="00B7677B"/>
    <w:rsid w:val="00B76B2A"/>
    <w:rsid w:val="00B76D89"/>
    <w:rsid w:val="00B831B9"/>
    <w:rsid w:val="00B83FB3"/>
    <w:rsid w:val="00B85984"/>
    <w:rsid w:val="00B905A2"/>
    <w:rsid w:val="00B91DEC"/>
    <w:rsid w:val="00B92573"/>
    <w:rsid w:val="00B937E1"/>
    <w:rsid w:val="00B941D9"/>
    <w:rsid w:val="00B948A3"/>
    <w:rsid w:val="00B95634"/>
    <w:rsid w:val="00BA3012"/>
    <w:rsid w:val="00BA501B"/>
    <w:rsid w:val="00BA543A"/>
    <w:rsid w:val="00BA568B"/>
    <w:rsid w:val="00BA6A0B"/>
    <w:rsid w:val="00BB0214"/>
    <w:rsid w:val="00BB2B5E"/>
    <w:rsid w:val="00BB6D3E"/>
    <w:rsid w:val="00BC2B55"/>
    <w:rsid w:val="00BD063A"/>
    <w:rsid w:val="00BD0F06"/>
    <w:rsid w:val="00BE1EA2"/>
    <w:rsid w:val="00BE523B"/>
    <w:rsid w:val="00BE58D4"/>
    <w:rsid w:val="00BE5E6F"/>
    <w:rsid w:val="00BE6AE7"/>
    <w:rsid w:val="00BF16AC"/>
    <w:rsid w:val="00BF2253"/>
    <w:rsid w:val="00BF3FCF"/>
    <w:rsid w:val="00C03926"/>
    <w:rsid w:val="00C10E3B"/>
    <w:rsid w:val="00C11B93"/>
    <w:rsid w:val="00C1457C"/>
    <w:rsid w:val="00C16A8C"/>
    <w:rsid w:val="00C24F97"/>
    <w:rsid w:val="00C26830"/>
    <w:rsid w:val="00C34A96"/>
    <w:rsid w:val="00C3523A"/>
    <w:rsid w:val="00C402FA"/>
    <w:rsid w:val="00C409A2"/>
    <w:rsid w:val="00C415BD"/>
    <w:rsid w:val="00C41D03"/>
    <w:rsid w:val="00C41EBD"/>
    <w:rsid w:val="00C43079"/>
    <w:rsid w:val="00C430F5"/>
    <w:rsid w:val="00C51DD0"/>
    <w:rsid w:val="00C61C6F"/>
    <w:rsid w:val="00C6733D"/>
    <w:rsid w:val="00C76B20"/>
    <w:rsid w:val="00C775D9"/>
    <w:rsid w:val="00C77D18"/>
    <w:rsid w:val="00C8345D"/>
    <w:rsid w:val="00C83885"/>
    <w:rsid w:val="00C91B95"/>
    <w:rsid w:val="00C95CAF"/>
    <w:rsid w:val="00CA011E"/>
    <w:rsid w:val="00CA11C9"/>
    <w:rsid w:val="00CA4C65"/>
    <w:rsid w:val="00CA5C13"/>
    <w:rsid w:val="00CB3725"/>
    <w:rsid w:val="00CB46FE"/>
    <w:rsid w:val="00CB7163"/>
    <w:rsid w:val="00CB718F"/>
    <w:rsid w:val="00CC0015"/>
    <w:rsid w:val="00CC16D1"/>
    <w:rsid w:val="00CC6249"/>
    <w:rsid w:val="00CC79C2"/>
    <w:rsid w:val="00CD0E1B"/>
    <w:rsid w:val="00CD100A"/>
    <w:rsid w:val="00CD38B8"/>
    <w:rsid w:val="00CE169A"/>
    <w:rsid w:val="00CE647A"/>
    <w:rsid w:val="00CE663C"/>
    <w:rsid w:val="00CF691D"/>
    <w:rsid w:val="00D0158F"/>
    <w:rsid w:val="00D03E18"/>
    <w:rsid w:val="00D03EBF"/>
    <w:rsid w:val="00D103A7"/>
    <w:rsid w:val="00D13D14"/>
    <w:rsid w:val="00D145B1"/>
    <w:rsid w:val="00D16710"/>
    <w:rsid w:val="00D34258"/>
    <w:rsid w:val="00D353B9"/>
    <w:rsid w:val="00D37CCB"/>
    <w:rsid w:val="00D403FD"/>
    <w:rsid w:val="00D518E8"/>
    <w:rsid w:val="00D53874"/>
    <w:rsid w:val="00D552AA"/>
    <w:rsid w:val="00D565FB"/>
    <w:rsid w:val="00D5790E"/>
    <w:rsid w:val="00D70C9E"/>
    <w:rsid w:val="00D80451"/>
    <w:rsid w:val="00D80931"/>
    <w:rsid w:val="00D82F6E"/>
    <w:rsid w:val="00D85A61"/>
    <w:rsid w:val="00D864B7"/>
    <w:rsid w:val="00D96617"/>
    <w:rsid w:val="00DA1A2B"/>
    <w:rsid w:val="00DA2B01"/>
    <w:rsid w:val="00DA4B5D"/>
    <w:rsid w:val="00DA583F"/>
    <w:rsid w:val="00DB4E9E"/>
    <w:rsid w:val="00DC0546"/>
    <w:rsid w:val="00DC15B3"/>
    <w:rsid w:val="00DC3B03"/>
    <w:rsid w:val="00DC4784"/>
    <w:rsid w:val="00DE2F6C"/>
    <w:rsid w:val="00DE32DC"/>
    <w:rsid w:val="00DF3C1D"/>
    <w:rsid w:val="00DF65AB"/>
    <w:rsid w:val="00DF7E97"/>
    <w:rsid w:val="00E00181"/>
    <w:rsid w:val="00E00AC3"/>
    <w:rsid w:val="00E026B6"/>
    <w:rsid w:val="00E0456E"/>
    <w:rsid w:val="00E04FDA"/>
    <w:rsid w:val="00E065E3"/>
    <w:rsid w:val="00E07AF2"/>
    <w:rsid w:val="00E07B23"/>
    <w:rsid w:val="00E07BB6"/>
    <w:rsid w:val="00E13CA5"/>
    <w:rsid w:val="00E14AD3"/>
    <w:rsid w:val="00E17185"/>
    <w:rsid w:val="00E27DD1"/>
    <w:rsid w:val="00E300A8"/>
    <w:rsid w:val="00E302F4"/>
    <w:rsid w:val="00E51E56"/>
    <w:rsid w:val="00E522F4"/>
    <w:rsid w:val="00E61263"/>
    <w:rsid w:val="00E634D2"/>
    <w:rsid w:val="00E6476D"/>
    <w:rsid w:val="00E66E75"/>
    <w:rsid w:val="00E72F82"/>
    <w:rsid w:val="00E73D0B"/>
    <w:rsid w:val="00E74361"/>
    <w:rsid w:val="00E75942"/>
    <w:rsid w:val="00E77CF8"/>
    <w:rsid w:val="00E80B87"/>
    <w:rsid w:val="00E80ED0"/>
    <w:rsid w:val="00E83277"/>
    <w:rsid w:val="00E83682"/>
    <w:rsid w:val="00E85E44"/>
    <w:rsid w:val="00E9042A"/>
    <w:rsid w:val="00E92F55"/>
    <w:rsid w:val="00E94B1A"/>
    <w:rsid w:val="00E9543A"/>
    <w:rsid w:val="00E95C83"/>
    <w:rsid w:val="00EA2F84"/>
    <w:rsid w:val="00EB26DF"/>
    <w:rsid w:val="00EC031F"/>
    <w:rsid w:val="00EC06D4"/>
    <w:rsid w:val="00EC4E29"/>
    <w:rsid w:val="00EC6BDB"/>
    <w:rsid w:val="00ED0B78"/>
    <w:rsid w:val="00ED0CF9"/>
    <w:rsid w:val="00ED11E8"/>
    <w:rsid w:val="00ED1570"/>
    <w:rsid w:val="00ED7224"/>
    <w:rsid w:val="00EE3B77"/>
    <w:rsid w:val="00EE4633"/>
    <w:rsid w:val="00EE550E"/>
    <w:rsid w:val="00EF177C"/>
    <w:rsid w:val="00F04A6F"/>
    <w:rsid w:val="00F05E21"/>
    <w:rsid w:val="00F10C65"/>
    <w:rsid w:val="00F161FB"/>
    <w:rsid w:val="00F1683D"/>
    <w:rsid w:val="00F16E11"/>
    <w:rsid w:val="00F178E6"/>
    <w:rsid w:val="00F213E2"/>
    <w:rsid w:val="00F31F38"/>
    <w:rsid w:val="00F34BF5"/>
    <w:rsid w:val="00F359DB"/>
    <w:rsid w:val="00F363F7"/>
    <w:rsid w:val="00F418C4"/>
    <w:rsid w:val="00F536EB"/>
    <w:rsid w:val="00F6154F"/>
    <w:rsid w:val="00F632B3"/>
    <w:rsid w:val="00F6351A"/>
    <w:rsid w:val="00F70648"/>
    <w:rsid w:val="00F760CD"/>
    <w:rsid w:val="00F926EA"/>
    <w:rsid w:val="00F93E83"/>
    <w:rsid w:val="00F94ACD"/>
    <w:rsid w:val="00F9722D"/>
    <w:rsid w:val="00FA0FDF"/>
    <w:rsid w:val="00FB3D92"/>
    <w:rsid w:val="00FC4FA7"/>
    <w:rsid w:val="00FE0575"/>
    <w:rsid w:val="032DE9DA"/>
    <w:rsid w:val="1D1D4A41"/>
    <w:rsid w:val="1FB7FEE3"/>
    <w:rsid w:val="26261177"/>
    <w:rsid w:val="3F8486FA"/>
    <w:rsid w:val="60A2F448"/>
    <w:rsid w:val="61731E41"/>
    <w:rsid w:val="65FFBBD1"/>
    <w:rsid w:val="6A442B4E"/>
    <w:rsid w:val="6D9986F9"/>
    <w:rsid w:val="6F6530FB"/>
    <w:rsid w:val="7BCB7C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59F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23245"/>
    <w:pPr>
      <w:widowControl/>
      <w:autoSpaceDE/>
      <w:autoSpaceDN/>
      <w:adjustRightInd/>
    </w:pPr>
    <w:rPr>
      <w:rFonts w:ascii="Tahoma" w:hAnsi="Tahoma" w:cs="Tahoma"/>
      <w:sz w:val="16"/>
      <w:szCs w:val="16"/>
    </w:rPr>
  </w:style>
  <w:style w:type="character" w:styleId="FootnoteReference">
    <w:name w:val="footnote reference"/>
    <w:uiPriority w:val="99"/>
  </w:style>
  <w:style w:type="character" w:styleId="CommentReference">
    <w:name w:val="annotation reference"/>
    <w:rsid w:val="00E80B87"/>
    <w:rPr>
      <w:sz w:val="16"/>
      <w:szCs w:val="16"/>
    </w:rPr>
  </w:style>
  <w:style w:type="paragraph" w:styleId="CommentText">
    <w:name w:val="annotation text"/>
    <w:basedOn w:val="Normal"/>
    <w:link w:val="CommentTextChar"/>
    <w:rsid w:val="00E80B87"/>
    <w:rPr>
      <w:sz w:val="20"/>
      <w:szCs w:val="20"/>
    </w:rPr>
  </w:style>
  <w:style w:type="character" w:customStyle="1" w:styleId="CommentTextChar">
    <w:name w:val="Comment Text Char"/>
    <w:basedOn w:val="DefaultParagraphFont"/>
    <w:link w:val="CommentText"/>
    <w:rsid w:val="00E80B87"/>
  </w:style>
  <w:style w:type="paragraph" w:styleId="CommentSubject">
    <w:name w:val="annotation subject"/>
    <w:basedOn w:val="CommentText"/>
    <w:next w:val="CommentText"/>
    <w:link w:val="CommentSubjectChar"/>
    <w:rsid w:val="00E80B87"/>
    <w:rPr>
      <w:b/>
      <w:bCs/>
    </w:rPr>
  </w:style>
  <w:style w:type="character" w:customStyle="1" w:styleId="CommentSubjectChar">
    <w:name w:val="Comment Subject Char"/>
    <w:link w:val="CommentSubject"/>
    <w:rsid w:val="00E80B87"/>
    <w:rPr>
      <w:b/>
      <w:bCs/>
    </w:rPr>
  </w:style>
  <w:style w:type="paragraph" w:customStyle="1" w:styleId="STBNormalFirstline0">
    <w:name w:val="STB Normal + First line:  0&quot;"/>
    <w:basedOn w:val="Normal"/>
    <w:link w:val="STBNormalFirstline0Char"/>
    <w:uiPriority w:val="99"/>
    <w:rsid w:val="00320B65"/>
    <w:pPr>
      <w:widowControl/>
      <w:autoSpaceDE/>
      <w:autoSpaceDN/>
      <w:adjustRightInd/>
      <w:spacing w:after="120"/>
      <w:ind w:firstLine="720"/>
    </w:pPr>
    <w:rPr>
      <w:rFonts w:ascii="Verdana" w:hAnsi="Verdana"/>
      <w:szCs w:val="20"/>
    </w:rPr>
  </w:style>
  <w:style w:type="character" w:customStyle="1" w:styleId="STBNormalFirstline0Char">
    <w:name w:val="STB Normal + First line:  0&quot; Char"/>
    <w:link w:val="STBNormalFirstline0"/>
    <w:uiPriority w:val="99"/>
    <w:locked/>
    <w:rsid w:val="00320B65"/>
    <w:rPr>
      <w:rFonts w:ascii="Verdana" w:hAnsi="Verdana"/>
      <w:sz w:val="24"/>
    </w:rPr>
  </w:style>
  <w:style w:type="paragraph" w:styleId="Revision">
    <w:name w:val="Revision"/>
    <w:hidden/>
    <w:uiPriority w:val="99"/>
    <w:semiHidden/>
    <w:rsid w:val="006D27B7"/>
    <w:rPr>
      <w:sz w:val="24"/>
      <w:szCs w:val="24"/>
      <w:lang w:eastAsia="en-US"/>
    </w:rPr>
  </w:style>
  <w:style w:type="character" w:styleId="Hyperlink">
    <w:name w:val="Hyperlink"/>
    <w:uiPriority w:val="99"/>
    <w:rsid w:val="00BD0F06"/>
    <w:rPr>
      <w:rFonts w:cs="Times New Roman"/>
      <w:color w:val="0000FF"/>
      <w:u w:val="single"/>
    </w:rPr>
  </w:style>
  <w:style w:type="paragraph" w:styleId="FootnoteText">
    <w:name w:val="footnote text"/>
    <w:basedOn w:val="Normal"/>
    <w:link w:val="FootnoteTextChar"/>
    <w:uiPriority w:val="99"/>
    <w:rsid w:val="00781746"/>
    <w:rPr>
      <w:sz w:val="20"/>
      <w:szCs w:val="20"/>
    </w:rPr>
  </w:style>
  <w:style w:type="character" w:customStyle="1" w:styleId="FootnoteTextChar">
    <w:name w:val="Footnote Text Char"/>
    <w:basedOn w:val="DefaultParagraphFont"/>
    <w:link w:val="FootnoteText"/>
    <w:uiPriority w:val="99"/>
    <w:rsid w:val="00781746"/>
  </w:style>
  <w:style w:type="paragraph" w:customStyle="1" w:styleId="Default">
    <w:name w:val="Default"/>
    <w:rsid w:val="00EE4633"/>
    <w:pPr>
      <w:autoSpaceDE w:val="0"/>
      <w:autoSpaceDN w:val="0"/>
      <w:adjustRightInd w:val="0"/>
    </w:pPr>
    <w:rPr>
      <w:color w:val="000000"/>
      <w:sz w:val="24"/>
      <w:szCs w:val="24"/>
      <w:lang w:eastAsia="en-US"/>
    </w:rPr>
  </w:style>
  <w:style w:type="paragraph" w:styleId="ListParagraph">
    <w:name w:val="List Paragraph"/>
    <w:basedOn w:val="Normal"/>
    <w:uiPriority w:val="34"/>
    <w:qFormat/>
    <w:rsid w:val="00EE4633"/>
    <w:pPr>
      <w:ind w:left="720"/>
    </w:pPr>
  </w:style>
  <w:style w:type="paragraph" w:styleId="Header">
    <w:name w:val="header"/>
    <w:basedOn w:val="Normal"/>
    <w:link w:val="HeaderChar"/>
    <w:rsid w:val="002A1577"/>
    <w:pPr>
      <w:tabs>
        <w:tab w:val="center" w:pos="4680"/>
        <w:tab w:val="right" w:pos="9360"/>
      </w:tabs>
    </w:pPr>
  </w:style>
  <w:style w:type="character" w:customStyle="1" w:styleId="HeaderChar">
    <w:name w:val="Header Char"/>
    <w:link w:val="Header"/>
    <w:rsid w:val="002A1577"/>
    <w:rPr>
      <w:sz w:val="24"/>
      <w:szCs w:val="24"/>
    </w:rPr>
  </w:style>
  <w:style w:type="paragraph" w:styleId="Footer">
    <w:name w:val="footer"/>
    <w:basedOn w:val="Normal"/>
    <w:link w:val="FooterChar"/>
    <w:uiPriority w:val="99"/>
    <w:rsid w:val="002A1577"/>
    <w:pPr>
      <w:tabs>
        <w:tab w:val="center" w:pos="4680"/>
        <w:tab w:val="right" w:pos="9360"/>
      </w:tabs>
    </w:pPr>
  </w:style>
  <w:style w:type="character" w:customStyle="1" w:styleId="FooterChar">
    <w:name w:val="Footer Char"/>
    <w:link w:val="Footer"/>
    <w:uiPriority w:val="99"/>
    <w:rsid w:val="002A1577"/>
    <w:rPr>
      <w:sz w:val="24"/>
      <w:szCs w:val="24"/>
    </w:rPr>
  </w:style>
  <w:style w:type="character" w:styleId="FollowedHyperlink">
    <w:name w:val="FollowedHyperlink"/>
    <w:basedOn w:val="DefaultParagraphFont"/>
    <w:rsid w:val="00C61C6F"/>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23245"/>
    <w:pPr>
      <w:widowControl/>
      <w:autoSpaceDE/>
      <w:autoSpaceDN/>
      <w:adjustRightInd/>
    </w:pPr>
    <w:rPr>
      <w:rFonts w:ascii="Tahoma" w:hAnsi="Tahoma" w:cs="Tahoma"/>
      <w:sz w:val="16"/>
      <w:szCs w:val="16"/>
    </w:rPr>
  </w:style>
  <w:style w:type="character" w:styleId="FootnoteReference">
    <w:name w:val="footnote reference"/>
    <w:uiPriority w:val="99"/>
  </w:style>
  <w:style w:type="character" w:styleId="CommentReference">
    <w:name w:val="annotation reference"/>
    <w:rsid w:val="00E80B87"/>
    <w:rPr>
      <w:sz w:val="16"/>
      <w:szCs w:val="16"/>
    </w:rPr>
  </w:style>
  <w:style w:type="paragraph" w:styleId="CommentText">
    <w:name w:val="annotation text"/>
    <w:basedOn w:val="Normal"/>
    <w:link w:val="CommentTextChar"/>
    <w:rsid w:val="00E80B87"/>
    <w:rPr>
      <w:sz w:val="20"/>
      <w:szCs w:val="20"/>
    </w:rPr>
  </w:style>
  <w:style w:type="character" w:customStyle="1" w:styleId="CommentTextChar">
    <w:name w:val="Comment Text Char"/>
    <w:basedOn w:val="DefaultParagraphFont"/>
    <w:link w:val="CommentText"/>
    <w:rsid w:val="00E80B87"/>
  </w:style>
  <w:style w:type="paragraph" w:styleId="CommentSubject">
    <w:name w:val="annotation subject"/>
    <w:basedOn w:val="CommentText"/>
    <w:next w:val="CommentText"/>
    <w:link w:val="CommentSubjectChar"/>
    <w:rsid w:val="00E80B87"/>
    <w:rPr>
      <w:b/>
      <w:bCs/>
    </w:rPr>
  </w:style>
  <w:style w:type="character" w:customStyle="1" w:styleId="CommentSubjectChar">
    <w:name w:val="Comment Subject Char"/>
    <w:link w:val="CommentSubject"/>
    <w:rsid w:val="00E80B87"/>
    <w:rPr>
      <w:b/>
      <w:bCs/>
    </w:rPr>
  </w:style>
  <w:style w:type="paragraph" w:customStyle="1" w:styleId="STBNormalFirstline0">
    <w:name w:val="STB Normal + First line:  0&quot;"/>
    <w:basedOn w:val="Normal"/>
    <w:link w:val="STBNormalFirstline0Char"/>
    <w:uiPriority w:val="99"/>
    <w:rsid w:val="00320B65"/>
    <w:pPr>
      <w:widowControl/>
      <w:autoSpaceDE/>
      <w:autoSpaceDN/>
      <w:adjustRightInd/>
      <w:spacing w:after="120"/>
      <w:ind w:firstLine="720"/>
    </w:pPr>
    <w:rPr>
      <w:rFonts w:ascii="Verdana" w:hAnsi="Verdana"/>
      <w:szCs w:val="20"/>
    </w:rPr>
  </w:style>
  <w:style w:type="character" w:customStyle="1" w:styleId="STBNormalFirstline0Char">
    <w:name w:val="STB Normal + First line:  0&quot; Char"/>
    <w:link w:val="STBNormalFirstline0"/>
    <w:uiPriority w:val="99"/>
    <w:locked/>
    <w:rsid w:val="00320B65"/>
    <w:rPr>
      <w:rFonts w:ascii="Verdana" w:hAnsi="Verdana"/>
      <w:sz w:val="24"/>
    </w:rPr>
  </w:style>
  <w:style w:type="paragraph" w:styleId="Revision">
    <w:name w:val="Revision"/>
    <w:hidden/>
    <w:uiPriority w:val="99"/>
    <w:semiHidden/>
    <w:rsid w:val="006D27B7"/>
    <w:rPr>
      <w:sz w:val="24"/>
      <w:szCs w:val="24"/>
      <w:lang w:eastAsia="en-US"/>
    </w:rPr>
  </w:style>
  <w:style w:type="character" w:styleId="Hyperlink">
    <w:name w:val="Hyperlink"/>
    <w:uiPriority w:val="99"/>
    <w:rsid w:val="00BD0F06"/>
    <w:rPr>
      <w:rFonts w:cs="Times New Roman"/>
      <w:color w:val="0000FF"/>
      <w:u w:val="single"/>
    </w:rPr>
  </w:style>
  <w:style w:type="paragraph" w:styleId="FootnoteText">
    <w:name w:val="footnote text"/>
    <w:basedOn w:val="Normal"/>
    <w:link w:val="FootnoteTextChar"/>
    <w:uiPriority w:val="99"/>
    <w:rsid w:val="00781746"/>
    <w:rPr>
      <w:sz w:val="20"/>
      <w:szCs w:val="20"/>
    </w:rPr>
  </w:style>
  <w:style w:type="character" w:customStyle="1" w:styleId="FootnoteTextChar">
    <w:name w:val="Footnote Text Char"/>
    <w:basedOn w:val="DefaultParagraphFont"/>
    <w:link w:val="FootnoteText"/>
    <w:uiPriority w:val="99"/>
    <w:rsid w:val="00781746"/>
  </w:style>
  <w:style w:type="paragraph" w:customStyle="1" w:styleId="Default">
    <w:name w:val="Default"/>
    <w:rsid w:val="00EE4633"/>
    <w:pPr>
      <w:autoSpaceDE w:val="0"/>
      <w:autoSpaceDN w:val="0"/>
      <w:adjustRightInd w:val="0"/>
    </w:pPr>
    <w:rPr>
      <w:color w:val="000000"/>
      <w:sz w:val="24"/>
      <w:szCs w:val="24"/>
      <w:lang w:eastAsia="en-US"/>
    </w:rPr>
  </w:style>
  <w:style w:type="paragraph" w:styleId="ListParagraph">
    <w:name w:val="List Paragraph"/>
    <w:basedOn w:val="Normal"/>
    <w:uiPriority w:val="34"/>
    <w:qFormat/>
    <w:rsid w:val="00EE4633"/>
    <w:pPr>
      <w:ind w:left="720"/>
    </w:pPr>
  </w:style>
  <w:style w:type="paragraph" w:styleId="Header">
    <w:name w:val="header"/>
    <w:basedOn w:val="Normal"/>
    <w:link w:val="HeaderChar"/>
    <w:rsid w:val="002A1577"/>
    <w:pPr>
      <w:tabs>
        <w:tab w:val="center" w:pos="4680"/>
        <w:tab w:val="right" w:pos="9360"/>
      </w:tabs>
    </w:pPr>
  </w:style>
  <w:style w:type="character" w:customStyle="1" w:styleId="HeaderChar">
    <w:name w:val="Header Char"/>
    <w:link w:val="Header"/>
    <w:rsid w:val="002A1577"/>
    <w:rPr>
      <w:sz w:val="24"/>
      <w:szCs w:val="24"/>
    </w:rPr>
  </w:style>
  <w:style w:type="paragraph" w:styleId="Footer">
    <w:name w:val="footer"/>
    <w:basedOn w:val="Normal"/>
    <w:link w:val="FooterChar"/>
    <w:uiPriority w:val="99"/>
    <w:rsid w:val="002A1577"/>
    <w:pPr>
      <w:tabs>
        <w:tab w:val="center" w:pos="4680"/>
        <w:tab w:val="right" w:pos="9360"/>
      </w:tabs>
    </w:pPr>
  </w:style>
  <w:style w:type="character" w:customStyle="1" w:styleId="FooterChar">
    <w:name w:val="Footer Char"/>
    <w:link w:val="Footer"/>
    <w:uiPriority w:val="99"/>
    <w:rsid w:val="002A1577"/>
    <w:rPr>
      <w:sz w:val="24"/>
      <w:szCs w:val="24"/>
    </w:rPr>
  </w:style>
  <w:style w:type="character" w:styleId="FollowedHyperlink">
    <w:name w:val="FollowedHyperlink"/>
    <w:basedOn w:val="DefaultParagraphFont"/>
    <w:rsid w:val="00C61C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80305">
      <w:bodyDiv w:val="1"/>
      <w:marLeft w:val="0"/>
      <w:marRight w:val="0"/>
      <w:marTop w:val="0"/>
      <w:marBottom w:val="0"/>
      <w:divBdr>
        <w:top w:val="none" w:sz="0" w:space="0" w:color="auto"/>
        <w:left w:val="none" w:sz="0" w:space="0" w:color="auto"/>
        <w:bottom w:val="none" w:sz="0" w:space="0" w:color="auto"/>
        <w:right w:val="none" w:sz="0" w:space="0" w:color="auto"/>
      </w:divBdr>
    </w:div>
    <w:div w:id="56438772">
      <w:bodyDiv w:val="1"/>
      <w:marLeft w:val="0"/>
      <w:marRight w:val="0"/>
      <w:marTop w:val="0"/>
      <w:marBottom w:val="0"/>
      <w:divBdr>
        <w:top w:val="none" w:sz="0" w:space="0" w:color="auto"/>
        <w:left w:val="none" w:sz="0" w:space="0" w:color="auto"/>
        <w:bottom w:val="none" w:sz="0" w:space="0" w:color="auto"/>
        <w:right w:val="none" w:sz="0" w:space="0" w:color="auto"/>
      </w:divBdr>
    </w:div>
    <w:div w:id="84348147">
      <w:bodyDiv w:val="1"/>
      <w:marLeft w:val="0"/>
      <w:marRight w:val="0"/>
      <w:marTop w:val="0"/>
      <w:marBottom w:val="0"/>
      <w:divBdr>
        <w:top w:val="none" w:sz="0" w:space="0" w:color="auto"/>
        <w:left w:val="none" w:sz="0" w:space="0" w:color="auto"/>
        <w:bottom w:val="none" w:sz="0" w:space="0" w:color="auto"/>
        <w:right w:val="none" w:sz="0" w:space="0" w:color="auto"/>
      </w:divBdr>
    </w:div>
    <w:div w:id="475533226">
      <w:bodyDiv w:val="1"/>
      <w:marLeft w:val="0"/>
      <w:marRight w:val="0"/>
      <w:marTop w:val="0"/>
      <w:marBottom w:val="0"/>
      <w:divBdr>
        <w:top w:val="none" w:sz="0" w:space="0" w:color="auto"/>
        <w:left w:val="none" w:sz="0" w:space="0" w:color="auto"/>
        <w:bottom w:val="none" w:sz="0" w:space="0" w:color="auto"/>
        <w:right w:val="none" w:sz="0" w:space="0" w:color="auto"/>
      </w:divBdr>
    </w:div>
    <w:div w:id="520046199">
      <w:bodyDiv w:val="1"/>
      <w:marLeft w:val="0"/>
      <w:marRight w:val="0"/>
      <w:marTop w:val="0"/>
      <w:marBottom w:val="0"/>
      <w:divBdr>
        <w:top w:val="none" w:sz="0" w:space="0" w:color="auto"/>
        <w:left w:val="none" w:sz="0" w:space="0" w:color="auto"/>
        <w:bottom w:val="none" w:sz="0" w:space="0" w:color="auto"/>
        <w:right w:val="none" w:sz="0" w:space="0" w:color="auto"/>
      </w:divBdr>
    </w:div>
    <w:div w:id="597297948">
      <w:bodyDiv w:val="1"/>
      <w:marLeft w:val="0"/>
      <w:marRight w:val="0"/>
      <w:marTop w:val="0"/>
      <w:marBottom w:val="0"/>
      <w:divBdr>
        <w:top w:val="none" w:sz="0" w:space="0" w:color="auto"/>
        <w:left w:val="none" w:sz="0" w:space="0" w:color="auto"/>
        <w:bottom w:val="none" w:sz="0" w:space="0" w:color="auto"/>
        <w:right w:val="none" w:sz="0" w:space="0" w:color="auto"/>
      </w:divBdr>
    </w:div>
    <w:div w:id="658315862">
      <w:bodyDiv w:val="1"/>
      <w:marLeft w:val="0"/>
      <w:marRight w:val="0"/>
      <w:marTop w:val="0"/>
      <w:marBottom w:val="0"/>
      <w:divBdr>
        <w:top w:val="none" w:sz="0" w:space="0" w:color="auto"/>
        <w:left w:val="none" w:sz="0" w:space="0" w:color="auto"/>
        <w:bottom w:val="none" w:sz="0" w:space="0" w:color="auto"/>
        <w:right w:val="none" w:sz="0" w:space="0" w:color="auto"/>
      </w:divBdr>
    </w:div>
    <w:div w:id="856162975">
      <w:bodyDiv w:val="1"/>
      <w:marLeft w:val="0"/>
      <w:marRight w:val="0"/>
      <w:marTop w:val="0"/>
      <w:marBottom w:val="0"/>
      <w:divBdr>
        <w:top w:val="none" w:sz="0" w:space="0" w:color="auto"/>
        <w:left w:val="none" w:sz="0" w:space="0" w:color="auto"/>
        <w:bottom w:val="none" w:sz="0" w:space="0" w:color="auto"/>
        <w:right w:val="none" w:sz="0" w:space="0" w:color="auto"/>
      </w:divBdr>
    </w:div>
    <w:div w:id="1003314513">
      <w:bodyDiv w:val="1"/>
      <w:marLeft w:val="0"/>
      <w:marRight w:val="0"/>
      <w:marTop w:val="0"/>
      <w:marBottom w:val="0"/>
      <w:divBdr>
        <w:top w:val="none" w:sz="0" w:space="0" w:color="auto"/>
        <w:left w:val="none" w:sz="0" w:space="0" w:color="auto"/>
        <w:bottom w:val="none" w:sz="0" w:space="0" w:color="auto"/>
        <w:right w:val="none" w:sz="0" w:space="0" w:color="auto"/>
      </w:divBdr>
      <w:divsChild>
        <w:div w:id="1454906004">
          <w:marLeft w:val="0"/>
          <w:marRight w:val="0"/>
          <w:marTop w:val="100"/>
          <w:marBottom w:val="100"/>
          <w:divBdr>
            <w:top w:val="none" w:sz="0" w:space="0" w:color="auto"/>
            <w:left w:val="none" w:sz="0" w:space="0" w:color="auto"/>
            <w:bottom w:val="none" w:sz="0" w:space="0" w:color="auto"/>
            <w:right w:val="none" w:sz="0" w:space="0" w:color="auto"/>
          </w:divBdr>
          <w:divsChild>
            <w:div w:id="1399472401">
              <w:marLeft w:val="0"/>
              <w:marRight w:val="0"/>
              <w:marTop w:val="0"/>
              <w:marBottom w:val="0"/>
              <w:divBdr>
                <w:top w:val="none" w:sz="0" w:space="0" w:color="auto"/>
                <w:left w:val="none" w:sz="0" w:space="0" w:color="auto"/>
                <w:bottom w:val="none" w:sz="0" w:space="0" w:color="auto"/>
                <w:right w:val="none" w:sz="0" w:space="0" w:color="auto"/>
              </w:divBdr>
              <w:divsChild>
                <w:div w:id="1075198895">
                  <w:marLeft w:val="0"/>
                  <w:marRight w:val="0"/>
                  <w:marTop w:val="0"/>
                  <w:marBottom w:val="0"/>
                  <w:divBdr>
                    <w:top w:val="none" w:sz="0" w:space="0" w:color="auto"/>
                    <w:left w:val="none" w:sz="0" w:space="0" w:color="auto"/>
                    <w:bottom w:val="none" w:sz="0" w:space="0" w:color="auto"/>
                    <w:right w:val="none" w:sz="0" w:space="0" w:color="auto"/>
                  </w:divBdr>
                  <w:divsChild>
                    <w:div w:id="170644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946578">
      <w:bodyDiv w:val="1"/>
      <w:marLeft w:val="0"/>
      <w:marRight w:val="0"/>
      <w:marTop w:val="0"/>
      <w:marBottom w:val="0"/>
      <w:divBdr>
        <w:top w:val="none" w:sz="0" w:space="0" w:color="auto"/>
        <w:left w:val="none" w:sz="0" w:space="0" w:color="auto"/>
        <w:bottom w:val="none" w:sz="0" w:space="0" w:color="auto"/>
        <w:right w:val="none" w:sz="0" w:space="0" w:color="auto"/>
      </w:divBdr>
    </w:div>
    <w:div w:id="1321034464">
      <w:bodyDiv w:val="1"/>
      <w:marLeft w:val="0"/>
      <w:marRight w:val="0"/>
      <w:marTop w:val="0"/>
      <w:marBottom w:val="0"/>
      <w:divBdr>
        <w:top w:val="none" w:sz="0" w:space="0" w:color="auto"/>
        <w:left w:val="none" w:sz="0" w:space="0" w:color="auto"/>
        <w:bottom w:val="none" w:sz="0" w:space="0" w:color="auto"/>
        <w:right w:val="none" w:sz="0" w:space="0" w:color="auto"/>
      </w:divBdr>
    </w:div>
    <w:div w:id="1680546640">
      <w:bodyDiv w:val="1"/>
      <w:marLeft w:val="0"/>
      <w:marRight w:val="0"/>
      <w:marTop w:val="0"/>
      <w:marBottom w:val="0"/>
      <w:divBdr>
        <w:top w:val="none" w:sz="0" w:space="0" w:color="auto"/>
        <w:left w:val="none" w:sz="0" w:space="0" w:color="auto"/>
        <w:bottom w:val="none" w:sz="0" w:space="0" w:color="auto"/>
        <w:right w:val="none" w:sz="0" w:space="0" w:color="auto"/>
      </w:divBdr>
    </w:div>
    <w:div w:id="1727559955">
      <w:bodyDiv w:val="1"/>
      <w:marLeft w:val="0"/>
      <w:marRight w:val="0"/>
      <w:marTop w:val="0"/>
      <w:marBottom w:val="0"/>
      <w:divBdr>
        <w:top w:val="none" w:sz="0" w:space="0" w:color="auto"/>
        <w:left w:val="none" w:sz="0" w:space="0" w:color="auto"/>
        <w:bottom w:val="none" w:sz="0" w:space="0" w:color="auto"/>
        <w:right w:val="none" w:sz="0" w:space="0" w:color="auto"/>
      </w:divBdr>
    </w:div>
    <w:div w:id="1956863642">
      <w:bodyDiv w:val="1"/>
      <w:marLeft w:val="0"/>
      <w:marRight w:val="0"/>
      <w:marTop w:val="0"/>
      <w:marBottom w:val="0"/>
      <w:divBdr>
        <w:top w:val="none" w:sz="0" w:space="0" w:color="auto"/>
        <w:left w:val="none" w:sz="0" w:space="0" w:color="auto"/>
        <w:bottom w:val="none" w:sz="0" w:space="0" w:color="auto"/>
        <w:right w:val="none" w:sz="0" w:space="0" w:color="auto"/>
      </w:divBdr>
    </w:div>
    <w:div w:id="2038971261">
      <w:bodyDiv w:val="1"/>
      <w:marLeft w:val="0"/>
      <w:marRight w:val="0"/>
      <w:marTop w:val="0"/>
      <w:marBottom w:val="0"/>
      <w:divBdr>
        <w:top w:val="none" w:sz="0" w:space="0" w:color="auto"/>
        <w:left w:val="none" w:sz="0" w:space="0" w:color="auto"/>
        <w:bottom w:val="none" w:sz="0" w:space="0" w:color="auto"/>
        <w:right w:val="none" w:sz="0" w:space="0" w:color="auto"/>
      </w:divBdr>
    </w:div>
    <w:div w:id="2054183728">
      <w:bodyDiv w:val="1"/>
      <w:marLeft w:val="0"/>
      <w:marRight w:val="0"/>
      <w:marTop w:val="0"/>
      <w:marBottom w:val="0"/>
      <w:divBdr>
        <w:top w:val="none" w:sz="0" w:space="0" w:color="auto"/>
        <w:left w:val="none" w:sz="0" w:space="0" w:color="auto"/>
        <w:bottom w:val="none" w:sz="0" w:space="0" w:color="auto"/>
        <w:right w:val="none" w:sz="0" w:space="0" w:color="auto"/>
      </w:divBdr>
    </w:div>
    <w:div w:id="209204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9F596-6A8B-4FCA-B069-5A86E830A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1275</Words>
  <Characters>7268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2140-0001</vt:lpstr>
    </vt:vector>
  </TitlesOfParts>
  <Company>Surface Transportation Board</Company>
  <LinksUpToDate>false</LinksUpToDate>
  <CharactersWithSpaces>8526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2140-0001</dc:title>
  <dc:subject/>
  <dc:creator>levittm</dc:creator>
  <cp:keywords/>
  <cp:lastModifiedBy>SYSTEM</cp:lastModifiedBy>
  <cp:revision>2</cp:revision>
  <cp:lastPrinted>2017-08-04T15:17:00Z</cp:lastPrinted>
  <dcterms:created xsi:type="dcterms:W3CDTF">2017-08-18T18:19:00Z</dcterms:created>
  <dcterms:modified xsi:type="dcterms:W3CDTF">2017-08-18T18:19:00Z</dcterms:modified>
</cp:coreProperties>
</file>