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27" w:rsidRPr="007C7DB4" w:rsidRDefault="00F156AF" w:rsidP="007C7DB4">
      <w:pPr>
        <w:spacing w:line="480" w:lineRule="auto"/>
        <w:jc w:val="right"/>
        <w:rPr>
          <w:bCs/>
        </w:rPr>
      </w:pPr>
      <w:bookmarkStart w:id="0" w:name="_GoBack"/>
      <w:bookmarkEnd w:id="0"/>
      <w:r w:rsidRPr="007C7DB4">
        <w:rPr>
          <w:bCs/>
        </w:rPr>
        <w:t>BILLING CODE 6560-50-P</w:t>
      </w:r>
    </w:p>
    <w:p w:rsidR="00544373" w:rsidRPr="007C7DB4" w:rsidRDefault="00544373" w:rsidP="007C7DB4">
      <w:pPr>
        <w:spacing w:line="480" w:lineRule="auto"/>
        <w:rPr>
          <w:b/>
          <w:bCs/>
        </w:rPr>
      </w:pPr>
      <w:r w:rsidRPr="007C7DB4">
        <w:rPr>
          <w:b/>
          <w:bCs/>
        </w:rPr>
        <w:t>ENVIRONMENTAL PROTECTION AGENCY</w:t>
      </w:r>
    </w:p>
    <w:p w:rsidR="00544373" w:rsidRPr="007C7DB4" w:rsidRDefault="00544373" w:rsidP="007C7DB4">
      <w:pPr>
        <w:spacing w:line="480" w:lineRule="auto"/>
        <w:rPr>
          <w:b/>
          <w:bCs/>
        </w:rPr>
      </w:pPr>
      <w:r w:rsidRPr="007C7DB4">
        <w:rPr>
          <w:b/>
          <w:bCs/>
        </w:rPr>
        <w:t>[EPA</w:t>
      </w:r>
      <w:r w:rsidR="00C134B5" w:rsidRPr="007C7DB4">
        <w:rPr>
          <w:b/>
          <w:bCs/>
        </w:rPr>
        <w:t>-</w:t>
      </w:r>
      <w:r w:rsidRPr="007C7DB4">
        <w:rPr>
          <w:b/>
          <w:bCs/>
        </w:rPr>
        <w:t>HQ</w:t>
      </w:r>
      <w:r w:rsidR="00C134B5" w:rsidRPr="007C7DB4">
        <w:rPr>
          <w:b/>
          <w:bCs/>
        </w:rPr>
        <w:t>-</w:t>
      </w:r>
      <w:r w:rsidR="007C332A" w:rsidRPr="007C7DB4">
        <w:rPr>
          <w:b/>
          <w:bCs/>
        </w:rPr>
        <w:t>OPPT</w:t>
      </w:r>
      <w:r w:rsidR="00C134B5" w:rsidRPr="007C7DB4">
        <w:rPr>
          <w:b/>
          <w:bCs/>
        </w:rPr>
        <w:t>-</w:t>
      </w:r>
      <w:r w:rsidRPr="007C7DB4">
        <w:rPr>
          <w:b/>
          <w:bCs/>
        </w:rPr>
        <w:t>2</w:t>
      </w:r>
      <w:r w:rsidR="00CA0F73" w:rsidRPr="007C7DB4">
        <w:rPr>
          <w:b/>
          <w:bCs/>
        </w:rPr>
        <w:t>0</w:t>
      </w:r>
      <w:r w:rsidR="00B65488" w:rsidRPr="007C7DB4">
        <w:rPr>
          <w:b/>
          <w:bCs/>
        </w:rPr>
        <w:t>16</w:t>
      </w:r>
      <w:r w:rsidR="00C134B5" w:rsidRPr="007C7DB4">
        <w:rPr>
          <w:b/>
          <w:bCs/>
        </w:rPr>
        <w:t>-</w:t>
      </w:r>
      <w:r w:rsidR="00B65488" w:rsidRPr="007C7DB4">
        <w:rPr>
          <w:b/>
          <w:bCs/>
        </w:rPr>
        <w:t>0</w:t>
      </w:r>
      <w:r w:rsidR="00C35DC1" w:rsidRPr="007C7DB4">
        <w:rPr>
          <w:b/>
          <w:bCs/>
        </w:rPr>
        <w:t>264</w:t>
      </w:r>
      <w:r w:rsidRPr="007C7DB4">
        <w:rPr>
          <w:b/>
          <w:bCs/>
        </w:rPr>
        <w:t>; FRL</w:t>
      </w:r>
      <w:r w:rsidR="00C134B5" w:rsidRPr="007C7DB4">
        <w:rPr>
          <w:b/>
          <w:bCs/>
        </w:rPr>
        <w:t>-</w:t>
      </w:r>
      <w:r w:rsidR="007C7DB4" w:rsidRPr="007C7DB4">
        <w:rPr>
          <w:b/>
          <w:bCs/>
        </w:rPr>
        <w:t>9966-65</w:t>
      </w:r>
      <w:r w:rsidR="00D325B1" w:rsidRPr="007C7DB4">
        <w:rPr>
          <w:b/>
          <w:bCs/>
        </w:rPr>
        <w:t>-OEI</w:t>
      </w:r>
      <w:r w:rsidRPr="007C7DB4">
        <w:rPr>
          <w:b/>
          <w:bCs/>
        </w:rPr>
        <w:t>]</w:t>
      </w:r>
    </w:p>
    <w:p w:rsidR="00F44A4E" w:rsidRPr="007C7DB4" w:rsidRDefault="00544373" w:rsidP="007C7DB4">
      <w:pPr>
        <w:spacing w:line="480" w:lineRule="auto"/>
        <w:rPr>
          <w:rStyle w:val="GPOBold"/>
        </w:rPr>
      </w:pPr>
      <w:r w:rsidRPr="007C7DB4">
        <w:rPr>
          <w:rStyle w:val="GPOBold"/>
        </w:rPr>
        <w:t xml:space="preserve">Agency Information Collection Activities; </w:t>
      </w:r>
      <w:r w:rsidR="00C35DC1" w:rsidRPr="007C7DB4">
        <w:rPr>
          <w:b/>
          <w:bCs/>
        </w:rPr>
        <w:t>Reporting and Recordkeeping for Asbestos Abatement Worker Protection</w:t>
      </w:r>
      <w:r w:rsidR="00540C67" w:rsidRPr="007C7DB4">
        <w:rPr>
          <w:b/>
          <w:bCs/>
        </w:rPr>
        <w:t>; Submitted to OMB for Review and Approval</w:t>
      </w:r>
      <w:r w:rsidRPr="007C7DB4">
        <w:rPr>
          <w:rStyle w:val="GPOBold"/>
        </w:rPr>
        <w:t>; Comment Request</w:t>
      </w:r>
    </w:p>
    <w:p w:rsidR="00544373" w:rsidRPr="007C7DB4" w:rsidRDefault="00544373" w:rsidP="007C7DB4">
      <w:pPr>
        <w:spacing w:line="480" w:lineRule="auto"/>
      </w:pPr>
      <w:r w:rsidRPr="007C7DB4">
        <w:rPr>
          <w:b/>
          <w:bCs/>
        </w:rPr>
        <w:t xml:space="preserve">AGENCY: </w:t>
      </w:r>
      <w:r w:rsidR="00C04F70" w:rsidRPr="007C7DB4">
        <w:rPr>
          <w:b/>
          <w:bCs/>
        </w:rPr>
        <w:t xml:space="preserve"> </w:t>
      </w:r>
      <w:r w:rsidRPr="007C7DB4">
        <w:t>Environmental Protection Agency (EPA).</w:t>
      </w:r>
    </w:p>
    <w:p w:rsidR="00544373" w:rsidRPr="007C7DB4" w:rsidRDefault="00544373" w:rsidP="007C7DB4">
      <w:pPr>
        <w:spacing w:line="480" w:lineRule="auto"/>
      </w:pPr>
      <w:r w:rsidRPr="007C7DB4">
        <w:rPr>
          <w:b/>
          <w:bCs/>
        </w:rPr>
        <w:t xml:space="preserve">ACTION: </w:t>
      </w:r>
      <w:r w:rsidR="00C04F70" w:rsidRPr="007C7DB4">
        <w:rPr>
          <w:b/>
          <w:bCs/>
        </w:rPr>
        <w:t xml:space="preserve"> </w:t>
      </w:r>
      <w:r w:rsidRPr="007C7DB4">
        <w:t>Notice.</w:t>
      </w:r>
    </w:p>
    <w:p w:rsidR="00567645" w:rsidRPr="007C7DB4" w:rsidRDefault="00544373" w:rsidP="007C7DB4">
      <w:pPr>
        <w:spacing w:line="480" w:lineRule="auto"/>
      </w:pPr>
      <w:r w:rsidRPr="007C7DB4">
        <w:rPr>
          <w:b/>
          <w:bCs/>
        </w:rPr>
        <w:t>SUMMARY:</w:t>
      </w:r>
      <w:r w:rsidRPr="007C7DB4">
        <w:rPr>
          <w:bCs/>
        </w:rPr>
        <w:t xml:space="preserve"> </w:t>
      </w:r>
      <w:r w:rsidR="00C04F70" w:rsidRPr="007C7DB4">
        <w:rPr>
          <w:bCs/>
        </w:rPr>
        <w:t xml:space="preserve"> </w:t>
      </w:r>
      <w:r w:rsidR="00540C67" w:rsidRPr="007C7DB4">
        <w:rPr>
          <w:bCs/>
        </w:rPr>
        <w:t xml:space="preserve">EPA has submitted the following information collection request (ICR) to the Office of Management and Budget (OMB) for review and approval in accordance with the Paperwork Reduction Act (PRA): </w:t>
      </w:r>
      <w:r w:rsidR="00B65488" w:rsidRPr="007C7DB4">
        <w:rPr>
          <w:bCs/>
        </w:rPr>
        <w:t>“</w:t>
      </w:r>
      <w:r w:rsidR="00C35DC1" w:rsidRPr="007C7DB4">
        <w:rPr>
          <w:bCs/>
        </w:rPr>
        <w:t>Reporting and Recordkeeping for Asbestos Abatement Worker Protection</w:t>
      </w:r>
      <w:r w:rsidR="00B65488" w:rsidRPr="007C7DB4">
        <w:rPr>
          <w:bCs/>
        </w:rPr>
        <w:t>”</w:t>
      </w:r>
      <w:r w:rsidRPr="007C7DB4">
        <w:t xml:space="preserve"> and identified by EPA ICR No. </w:t>
      </w:r>
      <w:r w:rsidR="00C35DC1" w:rsidRPr="007C7DB4">
        <w:rPr>
          <w:bCs/>
        </w:rPr>
        <w:t>1246</w:t>
      </w:r>
      <w:r w:rsidR="00B65488" w:rsidRPr="007C7DB4">
        <w:rPr>
          <w:bCs/>
        </w:rPr>
        <w:t>.</w:t>
      </w:r>
      <w:r w:rsidR="00C35DC1" w:rsidRPr="007C7DB4">
        <w:rPr>
          <w:bCs/>
        </w:rPr>
        <w:t>13</w:t>
      </w:r>
      <w:r w:rsidRPr="007C7DB4">
        <w:rPr>
          <w:bCs/>
        </w:rPr>
        <w:t xml:space="preserve"> </w:t>
      </w:r>
      <w:r w:rsidRPr="007C7DB4">
        <w:t>and OMB Control No. 2070</w:t>
      </w:r>
      <w:r w:rsidR="00C134B5" w:rsidRPr="007C7DB4">
        <w:t>-</w:t>
      </w:r>
      <w:r w:rsidR="00B65488" w:rsidRPr="007C7DB4">
        <w:rPr>
          <w:bCs/>
        </w:rPr>
        <w:t>0</w:t>
      </w:r>
      <w:r w:rsidR="00C35DC1" w:rsidRPr="007C7DB4">
        <w:rPr>
          <w:bCs/>
        </w:rPr>
        <w:t>072</w:t>
      </w:r>
      <w:r w:rsidR="00D46DCB" w:rsidRPr="007C7DB4">
        <w:t xml:space="preserve">. </w:t>
      </w:r>
      <w:r w:rsidR="00540C67" w:rsidRPr="007C7DB4">
        <w:t xml:space="preserve"> The ICR, which is available in the docket along with other related materials, provides a detailed explanation of the collection activities and the burden estimate that is only briefly summarized in this document.</w:t>
      </w:r>
      <w:r w:rsidR="00567645" w:rsidRPr="007C7DB4">
        <w:t xml:space="preserve"> EPA did not receive any comments in response to the previously provided public review opportunity issued in the </w:t>
      </w:r>
      <w:r w:rsidR="00567645" w:rsidRPr="007C7DB4">
        <w:rPr>
          <w:b/>
        </w:rPr>
        <w:t>Federal Register</w:t>
      </w:r>
      <w:r w:rsidR="00567645" w:rsidRPr="007C7DB4">
        <w:t xml:space="preserve"> on </w:t>
      </w:r>
      <w:r w:rsidR="00C35DC1" w:rsidRPr="007C7DB4">
        <w:rPr>
          <w:bCs/>
        </w:rPr>
        <w:t>January</w:t>
      </w:r>
      <w:r w:rsidR="00B65488" w:rsidRPr="007C7DB4">
        <w:rPr>
          <w:bCs/>
        </w:rPr>
        <w:t xml:space="preserve"> 3, 201</w:t>
      </w:r>
      <w:r w:rsidR="00C35DC1" w:rsidRPr="007C7DB4">
        <w:rPr>
          <w:bCs/>
        </w:rPr>
        <w:t>7</w:t>
      </w:r>
      <w:r w:rsidR="00D65856" w:rsidRPr="007C7DB4">
        <w:rPr>
          <w:bCs/>
        </w:rPr>
        <w:t xml:space="preserve"> (</w:t>
      </w:r>
      <w:r w:rsidR="00B65488" w:rsidRPr="007C7DB4">
        <w:rPr>
          <w:bCs/>
        </w:rPr>
        <w:t>8</w:t>
      </w:r>
      <w:r w:rsidR="00C35DC1" w:rsidRPr="007C7DB4">
        <w:rPr>
          <w:bCs/>
        </w:rPr>
        <w:t>2</w:t>
      </w:r>
      <w:r w:rsidR="00D65856" w:rsidRPr="007C7DB4">
        <w:t xml:space="preserve"> FR </w:t>
      </w:r>
      <w:r w:rsidR="00C35DC1" w:rsidRPr="007C7DB4">
        <w:rPr>
          <w:bCs/>
        </w:rPr>
        <w:t>115</w:t>
      </w:r>
      <w:r w:rsidR="00D65856" w:rsidRPr="007C7DB4">
        <w:rPr>
          <w:bCs/>
        </w:rPr>
        <w:t>)</w:t>
      </w:r>
      <w:r w:rsidR="00567645" w:rsidRPr="007C7DB4">
        <w:t>.</w:t>
      </w:r>
      <w:r w:rsidR="0068556D" w:rsidRPr="007C7DB4">
        <w:t xml:space="preserve"> </w:t>
      </w:r>
      <w:r w:rsidR="00567645" w:rsidRPr="007C7DB4">
        <w:t xml:space="preserve"> With this submission, EPA is providing an additional 30 days for public review. </w:t>
      </w:r>
    </w:p>
    <w:p w:rsidR="00544373" w:rsidRPr="007C7DB4" w:rsidRDefault="00544373" w:rsidP="007C7DB4">
      <w:pPr>
        <w:spacing w:line="480" w:lineRule="auto"/>
      </w:pPr>
      <w:r w:rsidRPr="007C7DB4">
        <w:rPr>
          <w:b/>
          <w:bCs/>
        </w:rPr>
        <w:t>DATES:</w:t>
      </w:r>
      <w:r w:rsidR="00C04F70" w:rsidRPr="007C7DB4">
        <w:rPr>
          <w:b/>
          <w:bCs/>
        </w:rPr>
        <w:t xml:space="preserve"> </w:t>
      </w:r>
      <w:r w:rsidRPr="007C7DB4">
        <w:rPr>
          <w:b/>
          <w:bCs/>
        </w:rPr>
        <w:t xml:space="preserve"> </w:t>
      </w:r>
      <w:r w:rsidRPr="007C7DB4">
        <w:t>Comments must be received on or before [</w:t>
      </w:r>
      <w:r w:rsidRPr="007C7DB4">
        <w:rPr>
          <w:i/>
          <w:iCs/>
        </w:rPr>
        <w:t xml:space="preserve">insert date </w:t>
      </w:r>
      <w:r w:rsidR="001040DC" w:rsidRPr="007C7DB4">
        <w:rPr>
          <w:i/>
          <w:iCs/>
        </w:rPr>
        <w:t>3</w:t>
      </w:r>
      <w:r w:rsidRPr="007C7DB4">
        <w:rPr>
          <w:i/>
          <w:iCs/>
        </w:rPr>
        <w:t xml:space="preserve">0 days after date of publication in the </w:t>
      </w:r>
      <w:r w:rsidRPr="007C7DB4">
        <w:rPr>
          <w:b/>
          <w:bCs/>
        </w:rPr>
        <w:t>Federal Register</w:t>
      </w:r>
      <w:r w:rsidRPr="007C7DB4">
        <w:t>].</w:t>
      </w:r>
    </w:p>
    <w:p w:rsidR="009F1B60" w:rsidRDefault="00544373" w:rsidP="007C7DB4">
      <w:pPr>
        <w:numPr>
          <w:ilvl w:val="12"/>
          <w:numId w:val="0"/>
        </w:numPr>
        <w:spacing w:line="480" w:lineRule="auto"/>
      </w:pPr>
      <w:r w:rsidRPr="007C7DB4">
        <w:rPr>
          <w:b/>
          <w:bCs/>
        </w:rPr>
        <w:t xml:space="preserve">ADDRESSES: </w:t>
      </w:r>
      <w:r w:rsidR="009F1B60" w:rsidRPr="007C7DB4">
        <w:t>Submit your comments, identified by docket identification (ID) number</w:t>
      </w:r>
      <w:r w:rsidR="009F1B60" w:rsidRPr="007C7DB4">
        <w:rPr>
          <w:b/>
          <w:bCs/>
        </w:rPr>
        <w:t xml:space="preserve"> </w:t>
      </w:r>
      <w:r w:rsidR="009F1B60" w:rsidRPr="007C7DB4">
        <w:t>EPA-HQ-</w:t>
      </w:r>
      <w:r w:rsidR="00251392" w:rsidRPr="007C7DB4">
        <w:rPr>
          <w:bCs/>
        </w:rPr>
        <w:t>OPPT</w:t>
      </w:r>
      <w:r w:rsidR="00251392" w:rsidRPr="007C7DB4">
        <w:rPr>
          <w:b/>
          <w:bCs/>
        </w:rPr>
        <w:t>-</w:t>
      </w:r>
      <w:r w:rsidR="009F1B60" w:rsidRPr="007C7DB4">
        <w:t>20</w:t>
      </w:r>
      <w:r w:rsidR="00B65488" w:rsidRPr="007C7DB4">
        <w:t>16</w:t>
      </w:r>
      <w:r w:rsidR="009F1B60" w:rsidRPr="007C7DB4">
        <w:t>-</w:t>
      </w:r>
      <w:r w:rsidR="00B65488" w:rsidRPr="007C7DB4">
        <w:rPr>
          <w:bCs/>
        </w:rPr>
        <w:t>0</w:t>
      </w:r>
      <w:r w:rsidR="00C35DC1" w:rsidRPr="007C7DB4">
        <w:rPr>
          <w:bCs/>
        </w:rPr>
        <w:t>264</w:t>
      </w:r>
      <w:r w:rsidR="009F1B60" w:rsidRPr="007C7DB4">
        <w:t xml:space="preserve">, </w:t>
      </w:r>
      <w:r w:rsidR="001040DC" w:rsidRPr="007C7DB4">
        <w:t>to both EPA and OMB as follows</w:t>
      </w:r>
      <w:r w:rsidR="009F1B60" w:rsidRPr="007C7DB4">
        <w:t>:</w:t>
      </w:r>
    </w:p>
    <w:p w:rsidR="001040DC" w:rsidRPr="007C7DB4" w:rsidRDefault="001040DC" w:rsidP="007C7DB4">
      <w:pPr>
        <w:spacing w:line="480" w:lineRule="auto"/>
        <w:ind w:firstLine="720"/>
      </w:pPr>
      <w:r w:rsidRPr="007C7DB4">
        <w:lastRenderedPageBreak/>
        <w:t xml:space="preserve">• To EPA online using </w:t>
      </w:r>
      <w:r w:rsidRPr="007C7DB4">
        <w:rPr>
          <w:i/>
        </w:rPr>
        <w:t>http://www.regulations.gov</w:t>
      </w:r>
      <w:r w:rsidRPr="007C7DB4">
        <w:t xml:space="preserve"> (our preferred method) or by mail to: EPA Docket Center, Environmental Protection Agency, Mail Code 28221T, 1200 Pennsylvania Ave., NW, Washington, DC 20460. </w:t>
      </w:r>
    </w:p>
    <w:p w:rsidR="001040DC" w:rsidRPr="007C7DB4" w:rsidRDefault="001040DC" w:rsidP="007C7DB4">
      <w:pPr>
        <w:spacing w:line="480" w:lineRule="auto"/>
        <w:ind w:firstLine="720"/>
      </w:pPr>
      <w:r w:rsidRPr="007C7DB4">
        <w:t xml:space="preserve">• To OMB via email to </w:t>
      </w:r>
      <w:r w:rsidRPr="007C7DB4">
        <w:rPr>
          <w:i/>
        </w:rPr>
        <w:t>oira_submission@omb.eop.gov</w:t>
      </w:r>
      <w:r w:rsidRPr="007C7DB4">
        <w:t>. Address comments to OMB Desk Officer for EPA.</w:t>
      </w:r>
    </w:p>
    <w:p w:rsidR="009F1B60" w:rsidRPr="007C7DB4" w:rsidRDefault="001040DC" w:rsidP="007C7DB4">
      <w:pPr>
        <w:numPr>
          <w:ilvl w:val="12"/>
          <w:numId w:val="0"/>
        </w:numPr>
        <w:tabs>
          <w:tab w:val="left" w:pos="720"/>
        </w:tabs>
        <w:spacing w:line="480" w:lineRule="auto"/>
      </w:pPr>
      <w:r w:rsidRPr="007C7DB4">
        <w:tab/>
        <w:t>EPA's policy is that all comments received will be included in the docket without change, including any personal information provided, unless the comment includes profanity, threats, information claimed to be Confidential Business Information (CBI)</w:t>
      </w:r>
      <w:r w:rsidR="00D135F4" w:rsidRPr="007C7DB4">
        <w:t>,</w:t>
      </w:r>
      <w:r w:rsidRPr="007C7DB4">
        <w:t xml:space="preserve"> or other information whose disclosure is restricted by statute. </w:t>
      </w:r>
      <w:r w:rsidR="009F1B60" w:rsidRPr="007C7DB4">
        <w:t>Do not submit electronically any information you consider to be CBI or other information whose disclosure is restricted by statute.</w:t>
      </w:r>
      <w:r w:rsidRPr="007C7DB4">
        <w:t xml:space="preserve"> </w:t>
      </w:r>
    </w:p>
    <w:p w:rsidR="00544373" w:rsidRPr="007C7DB4" w:rsidRDefault="00544373" w:rsidP="007C7DB4">
      <w:pPr>
        <w:spacing w:line="480" w:lineRule="auto"/>
      </w:pPr>
      <w:r w:rsidRPr="007C7DB4">
        <w:rPr>
          <w:b/>
          <w:bCs/>
        </w:rPr>
        <w:t>FOR FURTHER INFORMATION CONTACT:</w:t>
      </w:r>
      <w:r w:rsidR="00C04F70" w:rsidRPr="007C7DB4">
        <w:rPr>
          <w:b/>
          <w:bCs/>
        </w:rPr>
        <w:t xml:space="preserve"> </w:t>
      </w:r>
      <w:r w:rsidR="00B65488" w:rsidRPr="007C7DB4">
        <w:rPr>
          <w:bCs/>
        </w:rPr>
        <w:t>Colby Lintner</w:t>
      </w:r>
      <w:r w:rsidR="00B65488" w:rsidRPr="007C7DB4">
        <w:t xml:space="preserve">, </w:t>
      </w:r>
      <w:r w:rsidR="00B65488" w:rsidRPr="007C7DB4">
        <w:rPr>
          <w:bCs/>
        </w:rPr>
        <w:t>Environmental Assistance Division</w:t>
      </w:r>
      <w:r w:rsidR="00B65488" w:rsidRPr="007C7DB4">
        <w:t xml:space="preserve"> (</w:t>
      </w:r>
      <w:r w:rsidR="00B65488" w:rsidRPr="007C7DB4">
        <w:rPr>
          <w:bCs/>
        </w:rPr>
        <w:t>7408M</w:t>
      </w:r>
      <w:r w:rsidR="00B65488" w:rsidRPr="007C7DB4">
        <w:t xml:space="preserve">), Office of </w:t>
      </w:r>
      <w:r w:rsidR="00B65488" w:rsidRPr="007C7DB4">
        <w:rPr>
          <w:bCs/>
        </w:rPr>
        <w:t>Pollution Prevention and Toxics</w:t>
      </w:r>
      <w:r w:rsidR="00B65488" w:rsidRPr="007C7DB4">
        <w:t xml:space="preserve">, Environmental Protection Agency, 1200 Pennsylvania Ave., NW., Washington, DC 20460-0001; telephone number: (202) 554-1404; email address: </w:t>
      </w:r>
      <w:r w:rsidR="00B65488" w:rsidRPr="007C7DB4">
        <w:rPr>
          <w:bCs/>
          <w:i/>
        </w:rPr>
        <w:t>TSCA-Hotline</w:t>
      </w:r>
      <w:r w:rsidR="00B65488" w:rsidRPr="007C7DB4">
        <w:rPr>
          <w:i/>
          <w:iCs/>
        </w:rPr>
        <w:t>@epa.gov</w:t>
      </w:r>
      <w:r w:rsidR="00B65488" w:rsidRPr="007C7DB4">
        <w:t>.</w:t>
      </w:r>
    </w:p>
    <w:p w:rsidR="00544373" w:rsidRPr="007C7DB4" w:rsidRDefault="00544373" w:rsidP="007C7DB4">
      <w:pPr>
        <w:spacing w:line="480" w:lineRule="auto"/>
        <w:rPr>
          <w:b/>
          <w:bCs/>
        </w:rPr>
      </w:pPr>
      <w:r w:rsidRPr="007C7DB4">
        <w:rPr>
          <w:b/>
          <w:bCs/>
        </w:rPr>
        <w:t>SUPPLEMENTARY INFORMATION:</w:t>
      </w:r>
    </w:p>
    <w:p w:rsidR="001040DC" w:rsidRPr="007C7DB4" w:rsidRDefault="001040DC" w:rsidP="007C7DB4">
      <w:pPr>
        <w:spacing w:line="480" w:lineRule="auto"/>
        <w:ind w:firstLine="720"/>
      </w:pPr>
      <w:r w:rsidRPr="007C7DB4">
        <w:rPr>
          <w:i/>
        </w:rPr>
        <w:t>Docket</w:t>
      </w:r>
      <w:r w:rsidRPr="007C7DB4">
        <w:t xml:space="preserve">:  Supporting documents, including the ICR that explains in detail the information collection activities and the related burden and cost estimates that are summarized in this document, are available in the docket for this ICR. The docket can be viewed online at </w:t>
      </w:r>
      <w:r w:rsidRPr="007C7DB4">
        <w:rPr>
          <w:i/>
        </w:rPr>
        <w:t>http://www.regulations.gov</w:t>
      </w:r>
      <w:r w:rsidRPr="007C7DB4">
        <w:t xml:space="preserve"> or in person at the EPA Docket Center, West</w:t>
      </w:r>
      <w:r w:rsidR="001A1032" w:rsidRPr="007C7DB4">
        <w:t xml:space="preserve"> William Jefferson Clinton Bld</w:t>
      </w:r>
      <w:r w:rsidR="00C46323" w:rsidRPr="007C7DB4">
        <w:t>g</w:t>
      </w:r>
      <w:r w:rsidR="001A1032" w:rsidRPr="007C7DB4">
        <w:t>.,</w:t>
      </w:r>
      <w:r w:rsidRPr="007C7DB4">
        <w:t xml:space="preserve"> Rm</w:t>
      </w:r>
      <w:r w:rsidR="001A1032" w:rsidRPr="007C7DB4">
        <w:t>.</w:t>
      </w:r>
      <w:r w:rsidRPr="007C7DB4">
        <w:t xml:space="preserve"> 3334, 1301 Constitution Ave., NW</w:t>
      </w:r>
      <w:r w:rsidR="00984AB8" w:rsidRPr="007C7DB4">
        <w:t>.</w:t>
      </w:r>
      <w:r w:rsidRPr="007C7DB4">
        <w:t xml:space="preserve">, Washington, DC. The telephone number for the Docket Center is </w:t>
      </w:r>
      <w:r w:rsidR="001A1032" w:rsidRPr="007C7DB4">
        <w:t>(</w:t>
      </w:r>
      <w:r w:rsidRPr="007C7DB4">
        <w:t>202</w:t>
      </w:r>
      <w:r w:rsidR="001A1032" w:rsidRPr="007C7DB4">
        <w:t xml:space="preserve">) </w:t>
      </w:r>
      <w:r w:rsidRPr="007C7DB4">
        <w:t xml:space="preserve">566-1744.  For additional information about EPA’s public docket, visit </w:t>
      </w:r>
      <w:r w:rsidRPr="007C7DB4">
        <w:rPr>
          <w:i/>
        </w:rPr>
        <w:t>http://www.epa.gov/dockets</w:t>
      </w:r>
      <w:r w:rsidRPr="007C7DB4">
        <w:t>.</w:t>
      </w:r>
    </w:p>
    <w:p w:rsidR="001040DC" w:rsidRPr="007C7DB4" w:rsidRDefault="00544373" w:rsidP="007C7DB4">
      <w:pPr>
        <w:spacing w:line="480" w:lineRule="auto"/>
      </w:pPr>
      <w:r w:rsidRPr="007C7DB4">
        <w:rPr>
          <w:i/>
          <w:iCs/>
        </w:rPr>
        <w:lastRenderedPageBreak/>
        <w:tab/>
        <w:t>ICR status</w:t>
      </w:r>
      <w:r w:rsidRPr="007C7DB4">
        <w:t xml:space="preserve">: </w:t>
      </w:r>
      <w:r w:rsidR="00A54665" w:rsidRPr="007C7DB4">
        <w:t xml:space="preserve"> </w:t>
      </w:r>
      <w:r w:rsidRPr="007C7DB4">
        <w:t xml:space="preserve">This ICR is currently scheduled to expire on </w:t>
      </w:r>
      <w:r w:rsidR="00C35DC1" w:rsidRPr="007C7DB4">
        <w:rPr>
          <w:bCs/>
        </w:rPr>
        <w:t>August</w:t>
      </w:r>
      <w:r w:rsidR="00B65488" w:rsidRPr="007C7DB4">
        <w:rPr>
          <w:bCs/>
        </w:rPr>
        <w:t xml:space="preserve"> </w:t>
      </w:r>
      <w:r w:rsidR="00C35DC1" w:rsidRPr="007C7DB4">
        <w:rPr>
          <w:bCs/>
        </w:rPr>
        <w:t>31</w:t>
      </w:r>
      <w:r w:rsidR="00B65488" w:rsidRPr="007C7DB4">
        <w:rPr>
          <w:bCs/>
        </w:rPr>
        <w:t>, 2017</w:t>
      </w:r>
      <w:r w:rsidRPr="007C7DB4">
        <w:t>.</w:t>
      </w:r>
      <w:r w:rsidR="0068556D" w:rsidRPr="007C7DB4">
        <w:t xml:space="preserve"> Under OMB regulations, the Agency may continue to conduct or sponsor the collection of information while this submission is pending at OMB.</w:t>
      </w:r>
      <w:r w:rsidRPr="007C7DB4">
        <w:rPr>
          <w:bCs/>
        </w:rPr>
        <w:t xml:space="preserve"> </w:t>
      </w:r>
    </w:p>
    <w:p w:rsidR="00544373" w:rsidRPr="007C7DB4" w:rsidRDefault="0068556D" w:rsidP="007C7DB4">
      <w:pPr>
        <w:spacing w:line="480" w:lineRule="auto"/>
      </w:pPr>
      <w:r w:rsidRPr="007C7DB4">
        <w:tab/>
        <w:t xml:space="preserve">Under PRA, 44 U.S.C. 3501 </w:t>
      </w:r>
      <w:r w:rsidRPr="007C7DB4">
        <w:rPr>
          <w:i/>
        </w:rPr>
        <w:t>et seq</w:t>
      </w:r>
      <w:r w:rsidRPr="007C7DB4">
        <w:t>., a</w:t>
      </w:r>
      <w:r w:rsidR="00544373" w:rsidRPr="007C7DB4">
        <w:t xml:space="preserve">n </w:t>
      </w:r>
      <w:r w:rsidR="008B3C42" w:rsidRPr="007C7DB4">
        <w:t>a</w:t>
      </w:r>
      <w:r w:rsidR="00544373" w:rsidRPr="007C7DB4">
        <w:t xml:space="preserve">gency may not conduct or sponsor, and a person is not required to respond to, a collection of information, unless it displays a currently valid OMB control number. The OMB control numbers are displayed either by publication in the </w:t>
      </w:r>
      <w:r w:rsidR="00544373" w:rsidRPr="007C7DB4">
        <w:rPr>
          <w:rStyle w:val="GPOBold"/>
        </w:rPr>
        <w:t xml:space="preserve">Federal Register </w:t>
      </w:r>
      <w:r w:rsidR="00544373" w:rsidRPr="007C7DB4">
        <w:t>or by other appropriate means, such as on the related collection instrument or form, if applicable.  The display of OMB control numbers for certain EPA regulations is consolidated in 40 CFR part 9.</w:t>
      </w:r>
    </w:p>
    <w:p w:rsidR="008D5720" w:rsidRPr="007C7DB4" w:rsidRDefault="00544373" w:rsidP="007C7DB4">
      <w:pPr>
        <w:spacing w:line="480" w:lineRule="auto"/>
        <w:rPr>
          <w:bCs/>
        </w:rPr>
      </w:pPr>
      <w:r w:rsidRPr="007C7DB4">
        <w:rPr>
          <w:i/>
          <w:iCs/>
        </w:rPr>
        <w:tab/>
        <w:t>Abstract</w:t>
      </w:r>
      <w:r w:rsidRPr="007C7DB4">
        <w:t>:</w:t>
      </w:r>
      <w:r w:rsidR="00A54665" w:rsidRPr="007C7DB4">
        <w:t xml:space="preserve"> </w:t>
      </w:r>
      <w:r w:rsidR="008D5720" w:rsidRPr="007C7DB4">
        <w:rPr>
          <w:bCs/>
        </w:rPr>
        <w:t>EPA’s asbestos worker protection rule is designed to provide occupational exposure protection to state and local government employees who are engaged in asbestos abatement activities in states that do not have state plans approved by the Occupational Safety and Health Administration (OSHA). The rule provides protection for public employees not covered by the OSHA standard from the adverse health effects associated with occupational exposure to asbestos. Specifically, the rule requires state and local governments to monitor employee exposure to asbestos, take action to reduce exposure to asbestos, monitor employee health and train employees about asbestos hazards.</w:t>
      </w:r>
    </w:p>
    <w:p w:rsidR="008D5720" w:rsidRPr="007C7DB4" w:rsidRDefault="008D5720" w:rsidP="007C7DB4">
      <w:pPr>
        <w:spacing w:line="480" w:lineRule="auto"/>
        <w:rPr>
          <w:bCs/>
        </w:rPr>
      </w:pPr>
      <w:r w:rsidRPr="007C7DB4">
        <w:rPr>
          <w:bCs/>
        </w:rPr>
        <w:tab/>
        <w:t>The rule includes a number of information reporting and recordkeeping requirements. State and local government agencies are required to provide employees with information about exposures to asbestos and the associated health effects. The rule also requires state and local governments to notify EPA before commencing any asbestos abatement project. State and local governments must maintain medical surveillance and monitoring records and training records on their employees, must establish a set of written procedures for respirator programs and must maintain procedures and records of respirator fit tests. EPA will use the information to monitor compliance with the asbestos worker protection rule. This request addresses these reporting and recordkeeping requirements.</w:t>
      </w:r>
    </w:p>
    <w:p w:rsidR="00D135F4" w:rsidRPr="007C7DB4" w:rsidRDefault="008D5720" w:rsidP="007C7DB4">
      <w:pPr>
        <w:spacing w:line="480" w:lineRule="auto"/>
      </w:pPr>
      <w:r w:rsidRPr="007C7DB4">
        <w:rPr>
          <w:bCs/>
        </w:rPr>
        <w:tab/>
      </w:r>
      <w:r w:rsidR="00BE1463" w:rsidRPr="007C7DB4">
        <w:rPr>
          <w:i/>
          <w:iCs/>
        </w:rPr>
        <w:t>Respondents/Affected Entities</w:t>
      </w:r>
      <w:r w:rsidR="00BE1463" w:rsidRPr="007C7DB4">
        <w:t xml:space="preserve">: Entities potentially affected by this ICR are </w:t>
      </w:r>
      <w:r w:rsidRPr="007C7DB4">
        <w:rPr>
          <w:bCs/>
        </w:rPr>
        <w:t>state and local government employers in 24 states, the District of Columbia, and certain U.S. Territories that have employees engaged in asbestos-related construction, custodial and brake and clutch repair activities without OSHA-approved state plans</w:t>
      </w:r>
      <w:r w:rsidR="00BE1463" w:rsidRPr="007C7DB4">
        <w:t>.</w:t>
      </w:r>
    </w:p>
    <w:p w:rsidR="00BE1463" w:rsidRPr="007C7DB4" w:rsidRDefault="00D135F4" w:rsidP="007C7DB4">
      <w:pPr>
        <w:spacing w:line="480" w:lineRule="auto"/>
      </w:pPr>
      <w:r w:rsidRPr="007C7DB4">
        <w:tab/>
      </w:r>
      <w:r w:rsidRPr="007C7DB4">
        <w:rPr>
          <w:i/>
        </w:rPr>
        <w:t>Respondent’s obligation to respond</w:t>
      </w:r>
      <w:r w:rsidRPr="007C7DB4">
        <w:t xml:space="preserve">: </w:t>
      </w:r>
      <w:r w:rsidR="008D5720" w:rsidRPr="007C7DB4">
        <w:t>Responses to the collection of information are mandatory (see 40 CFR 763 Subpart</w:t>
      </w:r>
      <w:r w:rsidR="00E7568C" w:rsidRPr="007C7DB4">
        <w:t xml:space="preserve"> G). </w:t>
      </w:r>
      <w:r w:rsidR="00B65488" w:rsidRPr="007C7DB4">
        <w:t>Respondents may claim all or part of a notice confidential. EPA will disclose information that is covered by a claim of confidentiality only to the extent permitted by, and in accordance with, the procedures in TSCA section 14 and 40 CFR part 2</w:t>
      </w:r>
      <w:r w:rsidRPr="007C7DB4">
        <w:rPr>
          <w:bCs/>
        </w:rPr>
        <w:t>.</w:t>
      </w:r>
      <w:r w:rsidR="0022550B" w:rsidRPr="007C7DB4">
        <w:rPr>
          <w:lang w:val="en-CA"/>
        </w:rPr>
        <w:fldChar w:fldCharType="begin"/>
      </w:r>
      <w:r w:rsidR="00BE1463" w:rsidRPr="007C7DB4">
        <w:rPr>
          <w:lang w:val="en-CA"/>
        </w:rPr>
        <w:instrText xml:space="preserve"> SEQ CHAPTER \h \r 1</w:instrText>
      </w:r>
      <w:r w:rsidR="0022550B" w:rsidRPr="007C7DB4">
        <w:rPr>
          <w:lang w:val="en-CA"/>
        </w:rPr>
        <w:fldChar w:fldCharType="end"/>
      </w:r>
      <w:r w:rsidR="0022550B" w:rsidRPr="007C7DB4">
        <w:rPr>
          <w:lang w:val="en-CA"/>
        </w:rPr>
        <w:fldChar w:fldCharType="begin"/>
      </w:r>
      <w:r w:rsidR="00BE1463" w:rsidRPr="007C7DB4">
        <w:rPr>
          <w:lang w:val="en-CA"/>
        </w:rPr>
        <w:instrText xml:space="preserve"> SEQ CHAPTER \h \r 1</w:instrText>
      </w:r>
      <w:r w:rsidR="0022550B" w:rsidRPr="007C7DB4">
        <w:rPr>
          <w:lang w:val="en-CA"/>
        </w:rPr>
        <w:fldChar w:fldCharType="end"/>
      </w:r>
    </w:p>
    <w:p w:rsidR="00544373" w:rsidRPr="007C7DB4" w:rsidRDefault="00544373" w:rsidP="007C7DB4">
      <w:pPr>
        <w:spacing w:line="480" w:lineRule="auto"/>
      </w:pPr>
      <w:r w:rsidRPr="007C7DB4">
        <w:rPr>
          <w:i/>
          <w:iCs/>
        </w:rPr>
        <w:tab/>
        <w:t>Estimated total number of potential respondents</w:t>
      </w:r>
      <w:r w:rsidRPr="007C7DB4">
        <w:t>:</w:t>
      </w:r>
      <w:r w:rsidR="00A54665" w:rsidRPr="007C7DB4">
        <w:t xml:space="preserve"> </w:t>
      </w:r>
      <w:r w:rsidR="008D5720" w:rsidRPr="007C7DB4">
        <w:rPr>
          <w:bCs/>
        </w:rPr>
        <w:t>23,437</w:t>
      </w:r>
      <w:r w:rsidRPr="007C7DB4">
        <w:t>.</w:t>
      </w:r>
    </w:p>
    <w:p w:rsidR="00544373" w:rsidRPr="007C7DB4" w:rsidRDefault="00544373" w:rsidP="007C7DB4">
      <w:pPr>
        <w:spacing w:line="480" w:lineRule="auto"/>
      </w:pPr>
      <w:r w:rsidRPr="007C7DB4">
        <w:rPr>
          <w:i/>
          <w:iCs/>
        </w:rPr>
        <w:tab/>
        <w:t>Frequency of response</w:t>
      </w:r>
      <w:r w:rsidRPr="007C7DB4">
        <w:t>:</w:t>
      </w:r>
      <w:r w:rsidR="00A54665" w:rsidRPr="007C7DB4">
        <w:t xml:space="preserve"> </w:t>
      </w:r>
      <w:r w:rsidRPr="007C7DB4">
        <w:t xml:space="preserve"> On occasion.</w:t>
      </w:r>
    </w:p>
    <w:p w:rsidR="00544373" w:rsidRPr="007C7DB4" w:rsidRDefault="00544373" w:rsidP="007C7DB4">
      <w:pPr>
        <w:spacing w:line="480" w:lineRule="auto"/>
      </w:pPr>
      <w:r w:rsidRPr="007C7DB4">
        <w:rPr>
          <w:i/>
          <w:iCs/>
        </w:rPr>
        <w:tab/>
        <w:t>Estimated total burden</w:t>
      </w:r>
      <w:r w:rsidRPr="007C7DB4">
        <w:t>:</w:t>
      </w:r>
      <w:r w:rsidR="00A54665" w:rsidRPr="007C7DB4">
        <w:t xml:space="preserve"> </w:t>
      </w:r>
      <w:r w:rsidRPr="007C7DB4">
        <w:t xml:space="preserve"> </w:t>
      </w:r>
      <w:r w:rsidR="008D5720" w:rsidRPr="007C7DB4">
        <w:rPr>
          <w:bCs/>
        </w:rPr>
        <w:t xml:space="preserve">372,969 </w:t>
      </w:r>
      <w:r w:rsidRPr="007C7DB4">
        <w:t>hours</w:t>
      </w:r>
      <w:r w:rsidR="00D135F4" w:rsidRPr="007C7DB4">
        <w:t xml:space="preserve"> (per year)</w:t>
      </w:r>
      <w:r w:rsidRPr="007C7DB4">
        <w:t>.</w:t>
      </w:r>
      <w:r w:rsidR="00D135F4" w:rsidRPr="007C7DB4">
        <w:t xml:space="preserve"> Burden is defined at 5 CFR 1320.3(b).</w:t>
      </w:r>
    </w:p>
    <w:p w:rsidR="00544373" w:rsidRPr="007C7DB4" w:rsidRDefault="00544373" w:rsidP="007C7DB4">
      <w:pPr>
        <w:spacing w:line="480" w:lineRule="auto"/>
        <w:rPr>
          <w:bCs/>
        </w:rPr>
      </w:pPr>
      <w:r w:rsidRPr="007C7DB4">
        <w:rPr>
          <w:i/>
          <w:iCs/>
        </w:rPr>
        <w:tab/>
        <w:t>Estimated total costs</w:t>
      </w:r>
      <w:r w:rsidRPr="007C7DB4">
        <w:t xml:space="preserve">: </w:t>
      </w:r>
      <w:r w:rsidR="00A54665" w:rsidRPr="007C7DB4">
        <w:t xml:space="preserve"> </w:t>
      </w:r>
      <w:r w:rsidRPr="007C7DB4">
        <w:t xml:space="preserve">$ </w:t>
      </w:r>
      <w:r w:rsidR="008D5720" w:rsidRPr="007C7DB4">
        <w:rPr>
          <w:bCs/>
        </w:rPr>
        <w:t>15,763,007</w:t>
      </w:r>
      <w:r w:rsidR="007C332A" w:rsidRPr="007C7DB4">
        <w:rPr>
          <w:bCs/>
        </w:rPr>
        <w:t xml:space="preserve"> (per year), includes </w:t>
      </w:r>
      <w:r w:rsidR="009D3620" w:rsidRPr="007C7DB4">
        <w:rPr>
          <w:bCs/>
        </w:rPr>
        <w:t>no</w:t>
      </w:r>
      <w:r w:rsidR="007C332A" w:rsidRPr="007C7DB4">
        <w:rPr>
          <w:bCs/>
        </w:rPr>
        <w:t xml:space="preserve"> annualized </w:t>
      </w:r>
      <w:r w:rsidRPr="007C7DB4">
        <w:t>capital investment or maintenance and operational costs.</w:t>
      </w:r>
    </w:p>
    <w:p w:rsidR="00B8448D" w:rsidRPr="007C7DB4" w:rsidRDefault="00B8448D" w:rsidP="00FB1D85">
      <w:pPr>
        <w:spacing w:line="480" w:lineRule="auto"/>
        <w:ind w:firstLine="720"/>
        <w:rPr>
          <w:bCs/>
        </w:rPr>
      </w:pPr>
      <w:r w:rsidRPr="007C7DB4">
        <w:rPr>
          <w:i/>
        </w:rPr>
        <w:t>Changes in the estimates</w:t>
      </w:r>
      <w:r w:rsidRPr="007C7DB4">
        <w:t xml:space="preserve">: </w:t>
      </w:r>
      <w:r w:rsidR="00FB1D85">
        <w:t xml:space="preserve"> </w:t>
      </w:r>
      <w:r w:rsidR="00544373" w:rsidRPr="007C7DB4">
        <w:t>There is a</w:t>
      </w:r>
      <w:r w:rsidR="008D5720" w:rsidRPr="007C7DB4">
        <w:t xml:space="preserve"> </w:t>
      </w:r>
      <w:r w:rsidR="00806C09" w:rsidRPr="007C7DB4">
        <w:t>n</w:t>
      </w:r>
      <w:r w:rsidR="008D5720" w:rsidRPr="007C7DB4">
        <w:t>et</w:t>
      </w:r>
      <w:r w:rsidR="00544373" w:rsidRPr="007C7DB4">
        <w:t xml:space="preserve"> </w:t>
      </w:r>
      <w:r w:rsidR="00806C09" w:rsidRPr="007C7DB4">
        <w:t>in</w:t>
      </w:r>
      <w:r w:rsidR="00544373" w:rsidRPr="007C7DB4">
        <w:t xml:space="preserve">crease of </w:t>
      </w:r>
      <w:r w:rsidR="008D5720" w:rsidRPr="007C7DB4">
        <w:rPr>
          <w:bCs/>
        </w:rPr>
        <w:t>9,452</w:t>
      </w:r>
      <w:r w:rsidR="00544373" w:rsidRPr="007C7DB4">
        <w:t xml:space="preserve"> hours in the total estimated respondent burden compared with that identified in the ICR currently approved by OMB. This </w:t>
      </w:r>
      <w:r w:rsidR="00806C09" w:rsidRPr="007C7DB4">
        <w:t>in</w:t>
      </w:r>
      <w:r w:rsidR="00544373" w:rsidRPr="007C7DB4">
        <w:t xml:space="preserve">crease </w:t>
      </w:r>
      <w:r w:rsidR="00806C09" w:rsidRPr="007C7DB4">
        <w:t>reflects</w:t>
      </w:r>
      <w:r w:rsidR="009D3620" w:rsidRPr="007C7DB4">
        <w:rPr>
          <w:bCs/>
        </w:rPr>
        <w:t xml:space="preserve"> </w:t>
      </w:r>
      <w:r w:rsidR="008D5720" w:rsidRPr="007C7DB4">
        <w:rPr>
          <w:bCs/>
        </w:rPr>
        <w:t>an increase of 24,371 hours to account for updates made from previous ICRs to standardize methodology, and a decrease of 14,919 hours due to Maine’s new status of having an OSHA-approved state plan whereby its entities are no longer covered under this ICR</w:t>
      </w:r>
      <w:r w:rsidR="00544373" w:rsidRPr="007C7DB4">
        <w:rPr>
          <w:bCs/>
        </w:rPr>
        <w:t>.</w:t>
      </w:r>
      <w:r w:rsidR="00544373" w:rsidRPr="007C7DB4">
        <w:t xml:space="preserve"> This change is an adjustment.</w:t>
      </w:r>
    </w:p>
    <w:p w:rsidR="00544373" w:rsidRPr="007C7DB4" w:rsidRDefault="00F03461" w:rsidP="007C7DB4">
      <w:pPr>
        <w:spacing w:line="480" w:lineRule="auto"/>
        <w:ind w:firstLine="720"/>
        <w:rPr>
          <w:b/>
          <w:bCs/>
        </w:rPr>
      </w:pPr>
      <w:r w:rsidRPr="007C7DB4">
        <w:rPr>
          <w:b/>
          <w:bCs/>
        </w:rPr>
        <w:t xml:space="preserve">Authority: </w:t>
      </w:r>
      <w:r w:rsidRPr="007C7DB4">
        <w:t xml:space="preserve">44 U.S.C. 3501 </w:t>
      </w:r>
      <w:r w:rsidRPr="007C7DB4">
        <w:rPr>
          <w:i/>
        </w:rPr>
        <w:t>et seq</w:t>
      </w:r>
      <w:r w:rsidRPr="007C7DB4">
        <w:t>.</w:t>
      </w:r>
    </w:p>
    <w:p w:rsidR="00F44A4E" w:rsidRPr="007C7DB4" w:rsidRDefault="00F44A4E" w:rsidP="007C7DB4">
      <w:pPr>
        <w:spacing w:line="480" w:lineRule="auto"/>
      </w:pPr>
    </w:p>
    <w:p w:rsidR="00544373" w:rsidRPr="007C7DB4" w:rsidRDefault="00544373" w:rsidP="007C7DB4">
      <w:pPr>
        <w:spacing w:line="480" w:lineRule="auto"/>
      </w:pPr>
      <w:r w:rsidRPr="007C7DB4">
        <w:t>Dated: ________</w:t>
      </w:r>
      <w:r w:rsidR="00F44A4E" w:rsidRPr="007C7DB4">
        <w:t>__________</w:t>
      </w:r>
      <w:r w:rsidR="007C7DB4">
        <w:t>,</w:t>
      </w:r>
    </w:p>
    <w:p w:rsidR="00F44A4E" w:rsidRPr="007C7DB4" w:rsidRDefault="00F44A4E" w:rsidP="007C7DB4">
      <w:pPr>
        <w:spacing w:line="480" w:lineRule="auto"/>
      </w:pPr>
    </w:p>
    <w:p w:rsidR="00544373" w:rsidRPr="007C7DB4" w:rsidRDefault="00544373" w:rsidP="007C7DB4">
      <w:pPr>
        <w:spacing w:line="480" w:lineRule="auto"/>
      </w:pPr>
      <w:r w:rsidRPr="007C7DB4">
        <w:t xml:space="preserve"> ________________</w:t>
      </w:r>
      <w:r w:rsidR="00F44A4E" w:rsidRPr="007C7DB4">
        <w:t>_________________________</w:t>
      </w:r>
    </w:p>
    <w:p w:rsidR="00644962" w:rsidRPr="007C7DB4" w:rsidRDefault="007C7DB4" w:rsidP="007C7DB4">
      <w:pPr>
        <w:spacing w:line="480" w:lineRule="auto"/>
        <w:rPr>
          <w:i/>
        </w:rPr>
      </w:pPr>
      <w:r>
        <w:rPr>
          <w:i/>
        </w:rPr>
        <w:t xml:space="preserve">Courtney Kerwin, </w:t>
      </w:r>
    </w:p>
    <w:p w:rsidR="00F50DF3" w:rsidRPr="007C7DB4" w:rsidRDefault="00D325B1" w:rsidP="007C7DB4">
      <w:pPr>
        <w:spacing w:line="480" w:lineRule="auto"/>
      </w:pPr>
      <w:r w:rsidRPr="007C7DB4">
        <w:rPr>
          <w:i/>
        </w:rPr>
        <w:t>Director, Collection Strategies Division</w:t>
      </w:r>
      <w:r w:rsidR="00544373" w:rsidRPr="007C7DB4">
        <w:t>.</w:t>
      </w:r>
    </w:p>
    <w:sectPr w:rsidR="00F50DF3" w:rsidRPr="007C7DB4" w:rsidSect="00E2187E">
      <w:headerReference w:type="even" r:id="rId8"/>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DAF" w:rsidRDefault="00862DAF">
      <w:r>
        <w:separator/>
      </w:r>
    </w:p>
  </w:endnote>
  <w:endnote w:type="continuationSeparator" w:id="0">
    <w:p w:rsidR="00862DAF" w:rsidRDefault="0086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FC" w:rsidRDefault="0022550B" w:rsidP="00544373">
    <w:pPr>
      <w:pStyle w:val="Footer"/>
      <w:framePr w:wrap="around" w:vAnchor="text" w:hAnchor="margin" w:xAlign="center" w:y="1"/>
      <w:rPr>
        <w:rStyle w:val="PageNumber"/>
      </w:rPr>
    </w:pPr>
    <w:r>
      <w:rPr>
        <w:rStyle w:val="PageNumber"/>
      </w:rPr>
      <w:fldChar w:fldCharType="begin"/>
    </w:r>
    <w:r w:rsidR="007637FC">
      <w:rPr>
        <w:rStyle w:val="PageNumber"/>
      </w:rPr>
      <w:instrText xml:space="preserve">PAGE  </w:instrText>
    </w:r>
    <w:r>
      <w:rPr>
        <w:rStyle w:val="PageNumber"/>
      </w:rPr>
      <w:fldChar w:fldCharType="end"/>
    </w:r>
  </w:p>
  <w:p w:rsidR="007637FC" w:rsidRDefault="007637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FC" w:rsidRDefault="007637FC" w:rsidP="00544373">
    <w:pPr>
      <w:pStyle w:val="Footer"/>
      <w:framePr w:wrap="around" w:vAnchor="text" w:hAnchor="margin" w:xAlign="center" w:y="1"/>
      <w:rPr>
        <w:rStyle w:val="PageNumber"/>
      </w:rPr>
    </w:pPr>
  </w:p>
  <w:p w:rsidR="007637FC" w:rsidRDefault="00763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DAF" w:rsidRDefault="00862DAF">
      <w:r>
        <w:separator/>
      </w:r>
    </w:p>
  </w:footnote>
  <w:footnote w:type="continuationSeparator" w:id="0">
    <w:p w:rsidR="00862DAF" w:rsidRDefault="00862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FC" w:rsidRDefault="0022550B" w:rsidP="00DF72AC">
    <w:pPr>
      <w:pStyle w:val="Header"/>
      <w:framePr w:wrap="around" w:vAnchor="text" w:hAnchor="margin" w:xAlign="center" w:y="1"/>
      <w:rPr>
        <w:rStyle w:val="PageNumber"/>
      </w:rPr>
    </w:pPr>
    <w:r>
      <w:rPr>
        <w:rStyle w:val="PageNumber"/>
      </w:rPr>
      <w:fldChar w:fldCharType="begin"/>
    </w:r>
    <w:r w:rsidR="007637FC">
      <w:rPr>
        <w:rStyle w:val="PageNumber"/>
      </w:rPr>
      <w:instrText xml:space="preserve">PAGE  </w:instrText>
    </w:r>
    <w:r>
      <w:rPr>
        <w:rStyle w:val="PageNumber"/>
      </w:rPr>
      <w:fldChar w:fldCharType="end"/>
    </w:r>
  </w:p>
  <w:p w:rsidR="007637FC" w:rsidRDefault="007637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FC" w:rsidRDefault="0022550B" w:rsidP="00544373">
    <w:pPr>
      <w:pStyle w:val="Header"/>
      <w:framePr w:wrap="around" w:vAnchor="text" w:hAnchor="margin" w:xAlign="center" w:y="1"/>
      <w:rPr>
        <w:rStyle w:val="PageNumber"/>
      </w:rPr>
    </w:pPr>
    <w:r>
      <w:rPr>
        <w:rStyle w:val="PageNumber"/>
      </w:rPr>
      <w:fldChar w:fldCharType="begin"/>
    </w:r>
    <w:r w:rsidR="007637FC">
      <w:rPr>
        <w:rStyle w:val="PageNumber"/>
      </w:rPr>
      <w:instrText xml:space="preserve"> PAGE </w:instrText>
    </w:r>
    <w:r>
      <w:rPr>
        <w:rStyle w:val="PageNumber"/>
      </w:rPr>
      <w:fldChar w:fldCharType="separate"/>
    </w:r>
    <w:r w:rsidR="00351C54">
      <w:rPr>
        <w:rStyle w:val="PageNumber"/>
        <w:noProof/>
      </w:rPr>
      <w:t>2</w:t>
    </w:r>
    <w:r>
      <w:rPr>
        <w:rStyle w:val="PageNumber"/>
      </w:rPr>
      <w:fldChar w:fldCharType="end"/>
    </w:r>
  </w:p>
  <w:p w:rsidR="007637FC" w:rsidRDefault="007637FC" w:rsidP="00DF72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55E9E"/>
    <w:multiLevelType w:val="hybridMultilevel"/>
    <w:tmpl w:val="E814E8A0"/>
    <w:lvl w:ilvl="0" w:tplc="0F6CE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1B1275E"/>
    <w:multiLevelType w:val="hybridMultilevel"/>
    <w:tmpl w:val="FFB6911A"/>
    <w:lvl w:ilvl="0" w:tplc="C24C6DD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AF"/>
    <w:rsid w:val="00034158"/>
    <w:rsid w:val="000363AC"/>
    <w:rsid w:val="00086622"/>
    <w:rsid w:val="000A136D"/>
    <w:rsid w:val="000B0003"/>
    <w:rsid w:val="000D6676"/>
    <w:rsid w:val="000E5188"/>
    <w:rsid w:val="001040DC"/>
    <w:rsid w:val="001409D4"/>
    <w:rsid w:val="00184C07"/>
    <w:rsid w:val="00192D7A"/>
    <w:rsid w:val="001A1032"/>
    <w:rsid w:val="001A155D"/>
    <w:rsid w:val="001A37FA"/>
    <w:rsid w:val="001A4853"/>
    <w:rsid w:val="001B2BAE"/>
    <w:rsid w:val="001C2181"/>
    <w:rsid w:val="001F67A3"/>
    <w:rsid w:val="002049D5"/>
    <w:rsid w:val="0022550B"/>
    <w:rsid w:val="00251392"/>
    <w:rsid w:val="00260CDA"/>
    <w:rsid w:val="00264C7F"/>
    <w:rsid w:val="002A1FB9"/>
    <w:rsid w:val="002A28A6"/>
    <w:rsid w:val="002C654A"/>
    <w:rsid w:val="002F1A0A"/>
    <w:rsid w:val="00300490"/>
    <w:rsid w:val="00301FE2"/>
    <w:rsid w:val="0030609C"/>
    <w:rsid w:val="00317F61"/>
    <w:rsid w:val="00332289"/>
    <w:rsid w:val="00334834"/>
    <w:rsid w:val="0034636E"/>
    <w:rsid w:val="00351C54"/>
    <w:rsid w:val="003665E0"/>
    <w:rsid w:val="00383FE5"/>
    <w:rsid w:val="00386554"/>
    <w:rsid w:val="003B3DFA"/>
    <w:rsid w:val="003C4F81"/>
    <w:rsid w:val="003D2EB3"/>
    <w:rsid w:val="003D331C"/>
    <w:rsid w:val="003E3215"/>
    <w:rsid w:val="0040087B"/>
    <w:rsid w:val="00401A76"/>
    <w:rsid w:val="00405476"/>
    <w:rsid w:val="00412FD6"/>
    <w:rsid w:val="00422FEF"/>
    <w:rsid w:val="00461349"/>
    <w:rsid w:val="004670F4"/>
    <w:rsid w:val="004724FC"/>
    <w:rsid w:val="0047695D"/>
    <w:rsid w:val="0047792D"/>
    <w:rsid w:val="004A4A40"/>
    <w:rsid w:val="0050247F"/>
    <w:rsid w:val="00504454"/>
    <w:rsid w:val="00505168"/>
    <w:rsid w:val="005325F0"/>
    <w:rsid w:val="00534C37"/>
    <w:rsid w:val="00540C67"/>
    <w:rsid w:val="00544373"/>
    <w:rsid w:val="00546E5D"/>
    <w:rsid w:val="0056270A"/>
    <w:rsid w:val="00567645"/>
    <w:rsid w:val="00573212"/>
    <w:rsid w:val="005913E7"/>
    <w:rsid w:val="005A5B2C"/>
    <w:rsid w:val="005E0F73"/>
    <w:rsid w:val="00606224"/>
    <w:rsid w:val="00644962"/>
    <w:rsid w:val="00664A6B"/>
    <w:rsid w:val="00667A44"/>
    <w:rsid w:val="00682046"/>
    <w:rsid w:val="0068556D"/>
    <w:rsid w:val="006B35EC"/>
    <w:rsid w:val="006C333E"/>
    <w:rsid w:val="0072702F"/>
    <w:rsid w:val="0073136D"/>
    <w:rsid w:val="00752C52"/>
    <w:rsid w:val="007637FC"/>
    <w:rsid w:val="00770B27"/>
    <w:rsid w:val="00780BE2"/>
    <w:rsid w:val="00783B7F"/>
    <w:rsid w:val="0078775A"/>
    <w:rsid w:val="007903DA"/>
    <w:rsid w:val="007A1BBF"/>
    <w:rsid w:val="007C17D2"/>
    <w:rsid w:val="007C332A"/>
    <w:rsid w:val="007C51F9"/>
    <w:rsid w:val="007C7DB4"/>
    <w:rsid w:val="007D0989"/>
    <w:rsid w:val="007F2ABF"/>
    <w:rsid w:val="00806C09"/>
    <w:rsid w:val="00816C3E"/>
    <w:rsid w:val="00846F60"/>
    <w:rsid w:val="00850504"/>
    <w:rsid w:val="0085631F"/>
    <w:rsid w:val="00862DAF"/>
    <w:rsid w:val="008711AB"/>
    <w:rsid w:val="008762F3"/>
    <w:rsid w:val="00886736"/>
    <w:rsid w:val="008B3BE4"/>
    <w:rsid w:val="008B3C42"/>
    <w:rsid w:val="008B7E5E"/>
    <w:rsid w:val="008D3E5D"/>
    <w:rsid w:val="008D5720"/>
    <w:rsid w:val="008E3A80"/>
    <w:rsid w:val="008F507A"/>
    <w:rsid w:val="00901489"/>
    <w:rsid w:val="009148FE"/>
    <w:rsid w:val="00951278"/>
    <w:rsid w:val="009638F7"/>
    <w:rsid w:val="00967A87"/>
    <w:rsid w:val="00980134"/>
    <w:rsid w:val="00980788"/>
    <w:rsid w:val="00984AB8"/>
    <w:rsid w:val="009C154B"/>
    <w:rsid w:val="009C5F37"/>
    <w:rsid w:val="009D3620"/>
    <w:rsid w:val="009D661F"/>
    <w:rsid w:val="009E25B7"/>
    <w:rsid w:val="009F1B60"/>
    <w:rsid w:val="009F46FC"/>
    <w:rsid w:val="009F6DDC"/>
    <w:rsid w:val="00A314E8"/>
    <w:rsid w:val="00A34122"/>
    <w:rsid w:val="00A47282"/>
    <w:rsid w:val="00A50361"/>
    <w:rsid w:val="00A54665"/>
    <w:rsid w:val="00A81D5D"/>
    <w:rsid w:val="00AA4E16"/>
    <w:rsid w:val="00AA544F"/>
    <w:rsid w:val="00AA5FC3"/>
    <w:rsid w:val="00AC68B7"/>
    <w:rsid w:val="00AD5F69"/>
    <w:rsid w:val="00AE4F76"/>
    <w:rsid w:val="00B0335D"/>
    <w:rsid w:val="00B21063"/>
    <w:rsid w:val="00B42897"/>
    <w:rsid w:val="00B47ED5"/>
    <w:rsid w:val="00B65488"/>
    <w:rsid w:val="00B7026F"/>
    <w:rsid w:val="00B83D4A"/>
    <w:rsid w:val="00B8448D"/>
    <w:rsid w:val="00BC0070"/>
    <w:rsid w:val="00BE1463"/>
    <w:rsid w:val="00BE1974"/>
    <w:rsid w:val="00BE47D3"/>
    <w:rsid w:val="00BF29C1"/>
    <w:rsid w:val="00C04F70"/>
    <w:rsid w:val="00C134B5"/>
    <w:rsid w:val="00C21CAC"/>
    <w:rsid w:val="00C35DC1"/>
    <w:rsid w:val="00C4010B"/>
    <w:rsid w:val="00C43E09"/>
    <w:rsid w:val="00C46323"/>
    <w:rsid w:val="00C82CEE"/>
    <w:rsid w:val="00C91487"/>
    <w:rsid w:val="00C97B6A"/>
    <w:rsid w:val="00CA0F73"/>
    <w:rsid w:val="00CB6FCD"/>
    <w:rsid w:val="00CD5B3A"/>
    <w:rsid w:val="00CF27D0"/>
    <w:rsid w:val="00D057FF"/>
    <w:rsid w:val="00D135F4"/>
    <w:rsid w:val="00D308AE"/>
    <w:rsid w:val="00D325B1"/>
    <w:rsid w:val="00D35BA8"/>
    <w:rsid w:val="00D46DCB"/>
    <w:rsid w:val="00D56576"/>
    <w:rsid w:val="00D65856"/>
    <w:rsid w:val="00D83834"/>
    <w:rsid w:val="00DC7393"/>
    <w:rsid w:val="00DE09BD"/>
    <w:rsid w:val="00DE26BF"/>
    <w:rsid w:val="00DE378A"/>
    <w:rsid w:val="00DF72AC"/>
    <w:rsid w:val="00E2187E"/>
    <w:rsid w:val="00E23674"/>
    <w:rsid w:val="00E4526A"/>
    <w:rsid w:val="00E4641C"/>
    <w:rsid w:val="00E754F4"/>
    <w:rsid w:val="00E7568C"/>
    <w:rsid w:val="00E769A5"/>
    <w:rsid w:val="00E840DF"/>
    <w:rsid w:val="00E939E3"/>
    <w:rsid w:val="00E976FE"/>
    <w:rsid w:val="00EA4625"/>
    <w:rsid w:val="00EB0FCF"/>
    <w:rsid w:val="00EC080E"/>
    <w:rsid w:val="00EF5C03"/>
    <w:rsid w:val="00F03461"/>
    <w:rsid w:val="00F156AF"/>
    <w:rsid w:val="00F373EF"/>
    <w:rsid w:val="00F44A4E"/>
    <w:rsid w:val="00F50DF3"/>
    <w:rsid w:val="00F56EE4"/>
    <w:rsid w:val="00F659AD"/>
    <w:rsid w:val="00F712AE"/>
    <w:rsid w:val="00FA46C0"/>
    <w:rsid w:val="00FA553F"/>
    <w:rsid w:val="00FB13DC"/>
    <w:rsid w:val="00FB192C"/>
    <w:rsid w:val="00FB1D85"/>
    <w:rsid w:val="00FC774F"/>
    <w:rsid w:val="00FF0E95"/>
    <w:rsid w:val="00FF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373"/>
    <w:pPr>
      <w:tabs>
        <w:tab w:val="center" w:pos="4320"/>
        <w:tab w:val="right" w:pos="8640"/>
      </w:tabs>
    </w:pPr>
  </w:style>
  <w:style w:type="character" w:styleId="PageNumber">
    <w:name w:val="page number"/>
    <w:basedOn w:val="DefaultParagraphFont"/>
    <w:semiHidden/>
    <w:rsid w:val="00544373"/>
  </w:style>
  <w:style w:type="character" w:customStyle="1" w:styleId="GPOBold">
    <w:name w:val="GPO Bold"/>
    <w:rsid w:val="00544373"/>
    <w:rPr>
      <w:b/>
      <w:bCs/>
    </w:rPr>
  </w:style>
  <w:style w:type="character" w:customStyle="1" w:styleId="GPOItalic">
    <w:name w:val="GPO Italic"/>
    <w:basedOn w:val="DefaultParagraphFont"/>
    <w:rsid w:val="00544373"/>
    <w:rPr>
      <w:bCs/>
      <w:i/>
    </w:rPr>
  </w:style>
  <w:style w:type="paragraph" w:customStyle="1" w:styleId="GPOAGENCY">
    <w:name w:val="GPO AGENCY"/>
    <w:basedOn w:val="Normal"/>
    <w:link w:val="GPOAGENCYChar"/>
    <w:rsid w:val="00544373"/>
    <w:rPr>
      <w:b/>
      <w:bCs/>
    </w:rPr>
  </w:style>
  <w:style w:type="character" w:customStyle="1" w:styleId="GPOInlineP">
    <w:name w:val="GPO InlineP"/>
    <w:rsid w:val="00544373"/>
    <w:rPr>
      <w:rFonts w:ascii="Times New Roman" w:hAnsi="Times New Roman"/>
      <w:sz w:val="20"/>
    </w:rPr>
  </w:style>
  <w:style w:type="paragraph" w:styleId="Footer">
    <w:name w:val="footer"/>
    <w:basedOn w:val="Normal"/>
    <w:rsid w:val="00544373"/>
    <w:pPr>
      <w:tabs>
        <w:tab w:val="center" w:pos="4320"/>
        <w:tab w:val="right" w:pos="8640"/>
      </w:tabs>
    </w:pPr>
  </w:style>
  <w:style w:type="character" w:customStyle="1" w:styleId="GPOAGENCYChar">
    <w:name w:val="GPO AGENCY Char"/>
    <w:basedOn w:val="DefaultParagraphFont"/>
    <w:link w:val="GPOAGENCY"/>
    <w:locked/>
    <w:rsid w:val="00544373"/>
    <w:rPr>
      <w:b/>
      <w:bCs/>
      <w:sz w:val="24"/>
      <w:szCs w:val="24"/>
      <w:lang w:val="en-US" w:eastAsia="en-US" w:bidi="ar-SA"/>
    </w:rPr>
  </w:style>
  <w:style w:type="character" w:styleId="Hyperlink">
    <w:name w:val="Hyperlink"/>
    <w:basedOn w:val="DefaultParagraphFont"/>
    <w:rsid w:val="00544373"/>
    <w:rPr>
      <w:color w:val="0000FF"/>
      <w:u w:val="single"/>
    </w:rPr>
  </w:style>
  <w:style w:type="character" w:customStyle="1" w:styleId="HeaderChar">
    <w:name w:val="Header Char"/>
    <w:basedOn w:val="DefaultParagraphFont"/>
    <w:link w:val="Header"/>
    <w:uiPriority w:val="99"/>
    <w:rsid w:val="00770B27"/>
    <w:rPr>
      <w:sz w:val="24"/>
      <w:szCs w:val="24"/>
    </w:rPr>
  </w:style>
  <w:style w:type="paragraph" w:styleId="BalloonText">
    <w:name w:val="Balloon Text"/>
    <w:basedOn w:val="Normal"/>
    <w:link w:val="BalloonTextChar"/>
    <w:rsid w:val="00770B27"/>
    <w:rPr>
      <w:rFonts w:ascii="Tahoma" w:hAnsi="Tahoma" w:cs="Tahoma"/>
      <w:sz w:val="16"/>
      <w:szCs w:val="16"/>
    </w:rPr>
  </w:style>
  <w:style w:type="character" w:customStyle="1" w:styleId="BalloonTextChar">
    <w:name w:val="Balloon Text Char"/>
    <w:basedOn w:val="DefaultParagraphFont"/>
    <w:link w:val="BalloonText"/>
    <w:rsid w:val="00770B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373"/>
    <w:pPr>
      <w:tabs>
        <w:tab w:val="center" w:pos="4320"/>
        <w:tab w:val="right" w:pos="8640"/>
      </w:tabs>
    </w:pPr>
  </w:style>
  <w:style w:type="character" w:styleId="PageNumber">
    <w:name w:val="page number"/>
    <w:basedOn w:val="DefaultParagraphFont"/>
    <w:semiHidden/>
    <w:rsid w:val="00544373"/>
  </w:style>
  <w:style w:type="character" w:customStyle="1" w:styleId="GPOBold">
    <w:name w:val="GPO Bold"/>
    <w:rsid w:val="00544373"/>
    <w:rPr>
      <w:b/>
      <w:bCs/>
    </w:rPr>
  </w:style>
  <w:style w:type="character" w:customStyle="1" w:styleId="GPOItalic">
    <w:name w:val="GPO Italic"/>
    <w:basedOn w:val="DefaultParagraphFont"/>
    <w:rsid w:val="00544373"/>
    <w:rPr>
      <w:bCs/>
      <w:i/>
    </w:rPr>
  </w:style>
  <w:style w:type="paragraph" w:customStyle="1" w:styleId="GPOAGENCY">
    <w:name w:val="GPO AGENCY"/>
    <w:basedOn w:val="Normal"/>
    <w:link w:val="GPOAGENCYChar"/>
    <w:rsid w:val="00544373"/>
    <w:rPr>
      <w:b/>
      <w:bCs/>
    </w:rPr>
  </w:style>
  <w:style w:type="character" w:customStyle="1" w:styleId="GPOInlineP">
    <w:name w:val="GPO InlineP"/>
    <w:rsid w:val="00544373"/>
    <w:rPr>
      <w:rFonts w:ascii="Times New Roman" w:hAnsi="Times New Roman"/>
      <w:sz w:val="20"/>
    </w:rPr>
  </w:style>
  <w:style w:type="paragraph" w:styleId="Footer">
    <w:name w:val="footer"/>
    <w:basedOn w:val="Normal"/>
    <w:rsid w:val="00544373"/>
    <w:pPr>
      <w:tabs>
        <w:tab w:val="center" w:pos="4320"/>
        <w:tab w:val="right" w:pos="8640"/>
      </w:tabs>
    </w:pPr>
  </w:style>
  <w:style w:type="character" w:customStyle="1" w:styleId="GPOAGENCYChar">
    <w:name w:val="GPO AGENCY Char"/>
    <w:basedOn w:val="DefaultParagraphFont"/>
    <w:link w:val="GPOAGENCY"/>
    <w:locked/>
    <w:rsid w:val="00544373"/>
    <w:rPr>
      <w:b/>
      <w:bCs/>
      <w:sz w:val="24"/>
      <w:szCs w:val="24"/>
      <w:lang w:val="en-US" w:eastAsia="en-US" w:bidi="ar-SA"/>
    </w:rPr>
  </w:style>
  <w:style w:type="character" w:styleId="Hyperlink">
    <w:name w:val="Hyperlink"/>
    <w:basedOn w:val="DefaultParagraphFont"/>
    <w:rsid w:val="00544373"/>
    <w:rPr>
      <w:color w:val="0000FF"/>
      <w:u w:val="single"/>
    </w:rPr>
  </w:style>
  <w:style w:type="character" w:customStyle="1" w:styleId="HeaderChar">
    <w:name w:val="Header Char"/>
    <w:basedOn w:val="DefaultParagraphFont"/>
    <w:link w:val="Header"/>
    <w:uiPriority w:val="99"/>
    <w:rsid w:val="00770B27"/>
    <w:rPr>
      <w:sz w:val="24"/>
      <w:szCs w:val="24"/>
    </w:rPr>
  </w:style>
  <w:style w:type="paragraph" w:styleId="BalloonText">
    <w:name w:val="Balloon Text"/>
    <w:basedOn w:val="Normal"/>
    <w:link w:val="BalloonTextChar"/>
    <w:rsid w:val="00770B27"/>
    <w:rPr>
      <w:rFonts w:ascii="Tahoma" w:hAnsi="Tahoma" w:cs="Tahoma"/>
      <w:sz w:val="16"/>
      <w:szCs w:val="16"/>
    </w:rPr>
  </w:style>
  <w:style w:type="character" w:customStyle="1" w:styleId="BalloonTextChar">
    <w:name w:val="Balloon Text Char"/>
    <w:basedOn w:val="DefaultParagraphFont"/>
    <w:link w:val="BalloonText"/>
    <w:rsid w:val="00770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530029">
      <w:bodyDiv w:val="1"/>
      <w:marLeft w:val="0"/>
      <w:marRight w:val="0"/>
      <w:marTop w:val="0"/>
      <w:marBottom w:val="0"/>
      <w:divBdr>
        <w:top w:val="none" w:sz="0" w:space="0" w:color="auto"/>
        <w:left w:val="none" w:sz="0" w:space="0" w:color="auto"/>
        <w:bottom w:val="none" w:sz="0" w:space="0" w:color="auto"/>
        <w:right w:val="none" w:sz="0" w:space="0" w:color="auto"/>
      </w:divBdr>
    </w:div>
    <w:div w:id="687949355">
      <w:bodyDiv w:val="1"/>
      <w:marLeft w:val="0"/>
      <w:marRight w:val="0"/>
      <w:marTop w:val="0"/>
      <w:marBottom w:val="0"/>
      <w:divBdr>
        <w:top w:val="none" w:sz="0" w:space="0" w:color="auto"/>
        <w:left w:val="none" w:sz="0" w:space="0" w:color="auto"/>
        <w:bottom w:val="none" w:sz="0" w:space="0" w:color="auto"/>
        <w:right w:val="none" w:sz="0" w:space="0" w:color="auto"/>
      </w:divBdr>
    </w:div>
    <w:div w:id="18154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rlson\AppData\Local\Temp\wzc93e\743-icr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743-icr2</Template>
  <TotalTime>0</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US EPA</Company>
  <LinksUpToDate>false</LinksUpToDate>
  <CharactersWithSpaces>6894</CharactersWithSpaces>
  <SharedDoc>false</SharedDoc>
  <HLinks>
    <vt:vector size="12" baseType="variant">
      <vt:variant>
        <vt:i4>2818151</vt:i4>
      </vt:variant>
      <vt:variant>
        <vt:i4>7</vt:i4>
      </vt:variant>
      <vt:variant>
        <vt:i4>0</vt:i4>
      </vt:variant>
      <vt:variant>
        <vt:i4>5</vt:i4>
      </vt:variant>
      <vt:variant>
        <vt:lpwstr>http://www.regulations.gov/</vt:lpwstr>
      </vt:variant>
      <vt:variant>
        <vt:lpwstr/>
      </vt:variant>
      <vt:variant>
        <vt:i4>2818151</vt:i4>
      </vt:variant>
      <vt:variant>
        <vt:i4>4</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 EPA User or Contractor</dc:creator>
  <cp:keywords/>
  <dc:description/>
  <cp:lastModifiedBy>SYSTEM</cp:lastModifiedBy>
  <cp:revision>2</cp:revision>
  <cp:lastPrinted>2014-07-07T13:16:00Z</cp:lastPrinted>
  <dcterms:created xsi:type="dcterms:W3CDTF">2017-08-15T11:32:00Z</dcterms:created>
  <dcterms:modified xsi:type="dcterms:W3CDTF">2017-08-15T11:32:00Z</dcterms:modified>
</cp:coreProperties>
</file>