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omments.xml" ContentType="application/vnd.openxmlformats-officedocument.wordprocessingml.comments+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7E4A9F" w14:textId="77777777" w:rsidR="00D759B9" w:rsidRDefault="00D759B9" w:rsidP="00BD387B">
      <w:pPr>
        <w:widowControl/>
        <w:jc w:val="center"/>
        <w:rPr>
          <w:b/>
          <w:bCs/>
          <w:sz w:val="24"/>
          <w:szCs w:val="24"/>
        </w:rPr>
      </w:pPr>
      <w:bookmarkStart w:id="0" w:name="_GoBack"/>
      <w:bookmarkEnd w:id="0"/>
      <w:r>
        <w:rPr>
          <w:b/>
          <w:bCs/>
          <w:sz w:val="24"/>
          <w:szCs w:val="24"/>
        </w:rPr>
        <w:t>INFORMATION COLLECTION REQUEST RENEWAL</w:t>
      </w:r>
    </w:p>
    <w:p w14:paraId="26018BC8" w14:textId="77777777" w:rsidR="00D759B9" w:rsidRDefault="00D759B9" w:rsidP="00BD387B">
      <w:pPr>
        <w:widowControl/>
        <w:jc w:val="center"/>
        <w:rPr>
          <w:sz w:val="24"/>
          <w:szCs w:val="24"/>
        </w:rPr>
      </w:pPr>
      <w:r>
        <w:rPr>
          <w:b/>
          <w:bCs/>
          <w:sz w:val="24"/>
          <w:szCs w:val="24"/>
        </w:rPr>
        <w:t xml:space="preserve">FOR THE </w:t>
      </w:r>
      <w:r>
        <w:rPr>
          <w:b/>
          <w:sz w:val="24"/>
          <w:szCs w:val="24"/>
        </w:rPr>
        <w:t>NO</w:t>
      </w:r>
      <w:r w:rsidR="009E6958">
        <w:rPr>
          <w:b/>
          <w:sz w:val="24"/>
          <w:szCs w:val="24"/>
          <w:vertAlign w:val="subscript"/>
        </w:rPr>
        <w:t>x</w:t>
      </w:r>
      <w:r>
        <w:rPr>
          <w:b/>
          <w:sz w:val="24"/>
          <w:szCs w:val="24"/>
        </w:rPr>
        <w:t xml:space="preserve"> BUDGET TRADING PROGRAM TO REDUCE THE REGIONAL TRANSPORT OF OZONE</w:t>
      </w:r>
    </w:p>
    <w:p w14:paraId="245C3F37" w14:textId="77777777" w:rsidR="00D759B9" w:rsidRDefault="00D759B9" w:rsidP="00BD387B">
      <w:pPr>
        <w:widowControl/>
        <w:rPr>
          <w:sz w:val="24"/>
          <w:szCs w:val="24"/>
        </w:rPr>
      </w:pPr>
    </w:p>
    <w:p w14:paraId="01F1E65E" w14:textId="77777777" w:rsidR="00D759B9" w:rsidRDefault="00D759B9" w:rsidP="00BD387B">
      <w:pPr>
        <w:widowControl/>
        <w:jc w:val="center"/>
        <w:rPr>
          <w:sz w:val="24"/>
          <w:szCs w:val="24"/>
        </w:rPr>
      </w:pPr>
      <w:r>
        <w:rPr>
          <w:b/>
          <w:bCs/>
          <w:sz w:val="24"/>
          <w:szCs w:val="24"/>
        </w:rPr>
        <w:t>SUPPORTING STATEMENT</w:t>
      </w:r>
    </w:p>
    <w:p w14:paraId="381F5F45" w14:textId="77777777" w:rsidR="00D759B9" w:rsidRDefault="00D759B9" w:rsidP="00BD387B">
      <w:pPr>
        <w:widowControl/>
        <w:rPr>
          <w:sz w:val="24"/>
          <w:szCs w:val="24"/>
        </w:rPr>
      </w:pPr>
    </w:p>
    <w:p w14:paraId="2696999C" w14:textId="379EBFDE" w:rsidR="0032765C" w:rsidRPr="0032765C" w:rsidRDefault="0032765C" w:rsidP="00BD387B">
      <w:pPr>
        <w:pStyle w:val="HTMLPreformatted"/>
        <w:jc w:val="center"/>
        <w:rPr>
          <w:rFonts w:ascii="Times New Roman" w:hAnsi="Times New Roman" w:cs="Times New Roman"/>
          <w:sz w:val="24"/>
          <w:szCs w:val="24"/>
        </w:rPr>
      </w:pPr>
      <w:r w:rsidRPr="0032765C">
        <w:rPr>
          <w:rFonts w:ascii="Times New Roman" w:hAnsi="Times New Roman" w:cs="Times New Roman"/>
          <w:sz w:val="24"/>
          <w:szCs w:val="24"/>
        </w:rPr>
        <w:t>EPA ICR No. 1857.</w:t>
      </w:r>
      <w:r w:rsidR="002A3469" w:rsidRPr="0032765C">
        <w:rPr>
          <w:rFonts w:ascii="Times New Roman" w:hAnsi="Times New Roman" w:cs="Times New Roman"/>
          <w:sz w:val="24"/>
          <w:szCs w:val="24"/>
        </w:rPr>
        <w:t>0</w:t>
      </w:r>
      <w:r w:rsidR="001A7DE6">
        <w:rPr>
          <w:rFonts w:ascii="Times New Roman" w:hAnsi="Times New Roman" w:cs="Times New Roman"/>
          <w:sz w:val="24"/>
          <w:szCs w:val="24"/>
        </w:rPr>
        <w:t>7</w:t>
      </w:r>
      <w:r w:rsidRPr="0032765C">
        <w:rPr>
          <w:rFonts w:ascii="Times New Roman" w:hAnsi="Times New Roman" w:cs="Times New Roman"/>
          <w:sz w:val="24"/>
          <w:szCs w:val="24"/>
        </w:rPr>
        <w:t xml:space="preserve"> OMB Control No. 2060-0445</w:t>
      </w:r>
    </w:p>
    <w:p w14:paraId="7A8FC159" w14:textId="77777777" w:rsidR="00D759B9" w:rsidRDefault="00D759B9" w:rsidP="00BD387B">
      <w:pPr>
        <w:widowControl/>
        <w:rPr>
          <w:sz w:val="24"/>
          <w:szCs w:val="24"/>
        </w:rPr>
      </w:pPr>
    </w:p>
    <w:p w14:paraId="77F95EB4" w14:textId="77777777" w:rsidR="00D759B9" w:rsidRDefault="00A07997" w:rsidP="00BD387B">
      <w:pPr>
        <w:widowControl/>
        <w:ind w:left="360" w:hanging="360"/>
        <w:rPr>
          <w:sz w:val="24"/>
          <w:szCs w:val="24"/>
        </w:rPr>
      </w:pPr>
      <w:r>
        <w:rPr>
          <w:b/>
          <w:bCs/>
          <w:sz w:val="24"/>
          <w:szCs w:val="24"/>
        </w:rPr>
        <w:t xml:space="preserve">1.  </w:t>
      </w:r>
      <w:r w:rsidR="00D759B9">
        <w:rPr>
          <w:b/>
          <w:bCs/>
          <w:sz w:val="24"/>
          <w:szCs w:val="24"/>
        </w:rPr>
        <w:t>IDENTIFICATION OF THE INFORMATION COLLECTION</w:t>
      </w:r>
    </w:p>
    <w:p w14:paraId="34B30478" w14:textId="77777777" w:rsidR="00D759B9" w:rsidRDefault="00D759B9" w:rsidP="00BD387B">
      <w:pPr>
        <w:widowControl/>
        <w:rPr>
          <w:sz w:val="24"/>
          <w:szCs w:val="24"/>
        </w:rPr>
      </w:pPr>
    </w:p>
    <w:p w14:paraId="52BF4AC8" w14:textId="77777777" w:rsidR="00D759B9" w:rsidRDefault="00A07997" w:rsidP="00BD387B">
      <w:pPr>
        <w:widowControl/>
        <w:ind w:left="720" w:hanging="360"/>
        <w:rPr>
          <w:sz w:val="24"/>
          <w:szCs w:val="24"/>
        </w:rPr>
      </w:pPr>
      <w:r>
        <w:rPr>
          <w:b/>
          <w:bCs/>
          <w:sz w:val="24"/>
          <w:szCs w:val="24"/>
        </w:rPr>
        <w:t>1</w:t>
      </w:r>
      <w:r w:rsidR="00173934">
        <w:rPr>
          <w:b/>
          <w:bCs/>
          <w:sz w:val="24"/>
          <w:szCs w:val="24"/>
        </w:rPr>
        <w:t>(a</w:t>
      </w:r>
      <w:r w:rsidR="00131AD2">
        <w:rPr>
          <w:b/>
          <w:bCs/>
          <w:sz w:val="24"/>
          <w:szCs w:val="24"/>
        </w:rPr>
        <w:t>) Background</w:t>
      </w:r>
    </w:p>
    <w:p w14:paraId="0FA4B6AC" w14:textId="77777777" w:rsidR="00D759B9" w:rsidRDefault="00D759B9" w:rsidP="00BD387B">
      <w:pPr>
        <w:widowControl/>
        <w:rPr>
          <w:sz w:val="24"/>
          <w:szCs w:val="24"/>
        </w:rPr>
      </w:pPr>
    </w:p>
    <w:p w14:paraId="3D009A0F" w14:textId="77777777" w:rsidR="00D759B9" w:rsidRDefault="00D759B9" w:rsidP="00BD387B">
      <w:pPr>
        <w:widowControl/>
        <w:numPr>
          <w:ilvl w:val="12"/>
          <w:numId w:val="0"/>
        </w:numPr>
        <w:rPr>
          <w:sz w:val="24"/>
          <w:szCs w:val="24"/>
        </w:rPr>
      </w:pPr>
      <w:r>
        <w:rPr>
          <w:sz w:val="24"/>
          <w:szCs w:val="24"/>
        </w:rPr>
        <w:tab/>
        <w:t>This Information Collection Request (ICR) addresses the labor hour burden and costs of State reporting requirements contained in the U.S. Environmental Protection Agency</w:t>
      </w:r>
      <w:r w:rsidR="009102A2">
        <w:rPr>
          <w:sz w:val="24"/>
          <w:szCs w:val="24"/>
        </w:rPr>
        <w:t>'</w:t>
      </w:r>
      <w:r>
        <w:rPr>
          <w:sz w:val="24"/>
          <w:szCs w:val="24"/>
        </w:rPr>
        <w:t>s (EPA) rule to control regional transport of ozone season NO</w:t>
      </w:r>
      <w:r>
        <w:rPr>
          <w:sz w:val="24"/>
          <w:szCs w:val="24"/>
          <w:vertAlign w:val="subscript"/>
        </w:rPr>
        <w:t>x</w:t>
      </w:r>
      <w:r>
        <w:rPr>
          <w:sz w:val="24"/>
          <w:szCs w:val="24"/>
        </w:rPr>
        <w:t xml:space="preserve"> emissions contributing to exceedances of the Ozone National Ambient Air Quality Standard (NAAQS) in the eastern United States</w:t>
      </w:r>
      <w:r w:rsidR="00DE70F3">
        <w:rPr>
          <w:sz w:val="24"/>
          <w:szCs w:val="24"/>
        </w:rPr>
        <w:t>,</w:t>
      </w:r>
      <w:r>
        <w:rPr>
          <w:sz w:val="24"/>
          <w:szCs w:val="24"/>
        </w:rPr>
        <w:t xml:space="preserve"> which was published on October 27, 1998 (63 FR 57350).  This rule is known informally as the </w:t>
      </w:r>
      <w:r w:rsidR="000176CF">
        <w:rPr>
          <w:sz w:val="24"/>
          <w:szCs w:val="24"/>
        </w:rPr>
        <w:t>NO</w:t>
      </w:r>
      <w:r w:rsidR="000176CF" w:rsidRPr="00EF0A59">
        <w:rPr>
          <w:sz w:val="24"/>
          <w:szCs w:val="24"/>
          <w:vertAlign w:val="subscript"/>
        </w:rPr>
        <w:t>x</w:t>
      </w:r>
      <w:r w:rsidR="000176CF">
        <w:rPr>
          <w:sz w:val="24"/>
          <w:szCs w:val="24"/>
        </w:rPr>
        <w:t xml:space="preserve"> SIP Call</w:t>
      </w:r>
      <w:r>
        <w:rPr>
          <w:sz w:val="24"/>
          <w:szCs w:val="24"/>
        </w:rPr>
        <w:t>.  These provisions are incorporated in 40 CFR 51.121 and 51.122.  The reporting requirements of this rule under</w:t>
      </w:r>
      <w:r w:rsidR="00407FA3">
        <w:rPr>
          <w:sz w:val="24"/>
          <w:szCs w:val="24"/>
        </w:rPr>
        <w:t xml:space="preserve"> </w:t>
      </w:r>
      <w:r>
        <w:rPr>
          <w:sz w:val="24"/>
          <w:szCs w:val="24"/>
        </w:rPr>
        <w:t>§51.122 are imposed directly on the States, not on industry.  However, in order to meet the requirements of this rule, States will of necessity have to impose requirements on industry for installation of continuous emission monitors and for recordkeeping and reporting.  Therefore, there will be an indirect record keeping and reporting burden on industry as a result of this rule</w:t>
      </w:r>
      <w:r w:rsidR="009145F2">
        <w:rPr>
          <w:sz w:val="24"/>
          <w:szCs w:val="24"/>
        </w:rPr>
        <w:t xml:space="preserve">, and </w:t>
      </w:r>
      <w:r w:rsidR="004C3FB2">
        <w:rPr>
          <w:sz w:val="24"/>
          <w:szCs w:val="24"/>
        </w:rPr>
        <w:t>this</w:t>
      </w:r>
      <w:r>
        <w:rPr>
          <w:sz w:val="24"/>
          <w:szCs w:val="24"/>
        </w:rPr>
        <w:t xml:space="preserve"> ICR estimates th</w:t>
      </w:r>
      <w:r w:rsidR="009145F2">
        <w:rPr>
          <w:sz w:val="24"/>
          <w:szCs w:val="24"/>
        </w:rPr>
        <w:t>os</w:t>
      </w:r>
      <w:r>
        <w:rPr>
          <w:sz w:val="24"/>
          <w:szCs w:val="24"/>
        </w:rPr>
        <w:t>e burden hours and costs incurred by industry</w:t>
      </w:r>
      <w:r w:rsidR="009145F2">
        <w:rPr>
          <w:sz w:val="24"/>
          <w:szCs w:val="24"/>
        </w:rPr>
        <w:t>.</w:t>
      </w:r>
      <w:r>
        <w:rPr>
          <w:sz w:val="24"/>
          <w:szCs w:val="24"/>
        </w:rPr>
        <w:t xml:space="preserve">  </w:t>
      </w:r>
    </w:p>
    <w:p w14:paraId="5B23066B" w14:textId="77777777" w:rsidR="00D759B9" w:rsidRDefault="00D759B9" w:rsidP="00BD387B">
      <w:pPr>
        <w:widowControl/>
        <w:numPr>
          <w:ilvl w:val="12"/>
          <w:numId w:val="0"/>
        </w:numPr>
        <w:rPr>
          <w:sz w:val="24"/>
          <w:szCs w:val="24"/>
        </w:rPr>
      </w:pPr>
    </w:p>
    <w:p w14:paraId="69BA0FF5" w14:textId="2009F3FC" w:rsidR="00204C67" w:rsidRDefault="00D759B9" w:rsidP="00BD387B">
      <w:pPr>
        <w:widowControl/>
        <w:numPr>
          <w:ilvl w:val="12"/>
          <w:numId w:val="0"/>
        </w:numPr>
        <w:ind w:firstLine="720"/>
        <w:rPr>
          <w:sz w:val="24"/>
          <w:szCs w:val="24"/>
        </w:rPr>
      </w:pPr>
      <w:r>
        <w:rPr>
          <w:sz w:val="24"/>
          <w:szCs w:val="24"/>
        </w:rPr>
        <w:t xml:space="preserve">The focus of this ICR is the monitoring and reporting burden for </w:t>
      </w:r>
      <w:r w:rsidR="00C23056">
        <w:rPr>
          <w:sz w:val="24"/>
          <w:szCs w:val="24"/>
        </w:rPr>
        <w:t>S</w:t>
      </w:r>
      <w:r w:rsidR="00204C67">
        <w:rPr>
          <w:sz w:val="24"/>
          <w:szCs w:val="24"/>
        </w:rPr>
        <w:t xml:space="preserve">tates and </w:t>
      </w:r>
      <w:r>
        <w:rPr>
          <w:sz w:val="24"/>
          <w:szCs w:val="24"/>
        </w:rPr>
        <w:t xml:space="preserve">sources that </w:t>
      </w:r>
      <w:r w:rsidR="008B4141">
        <w:rPr>
          <w:sz w:val="24"/>
          <w:szCs w:val="24"/>
        </w:rPr>
        <w:t>remain</w:t>
      </w:r>
      <w:r w:rsidR="00407FA3">
        <w:rPr>
          <w:sz w:val="24"/>
          <w:szCs w:val="24"/>
        </w:rPr>
        <w:t xml:space="preserve"> </w:t>
      </w:r>
      <w:r>
        <w:rPr>
          <w:sz w:val="24"/>
          <w:szCs w:val="24"/>
        </w:rPr>
        <w:t xml:space="preserve">affected by the </w:t>
      </w:r>
      <w:r w:rsidR="000176CF">
        <w:rPr>
          <w:sz w:val="24"/>
          <w:szCs w:val="24"/>
        </w:rPr>
        <w:t>NO</w:t>
      </w:r>
      <w:r w:rsidR="000176CF" w:rsidRPr="00C23056">
        <w:rPr>
          <w:sz w:val="24"/>
          <w:szCs w:val="24"/>
          <w:vertAlign w:val="subscript"/>
        </w:rPr>
        <w:t>x</w:t>
      </w:r>
      <w:r w:rsidR="000176CF">
        <w:rPr>
          <w:sz w:val="24"/>
          <w:szCs w:val="24"/>
        </w:rPr>
        <w:t xml:space="preserve"> SIP Call</w:t>
      </w:r>
      <w:r w:rsidR="009145F2">
        <w:rPr>
          <w:sz w:val="24"/>
          <w:szCs w:val="24"/>
        </w:rPr>
        <w:t xml:space="preserve"> and that are not subject to subsequent rulemaking and addressed in other ICRs</w:t>
      </w:r>
      <w:r w:rsidR="00407FA3">
        <w:rPr>
          <w:sz w:val="24"/>
          <w:szCs w:val="24"/>
        </w:rPr>
        <w:t>.</w:t>
      </w:r>
      <w:r w:rsidR="00204C67">
        <w:rPr>
          <w:sz w:val="24"/>
          <w:szCs w:val="24"/>
        </w:rPr>
        <w:t xml:space="preserve">  </w:t>
      </w:r>
      <w:r>
        <w:rPr>
          <w:sz w:val="24"/>
          <w:szCs w:val="24"/>
        </w:rPr>
        <w:t>The rule originally encouraged an emissions trading program for fossil fuel-fired NO</w:t>
      </w:r>
      <w:r>
        <w:rPr>
          <w:sz w:val="24"/>
          <w:szCs w:val="24"/>
          <w:vertAlign w:val="subscript"/>
        </w:rPr>
        <w:t>x</w:t>
      </w:r>
      <w:r>
        <w:rPr>
          <w:sz w:val="24"/>
          <w:szCs w:val="24"/>
        </w:rPr>
        <w:t xml:space="preserve"> sources serving electrical generators </w:t>
      </w:r>
      <w:r w:rsidR="009145F2">
        <w:rPr>
          <w:sz w:val="24"/>
          <w:szCs w:val="24"/>
        </w:rPr>
        <w:t xml:space="preserve">(EGUs) </w:t>
      </w:r>
      <w:r>
        <w:rPr>
          <w:sz w:val="24"/>
          <w:szCs w:val="24"/>
        </w:rPr>
        <w:t>with a nameplate capacity greater than 25 MW or boilers, combustion turbines</w:t>
      </w:r>
      <w:r w:rsidR="00C23056">
        <w:rPr>
          <w:sz w:val="24"/>
          <w:szCs w:val="24"/>
        </w:rPr>
        <w:t>,</w:t>
      </w:r>
      <w:r>
        <w:rPr>
          <w:sz w:val="24"/>
          <w:szCs w:val="24"/>
        </w:rPr>
        <w:t xml:space="preserve"> or combined cycle units with maximum design heat input greater than 250 mm BTU/hr.</w:t>
      </w:r>
      <w:r w:rsidR="00204C67">
        <w:rPr>
          <w:sz w:val="24"/>
          <w:szCs w:val="24"/>
        </w:rPr>
        <w:t xml:space="preserve">  Under the </w:t>
      </w:r>
      <w:r w:rsidR="00153952">
        <w:rPr>
          <w:sz w:val="24"/>
          <w:szCs w:val="24"/>
        </w:rPr>
        <w:t>NO</w:t>
      </w:r>
      <w:r w:rsidR="00153952" w:rsidRPr="00C23056">
        <w:rPr>
          <w:sz w:val="24"/>
          <w:szCs w:val="24"/>
          <w:vertAlign w:val="subscript"/>
        </w:rPr>
        <w:t>x</w:t>
      </w:r>
      <w:r w:rsidR="00153952">
        <w:rPr>
          <w:sz w:val="24"/>
          <w:szCs w:val="24"/>
        </w:rPr>
        <w:t xml:space="preserve"> SIP Call</w:t>
      </w:r>
      <w:r w:rsidR="00204C67">
        <w:rPr>
          <w:sz w:val="24"/>
          <w:szCs w:val="24"/>
        </w:rPr>
        <w:t xml:space="preserve">, many </w:t>
      </w:r>
      <w:r w:rsidR="00C23056">
        <w:rPr>
          <w:sz w:val="24"/>
          <w:szCs w:val="24"/>
        </w:rPr>
        <w:t>S</w:t>
      </w:r>
      <w:r w:rsidR="00204C67">
        <w:rPr>
          <w:sz w:val="24"/>
          <w:szCs w:val="24"/>
        </w:rPr>
        <w:t xml:space="preserve">tates elected to meet much of the required emission reductions through the </w:t>
      </w:r>
      <w:r w:rsidR="00153952">
        <w:rPr>
          <w:sz w:val="24"/>
          <w:szCs w:val="24"/>
        </w:rPr>
        <w:t>NO</w:t>
      </w:r>
      <w:r w:rsidR="00153952" w:rsidRPr="00C23056">
        <w:rPr>
          <w:sz w:val="24"/>
          <w:szCs w:val="24"/>
          <w:vertAlign w:val="subscript"/>
        </w:rPr>
        <w:t>x</w:t>
      </w:r>
      <w:r w:rsidR="00153952">
        <w:rPr>
          <w:sz w:val="24"/>
          <w:szCs w:val="24"/>
        </w:rPr>
        <w:t xml:space="preserve"> Budget Trading Program (NBP), a </w:t>
      </w:r>
      <w:r w:rsidR="00204C67">
        <w:rPr>
          <w:sz w:val="24"/>
          <w:szCs w:val="24"/>
        </w:rPr>
        <w:t>federally administered emissions trading program.  Most of</w:t>
      </w:r>
      <w:r w:rsidR="0032765C">
        <w:rPr>
          <w:sz w:val="24"/>
          <w:szCs w:val="24"/>
        </w:rPr>
        <w:t xml:space="preserve"> </w:t>
      </w:r>
      <w:r w:rsidR="00204C67">
        <w:rPr>
          <w:sz w:val="24"/>
          <w:szCs w:val="24"/>
        </w:rPr>
        <w:t>the u</w:t>
      </w:r>
      <w:r w:rsidR="00407FA3">
        <w:rPr>
          <w:sz w:val="24"/>
          <w:szCs w:val="24"/>
        </w:rPr>
        <w:t xml:space="preserve">nits that originally participated in </w:t>
      </w:r>
      <w:r w:rsidR="00153952">
        <w:rPr>
          <w:sz w:val="24"/>
          <w:szCs w:val="24"/>
        </w:rPr>
        <w:t xml:space="preserve">the </w:t>
      </w:r>
      <w:r w:rsidR="00407FA3">
        <w:rPr>
          <w:sz w:val="24"/>
          <w:szCs w:val="24"/>
        </w:rPr>
        <w:t xml:space="preserve">NBP </w:t>
      </w:r>
      <w:r w:rsidR="00326B14">
        <w:rPr>
          <w:sz w:val="24"/>
          <w:szCs w:val="24"/>
        </w:rPr>
        <w:t>subsequently</w:t>
      </w:r>
      <w:r w:rsidR="00407FA3">
        <w:rPr>
          <w:sz w:val="24"/>
          <w:szCs w:val="24"/>
        </w:rPr>
        <w:t xml:space="preserve"> </w:t>
      </w:r>
      <w:r w:rsidR="00204C67">
        <w:rPr>
          <w:sz w:val="24"/>
          <w:szCs w:val="24"/>
        </w:rPr>
        <w:t>participate</w:t>
      </w:r>
      <w:r w:rsidR="00326B14">
        <w:rPr>
          <w:sz w:val="24"/>
          <w:szCs w:val="24"/>
        </w:rPr>
        <w:t>d</w:t>
      </w:r>
      <w:r w:rsidR="00204C67">
        <w:rPr>
          <w:sz w:val="24"/>
          <w:szCs w:val="24"/>
        </w:rPr>
        <w:t xml:space="preserve"> in an expanded emissions trading program established in conjunction with the Clean Air Interstate Rule (</w:t>
      </w:r>
      <w:r w:rsidR="00407FA3">
        <w:rPr>
          <w:sz w:val="24"/>
          <w:szCs w:val="24"/>
        </w:rPr>
        <w:t>CAIR</w:t>
      </w:r>
      <w:r w:rsidR="00204C67">
        <w:rPr>
          <w:sz w:val="24"/>
          <w:szCs w:val="24"/>
        </w:rPr>
        <w:t>)</w:t>
      </w:r>
      <w:r w:rsidR="009145F2">
        <w:rPr>
          <w:sz w:val="24"/>
          <w:szCs w:val="24"/>
        </w:rPr>
        <w:t xml:space="preserve">, </w:t>
      </w:r>
      <w:r w:rsidR="00326B14">
        <w:rPr>
          <w:sz w:val="24"/>
          <w:szCs w:val="24"/>
        </w:rPr>
        <w:t>and now participate in the Cross State Air Pollution Rule (CSAPR) emissions trading</w:t>
      </w:r>
      <w:r w:rsidR="008F3908">
        <w:rPr>
          <w:sz w:val="24"/>
          <w:szCs w:val="24"/>
        </w:rPr>
        <w:t xml:space="preserve"> programs</w:t>
      </w:r>
      <w:r w:rsidR="00326B14">
        <w:rPr>
          <w:sz w:val="24"/>
          <w:szCs w:val="24"/>
        </w:rPr>
        <w:t>. T</w:t>
      </w:r>
      <w:r w:rsidR="009145F2">
        <w:rPr>
          <w:sz w:val="24"/>
          <w:szCs w:val="24"/>
        </w:rPr>
        <w:t xml:space="preserve">he burdens and costs for those units </w:t>
      </w:r>
      <w:r w:rsidR="0012568A">
        <w:rPr>
          <w:sz w:val="24"/>
          <w:szCs w:val="24"/>
        </w:rPr>
        <w:t xml:space="preserve">are </w:t>
      </w:r>
      <w:r w:rsidR="009145F2">
        <w:rPr>
          <w:sz w:val="24"/>
          <w:szCs w:val="24"/>
        </w:rPr>
        <w:t>covered under EPA ICR</w:t>
      </w:r>
      <w:r w:rsidR="008F3908">
        <w:rPr>
          <w:sz w:val="24"/>
          <w:szCs w:val="24"/>
        </w:rPr>
        <w:t xml:space="preserve"> #2391.03</w:t>
      </w:r>
      <w:r w:rsidR="009C478C">
        <w:rPr>
          <w:sz w:val="24"/>
          <w:szCs w:val="24"/>
        </w:rPr>
        <w:t>, OMB Control Number</w:t>
      </w:r>
      <w:r w:rsidR="008F3908">
        <w:rPr>
          <w:sz w:val="24"/>
          <w:szCs w:val="24"/>
        </w:rPr>
        <w:t xml:space="preserve"> 2060-0667</w:t>
      </w:r>
      <w:r w:rsidR="00407FA3">
        <w:rPr>
          <w:sz w:val="24"/>
          <w:szCs w:val="24"/>
        </w:rPr>
        <w:t>.</w:t>
      </w:r>
      <w:r w:rsidR="00C401F6">
        <w:rPr>
          <w:sz w:val="24"/>
          <w:szCs w:val="24"/>
        </w:rPr>
        <w:t xml:space="preserve">  </w:t>
      </w:r>
      <w:r w:rsidR="004C3FB2">
        <w:rPr>
          <w:sz w:val="24"/>
          <w:szCs w:val="24"/>
        </w:rPr>
        <w:t>The</w:t>
      </w:r>
      <w:r w:rsidR="009145F2">
        <w:rPr>
          <w:sz w:val="24"/>
          <w:szCs w:val="24"/>
        </w:rPr>
        <w:t xml:space="preserve"> only units still subject to this ICR are certain </w:t>
      </w:r>
      <w:r w:rsidR="00C401F6">
        <w:rPr>
          <w:sz w:val="24"/>
          <w:szCs w:val="24"/>
        </w:rPr>
        <w:t xml:space="preserve">industrial combustion sources and EGUs </w:t>
      </w:r>
      <w:r w:rsidR="009145F2">
        <w:rPr>
          <w:sz w:val="24"/>
          <w:szCs w:val="24"/>
        </w:rPr>
        <w:t>that participated in the NBP</w:t>
      </w:r>
      <w:r w:rsidR="00E81FB3">
        <w:rPr>
          <w:sz w:val="24"/>
          <w:szCs w:val="24"/>
        </w:rPr>
        <w:t>,</w:t>
      </w:r>
      <w:r w:rsidR="009145F2">
        <w:rPr>
          <w:sz w:val="24"/>
          <w:szCs w:val="24"/>
        </w:rPr>
        <w:t xml:space="preserve"> </w:t>
      </w:r>
      <w:r w:rsidR="005D59AB">
        <w:rPr>
          <w:sz w:val="24"/>
          <w:szCs w:val="24"/>
        </w:rPr>
        <w:t xml:space="preserve">and </w:t>
      </w:r>
      <w:r w:rsidR="00E81FB3">
        <w:rPr>
          <w:sz w:val="24"/>
          <w:szCs w:val="24"/>
        </w:rPr>
        <w:t xml:space="preserve">in some cases also the </w:t>
      </w:r>
      <w:r w:rsidR="005D59AB">
        <w:rPr>
          <w:sz w:val="24"/>
          <w:szCs w:val="24"/>
        </w:rPr>
        <w:t xml:space="preserve">CAIR </w:t>
      </w:r>
      <w:r w:rsidR="00E81FB3">
        <w:rPr>
          <w:sz w:val="24"/>
          <w:szCs w:val="24"/>
        </w:rPr>
        <w:t>NO</w:t>
      </w:r>
      <w:r w:rsidR="00E81FB3" w:rsidRPr="00E81FB3">
        <w:rPr>
          <w:sz w:val="24"/>
          <w:szCs w:val="24"/>
          <w:vertAlign w:val="subscript"/>
        </w:rPr>
        <w:t>X</w:t>
      </w:r>
      <w:r w:rsidR="00E81FB3">
        <w:rPr>
          <w:sz w:val="24"/>
          <w:szCs w:val="24"/>
        </w:rPr>
        <w:t xml:space="preserve"> Ozone Season Trading Program, </w:t>
      </w:r>
      <w:r w:rsidR="009145F2">
        <w:rPr>
          <w:sz w:val="24"/>
          <w:szCs w:val="24"/>
        </w:rPr>
        <w:t xml:space="preserve">but are not participating in </w:t>
      </w:r>
      <w:r w:rsidR="00E37E70">
        <w:rPr>
          <w:sz w:val="24"/>
          <w:szCs w:val="24"/>
        </w:rPr>
        <w:t>CSAPR</w:t>
      </w:r>
      <w:r w:rsidR="009145F2">
        <w:rPr>
          <w:sz w:val="24"/>
          <w:szCs w:val="24"/>
        </w:rPr>
        <w:t xml:space="preserve">.  </w:t>
      </w:r>
    </w:p>
    <w:p w14:paraId="22032916" w14:textId="77777777" w:rsidR="00AA49AD" w:rsidRDefault="00AA49AD" w:rsidP="00BD387B">
      <w:pPr>
        <w:widowControl/>
        <w:numPr>
          <w:ilvl w:val="12"/>
          <w:numId w:val="0"/>
        </w:numPr>
        <w:ind w:firstLine="720"/>
        <w:rPr>
          <w:sz w:val="24"/>
          <w:szCs w:val="24"/>
        </w:rPr>
      </w:pPr>
    </w:p>
    <w:p w14:paraId="0D6CC3BF" w14:textId="77777777" w:rsidR="00D759B9" w:rsidRDefault="00A07997" w:rsidP="00BD387B">
      <w:pPr>
        <w:keepNext/>
        <w:keepLines/>
        <w:widowControl/>
        <w:numPr>
          <w:ilvl w:val="12"/>
          <w:numId w:val="0"/>
        </w:numPr>
        <w:ind w:left="720" w:hanging="360"/>
        <w:rPr>
          <w:sz w:val="24"/>
          <w:szCs w:val="24"/>
        </w:rPr>
      </w:pPr>
      <w:r>
        <w:rPr>
          <w:b/>
          <w:bCs/>
          <w:sz w:val="24"/>
          <w:szCs w:val="24"/>
        </w:rPr>
        <w:t>1</w:t>
      </w:r>
      <w:r w:rsidR="00173934">
        <w:rPr>
          <w:b/>
          <w:bCs/>
          <w:sz w:val="24"/>
          <w:szCs w:val="24"/>
        </w:rPr>
        <w:t>(b</w:t>
      </w:r>
      <w:r w:rsidR="00131AD2">
        <w:rPr>
          <w:b/>
          <w:bCs/>
          <w:sz w:val="24"/>
          <w:szCs w:val="24"/>
        </w:rPr>
        <w:t>) Information</w:t>
      </w:r>
      <w:r w:rsidR="00493ABB">
        <w:rPr>
          <w:b/>
          <w:bCs/>
          <w:sz w:val="24"/>
          <w:szCs w:val="24"/>
        </w:rPr>
        <w:t xml:space="preserve"> to b</w:t>
      </w:r>
      <w:r w:rsidR="00D759B9">
        <w:rPr>
          <w:b/>
          <w:bCs/>
          <w:sz w:val="24"/>
          <w:szCs w:val="24"/>
        </w:rPr>
        <w:t>e Collected</w:t>
      </w:r>
    </w:p>
    <w:p w14:paraId="209E3840" w14:textId="77777777" w:rsidR="00D759B9" w:rsidRDefault="00D759B9" w:rsidP="00BD387B">
      <w:pPr>
        <w:keepNext/>
        <w:keepLines/>
        <w:widowControl/>
        <w:numPr>
          <w:ilvl w:val="12"/>
          <w:numId w:val="0"/>
        </w:numPr>
        <w:rPr>
          <w:sz w:val="24"/>
          <w:szCs w:val="24"/>
        </w:rPr>
      </w:pPr>
    </w:p>
    <w:p w14:paraId="70E0BC20" w14:textId="38E1CB36" w:rsidR="00AE642F" w:rsidRDefault="00D759B9" w:rsidP="00D13890">
      <w:pPr>
        <w:widowControl/>
        <w:numPr>
          <w:ilvl w:val="12"/>
          <w:numId w:val="0"/>
        </w:numPr>
        <w:rPr>
          <w:sz w:val="24"/>
          <w:szCs w:val="24"/>
        </w:rPr>
      </w:pPr>
      <w:r>
        <w:rPr>
          <w:sz w:val="24"/>
          <w:szCs w:val="24"/>
        </w:rPr>
        <w:tab/>
        <w:t xml:space="preserve">To meet the emissions monitoring recordkeeping and reporting requirements, </w:t>
      </w:r>
      <w:r w:rsidR="009145F2">
        <w:rPr>
          <w:sz w:val="24"/>
          <w:szCs w:val="24"/>
        </w:rPr>
        <w:t xml:space="preserve">the </w:t>
      </w:r>
      <w:r w:rsidR="00EE735E">
        <w:rPr>
          <w:sz w:val="24"/>
          <w:szCs w:val="24"/>
        </w:rPr>
        <w:t xml:space="preserve">affected </w:t>
      </w:r>
      <w:r>
        <w:rPr>
          <w:sz w:val="24"/>
          <w:szCs w:val="24"/>
        </w:rPr>
        <w:t>units are required to</w:t>
      </w:r>
      <w:r w:rsidR="00E07E04">
        <w:rPr>
          <w:sz w:val="24"/>
          <w:szCs w:val="24"/>
        </w:rPr>
        <w:t xml:space="preserve">: </w:t>
      </w:r>
      <w:r>
        <w:rPr>
          <w:sz w:val="24"/>
          <w:szCs w:val="24"/>
        </w:rPr>
        <w:t>(1) submit a monitoring plan and certification of monitors</w:t>
      </w:r>
      <w:r w:rsidR="00E07E04">
        <w:rPr>
          <w:sz w:val="24"/>
          <w:szCs w:val="24"/>
        </w:rPr>
        <w:t>;</w:t>
      </w:r>
      <w:r>
        <w:rPr>
          <w:sz w:val="24"/>
          <w:szCs w:val="24"/>
        </w:rPr>
        <w:t xml:space="preserve"> (2) </w:t>
      </w:r>
      <w:r w:rsidR="00AA49AD">
        <w:rPr>
          <w:sz w:val="24"/>
          <w:szCs w:val="24"/>
        </w:rPr>
        <w:t xml:space="preserve">monitor and </w:t>
      </w:r>
      <w:r>
        <w:rPr>
          <w:sz w:val="24"/>
          <w:szCs w:val="24"/>
        </w:rPr>
        <w:t xml:space="preserve">record hourly pollutant </w:t>
      </w:r>
      <w:r w:rsidR="00E07E04">
        <w:rPr>
          <w:sz w:val="24"/>
          <w:szCs w:val="24"/>
        </w:rPr>
        <w:t>and flow monitor data;</w:t>
      </w:r>
      <w:r>
        <w:rPr>
          <w:sz w:val="24"/>
          <w:szCs w:val="24"/>
        </w:rPr>
        <w:t xml:space="preserve"> and (3) submit electronic quarterly reports of their emissions data to EPA.  </w:t>
      </w:r>
    </w:p>
    <w:p w14:paraId="789DFF66" w14:textId="77777777" w:rsidR="00AE642F" w:rsidRDefault="00AE642F" w:rsidP="00AE642F">
      <w:pPr>
        <w:widowControl/>
        <w:rPr>
          <w:sz w:val="24"/>
          <w:szCs w:val="24"/>
        </w:rPr>
      </w:pPr>
    </w:p>
    <w:p w14:paraId="605BDBEC" w14:textId="77777777" w:rsidR="00AE642F" w:rsidRDefault="00AE642F" w:rsidP="00AE642F">
      <w:pPr>
        <w:widowControl/>
        <w:rPr>
          <w:sz w:val="24"/>
          <w:szCs w:val="24"/>
        </w:rPr>
      </w:pPr>
      <w:r>
        <w:rPr>
          <w:sz w:val="24"/>
          <w:szCs w:val="24"/>
        </w:rPr>
        <w:lastRenderedPageBreak/>
        <w:tab/>
      </w:r>
      <w:r w:rsidR="00300FC9">
        <w:rPr>
          <w:sz w:val="24"/>
          <w:szCs w:val="24"/>
        </w:rPr>
        <w:t>In addition, w</w:t>
      </w:r>
      <w:r>
        <w:rPr>
          <w:sz w:val="24"/>
          <w:szCs w:val="24"/>
        </w:rPr>
        <w:t>hile many sources have already installed necessary emissions monitoring equipment due to requirements under other regulations, some sources will need to either install new monitors or upgrade existing monitors.  Capital costs also usually include the cost of initial certification of new or upgraded monitors as part of start-up costs.</w:t>
      </w:r>
    </w:p>
    <w:p w14:paraId="3F10CDEB" w14:textId="77777777" w:rsidR="00D37574" w:rsidRDefault="00D37574" w:rsidP="00BD387B">
      <w:pPr>
        <w:widowControl/>
        <w:numPr>
          <w:ilvl w:val="12"/>
          <w:numId w:val="0"/>
        </w:numPr>
        <w:rPr>
          <w:sz w:val="24"/>
          <w:szCs w:val="24"/>
        </w:rPr>
      </w:pPr>
    </w:p>
    <w:p w14:paraId="02B87A68" w14:textId="41128A5B" w:rsidR="00786AB2" w:rsidRDefault="00D759B9" w:rsidP="00BD387B">
      <w:pPr>
        <w:widowControl/>
        <w:numPr>
          <w:ilvl w:val="12"/>
          <w:numId w:val="0"/>
        </w:numPr>
        <w:rPr>
          <w:sz w:val="24"/>
          <w:szCs w:val="24"/>
        </w:rPr>
      </w:pPr>
      <w:r>
        <w:rPr>
          <w:sz w:val="24"/>
          <w:szCs w:val="24"/>
        </w:rPr>
        <w:tab/>
        <w:t>The respondent reporting burden for the collection of information</w:t>
      </w:r>
      <w:r w:rsidR="004A61F2">
        <w:rPr>
          <w:sz w:val="24"/>
          <w:szCs w:val="24"/>
        </w:rPr>
        <w:t xml:space="preserve"> under the </w:t>
      </w:r>
      <w:r w:rsidR="00751665">
        <w:rPr>
          <w:sz w:val="24"/>
          <w:szCs w:val="24"/>
        </w:rPr>
        <w:t>NO</w:t>
      </w:r>
      <w:r w:rsidR="00751665" w:rsidRPr="00EA31B2">
        <w:rPr>
          <w:sz w:val="24"/>
          <w:szCs w:val="24"/>
          <w:vertAlign w:val="subscript"/>
        </w:rPr>
        <w:t>x</w:t>
      </w:r>
      <w:r w:rsidR="00751665">
        <w:rPr>
          <w:sz w:val="24"/>
          <w:szCs w:val="24"/>
        </w:rPr>
        <w:t xml:space="preserve"> SIP Call</w:t>
      </w:r>
      <w:r>
        <w:rPr>
          <w:sz w:val="24"/>
          <w:szCs w:val="24"/>
        </w:rPr>
        <w:t xml:space="preserve"> is estimated to </w:t>
      </w:r>
      <w:r w:rsidRPr="00AA5EF7">
        <w:rPr>
          <w:sz w:val="24"/>
          <w:szCs w:val="24"/>
        </w:rPr>
        <w:t xml:space="preserve">be </w:t>
      </w:r>
      <w:r w:rsidR="00762F74">
        <w:rPr>
          <w:sz w:val="24"/>
          <w:szCs w:val="24"/>
        </w:rPr>
        <w:t>144</w:t>
      </w:r>
      <w:r w:rsidR="007871B7">
        <w:rPr>
          <w:sz w:val="24"/>
          <w:szCs w:val="24"/>
        </w:rPr>
        <w:t>,</w:t>
      </w:r>
      <w:r w:rsidR="00762F74">
        <w:rPr>
          <w:sz w:val="24"/>
          <w:szCs w:val="24"/>
        </w:rPr>
        <w:t>741</w:t>
      </w:r>
      <w:r w:rsidR="00786AB2">
        <w:rPr>
          <w:sz w:val="24"/>
          <w:szCs w:val="24"/>
        </w:rPr>
        <w:t xml:space="preserve"> </w:t>
      </w:r>
      <w:r w:rsidRPr="00786AB2">
        <w:rPr>
          <w:sz w:val="24"/>
          <w:szCs w:val="24"/>
        </w:rPr>
        <w:t>hours</w:t>
      </w:r>
      <w:r w:rsidRPr="00AA5EF7">
        <w:rPr>
          <w:sz w:val="24"/>
          <w:szCs w:val="24"/>
        </w:rPr>
        <w:t xml:space="preserve"> each year for the years </w:t>
      </w:r>
      <w:r w:rsidR="007125D0">
        <w:rPr>
          <w:sz w:val="24"/>
          <w:szCs w:val="24"/>
        </w:rPr>
        <w:t>201</w:t>
      </w:r>
      <w:r w:rsidR="00762F74">
        <w:rPr>
          <w:sz w:val="24"/>
          <w:szCs w:val="24"/>
        </w:rPr>
        <w:t>7</w:t>
      </w:r>
      <w:r w:rsidR="007125D0">
        <w:rPr>
          <w:sz w:val="24"/>
          <w:szCs w:val="24"/>
        </w:rPr>
        <w:t xml:space="preserve"> through 201</w:t>
      </w:r>
      <w:r w:rsidR="00762F74">
        <w:rPr>
          <w:sz w:val="24"/>
          <w:szCs w:val="24"/>
        </w:rPr>
        <w:t>9</w:t>
      </w:r>
      <w:r w:rsidRPr="00AA5EF7">
        <w:rPr>
          <w:sz w:val="24"/>
          <w:szCs w:val="24"/>
        </w:rPr>
        <w:t xml:space="preserve">.  The burden to EPA is estimated to be </w:t>
      </w:r>
      <w:r w:rsidR="00E318C9">
        <w:rPr>
          <w:sz w:val="24"/>
          <w:szCs w:val="24"/>
        </w:rPr>
        <w:t>1,</w:t>
      </w:r>
      <w:r w:rsidR="00786AB2">
        <w:rPr>
          <w:sz w:val="24"/>
          <w:szCs w:val="24"/>
        </w:rPr>
        <w:t>84</w:t>
      </w:r>
      <w:r w:rsidR="00E318C9">
        <w:rPr>
          <w:sz w:val="24"/>
          <w:szCs w:val="24"/>
        </w:rPr>
        <w:t>0</w:t>
      </w:r>
      <w:r w:rsidR="00786AB2">
        <w:rPr>
          <w:sz w:val="24"/>
          <w:szCs w:val="24"/>
        </w:rPr>
        <w:t xml:space="preserve"> </w:t>
      </w:r>
      <w:r w:rsidRPr="00786AB2">
        <w:rPr>
          <w:sz w:val="24"/>
          <w:szCs w:val="24"/>
        </w:rPr>
        <w:t>hours i</w:t>
      </w:r>
      <w:r>
        <w:rPr>
          <w:sz w:val="24"/>
          <w:szCs w:val="24"/>
        </w:rPr>
        <w:t xml:space="preserve">n each year for the years </w:t>
      </w:r>
      <w:r w:rsidR="007125D0">
        <w:rPr>
          <w:sz w:val="24"/>
          <w:szCs w:val="24"/>
        </w:rPr>
        <w:t>201</w:t>
      </w:r>
      <w:r w:rsidR="00762F74">
        <w:rPr>
          <w:sz w:val="24"/>
          <w:szCs w:val="24"/>
        </w:rPr>
        <w:t>7</w:t>
      </w:r>
      <w:r w:rsidR="007125D0">
        <w:rPr>
          <w:sz w:val="24"/>
          <w:szCs w:val="24"/>
        </w:rPr>
        <w:t xml:space="preserve"> through 201</w:t>
      </w:r>
      <w:r w:rsidR="00762F74">
        <w:rPr>
          <w:sz w:val="24"/>
          <w:szCs w:val="24"/>
        </w:rPr>
        <w:t>9</w:t>
      </w:r>
      <w:r>
        <w:rPr>
          <w:sz w:val="24"/>
          <w:szCs w:val="24"/>
        </w:rPr>
        <w:t xml:space="preserve">.  </w:t>
      </w:r>
    </w:p>
    <w:p w14:paraId="7A3C8693" w14:textId="77777777" w:rsidR="00747982" w:rsidRDefault="00747982" w:rsidP="00747982">
      <w:pPr>
        <w:widowControl/>
        <w:rPr>
          <w:sz w:val="24"/>
          <w:szCs w:val="24"/>
        </w:rPr>
      </w:pPr>
    </w:p>
    <w:p w14:paraId="7F03A857" w14:textId="77777777" w:rsidR="00D759B9" w:rsidRDefault="00AE642F" w:rsidP="00213836">
      <w:pPr>
        <w:widowControl/>
        <w:spacing w:line="240" w:lineRule="atLeast"/>
        <w:ind w:left="360"/>
        <w:rPr>
          <w:b/>
          <w:bCs/>
          <w:color w:val="000000"/>
          <w:sz w:val="24"/>
          <w:szCs w:val="24"/>
        </w:rPr>
      </w:pPr>
      <w:r w:rsidDel="00AE642F">
        <w:rPr>
          <w:i/>
          <w:iCs/>
          <w:sz w:val="24"/>
          <w:szCs w:val="24"/>
        </w:rPr>
        <w:t xml:space="preserve"> </w:t>
      </w:r>
      <w:r w:rsidR="00D759B9">
        <w:rPr>
          <w:b/>
          <w:sz w:val="24"/>
          <w:szCs w:val="24"/>
        </w:rPr>
        <w:t>1</w:t>
      </w:r>
      <w:r w:rsidR="00173934">
        <w:rPr>
          <w:b/>
          <w:sz w:val="24"/>
          <w:szCs w:val="24"/>
        </w:rPr>
        <w:t>(c</w:t>
      </w:r>
      <w:r w:rsidR="00131AD2">
        <w:rPr>
          <w:b/>
          <w:sz w:val="24"/>
          <w:szCs w:val="24"/>
        </w:rPr>
        <w:t>)</w:t>
      </w:r>
      <w:r w:rsidR="00131AD2">
        <w:rPr>
          <w:sz w:val="24"/>
          <w:szCs w:val="24"/>
        </w:rPr>
        <w:t xml:space="preserve"> </w:t>
      </w:r>
      <w:r w:rsidR="00131AD2" w:rsidRPr="00D13890">
        <w:rPr>
          <w:b/>
          <w:sz w:val="24"/>
          <w:szCs w:val="24"/>
        </w:rPr>
        <w:t>Terms</w:t>
      </w:r>
      <w:r w:rsidR="00D759B9">
        <w:rPr>
          <w:b/>
          <w:bCs/>
          <w:color w:val="000000"/>
          <w:sz w:val="24"/>
          <w:szCs w:val="24"/>
        </w:rPr>
        <w:t xml:space="preserve"> of Clearance</w:t>
      </w:r>
    </w:p>
    <w:p w14:paraId="4A5E1AF3" w14:textId="77777777" w:rsidR="00D759B9" w:rsidRDefault="00D759B9" w:rsidP="00BD387B">
      <w:pPr>
        <w:widowControl/>
        <w:spacing w:line="240" w:lineRule="atLeast"/>
        <w:rPr>
          <w:b/>
          <w:bCs/>
          <w:color w:val="000000"/>
          <w:sz w:val="24"/>
          <w:szCs w:val="24"/>
        </w:rPr>
      </w:pPr>
    </w:p>
    <w:p w14:paraId="173CB42C" w14:textId="77777777" w:rsidR="00D759B9" w:rsidRDefault="00D759B9" w:rsidP="003600A3">
      <w:pPr>
        <w:widowControl/>
        <w:numPr>
          <w:ilvl w:val="12"/>
          <w:numId w:val="0"/>
        </w:numPr>
        <w:ind w:left="720" w:hanging="360"/>
        <w:rPr>
          <w:sz w:val="24"/>
          <w:szCs w:val="24"/>
        </w:rPr>
      </w:pPr>
      <w:r>
        <w:rPr>
          <w:color w:val="000000"/>
          <w:sz w:val="24"/>
          <w:szCs w:val="24"/>
        </w:rPr>
        <w:t>Terms of Clearan</w:t>
      </w:r>
      <w:r w:rsidR="003600A3">
        <w:rPr>
          <w:color w:val="000000"/>
          <w:sz w:val="24"/>
          <w:szCs w:val="24"/>
        </w:rPr>
        <w:t>ce for the previous ICR renewal:</w:t>
      </w:r>
      <w:r w:rsidR="00D37574">
        <w:rPr>
          <w:sz w:val="24"/>
          <w:szCs w:val="24"/>
        </w:rPr>
        <w:t xml:space="preserve"> </w:t>
      </w:r>
      <w:r w:rsidRPr="003600A3">
        <w:rPr>
          <w:sz w:val="24"/>
          <w:szCs w:val="24"/>
        </w:rPr>
        <w:t>None.</w:t>
      </w:r>
    </w:p>
    <w:p w14:paraId="0ED8B1F0" w14:textId="77777777" w:rsidR="00D759B9" w:rsidRDefault="00D759B9" w:rsidP="00BD387B">
      <w:pPr>
        <w:widowControl/>
        <w:numPr>
          <w:ilvl w:val="12"/>
          <w:numId w:val="0"/>
        </w:numPr>
        <w:rPr>
          <w:sz w:val="24"/>
          <w:szCs w:val="24"/>
        </w:rPr>
      </w:pPr>
    </w:p>
    <w:p w14:paraId="2A2EEF46" w14:textId="77777777" w:rsidR="00D759B9" w:rsidRDefault="00D759B9" w:rsidP="00BD387B">
      <w:pPr>
        <w:widowControl/>
        <w:numPr>
          <w:ilvl w:val="12"/>
          <w:numId w:val="0"/>
        </w:numPr>
        <w:rPr>
          <w:sz w:val="24"/>
          <w:szCs w:val="24"/>
        </w:rPr>
      </w:pPr>
      <w:r>
        <w:rPr>
          <w:b/>
          <w:bCs/>
          <w:sz w:val="24"/>
          <w:szCs w:val="24"/>
        </w:rPr>
        <w:t>2</w:t>
      </w:r>
      <w:r w:rsidR="00213836">
        <w:rPr>
          <w:b/>
          <w:bCs/>
          <w:sz w:val="24"/>
          <w:szCs w:val="24"/>
        </w:rPr>
        <w:t xml:space="preserve">.  </w:t>
      </w:r>
      <w:r>
        <w:rPr>
          <w:b/>
          <w:bCs/>
          <w:sz w:val="24"/>
          <w:szCs w:val="24"/>
        </w:rPr>
        <w:t>NEED FOR AND USE OF THE COLLECTION</w:t>
      </w:r>
    </w:p>
    <w:p w14:paraId="659E14EA" w14:textId="77777777" w:rsidR="00D759B9" w:rsidRDefault="00D759B9" w:rsidP="00BD387B">
      <w:pPr>
        <w:widowControl/>
        <w:numPr>
          <w:ilvl w:val="12"/>
          <w:numId w:val="0"/>
        </w:numPr>
        <w:rPr>
          <w:sz w:val="24"/>
          <w:szCs w:val="24"/>
        </w:rPr>
      </w:pPr>
    </w:p>
    <w:p w14:paraId="7C952F98" w14:textId="77777777" w:rsidR="00D759B9" w:rsidRDefault="00D759B9" w:rsidP="00BD387B">
      <w:pPr>
        <w:widowControl/>
        <w:numPr>
          <w:ilvl w:val="12"/>
          <w:numId w:val="0"/>
        </w:numPr>
        <w:rPr>
          <w:sz w:val="24"/>
          <w:szCs w:val="24"/>
        </w:rPr>
      </w:pPr>
      <w:r>
        <w:rPr>
          <w:sz w:val="24"/>
          <w:szCs w:val="24"/>
        </w:rPr>
        <w:tab/>
        <w:t>This section describes EPA</w:t>
      </w:r>
      <w:r w:rsidR="009102A2">
        <w:rPr>
          <w:sz w:val="24"/>
          <w:szCs w:val="24"/>
        </w:rPr>
        <w:t>'</w:t>
      </w:r>
      <w:r>
        <w:rPr>
          <w:sz w:val="24"/>
          <w:szCs w:val="24"/>
        </w:rPr>
        <w:t>s need for the information collections described above and the legal authority for conducting collections.  The users of collected information are also described.</w:t>
      </w:r>
    </w:p>
    <w:p w14:paraId="024FCB37" w14:textId="77777777" w:rsidR="00D759B9" w:rsidRDefault="00D759B9" w:rsidP="00BD387B">
      <w:pPr>
        <w:widowControl/>
        <w:numPr>
          <w:ilvl w:val="12"/>
          <w:numId w:val="0"/>
        </w:numPr>
        <w:rPr>
          <w:sz w:val="24"/>
          <w:szCs w:val="24"/>
        </w:rPr>
      </w:pPr>
    </w:p>
    <w:p w14:paraId="4A33AD29" w14:textId="77777777" w:rsidR="00D759B9" w:rsidRDefault="00FB3B01" w:rsidP="00E61772">
      <w:pPr>
        <w:widowControl/>
        <w:ind w:left="360"/>
        <w:rPr>
          <w:b/>
          <w:bCs/>
          <w:sz w:val="24"/>
          <w:szCs w:val="24"/>
        </w:rPr>
      </w:pPr>
      <w:r>
        <w:rPr>
          <w:b/>
          <w:bCs/>
          <w:sz w:val="24"/>
          <w:szCs w:val="24"/>
        </w:rPr>
        <w:t>2</w:t>
      </w:r>
      <w:r w:rsidR="00173934">
        <w:rPr>
          <w:b/>
          <w:bCs/>
          <w:sz w:val="24"/>
          <w:szCs w:val="24"/>
        </w:rPr>
        <w:t>(a</w:t>
      </w:r>
      <w:r w:rsidR="00131AD2">
        <w:rPr>
          <w:b/>
          <w:bCs/>
          <w:sz w:val="24"/>
          <w:szCs w:val="24"/>
        </w:rPr>
        <w:t>) Need</w:t>
      </w:r>
      <w:r w:rsidR="00D759B9">
        <w:rPr>
          <w:b/>
          <w:bCs/>
          <w:sz w:val="24"/>
          <w:szCs w:val="24"/>
        </w:rPr>
        <w:t>/Authority for t</w:t>
      </w:r>
      <w:r w:rsidR="00E61772">
        <w:rPr>
          <w:b/>
          <w:bCs/>
          <w:sz w:val="24"/>
          <w:szCs w:val="24"/>
        </w:rPr>
        <w:t>he Collection</w:t>
      </w:r>
    </w:p>
    <w:p w14:paraId="3B86CFDE" w14:textId="77777777" w:rsidR="00D759B9" w:rsidRDefault="00D759B9" w:rsidP="00BD387B">
      <w:pPr>
        <w:widowControl/>
        <w:rPr>
          <w:b/>
          <w:bCs/>
          <w:sz w:val="24"/>
          <w:szCs w:val="24"/>
        </w:rPr>
      </w:pPr>
    </w:p>
    <w:p w14:paraId="3DE15D8D" w14:textId="77777777" w:rsidR="00D759B9" w:rsidRDefault="00D759B9" w:rsidP="00BD387B">
      <w:pPr>
        <w:widowControl/>
        <w:ind w:firstLine="720"/>
        <w:rPr>
          <w:bCs/>
          <w:sz w:val="24"/>
          <w:szCs w:val="24"/>
        </w:rPr>
      </w:pPr>
      <w:r>
        <w:rPr>
          <w:bCs/>
          <w:sz w:val="24"/>
          <w:szCs w:val="24"/>
        </w:rPr>
        <w:t xml:space="preserve">The State reporting requirements included in the </w:t>
      </w:r>
      <w:r w:rsidR="000176CF">
        <w:rPr>
          <w:bCs/>
          <w:sz w:val="24"/>
          <w:szCs w:val="24"/>
        </w:rPr>
        <w:t>NO</w:t>
      </w:r>
      <w:r w:rsidR="000176CF" w:rsidRPr="003C6632">
        <w:rPr>
          <w:bCs/>
          <w:sz w:val="24"/>
          <w:szCs w:val="24"/>
          <w:vertAlign w:val="subscript"/>
        </w:rPr>
        <w:t>x</w:t>
      </w:r>
      <w:r w:rsidR="000176CF">
        <w:rPr>
          <w:bCs/>
          <w:sz w:val="24"/>
          <w:szCs w:val="24"/>
        </w:rPr>
        <w:t xml:space="preserve"> SIP Call</w:t>
      </w:r>
      <w:r>
        <w:rPr>
          <w:bCs/>
          <w:sz w:val="24"/>
          <w:szCs w:val="24"/>
        </w:rPr>
        <w:t xml:space="preserve"> are necessary for EPA to carry out properly its evaluation of each </w:t>
      </w:r>
      <w:r w:rsidR="00C23056">
        <w:rPr>
          <w:bCs/>
          <w:sz w:val="24"/>
          <w:szCs w:val="24"/>
        </w:rPr>
        <w:t>State</w:t>
      </w:r>
      <w:r w:rsidR="009102A2">
        <w:rPr>
          <w:bCs/>
          <w:sz w:val="24"/>
          <w:szCs w:val="24"/>
        </w:rPr>
        <w:t>'</w:t>
      </w:r>
      <w:r w:rsidR="00C23056">
        <w:rPr>
          <w:bCs/>
          <w:sz w:val="24"/>
          <w:szCs w:val="24"/>
        </w:rPr>
        <w:t xml:space="preserve">s </w:t>
      </w:r>
      <w:r>
        <w:rPr>
          <w:bCs/>
          <w:sz w:val="24"/>
          <w:szCs w:val="24"/>
        </w:rPr>
        <w:t>compliance with its ozone season NO</w:t>
      </w:r>
      <w:r>
        <w:rPr>
          <w:bCs/>
          <w:sz w:val="24"/>
          <w:szCs w:val="24"/>
          <w:vertAlign w:val="subscript"/>
        </w:rPr>
        <w:t>x</w:t>
      </w:r>
      <w:r>
        <w:rPr>
          <w:bCs/>
          <w:sz w:val="24"/>
          <w:szCs w:val="24"/>
        </w:rPr>
        <w:t xml:space="preserve"> emissions budget.  The legal authority for the reporting requirements resides in Sections 110(a) and 301(a) of the Clean Air Act.  Specifically, the requirement in Section 110(a)(2)(D) that SIPs include </w:t>
      </w:r>
      <w:r w:rsidR="009102A2">
        <w:rPr>
          <w:bCs/>
          <w:sz w:val="24"/>
          <w:szCs w:val="24"/>
        </w:rPr>
        <w:t>"</w:t>
      </w:r>
      <w:r>
        <w:rPr>
          <w:bCs/>
          <w:sz w:val="24"/>
          <w:szCs w:val="24"/>
        </w:rPr>
        <w:t>adequate provisions</w:t>
      </w:r>
      <w:r w:rsidR="009102A2">
        <w:rPr>
          <w:bCs/>
          <w:sz w:val="24"/>
          <w:szCs w:val="24"/>
        </w:rPr>
        <w:t>"</w:t>
      </w:r>
      <w:r w:rsidR="00C23056">
        <w:rPr>
          <w:bCs/>
          <w:sz w:val="24"/>
          <w:szCs w:val="24"/>
        </w:rPr>
        <w:t xml:space="preserve"> </w:t>
      </w:r>
      <w:r>
        <w:rPr>
          <w:bCs/>
          <w:sz w:val="24"/>
          <w:szCs w:val="24"/>
        </w:rPr>
        <w:t>to mitigate certain transport effects on other States implicitly authorizes emissions inventory reporting to EPA, as needed and appropriate to verify that a State is in fact meeting its NO</w:t>
      </w:r>
      <w:r>
        <w:rPr>
          <w:bCs/>
          <w:sz w:val="24"/>
          <w:szCs w:val="24"/>
          <w:vertAlign w:val="subscript"/>
        </w:rPr>
        <w:t>x</w:t>
      </w:r>
      <w:r>
        <w:rPr>
          <w:bCs/>
          <w:sz w:val="24"/>
          <w:szCs w:val="24"/>
        </w:rPr>
        <w:t xml:space="preserve"> budget.  Section 110(a)(2)(F) provides additional authority for requiring that SIP call submissions include provisions for emissions reporting by sources to a State, correlation of source information by the State, and steps by the State to make the correlated information available to the public.  Section 110(a)(2)(K), in turn, requires a State to submit to EPA as requested data related to modeling the effect of NO</w:t>
      </w:r>
      <w:r>
        <w:rPr>
          <w:bCs/>
          <w:sz w:val="24"/>
          <w:szCs w:val="24"/>
          <w:vertAlign w:val="subscript"/>
        </w:rPr>
        <w:t>x</w:t>
      </w:r>
      <w:r>
        <w:rPr>
          <w:bCs/>
          <w:sz w:val="24"/>
          <w:szCs w:val="24"/>
        </w:rPr>
        <w:t xml:space="preserve"> and other emissions on ambient air quality.  The reported emissions inventory data will be used by EPA in air quality modeling to assess the effectiveness of the transport rulemaking</w:t>
      </w:r>
      <w:r w:rsidR="009102A2">
        <w:rPr>
          <w:bCs/>
          <w:sz w:val="24"/>
          <w:szCs w:val="24"/>
        </w:rPr>
        <w:t>'</w:t>
      </w:r>
      <w:r>
        <w:rPr>
          <w:bCs/>
          <w:sz w:val="24"/>
          <w:szCs w:val="24"/>
        </w:rPr>
        <w:t>s regional strategy.  Finally, Section 301(a) grants EPA broad authority to prescribe such regulations as are necessary to carry out its functions under the Clean Air Act.</w:t>
      </w:r>
    </w:p>
    <w:p w14:paraId="09CEC544" w14:textId="77777777" w:rsidR="00D759B9" w:rsidRDefault="00D759B9" w:rsidP="00BD387B">
      <w:pPr>
        <w:widowControl/>
        <w:rPr>
          <w:b/>
          <w:bCs/>
          <w:sz w:val="24"/>
          <w:szCs w:val="24"/>
        </w:rPr>
      </w:pPr>
    </w:p>
    <w:p w14:paraId="5C72696A" w14:textId="77777777" w:rsidR="00D759B9" w:rsidRDefault="00FB3B01" w:rsidP="007F01BA">
      <w:pPr>
        <w:keepNext/>
        <w:widowControl/>
        <w:ind w:left="720" w:hanging="360"/>
        <w:rPr>
          <w:sz w:val="24"/>
          <w:szCs w:val="24"/>
        </w:rPr>
      </w:pPr>
      <w:r>
        <w:rPr>
          <w:rStyle w:val="2ndtier1"/>
          <w:sz w:val="24"/>
          <w:szCs w:val="24"/>
        </w:rPr>
        <w:t>2</w:t>
      </w:r>
      <w:r w:rsidR="00173934">
        <w:rPr>
          <w:rStyle w:val="2ndtier1"/>
          <w:sz w:val="24"/>
          <w:szCs w:val="24"/>
        </w:rPr>
        <w:t>(b</w:t>
      </w:r>
      <w:r w:rsidR="00131AD2">
        <w:rPr>
          <w:rStyle w:val="2ndtier1"/>
          <w:sz w:val="24"/>
          <w:szCs w:val="24"/>
        </w:rPr>
        <w:t>) Practical</w:t>
      </w:r>
      <w:r w:rsidR="00D759B9">
        <w:rPr>
          <w:rStyle w:val="2ndtier1"/>
          <w:sz w:val="24"/>
          <w:szCs w:val="24"/>
        </w:rPr>
        <w:t xml:space="preserve"> Utility/Users of the Data </w:t>
      </w:r>
    </w:p>
    <w:p w14:paraId="2C42EBB0" w14:textId="77777777" w:rsidR="00D759B9" w:rsidRDefault="00D759B9" w:rsidP="007F01BA">
      <w:pPr>
        <w:keepNext/>
        <w:widowControl/>
        <w:rPr>
          <w:sz w:val="24"/>
          <w:szCs w:val="24"/>
        </w:rPr>
      </w:pPr>
    </w:p>
    <w:p w14:paraId="1E589329" w14:textId="77777777" w:rsidR="00D759B9" w:rsidRDefault="00D759B9" w:rsidP="00BD387B">
      <w:pPr>
        <w:widowControl/>
        <w:rPr>
          <w:sz w:val="24"/>
          <w:szCs w:val="24"/>
        </w:rPr>
      </w:pPr>
      <w:r>
        <w:rPr>
          <w:sz w:val="24"/>
          <w:szCs w:val="24"/>
        </w:rPr>
        <w:tab/>
        <w:t xml:space="preserve">The EPA believes it is essential that compliance with the regional control strategy be verified.  Tracking emissions is the principal mechanism to ensure compliance with the budget and to assure the downwind affected States and EPA that the ozone transport problem is being mitigated. </w:t>
      </w:r>
    </w:p>
    <w:p w14:paraId="471245AA" w14:textId="77777777" w:rsidR="00D759B9" w:rsidRDefault="00D759B9" w:rsidP="00BD387B">
      <w:pPr>
        <w:widowControl/>
        <w:rPr>
          <w:sz w:val="24"/>
          <w:szCs w:val="24"/>
        </w:rPr>
      </w:pPr>
    </w:p>
    <w:p w14:paraId="23076653" w14:textId="77777777" w:rsidR="00D759B9" w:rsidRDefault="00D759B9" w:rsidP="00BD387B">
      <w:pPr>
        <w:widowControl/>
        <w:rPr>
          <w:sz w:val="24"/>
          <w:szCs w:val="24"/>
        </w:rPr>
      </w:pPr>
      <w:r>
        <w:rPr>
          <w:sz w:val="24"/>
          <w:szCs w:val="24"/>
        </w:rPr>
        <w:tab/>
        <w:t>If tracking and periodic reports indicate that a State is not implementing all of its NO</w:t>
      </w:r>
      <w:r>
        <w:rPr>
          <w:sz w:val="24"/>
          <w:szCs w:val="24"/>
          <w:vertAlign w:val="subscript"/>
        </w:rPr>
        <w:t>x</w:t>
      </w:r>
      <w:r>
        <w:rPr>
          <w:sz w:val="24"/>
          <w:szCs w:val="24"/>
        </w:rPr>
        <w:t xml:space="preserve"> control measures or is off track to meet its statewide budget, EPA will work with the State to determine the reasons for noncompliance and what course of remedial action is needed.  The EPA will expect the State to submit a plan showing what steps it will take to correct the </w:t>
      </w:r>
      <w:r>
        <w:rPr>
          <w:sz w:val="24"/>
          <w:szCs w:val="24"/>
        </w:rPr>
        <w:lastRenderedPageBreak/>
        <w:t>problems.  Noncompliance with the NO</w:t>
      </w:r>
      <w:r>
        <w:rPr>
          <w:sz w:val="24"/>
          <w:szCs w:val="24"/>
          <w:vertAlign w:val="subscript"/>
        </w:rPr>
        <w:t>x</w:t>
      </w:r>
      <w:r>
        <w:rPr>
          <w:sz w:val="24"/>
          <w:szCs w:val="24"/>
        </w:rPr>
        <w:t xml:space="preserve"> transport SIP may lead EPA to make a finding of failure to implement the SIP and potentially to implement sanctions, if the State does not take corrective action within a specified time period. </w:t>
      </w:r>
    </w:p>
    <w:p w14:paraId="6DED3047" w14:textId="77777777" w:rsidR="00D759B9" w:rsidRDefault="00D759B9" w:rsidP="00BD387B">
      <w:pPr>
        <w:widowControl/>
        <w:rPr>
          <w:sz w:val="24"/>
          <w:szCs w:val="24"/>
        </w:rPr>
      </w:pPr>
    </w:p>
    <w:p w14:paraId="3F62017D" w14:textId="77777777" w:rsidR="008B4141" w:rsidRDefault="008B4141" w:rsidP="00BD387B">
      <w:pPr>
        <w:widowControl/>
        <w:rPr>
          <w:sz w:val="24"/>
          <w:szCs w:val="24"/>
        </w:rPr>
      </w:pPr>
      <w:r>
        <w:rPr>
          <w:sz w:val="24"/>
          <w:szCs w:val="24"/>
        </w:rPr>
        <w:tab/>
        <w:t>The information collected by the industry sources subject to this ICR provide</w:t>
      </w:r>
      <w:r w:rsidR="00207EB1">
        <w:rPr>
          <w:sz w:val="24"/>
          <w:szCs w:val="24"/>
        </w:rPr>
        <w:t>s</w:t>
      </w:r>
      <w:r>
        <w:rPr>
          <w:sz w:val="24"/>
          <w:szCs w:val="24"/>
        </w:rPr>
        <w:t xml:space="preserve"> necessary input data to the State emission inventory </w:t>
      </w:r>
      <w:r w:rsidR="00AD52D8">
        <w:rPr>
          <w:sz w:val="24"/>
          <w:szCs w:val="24"/>
        </w:rPr>
        <w:t>needed</w:t>
      </w:r>
      <w:r w:rsidR="00207EB1">
        <w:rPr>
          <w:sz w:val="24"/>
          <w:szCs w:val="24"/>
        </w:rPr>
        <w:t xml:space="preserve"> for </w:t>
      </w:r>
      <w:r>
        <w:rPr>
          <w:sz w:val="24"/>
          <w:szCs w:val="24"/>
        </w:rPr>
        <w:t>tracking regional control strategy compliance.</w:t>
      </w:r>
    </w:p>
    <w:p w14:paraId="2DDFEF41" w14:textId="77777777" w:rsidR="00D759B9" w:rsidRDefault="00D759B9" w:rsidP="00BD387B">
      <w:pPr>
        <w:widowControl/>
        <w:numPr>
          <w:ilvl w:val="12"/>
          <w:numId w:val="0"/>
        </w:numPr>
        <w:rPr>
          <w:sz w:val="24"/>
          <w:szCs w:val="24"/>
        </w:rPr>
      </w:pPr>
    </w:p>
    <w:p w14:paraId="02EA5819" w14:textId="77777777" w:rsidR="00D759B9" w:rsidRDefault="00010059" w:rsidP="00BD387B">
      <w:pPr>
        <w:widowControl/>
        <w:numPr>
          <w:ilvl w:val="12"/>
          <w:numId w:val="0"/>
        </w:numPr>
        <w:tabs>
          <w:tab w:val="left" w:pos="720"/>
        </w:tabs>
        <w:ind w:left="720" w:hanging="720"/>
        <w:rPr>
          <w:sz w:val="24"/>
          <w:szCs w:val="24"/>
        </w:rPr>
      </w:pPr>
      <w:r>
        <w:rPr>
          <w:b/>
          <w:bCs/>
          <w:sz w:val="24"/>
          <w:szCs w:val="24"/>
        </w:rPr>
        <w:t xml:space="preserve">3.  </w:t>
      </w:r>
      <w:r w:rsidR="00D759B9">
        <w:rPr>
          <w:b/>
          <w:bCs/>
          <w:sz w:val="24"/>
          <w:szCs w:val="24"/>
        </w:rPr>
        <w:t>NONDUPLICATION, CONSULTATIONS, AND OTHER COLLECTION CRITERIA</w:t>
      </w:r>
    </w:p>
    <w:p w14:paraId="7342757F" w14:textId="77777777" w:rsidR="00D759B9" w:rsidRDefault="00D759B9" w:rsidP="00BD387B">
      <w:pPr>
        <w:widowControl/>
        <w:numPr>
          <w:ilvl w:val="12"/>
          <w:numId w:val="0"/>
        </w:numPr>
        <w:rPr>
          <w:sz w:val="24"/>
          <w:szCs w:val="24"/>
        </w:rPr>
      </w:pPr>
    </w:p>
    <w:p w14:paraId="57A26EBE" w14:textId="7F52A99C" w:rsidR="00D759B9" w:rsidRDefault="00D759B9" w:rsidP="00BD387B">
      <w:pPr>
        <w:widowControl/>
        <w:numPr>
          <w:ilvl w:val="12"/>
          <w:numId w:val="0"/>
        </w:numPr>
        <w:rPr>
          <w:sz w:val="24"/>
          <w:szCs w:val="24"/>
        </w:rPr>
      </w:pPr>
      <w:r>
        <w:rPr>
          <w:sz w:val="24"/>
          <w:szCs w:val="24"/>
        </w:rPr>
        <w:tab/>
        <w:t>This section describes</w:t>
      </w:r>
      <w:r w:rsidR="00F53796">
        <w:rPr>
          <w:sz w:val="24"/>
          <w:szCs w:val="24"/>
        </w:rPr>
        <w:t xml:space="preserve">: </w:t>
      </w:r>
      <w:r>
        <w:rPr>
          <w:sz w:val="24"/>
          <w:szCs w:val="24"/>
        </w:rPr>
        <w:t xml:space="preserve">(1) efforts by EPA to learn whether the information requested </w:t>
      </w:r>
      <w:r w:rsidR="00F53796">
        <w:rPr>
          <w:sz w:val="24"/>
          <w:szCs w:val="24"/>
        </w:rPr>
        <w:t>is available from other sources;</w:t>
      </w:r>
      <w:r>
        <w:rPr>
          <w:sz w:val="24"/>
          <w:szCs w:val="24"/>
        </w:rPr>
        <w:t xml:space="preserve"> (2) consultations with respondents and data users to plan collections, monitor their usefulness, and</w:t>
      </w:r>
      <w:r w:rsidR="00F53796">
        <w:rPr>
          <w:sz w:val="24"/>
          <w:szCs w:val="24"/>
        </w:rPr>
        <w:t xml:space="preserve"> minimize the collection burden;</w:t>
      </w:r>
      <w:r>
        <w:rPr>
          <w:sz w:val="24"/>
          <w:szCs w:val="24"/>
        </w:rPr>
        <w:t xml:space="preserve"> (3) effec</w:t>
      </w:r>
      <w:r w:rsidR="00F53796">
        <w:rPr>
          <w:sz w:val="24"/>
          <w:szCs w:val="24"/>
        </w:rPr>
        <w:t>ts of less frequent collections;</w:t>
      </w:r>
      <w:r>
        <w:rPr>
          <w:sz w:val="24"/>
          <w:szCs w:val="24"/>
        </w:rPr>
        <w:t xml:space="preserve"> and (4) justification for deviations from OMB</w:t>
      </w:r>
      <w:r w:rsidR="009102A2">
        <w:rPr>
          <w:sz w:val="24"/>
          <w:szCs w:val="24"/>
        </w:rPr>
        <w:t>'</w:t>
      </w:r>
      <w:r>
        <w:rPr>
          <w:sz w:val="24"/>
          <w:szCs w:val="24"/>
        </w:rPr>
        <w:t>s general guidelines.</w:t>
      </w:r>
    </w:p>
    <w:p w14:paraId="0D7F4545" w14:textId="77777777" w:rsidR="00D759B9" w:rsidRDefault="00D759B9" w:rsidP="00BD387B">
      <w:pPr>
        <w:widowControl/>
        <w:numPr>
          <w:ilvl w:val="12"/>
          <w:numId w:val="0"/>
        </w:numPr>
        <w:rPr>
          <w:sz w:val="24"/>
          <w:szCs w:val="24"/>
        </w:rPr>
      </w:pPr>
    </w:p>
    <w:p w14:paraId="66911E2A" w14:textId="722B9D0D" w:rsidR="00D759B9" w:rsidRDefault="00F53796" w:rsidP="0012308D">
      <w:pPr>
        <w:keepNext/>
        <w:widowControl/>
        <w:ind w:left="360"/>
        <w:rPr>
          <w:b/>
          <w:bCs/>
          <w:sz w:val="24"/>
          <w:szCs w:val="24"/>
        </w:rPr>
      </w:pPr>
      <w:r>
        <w:rPr>
          <w:b/>
          <w:bCs/>
          <w:sz w:val="24"/>
          <w:szCs w:val="24"/>
        </w:rPr>
        <w:t>3</w:t>
      </w:r>
      <w:r w:rsidR="00173934">
        <w:rPr>
          <w:b/>
          <w:bCs/>
          <w:sz w:val="24"/>
          <w:szCs w:val="24"/>
        </w:rPr>
        <w:t>(a</w:t>
      </w:r>
      <w:r w:rsidR="00131AD2">
        <w:rPr>
          <w:b/>
          <w:bCs/>
          <w:sz w:val="24"/>
          <w:szCs w:val="24"/>
        </w:rPr>
        <w:t>) Non</w:t>
      </w:r>
      <w:r w:rsidR="00E318C9">
        <w:rPr>
          <w:b/>
          <w:bCs/>
          <w:sz w:val="24"/>
          <w:szCs w:val="24"/>
        </w:rPr>
        <w:t>-</w:t>
      </w:r>
      <w:r w:rsidR="00131AD2">
        <w:rPr>
          <w:b/>
          <w:bCs/>
          <w:sz w:val="24"/>
          <w:szCs w:val="24"/>
        </w:rPr>
        <w:t>duplication</w:t>
      </w:r>
    </w:p>
    <w:p w14:paraId="683F10A4" w14:textId="77777777" w:rsidR="00D759B9" w:rsidRDefault="00D759B9" w:rsidP="0012308D">
      <w:pPr>
        <w:keepNext/>
        <w:widowControl/>
        <w:rPr>
          <w:b/>
          <w:bCs/>
          <w:sz w:val="24"/>
          <w:szCs w:val="24"/>
        </w:rPr>
      </w:pPr>
    </w:p>
    <w:p w14:paraId="566E462F" w14:textId="694E3084" w:rsidR="002539CF" w:rsidRDefault="00D759B9">
      <w:pPr>
        <w:keepNext/>
        <w:widowControl/>
        <w:ind w:firstLine="720"/>
        <w:rPr>
          <w:bCs/>
          <w:sz w:val="24"/>
          <w:szCs w:val="24"/>
        </w:rPr>
      </w:pPr>
      <w:r>
        <w:rPr>
          <w:bCs/>
          <w:sz w:val="24"/>
          <w:szCs w:val="24"/>
        </w:rPr>
        <w:t>To minimize the reporting burden on State agencies, the reporting requirements for 40 CFR 51.122 are based on existing annual and periodic emission inventory reporting requirements as much as possible.</w:t>
      </w:r>
      <w:r w:rsidR="009145F2">
        <w:rPr>
          <w:bCs/>
          <w:sz w:val="24"/>
          <w:szCs w:val="24"/>
        </w:rPr>
        <w:t xml:space="preserve">  In large part, the emission inventory requirements under the NO</w:t>
      </w:r>
      <w:r w:rsidR="009145F2" w:rsidRPr="00D13890">
        <w:rPr>
          <w:bCs/>
          <w:sz w:val="24"/>
          <w:szCs w:val="24"/>
          <w:vertAlign w:val="subscript"/>
        </w:rPr>
        <w:t>x</w:t>
      </w:r>
      <w:r w:rsidR="009145F2">
        <w:rPr>
          <w:bCs/>
          <w:sz w:val="24"/>
          <w:szCs w:val="24"/>
        </w:rPr>
        <w:t xml:space="preserve"> SIP Call are now met through the comparable requirements associated with </w:t>
      </w:r>
      <w:r w:rsidR="00EB4C54">
        <w:rPr>
          <w:bCs/>
          <w:sz w:val="24"/>
          <w:szCs w:val="24"/>
        </w:rPr>
        <w:t>CSAPR</w:t>
      </w:r>
      <w:r w:rsidR="009145F2">
        <w:rPr>
          <w:bCs/>
          <w:sz w:val="24"/>
          <w:szCs w:val="24"/>
        </w:rPr>
        <w:t xml:space="preserve">, and the direct State burdens associated with inventory reporting for the regional control program </w:t>
      </w:r>
      <w:r w:rsidR="00AD52D8">
        <w:rPr>
          <w:bCs/>
          <w:sz w:val="24"/>
          <w:szCs w:val="24"/>
        </w:rPr>
        <w:t xml:space="preserve">are </w:t>
      </w:r>
      <w:r w:rsidR="009145F2">
        <w:rPr>
          <w:bCs/>
          <w:sz w:val="24"/>
          <w:szCs w:val="24"/>
        </w:rPr>
        <w:t xml:space="preserve">now included in the </w:t>
      </w:r>
      <w:r w:rsidR="00EB4C54">
        <w:rPr>
          <w:bCs/>
          <w:sz w:val="24"/>
          <w:szCs w:val="24"/>
        </w:rPr>
        <w:t xml:space="preserve">CSAPR </w:t>
      </w:r>
      <w:r w:rsidR="009145F2">
        <w:rPr>
          <w:bCs/>
          <w:sz w:val="24"/>
          <w:szCs w:val="24"/>
        </w:rPr>
        <w:t xml:space="preserve">ICR.  The only burdens remaining under this ICR reflect emissions reporting </w:t>
      </w:r>
      <w:r w:rsidR="00440A8B">
        <w:rPr>
          <w:bCs/>
          <w:sz w:val="24"/>
          <w:szCs w:val="24"/>
        </w:rPr>
        <w:t xml:space="preserve">under the </w:t>
      </w:r>
      <w:r w:rsidR="009B6E14">
        <w:rPr>
          <w:bCs/>
          <w:sz w:val="24"/>
          <w:szCs w:val="24"/>
        </w:rPr>
        <w:t xml:space="preserve">NOx SIP Call </w:t>
      </w:r>
      <w:r w:rsidR="00440A8B">
        <w:rPr>
          <w:bCs/>
          <w:sz w:val="24"/>
          <w:szCs w:val="24"/>
        </w:rPr>
        <w:t xml:space="preserve">for </w:t>
      </w:r>
      <w:r w:rsidR="009145F2">
        <w:rPr>
          <w:bCs/>
          <w:sz w:val="24"/>
          <w:szCs w:val="24"/>
        </w:rPr>
        <w:t xml:space="preserve">sources not covered under </w:t>
      </w:r>
      <w:r w:rsidR="00EB4C54">
        <w:rPr>
          <w:bCs/>
          <w:sz w:val="24"/>
          <w:szCs w:val="24"/>
        </w:rPr>
        <w:t xml:space="preserve">CSAPR </w:t>
      </w:r>
      <w:r w:rsidR="009145F2">
        <w:rPr>
          <w:bCs/>
          <w:sz w:val="24"/>
          <w:szCs w:val="24"/>
        </w:rPr>
        <w:t xml:space="preserve">that are part of the </w:t>
      </w:r>
      <w:r w:rsidR="00300FC9">
        <w:rPr>
          <w:bCs/>
          <w:sz w:val="24"/>
          <w:szCs w:val="24"/>
        </w:rPr>
        <w:t>NO</w:t>
      </w:r>
      <w:r w:rsidR="00300FC9" w:rsidRPr="00315A87">
        <w:rPr>
          <w:bCs/>
          <w:sz w:val="24"/>
          <w:szCs w:val="24"/>
          <w:vertAlign w:val="subscript"/>
        </w:rPr>
        <w:t>x</w:t>
      </w:r>
      <w:r w:rsidR="00300FC9">
        <w:rPr>
          <w:bCs/>
          <w:sz w:val="24"/>
          <w:szCs w:val="24"/>
        </w:rPr>
        <w:t xml:space="preserve"> </w:t>
      </w:r>
      <w:r w:rsidR="009145F2">
        <w:rPr>
          <w:bCs/>
          <w:sz w:val="24"/>
          <w:szCs w:val="24"/>
        </w:rPr>
        <w:t>SIP Call control strategy.</w:t>
      </w:r>
      <w:r>
        <w:rPr>
          <w:bCs/>
          <w:sz w:val="24"/>
          <w:szCs w:val="24"/>
        </w:rPr>
        <w:t xml:space="preserve">  </w:t>
      </w:r>
    </w:p>
    <w:p w14:paraId="5F875469" w14:textId="77777777" w:rsidR="009B6E14" w:rsidRDefault="009B6E14" w:rsidP="0012308D">
      <w:pPr>
        <w:keepNext/>
        <w:widowControl/>
        <w:rPr>
          <w:sz w:val="24"/>
          <w:szCs w:val="24"/>
        </w:rPr>
      </w:pPr>
    </w:p>
    <w:p w14:paraId="65BE2A17" w14:textId="77777777" w:rsidR="0032765C" w:rsidRDefault="00D759B9" w:rsidP="0012308D">
      <w:pPr>
        <w:keepNext/>
        <w:widowControl/>
        <w:rPr>
          <w:sz w:val="24"/>
          <w:szCs w:val="24"/>
        </w:rPr>
      </w:pPr>
      <w:r>
        <w:rPr>
          <w:sz w:val="24"/>
          <w:szCs w:val="24"/>
        </w:rPr>
        <w:tab/>
        <w:t xml:space="preserve">Almost all information requested from respondents under this ICR </w:t>
      </w:r>
      <w:r w:rsidR="000E3E27">
        <w:rPr>
          <w:sz w:val="24"/>
          <w:szCs w:val="24"/>
        </w:rPr>
        <w:t xml:space="preserve">renewal </w:t>
      </w:r>
      <w:r>
        <w:rPr>
          <w:sz w:val="24"/>
          <w:szCs w:val="24"/>
        </w:rPr>
        <w:t>is not available from other sources.  Where EPA needs information that has already been submitted, EPA is simply requiring the retransmission of stored electronic data.</w:t>
      </w:r>
    </w:p>
    <w:p w14:paraId="4B61AE6A" w14:textId="77777777" w:rsidR="009B6E14" w:rsidRDefault="009B6E14" w:rsidP="00E86AF4">
      <w:pPr>
        <w:keepNext/>
        <w:widowControl/>
        <w:ind w:left="720" w:hanging="360"/>
        <w:rPr>
          <w:rStyle w:val="2ndtier1"/>
          <w:sz w:val="24"/>
          <w:szCs w:val="24"/>
        </w:rPr>
      </w:pPr>
    </w:p>
    <w:p w14:paraId="7D6CEE39" w14:textId="77777777" w:rsidR="00D759B9" w:rsidRDefault="00D759B9" w:rsidP="00E86AF4">
      <w:pPr>
        <w:keepNext/>
        <w:widowControl/>
        <w:ind w:left="720" w:hanging="360"/>
        <w:rPr>
          <w:sz w:val="24"/>
          <w:szCs w:val="24"/>
        </w:rPr>
      </w:pPr>
      <w:r>
        <w:rPr>
          <w:rStyle w:val="2ndtier1"/>
          <w:sz w:val="24"/>
          <w:szCs w:val="24"/>
        </w:rPr>
        <w:t>3</w:t>
      </w:r>
      <w:r w:rsidR="00173934">
        <w:rPr>
          <w:rStyle w:val="2ndtier1"/>
          <w:sz w:val="24"/>
          <w:szCs w:val="24"/>
        </w:rPr>
        <w:t>(b</w:t>
      </w:r>
      <w:r w:rsidR="00131AD2">
        <w:rPr>
          <w:rStyle w:val="2ndtier1"/>
          <w:sz w:val="24"/>
          <w:szCs w:val="24"/>
        </w:rPr>
        <w:t>) Public</w:t>
      </w:r>
      <w:r>
        <w:rPr>
          <w:rStyle w:val="2ndtier1"/>
          <w:sz w:val="24"/>
          <w:szCs w:val="24"/>
        </w:rPr>
        <w:t xml:space="preserve"> Notice Required Prior to ICR Submission to OMB </w:t>
      </w:r>
    </w:p>
    <w:p w14:paraId="56FBF91E" w14:textId="77777777" w:rsidR="00D759B9" w:rsidRDefault="00D759B9" w:rsidP="00E86AF4">
      <w:pPr>
        <w:keepNext/>
        <w:widowControl/>
        <w:rPr>
          <w:sz w:val="24"/>
          <w:szCs w:val="24"/>
        </w:rPr>
      </w:pPr>
    </w:p>
    <w:p w14:paraId="1B90C9D8" w14:textId="5D3FFA57" w:rsidR="00D759B9" w:rsidRDefault="00D759B9" w:rsidP="00E86AF4">
      <w:pPr>
        <w:keepNext/>
        <w:widowControl/>
        <w:rPr>
          <w:sz w:val="24"/>
          <w:szCs w:val="24"/>
        </w:rPr>
      </w:pPr>
      <w:r>
        <w:rPr>
          <w:sz w:val="24"/>
          <w:szCs w:val="24"/>
        </w:rPr>
        <w:tab/>
        <w:t xml:space="preserve">For the renewal ICR, a public notice was published in the Federal Register on </w:t>
      </w:r>
      <w:r w:rsidR="001B398F">
        <w:rPr>
          <w:sz w:val="24"/>
          <w:szCs w:val="24"/>
        </w:rPr>
        <w:t>June 29, 2017</w:t>
      </w:r>
      <w:r w:rsidRPr="00E72AF0">
        <w:rPr>
          <w:sz w:val="24"/>
          <w:szCs w:val="24"/>
        </w:rPr>
        <w:t xml:space="preserve"> on availability of the draft supporting statement for the ICR re</w:t>
      </w:r>
      <w:r>
        <w:rPr>
          <w:sz w:val="24"/>
          <w:szCs w:val="24"/>
        </w:rPr>
        <w:t>newal.  A 60</w:t>
      </w:r>
      <w:r w:rsidR="00BB54DA">
        <w:rPr>
          <w:sz w:val="24"/>
          <w:szCs w:val="24"/>
        </w:rPr>
        <w:t>-</w:t>
      </w:r>
      <w:r>
        <w:rPr>
          <w:sz w:val="24"/>
          <w:szCs w:val="24"/>
        </w:rPr>
        <w:t xml:space="preserve">day comment period for public comments was provided in the notice.  </w:t>
      </w:r>
      <w:r w:rsidRPr="005E0E2A">
        <w:rPr>
          <w:sz w:val="24"/>
          <w:szCs w:val="24"/>
        </w:rPr>
        <w:t xml:space="preserve">EPA received no comments in response to the public notice that was published in the Federal Register (see Docket ID No. </w:t>
      </w:r>
      <w:r w:rsidRPr="0038233D">
        <w:rPr>
          <w:bCs/>
          <w:sz w:val="24"/>
          <w:szCs w:val="24"/>
        </w:rPr>
        <w:t>EPA-</w:t>
      </w:r>
      <w:r w:rsidR="009C478C" w:rsidRPr="0038233D">
        <w:rPr>
          <w:bCs/>
          <w:sz w:val="24"/>
          <w:szCs w:val="24"/>
        </w:rPr>
        <w:t>HQ-</w:t>
      </w:r>
      <w:r w:rsidRPr="0038233D">
        <w:rPr>
          <w:bCs/>
          <w:sz w:val="24"/>
          <w:szCs w:val="24"/>
        </w:rPr>
        <w:t>OAR-2006-0947</w:t>
      </w:r>
      <w:r w:rsidR="009C478C" w:rsidRPr="0038233D">
        <w:rPr>
          <w:sz w:val="24"/>
          <w:szCs w:val="24"/>
        </w:rPr>
        <w:t>).</w:t>
      </w:r>
    </w:p>
    <w:p w14:paraId="1C9C240F" w14:textId="77777777" w:rsidR="009C478C" w:rsidRDefault="009C478C" w:rsidP="00786AB2">
      <w:pPr>
        <w:keepNext/>
        <w:keepLines/>
        <w:widowControl/>
        <w:rPr>
          <w:sz w:val="24"/>
          <w:szCs w:val="24"/>
        </w:rPr>
      </w:pPr>
    </w:p>
    <w:p w14:paraId="2D201CF5" w14:textId="77777777" w:rsidR="009B6E14" w:rsidRDefault="009B6E14" w:rsidP="00786AB2">
      <w:pPr>
        <w:keepNext/>
        <w:keepLines/>
        <w:widowControl/>
        <w:rPr>
          <w:sz w:val="24"/>
          <w:szCs w:val="24"/>
        </w:rPr>
      </w:pPr>
    </w:p>
    <w:p w14:paraId="44039DBF" w14:textId="77777777" w:rsidR="00D759B9" w:rsidRDefault="00D759B9" w:rsidP="00D13890">
      <w:pPr>
        <w:keepNext/>
        <w:keepLines/>
        <w:widowControl/>
        <w:ind w:left="720" w:hanging="360"/>
        <w:rPr>
          <w:sz w:val="24"/>
          <w:szCs w:val="24"/>
        </w:rPr>
      </w:pPr>
      <w:r>
        <w:rPr>
          <w:rStyle w:val="2ndtier1"/>
          <w:sz w:val="24"/>
          <w:szCs w:val="24"/>
        </w:rPr>
        <w:t>3</w:t>
      </w:r>
      <w:r w:rsidR="00173934">
        <w:rPr>
          <w:rStyle w:val="2ndtier1"/>
          <w:sz w:val="24"/>
          <w:szCs w:val="24"/>
        </w:rPr>
        <w:t>(c</w:t>
      </w:r>
      <w:r w:rsidR="00131AD2">
        <w:rPr>
          <w:rStyle w:val="2ndtier1"/>
          <w:sz w:val="24"/>
          <w:szCs w:val="24"/>
        </w:rPr>
        <w:t>) Consultations</w:t>
      </w:r>
      <w:r>
        <w:rPr>
          <w:rStyle w:val="2ndtier1"/>
          <w:sz w:val="24"/>
          <w:szCs w:val="24"/>
        </w:rPr>
        <w:t xml:space="preserve"> </w:t>
      </w:r>
    </w:p>
    <w:p w14:paraId="59C791CF" w14:textId="77777777" w:rsidR="00D759B9" w:rsidRDefault="00D759B9" w:rsidP="00BD387B">
      <w:pPr>
        <w:widowControl/>
        <w:rPr>
          <w:sz w:val="24"/>
          <w:szCs w:val="24"/>
        </w:rPr>
      </w:pPr>
    </w:p>
    <w:p w14:paraId="309F40E9" w14:textId="3025EA42" w:rsidR="009145F2" w:rsidRDefault="00EB4C54" w:rsidP="009B6E14">
      <w:pPr>
        <w:widowControl/>
        <w:ind w:firstLine="720"/>
        <w:rPr>
          <w:sz w:val="24"/>
          <w:szCs w:val="24"/>
        </w:rPr>
      </w:pPr>
      <w:r>
        <w:rPr>
          <w:sz w:val="24"/>
          <w:szCs w:val="24"/>
        </w:rPr>
        <w:t xml:space="preserve">No recent consultations were used for this specific ICR however EPA has held </w:t>
      </w:r>
      <w:r w:rsidR="009145F2">
        <w:rPr>
          <w:sz w:val="24"/>
          <w:szCs w:val="24"/>
        </w:rPr>
        <w:t xml:space="preserve">numerous consultations during </w:t>
      </w:r>
      <w:r w:rsidR="00BB54DA">
        <w:rPr>
          <w:sz w:val="24"/>
          <w:szCs w:val="24"/>
        </w:rPr>
        <w:t xml:space="preserve">the </w:t>
      </w:r>
      <w:r w:rsidR="009145F2">
        <w:rPr>
          <w:sz w:val="24"/>
          <w:szCs w:val="24"/>
        </w:rPr>
        <w:t>development of the</w:t>
      </w:r>
      <w:r w:rsidR="00AD52D8">
        <w:rPr>
          <w:sz w:val="24"/>
          <w:szCs w:val="24"/>
        </w:rPr>
        <w:t xml:space="preserve"> </w:t>
      </w:r>
      <w:r w:rsidR="00440A8B">
        <w:rPr>
          <w:sz w:val="24"/>
          <w:szCs w:val="24"/>
        </w:rPr>
        <w:t>NBP</w:t>
      </w:r>
      <w:r w:rsidR="009145F2">
        <w:rPr>
          <w:sz w:val="24"/>
          <w:szCs w:val="24"/>
        </w:rPr>
        <w:t>, CAIR, and</w:t>
      </w:r>
      <w:r w:rsidR="008F3B74">
        <w:rPr>
          <w:sz w:val="24"/>
          <w:szCs w:val="24"/>
        </w:rPr>
        <w:t xml:space="preserve"> </w:t>
      </w:r>
      <w:r w:rsidR="00160971">
        <w:rPr>
          <w:sz w:val="24"/>
          <w:szCs w:val="24"/>
        </w:rPr>
        <w:t>CSAPR</w:t>
      </w:r>
      <w:r w:rsidR="009145F2">
        <w:rPr>
          <w:sz w:val="24"/>
          <w:szCs w:val="24"/>
        </w:rPr>
        <w:t xml:space="preserve">.  The burdens accounted for under this renewal ICR reflect that most of the </w:t>
      </w:r>
      <w:r w:rsidR="009B6E14">
        <w:rPr>
          <w:sz w:val="24"/>
          <w:szCs w:val="24"/>
        </w:rPr>
        <w:t xml:space="preserve">reporting </w:t>
      </w:r>
      <w:r w:rsidR="009145F2">
        <w:rPr>
          <w:sz w:val="24"/>
          <w:szCs w:val="24"/>
        </w:rPr>
        <w:t>burden under the NO</w:t>
      </w:r>
      <w:r w:rsidR="009145F2" w:rsidRPr="00D13890">
        <w:rPr>
          <w:sz w:val="24"/>
          <w:szCs w:val="24"/>
          <w:vertAlign w:val="subscript"/>
        </w:rPr>
        <w:t>x</w:t>
      </w:r>
      <w:r w:rsidR="009145F2">
        <w:rPr>
          <w:sz w:val="24"/>
          <w:szCs w:val="24"/>
        </w:rPr>
        <w:t xml:space="preserve"> SIP Call is now addressed under </w:t>
      </w:r>
      <w:r>
        <w:rPr>
          <w:sz w:val="24"/>
          <w:szCs w:val="24"/>
        </w:rPr>
        <w:t>CSAPR</w:t>
      </w:r>
      <w:r w:rsidR="009145F2">
        <w:rPr>
          <w:sz w:val="24"/>
          <w:szCs w:val="24"/>
        </w:rPr>
        <w:t>.</w:t>
      </w:r>
    </w:p>
    <w:p w14:paraId="6889F2CD" w14:textId="77777777" w:rsidR="009145F2" w:rsidRDefault="009145F2" w:rsidP="00BD387B">
      <w:pPr>
        <w:widowControl/>
        <w:rPr>
          <w:sz w:val="24"/>
          <w:szCs w:val="24"/>
        </w:rPr>
      </w:pPr>
    </w:p>
    <w:p w14:paraId="0F34903F" w14:textId="621DBE58" w:rsidR="00D759B9" w:rsidRDefault="00D759B9" w:rsidP="00D13890">
      <w:pPr>
        <w:widowControl/>
        <w:ind w:firstLine="720"/>
        <w:rPr>
          <w:sz w:val="24"/>
          <w:szCs w:val="24"/>
        </w:rPr>
      </w:pPr>
      <w:r>
        <w:rPr>
          <w:sz w:val="24"/>
          <w:szCs w:val="24"/>
        </w:rPr>
        <w:t>For the initial rule development, on January 13, 1998, EPA held a one-day pre-proposal workshop with the States to discuss tracking issues.  The objective of the workshop was to determine what type and frequency of inventory reporting is feasible for the different source sectors (power generating sources, other point sources, area sources, non</w:t>
      </w:r>
      <w:r w:rsidR="00860082">
        <w:rPr>
          <w:sz w:val="24"/>
          <w:szCs w:val="24"/>
        </w:rPr>
        <w:t>-</w:t>
      </w:r>
      <w:r>
        <w:rPr>
          <w:sz w:val="24"/>
          <w:szCs w:val="24"/>
        </w:rPr>
        <w:t>road mobile, and highway mobile sources), to identify key reporting issues related to each sector, and to develop recommendations on reporting requirements to ensure compliance with the NO</w:t>
      </w:r>
      <w:r>
        <w:rPr>
          <w:sz w:val="24"/>
          <w:szCs w:val="24"/>
          <w:vertAlign w:val="subscript"/>
        </w:rPr>
        <w:t>x</w:t>
      </w:r>
      <w:r>
        <w:rPr>
          <w:sz w:val="24"/>
          <w:szCs w:val="24"/>
        </w:rPr>
        <w:t xml:space="preserve"> budgets.  The goal was to share information and ideas rather than to reach consensus.  A summary of the meeting is contained in the docket (docket no. A-96-56, item V-B-18) for the </w:t>
      </w:r>
      <w:r w:rsidR="000176CF">
        <w:rPr>
          <w:sz w:val="24"/>
          <w:szCs w:val="24"/>
        </w:rPr>
        <w:t>NO</w:t>
      </w:r>
      <w:r w:rsidR="000176CF" w:rsidRPr="00F53796">
        <w:rPr>
          <w:sz w:val="24"/>
          <w:szCs w:val="24"/>
          <w:vertAlign w:val="subscript"/>
        </w:rPr>
        <w:t>x</w:t>
      </w:r>
      <w:r w:rsidR="000176CF">
        <w:rPr>
          <w:sz w:val="24"/>
          <w:szCs w:val="24"/>
        </w:rPr>
        <w:t xml:space="preserve"> SIP Call</w:t>
      </w:r>
      <w:r>
        <w:rPr>
          <w:sz w:val="24"/>
          <w:szCs w:val="24"/>
        </w:rPr>
        <w:t xml:space="preserve"> rulemaking.</w:t>
      </w:r>
      <w:r w:rsidR="008B4141">
        <w:rPr>
          <w:sz w:val="24"/>
          <w:szCs w:val="24"/>
        </w:rPr>
        <w:t xml:space="preserve">  </w:t>
      </w:r>
      <w:r>
        <w:rPr>
          <w:sz w:val="24"/>
          <w:szCs w:val="24"/>
        </w:rPr>
        <w:t>The reporting requirements included in 40 CFR 51.122 are based, in part, on the suggestions of participants in the workshop.</w:t>
      </w:r>
    </w:p>
    <w:p w14:paraId="6E8E7855" w14:textId="77777777" w:rsidR="00D759B9" w:rsidRDefault="00D759B9" w:rsidP="00BD387B">
      <w:pPr>
        <w:widowControl/>
        <w:rPr>
          <w:sz w:val="24"/>
          <w:szCs w:val="24"/>
        </w:rPr>
      </w:pPr>
    </w:p>
    <w:p w14:paraId="6AAB3E9A" w14:textId="77777777" w:rsidR="00D759B9" w:rsidRDefault="00D759B9" w:rsidP="00BD387B">
      <w:pPr>
        <w:widowControl/>
        <w:rPr>
          <w:sz w:val="24"/>
          <w:szCs w:val="24"/>
        </w:rPr>
      </w:pPr>
      <w:r>
        <w:rPr>
          <w:sz w:val="24"/>
          <w:szCs w:val="24"/>
        </w:rPr>
        <w:tab/>
        <w:t>The recordkeeping and reporting requirements in §51.122 were included in the supplemental proposal (63 FR 25902, May 11, 1998) on which public comments were solicited.  Comments received were reviewed and where appropriate were incorporated into the rule requirements as currently given in 40 CFR 51.122.</w:t>
      </w:r>
    </w:p>
    <w:p w14:paraId="468D7F2C" w14:textId="77777777" w:rsidR="00D759B9" w:rsidRDefault="00D759B9" w:rsidP="00BD387B">
      <w:pPr>
        <w:widowControl/>
        <w:rPr>
          <w:sz w:val="24"/>
          <w:szCs w:val="24"/>
        </w:rPr>
      </w:pPr>
    </w:p>
    <w:p w14:paraId="3D54A409" w14:textId="77777777" w:rsidR="00D759B9" w:rsidRDefault="00D759B9" w:rsidP="00BD387B">
      <w:pPr>
        <w:widowControl/>
        <w:rPr>
          <w:sz w:val="24"/>
          <w:szCs w:val="24"/>
        </w:rPr>
      </w:pPr>
      <w:r>
        <w:rPr>
          <w:sz w:val="24"/>
          <w:szCs w:val="24"/>
        </w:rPr>
        <w:tab/>
        <w:t xml:space="preserve">Finally, as part of updating the ICR for the Acid Rain Program (Part 75) monitoring requirements, EPA </w:t>
      </w:r>
      <w:r w:rsidR="006C6E2F">
        <w:rPr>
          <w:sz w:val="24"/>
          <w:szCs w:val="24"/>
        </w:rPr>
        <w:t xml:space="preserve">also </w:t>
      </w:r>
      <w:r>
        <w:rPr>
          <w:sz w:val="24"/>
          <w:szCs w:val="24"/>
        </w:rPr>
        <w:t>contacted various affected parties to gather information on CEM capital costs, CEM operation and maintenance costs, fuel meter capital costs, and CEM/fuel</w:t>
      </w:r>
      <w:r w:rsidR="00AD52D8">
        <w:rPr>
          <w:sz w:val="24"/>
          <w:szCs w:val="24"/>
        </w:rPr>
        <w:t xml:space="preserve"> </w:t>
      </w:r>
      <w:r>
        <w:rPr>
          <w:sz w:val="24"/>
          <w:szCs w:val="24"/>
        </w:rPr>
        <w:t>meter testing costs.  That information has been used in this ICR where appropriate.</w:t>
      </w:r>
    </w:p>
    <w:p w14:paraId="7325BA11" w14:textId="77777777" w:rsidR="004575B1" w:rsidRDefault="004575B1" w:rsidP="00BD387B">
      <w:pPr>
        <w:widowControl/>
        <w:rPr>
          <w:sz w:val="24"/>
          <w:szCs w:val="24"/>
        </w:rPr>
      </w:pPr>
    </w:p>
    <w:p w14:paraId="0960255A" w14:textId="77777777" w:rsidR="00D759B9" w:rsidRDefault="00D759B9" w:rsidP="007F01BA">
      <w:pPr>
        <w:widowControl/>
        <w:ind w:left="720" w:hanging="360"/>
        <w:rPr>
          <w:sz w:val="24"/>
          <w:szCs w:val="24"/>
        </w:rPr>
      </w:pPr>
      <w:r>
        <w:rPr>
          <w:rStyle w:val="2ndtier1"/>
          <w:sz w:val="24"/>
          <w:szCs w:val="24"/>
        </w:rPr>
        <w:t>3</w:t>
      </w:r>
      <w:r w:rsidR="00173934">
        <w:rPr>
          <w:rStyle w:val="2ndtier1"/>
          <w:sz w:val="24"/>
          <w:szCs w:val="24"/>
        </w:rPr>
        <w:t>(d</w:t>
      </w:r>
      <w:r w:rsidR="00131AD2">
        <w:rPr>
          <w:rStyle w:val="2ndtier1"/>
          <w:sz w:val="24"/>
          <w:szCs w:val="24"/>
        </w:rPr>
        <w:t>) Effects</w:t>
      </w:r>
      <w:r>
        <w:rPr>
          <w:rStyle w:val="2ndtier1"/>
          <w:sz w:val="24"/>
          <w:szCs w:val="24"/>
        </w:rPr>
        <w:t xml:space="preserve"> of Less Frequent Collection </w:t>
      </w:r>
    </w:p>
    <w:p w14:paraId="488594E2" w14:textId="77777777" w:rsidR="00D759B9" w:rsidRDefault="00D759B9" w:rsidP="00BD387B">
      <w:pPr>
        <w:widowControl/>
        <w:rPr>
          <w:sz w:val="24"/>
          <w:szCs w:val="24"/>
        </w:rPr>
      </w:pPr>
    </w:p>
    <w:p w14:paraId="47AD7BDE" w14:textId="77777777" w:rsidR="00D759B9" w:rsidRDefault="00D759B9" w:rsidP="00BD387B">
      <w:pPr>
        <w:widowControl/>
        <w:rPr>
          <w:sz w:val="24"/>
          <w:szCs w:val="24"/>
        </w:rPr>
      </w:pPr>
      <w:r>
        <w:rPr>
          <w:sz w:val="24"/>
          <w:szCs w:val="24"/>
        </w:rPr>
        <w:tab/>
        <w:t>If this information collection were not carried out annually for sources being controlled to meet the NO</w:t>
      </w:r>
      <w:r>
        <w:rPr>
          <w:sz w:val="24"/>
          <w:szCs w:val="24"/>
          <w:vertAlign w:val="subscript"/>
        </w:rPr>
        <w:t>x</w:t>
      </w:r>
      <w:r>
        <w:rPr>
          <w:sz w:val="24"/>
          <w:szCs w:val="24"/>
        </w:rPr>
        <w:t xml:space="preserve"> budgets, EPA would not be able to verify that NO</w:t>
      </w:r>
      <w:r>
        <w:rPr>
          <w:sz w:val="24"/>
          <w:szCs w:val="24"/>
          <w:vertAlign w:val="subscript"/>
        </w:rPr>
        <w:t>x</w:t>
      </w:r>
      <w:r>
        <w:rPr>
          <w:sz w:val="24"/>
          <w:szCs w:val="24"/>
        </w:rPr>
        <w:t xml:space="preserve"> emission reductions necessary to meet each State</w:t>
      </w:r>
      <w:r w:rsidR="009102A2">
        <w:rPr>
          <w:sz w:val="24"/>
          <w:szCs w:val="24"/>
        </w:rPr>
        <w:t>'</w:t>
      </w:r>
      <w:r>
        <w:rPr>
          <w:sz w:val="24"/>
          <w:szCs w:val="24"/>
        </w:rPr>
        <w:t>s NO</w:t>
      </w:r>
      <w:r>
        <w:rPr>
          <w:sz w:val="24"/>
          <w:szCs w:val="24"/>
          <w:vertAlign w:val="subscript"/>
        </w:rPr>
        <w:t>x</w:t>
      </w:r>
      <w:r>
        <w:rPr>
          <w:sz w:val="24"/>
          <w:szCs w:val="24"/>
        </w:rPr>
        <w:t xml:space="preserve"> emission budget were being achieved.  </w:t>
      </w:r>
    </w:p>
    <w:p w14:paraId="6575BE5A" w14:textId="77777777" w:rsidR="00D759B9" w:rsidRDefault="00D759B9" w:rsidP="00BD387B">
      <w:pPr>
        <w:widowControl/>
        <w:rPr>
          <w:sz w:val="24"/>
          <w:szCs w:val="24"/>
        </w:rPr>
      </w:pPr>
    </w:p>
    <w:p w14:paraId="71146034" w14:textId="6FFADE17" w:rsidR="00D759B9" w:rsidRDefault="00E86AF4" w:rsidP="00BD387B">
      <w:pPr>
        <w:widowControl/>
        <w:rPr>
          <w:sz w:val="24"/>
          <w:szCs w:val="24"/>
        </w:rPr>
      </w:pPr>
      <w:r>
        <w:rPr>
          <w:sz w:val="24"/>
          <w:szCs w:val="24"/>
        </w:rPr>
        <w:tab/>
        <w:t>Quarterly collection</w:t>
      </w:r>
      <w:r w:rsidR="00D759B9">
        <w:rPr>
          <w:sz w:val="24"/>
          <w:szCs w:val="24"/>
        </w:rPr>
        <w:t xml:space="preserve"> of emissions data </w:t>
      </w:r>
      <w:r w:rsidR="008B4141">
        <w:rPr>
          <w:sz w:val="24"/>
          <w:szCs w:val="24"/>
        </w:rPr>
        <w:t xml:space="preserve">for the </w:t>
      </w:r>
      <w:r w:rsidR="00440A8B">
        <w:rPr>
          <w:sz w:val="24"/>
          <w:szCs w:val="24"/>
        </w:rPr>
        <w:t xml:space="preserve">affected </w:t>
      </w:r>
      <w:r w:rsidR="008B4141">
        <w:rPr>
          <w:sz w:val="24"/>
          <w:szCs w:val="24"/>
        </w:rPr>
        <w:t xml:space="preserve">units </w:t>
      </w:r>
      <w:r w:rsidR="00744F87">
        <w:rPr>
          <w:sz w:val="24"/>
          <w:szCs w:val="24"/>
        </w:rPr>
        <w:t>allow</w:t>
      </w:r>
      <w:r w:rsidR="008B4141">
        <w:rPr>
          <w:sz w:val="24"/>
          <w:szCs w:val="24"/>
        </w:rPr>
        <w:t>s</w:t>
      </w:r>
      <w:r w:rsidR="00744F87">
        <w:rPr>
          <w:sz w:val="24"/>
          <w:szCs w:val="24"/>
        </w:rPr>
        <w:t xml:space="preserve"> </w:t>
      </w:r>
      <w:r w:rsidR="00D759B9">
        <w:rPr>
          <w:sz w:val="24"/>
          <w:szCs w:val="24"/>
        </w:rPr>
        <w:t xml:space="preserve">the opportunity to check data for errors and provide rapid feedback on needed adjustments to data collection systems, and thereby </w:t>
      </w:r>
      <w:r w:rsidR="00744F87">
        <w:rPr>
          <w:sz w:val="24"/>
          <w:szCs w:val="24"/>
        </w:rPr>
        <w:t xml:space="preserve">promoted </w:t>
      </w:r>
      <w:r w:rsidR="00D759B9">
        <w:rPr>
          <w:sz w:val="24"/>
          <w:szCs w:val="24"/>
        </w:rPr>
        <w:t xml:space="preserve">accurate and reliable emissions data.  </w:t>
      </w:r>
      <w:r w:rsidR="00EC3463">
        <w:rPr>
          <w:sz w:val="24"/>
          <w:szCs w:val="24"/>
        </w:rPr>
        <w:t>For this same reason, existing Federal and S</w:t>
      </w:r>
      <w:r w:rsidR="00D759B9">
        <w:rPr>
          <w:sz w:val="24"/>
          <w:szCs w:val="24"/>
        </w:rPr>
        <w:t>tate emission monitoring programs often require quarterly reporting, or in some cases, monthly.  Less frequent collection, such as semi-annually or annually, would increase the amount of preparation and review time at the end of the reporting period both for regulated sources and for EPA.  This would slow down the process for the verification of compliance.</w:t>
      </w:r>
    </w:p>
    <w:p w14:paraId="35BB9F1B" w14:textId="77777777" w:rsidR="00C74204" w:rsidRDefault="00C74204" w:rsidP="00BD387B">
      <w:pPr>
        <w:widowControl/>
        <w:rPr>
          <w:sz w:val="24"/>
          <w:szCs w:val="24"/>
        </w:rPr>
      </w:pPr>
    </w:p>
    <w:p w14:paraId="79D39E28" w14:textId="77777777" w:rsidR="00D759B9" w:rsidRDefault="00D759B9" w:rsidP="00BD387B">
      <w:pPr>
        <w:widowControl/>
        <w:rPr>
          <w:sz w:val="24"/>
          <w:szCs w:val="24"/>
        </w:rPr>
      </w:pPr>
      <w:r>
        <w:rPr>
          <w:sz w:val="24"/>
          <w:szCs w:val="24"/>
        </w:rPr>
        <w:tab/>
        <w:t xml:space="preserve">As an option for this program, EPA will allow for ozone season reporting instead of quarterly reports for the entire calendar year.  Under this option, units would only be required to submit two reports per year (covering the second and third calendar quarters).  However, because the Agency believes that full-year quarterly reporting will be beneficial for both the source and the Agency, this ICR assumes </w:t>
      </w:r>
      <w:r w:rsidR="00131AD2">
        <w:rPr>
          <w:sz w:val="24"/>
          <w:szCs w:val="24"/>
        </w:rPr>
        <w:t xml:space="preserve">most </w:t>
      </w:r>
      <w:r>
        <w:rPr>
          <w:sz w:val="24"/>
          <w:szCs w:val="24"/>
        </w:rPr>
        <w:t>units will elect to comply with the standard quarterly reporting requirement.</w:t>
      </w:r>
    </w:p>
    <w:p w14:paraId="46674C15" w14:textId="77777777" w:rsidR="00D759B9" w:rsidRDefault="00D759B9" w:rsidP="00BD387B">
      <w:pPr>
        <w:widowControl/>
        <w:rPr>
          <w:sz w:val="24"/>
          <w:szCs w:val="24"/>
        </w:rPr>
      </w:pPr>
    </w:p>
    <w:p w14:paraId="03DE9CAC" w14:textId="77777777" w:rsidR="00D759B9" w:rsidRDefault="00D759B9" w:rsidP="007F01BA">
      <w:pPr>
        <w:widowControl/>
        <w:ind w:left="720" w:hanging="360"/>
        <w:rPr>
          <w:sz w:val="24"/>
          <w:szCs w:val="24"/>
        </w:rPr>
      </w:pPr>
      <w:r>
        <w:rPr>
          <w:rStyle w:val="2ndtier1"/>
          <w:sz w:val="24"/>
          <w:szCs w:val="24"/>
        </w:rPr>
        <w:t>3</w:t>
      </w:r>
      <w:r w:rsidR="00173934">
        <w:rPr>
          <w:rStyle w:val="2ndtier1"/>
          <w:sz w:val="24"/>
          <w:szCs w:val="24"/>
        </w:rPr>
        <w:t>(e</w:t>
      </w:r>
      <w:r w:rsidR="00131AD2">
        <w:rPr>
          <w:rStyle w:val="2ndtier1"/>
          <w:sz w:val="24"/>
          <w:szCs w:val="24"/>
        </w:rPr>
        <w:t>) General</w:t>
      </w:r>
      <w:r>
        <w:rPr>
          <w:rStyle w:val="2ndtier1"/>
          <w:sz w:val="24"/>
          <w:szCs w:val="24"/>
        </w:rPr>
        <w:t xml:space="preserve"> Guidelines </w:t>
      </w:r>
    </w:p>
    <w:p w14:paraId="0E2D1A33" w14:textId="77777777" w:rsidR="00D759B9" w:rsidRDefault="00D759B9" w:rsidP="00BD387B">
      <w:pPr>
        <w:widowControl/>
        <w:rPr>
          <w:sz w:val="24"/>
          <w:szCs w:val="24"/>
        </w:rPr>
      </w:pPr>
    </w:p>
    <w:p w14:paraId="7352D457" w14:textId="77777777" w:rsidR="00D759B9" w:rsidRDefault="00F53796" w:rsidP="00BD387B">
      <w:pPr>
        <w:widowControl/>
        <w:rPr>
          <w:sz w:val="24"/>
          <w:szCs w:val="24"/>
        </w:rPr>
      </w:pPr>
      <w:r>
        <w:rPr>
          <w:sz w:val="24"/>
          <w:szCs w:val="24"/>
        </w:rPr>
        <w:tab/>
      </w:r>
      <w:r w:rsidR="00D759B9">
        <w:rPr>
          <w:sz w:val="24"/>
          <w:szCs w:val="24"/>
        </w:rPr>
        <w:t xml:space="preserve">This ICR does not violate any of </w:t>
      </w:r>
      <w:r w:rsidR="005864A8">
        <w:rPr>
          <w:sz w:val="24"/>
          <w:szCs w:val="24"/>
        </w:rPr>
        <w:t>OMB</w:t>
      </w:r>
      <w:r w:rsidR="009102A2">
        <w:rPr>
          <w:sz w:val="24"/>
          <w:szCs w:val="24"/>
        </w:rPr>
        <w:t>'</w:t>
      </w:r>
      <w:r w:rsidR="005864A8">
        <w:rPr>
          <w:sz w:val="24"/>
          <w:szCs w:val="24"/>
        </w:rPr>
        <w:t xml:space="preserve">s </w:t>
      </w:r>
      <w:r w:rsidR="00D759B9">
        <w:rPr>
          <w:sz w:val="24"/>
          <w:szCs w:val="24"/>
        </w:rPr>
        <w:t xml:space="preserve">guidelines for information collections.  </w:t>
      </w:r>
    </w:p>
    <w:p w14:paraId="4BA90830" w14:textId="77777777" w:rsidR="00D759B9" w:rsidRDefault="00D759B9" w:rsidP="00BD387B">
      <w:pPr>
        <w:widowControl/>
        <w:rPr>
          <w:sz w:val="24"/>
          <w:szCs w:val="24"/>
        </w:rPr>
      </w:pPr>
    </w:p>
    <w:p w14:paraId="2EABF992" w14:textId="77777777" w:rsidR="00D759B9" w:rsidRDefault="00F53796" w:rsidP="00F53796">
      <w:pPr>
        <w:keepNext/>
        <w:widowControl/>
        <w:ind w:left="720" w:hanging="360"/>
        <w:rPr>
          <w:sz w:val="24"/>
          <w:szCs w:val="24"/>
        </w:rPr>
      </w:pPr>
      <w:r>
        <w:rPr>
          <w:rStyle w:val="2ndtier1"/>
          <w:sz w:val="24"/>
          <w:szCs w:val="24"/>
        </w:rPr>
        <w:t>3</w:t>
      </w:r>
      <w:r w:rsidR="00173934">
        <w:rPr>
          <w:rStyle w:val="2ndtier1"/>
          <w:sz w:val="24"/>
          <w:szCs w:val="24"/>
        </w:rPr>
        <w:t>(f</w:t>
      </w:r>
      <w:r w:rsidR="00131AD2">
        <w:rPr>
          <w:rStyle w:val="2ndtier1"/>
          <w:sz w:val="24"/>
          <w:szCs w:val="24"/>
        </w:rPr>
        <w:t>) Confidentiality</w:t>
      </w:r>
      <w:r w:rsidR="00D759B9">
        <w:rPr>
          <w:rStyle w:val="2ndtier1"/>
          <w:sz w:val="24"/>
          <w:szCs w:val="24"/>
        </w:rPr>
        <w:t xml:space="preserve"> </w:t>
      </w:r>
    </w:p>
    <w:p w14:paraId="1692319B" w14:textId="77777777" w:rsidR="00D759B9" w:rsidRDefault="00D759B9" w:rsidP="00F53796">
      <w:pPr>
        <w:keepNext/>
        <w:widowControl/>
        <w:rPr>
          <w:sz w:val="24"/>
          <w:szCs w:val="24"/>
        </w:rPr>
      </w:pPr>
    </w:p>
    <w:p w14:paraId="0185B971" w14:textId="23C96511" w:rsidR="00D759B9" w:rsidRDefault="00D759B9" w:rsidP="00F53796">
      <w:pPr>
        <w:keepNext/>
        <w:widowControl/>
        <w:numPr>
          <w:ilvl w:val="12"/>
          <w:numId w:val="0"/>
        </w:numPr>
        <w:rPr>
          <w:sz w:val="24"/>
          <w:szCs w:val="24"/>
        </w:rPr>
      </w:pPr>
      <w:r>
        <w:rPr>
          <w:sz w:val="24"/>
          <w:szCs w:val="24"/>
        </w:rPr>
        <w:tab/>
        <w:t>As required by Section 114 of the Clean Air Act, estimates or measurements of emissions must be treated as non</w:t>
      </w:r>
      <w:r w:rsidR="00860082">
        <w:rPr>
          <w:sz w:val="24"/>
          <w:szCs w:val="24"/>
        </w:rPr>
        <w:t>-</w:t>
      </w:r>
      <w:r>
        <w:rPr>
          <w:sz w:val="24"/>
          <w:szCs w:val="24"/>
        </w:rPr>
        <w:t xml:space="preserve">confidential.  Under Agency procedures, data items relating to the computation of emissions may be identified as sensitive by a State and are then treated as </w:t>
      </w:r>
      <w:r w:rsidR="009102A2">
        <w:rPr>
          <w:sz w:val="24"/>
          <w:szCs w:val="24"/>
        </w:rPr>
        <w:t>"</w:t>
      </w:r>
      <w:r>
        <w:rPr>
          <w:sz w:val="24"/>
          <w:szCs w:val="24"/>
        </w:rPr>
        <w:t>State-sensitive</w:t>
      </w:r>
      <w:r w:rsidR="009102A2">
        <w:rPr>
          <w:sz w:val="24"/>
          <w:szCs w:val="24"/>
        </w:rPr>
        <w:t>"</w:t>
      </w:r>
      <w:r w:rsidR="005864A8">
        <w:rPr>
          <w:sz w:val="24"/>
          <w:szCs w:val="24"/>
        </w:rPr>
        <w:t xml:space="preserve"> </w:t>
      </w:r>
      <w:r>
        <w:rPr>
          <w:sz w:val="24"/>
          <w:szCs w:val="24"/>
        </w:rPr>
        <w:t xml:space="preserve">by EPA.  The potentially State-sensitive items include the following:  </w:t>
      </w:r>
      <w:r w:rsidR="005864A8">
        <w:rPr>
          <w:sz w:val="24"/>
          <w:szCs w:val="24"/>
        </w:rPr>
        <w:t>p</w:t>
      </w:r>
      <w:r>
        <w:rPr>
          <w:sz w:val="24"/>
          <w:szCs w:val="24"/>
        </w:rPr>
        <w:t>rocess rate, boiler design capacity, emission estimation codes, percent space heat, operating rate, and maximum operation rate/hour.  Where Federal and State requirements are inconsistent, EPA Regional Office should be consulted for final reconciliation.</w:t>
      </w:r>
    </w:p>
    <w:p w14:paraId="0227C506" w14:textId="77777777" w:rsidR="00D759B9" w:rsidRDefault="00D759B9" w:rsidP="00BD387B">
      <w:pPr>
        <w:pStyle w:val="a"/>
        <w:widowControl/>
        <w:rPr>
          <w:b/>
        </w:rPr>
      </w:pPr>
    </w:p>
    <w:p w14:paraId="4ABE27A9" w14:textId="77777777" w:rsidR="00D759B9" w:rsidRDefault="00D759B9" w:rsidP="007F01BA">
      <w:pPr>
        <w:pStyle w:val="a"/>
        <w:widowControl/>
        <w:ind w:left="720" w:hanging="360"/>
      </w:pPr>
      <w:r>
        <w:rPr>
          <w:b/>
        </w:rPr>
        <w:t>3</w:t>
      </w:r>
      <w:r w:rsidR="00173934">
        <w:rPr>
          <w:b/>
        </w:rPr>
        <w:t>(g</w:t>
      </w:r>
      <w:r w:rsidR="00131AD2">
        <w:rPr>
          <w:b/>
        </w:rPr>
        <w:t>) Sensitive</w:t>
      </w:r>
      <w:r>
        <w:rPr>
          <w:rStyle w:val="2ndtier1"/>
        </w:rPr>
        <w:t xml:space="preserve"> Questions</w:t>
      </w:r>
      <w:r>
        <w:rPr>
          <w:rStyle w:val="2ndtier1"/>
          <w:b w:val="0"/>
        </w:rPr>
        <w:t xml:space="preserve"> </w:t>
      </w:r>
    </w:p>
    <w:p w14:paraId="7C04515F" w14:textId="77777777" w:rsidR="00D759B9" w:rsidRDefault="00D759B9" w:rsidP="00BD387B">
      <w:pPr>
        <w:pStyle w:val="a"/>
        <w:widowControl/>
      </w:pPr>
    </w:p>
    <w:p w14:paraId="4CB2AC56" w14:textId="77777777" w:rsidR="00D759B9" w:rsidRDefault="00D759B9" w:rsidP="00F53796">
      <w:pPr>
        <w:pStyle w:val="a"/>
        <w:widowControl/>
        <w:tabs>
          <w:tab w:val="clear" w:pos="6480"/>
          <w:tab w:val="clear" w:pos="7200"/>
          <w:tab w:val="clear" w:pos="7920"/>
          <w:tab w:val="clear" w:pos="8640"/>
        </w:tabs>
        <w:ind w:left="0" w:firstLine="720"/>
        <w:jc w:val="left"/>
      </w:pPr>
      <w:r>
        <w:t xml:space="preserve">Not applicable.  This information collection does not ask any questions concerning sexual behavior or attitudes, religious beliefs, or other matters usually considered private.  </w:t>
      </w:r>
    </w:p>
    <w:p w14:paraId="7D8A3EC6" w14:textId="77777777" w:rsidR="00D759B9" w:rsidRDefault="00D759B9" w:rsidP="00BD387B">
      <w:pPr>
        <w:widowControl/>
        <w:numPr>
          <w:ilvl w:val="12"/>
          <w:numId w:val="0"/>
        </w:numPr>
        <w:rPr>
          <w:sz w:val="24"/>
          <w:szCs w:val="24"/>
        </w:rPr>
      </w:pPr>
    </w:p>
    <w:p w14:paraId="3B972279" w14:textId="77777777" w:rsidR="00BB29B0" w:rsidRDefault="00BB29B0" w:rsidP="00BD387B">
      <w:pPr>
        <w:widowControl/>
        <w:numPr>
          <w:ilvl w:val="12"/>
          <w:numId w:val="0"/>
        </w:numPr>
        <w:rPr>
          <w:b/>
          <w:bCs/>
          <w:sz w:val="24"/>
          <w:szCs w:val="24"/>
        </w:rPr>
      </w:pPr>
    </w:p>
    <w:p w14:paraId="30124F34" w14:textId="77777777" w:rsidR="00D759B9" w:rsidRDefault="007F01BA" w:rsidP="00BD387B">
      <w:pPr>
        <w:widowControl/>
        <w:numPr>
          <w:ilvl w:val="12"/>
          <w:numId w:val="0"/>
        </w:numPr>
        <w:rPr>
          <w:sz w:val="24"/>
          <w:szCs w:val="24"/>
        </w:rPr>
      </w:pPr>
      <w:r>
        <w:rPr>
          <w:b/>
          <w:bCs/>
          <w:sz w:val="24"/>
          <w:szCs w:val="24"/>
        </w:rPr>
        <w:t xml:space="preserve">4.  </w:t>
      </w:r>
      <w:r w:rsidR="00D759B9">
        <w:rPr>
          <w:b/>
          <w:bCs/>
          <w:sz w:val="24"/>
          <w:szCs w:val="24"/>
        </w:rPr>
        <w:t>THE RESPONDENTS AND THE INFORMATION REQUESTED</w:t>
      </w:r>
    </w:p>
    <w:p w14:paraId="49755029" w14:textId="77777777" w:rsidR="00D759B9" w:rsidRDefault="00D759B9" w:rsidP="00BD387B">
      <w:pPr>
        <w:widowControl/>
        <w:numPr>
          <w:ilvl w:val="12"/>
          <w:numId w:val="0"/>
        </w:numPr>
        <w:rPr>
          <w:sz w:val="24"/>
          <w:szCs w:val="24"/>
        </w:rPr>
      </w:pPr>
    </w:p>
    <w:p w14:paraId="34911FAB" w14:textId="2FAB18A6" w:rsidR="00D759B9" w:rsidRDefault="00D759B9" w:rsidP="00BD387B">
      <w:pPr>
        <w:widowControl/>
        <w:numPr>
          <w:ilvl w:val="12"/>
          <w:numId w:val="0"/>
        </w:numPr>
        <w:rPr>
          <w:sz w:val="24"/>
          <w:szCs w:val="24"/>
        </w:rPr>
      </w:pPr>
      <w:r>
        <w:rPr>
          <w:sz w:val="24"/>
          <w:szCs w:val="24"/>
        </w:rPr>
        <w:tab/>
        <w:t xml:space="preserve">This section lists the major categories of businesses that </w:t>
      </w:r>
      <w:r w:rsidR="009B6E14">
        <w:rPr>
          <w:sz w:val="24"/>
          <w:szCs w:val="24"/>
        </w:rPr>
        <w:t xml:space="preserve">formerly </w:t>
      </w:r>
      <w:r>
        <w:rPr>
          <w:sz w:val="24"/>
          <w:szCs w:val="24"/>
        </w:rPr>
        <w:t>participate</w:t>
      </w:r>
      <w:r w:rsidR="009B6E14">
        <w:rPr>
          <w:sz w:val="24"/>
          <w:szCs w:val="24"/>
        </w:rPr>
        <w:t>d</w:t>
      </w:r>
      <w:r>
        <w:rPr>
          <w:sz w:val="24"/>
          <w:szCs w:val="24"/>
        </w:rPr>
        <w:t xml:space="preserve"> in the </w:t>
      </w:r>
      <w:r w:rsidR="00490A69">
        <w:rPr>
          <w:sz w:val="24"/>
          <w:szCs w:val="24"/>
        </w:rPr>
        <w:t>NO</w:t>
      </w:r>
      <w:r w:rsidR="00490A69">
        <w:rPr>
          <w:sz w:val="24"/>
          <w:szCs w:val="24"/>
          <w:vertAlign w:val="subscript"/>
        </w:rPr>
        <w:t>x</w:t>
      </w:r>
      <w:r w:rsidR="00490A69">
        <w:rPr>
          <w:sz w:val="24"/>
          <w:szCs w:val="24"/>
        </w:rPr>
        <w:t xml:space="preserve"> </w:t>
      </w:r>
      <w:r>
        <w:rPr>
          <w:sz w:val="24"/>
          <w:szCs w:val="24"/>
        </w:rPr>
        <w:t>Budget Trading Program</w:t>
      </w:r>
      <w:r w:rsidR="009B6E14">
        <w:rPr>
          <w:sz w:val="24"/>
          <w:szCs w:val="24"/>
        </w:rPr>
        <w:t xml:space="preserve"> and that continue to have reporting obligations </w:t>
      </w:r>
      <w:r w:rsidR="00B36465">
        <w:rPr>
          <w:sz w:val="24"/>
          <w:szCs w:val="24"/>
        </w:rPr>
        <w:t xml:space="preserve">associated with the </w:t>
      </w:r>
      <w:r w:rsidR="009B6E14">
        <w:rPr>
          <w:sz w:val="24"/>
          <w:szCs w:val="24"/>
        </w:rPr>
        <w:t>NOx SIP Call that are not duplicated under other rules</w:t>
      </w:r>
      <w:r>
        <w:rPr>
          <w:sz w:val="24"/>
          <w:szCs w:val="24"/>
        </w:rPr>
        <w:t>, the data items requested from program participants, and the activities in which the participants must engage to assemble or submit the required data items.</w:t>
      </w:r>
    </w:p>
    <w:p w14:paraId="3E78B6BE" w14:textId="77777777" w:rsidR="004575B1" w:rsidRDefault="004575B1" w:rsidP="00BD387B">
      <w:pPr>
        <w:widowControl/>
        <w:numPr>
          <w:ilvl w:val="12"/>
          <w:numId w:val="0"/>
        </w:numPr>
        <w:rPr>
          <w:sz w:val="24"/>
          <w:szCs w:val="24"/>
        </w:rPr>
      </w:pPr>
    </w:p>
    <w:p w14:paraId="380765C6" w14:textId="77777777" w:rsidR="00D759B9" w:rsidRDefault="00D759B9" w:rsidP="007F01BA">
      <w:pPr>
        <w:widowControl/>
        <w:ind w:left="720" w:hanging="360"/>
        <w:rPr>
          <w:sz w:val="24"/>
          <w:szCs w:val="24"/>
        </w:rPr>
      </w:pPr>
      <w:r>
        <w:rPr>
          <w:rStyle w:val="2ndtier1"/>
          <w:sz w:val="24"/>
          <w:szCs w:val="24"/>
        </w:rPr>
        <w:t>4</w:t>
      </w:r>
      <w:r w:rsidR="00173934">
        <w:rPr>
          <w:rStyle w:val="2ndtier1"/>
          <w:sz w:val="24"/>
          <w:szCs w:val="24"/>
        </w:rPr>
        <w:t>(a</w:t>
      </w:r>
      <w:r w:rsidR="00131AD2">
        <w:rPr>
          <w:rStyle w:val="2ndtier1"/>
          <w:sz w:val="24"/>
          <w:szCs w:val="24"/>
        </w:rPr>
        <w:t>) Respondents</w:t>
      </w:r>
      <w:r>
        <w:rPr>
          <w:rStyle w:val="2ndtier1"/>
          <w:sz w:val="24"/>
          <w:szCs w:val="24"/>
        </w:rPr>
        <w:t xml:space="preserve">/SIC Codes </w:t>
      </w:r>
    </w:p>
    <w:p w14:paraId="0ED8331A" w14:textId="77777777" w:rsidR="00D759B9" w:rsidRDefault="00D759B9" w:rsidP="00BD387B">
      <w:pPr>
        <w:widowControl/>
        <w:tabs>
          <w:tab w:val="left" w:pos="0"/>
          <w:tab w:val="left" w:pos="466"/>
          <w:tab w:val="left" w:pos="933"/>
          <w:tab w:val="left" w:pos="1400"/>
          <w:tab w:val="left" w:pos="1867"/>
          <w:tab w:val="left" w:pos="2334"/>
          <w:tab w:val="left" w:pos="2800"/>
          <w:tab w:val="left" w:pos="3267"/>
          <w:tab w:val="left" w:pos="3734"/>
          <w:tab w:val="left" w:pos="4201"/>
          <w:tab w:val="left" w:pos="4668"/>
          <w:tab w:val="left" w:pos="5134"/>
          <w:tab w:val="left" w:pos="5601"/>
          <w:tab w:val="left" w:pos="6068"/>
          <w:tab w:val="left" w:pos="6535"/>
          <w:tab w:val="left" w:pos="7002"/>
          <w:tab w:val="left" w:pos="7468"/>
          <w:tab w:val="left" w:pos="7935"/>
          <w:tab w:val="left" w:pos="8402"/>
          <w:tab w:val="left" w:pos="8869"/>
          <w:tab w:val="left" w:pos="9336"/>
          <w:tab w:val="left" w:pos="9802"/>
          <w:tab w:val="left" w:pos="10269"/>
          <w:tab w:val="left" w:pos="10736"/>
        </w:tabs>
        <w:rPr>
          <w:sz w:val="24"/>
          <w:szCs w:val="24"/>
        </w:rPr>
      </w:pPr>
    </w:p>
    <w:p w14:paraId="172D1B94" w14:textId="77777777" w:rsidR="002539CF" w:rsidRDefault="00D759B9">
      <w:pPr>
        <w:widowControl/>
        <w:tabs>
          <w:tab w:val="left" w:pos="0"/>
          <w:tab w:val="left" w:pos="466"/>
          <w:tab w:val="left" w:pos="933"/>
          <w:tab w:val="left" w:pos="1400"/>
          <w:tab w:val="left" w:pos="1867"/>
          <w:tab w:val="left" w:pos="2334"/>
          <w:tab w:val="left" w:pos="2800"/>
          <w:tab w:val="left" w:pos="3267"/>
          <w:tab w:val="left" w:pos="3734"/>
          <w:tab w:val="left" w:pos="4201"/>
          <w:tab w:val="left" w:pos="4668"/>
          <w:tab w:val="left" w:pos="5134"/>
          <w:tab w:val="left" w:pos="5601"/>
          <w:tab w:val="left" w:pos="6068"/>
          <w:tab w:val="left" w:pos="6535"/>
          <w:tab w:val="left" w:pos="7002"/>
          <w:tab w:val="left" w:pos="7468"/>
          <w:tab w:val="left" w:pos="7935"/>
          <w:tab w:val="left" w:pos="8402"/>
          <w:tab w:val="left" w:pos="8869"/>
          <w:tab w:val="left" w:pos="9336"/>
          <w:tab w:val="left" w:pos="9802"/>
          <w:tab w:val="left" w:pos="10269"/>
          <w:tab w:val="left" w:pos="10736"/>
        </w:tabs>
        <w:ind w:firstLine="720"/>
        <w:rPr>
          <w:sz w:val="24"/>
          <w:szCs w:val="24"/>
        </w:rPr>
      </w:pPr>
      <w:r>
        <w:rPr>
          <w:sz w:val="24"/>
          <w:szCs w:val="24"/>
        </w:rPr>
        <w:t xml:space="preserve">This ICR estimates </w:t>
      </w:r>
      <w:r w:rsidR="009145F2">
        <w:rPr>
          <w:sz w:val="24"/>
          <w:szCs w:val="24"/>
        </w:rPr>
        <w:t>the</w:t>
      </w:r>
      <w:r>
        <w:rPr>
          <w:sz w:val="24"/>
          <w:szCs w:val="24"/>
        </w:rPr>
        <w:t xml:space="preserve"> burden for affected industry sources to monitor NO</w:t>
      </w:r>
      <w:r>
        <w:rPr>
          <w:sz w:val="24"/>
          <w:szCs w:val="24"/>
          <w:vertAlign w:val="subscript"/>
        </w:rPr>
        <w:t>x</w:t>
      </w:r>
      <w:r>
        <w:rPr>
          <w:sz w:val="24"/>
          <w:szCs w:val="24"/>
        </w:rPr>
        <w:t xml:space="preserve"> mass emissions </w:t>
      </w:r>
      <w:r w:rsidR="009145F2">
        <w:rPr>
          <w:sz w:val="24"/>
          <w:szCs w:val="24"/>
        </w:rPr>
        <w:t xml:space="preserve">so that states and EPA can track compliance with state emission budgets and </w:t>
      </w:r>
      <w:r>
        <w:rPr>
          <w:sz w:val="24"/>
          <w:szCs w:val="24"/>
        </w:rPr>
        <w:t>NO</w:t>
      </w:r>
      <w:r>
        <w:rPr>
          <w:sz w:val="24"/>
          <w:szCs w:val="24"/>
          <w:vertAlign w:val="subscript"/>
        </w:rPr>
        <w:t>x</w:t>
      </w:r>
      <w:r>
        <w:rPr>
          <w:sz w:val="24"/>
          <w:szCs w:val="24"/>
        </w:rPr>
        <w:t xml:space="preserve"> control measures.  Sources may report data directly to EPA if a source is required to meet the monitoring and reporting requirements of Subpart H of Part 75.  Electric utility combustion sources are generally classified as either SIC 4911 - </w:t>
      </w:r>
      <w:r>
        <w:rPr>
          <w:i/>
          <w:iCs/>
          <w:sz w:val="24"/>
          <w:szCs w:val="24"/>
        </w:rPr>
        <w:t>Electric Services,</w:t>
      </w:r>
      <w:r>
        <w:rPr>
          <w:sz w:val="24"/>
          <w:szCs w:val="24"/>
        </w:rPr>
        <w:t xml:space="preserve"> or</w:t>
      </w:r>
      <w:r>
        <w:rPr>
          <w:i/>
          <w:iCs/>
          <w:sz w:val="24"/>
          <w:szCs w:val="24"/>
        </w:rPr>
        <w:t xml:space="preserve"> </w:t>
      </w:r>
      <w:r>
        <w:rPr>
          <w:sz w:val="24"/>
          <w:szCs w:val="24"/>
        </w:rPr>
        <w:t xml:space="preserve">4931 - </w:t>
      </w:r>
      <w:r>
        <w:rPr>
          <w:i/>
          <w:iCs/>
          <w:sz w:val="24"/>
          <w:szCs w:val="24"/>
        </w:rPr>
        <w:t>Electric and Other Services Combined</w:t>
      </w:r>
      <w:r>
        <w:rPr>
          <w:sz w:val="24"/>
          <w:szCs w:val="24"/>
        </w:rPr>
        <w:t xml:space="preserve"> [NAICS 221112 Electric Power Distribution].    Large industrial combustion sources (e.g., boilers, turbines, and internal combustion engines) are expected to fall under SIC codes for the manufacturing sector, i.e., SIC Major Groups 29-40 [NAICS 31-33 Manufacturing].  </w:t>
      </w:r>
    </w:p>
    <w:p w14:paraId="3887B9E8" w14:textId="77777777" w:rsidR="002539CF" w:rsidRDefault="002539CF">
      <w:pPr>
        <w:widowControl/>
        <w:tabs>
          <w:tab w:val="left" w:pos="0"/>
          <w:tab w:val="left" w:pos="466"/>
          <w:tab w:val="left" w:pos="933"/>
          <w:tab w:val="left" w:pos="1400"/>
          <w:tab w:val="left" w:pos="1867"/>
          <w:tab w:val="left" w:pos="2334"/>
          <w:tab w:val="left" w:pos="2800"/>
          <w:tab w:val="left" w:pos="3267"/>
          <w:tab w:val="left" w:pos="3734"/>
          <w:tab w:val="left" w:pos="4201"/>
          <w:tab w:val="left" w:pos="4668"/>
          <w:tab w:val="left" w:pos="5134"/>
          <w:tab w:val="left" w:pos="5601"/>
          <w:tab w:val="left" w:pos="6068"/>
          <w:tab w:val="left" w:pos="6535"/>
          <w:tab w:val="left" w:pos="7002"/>
          <w:tab w:val="left" w:pos="7468"/>
          <w:tab w:val="left" w:pos="7935"/>
          <w:tab w:val="left" w:pos="8402"/>
          <w:tab w:val="left" w:pos="8869"/>
          <w:tab w:val="left" w:pos="9336"/>
          <w:tab w:val="left" w:pos="9802"/>
          <w:tab w:val="left" w:pos="10269"/>
          <w:tab w:val="left" w:pos="10736"/>
        </w:tabs>
        <w:ind w:firstLine="720"/>
        <w:rPr>
          <w:sz w:val="24"/>
          <w:szCs w:val="24"/>
        </w:rPr>
      </w:pPr>
    </w:p>
    <w:p w14:paraId="49F3DB83" w14:textId="77777777" w:rsidR="00D759B9" w:rsidRDefault="007578F4" w:rsidP="007F01BA">
      <w:pPr>
        <w:keepNext/>
        <w:keepLines/>
        <w:widowControl/>
        <w:ind w:left="720" w:hanging="360"/>
        <w:rPr>
          <w:sz w:val="24"/>
          <w:szCs w:val="24"/>
        </w:rPr>
      </w:pPr>
      <w:r>
        <w:rPr>
          <w:rStyle w:val="2ndtier1"/>
          <w:sz w:val="24"/>
          <w:szCs w:val="24"/>
        </w:rPr>
        <w:t>4</w:t>
      </w:r>
      <w:r w:rsidR="00173934">
        <w:rPr>
          <w:rStyle w:val="2ndtier1"/>
          <w:sz w:val="24"/>
          <w:szCs w:val="24"/>
        </w:rPr>
        <w:t>(b</w:t>
      </w:r>
      <w:r w:rsidR="00131AD2">
        <w:rPr>
          <w:rStyle w:val="2ndtier1"/>
          <w:sz w:val="24"/>
          <w:szCs w:val="24"/>
        </w:rPr>
        <w:t>) Information</w:t>
      </w:r>
      <w:r w:rsidR="00D759B9">
        <w:rPr>
          <w:rStyle w:val="2ndtier1"/>
          <w:sz w:val="24"/>
          <w:szCs w:val="24"/>
        </w:rPr>
        <w:t xml:space="preserve"> Requested </w:t>
      </w:r>
    </w:p>
    <w:p w14:paraId="2B390F73" w14:textId="77777777" w:rsidR="00D759B9" w:rsidRDefault="00D759B9" w:rsidP="00BD387B">
      <w:pPr>
        <w:keepNext/>
        <w:keepLines/>
        <w:widowControl/>
        <w:tabs>
          <w:tab w:val="left" w:pos="0"/>
          <w:tab w:val="left" w:pos="466"/>
          <w:tab w:val="left" w:pos="933"/>
          <w:tab w:val="left" w:pos="1400"/>
          <w:tab w:val="left" w:pos="1867"/>
          <w:tab w:val="left" w:pos="2334"/>
          <w:tab w:val="left" w:pos="2800"/>
          <w:tab w:val="left" w:pos="3267"/>
          <w:tab w:val="left" w:pos="3734"/>
          <w:tab w:val="left" w:pos="4201"/>
          <w:tab w:val="left" w:pos="4668"/>
          <w:tab w:val="left" w:pos="5134"/>
          <w:tab w:val="left" w:pos="5601"/>
          <w:tab w:val="left" w:pos="6068"/>
          <w:tab w:val="left" w:pos="6535"/>
          <w:tab w:val="left" w:pos="7002"/>
          <w:tab w:val="left" w:pos="7468"/>
          <w:tab w:val="left" w:pos="7935"/>
          <w:tab w:val="left" w:pos="8402"/>
          <w:tab w:val="left" w:pos="8869"/>
          <w:tab w:val="left" w:pos="9336"/>
          <w:tab w:val="left" w:pos="9802"/>
          <w:tab w:val="left" w:pos="10269"/>
          <w:tab w:val="left" w:pos="10736"/>
        </w:tabs>
        <w:rPr>
          <w:sz w:val="24"/>
          <w:szCs w:val="24"/>
        </w:rPr>
      </w:pPr>
    </w:p>
    <w:p w14:paraId="471286F8" w14:textId="77777777" w:rsidR="005E0E2A" w:rsidRDefault="00D759B9" w:rsidP="007578F4">
      <w:pPr>
        <w:keepLines/>
        <w:widowControl/>
        <w:tabs>
          <w:tab w:val="left" w:pos="0"/>
          <w:tab w:val="left" w:pos="466"/>
          <w:tab w:val="left" w:pos="933"/>
          <w:tab w:val="left" w:pos="1400"/>
          <w:tab w:val="left" w:pos="1867"/>
          <w:tab w:val="left" w:pos="2334"/>
          <w:tab w:val="left" w:pos="2800"/>
          <w:tab w:val="left" w:pos="3267"/>
          <w:tab w:val="left" w:pos="3734"/>
          <w:tab w:val="left" w:pos="4201"/>
          <w:tab w:val="left" w:pos="4668"/>
          <w:tab w:val="left" w:pos="5134"/>
          <w:tab w:val="left" w:pos="5601"/>
          <w:tab w:val="left" w:pos="6068"/>
          <w:tab w:val="left" w:pos="6535"/>
          <w:tab w:val="left" w:pos="7002"/>
          <w:tab w:val="left" w:pos="7468"/>
          <w:tab w:val="left" w:pos="7935"/>
          <w:tab w:val="left" w:pos="8402"/>
          <w:tab w:val="left" w:pos="8869"/>
          <w:tab w:val="left" w:pos="9336"/>
          <w:tab w:val="left" w:pos="9802"/>
          <w:tab w:val="left" w:pos="10269"/>
          <w:tab w:val="left" w:pos="10736"/>
        </w:tabs>
        <w:ind w:firstLine="720"/>
        <w:rPr>
          <w:sz w:val="24"/>
          <w:szCs w:val="24"/>
        </w:rPr>
      </w:pPr>
      <w:r>
        <w:rPr>
          <w:sz w:val="24"/>
          <w:szCs w:val="24"/>
        </w:rPr>
        <w:t xml:space="preserve">This section describes </w:t>
      </w:r>
      <w:r w:rsidR="0080573A">
        <w:rPr>
          <w:sz w:val="24"/>
          <w:szCs w:val="24"/>
        </w:rPr>
        <w:t xml:space="preserve">the industry reporting requirements needed to enable state agencies to meet their </w:t>
      </w:r>
      <w:r>
        <w:rPr>
          <w:sz w:val="24"/>
          <w:szCs w:val="24"/>
        </w:rPr>
        <w:t>reporting and recordkeeping requirements in §51.122.  States must report NO</w:t>
      </w:r>
      <w:r>
        <w:rPr>
          <w:sz w:val="24"/>
          <w:szCs w:val="24"/>
          <w:vertAlign w:val="subscript"/>
        </w:rPr>
        <w:t>x</w:t>
      </w:r>
      <w:r>
        <w:rPr>
          <w:sz w:val="24"/>
          <w:szCs w:val="24"/>
        </w:rPr>
        <w:t xml:space="preserve"> emissions data as specified in 40 CFR §51.122.  </w:t>
      </w:r>
    </w:p>
    <w:p w14:paraId="2CD0A9EB" w14:textId="77777777" w:rsidR="000F14C1" w:rsidRDefault="000F14C1" w:rsidP="007578F4">
      <w:pPr>
        <w:keepLines/>
        <w:widowControl/>
        <w:tabs>
          <w:tab w:val="left" w:pos="0"/>
          <w:tab w:val="left" w:pos="466"/>
          <w:tab w:val="left" w:pos="933"/>
          <w:tab w:val="left" w:pos="1400"/>
          <w:tab w:val="left" w:pos="1867"/>
          <w:tab w:val="left" w:pos="2334"/>
          <w:tab w:val="left" w:pos="2800"/>
          <w:tab w:val="left" w:pos="3267"/>
          <w:tab w:val="left" w:pos="3734"/>
          <w:tab w:val="left" w:pos="4201"/>
          <w:tab w:val="left" w:pos="4668"/>
          <w:tab w:val="left" w:pos="5134"/>
          <w:tab w:val="left" w:pos="5601"/>
          <w:tab w:val="left" w:pos="6068"/>
          <w:tab w:val="left" w:pos="6535"/>
          <w:tab w:val="left" w:pos="7002"/>
          <w:tab w:val="left" w:pos="7468"/>
          <w:tab w:val="left" w:pos="7935"/>
          <w:tab w:val="left" w:pos="8402"/>
          <w:tab w:val="left" w:pos="8869"/>
          <w:tab w:val="left" w:pos="9336"/>
          <w:tab w:val="left" w:pos="9802"/>
          <w:tab w:val="left" w:pos="10269"/>
          <w:tab w:val="left" w:pos="10736"/>
        </w:tabs>
        <w:ind w:firstLine="720"/>
        <w:rPr>
          <w:sz w:val="24"/>
          <w:szCs w:val="24"/>
        </w:rPr>
      </w:pPr>
    </w:p>
    <w:p w14:paraId="5C135D55" w14:textId="77777777" w:rsidR="00670A89" w:rsidRDefault="000F14C1" w:rsidP="00D13890">
      <w:pPr>
        <w:keepNext/>
        <w:widowControl/>
        <w:numPr>
          <w:ilvl w:val="0"/>
          <w:numId w:val="17"/>
        </w:numPr>
        <w:tabs>
          <w:tab w:val="left" w:pos="1080"/>
        </w:tabs>
        <w:ind w:left="720" w:firstLine="0"/>
        <w:rPr>
          <w:sz w:val="24"/>
          <w:szCs w:val="24"/>
        </w:rPr>
      </w:pPr>
      <w:r>
        <w:rPr>
          <w:rStyle w:val="3rdtiera"/>
          <w:sz w:val="24"/>
          <w:szCs w:val="24"/>
        </w:rPr>
        <w:t>Data Items, Including Recordkeeping Requirements</w:t>
      </w:r>
      <w:r>
        <w:rPr>
          <w:sz w:val="24"/>
          <w:szCs w:val="24"/>
        </w:rPr>
        <w:tab/>
      </w:r>
    </w:p>
    <w:p w14:paraId="6DF07239" w14:textId="77777777" w:rsidR="00670A89" w:rsidRDefault="00670A89" w:rsidP="00D13890">
      <w:pPr>
        <w:keepNext/>
        <w:widowControl/>
        <w:ind w:left="1080"/>
        <w:rPr>
          <w:sz w:val="24"/>
          <w:szCs w:val="24"/>
        </w:rPr>
      </w:pPr>
    </w:p>
    <w:p w14:paraId="3C5AE793" w14:textId="34EA0436" w:rsidR="000F14C1" w:rsidRDefault="000F14C1" w:rsidP="00D13890">
      <w:pPr>
        <w:keepNext/>
        <w:widowControl/>
        <w:ind w:firstLine="720"/>
        <w:rPr>
          <w:sz w:val="24"/>
          <w:szCs w:val="24"/>
        </w:rPr>
      </w:pPr>
      <w:r>
        <w:rPr>
          <w:sz w:val="24"/>
          <w:szCs w:val="24"/>
        </w:rPr>
        <w:t xml:space="preserve">The </w:t>
      </w:r>
      <w:r w:rsidR="00440A8B">
        <w:rPr>
          <w:sz w:val="24"/>
          <w:szCs w:val="24"/>
        </w:rPr>
        <w:t xml:space="preserve">affected </w:t>
      </w:r>
      <w:r>
        <w:rPr>
          <w:sz w:val="24"/>
          <w:szCs w:val="24"/>
        </w:rPr>
        <w:t xml:space="preserve">units will continue </w:t>
      </w:r>
      <w:r w:rsidR="00131AD2">
        <w:rPr>
          <w:sz w:val="24"/>
          <w:szCs w:val="24"/>
        </w:rPr>
        <w:t>to monitor</w:t>
      </w:r>
      <w:r>
        <w:rPr>
          <w:sz w:val="24"/>
          <w:szCs w:val="24"/>
        </w:rPr>
        <w:t xml:space="preserve"> NO</w:t>
      </w:r>
      <w:r>
        <w:rPr>
          <w:sz w:val="24"/>
          <w:szCs w:val="24"/>
          <w:vertAlign w:val="subscript"/>
        </w:rPr>
        <w:t>x</w:t>
      </w:r>
      <w:r>
        <w:rPr>
          <w:sz w:val="24"/>
          <w:szCs w:val="24"/>
        </w:rPr>
        <w:t xml:space="preserve"> mass emissions, and record and report emissions data using the requirements of 40 CFR Part 75.  The emissions monitoring requirements specify that affected sources must: (1) submit a monitoring plan for each affected unit at a source; (2) submit data for certification of each monitor; and (3) record hourly operational, pollutant monitor, and flow monitor data for each affected unit and submit quarterly reports of their emissions data to EPA.  Appendices A and B to the </w:t>
      </w:r>
      <w:r w:rsidR="00CF56DE">
        <w:rPr>
          <w:sz w:val="24"/>
          <w:szCs w:val="24"/>
        </w:rPr>
        <w:t xml:space="preserve">Acid Rain Program </w:t>
      </w:r>
      <w:r>
        <w:rPr>
          <w:sz w:val="24"/>
          <w:szCs w:val="24"/>
        </w:rPr>
        <w:t xml:space="preserve">ICR (EPA ICR # </w:t>
      </w:r>
      <w:r w:rsidR="00CF56DE">
        <w:rPr>
          <w:sz w:val="24"/>
          <w:szCs w:val="24"/>
        </w:rPr>
        <w:t>1633.16</w:t>
      </w:r>
      <w:r>
        <w:rPr>
          <w:sz w:val="24"/>
          <w:szCs w:val="24"/>
        </w:rPr>
        <w:t>) contain a list of the data items required by the recordkeeping and reporting provisions of Part 75.</w:t>
      </w:r>
    </w:p>
    <w:p w14:paraId="0672B76A" w14:textId="77777777" w:rsidR="000F14C1" w:rsidRDefault="000F14C1" w:rsidP="000F14C1">
      <w:pPr>
        <w:widowControl/>
        <w:numPr>
          <w:ilvl w:val="12"/>
          <w:numId w:val="0"/>
        </w:numPr>
        <w:tabs>
          <w:tab w:val="left" w:pos="0"/>
          <w:tab w:val="left" w:pos="466"/>
          <w:tab w:val="left" w:pos="933"/>
          <w:tab w:val="left" w:pos="1400"/>
          <w:tab w:val="left" w:pos="1867"/>
          <w:tab w:val="left" w:pos="2334"/>
          <w:tab w:val="left" w:pos="2800"/>
          <w:tab w:val="left" w:pos="3267"/>
          <w:tab w:val="left" w:pos="3734"/>
          <w:tab w:val="left" w:pos="4201"/>
          <w:tab w:val="left" w:pos="4668"/>
          <w:tab w:val="left" w:pos="5134"/>
          <w:tab w:val="left" w:pos="5601"/>
          <w:tab w:val="left" w:pos="6068"/>
          <w:tab w:val="left" w:pos="6535"/>
          <w:tab w:val="left" w:pos="7002"/>
          <w:tab w:val="left" w:pos="7468"/>
          <w:tab w:val="left" w:pos="7935"/>
          <w:tab w:val="left" w:pos="8402"/>
          <w:tab w:val="left" w:pos="8869"/>
          <w:tab w:val="left" w:pos="9336"/>
          <w:tab w:val="left" w:pos="9802"/>
          <w:tab w:val="left" w:pos="10269"/>
          <w:tab w:val="left" w:pos="10736"/>
        </w:tabs>
        <w:rPr>
          <w:sz w:val="24"/>
          <w:szCs w:val="24"/>
        </w:rPr>
      </w:pPr>
    </w:p>
    <w:p w14:paraId="79F31C25" w14:textId="77777777" w:rsidR="000F14C1" w:rsidRDefault="000F14C1" w:rsidP="000F14C1">
      <w:pPr>
        <w:widowControl/>
        <w:numPr>
          <w:ilvl w:val="12"/>
          <w:numId w:val="0"/>
        </w:numPr>
        <w:rPr>
          <w:sz w:val="24"/>
          <w:szCs w:val="24"/>
        </w:rPr>
      </w:pPr>
      <w:r>
        <w:rPr>
          <w:sz w:val="24"/>
          <w:szCs w:val="24"/>
        </w:rPr>
        <w:tab/>
        <w:t>Respondents are required by 40 CFR 75.64 to submit the quarterly NO</w:t>
      </w:r>
      <w:r>
        <w:rPr>
          <w:sz w:val="24"/>
          <w:szCs w:val="24"/>
          <w:vertAlign w:val="subscript"/>
        </w:rPr>
        <w:t>x</w:t>
      </w:r>
      <w:r>
        <w:rPr>
          <w:sz w:val="24"/>
          <w:szCs w:val="24"/>
        </w:rPr>
        <w:t xml:space="preserve"> mass emissions data electronically, by direct electronic submission to EPA, and must also include a certification statement by the designated representative of the unit.  All monitoring records are to be kept for three years, with one possible exception under a voluntary option for fuel flowmeter calibration testing.  </w:t>
      </w:r>
    </w:p>
    <w:p w14:paraId="7E8BB1F2" w14:textId="77777777" w:rsidR="000F14C1" w:rsidRDefault="000F14C1" w:rsidP="000F14C1">
      <w:pPr>
        <w:widowControl/>
        <w:numPr>
          <w:ilvl w:val="12"/>
          <w:numId w:val="0"/>
        </w:numPr>
        <w:tabs>
          <w:tab w:val="left" w:pos="0"/>
          <w:tab w:val="left" w:pos="466"/>
          <w:tab w:val="left" w:pos="933"/>
          <w:tab w:val="left" w:pos="1400"/>
          <w:tab w:val="left" w:pos="1867"/>
          <w:tab w:val="left" w:pos="2334"/>
          <w:tab w:val="left" w:pos="2800"/>
          <w:tab w:val="left" w:pos="3267"/>
          <w:tab w:val="left" w:pos="3734"/>
          <w:tab w:val="left" w:pos="4201"/>
          <w:tab w:val="left" w:pos="4668"/>
          <w:tab w:val="left" w:pos="5134"/>
          <w:tab w:val="left" w:pos="5601"/>
          <w:tab w:val="left" w:pos="6068"/>
          <w:tab w:val="left" w:pos="6535"/>
          <w:tab w:val="left" w:pos="7002"/>
          <w:tab w:val="left" w:pos="7468"/>
          <w:tab w:val="left" w:pos="7935"/>
          <w:tab w:val="left" w:pos="8402"/>
          <w:tab w:val="left" w:pos="8869"/>
          <w:tab w:val="left" w:pos="9336"/>
          <w:tab w:val="left" w:pos="9802"/>
          <w:tab w:val="left" w:pos="10269"/>
          <w:tab w:val="left" w:pos="10736"/>
        </w:tabs>
        <w:rPr>
          <w:sz w:val="24"/>
          <w:szCs w:val="24"/>
        </w:rPr>
      </w:pPr>
    </w:p>
    <w:p w14:paraId="50369084" w14:textId="77777777" w:rsidR="000F14C1" w:rsidRDefault="000F14C1" w:rsidP="000F14C1">
      <w:pPr>
        <w:widowControl/>
        <w:numPr>
          <w:ilvl w:val="12"/>
          <w:numId w:val="0"/>
        </w:numPr>
        <w:tabs>
          <w:tab w:val="left" w:pos="0"/>
          <w:tab w:val="left" w:pos="933"/>
          <w:tab w:val="left" w:pos="1400"/>
          <w:tab w:val="left" w:pos="1867"/>
          <w:tab w:val="left" w:pos="2334"/>
          <w:tab w:val="left" w:pos="2800"/>
          <w:tab w:val="left" w:pos="3267"/>
          <w:tab w:val="left" w:pos="3734"/>
          <w:tab w:val="left" w:pos="4201"/>
          <w:tab w:val="left" w:pos="4668"/>
          <w:tab w:val="left" w:pos="5134"/>
          <w:tab w:val="left" w:pos="5601"/>
          <w:tab w:val="left" w:pos="6068"/>
          <w:tab w:val="left" w:pos="6535"/>
          <w:tab w:val="left" w:pos="7002"/>
          <w:tab w:val="left" w:pos="7468"/>
          <w:tab w:val="left" w:pos="7935"/>
          <w:tab w:val="left" w:pos="8402"/>
          <w:tab w:val="left" w:pos="8869"/>
          <w:tab w:val="left" w:pos="9336"/>
          <w:tab w:val="left" w:pos="9802"/>
          <w:tab w:val="left" w:pos="10269"/>
          <w:tab w:val="left" w:pos="10736"/>
        </w:tabs>
        <w:ind w:left="720"/>
        <w:rPr>
          <w:sz w:val="24"/>
          <w:szCs w:val="24"/>
        </w:rPr>
      </w:pPr>
      <w:r>
        <w:rPr>
          <w:i/>
          <w:iCs/>
          <w:sz w:val="24"/>
          <w:szCs w:val="24"/>
        </w:rPr>
        <w:t>(ii)  Respondent Activities</w:t>
      </w:r>
    </w:p>
    <w:p w14:paraId="5852FEAE" w14:textId="77777777" w:rsidR="000F14C1" w:rsidRDefault="000F14C1" w:rsidP="000F14C1">
      <w:pPr>
        <w:widowControl/>
        <w:numPr>
          <w:ilvl w:val="12"/>
          <w:numId w:val="0"/>
        </w:numPr>
        <w:tabs>
          <w:tab w:val="left" w:pos="0"/>
          <w:tab w:val="left" w:pos="466"/>
          <w:tab w:val="left" w:pos="933"/>
          <w:tab w:val="left" w:pos="1400"/>
          <w:tab w:val="left" w:pos="1867"/>
          <w:tab w:val="left" w:pos="2334"/>
          <w:tab w:val="left" w:pos="2800"/>
          <w:tab w:val="left" w:pos="3267"/>
          <w:tab w:val="left" w:pos="3734"/>
          <w:tab w:val="left" w:pos="4201"/>
          <w:tab w:val="left" w:pos="4668"/>
          <w:tab w:val="left" w:pos="5134"/>
          <w:tab w:val="left" w:pos="5601"/>
          <w:tab w:val="left" w:pos="6068"/>
          <w:tab w:val="left" w:pos="6535"/>
          <w:tab w:val="left" w:pos="7002"/>
          <w:tab w:val="left" w:pos="7468"/>
          <w:tab w:val="left" w:pos="7935"/>
          <w:tab w:val="left" w:pos="8402"/>
          <w:tab w:val="left" w:pos="8869"/>
          <w:tab w:val="left" w:pos="9336"/>
          <w:tab w:val="left" w:pos="9802"/>
          <w:tab w:val="left" w:pos="10269"/>
          <w:tab w:val="left" w:pos="10736"/>
        </w:tabs>
        <w:rPr>
          <w:sz w:val="24"/>
          <w:szCs w:val="24"/>
        </w:rPr>
      </w:pPr>
    </w:p>
    <w:p w14:paraId="0301342E" w14:textId="5B19E0B3" w:rsidR="000F14C1" w:rsidRDefault="000F14C1" w:rsidP="000F14C1">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 xml:space="preserve">  The </w:t>
      </w:r>
      <w:r w:rsidR="00440A8B">
        <w:rPr>
          <w:sz w:val="24"/>
          <w:szCs w:val="24"/>
        </w:rPr>
        <w:t xml:space="preserve">affected </w:t>
      </w:r>
      <w:r>
        <w:rPr>
          <w:sz w:val="24"/>
          <w:szCs w:val="24"/>
        </w:rPr>
        <w:t xml:space="preserve">units will (1) complete and submit appropriate monitoring plan forms for each affected source and each affected unit at a source; (2) conduct tests to certify the operation of monitors and </w:t>
      </w:r>
      <w:r w:rsidR="00B36465">
        <w:rPr>
          <w:sz w:val="24"/>
          <w:szCs w:val="24"/>
        </w:rPr>
        <w:t xml:space="preserve">submit </w:t>
      </w:r>
      <w:r>
        <w:rPr>
          <w:sz w:val="24"/>
          <w:szCs w:val="24"/>
        </w:rPr>
        <w:t xml:space="preserve">test results to EPA; (3) record hourly emissions data (this activity generally is performed electronically); (4) conduct operation and maintenance activities associated with the monitoring, including quality assurance activities; (5) assure data quality, prepare quarterly reports of emissions data and submit these reports to EPA; and (6) respond to error messages generated by EPA.  In addition, respondents will have to purchase the necessary monitoring hardware and purchase the electronic data reporting software (or software upgrades). </w:t>
      </w:r>
    </w:p>
    <w:p w14:paraId="603B6974" w14:textId="77777777" w:rsidR="004575B1" w:rsidRDefault="004575B1" w:rsidP="000F14C1">
      <w:pPr>
        <w:widowControl/>
        <w:numPr>
          <w:ilvl w:val="12"/>
          <w:numId w:val="0"/>
        </w:numPr>
        <w:rPr>
          <w:b/>
          <w:bCs/>
          <w:sz w:val="24"/>
          <w:szCs w:val="24"/>
        </w:rPr>
      </w:pPr>
    </w:p>
    <w:p w14:paraId="62496F71" w14:textId="77777777" w:rsidR="004575B1" w:rsidRDefault="004575B1" w:rsidP="003615E2">
      <w:pPr>
        <w:widowControl/>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270" w:hanging="270"/>
        <w:rPr>
          <w:b/>
          <w:bCs/>
          <w:sz w:val="24"/>
          <w:szCs w:val="24"/>
        </w:rPr>
      </w:pPr>
    </w:p>
    <w:p w14:paraId="36452CE6" w14:textId="77777777" w:rsidR="00D759B9" w:rsidRDefault="004C155B" w:rsidP="003615E2">
      <w:pPr>
        <w:widowControl/>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270" w:hanging="270"/>
        <w:rPr>
          <w:sz w:val="24"/>
          <w:szCs w:val="24"/>
        </w:rPr>
      </w:pPr>
      <w:r>
        <w:rPr>
          <w:b/>
          <w:bCs/>
          <w:sz w:val="24"/>
          <w:szCs w:val="24"/>
        </w:rPr>
        <w:t xml:space="preserve">5.  </w:t>
      </w:r>
      <w:r w:rsidR="00D759B9">
        <w:rPr>
          <w:b/>
          <w:bCs/>
          <w:sz w:val="24"/>
          <w:szCs w:val="24"/>
        </w:rPr>
        <w:t>THE INFORMATION COLLECTED -- AGENCY ACTIVITIES, COLLECTION METHODOLOGY, AND INFORMATION MANAGEMENT</w:t>
      </w:r>
    </w:p>
    <w:p w14:paraId="16D84E25" w14:textId="77777777" w:rsidR="00D759B9" w:rsidRDefault="00D759B9" w:rsidP="00BD387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r>
    </w:p>
    <w:p w14:paraId="033AAC13" w14:textId="77777777" w:rsidR="00D759B9" w:rsidRDefault="00D759B9" w:rsidP="00BD387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 xml:space="preserve">The first part of this section describes Agency (EPA) activities related to the acquisition, analysis, storage, and distribution of the information collected </w:t>
      </w:r>
      <w:r w:rsidR="004C3FB2">
        <w:rPr>
          <w:sz w:val="24"/>
          <w:szCs w:val="24"/>
        </w:rPr>
        <w:t>from sources</w:t>
      </w:r>
      <w:r>
        <w:rPr>
          <w:sz w:val="24"/>
          <w:szCs w:val="24"/>
        </w:rPr>
        <w:t xml:space="preserve"> that are required to submit moni</w:t>
      </w:r>
      <w:r w:rsidR="003615E2">
        <w:rPr>
          <w:sz w:val="24"/>
          <w:szCs w:val="24"/>
        </w:rPr>
        <w:t xml:space="preserve">toring and </w:t>
      </w:r>
      <w:r w:rsidR="004B5508">
        <w:rPr>
          <w:sz w:val="24"/>
          <w:szCs w:val="24"/>
        </w:rPr>
        <w:t>test</w:t>
      </w:r>
      <w:r w:rsidR="003615E2">
        <w:rPr>
          <w:sz w:val="24"/>
          <w:szCs w:val="24"/>
        </w:rPr>
        <w:t xml:space="preserve"> data</w:t>
      </w:r>
      <w:r w:rsidR="003761A2">
        <w:rPr>
          <w:sz w:val="24"/>
          <w:szCs w:val="24"/>
        </w:rPr>
        <w:t>.  T</w:t>
      </w:r>
      <w:r w:rsidR="00131AD2">
        <w:rPr>
          <w:sz w:val="24"/>
          <w:szCs w:val="24"/>
        </w:rPr>
        <w:t>he</w:t>
      </w:r>
      <w:r>
        <w:rPr>
          <w:sz w:val="24"/>
          <w:szCs w:val="24"/>
        </w:rPr>
        <w:t xml:space="preserve"> second part describes the information management techniques employed to increase the efficiency of collections.  The third part discusses the burden or benefits of the collection activities described in this ICR to small entities.  The last part outlines the schedule for collecting information.</w:t>
      </w:r>
    </w:p>
    <w:p w14:paraId="7CE80514" w14:textId="77777777" w:rsidR="00D759B9" w:rsidRDefault="00D759B9" w:rsidP="00BD387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6C17C89A" w14:textId="77777777" w:rsidR="00D759B9" w:rsidRDefault="00D759B9" w:rsidP="00E525B2">
      <w:pPr>
        <w:keepNext/>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Style w:val="2ndtier1"/>
          <w:sz w:val="24"/>
          <w:szCs w:val="24"/>
        </w:rPr>
      </w:pPr>
      <w:r>
        <w:rPr>
          <w:rStyle w:val="2ndtier1"/>
          <w:sz w:val="24"/>
          <w:szCs w:val="24"/>
        </w:rPr>
        <w:t>5</w:t>
      </w:r>
      <w:r w:rsidR="00173934">
        <w:rPr>
          <w:rStyle w:val="2ndtier1"/>
          <w:sz w:val="24"/>
          <w:szCs w:val="24"/>
        </w:rPr>
        <w:t>(a</w:t>
      </w:r>
      <w:r w:rsidR="00131AD2">
        <w:rPr>
          <w:rStyle w:val="2ndtier1"/>
          <w:sz w:val="24"/>
          <w:szCs w:val="24"/>
        </w:rPr>
        <w:t>) Agency</w:t>
      </w:r>
      <w:r>
        <w:rPr>
          <w:rStyle w:val="2ndtier1"/>
          <w:sz w:val="24"/>
          <w:szCs w:val="24"/>
        </w:rPr>
        <w:t xml:space="preserve"> Activities </w:t>
      </w:r>
    </w:p>
    <w:p w14:paraId="6777A1EC" w14:textId="77777777" w:rsidR="00D36CA9" w:rsidRDefault="00D36CA9" w:rsidP="00E525B2">
      <w:pPr>
        <w:keepNext/>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Style w:val="2ndtier1"/>
          <w:sz w:val="24"/>
          <w:szCs w:val="24"/>
        </w:rPr>
      </w:pPr>
    </w:p>
    <w:p w14:paraId="738BBCD0" w14:textId="77777777" w:rsidR="002539CF" w:rsidRDefault="00D36CA9">
      <w:pPr>
        <w:rPr>
          <w:sz w:val="24"/>
          <w:szCs w:val="24"/>
        </w:rPr>
      </w:pPr>
      <w:r>
        <w:rPr>
          <w:sz w:val="24"/>
          <w:szCs w:val="24"/>
        </w:rPr>
        <w:tab/>
      </w:r>
      <w:r w:rsidR="0018348C" w:rsidRPr="0018348C">
        <w:rPr>
          <w:sz w:val="24"/>
          <w:szCs w:val="24"/>
        </w:rPr>
        <w:t xml:space="preserve">The tasks that will be performed by EPA include processing, reviewing, and evaluating </w:t>
      </w:r>
      <w:r>
        <w:rPr>
          <w:sz w:val="24"/>
          <w:szCs w:val="24"/>
        </w:rPr>
        <w:t>e</w:t>
      </w:r>
      <w:r w:rsidR="0018348C" w:rsidRPr="0018348C">
        <w:rPr>
          <w:sz w:val="24"/>
          <w:szCs w:val="24"/>
        </w:rPr>
        <w:t xml:space="preserve">missions data reports submitted by the </w:t>
      </w:r>
      <w:r w:rsidR="00440A8B">
        <w:rPr>
          <w:sz w:val="24"/>
          <w:szCs w:val="24"/>
        </w:rPr>
        <w:t>affected</w:t>
      </w:r>
      <w:r w:rsidR="00440A8B" w:rsidRPr="0018348C">
        <w:rPr>
          <w:sz w:val="24"/>
          <w:szCs w:val="24"/>
        </w:rPr>
        <w:t xml:space="preserve"> </w:t>
      </w:r>
      <w:r w:rsidR="0018348C" w:rsidRPr="0018348C">
        <w:rPr>
          <w:sz w:val="24"/>
          <w:szCs w:val="24"/>
        </w:rPr>
        <w:t>units, and conducting appropriate audit activities to verify the information provided.</w:t>
      </w:r>
      <w:r w:rsidR="00E64549">
        <w:rPr>
          <w:sz w:val="24"/>
          <w:szCs w:val="24"/>
        </w:rPr>
        <w:t xml:space="preserve"> </w:t>
      </w:r>
    </w:p>
    <w:p w14:paraId="52D76ED9" w14:textId="77777777" w:rsidR="002539CF" w:rsidRDefault="002539CF">
      <w:pPr>
        <w:keepNext/>
        <w:widowControl/>
        <w:numPr>
          <w:ilvl w:val="12"/>
          <w:numId w:val="0"/>
        </w:numPr>
        <w:rPr>
          <w:sz w:val="24"/>
          <w:szCs w:val="24"/>
        </w:rPr>
      </w:pPr>
    </w:p>
    <w:p w14:paraId="2DC45B44" w14:textId="77777777" w:rsidR="00D759B9" w:rsidRDefault="00D759B9" w:rsidP="003615E2">
      <w:pPr>
        <w:keepNext/>
        <w:keepLines/>
        <w:widowControl/>
        <w:numPr>
          <w:ilvl w:val="12"/>
          <w:numId w:val="0"/>
        </w:numPr>
        <w:ind w:left="720" w:hanging="360"/>
        <w:rPr>
          <w:sz w:val="24"/>
          <w:szCs w:val="24"/>
        </w:rPr>
      </w:pPr>
      <w:r>
        <w:rPr>
          <w:rStyle w:val="2ndtier1"/>
          <w:sz w:val="24"/>
          <w:szCs w:val="24"/>
        </w:rPr>
        <w:t>5</w:t>
      </w:r>
      <w:r w:rsidR="00173934">
        <w:rPr>
          <w:rStyle w:val="2ndtier1"/>
          <w:sz w:val="24"/>
          <w:szCs w:val="24"/>
        </w:rPr>
        <w:t>(b</w:t>
      </w:r>
      <w:r w:rsidR="00131AD2">
        <w:rPr>
          <w:rStyle w:val="2ndtier1"/>
          <w:sz w:val="24"/>
          <w:szCs w:val="24"/>
        </w:rPr>
        <w:t>) Collection</w:t>
      </w:r>
      <w:r>
        <w:rPr>
          <w:rStyle w:val="2ndtier1"/>
          <w:sz w:val="24"/>
          <w:szCs w:val="24"/>
        </w:rPr>
        <w:t xml:space="preserve"> Methodology and Management </w:t>
      </w:r>
    </w:p>
    <w:p w14:paraId="60EE10C6" w14:textId="77777777" w:rsidR="007655E5" w:rsidRDefault="007655E5">
      <w:pPr>
        <w:keepNext/>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28066A4D" w14:textId="77777777" w:rsidR="00D759B9" w:rsidRDefault="00D759B9" w:rsidP="00BD387B">
      <w:pPr>
        <w:widowControl/>
        <w:numPr>
          <w:ilvl w:val="12"/>
          <w:numId w:val="0"/>
        </w:numPr>
        <w:rPr>
          <w:sz w:val="24"/>
          <w:szCs w:val="24"/>
        </w:rPr>
      </w:pPr>
      <w:r>
        <w:rPr>
          <w:sz w:val="24"/>
          <w:szCs w:val="24"/>
        </w:rPr>
        <w:tab/>
        <w:t xml:space="preserve">Several computer systems and associated databases have been developed </w:t>
      </w:r>
      <w:r w:rsidR="004C3FB2">
        <w:rPr>
          <w:sz w:val="24"/>
          <w:szCs w:val="24"/>
        </w:rPr>
        <w:t>to record</w:t>
      </w:r>
      <w:r>
        <w:rPr>
          <w:sz w:val="24"/>
          <w:szCs w:val="24"/>
        </w:rPr>
        <w:t xml:space="preserve"> quar</w:t>
      </w:r>
      <w:r w:rsidR="003615E2">
        <w:rPr>
          <w:sz w:val="24"/>
          <w:szCs w:val="24"/>
        </w:rPr>
        <w:t>terly emissions monitoring data</w:t>
      </w:r>
      <w:r w:rsidR="004B5508">
        <w:rPr>
          <w:sz w:val="24"/>
          <w:szCs w:val="24"/>
        </w:rPr>
        <w:t xml:space="preserve"> under Part 75. </w:t>
      </w:r>
      <w:r>
        <w:rPr>
          <w:sz w:val="24"/>
          <w:szCs w:val="24"/>
        </w:rPr>
        <w:t>The systems and databases are designed to coordinate the information for easy access and use by the Agency</w:t>
      </w:r>
      <w:r w:rsidR="005864A8">
        <w:rPr>
          <w:sz w:val="24"/>
          <w:szCs w:val="24"/>
        </w:rPr>
        <w:t>,</w:t>
      </w:r>
      <w:r>
        <w:rPr>
          <w:sz w:val="24"/>
          <w:szCs w:val="24"/>
        </w:rPr>
        <w:t xml:space="preserve"> </w:t>
      </w:r>
      <w:r w:rsidR="005864A8">
        <w:rPr>
          <w:sz w:val="24"/>
          <w:szCs w:val="24"/>
        </w:rPr>
        <w:t>States</w:t>
      </w:r>
      <w:r>
        <w:rPr>
          <w:sz w:val="24"/>
          <w:szCs w:val="24"/>
        </w:rPr>
        <w:t>, regulated community, and the public.</w:t>
      </w:r>
    </w:p>
    <w:p w14:paraId="1928D4CE" w14:textId="77777777" w:rsidR="00D759B9" w:rsidRDefault="00D759B9" w:rsidP="00BD387B">
      <w:pPr>
        <w:widowControl/>
        <w:numPr>
          <w:ilvl w:val="12"/>
          <w:numId w:val="0"/>
        </w:numPr>
        <w:rPr>
          <w:sz w:val="24"/>
          <w:szCs w:val="24"/>
        </w:rPr>
      </w:pPr>
    </w:p>
    <w:p w14:paraId="4E78AB97" w14:textId="580A584E" w:rsidR="00D759B9" w:rsidRDefault="00D759B9" w:rsidP="00BD387B">
      <w:pPr>
        <w:widowControl/>
        <w:numPr>
          <w:ilvl w:val="12"/>
          <w:numId w:val="0"/>
        </w:numPr>
        <w:rPr>
          <w:sz w:val="24"/>
          <w:szCs w:val="24"/>
        </w:rPr>
      </w:pPr>
      <w:r>
        <w:rPr>
          <w:sz w:val="24"/>
          <w:szCs w:val="24"/>
        </w:rPr>
        <w:tab/>
        <w:t>The EPA also has established a Clea</w:t>
      </w:r>
      <w:r w:rsidR="003615E2">
        <w:rPr>
          <w:sz w:val="24"/>
          <w:szCs w:val="24"/>
        </w:rPr>
        <w:t>n Air Markets Home Page on the i</w:t>
      </w:r>
      <w:r>
        <w:rPr>
          <w:sz w:val="24"/>
          <w:szCs w:val="24"/>
        </w:rPr>
        <w:t xml:space="preserve">nternet, which includes detailed information collected from emissions reports.  The </w:t>
      </w:r>
      <w:r w:rsidR="002E08AC">
        <w:rPr>
          <w:sz w:val="24"/>
          <w:szCs w:val="24"/>
        </w:rPr>
        <w:t>Air Market Programs Data (AMPD)</w:t>
      </w:r>
      <w:r>
        <w:rPr>
          <w:sz w:val="24"/>
          <w:szCs w:val="24"/>
        </w:rPr>
        <w:t xml:space="preserve"> section of the EPA</w:t>
      </w:r>
      <w:r w:rsidR="009102A2">
        <w:rPr>
          <w:sz w:val="24"/>
          <w:szCs w:val="24"/>
        </w:rPr>
        <w:t>'</w:t>
      </w:r>
      <w:r>
        <w:rPr>
          <w:sz w:val="24"/>
          <w:szCs w:val="24"/>
        </w:rPr>
        <w:t xml:space="preserve">s Clean Air Markets Home Page on the </w:t>
      </w:r>
      <w:r w:rsidR="003615E2">
        <w:rPr>
          <w:sz w:val="24"/>
          <w:szCs w:val="24"/>
        </w:rPr>
        <w:t>internet</w:t>
      </w:r>
      <w:r>
        <w:rPr>
          <w:sz w:val="24"/>
          <w:szCs w:val="24"/>
        </w:rPr>
        <w:t xml:space="preserve"> includes detailed information collected from emissions reports, and facility or source data.  Those without access to the Internet may use the </w:t>
      </w:r>
      <w:r w:rsidR="00702BCF">
        <w:rPr>
          <w:sz w:val="24"/>
          <w:szCs w:val="24"/>
        </w:rPr>
        <w:t xml:space="preserve">Clean Air Markets </w:t>
      </w:r>
      <w:r>
        <w:rPr>
          <w:sz w:val="24"/>
          <w:szCs w:val="24"/>
        </w:rPr>
        <w:t>Hotline to request information.</w:t>
      </w:r>
      <w:r>
        <w:rPr>
          <w:sz w:val="24"/>
          <w:szCs w:val="24"/>
        </w:rPr>
        <w:tab/>
      </w:r>
    </w:p>
    <w:p w14:paraId="065BA802" w14:textId="77777777" w:rsidR="00D759B9" w:rsidRDefault="00D759B9" w:rsidP="00BD387B">
      <w:pPr>
        <w:widowControl/>
        <w:numPr>
          <w:ilvl w:val="12"/>
          <w:numId w:val="0"/>
        </w:numPr>
        <w:rPr>
          <w:b/>
          <w:bCs/>
          <w:sz w:val="24"/>
          <w:szCs w:val="24"/>
        </w:rPr>
      </w:pPr>
    </w:p>
    <w:p w14:paraId="05491AA3" w14:textId="77777777" w:rsidR="00D759B9" w:rsidRDefault="00D759B9" w:rsidP="001A17D4">
      <w:pPr>
        <w:keepNext/>
        <w:widowControl/>
        <w:numPr>
          <w:ilvl w:val="12"/>
          <w:numId w:val="0"/>
        </w:numPr>
        <w:ind w:left="360"/>
        <w:rPr>
          <w:sz w:val="24"/>
          <w:szCs w:val="24"/>
        </w:rPr>
      </w:pPr>
      <w:r>
        <w:rPr>
          <w:rStyle w:val="2ndtier1"/>
          <w:sz w:val="24"/>
          <w:szCs w:val="24"/>
        </w:rPr>
        <w:t>5</w:t>
      </w:r>
      <w:r w:rsidR="00173934">
        <w:rPr>
          <w:rStyle w:val="2ndtier1"/>
          <w:sz w:val="24"/>
          <w:szCs w:val="24"/>
        </w:rPr>
        <w:t>(c</w:t>
      </w:r>
      <w:r w:rsidR="00131AD2">
        <w:rPr>
          <w:rStyle w:val="2ndtier1"/>
          <w:sz w:val="24"/>
          <w:szCs w:val="24"/>
        </w:rPr>
        <w:t>) Small</w:t>
      </w:r>
      <w:r>
        <w:rPr>
          <w:rStyle w:val="2ndtier1"/>
          <w:sz w:val="24"/>
          <w:szCs w:val="24"/>
        </w:rPr>
        <w:t xml:space="preserve"> Entity Flexibility </w:t>
      </w:r>
    </w:p>
    <w:p w14:paraId="608FA4BF" w14:textId="77777777" w:rsidR="00D759B9" w:rsidRDefault="00D759B9" w:rsidP="001A17D4">
      <w:pPr>
        <w:keepNext/>
        <w:widowControl/>
        <w:numPr>
          <w:ilvl w:val="12"/>
          <w:numId w:val="0"/>
        </w:numPr>
        <w:rPr>
          <w:sz w:val="24"/>
          <w:szCs w:val="24"/>
        </w:rPr>
      </w:pPr>
    </w:p>
    <w:p w14:paraId="01B022CF" w14:textId="77777777" w:rsidR="00D759B9" w:rsidRDefault="00D759B9" w:rsidP="00BD387B">
      <w:pPr>
        <w:widowControl/>
        <w:numPr>
          <w:ilvl w:val="12"/>
          <w:numId w:val="0"/>
        </w:numPr>
        <w:rPr>
          <w:sz w:val="24"/>
          <w:szCs w:val="24"/>
        </w:rPr>
      </w:pPr>
      <w:r>
        <w:rPr>
          <w:sz w:val="24"/>
          <w:szCs w:val="24"/>
        </w:rPr>
        <w:tab/>
        <w:t>The rulemaking, which EPA published by notice in 63 FR 57356 (October 8, 1998), would simply require States to develop, adopt, and submit SIP revisions.  Pursuant to 5 U.S.C. 605(b), in the rulemaking, the Administrator certified that the rule will not have a significant economic impact on a substantial number of small entities.</w:t>
      </w:r>
    </w:p>
    <w:p w14:paraId="5D34167F" w14:textId="77777777" w:rsidR="00D759B9" w:rsidRDefault="00D759B9" w:rsidP="00BD387B">
      <w:pPr>
        <w:widowControl/>
        <w:numPr>
          <w:ilvl w:val="12"/>
          <w:numId w:val="0"/>
        </w:numPr>
        <w:rPr>
          <w:sz w:val="24"/>
          <w:szCs w:val="24"/>
        </w:rPr>
      </w:pPr>
    </w:p>
    <w:p w14:paraId="324FE1ED" w14:textId="332D5B1B" w:rsidR="00D759B9" w:rsidRDefault="00D759B9" w:rsidP="00BD387B">
      <w:pPr>
        <w:widowControl/>
        <w:numPr>
          <w:ilvl w:val="12"/>
          <w:numId w:val="0"/>
        </w:numPr>
        <w:rPr>
          <w:sz w:val="24"/>
          <w:szCs w:val="24"/>
        </w:rPr>
      </w:pPr>
      <w:r>
        <w:rPr>
          <w:sz w:val="24"/>
          <w:szCs w:val="24"/>
        </w:rPr>
        <w:tab/>
      </w:r>
      <w:r w:rsidR="004B5508">
        <w:rPr>
          <w:sz w:val="24"/>
          <w:szCs w:val="24"/>
        </w:rPr>
        <w:t>In addition, under Part 75, t</w:t>
      </w:r>
      <w:r>
        <w:rPr>
          <w:sz w:val="24"/>
          <w:szCs w:val="24"/>
        </w:rPr>
        <w:t xml:space="preserve">here are </w:t>
      </w:r>
      <w:r w:rsidR="004B5508">
        <w:rPr>
          <w:sz w:val="24"/>
          <w:szCs w:val="24"/>
        </w:rPr>
        <w:t xml:space="preserve">options </w:t>
      </w:r>
      <w:r>
        <w:rPr>
          <w:sz w:val="24"/>
          <w:szCs w:val="24"/>
        </w:rPr>
        <w:t xml:space="preserve">for reduced monitoring </w:t>
      </w:r>
      <w:r w:rsidR="004B5508">
        <w:rPr>
          <w:sz w:val="24"/>
          <w:szCs w:val="24"/>
        </w:rPr>
        <w:t>that may assist smaller sources.</w:t>
      </w:r>
      <w:r w:rsidR="003615E2">
        <w:rPr>
          <w:sz w:val="24"/>
          <w:szCs w:val="24"/>
        </w:rPr>
        <w:t xml:space="preserve"> </w:t>
      </w:r>
      <w:r>
        <w:rPr>
          <w:sz w:val="24"/>
          <w:szCs w:val="24"/>
        </w:rPr>
        <w:t xml:space="preserve"> The low mass </w:t>
      </w:r>
      <w:r w:rsidR="00B36465">
        <w:rPr>
          <w:sz w:val="24"/>
          <w:szCs w:val="24"/>
        </w:rPr>
        <w:t xml:space="preserve">emissions </w:t>
      </w:r>
      <w:r>
        <w:rPr>
          <w:sz w:val="24"/>
          <w:szCs w:val="24"/>
        </w:rPr>
        <w:t xml:space="preserve">exception (40 CFR 75.19), allows optional reduced monitoring, quality assurance, and reporting requirements for units that combust natural gas and/or fuel oil and that emit no more than </w:t>
      </w:r>
      <w:r w:rsidR="00B36465">
        <w:rPr>
          <w:sz w:val="24"/>
          <w:szCs w:val="24"/>
        </w:rPr>
        <w:t xml:space="preserve">100 </w:t>
      </w:r>
      <w:r>
        <w:rPr>
          <w:sz w:val="24"/>
          <w:szCs w:val="24"/>
        </w:rPr>
        <w:t>tons of NO</w:t>
      </w:r>
      <w:r>
        <w:rPr>
          <w:sz w:val="24"/>
          <w:szCs w:val="24"/>
          <w:vertAlign w:val="subscript"/>
        </w:rPr>
        <w:t>x</w:t>
      </w:r>
      <w:r>
        <w:rPr>
          <w:sz w:val="24"/>
          <w:szCs w:val="24"/>
        </w:rPr>
        <w:t xml:space="preserve"> annually (or, at the source</w:t>
      </w:r>
      <w:r w:rsidR="009102A2">
        <w:rPr>
          <w:sz w:val="24"/>
          <w:szCs w:val="24"/>
        </w:rPr>
        <w:t>'</w:t>
      </w:r>
      <w:r>
        <w:rPr>
          <w:sz w:val="24"/>
          <w:szCs w:val="24"/>
        </w:rPr>
        <w:t xml:space="preserve">s election, </w:t>
      </w:r>
      <w:r w:rsidR="00B36465">
        <w:rPr>
          <w:sz w:val="24"/>
          <w:szCs w:val="24"/>
        </w:rPr>
        <w:t xml:space="preserve">50 </w:t>
      </w:r>
      <w:r>
        <w:rPr>
          <w:sz w:val="24"/>
          <w:szCs w:val="24"/>
        </w:rPr>
        <w:t xml:space="preserve">tons per ozone season) and that calculate no more than the same amount based on specified procedures for calculating and reporting emissions.  Qualifying </w:t>
      </w:r>
      <w:r w:rsidR="004B5508">
        <w:rPr>
          <w:sz w:val="24"/>
          <w:szCs w:val="24"/>
        </w:rPr>
        <w:t>sources</w:t>
      </w:r>
      <w:r>
        <w:rPr>
          <w:sz w:val="24"/>
          <w:szCs w:val="24"/>
        </w:rPr>
        <w:t xml:space="preserve"> are not required to keep monitoring equipment installed on (or conduct fuel sampling for) low mass emissions units, nor are they required to perform quality assurance or quality control tests.  Moreover, emissions reporting requirements are significantly simplified for these units.</w:t>
      </w:r>
    </w:p>
    <w:p w14:paraId="3D9B1F22" w14:textId="77777777" w:rsidR="00D759B9" w:rsidRDefault="00D759B9" w:rsidP="00BD387B">
      <w:pPr>
        <w:widowControl/>
        <w:numPr>
          <w:ilvl w:val="12"/>
          <w:numId w:val="0"/>
        </w:numPr>
        <w:rPr>
          <w:sz w:val="24"/>
          <w:szCs w:val="24"/>
        </w:rPr>
      </w:pPr>
    </w:p>
    <w:p w14:paraId="0306339F" w14:textId="77777777" w:rsidR="00D759B9" w:rsidRDefault="00D759B9" w:rsidP="00BD387B">
      <w:pPr>
        <w:widowControl/>
        <w:numPr>
          <w:ilvl w:val="12"/>
          <w:numId w:val="0"/>
        </w:numPr>
        <w:rPr>
          <w:sz w:val="24"/>
          <w:szCs w:val="24"/>
        </w:rPr>
      </w:pPr>
      <w:r>
        <w:rPr>
          <w:sz w:val="24"/>
          <w:szCs w:val="24"/>
        </w:rPr>
        <w:tab/>
        <w:t xml:space="preserve">Even if a gas- or oil-fired unit does not qualify for the </w:t>
      </w:r>
      <w:r w:rsidR="009102A2">
        <w:rPr>
          <w:sz w:val="24"/>
          <w:szCs w:val="24"/>
        </w:rPr>
        <w:t>"</w:t>
      </w:r>
      <w:r>
        <w:rPr>
          <w:sz w:val="24"/>
          <w:szCs w:val="24"/>
        </w:rPr>
        <w:t>low mass emissions unit</w:t>
      </w:r>
      <w:r w:rsidR="009102A2">
        <w:rPr>
          <w:sz w:val="24"/>
          <w:szCs w:val="24"/>
        </w:rPr>
        <w:t>"</w:t>
      </w:r>
      <w:r>
        <w:rPr>
          <w:sz w:val="24"/>
          <w:szCs w:val="24"/>
        </w:rPr>
        <w:t xml:space="preserve"> exception, the monitoring provisions of Part 75 do allow for the use of alternative methods to determine emissions.  As discussed in the Regulatory Impact Analysis (RIA) of the final Acid Rain Implementation Regulations (October 19, 1992), smaller utilities are more likely to be dependent on these oil- and gas-fired units, especially very small utilities (see p. 5</w:t>
      </w:r>
      <w:r w:rsidR="003615E2">
        <w:rPr>
          <w:sz w:val="24"/>
          <w:szCs w:val="24"/>
        </w:rPr>
        <w:t>–</w:t>
      </w:r>
      <w:r>
        <w:rPr>
          <w:sz w:val="24"/>
          <w:szCs w:val="24"/>
        </w:rPr>
        <w:t>14 of that RIA document).</w:t>
      </w:r>
    </w:p>
    <w:p w14:paraId="1FF70D31" w14:textId="77777777" w:rsidR="00401B7B" w:rsidRDefault="00401B7B" w:rsidP="00BD387B">
      <w:pPr>
        <w:widowControl/>
        <w:numPr>
          <w:ilvl w:val="12"/>
          <w:numId w:val="0"/>
        </w:numPr>
        <w:rPr>
          <w:sz w:val="24"/>
          <w:szCs w:val="24"/>
        </w:rPr>
      </w:pPr>
    </w:p>
    <w:p w14:paraId="63C1CDA5" w14:textId="77777777" w:rsidR="00D759B9" w:rsidRDefault="00D759B9" w:rsidP="001A17D4">
      <w:pPr>
        <w:keepNext/>
        <w:widowControl/>
        <w:numPr>
          <w:ilvl w:val="12"/>
          <w:numId w:val="0"/>
        </w:numPr>
        <w:ind w:left="360"/>
        <w:rPr>
          <w:sz w:val="24"/>
          <w:szCs w:val="24"/>
        </w:rPr>
      </w:pPr>
      <w:r>
        <w:rPr>
          <w:rStyle w:val="2ndtier1"/>
          <w:sz w:val="24"/>
          <w:szCs w:val="24"/>
        </w:rPr>
        <w:t>5</w:t>
      </w:r>
      <w:r w:rsidR="00173934">
        <w:rPr>
          <w:rStyle w:val="2ndtier1"/>
          <w:sz w:val="24"/>
          <w:szCs w:val="24"/>
        </w:rPr>
        <w:t>(d</w:t>
      </w:r>
      <w:r w:rsidR="00131AD2">
        <w:rPr>
          <w:rStyle w:val="2ndtier1"/>
          <w:sz w:val="24"/>
          <w:szCs w:val="24"/>
        </w:rPr>
        <w:t>) Collection</w:t>
      </w:r>
      <w:r>
        <w:rPr>
          <w:rStyle w:val="2ndtier1"/>
          <w:sz w:val="24"/>
          <w:szCs w:val="24"/>
        </w:rPr>
        <w:t xml:space="preserve"> Schedule </w:t>
      </w:r>
    </w:p>
    <w:p w14:paraId="1CFB104E" w14:textId="77777777" w:rsidR="00D759B9" w:rsidRDefault="00D759B9" w:rsidP="001A17D4">
      <w:pPr>
        <w:keepNext/>
        <w:widowControl/>
        <w:numPr>
          <w:ilvl w:val="12"/>
          <w:numId w:val="0"/>
        </w:numPr>
        <w:rPr>
          <w:sz w:val="24"/>
          <w:szCs w:val="24"/>
        </w:rPr>
      </w:pPr>
    </w:p>
    <w:p w14:paraId="66AD403F" w14:textId="77777777" w:rsidR="002539CF" w:rsidRDefault="00D759B9">
      <w:pPr>
        <w:keepNext/>
        <w:widowControl/>
        <w:numPr>
          <w:ilvl w:val="12"/>
          <w:numId w:val="0"/>
        </w:numPr>
        <w:rPr>
          <w:sz w:val="24"/>
          <w:szCs w:val="24"/>
        </w:rPr>
      </w:pPr>
      <w:r>
        <w:rPr>
          <w:sz w:val="24"/>
          <w:szCs w:val="24"/>
        </w:rPr>
        <w:tab/>
      </w:r>
      <w:r w:rsidR="00440A8B">
        <w:rPr>
          <w:sz w:val="24"/>
          <w:szCs w:val="24"/>
        </w:rPr>
        <w:t xml:space="preserve">Affected </w:t>
      </w:r>
      <w:r w:rsidR="00C46CBF">
        <w:rPr>
          <w:sz w:val="24"/>
          <w:szCs w:val="24"/>
        </w:rPr>
        <w:t xml:space="preserve">units conduct ongoing monitoring, with quarterly reporting.  </w:t>
      </w:r>
    </w:p>
    <w:p w14:paraId="1F86AEC5" w14:textId="77777777" w:rsidR="00D759B9" w:rsidRDefault="00D759B9" w:rsidP="00BD387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0CEB750A" w14:textId="77777777" w:rsidR="00D759B9" w:rsidRDefault="004C155B" w:rsidP="00BD387B">
      <w:pPr>
        <w:keepNext/>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 xml:space="preserve">6.  </w:t>
      </w:r>
      <w:r w:rsidR="00D759B9">
        <w:rPr>
          <w:b/>
          <w:bCs/>
          <w:sz w:val="24"/>
          <w:szCs w:val="24"/>
        </w:rPr>
        <w:t>ESTIMATING THE BURDEN AND COST OF COLLECTIONS</w:t>
      </w:r>
    </w:p>
    <w:p w14:paraId="3FF5C052" w14:textId="77777777" w:rsidR="00D759B9" w:rsidRDefault="00D759B9" w:rsidP="00BD387B">
      <w:pPr>
        <w:keepNext/>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51DFF2C3" w14:textId="77777777" w:rsidR="00D759B9" w:rsidRDefault="00D759B9" w:rsidP="009D2AA3">
      <w:pPr>
        <w:keepNext/>
        <w:widowControl/>
        <w:ind w:left="360"/>
        <w:rPr>
          <w:rStyle w:val="2ndtier1"/>
          <w:sz w:val="24"/>
          <w:szCs w:val="24"/>
        </w:rPr>
      </w:pPr>
      <w:r>
        <w:rPr>
          <w:rStyle w:val="2ndtier1"/>
          <w:sz w:val="24"/>
          <w:szCs w:val="24"/>
        </w:rPr>
        <w:t>6(</w:t>
      </w:r>
      <w:r w:rsidR="009D2AA3">
        <w:rPr>
          <w:rStyle w:val="2ndtier1"/>
          <w:sz w:val="24"/>
          <w:szCs w:val="24"/>
        </w:rPr>
        <w:t>a</w:t>
      </w:r>
      <w:r>
        <w:rPr>
          <w:rStyle w:val="2ndtier1"/>
          <w:sz w:val="24"/>
          <w:szCs w:val="24"/>
        </w:rPr>
        <w:t xml:space="preserve">) </w:t>
      </w:r>
      <w:r w:rsidR="009D2AA3">
        <w:rPr>
          <w:rStyle w:val="2ndtier1"/>
          <w:sz w:val="24"/>
          <w:szCs w:val="24"/>
        </w:rPr>
        <w:t>Determining Wage Rates</w:t>
      </w:r>
    </w:p>
    <w:p w14:paraId="17710F0A" w14:textId="77777777" w:rsidR="0085181C" w:rsidRDefault="0085181C" w:rsidP="009D2AA3">
      <w:pPr>
        <w:keepNext/>
        <w:widowControl/>
        <w:ind w:left="360"/>
        <w:rPr>
          <w:sz w:val="24"/>
          <w:szCs w:val="24"/>
        </w:rPr>
      </w:pPr>
    </w:p>
    <w:p w14:paraId="675AB132" w14:textId="45594E74" w:rsidR="000B091E" w:rsidRDefault="00C46CBF" w:rsidP="00D41EB9">
      <w:pPr>
        <w:widowControl/>
        <w:ind w:firstLine="720"/>
        <w:rPr>
          <w:sz w:val="24"/>
          <w:szCs w:val="24"/>
        </w:rPr>
      </w:pPr>
      <w:r>
        <w:rPr>
          <w:sz w:val="24"/>
          <w:szCs w:val="24"/>
        </w:rPr>
        <w:t xml:space="preserve">  </w:t>
      </w:r>
      <w:r w:rsidR="00F63B55" w:rsidRPr="00F63B55">
        <w:rPr>
          <w:sz w:val="24"/>
          <w:szCs w:val="24"/>
        </w:rPr>
        <w:t>In estimating labor costs for industry, EPA used the following amounts:</w:t>
      </w:r>
      <w:r w:rsidR="005B247C">
        <w:rPr>
          <w:sz w:val="24"/>
          <w:szCs w:val="24"/>
        </w:rPr>
        <w:t xml:space="preserve"> </w:t>
      </w:r>
      <w:r w:rsidR="00F63B55" w:rsidRPr="00F63B55">
        <w:rPr>
          <w:sz w:val="24"/>
          <w:szCs w:val="24"/>
        </w:rPr>
        <w:t xml:space="preserve"> $</w:t>
      </w:r>
      <w:r w:rsidR="008A283F">
        <w:rPr>
          <w:sz w:val="24"/>
          <w:szCs w:val="24"/>
        </w:rPr>
        <w:t>1</w:t>
      </w:r>
      <w:r w:rsidR="007A3BC1">
        <w:rPr>
          <w:sz w:val="24"/>
          <w:szCs w:val="24"/>
        </w:rPr>
        <w:t>12</w:t>
      </w:r>
      <w:r w:rsidR="008A283F">
        <w:rPr>
          <w:sz w:val="24"/>
          <w:szCs w:val="24"/>
        </w:rPr>
        <w:t>.</w:t>
      </w:r>
      <w:r w:rsidR="007A3BC1">
        <w:rPr>
          <w:sz w:val="24"/>
          <w:szCs w:val="24"/>
        </w:rPr>
        <w:t>22</w:t>
      </w:r>
      <w:r w:rsidR="00A8483A" w:rsidRPr="00F63B55">
        <w:rPr>
          <w:sz w:val="24"/>
          <w:szCs w:val="24"/>
        </w:rPr>
        <w:t xml:space="preserve"> </w:t>
      </w:r>
      <w:r w:rsidR="00F63B55" w:rsidRPr="00F63B55">
        <w:rPr>
          <w:sz w:val="24"/>
          <w:szCs w:val="24"/>
        </w:rPr>
        <w:t>per hour for managers and $</w:t>
      </w:r>
      <w:r w:rsidR="007A3BC1">
        <w:rPr>
          <w:sz w:val="24"/>
          <w:szCs w:val="24"/>
        </w:rPr>
        <w:t>77</w:t>
      </w:r>
      <w:r w:rsidR="00F63B55" w:rsidRPr="00F63B55">
        <w:rPr>
          <w:sz w:val="24"/>
          <w:szCs w:val="24"/>
        </w:rPr>
        <w:t>.</w:t>
      </w:r>
      <w:r w:rsidR="007A3BC1">
        <w:rPr>
          <w:sz w:val="24"/>
          <w:szCs w:val="24"/>
        </w:rPr>
        <w:t>66</w:t>
      </w:r>
      <w:r w:rsidR="008A283F" w:rsidRPr="00F63B55">
        <w:rPr>
          <w:sz w:val="24"/>
          <w:szCs w:val="24"/>
        </w:rPr>
        <w:t xml:space="preserve"> </w:t>
      </w:r>
      <w:r w:rsidR="00F63B55" w:rsidRPr="00F63B55">
        <w:rPr>
          <w:sz w:val="24"/>
          <w:szCs w:val="24"/>
        </w:rPr>
        <w:t xml:space="preserve">per hour for technicians.  These rates were </w:t>
      </w:r>
      <w:r w:rsidR="007E4394">
        <w:rPr>
          <w:sz w:val="24"/>
          <w:szCs w:val="24"/>
        </w:rPr>
        <w:t xml:space="preserve">updated from the previous </w:t>
      </w:r>
      <w:r w:rsidR="005D0E78">
        <w:rPr>
          <w:sz w:val="24"/>
          <w:szCs w:val="24"/>
        </w:rPr>
        <w:t xml:space="preserve">NBP </w:t>
      </w:r>
      <w:r w:rsidR="007E4394">
        <w:rPr>
          <w:sz w:val="24"/>
          <w:szCs w:val="24"/>
        </w:rPr>
        <w:t xml:space="preserve">ICR rates </w:t>
      </w:r>
      <w:r w:rsidR="000B091E">
        <w:rPr>
          <w:sz w:val="24"/>
          <w:szCs w:val="24"/>
        </w:rPr>
        <w:t xml:space="preserve">based on </w:t>
      </w:r>
      <w:r w:rsidR="000B091E" w:rsidRPr="00F63B55">
        <w:rPr>
          <w:sz w:val="24"/>
          <w:szCs w:val="24"/>
        </w:rPr>
        <w:t>the Current Employment Cost Index</w:t>
      </w:r>
      <w:r w:rsidR="000B091E">
        <w:rPr>
          <w:sz w:val="24"/>
          <w:szCs w:val="24"/>
        </w:rPr>
        <w:t xml:space="preserve">, June </w:t>
      </w:r>
      <w:r w:rsidR="008A283F">
        <w:rPr>
          <w:sz w:val="24"/>
          <w:szCs w:val="24"/>
        </w:rPr>
        <w:t>2017</w:t>
      </w:r>
      <w:r w:rsidR="00860082">
        <w:rPr>
          <w:sz w:val="24"/>
          <w:szCs w:val="24"/>
        </w:rPr>
        <w:t xml:space="preserve"> </w:t>
      </w:r>
      <w:r w:rsidR="000B091E">
        <w:rPr>
          <w:sz w:val="24"/>
          <w:szCs w:val="24"/>
        </w:rPr>
        <w:t>(</w:t>
      </w:r>
      <w:r w:rsidR="007A3BC1" w:rsidRPr="007A3BC1">
        <w:rPr>
          <w:sz w:val="24"/>
          <w:szCs w:val="24"/>
        </w:rPr>
        <w:t>https://www.bls.gov/home.htm</w:t>
      </w:r>
      <w:r w:rsidR="007A3BC1">
        <w:rPr>
          <w:sz w:val="24"/>
          <w:szCs w:val="24"/>
        </w:rPr>
        <w:t>)</w:t>
      </w:r>
      <w:r w:rsidR="000B091E">
        <w:rPr>
          <w:sz w:val="24"/>
          <w:szCs w:val="24"/>
        </w:rPr>
        <w:t>.</w:t>
      </w:r>
    </w:p>
    <w:p w14:paraId="1D4CBEB5" w14:textId="77777777" w:rsidR="00F63B55" w:rsidRPr="00F63B55" w:rsidRDefault="00F63B55" w:rsidP="00BD387B">
      <w:pPr>
        <w:widowControl/>
        <w:ind w:firstLine="720"/>
        <w:rPr>
          <w:sz w:val="24"/>
          <w:szCs w:val="24"/>
        </w:rPr>
      </w:pPr>
    </w:p>
    <w:p w14:paraId="243CDCAE" w14:textId="3C5571F8" w:rsidR="00F63B55" w:rsidRPr="00F63B55" w:rsidRDefault="00F63B55" w:rsidP="00BD387B">
      <w:pPr>
        <w:widowControl/>
        <w:rPr>
          <w:sz w:val="24"/>
          <w:szCs w:val="24"/>
        </w:rPr>
      </w:pPr>
      <w:r w:rsidRPr="00F63B55">
        <w:rPr>
          <w:sz w:val="24"/>
          <w:szCs w:val="24"/>
        </w:rPr>
        <w:tab/>
        <w:t>Federal Agency labor rates were assumed to be $</w:t>
      </w:r>
      <w:r w:rsidR="00A8483A">
        <w:rPr>
          <w:sz w:val="24"/>
          <w:szCs w:val="24"/>
        </w:rPr>
        <w:t>5</w:t>
      </w:r>
      <w:r w:rsidR="00AE3A17">
        <w:rPr>
          <w:sz w:val="24"/>
          <w:szCs w:val="24"/>
        </w:rPr>
        <w:t>2.16</w:t>
      </w:r>
      <w:r w:rsidRPr="00F63B55">
        <w:rPr>
          <w:sz w:val="24"/>
          <w:szCs w:val="24"/>
        </w:rPr>
        <w:t xml:space="preserve"> per hour.  This l</w:t>
      </w:r>
      <w:r w:rsidR="00EC3463">
        <w:rPr>
          <w:sz w:val="24"/>
          <w:szCs w:val="24"/>
        </w:rPr>
        <w:t>abor rate was derived from the F</w:t>
      </w:r>
      <w:r w:rsidRPr="00F63B55">
        <w:rPr>
          <w:sz w:val="24"/>
          <w:szCs w:val="24"/>
        </w:rPr>
        <w:t>ederal government</w:t>
      </w:r>
      <w:r w:rsidR="009102A2">
        <w:rPr>
          <w:sz w:val="24"/>
          <w:szCs w:val="24"/>
        </w:rPr>
        <w:t>'</w:t>
      </w:r>
      <w:r w:rsidRPr="00F63B55">
        <w:rPr>
          <w:sz w:val="24"/>
          <w:szCs w:val="24"/>
        </w:rPr>
        <w:t xml:space="preserve">s </w:t>
      </w:r>
      <w:r w:rsidR="008F7340" w:rsidRPr="00F63B55">
        <w:rPr>
          <w:sz w:val="24"/>
          <w:szCs w:val="24"/>
        </w:rPr>
        <w:t>20</w:t>
      </w:r>
      <w:r w:rsidR="008F7340">
        <w:rPr>
          <w:sz w:val="24"/>
          <w:szCs w:val="24"/>
        </w:rPr>
        <w:t>1</w:t>
      </w:r>
      <w:r w:rsidR="00C03C9F">
        <w:rPr>
          <w:sz w:val="24"/>
          <w:szCs w:val="24"/>
        </w:rPr>
        <w:t>7</w:t>
      </w:r>
      <w:r w:rsidR="008F7340" w:rsidRPr="00F63B55">
        <w:rPr>
          <w:sz w:val="24"/>
          <w:szCs w:val="24"/>
        </w:rPr>
        <w:t xml:space="preserve"> </w:t>
      </w:r>
      <w:r w:rsidRPr="00F63B55">
        <w:rPr>
          <w:sz w:val="24"/>
          <w:szCs w:val="24"/>
        </w:rPr>
        <w:t xml:space="preserve">U.S. Office of Personnel Management General Schedule </w:t>
      </w:r>
      <w:r w:rsidR="009102A2">
        <w:rPr>
          <w:sz w:val="24"/>
          <w:szCs w:val="24"/>
        </w:rPr>
        <w:t>"</w:t>
      </w:r>
      <w:r w:rsidRPr="00F63B55">
        <w:rPr>
          <w:sz w:val="24"/>
          <w:szCs w:val="24"/>
        </w:rPr>
        <w:t xml:space="preserve">Salary Table </w:t>
      </w:r>
      <w:r w:rsidR="008F7340" w:rsidRPr="00F63B55">
        <w:rPr>
          <w:sz w:val="24"/>
          <w:szCs w:val="24"/>
        </w:rPr>
        <w:t>20</w:t>
      </w:r>
      <w:r w:rsidR="008F7340">
        <w:rPr>
          <w:sz w:val="24"/>
          <w:szCs w:val="24"/>
        </w:rPr>
        <w:t>1</w:t>
      </w:r>
      <w:r w:rsidR="00C03C9F">
        <w:rPr>
          <w:sz w:val="24"/>
          <w:szCs w:val="24"/>
        </w:rPr>
        <w:t>7</w:t>
      </w:r>
      <w:r w:rsidRPr="00F63B55">
        <w:rPr>
          <w:sz w:val="24"/>
          <w:szCs w:val="24"/>
        </w:rPr>
        <w:t>-GS</w:t>
      </w:r>
      <w:r w:rsidR="009102A2">
        <w:rPr>
          <w:sz w:val="24"/>
          <w:szCs w:val="24"/>
        </w:rPr>
        <w:t>"</w:t>
      </w:r>
      <w:r w:rsidRPr="00F63B55">
        <w:rPr>
          <w:sz w:val="24"/>
          <w:szCs w:val="24"/>
        </w:rPr>
        <w:t xml:space="preserve"> </w:t>
      </w:r>
      <w:r w:rsidR="00C03C9F">
        <w:rPr>
          <w:sz w:val="24"/>
          <w:szCs w:val="24"/>
        </w:rPr>
        <w:t>(</w:t>
      </w:r>
      <w:r w:rsidR="00C03C9F" w:rsidRPr="00C03C9F">
        <w:rPr>
          <w:sz w:val="24"/>
          <w:szCs w:val="24"/>
        </w:rPr>
        <w:t>https://www.opm.gov/policy-data-oversight/pay-leave/salaries-wages/salary-tables/pdf/2017/GS.pdf</w:t>
      </w:r>
      <w:r w:rsidR="00C03C9F">
        <w:rPr>
          <w:sz w:val="24"/>
          <w:szCs w:val="24"/>
        </w:rPr>
        <w:t>)</w:t>
      </w:r>
      <w:r w:rsidRPr="00F63B55">
        <w:rPr>
          <w:sz w:val="24"/>
          <w:szCs w:val="24"/>
        </w:rPr>
        <w:t xml:space="preserve">using the factors in the following table.  </w:t>
      </w:r>
    </w:p>
    <w:p w14:paraId="4DEAB828" w14:textId="77777777" w:rsidR="00F63B55" w:rsidRPr="00F63B55" w:rsidRDefault="00F63B55" w:rsidP="00BD387B">
      <w:pPr>
        <w:widowControl/>
        <w:rPr>
          <w:b/>
          <w:bCs/>
          <w:sz w:val="24"/>
          <w:szCs w:val="24"/>
        </w:rPr>
      </w:pPr>
    </w:p>
    <w:p w14:paraId="40A7B22B" w14:textId="77777777" w:rsidR="00F63B55" w:rsidRPr="00F63B55" w:rsidRDefault="00F63B55" w:rsidP="00BD387B">
      <w:pPr>
        <w:keepNext/>
        <w:widowControl/>
        <w:jc w:val="center"/>
        <w:rPr>
          <w:b/>
          <w:bCs/>
          <w:color w:val="000000"/>
          <w:sz w:val="24"/>
          <w:szCs w:val="24"/>
        </w:rPr>
      </w:pPr>
      <w:r w:rsidRPr="00F63B55">
        <w:rPr>
          <w:b/>
          <w:bCs/>
          <w:color w:val="000000"/>
          <w:sz w:val="24"/>
          <w:szCs w:val="24"/>
        </w:rPr>
        <w:t>Table 6-</w:t>
      </w:r>
      <w:r w:rsidR="00AD0B6F">
        <w:rPr>
          <w:b/>
          <w:bCs/>
          <w:color w:val="000000"/>
          <w:sz w:val="24"/>
          <w:szCs w:val="24"/>
        </w:rPr>
        <w:t>1</w:t>
      </w:r>
      <w:r w:rsidR="005B247C">
        <w:rPr>
          <w:b/>
          <w:bCs/>
          <w:color w:val="000000"/>
          <w:sz w:val="24"/>
          <w:szCs w:val="24"/>
        </w:rPr>
        <w:t xml:space="preserve">: </w:t>
      </w:r>
      <w:r w:rsidRPr="00F63B55">
        <w:rPr>
          <w:b/>
          <w:bCs/>
          <w:color w:val="000000"/>
          <w:sz w:val="24"/>
          <w:szCs w:val="24"/>
        </w:rPr>
        <w:t xml:space="preserve"> Determination of Federal Wage Rates</w:t>
      </w:r>
    </w:p>
    <w:p w14:paraId="7C6AFB14" w14:textId="77777777" w:rsidR="00F63B55" w:rsidRPr="005D5242" w:rsidRDefault="00F63B55" w:rsidP="00BD387B">
      <w:pPr>
        <w:keepNext/>
        <w:widowControl/>
        <w:jc w:val="center"/>
        <w:rPr>
          <w:b/>
          <w:bCs/>
          <w:szCs w:val="24"/>
        </w:rPr>
      </w:pPr>
    </w:p>
    <w:tbl>
      <w:tblPr>
        <w:tblW w:w="9350" w:type="dxa"/>
        <w:jc w:val="center"/>
        <w:tblLayout w:type="fixed"/>
        <w:tblCellMar>
          <w:top w:w="72" w:type="dxa"/>
          <w:left w:w="72" w:type="dxa"/>
          <w:bottom w:w="72" w:type="dxa"/>
          <w:right w:w="72" w:type="dxa"/>
        </w:tblCellMar>
        <w:tblLook w:val="04A0" w:firstRow="1" w:lastRow="0" w:firstColumn="1" w:lastColumn="0" w:noHBand="0" w:noVBand="1"/>
      </w:tblPr>
      <w:tblGrid>
        <w:gridCol w:w="6459"/>
        <w:gridCol w:w="1245"/>
        <w:gridCol w:w="1646"/>
      </w:tblGrid>
      <w:tr w:rsidR="00F63B55" w:rsidRPr="00BE7306" w14:paraId="158EB09A" w14:textId="77777777" w:rsidTr="005B247C">
        <w:trPr>
          <w:trHeight w:val="206"/>
          <w:jc w:val="center"/>
        </w:trPr>
        <w:tc>
          <w:tcPr>
            <w:tcW w:w="64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2F17D7" w14:textId="77777777" w:rsidR="00F63B55" w:rsidRPr="00BE7306" w:rsidRDefault="00F63B55" w:rsidP="005B247C">
            <w:pPr>
              <w:keepNext/>
              <w:widowControl/>
              <w:rPr>
                <w:color w:val="000000"/>
              </w:rPr>
            </w:pPr>
            <w:r w:rsidRPr="00BE7306">
              <w:rPr>
                <w:color w:val="000000"/>
              </w:rPr>
              <w:t>Annual Salary of Technical Staff, GS 11</w:t>
            </w:r>
            <w:r w:rsidR="004E78B6">
              <w:rPr>
                <w:color w:val="000000"/>
              </w:rPr>
              <w:t>,</w:t>
            </w:r>
            <w:r w:rsidRPr="00BE7306">
              <w:rPr>
                <w:color w:val="000000"/>
              </w:rPr>
              <w:t xml:space="preserve"> Step 3 </w:t>
            </w: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3CB26A66" w14:textId="77777777" w:rsidR="00F63B55" w:rsidRPr="00BE7306" w:rsidRDefault="00F63B55" w:rsidP="005B247C">
            <w:pPr>
              <w:keepNext/>
              <w:widowControl/>
              <w:jc w:val="right"/>
              <w:rPr>
                <w:color w:val="000000"/>
              </w:rPr>
            </w:pPr>
          </w:p>
        </w:tc>
        <w:tc>
          <w:tcPr>
            <w:tcW w:w="1646" w:type="dxa"/>
            <w:tcBorders>
              <w:top w:val="single" w:sz="4" w:space="0" w:color="auto"/>
              <w:left w:val="nil"/>
              <w:bottom w:val="single" w:sz="4" w:space="0" w:color="auto"/>
              <w:right w:val="single" w:sz="4" w:space="0" w:color="auto"/>
            </w:tcBorders>
            <w:shd w:val="clear" w:color="auto" w:fill="auto"/>
            <w:noWrap/>
            <w:vAlign w:val="bottom"/>
          </w:tcPr>
          <w:p w14:paraId="23A895FC" w14:textId="375A90CC" w:rsidR="00F63B55" w:rsidRPr="00BE7306" w:rsidRDefault="00F63B55" w:rsidP="00B36465">
            <w:pPr>
              <w:keepNext/>
              <w:widowControl/>
              <w:jc w:val="right"/>
              <w:rPr>
                <w:color w:val="000000"/>
              </w:rPr>
            </w:pPr>
            <w:r w:rsidRPr="00BE7306">
              <w:rPr>
                <w:color w:val="000000"/>
              </w:rPr>
              <w:t>$</w:t>
            </w:r>
            <w:r w:rsidR="00C03C9F">
              <w:rPr>
                <w:color w:val="000000"/>
              </w:rPr>
              <w:t>55</w:t>
            </w:r>
            <w:r w:rsidR="00B36465">
              <w:rPr>
                <w:color w:val="000000"/>
              </w:rPr>
              <w:t>,</w:t>
            </w:r>
            <w:r w:rsidR="00C03C9F">
              <w:rPr>
                <w:color w:val="000000"/>
              </w:rPr>
              <w:t>817</w:t>
            </w:r>
          </w:p>
        </w:tc>
      </w:tr>
      <w:tr w:rsidR="00F63B55" w:rsidRPr="00BE7306" w14:paraId="2ABCC6A1" w14:textId="77777777" w:rsidTr="005B247C">
        <w:trPr>
          <w:trHeight w:val="23"/>
          <w:jc w:val="center"/>
        </w:trPr>
        <w:tc>
          <w:tcPr>
            <w:tcW w:w="6459" w:type="dxa"/>
            <w:tcBorders>
              <w:top w:val="nil"/>
              <w:left w:val="single" w:sz="4" w:space="0" w:color="auto"/>
              <w:bottom w:val="single" w:sz="4" w:space="0" w:color="auto"/>
              <w:right w:val="single" w:sz="4" w:space="0" w:color="auto"/>
            </w:tcBorders>
            <w:shd w:val="clear" w:color="auto" w:fill="auto"/>
            <w:noWrap/>
            <w:vAlign w:val="bottom"/>
          </w:tcPr>
          <w:p w14:paraId="1E19C56F" w14:textId="77777777" w:rsidR="00F63B55" w:rsidRPr="00BE7306" w:rsidRDefault="00F63B55" w:rsidP="005B247C">
            <w:pPr>
              <w:keepNext/>
              <w:widowControl/>
              <w:rPr>
                <w:color w:val="000000"/>
              </w:rPr>
            </w:pPr>
            <w:r w:rsidRPr="00BE7306">
              <w:rPr>
                <w:color w:val="000000"/>
              </w:rPr>
              <w:t>Annual Cos</w:t>
            </w:r>
            <w:r>
              <w:rPr>
                <w:color w:val="000000"/>
              </w:rPr>
              <w:t>t of Supervisory Staff, GS 13, S</w:t>
            </w:r>
            <w:r w:rsidRPr="00BE7306">
              <w:rPr>
                <w:color w:val="000000"/>
              </w:rPr>
              <w:t xml:space="preserve">tep 3 </w:t>
            </w:r>
          </w:p>
        </w:tc>
        <w:tc>
          <w:tcPr>
            <w:tcW w:w="1245" w:type="dxa"/>
            <w:tcBorders>
              <w:top w:val="nil"/>
              <w:left w:val="nil"/>
              <w:bottom w:val="single" w:sz="4" w:space="0" w:color="auto"/>
              <w:right w:val="single" w:sz="4" w:space="0" w:color="auto"/>
            </w:tcBorders>
            <w:shd w:val="clear" w:color="auto" w:fill="auto"/>
            <w:noWrap/>
            <w:vAlign w:val="bottom"/>
          </w:tcPr>
          <w:p w14:paraId="5DB803B9" w14:textId="5424D775" w:rsidR="00F63B55" w:rsidRPr="00BE7306" w:rsidRDefault="00F63B55" w:rsidP="00C03C9F">
            <w:pPr>
              <w:keepNext/>
              <w:widowControl/>
              <w:jc w:val="right"/>
              <w:rPr>
                <w:color w:val="000000"/>
              </w:rPr>
            </w:pPr>
            <w:r w:rsidRPr="00BE7306">
              <w:rPr>
                <w:color w:val="000000"/>
              </w:rPr>
              <w:t>$</w:t>
            </w:r>
            <w:r w:rsidR="00C03C9F">
              <w:rPr>
                <w:color w:val="000000"/>
              </w:rPr>
              <w:t>79</w:t>
            </w:r>
            <w:r w:rsidR="00B36465">
              <w:rPr>
                <w:color w:val="000000"/>
              </w:rPr>
              <w:t>,</w:t>
            </w:r>
            <w:r w:rsidR="00C03C9F">
              <w:rPr>
                <w:color w:val="000000"/>
              </w:rPr>
              <w:t>556</w:t>
            </w:r>
          </w:p>
        </w:tc>
        <w:tc>
          <w:tcPr>
            <w:tcW w:w="1646" w:type="dxa"/>
            <w:tcBorders>
              <w:top w:val="nil"/>
              <w:left w:val="nil"/>
              <w:bottom w:val="single" w:sz="4" w:space="0" w:color="auto"/>
              <w:right w:val="single" w:sz="4" w:space="0" w:color="auto"/>
            </w:tcBorders>
            <w:shd w:val="clear" w:color="auto" w:fill="auto"/>
            <w:noWrap/>
            <w:vAlign w:val="bottom"/>
          </w:tcPr>
          <w:p w14:paraId="7773A639" w14:textId="77777777" w:rsidR="00F63B55" w:rsidRPr="00BE7306" w:rsidRDefault="00F63B55" w:rsidP="005B247C">
            <w:pPr>
              <w:keepNext/>
              <w:widowControl/>
              <w:jc w:val="right"/>
              <w:rPr>
                <w:color w:val="000000"/>
              </w:rPr>
            </w:pPr>
          </w:p>
        </w:tc>
      </w:tr>
      <w:tr w:rsidR="00F63B55" w:rsidRPr="00BE7306" w14:paraId="1B662E17" w14:textId="77777777" w:rsidTr="005B247C">
        <w:trPr>
          <w:trHeight w:val="23"/>
          <w:jc w:val="center"/>
        </w:trPr>
        <w:tc>
          <w:tcPr>
            <w:tcW w:w="6459" w:type="dxa"/>
            <w:tcBorders>
              <w:top w:val="nil"/>
              <w:left w:val="single" w:sz="4" w:space="0" w:color="auto"/>
              <w:bottom w:val="single" w:sz="4" w:space="0" w:color="auto"/>
              <w:right w:val="single" w:sz="4" w:space="0" w:color="auto"/>
            </w:tcBorders>
            <w:shd w:val="clear" w:color="auto" w:fill="auto"/>
            <w:noWrap/>
            <w:vAlign w:val="bottom"/>
          </w:tcPr>
          <w:p w14:paraId="271CD3F3" w14:textId="77777777" w:rsidR="00F63B55" w:rsidRPr="00BE7306" w:rsidRDefault="00F63B55" w:rsidP="005B247C">
            <w:pPr>
              <w:widowControl/>
              <w:rPr>
                <w:color w:val="000000"/>
              </w:rPr>
            </w:pPr>
            <w:r w:rsidRPr="00BE7306">
              <w:rPr>
                <w:color w:val="000000"/>
              </w:rPr>
              <w:t xml:space="preserve">Factor (1/11) </w:t>
            </w:r>
          </w:p>
        </w:tc>
        <w:tc>
          <w:tcPr>
            <w:tcW w:w="1245" w:type="dxa"/>
            <w:tcBorders>
              <w:top w:val="nil"/>
              <w:left w:val="nil"/>
              <w:bottom w:val="single" w:sz="4" w:space="0" w:color="auto"/>
              <w:right w:val="single" w:sz="4" w:space="0" w:color="auto"/>
            </w:tcBorders>
            <w:shd w:val="clear" w:color="auto" w:fill="auto"/>
            <w:noWrap/>
            <w:vAlign w:val="bottom"/>
          </w:tcPr>
          <w:p w14:paraId="17FBD35E" w14:textId="77777777" w:rsidR="00F63B55" w:rsidRPr="00BE7306" w:rsidRDefault="00F63B55" w:rsidP="005B247C">
            <w:pPr>
              <w:widowControl/>
              <w:jc w:val="right"/>
              <w:rPr>
                <w:color w:val="000000"/>
              </w:rPr>
            </w:pPr>
            <w:r w:rsidRPr="00BE7306">
              <w:rPr>
                <w:color w:val="000000"/>
              </w:rPr>
              <w:t>0.09</w:t>
            </w:r>
          </w:p>
        </w:tc>
        <w:tc>
          <w:tcPr>
            <w:tcW w:w="1646" w:type="dxa"/>
            <w:tcBorders>
              <w:top w:val="nil"/>
              <w:left w:val="nil"/>
              <w:bottom w:val="single" w:sz="4" w:space="0" w:color="auto"/>
              <w:right w:val="single" w:sz="4" w:space="0" w:color="auto"/>
            </w:tcBorders>
            <w:shd w:val="clear" w:color="auto" w:fill="auto"/>
            <w:noWrap/>
            <w:vAlign w:val="bottom"/>
          </w:tcPr>
          <w:p w14:paraId="32E87891" w14:textId="77777777" w:rsidR="00F63B55" w:rsidRPr="00BE7306" w:rsidRDefault="00F63B55" w:rsidP="005B247C">
            <w:pPr>
              <w:widowControl/>
              <w:jc w:val="right"/>
              <w:rPr>
                <w:color w:val="000000"/>
              </w:rPr>
            </w:pPr>
          </w:p>
        </w:tc>
      </w:tr>
      <w:tr w:rsidR="00F63B55" w:rsidRPr="00BE7306" w14:paraId="58596D36" w14:textId="77777777" w:rsidTr="005B247C">
        <w:trPr>
          <w:trHeight w:val="23"/>
          <w:jc w:val="center"/>
        </w:trPr>
        <w:tc>
          <w:tcPr>
            <w:tcW w:w="6459" w:type="dxa"/>
            <w:tcBorders>
              <w:top w:val="nil"/>
              <w:left w:val="single" w:sz="4" w:space="0" w:color="auto"/>
              <w:bottom w:val="single" w:sz="4" w:space="0" w:color="auto"/>
              <w:right w:val="single" w:sz="4" w:space="0" w:color="auto"/>
            </w:tcBorders>
            <w:shd w:val="clear" w:color="auto" w:fill="auto"/>
            <w:noWrap/>
            <w:vAlign w:val="bottom"/>
          </w:tcPr>
          <w:p w14:paraId="3A02F2E9" w14:textId="77777777" w:rsidR="00F63B55" w:rsidRPr="00BE7306" w:rsidRDefault="00F63B55" w:rsidP="005B247C">
            <w:pPr>
              <w:widowControl/>
              <w:rPr>
                <w:color w:val="000000"/>
              </w:rPr>
            </w:pPr>
            <w:r w:rsidRPr="00BE7306">
              <w:rPr>
                <w:color w:val="000000"/>
              </w:rPr>
              <w:t> </w:t>
            </w:r>
          </w:p>
        </w:tc>
        <w:tc>
          <w:tcPr>
            <w:tcW w:w="1245" w:type="dxa"/>
            <w:tcBorders>
              <w:top w:val="nil"/>
              <w:left w:val="nil"/>
              <w:bottom w:val="single" w:sz="4" w:space="0" w:color="auto"/>
              <w:right w:val="single" w:sz="4" w:space="0" w:color="auto"/>
            </w:tcBorders>
            <w:shd w:val="clear" w:color="auto" w:fill="auto"/>
            <w:noWrap/>
            <w:vAlign w:val="bottom"/>
          </w:tcPr>
          <w:p w14:paraId="1E2DA439" w14:textId="77777777" w:rsidR="00F63B55" w:rsidRPr="00BE7306" w:rsidRDefault="00F63B55" w:rsidP="005B247C">
            <w:pPr>
              <w:widowControl/>
              <w:jc w:val="right"/>
              <w:rPr>
                <w:color w:val="000000"/>
              </w:rPr>
            </w:pPr>
          </w:p>
        </w:tc>
        <w:tc>
          <w:tcPr>
            <w:tcW w:w="1646" w:type="dxa"/>
            <w:tcBorders>
              <w:top w:val="nil"/>
              <w:left w:val="nil"/>
              <w:bottom w:val="single" w:sz="4" w:space="0" w:color="auto"/>
              <w:right w:val="single" w:sz="4" w:space="0" w:color="auto"/>
            </w:tcBorders>
            <w:shd w:val="clear" w:color="auto" w:fill="auto"/>
            <w:noWrap/>
            <w:vAlign w:val="bottom"/>
          </w:tcPr>
          <w:p w14:paraId="5801CE6F" w14:textId="48CB777E" w:rsidR="00F63B55" w:rsidRPr="00BE7306" w:rsidRDefault="00F63B55" w:rsidP="00C03C9F">
            <w:pPr>
              <w:widowControl/>
              <w:jc w:val="right"/>
              <w:rPr>
                <w:color w:val="000000"/>
              </w:rPr>
            </w:pPr>
            <w:r w:rsidRPr="00BE7306">
              <w:rPr>
                <w:color w:val="000000"/>
              </w:rPr>
              <w:t>$</w:t>
            </w:r>
            <w:r w:rsidR="00C03C9F">
              <w:rPr>
                <w:color w:val="000000"/>
              </w:rPr>
              <w:t>7</w:t>
            </w:r>
            <w:r w:rsidR="00B36465">
              <w:rPr>
                <w:color w:val="000000"/>
              </w:rPr>
              <w:t>,</w:t>
            </w:r>
            <w:r w:rsidR="00C03C9F">
              <w:rPr>
                <w:color w:val="000000"/>
              </w:rPr>
              <w:t>160</w:t>
            </w:r>
          </w:p>
        </w:tc>
      </w:tr>
      <w:tr w:rsidR="00F63B55" w:rsidRPr="00BE7306" w14:paraId="5464BCEF" w14:textId="77777777" w:rsidTr="005B247C">
        <w:trPr>
          <w:trHeight w:val="23"/>
          <w:jc w:val="center"/>
        </w:trPr>
        <w:tc>
          <w:tcPr>
            <w:tcW w:w="6459" w:type="dxa"/>
            <w:tcBorders>
              <w:top w:val="nil"/>
              <w:left w:val="single" w:sz="4" w:space="0" w:color="auto"/>
              <w:bottom w:val="single" w:sz="4" w:space="0" w:color="auto"/>
              <w:right w:val="single" w:sz="4" w:space="0" w:color="auto"/>
            </w:tcBorders>
            <w:shd w:val="clear" w:color="auto" w:fill="auto"/>
            <w:noWrap/>
            <w:vAlign w:val="bottom"/>
          </w:tcPr>
          <w:p w14:paraId="79BF983D" w14:textId="77777777" w:rsidR="00F63B55" w:rsidRPr="00BE7306" w:rsidRDefault="00F63B55" w:rsidP="005B247C">
            <w:pPr>
              <w:widowControl/>
              <w:rPr>
                <w:color w:val="000000"/>
              </w:rPr>
            </w:pPr>
            <w:r w:rsidRPr="00BE7306">
              <w:rPr>
                <w:color w:val="000000"/>
              </w:rPr>
              <w:t>Annua</w:t>
            </w:r>
            <w:r>
              <w:rPr>
                <w:color w:val="000000"/>
              </w:rPr>
              <w:t>l Cost of Support Staff, GS 6, S</w:t>
            </w:r>
            <w:r w:rsidRPr="00BE7306">
              <w:rPr>
                <w:color w:val="000000"/>
              </w:rPr>
              <w:t xml:space="preserve">tep 6 </w:t>
            </w:r>
          </w:p>
        </w:tc>
        <w:tc>
          <w:tcPr>
            <w:tcW w:w="1245" w:type="dxa"/>
            <w:tcBorders>
              <w:top w:val="nil"/>
              <w:left w:val="nil"/>
              <w:bottom w:val="single" w:sz="4" w:space="0" w:color="auto"/>
              <w:right w:val="single" w:sz="4" w:space="0" w:color="auto"/>
            </w:tcBorders>
            <w:shd w:val="clear" w:color="auto" w:fill="auto"/>
            <w:noWrap/>
            <w:vAlign w:val="bottom"/>
          </w:tcPr>
          <w:p w14:paraId="46406461" w14:textId="1999DD0B" w:rsidR="00C03C9F" w:rsidRPr="00BE7306" w:rsidRDefault="00F63B55" w:rsidP="00C03C9F">
            <w:pPr>
              <w:widowControl/>
              <w:jc w:val="right"/>
              <w:rPr>
                <w:color w:val="000000"/>
              </w:rPr>
            </w:pPr>
            <w:r w:rsidRPr="00BE7306">
              <w:rPr>
                <w:color w:val="000000"/>
              </w:rPr>
              <w:t>$</w:t>
            </w:r>
            <w:r w:rsidR="00C03C9F">
              <w:rPr>
                <w:color w:val="000000"/>
              </w:rPr>
              <w:t>37</w:t>
            </w:r>
            <w:r w:rsidR="00B36465">
              <w:rPr>
                <w:color w:val="000000"/>
              </w:rPr>
              <w:t>,</w:t>
            </w:r>
            <w:r w:rsidR="00C03C9F">
              <w:rPr>
                <w:color w:val="000000"/>
              </w:rPr>
              <w:t>124</w:t>
            </w:r>
          </w:p>
        </w:tc>
        <w:tc>
          <w:tcPr>
            <w:tcW w:w="1646" w:type="dxa"/>
            <w:tcBorders>
              <w:top w:val="nil"/>
              <w:left w:val="nil"/>
              <w:bottom w:val="single" w:sz="4" w:space="0" w:color="auto"/>
              <w:right w:val="single" w:sz="4" w:space="0" w:color="auto"/>
            </w:tcBorders>
            <w:shd w:val="clear" w:color="auto" w:fill="auto"/>
            <w:noWrap/>
            <w:vAlign w:val="bottom"/>
          </w:tcPr>
          <w:p w14:paraId="2F57BFC5" w14:textId="77777777" w:rsidR="00F63B55" w:rsidRPr="00BE7306" w:rsidRDefault="00F63B55" w:rsidP="005B247C">
            <w:pPr>
              <w:widowControl/>
              <w:jc w:val="right"/>
              <w:rPr>
                <w:color w:val="000000"/>
              </w:rPr>
            </w:pPr>
          </w:p>
        </w:tc>
      </w:tr>
      <w:tr w:rsidR="00F63B55" w:rsidRPr="00BE7306" w14:paraId="6DF173AA" w14:textId="77777777" w:rsidTr="005B247C">
        <w:trPr>
          <w:trHeight w:val="23"/>
          <w:jc w:val="center"/>
        </w:trPr>
        <w:tc>
          <w:tcPr>
            <w:tcW w:w="6459" w:type="dxa"/>
            <w:tcBorders>
              <w:top w:val="nil"/>
              <w:left w:val="single" w:sz="4" w:space="0" w:color="auto"/>
              <w:bottom w:val="single" w:sz="4" w:space="0" w:color="auto"/>
              <w:right w:val="single" w:sz="4" w:space="0" w:color="auto"/>
            </w:tcBorders>
            <w:shd w:val="clear" w:color="auto" w:fill="auto"/>
            <w:noWrap/>
            <w:vAlign w:val="bottom"/>
          </w:tcPr>
          <w:p w14:paraId="37B10AE5" w14:textId="77777777" w:rsidR="00F63B55" w:rsidRPr="00BE7306" w:rsidRDefault="00F63B55" w:rsidP="005B247C">
            <w:pPr>
              <w:widowControl/>
              <w:rPr>
                <w:color w:val="000000"/>
              </w:rPr>
            </w:pPr>
            <w:r w:rsidRPr="00BE7306">
              <w:rPr>
                <w:color w:val="000000"/>
              </w:rPr>
              <w:t>Factor (1/8)</w:t>
            </w:r>
          </w:p>
        </w:tc>
        <w:tc>
          <w:tcPr>
            <w:tcW w:w="1245" w:type="dxa"/>
            <w:tcBorders>
              <w:top w:val="nil"/>
              <w:left w:val="nil"/>
              <w:bottom w:val="single" w:sz="4" w:space="0" w:color="auto"/>
              <w:right w:val="single" w:sz="4" w:space="0" w:color="auto"/>
            </w:tcBorders>
            <w:shd w:val="clear" w:color="auto" w:fill="auto"/>
            <w:noWrap/>
            <w:vAlign w:val="bottom"/>
          </w:tcPr>
          <w:p w14:paraId="1DFBC684" w14:textId="77777777" w:rsidR="00F63B55" w:rsidRPr="00BE7306" w:rsidRDefault="00F63B55" w:rsidP="005B247C">
            <w:pPr>
              <w:widowControl/>
              <w:jc w:val="right"/>
              <w:rPr>
                <w:color w:val="000000"/>
              </w:rPr>
            </w:pPr>
            <w:r w:rsidRPr="00BE7306">
              <w:rPr>
                <w:color w:val="000000"/>
              </w:rPr>
              <w:t>0.13</w:t>
            </w:r>
          </w:p>
        </w:tc>
        <w:tc>
          <w:tcPr>
            <w:tcW w:w="1646" w:type="dxa"/>
            <w:tcBorders>
              <w:top w:val="nil"/>
              <w:left w:val="nil"/>
              <w:bottom w:val="single" w:sz="4" w:space="0" w:color="auto"/>
              <w:right w:val="single" w:sz="4" w:space="0" w:color="auto"/>
            </w:tcBorders>
            <w:shd w:val="clear" w:color="auto" w:fill="auto"/>
            <w:noWrap/>
            <w:vAlign w:val="bottom"/>
          </w:tcPr>
          <w:p w14:paraId="5EFB68D4" w14:textId="77777777" w:rsidR="00F63B55" w:rsidRPr="00BE7306" w:rsidRDefault="00F63B55" w:rsidP="005B247C">
            <w:pPr>
              <w:widowControl/>
              <w:jc w:val="right"/>
              <w:rPr>
                <w:color w:val="000000"/>
              </w:rPr>
            </w:pPr>
          </w:p>
        </w:tc>
      </w:tr>
      <w:tr w:rsidR="00F63B55" w:rsidRPr="00BE7306" w14:paraId="2F61AA7B" w14:textId="77777777" w:rsidTr="005B247C">
        <w:trPr>
          <w:trHeight w:val="23"/>
          <w:jc w:val="center"/>
        </w:trPr>
        <w:tc>
          <w:tcPr>
            <w:tcW w:w="6459" w:type="dxa"/>
            <w:tcBorders>
              <w:top w:val="nil"/>
              <w:left w:val="single" w:sz="4" w:space="0" w:color="auto"/>
              <w:bottom w:val="single" w:sz="4" w:space="0" w:color="auto"/>
              <w:right w:val="single" w:sz="4" w:space="0" w:color="auto"/>
            </w:tcBorders>
            <w:shd w:val="clear" w:color="auto" w:fill="auto"/>
            <w:noWrap/>
            <w:vAlign w:val="bottom"/>
          </w:tcPr>
          <w:p w14:paraId="62EF3B1D" w14:textId="77777777" w:rsidR="00F63B55" w:rsidRPr="00BE7306" w:rsidRDefault="00F63B55" w:rsidP="005B247C">
            <w:pPr>
              <w:widowControl/>
              <w:rPr>
                <w:color w:val="000000"/>
              </w:rPr>
            </w:pPr>
          </w:p>
        </w:tc>
        <w:tc>
          <w:tcPr>
            <w:tcW w:w="1245" w:type="dxa"/>
            <w:tcBorders>
              <w:top w:val="nil"/>
              <w:left w:val="nil"/>
              <w:bottom w:val="single" w:sz="4" w:space="0" w:color="auto"/>
              <w:right w:val="single" w:sz="4" w:space="0" w:color="auto"/>
            </w:tcBorders>
            <w:shd w:val="clear" w:color="auto" w:fill="auto"/>
            <w:noWrap/>
            <w:vAlign w:val="bottom"/>
          </w:tcPr>
          <w:p w14:paraId="0EBBB934" w14:textId="77777777" w:rsidR="00F63B55" w:rsidRPr="00BE7306" w:rsidRDefault="00F63B55" w:rsidP="005B247C">
            <w:pPr>
              <w:widowControl/>
              <w:jc w:val="right"/>
              <w:rPr>
                <w:color w:val="000000"/>
              </w:rPr>
            </w:pPr>
          </w:p>
        </w:tc>
        <w:tc>
          <w:tcPr>
            <w:tcW w:w="1646" w:type="dxa"/>
            <w:tcBorders>
              <w:top w:val="nil"/>
              <w:left w:val="nil"/>
              <w:bottom w:val="single" w:sz="4" w:space="0" w:color="auto"/>
              <w:right w:val="single" w:sz="4" w:space="0" w:color="auto"/>
            </w:tcBorders>
            <w:shd w:val="clear" w:color="auto" w:fill="auto"/>
            <w:noWrap/>
            <w:vAlign w:val="bottom"/>
          </w:tcPr>
          <w:p w14:paraId="52BCC86C" w14:textId="2FECA8B8" w:rsidR="00F63B55" w:rsidRPr="00BE7306" w:rsidRDefault="00F63B55" w:rsidP="00C03C9F">
            <w:pPr>
              <w:widowControl/>
              <w:jc w:val="right"/>
              <w:rPr>
                <w:color w:val="000000"/>
              </w:rPr>
            </w:pPr>
            <w:r w:rsidRPr="00BE7306">
              <w:rPr>
                <w:color w:val="000000"/>
              </w:rPr>
              <w:t>$</w:t>
            </w:r>
            <w:r w:rsidR="00C03C9F">
              <w:rPr>
                <w:color w:val="000000"/>
              </w:rPr>
              <w:t>4</w:t>
            </w:r>
            <w:r w:rsidR="00B36465">
              <w:rPr>
                <w:color w:val="000000"/>
              </w:rPr>
              <w:t>,</w:t>
            </w:r>
            <w:r w:rsidR="00C03C9F">
              <w:rPr>
                <w:color w:val="000000"/>
              </w:rPr>
              <w:t>826</w:t>
            </w:r>
          </w:p>
        </w:tc>
      </w:tr>
      <w:tr w:rsidR="00F63B55" w:rsidRPr="00BE7306" w14:paraId="49EA7BBD" w14:textId="77777777" w:rsidTr="005B247C">
        <w:trPr>
          <w:trHeight w:val="23"/>
          <w:jc w:val="center"/>
        </w:trPr>
        <w:tc>
          <w:tcPr>
            <w:tcW w:w="6459" w:type="dxa"/>
            <w:tcBorders>
              <w:top w:val="nil"/>
              <w:left w:val="single" w:sz="4" w:space="0" w:color="auto"/>
              <w:bottom w:val="single" w:sz="4" w:space="0" w:color="auto"/>
              <w:right w:val="single" w:sz="4" w:space="0" w:color="auto"/>
            </w:tcBorders>
            <w:shd w:val="clear" w:color="auto" w:fill="auto"/>
            <w:noWrap/>
            <w:vAlign w:val="bottom"/>
          </w:tcPr>
          <w:p w14:paraId="50D602F4" w14:textId="77777777" w:rsidR="00F63B55" w:rsidRPr="00BE7306" w:rsidRDefault="00F63B55" w:rsidP="005B247C">
            <w:pPr>
              <w:widowControl/>
              <w:rPr>
                <w:color w:val="000000"/>
              </w:rPr>
            </w:pPr>
            <w:r w:rsidRPr="00BE7306">
              <w:rPr>
                <w:color w:val="000000"/>
              </w:rPr>
              <w:t xml:space="preserve">Annual Applicable Salary of Permit Staff </w:t>
            </w:r>
          </w:p>
        </w:tc>
        <w:tc>
          <w:tcPr>
            <w:tcW w:w="1245" w:type="dxa"/>
            <w:tcBorders>
              <w:top w:val="nil"/>
              <w:left w:val="nil"/>
              <w:bottom w:val="single" w:sz="4" w:space="0" w:color="auto"/>
              <w:right w:val="single" w:sz="4" w:space="0" w:color="auto"/>
            </w:tcBorders>
            <w:shd w:val="clear" w:color="auto" w:fill="auto"/>
            <w:noWrap/>
            <w:vAlign w:val="bottom"/>
          </w:tcPr>
          <w:p w14:paraId="3D3C356A" w14:textId="77777777" w:rsidR="00F63B55" w:rsidRPr="00BE7306" w:rsidRDefault="00F63B55" w:rsidP="005B247C">
            <w:pPr>
              <w:widowControl/>
              <w:jc w:val="right"/>
              <w:rPr>
                <w:color w:val="000000"/>
              </w:rPr>
            </w:pPr>
          </w:p>
        </w:tc>
        <w:tc>
          <w:tcPr>
            <w:tcW w:w="1646" w:type="dxa"/>
            <w:tcBorders>
              <w:top w:val="nil"/>
              <w:left w:val="nil"/>
              <w:bottom w:val="single" w:sz="4" w:space="0" w:color="auto"/>
              <w:right w:val="single" w:sz="4" w:space="0" w:color="auto"/>
            </w:tcBorders>
            <w:shd w:val="clear" w:color="auto" w:fill="auto"/>
            <w:noWrap/>
            <w:vAlign w:val="bottom"/>
          </w:tcPr>
          <w:p w14:paraId="49D9F721" w14:textId="13BF5344" w:rsidR="00F63B55" w:rsidRPr="00BE7306" w:rsidRDefault="00B36465" w:rsidP="005B247C">
            <w:pPr>
              <w:widowControl/>
              <w:jc w:val="right"/>
              <w:rPr>
                <w:color w:val="000000"/>
              </w:rPr>
            </w:pPr>
            <w:r>
              <w:rPr>
                <w:color w:val="000000"/>
              </w:rPr>
              <w:t>$</w:t>
            </w:r>
            <w:r w:rsidR="00C03C9F">
              <w:rPr>
                <w:color w:val="000000"/>
              </w:rPr>
              <w:t>67</w:t>
            </w:r>
            <w:r>
              <w:rPr>
                <w:color w:val="000000"/>
              </w:rPr>
              <w:t>,</w:t>
            </w:r>
            <w:r w:rsidR="00C03C9F">
              <w:rPr>
                <w:color w:val="000000"/>
              </w:rPr>
              <w:t>803</w:t>
            </w:r>
          </w:p>
        </w:tc>
      </w:tr>
      <w:tr w:rsidR="00F63B55" w:rsidRPr="00BE7306" w14:paraId="248F2B2B" w14:textId="77777777" w:rsidTr="005B247C">
        <w:trPr>
          <w:trHeight w:val="23"/>
          <w:jc w:val="center"/>
        </w:trPr>
        <w:tc>
          <w:tcPr>
            <w:tcW w:w="6459" w:type="dxa"/>
            <w:tcBorders>
              <w:top w:val="nil"/>
              <w:left w:val="single" w:sz="4" w:space="0" w:color="auto"/>
              <w:bottom w:val="single" w:sz="4" w:space="0" w:color="auto"/>
              <w:right w:val="single" w:sz="4" w:space="0" w:color="auto"/>
            </w:tcBorders>
            <w:shd w:val="clear" w:color="auto" w:fill="auto"/>
            <w:noWrap/>
            <w:vAlign w:val="bottom"/>
          </w:tcPr>
          <w:p w14:paraId="4399D7D4" w14:textId="77777777" w:rsidR="00F63B55" w:rsidRPr="00BE7306" w:rsidRDefault="00F63B55" w:rsidP="005B247C">
            <w:pPr>
              <w:widowControl/>
              <w:rPr>
                <w:color w:val="000000"/>
              </w:rPr>
            </w:pPr>
            <w:r w:rsidRPr="00BE7306">
              <w:rPr>
                <w:color w:val="000000"/>
              </w:rPr>
              <w:t>Benefits</w:t>
            </w:r>
          </w:p>
        </w:tc>
        <w:tc>
          <w:tcPr>
            <w:tcW w:w="1245" w:type="dxa"/>
            <w:tcBorders>
              <w:top w:val="nil"/>
              <w:left w:val="nil"/>
              <w:bottom w:val="single" w:sz="4" w:space="0" w:color="auto"/>
              <w:right w:val="single" w:sz="4" w:space="0" w:color="auto"/>
            </w:tcBorders>
            <w:shd w:val="clear" w:color="auto" w:fill="auto"/>
            <w:noWrap/>
            <w:vAlign w:val="bottom"/>
          </w:tcPr>
          <w:p w14:paraId="7FF9B581" w14:textId="77777777" w:rsidR="00F63B55" w:rsidRPr="00BE7306" w:rsidRDefault="00F63B55" w:rsidP="005B247C">
            <w:pPr>
              <w:widowControl/>
              <w:jc w:val="right"/>
              <w:rPr>
                <w:color w:val="000000"/>
              </w:rPr>
            </w:pPr>
            <w:r w:rsidRPr="00BE7306">
              <w:rPr>
                <w:color w:val="000000"/>
              </w:rPr>
              <w:t>1.6</w:t>
            </w:r>
          </w:p>
        </w:tc>
        <w:tc>
          <w:tcPr>
            <w:tcW w:w="1646" w:type="dxa"/>
            <w:tcBorders>
              <w:top w:val="nil"/>
              <w:left w:val="nil"/>
              <w:bottom w:val="single" w:sz="4" w:space="0" w:color="auto"/>
              <w:right w:val="single" w:sz="4" w:space="0" w:color="auto"/>
            </w:tcBorders>
            <w:shd w:val="clear" w:color="auto" w:fill="auto"/>
            <w:noWrap/>
            <w:vAlign w:val="bottom"/>
          </w:tcPr>
          <w:p w14:paraId="29B51FBC" w14:textId="77777777" w:rsidR="00F63B55" w:rsidRPr="00BE7306" w:rsidRDefault="00F63B55" w:rsidP="005B247C">
            <w:pPr>
              <w:widowControl/>
              <w:jc w:val="right"/>
              <w:rPr>
                <w:color w:val="000000"/>
              </w:rPr>
            </w:pPr>
          </w:p>
        </w:tc>
      </w:tr>
      <w:tr w:rsidR="00F63B55" w:rsidRPr="00BE7306" w14:paraId="424B95AD" w14:textId="77777777" w:rsidTr="005B247C">
        <w:trPr>
          <w:trHeight w:val="23"/>
          <w:jc w:val="center"/>
        </w:trPr>
        <w:tc>
          <w:tcPr>
            <w:tcW w:w="6459" w:type="dxa"/>
            <w:tcBorders>
              <w:top w:val="nil"/>
              <w:left w:val="single" w:sz="4" w:space="0" w:color="auto"/>
              <w:bottom w:val="single" w:sz="4" w:space="0" w:color="auto"/>
              <w:right w:val="single" w:sz="4" w:space="0" w:color="auto"/>
            </w:tcBorders>
            <w:shd w:val="clear" w:color="auto" w:fill="auto"/>
            <w:noWrap/>
            <w:vAlign w:val="bottom"/>
          </w:tcPr>
          <w:p w14:paraId="2377C91E" w14:textId="77777777" w:rsidR="00F63B55" w:rsidRPr="00BE7306" w:rsidRDefault="00F63B55" w:rsidP="005B247C">
            <w:pPr>
              <w:widowControl/>
              <w:rPr>
                <w:color w:val="000000"/>
              </w:rPr>
            </w:pPr>
            <w:r w:rsidRPr="00BE7306">
              <w:rPr>
                <w:color w:val="000000"/>
              </w:rPr>
              <w:t xml:space="preserve">Total Cost per FTE </w:t>
            </w:r>
          </w:p>
        </w:tc>
        <w:tc>
          <w:tcPr>
            <w:tcW w:w="1245" w:type="dxa"/>
            <w:tcBorders>
              <w:top w:val="nil"/>
              <w:left w:val="nil"/>
              <w:bottom w:val="single" w:sz="4" w:space="0" w:color="auto"/>
              <w:right w:val="single" w:sz="4" w:space="0" w:color="auto"/>
            </w:tcBorders>
            <w:shd w:val="clear" w:color="auto" w:fill="auto"/>
            <w:noWrap/>
            <w:vAlign w:val="bottom"/>
          </w:tcPr>
          <w:p w14:paraId="456B5C17" w14:textId="77777777" w:rsidR="00F63B55" w:rsidRPr="00BE7306" w:rsidRDefault="00F63B55" w:rsidP="005B247C">
            <w:pPr>
              <w:widowControl/>
              <w:jc w:val="right"/>
              <w:rPr>
                <w:color w:val="000000"/>
              </w:rPr>
            </w:pPr>
          </w:p>
        </w:tc>
        <w:tc>
          <w:tcPr>
            <w:tcW w:w="1646" w:type="dxa"/>
            <w:tcBorders>
              <w:top w:val="nil"/>
              <w:left w:val="nil"/>
              <w:bottom w:val="single" w:sz="4" w:space="0" w:color="auto"/>
              <w:right w:val="single" w:sz="4" w:space="0" w:color="auto"/>
            </w:tcBorders>
            <w:shd w:val="clear" w:color="auto" w:fill="auto"/>
            <w:noWrap/>
            <w:vAlign w:val="bottom"/>
          </w:tcPr>
          <w:p w14:paraId="42B8B02D" w14:textId="012D5DCB" w:rsidR="00F63B55" w:rsidRPr="00BE7306" w:rsidRDefault="00F63B55" w:rsidP="00C03C9F">
            <w:pPr>
              <w:widowControl/>
              <w:jc w:val="right"/>
              <w:rPr>
                <w:color w:val="000000"/>
              </w:rPr>
            </w:pPr>
            <w:r w:rsidRPr="00BE7306">
              <w:rPr>
                <w:color w:val="000000"/>
              </w:rPr>
              <w:t>$</w:t>
            </w:r>
            <w:r w:rsidR="00C03C9F">
              <w:rPr>
                <w:color w:val="000000"/>
              </w:rPr>
              <w:t>108</w:t>
            </w:r>
            <w:r w:rsidR="00B36465">
              <w:rPr>
                <w:color w:val="000000"/>
              </w:rPr>
              <w:t>,</w:t>
            </w:r>
            <w:r w:rsidR="00C03C9F">
              <w:rPr>
                <w:color w:val="000000"/>
              </w:rPr>
              <w:t>489</w:t>
            </w:r>
          </w:p>
        </w:tc>
      </w:tr>
      <w:tr w:rsidR="00F63B55" w:rsidRPr="00BE7306" w14:paraId="6AE13C4D" w14:textId="77777777" w:rsidTr="005B247C">
        <w:trPr>
          <w:trHeight w:val="23"/>
          <w:jc w:val="center"/>
        </w:trPr>
        <w:tc>
          <w:tcPr>
            <w:tcW w:w="6459" w:type="dxa"/>
            <w:tcBorders>
              <w:top w:val="nil"/>
              <w:left w:val="single" w:sz="4" w:space="0" w:color="auto"/>
              <w:bottom w:val="single" w:sz="4" w:space="0" w:color="auto"/>
              <w:right w:val="single" w:sz="4" w:space="0" w:color="auto"/>
            </w:tcBorders>
            <w:shd w:val="clear" w:color="auto" w:fill="auto"/>
            <w:vAlign w:val="bottom"/>
          </w:tcPr>
          <w:p w14:paraId="68B9D3D4" w14:textId="77777777" w:rsidR="00F63B55" w:rsidRPr="00BE7306" w:rsidRDefault="00F63B55" w:rsidP="005B247C">
            <w:pPr>
              <w:widowControl/>
              <w:rPr>
                <w:color w:val="000000"/>
              </w:rPr>
            </w:pPr>
            <w:r w:rsidRPr="00BE7306">
              <w:rPr>
                <w:color w:val="000000"/>
              </w:rPr>
              <w:t>Total Hourly Cost (total per FTE dividend divided by 2,080 hours per year)</w:t>
            </w:r>
          </w:p>
        </w:tc>
        <w:tc>
          <w:tcPr>
            <w:tcW w:w="1245" w:type="dxa"/>
            <w:tcBorders>
              <w:top w:val="nil"/>
              <w:left w:val="nil"/>
              <w:bottom w:val="single" w:sz="4" w:space="0" w:color="auto"/>
              <w:right w:val="single" w:sz="4" w:space="0" w:color="auto"/>
            </w:tcBorders>
            <w:shd w:val="clear" w:color="auto" w:fill="auto"/>
            <w:noWrap/>
            <w:vAlign w:val="bottom"/>
          </w:tcPr>
          <w:p w14:paraId="3C005EE2" w14:textId="77777777" w:rsidR="00F63B55" w:rsidRPr="00BE7306" w:rsidRDefault="00F63B55" w:rsidP="005B247C">
            <w:pPr>
              <w:widowControl/>
              <w:jc w:val="right"/>
              <w:rPr>
                <w:color w:val="000000"/>
              </w:rPr>
            </w:pPr>
          </w:p>
        </w:tc>
        <w:tc>
          <w:tcPr>
            <w:tcW w:w="1646" w:type="dxa"/>
            <w:tcBorders>
              <w:top w:val="nil"/>
              <w:left w:val="nil"/>
              <w:bottom w:val="single" w:sz="4" w:space="0" w:color="auto"/>
              <w:right w:val="single" w:sz="4" w:space="0" w:color="auto"/>
            </w:tcBorders>
            <w:shd w:val="clear" w:color="auto" w:fill="auto"/>
            <w:noWrap/>
            <w:vAlign w:val="bottom"/>
          </w:tcPr>
          <w:p w14:paraId="7544C908" w14:textId="29E1408A" w:rsidR="00F63B55" w:rsidRPr="00BE7306" w:rsidRDefault="00F63B55" w:rsidP="00C03C9F">
            <w:pPr>
              <w:widowControl/>
              <w:jc w:val="right"/>
              <w:rPr>
                <w:color w:val="000000"/>
              </w:rPr>
            </w:pPr>
            <w:r w:rsidRPr="00BE7306">
              <w:rPr>
                <w:color w:val="000000"/>
              </w:rPr>
              <w:t>$</w:t>
            </w:r>
            <w:r w:rsidR="00C03C9F">
              <w:rPr>
                <w:color w:val="000000"/>
              </w:rPr>
              <w:t>52.16</w:t>
            </w:r>
          </w:p>
        </w:tc>
      </w:tr>
    </w:tbl>
    <w:p w14:paraId="5DD354AD" w14:textId="77777777" w:rsidR="00F63B55" w:rsidRDefault="00F63B55" w:rsidP="00BD387B">
      <w:pPr>
        <w:widowControl/>
        <w:rPr>
          <w:b/>
          <w:bCs/>
          <w:szCs w:val="24"/>
        </w:rPr>
      </w:pPr>
    </w:p>
    <w:p w14:paraId="0F6450AF" w14:textId="77777777" w:rsidR="00D759B9" w:rsidRDefault="00D759B9" w:rsidP="00BD387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16780944" w14:textId="77777777" w:rsidR="005B5D60" w:rsidRDefault="005B5D60" w:rsidP="005B5D60">
      <w:pPr>
        <w:keepNext/>
        <w:widowControl/>
        <w:ind w:left="360"/>
        <w:rPr>
          <w:sz w:val="24"/>
          <w:szCs w:val="24"/>
        </w:rPr>
      </w:pPr>
      <w:r>
        <w:rPr>
          <w:rStyle w:val="2ndtier1"/>
          <w:sz w:val="24"/>
          <w:szCs w:val="24"/>
        </w:rPr>
        <w:t xml:space="preserve">6(b) Estimating Respondent Burden for </w:t>
      </w:r>
      <w:r w:rsidR="00931B38">
        <w:rPr>
          <w:rStyle w:val="2ndtier1"/>
          <w:sz w:val="24"/>
          <w:szCs w:val="24"/>
        </w:rPr>
        <w:t xml:space="preserve">Affected </w:t>
      </w:r>
      <w:r>
        <w:rPr>
          <w:rStyle w:val="2ndtier1"/>
          <w:sz w:val="24"/>
          <w:szCs w:val="24"/>
        </w:rPr>
        <w:t xml:space="preserve">NBP Units  </w:t>
      </w:r>
    </w:p>
    <w:p w14:paraId="16083851" w14:textId="77777777" w:rsidR="005B5D60" w:rsidRDefault="005B5D60" w:rsidP="00BD387B">
      <w:pPr>
        <w:widowControl/>
        <w:rPr>
          <w:szCs w:val="22"/>
          <w:vertAlign w:val="superscript"/>
        </w:rPr>
      </w:pPr>
    </w:p>
    <w:p w14:paraId="54654142" w14:textId="77777777" w:rsidR="00D759B9" w:rsidRDefault="00D759B9" w:rsidP="00EE4654">
      <w:pPr>
        <w:pStyle w:val="NormalWeb"/>
        <w:spacing w:before="0" w:beforeAutospacing="0" w:after="0" w:afterAutospacing="0"/>
        <w:ind w:firstLine="720"/>
      </w:pPr>
      <w:r>
        <w:t>This section estimates the paperwork burden and cost of submitting monitoring plans, obtaining certification of each monitoring system, conducting monitor quality assurance activities, and recording and reporting data from CEM systems (or approved alternatives), and other ancillary activities (such as responding to EPA generated error messages, or responding to EPA audits).</w:t>
      </w:r>
      <w:r w:rsidR="00DD1105">
        <w:t xml:space="preserve">  This applies to the </w:t>
      </w:r>
      <w:r w:rsidR="00440A8B">
        <w:t xml:space="preserve">affected </w:t>
      </w:r>
      <w:r w:rsidR="00DD1105">
        <w:t xml:space="preserve">units that continue to monitor in accordance with Part 75 under the </w:t>
      </w:r>
      <w:r w:rsidR="003D452F">
        <w:t>NO</w:t>
      </w:r>
      <w:r w:rsidR="003D452F" w:rsidRPr="00C23056">
        <w:rPr>
          <w:vertAlign w:val="subscript"/>
        </w:rPr>
        <w:t>x</w:t>
      </w:r>
      <w:r w:rsidR="00DD1105">
        <w:t xml:space="preserve"> SIP Call.</w:t>
      </w:r>
    </w:p>
    <w:p w14:paraId="4B8565E8" w14:textId="77777777" w:rsidR="00D759B9" w:rsidRDefault="00D759B9" w:rsidP="00EE4654">
      <w:pPr>
        <w:widowControl/>
        <w:rPr>
          <w:sz w:val="24"/>
          <w:szCs w:val="24"/>
        </w:rPr>
      </w:pPr>
    </w:p>
    <w:p w14:paraId="57A34275" w14:textId="54138D31" w:rsidR="00D759B9" w:rsidRDefault="00D759B9" w:rsidP="00EE4654">
      <w:pPr>
        <w:pStyle w:val="NormalWeb"/>
        <w:spacing w:before="0" w:beforeAutospacing="0" w:after="0" w:afterAutospacing="0"/>
        <w:ind w:firstLine="720"/>
      </w:pPr>
      <w:r>
        <w:t>To estimate the burden and/or cost, EPA has relied on the estimates included in the most recent Acid Rain Program ICR</w:t>
      </w:r>
      <w:r w:rsidR="00E76AB1">
        <w:t xml:space="preserve"> (OMB Control Number 2060-0258)</w:t>
      </w:r>
      <w:r>
        <w:t xml:space="preserve"> renewal for labor hour estimates of each activity. </w:t>
      </w:r>
      <w:r w:rsidR="007148F9">
        <w:t xml:space="preserve"> </w:t>
      </w:r>
      <w:r>
        <w:t xml:space="preserve">In addition, the hourly labor rates for managerial, </w:t>
      </w:r>
      <w:r w:rsidR="007148F9">
        <w:t>technical,</w:t>
      </w:r>
      <w:r>
        <w:t xml:space="preserve"> and clerical staff reflect the </w:t>
      </w:r>
      <w:r w:rsidR="007A3BC1">
        <w:t xml:space="preserve">2012 </w:t>
      </w:r>
      <w:r>
        <w:t xml:space="preserve">labor rates used in the </w:t>
      </w:r>
      <w:r w:rsidR="007A3BC1">
        <w:t xml:space="preserve">previous </w:t>
      </w:r>
      <w:r>
        <w:t>ICR</w:t>
      </w:r>
      <w:r w:rsidR="00545EB5">
        <w:t xml:space="preserve"> </w:t>
      </w:r>
      <w:r w:rsidR="00ED5666">
        <w:t>adjusted to 201</w:t>
      </w:r>
      <w:r w:rsidR="007A3BC1">
        <w:t>7</w:t>
      </w:r>
      <w:r w:rsidR="00ED5666">
        <w:t xml:space="preserve"> dollars </w:t>
      </w:r>
      <w:r>
        <w:t>consistent with Agency ICR guidance.</w:t>
      </w:r>
    </w:p>
    <w:p w14:paraId="2D395FCB" w14:textId="77777777" w:rsidR="00D759B9" w:rsidRDefault="00D759B9" w:rsidP="00EE4654">
      <w:pPr>
        <w:widowControl/>
        <w:rPr>
          <w:sz w:val="24"/>
          <w:szCs w:val="24"/>
        </w:rPr>
      </w:pPr>
    </w:p>
    <w:p w14:paraId="0D1CA7B2" w14:textId="77777777" w:rsidR="00D759B9" w:rsidRDefault="00D759B9" w:rsidP="00EE4654">
      <w:pPr>
        <w:pStyle w:val="NormalWeb"/>
        <w:spacing w:before="0" w:beforeAutospacing="0" w:after="0" w:afterAutospacing="0"/>
        <w:ind w:firstLine="720"/>
      </w:pPr>
      <w:r>
        <w:t xml:space="preserve">Affected sources are required to complete and submit a monitoring plan and obtain certification of each monitor (on standard forms) for each affected unit at the source. </w:t>
      </w:r>
      <w:r w:rsidR="007148F9">
        <w:t xml:space="preserve"> </w:t>
      </w:r>
      <w:r>
        <w:t xml:space="preserve">These plans and certifications, which are only submitted once, have already been submitted for most units. </w:t>
      </w:r>
      <w:r w:rsidR="007148F9">
        <w:t xml:space="preserve"> </w:t>
      </w:r>
      <w:r>
        <w:t xml:space="preserve">Sources, however, may need to submit revised plans or even recertify if they change some aspect of their existing plan. </w:t>
      </w:r>
      <w:r w:rsidR="003761A2">
        <w:t xml:space="preserve"> </w:t>
      </w:r>
      <w:r>
        <w:t>New units will still need to submit plans and certifications for the first time.</w:t>
      </w:r>
      <w:r w:rsidR="007148F9">
        <w:t xml:space="preserve"> </w:t>
      </w:r>
      <w:r>
        <w:t xml:space="preserve"> In addition, all affected units are required to submit quarterly reports of their emissions data to EPA</w:t>
      </w:r>
      <w:r w:rsidR="003761A2">
        <w:t xml:space="preserve">.  These </w:t>
      </w:r>
      <w:r>
        <w:t>reports include much of the basic monitoring plan data as well.</w:t>
      </w:r>
    </w:p>
    <w:p w14:paraId="1F5A0CF1" w14:textId="77777777" w:rsidR="00EE4654" w:rsidRDefault="00EE4654" w:rsidP="00EE4654">
      <w:pPr>
        <w:pStyle w:val="NormalWeb"/>
        <w:spacing w:before="0" w:beforeAutospacing="0" w:after="0" w:afterAutospacing="0"/>
        <w:ind w:firstLine="720"/>
      </w:pPr>
    </w:p>
    <w:p w14:paraId="5CAF32A5" w14:textId="68ACC05F" w:rsidR="00D759B9" w:rsidRDefault="00D759B9" w:rsidP="00EE4654">
      <w:pPr>
        <w:pStyle w:val="NormalWeb"/>
        <w:spacing w:before="0" w:beforeAutospacing="0" w:after="0" w:afterAutospacing="0"/>
        <w:ind w:firstLine="720"/>
      </w:pPr>
      <w:r>
        <w:t xml:space="preserve">To develop this renewal ICR, EPA relied primarily on the extensive efforts to identify and calculate burdens for the prior two ICR renewals and the </w:t>
      </w:r>
      <w:r w:rsidR="00430AEB">
        <w:t xml:space="preserve">CAIR </w:t>
      </w:r>
      <w:r>
        <w:t>ICR</w:t>
      </w:r>
      <w:r w:rsidR="009C478C">
        <w:t xml:space="preserve"> (OMB Control Number</w:t>
      </w:r>
      <w:r w:rsidR="00520E77">
        <w:t xml:space="preserve"> 2060-0570</w:t>
      </w:r>
      <w:r w:rsidR="009C478C">
        <w:t>)</w:t>
      </w:r>
      <w:r>
        <w:t xml:space="preserve">. </w:t>
      </w:r>
    </w:p>
    <w:p w14:paraId="4836CD84" w14:textId="0BE896FD" w:rsidR="00337946" w:rsidRDefault="00337946" w:rsidP="00EE4654">
      <w:pPr>
        <w:pStyle w:val="NormalWeb"/>
        <w:spacing w:before="0" w:beforeAutospacing="0" w:after="0" w:afterAutospacing="0"/>
        <w:rPr>
          <w:rStyle w:val="Strong"/>
        </w:rPr>
      </w:pPr>
    </w:p>
    <w:p w14:paraId="74F5250C" w14:textId="2478F50B" w:rsidR="00860082" w:rsidRDefault="00860082" w:rsidP="00EE4654">
      <w:pPr>
        <w:pStyle w:val="NormalWeb"/>
        <w:spacing w:before="0" w:beforeAutospacing="0" w:after="0" w:afterAutospacing="0"/>
        <w:rPr>
          <w:rStyle w:val="Strong"/>
        </w:rPr>
      </w:pPr>
    </w:p>
    <w:p w14:paraId="4F5D5DEB" w14:textId="6A64EEB5" w:rsidR="00860082" w:rsidRDefault="00860082" w:rsidP="00EE4654">
      <w:pPr>
        <w:pStyle w:val="NormalWeb"/>
        <w:spacing w:before="0" w:beforeAutospacing="0" w:after="0" w:afterAutospacing="0"/>
        <w:rPr>
          <w:rStyle w:val="Strong"/>
        </w:rPr>
      </w:pPr>
    </w:p>
    <w:p w14:paraId="3D267BCF" w14:textId="77777777" w:rsidR="00860082" w:rsidRDefault="00860082" w:rsidP="00EE4654">
      <w:pPr>
        <w:pStyle w:val="NormalWeb"/>
        <w:spacing w:before="0" w:beforeAutospacing="0" w:after="0" w:afterAutospacing="0"/>
        <w:rPr>
          <w:rStyle w:val="Strong"/>
        </w:rPr>
      </w:pPr>
    </w:p>
    <w:p w14:paraId="7977182B" w14:textId="77777777" w:rsidR="00D759B9" w:rsidRDefault="00D759B9" w:rsidP="00EE4654">
      <w:pPr>
        <w:pStyle w:val="NormalWeb"/>
        <w:spacing w:before="0" w:beforeAutospacing="0" w:after="0" w:afterAutospacing="0"/>
        <w:rPr>
          <w:rStyle w:val="Strong"/>
        </w:rPr>
      </w:pPr>
      <w:r>
        <w:rPr>
          <w:rStyle w:val="Strong"/>
        </w:rPr>
        <w:t>Estimating Respondent Burden</w:t>
      </w:r>
    </w:p>
    <w:p w14:paraId="68E713F1" w14:textId="77777777" w:rsidR="00EE4654" w:rsidRDefault="00EE4654" w:rsidP="00EE4654">
      <w:pPr>
        <w:pStyle w:val="NormalWeb"/>
        <w:spacing w:before="0" w:beforeAutospacing="0" w:after="0" w:afterAutospacing="0"/>
      </w:pPr>
    </w:p>
    <w:p w14:paraId="03F4FB2B" w14:textId="77777777" w:rsidR="00D759B9" w:rsidRDefault="00D759B9" w:rsidP="00EE4654">
      <w:pPr>
        <w:pStyle w:val="NormalWeb"/>
        <w:spacing w:before="0" w:beforeAutospacing="0" w:after="0" w:afterAutospacing="0"/>
        <w:ind w:firstLine="720"/>
      </w:pPr>
      <w:r>
        <w:t>The primary tasks performed by owners and operators of affected units are</w:t>
      </w:r>
      <w:r w:rsidR="00EE4654">
        <w:t xml:space="preserve">: </w:t>
      </w:r>
      <w:r>
        <w:t xml:space="preserve"> (1) reviewing the regu</w:t>
      </w:r>
      <w:r w:rsidR="00EE4654">
        <w:t>lations, forms and instructions;</w:t>
      </w:r>
      <w:r>
        <w:t xml:space="preserve"> (2) responding to EPA gene</w:t>
      </w:r>
      <w:r w:rsidR="00EE4654">
        <w:t>rated error messages and audits;</w:t>
      </w:r>
      <w:r>
        <w:t xml:space="preserve"> (3) reprogramming a </w:t>
      </w:r>
      <w:r w:rsidR="00EE4654">
        <w:t>DAHS and debugging the software;</w:t>
      </w:r>
      <w:r>
        <w:t xml:space="preserve"> (4) completing and submitting monitoring pl</w:t>
      </w:r>
      <w:r w:rsidR="00EE4654">
        <w:t>ans for each unit at the source;</w:t>
      </w:r>
      <w:r>
        <w:t xml:space="preserve"> (5) performing appropriate tests and providing test </w:t>
      </w:r>
      <w:r w:rsidR="00EE4654">
        <w:t>results to certify each monitor;</w:t>
      </w:r>
      <w:r>
        <w:t xml:space="preserve"> (6) performing quality assurance testing and maint</w:t>
      </w:r>
      <w:r w:rsidR="00EE4654">
        <w:t>enance upon monitors;</w:t>
      </w:r>
      <w:r>
        <w:t xml:space="preserve"> (7) assuring the quality of emissions data, preparing quarterly reports of emissions data, and submitting reports to EPA; and (8) fuel sampling. </w:t>
      </w:r>
    </w:p>
    <w:p w14:paraId="68544256" w14:textId="77777777" w:rsidR="00EE4654" w:rsidRDefault="00EE4654" w:rsidP="00EE4654">
      <w:pPr>
        <w:pStyle w:val="NormalWeb"/>
        <w:spacing w:before="0" w:beforeAutospacing="0" w:after="0" w:afterAutospacing="0"/>
        <w:ind w:firstLine="720"/>
      </w:pPr>
    </w:p>
    <w:p w14:paraId="0381D368" w14:textId="77777777" w:rsidR="00D759B9" w:rsidRDefault="00D759B9" w:rsidP="00CA6A09">
      <w:pPr>
        <w:pStyle w:val="NormalWeb"/>
        <w:spacing w:before="0" w:beforeAutospacing="0" w:after="0" w:afterAutospacing="0"/>
        <w:ind w:left="720"/>
      </w:pPr>
      <w:r>
        <w:rPr>
          <w:rStyle w:val="Emphasis"/>
        </w:rPr>
        <w:t xml:space="preserve">(i) </w:t>
      </w:r>
      <w:r w:rsidR="00CA6A09">
        <w:rPr>
          <w:rStyle w:val="Emphasis"/>
        </w:rPr>
        <w:t xml:space="preserve"> </w:t>
      </w:r>
      <w:r>
        <w:rPr>
          <w:rStyle w:val="Emphasis"/>
        </w:rPr>
        <w:t>Regulatory Review</w:t>
      </w:r>
      <w:r>
        <w:t xml:space="preserve">. </w:t>
      </w:r>
    </w:p>
    <w:p w14:paraId="2698016B" w14:textId="77777777" w:rsidR="00EE4654" w:rsidRDefault="00EE4654" w:rsidP="00EE4654">
      <w:pPr>
        <w:pStyle w:val="NormalWeb"/>
        <w:spacing w:before="0" w:beforeAutospacing="0" w:after="0" w:afterAutospacing="0"/>
      </w:pPr>
    </w:p>
    <w:p w14:paraId="307B2809" w14:textId="77777777" w:rsidR="00D759B9" w:rsidRDefault="00D759B9" w:rsidP="00EE4654">
      <w:pPr>
        <w:pStyle w:val="NormalWeb"/>
        <w:spacing w:before="0" w:beforeAutospacing="0" w:after="0" w:afterAutospacing="0"/>
        <w:ind w:firstLine="720"/>
      </w:pPr>
      <w:r>
        <w:t>The estimate for time to review instructions and requirements remains consistent with the labor estimates used in previous ICRs (</w:t>
      </w:r>
      <w:r w:rsidR="00EE4654">
        <w:t>four</w:t>
      </w:r>
      <w:r>
        <w:t xml:space="preserve"> manager hours and </w:t>
      </w:r>
      <w:r w:rsidR="00EE4654">
        <w:t>four</w:t>
      </w:r>
      <w:r>
        <w:t xml:space="preserve"> technician hours) where no substantial changes have been made to the Rule.  EPA continues to make available online fully searchable versions of the Part 75 Emissions Monitoring Policy Manual and the </w:t>
      </w:r>
      <w:r w:rsidR="00ED5666" w:rsidRPr="00ED5666">
        <w:t>Emissions Collection and Monitoring Plan System (ECMPS)</w:t>
      </w:r>
      <w:r w:rsidR="00ED5666">
        <w:t xml:space="preserve"> </w:t>
      </w:r>
      <w:r>
        <w:t>Reporting</w:t>
      </w:r>
      <w:r w:rsidR="00545EB5">
        <w:t xml:space="preserve"> </w:t>
      </w:r>
      <w:r>
        <w:t xml:space="preserve">Instructions and </w:t>
      </w:r>
      <w:r w:rsidR="009E581F">
        <w:t>searchable</w:t>
      </w:r>
      <w:r>
        <w:t xml:space="preserve"> version of Part 75.  In addition, EPA in 2005 posted online a text version of its Plain English Guide to Part 75.  </w:t>
      </w:r>
    </w:p>
    <w:p w14:paraId="7FBBA3A7" w14:textId="77777777" w:rsidR="00EE4654" w:rsidRDefault="00EE4654" w:rsidP="00EE4654">
      <w:pPr>
        <w:pStyle w:val="NormalWeb"/>
        <w:spacing w:before="0" w:beforeAutospacing="0" w:after="0" w:afterAutospacing="0"/>
        <w:ind w:firstLine="720"/>
      </w:pPr>
    </w:p>
    <w:p w14:paraId="5C823B52" w14:textId="77777777" w:rsidR="00D759B9" w:rsidRDefault="00D759B9" w:rsidP="00CA6A09">
      <w:pPr>
        <w:pStyle w:val="NormalWeb"/>
        <w:spacing w:before="0" w:beforeAutospacing="0" w:after="0" w:afterAutospacing="0"/>
        <w:ind w:left="720"/>
      </w:pPr>
      <w:r>
        <w:rPr>
          <w:rStyle w:val="Emphasis"/>
        </w:rPr>
        <w:t>(ii)</w:t>
      </w:r>
      <w:r w:rsidR="00CA6A09">
        <w:rPr>
          <w:rStyle w:val="Emphasis"/>
        </w:rPr>
        <w:t xml:space="preserve"> </w:t>
      </w:r>
      <w:r>
        <w:rPr>
          <w:rStyle w:val="Emphasis"/>
        </w:rPr>
        <w:t xml:space="preserve"> Response to Error Messages/Audits</w:t>
      </w:r>
      <w:r>
        <w:t xml:space="preserve">. </w:t>
      </w:r>
    </w:p>
    <w:p w14:paraId="0B2AAA29" w14:textId="77777777" w:rsidR="00EE4654" w:rsidRDefault="00EE4654" w:rsidP="00EE4654">
      <w:pPr>
        <w:pStyle w:val="NormalWeb"/>
        <w:spacing w:before="0" w:beforeAutospacing="0" w:after="0" w:afterAutospacing="0"/>
      </w:pPr>
    </w:p>
    <w:p w14:paraId="7ECE938C" w14:textId="77777777" w:rsidR="00D759B9" w:rsidRDefault="00D759B9" w:rsidP="00EE4654">
      <w:pPr>
        <w:pStyle w:val="NormalWeb"/>
        <w:spacing w:before="0" w:beforeAutospacing="0" w:after="0" w:afterAutospacing="0"/>
        <w:ind w:firstLine="720"/>
      </w:pPr>
      <w:r>
        <w:t xml:space="preserve">The EPA provides feedback to sources so that suspected errors in submissions by sources are noted and corrected. </w:t>
      </w:r>
      <w:r w:rsidR="00EE4654">
        <w:t xml:space="preserve"> </w:t>
      </w:r>
      <w:r>
        <w:t xml:space="preserve">With the use of the </w:t>
      </w:r>
      <w:r w:rsidR="00DD1105">
        <w:t>ECMPS</w:t>
      </w:r>
      <w:r>
        <w:t xml:space="preserve"> software, EPA believes that the burdens for this activity have decreased over time. </w:t>
      </w:r>
      <w:r w:rsidR="00EE4654">
        <w:t xml:space="preserve"> </w:t>
      </w:r>
      <w:r>
        <w:t xml:space="preserve">At the same time, however, EPA has increased its audit oversight and expects to conduct a number of electronic and field audits of facilities over the next few years. </w:t>
      </w:r>
      <w:r w:rsidR="00EE4654">
        <w:t xml:space="preserve"> </w:t>
      </w:r>
      <w:r>
        <w:t xml:space="preserve">In particular, EPA anticipates making significant use of electronic audits as a means to provide continuous data quality improvement. </w:t>
      </w:r>
      <w:r w:rsidR="00EE4654">
        <w:t xml:space="preserve"> </w:t>
      </w:r>
      <w:r>
        <w:t xml:space="preserve">This effort will result in increased burdens for respondents. </w:t>
      </w:r>
    </w:p>
    <w:p w14:paraId="55FF6BF4" w14:textId="77777777" w:rsidR="00951F78" w:rsidRDefault="00951F78" w:rsidP="00EE4654">
      <w:pPr>
        <w:pStyle w:val="NormalWeb"/>
        <w:spacing w:before="0" w:beforeAutospacing="0" w:after="0" w:afterAutospacing="0"/>
        <w:ind w:firstLine="720"/>
      </w:pPr>
    </w:p>
    <w:p w14:paraId="42DD407D" w14:textId="77777777" w:rsidR="00D759B9" w:rsidRDefault="00D759B9" w:rsidP="001A17D4">
      <w:pPr>
        <w:pStyle w:val="NormalWeb"/>
        <w:keepNext/>
        <w:spacing w:before="0" w:beforeAutospacing="0" w:after="0" w:afterAutospacing="0"/>
        <w:ind w:left="720"/>
      </w:pPr>
      <w:r>
        <w:rPr>
          <w:rStyle w:val="Emphasis"/>
        </w:rPr>
        <w:t>(iii)</w:t>
      </w:r>
      <w:r w:rsidR="00CA6A09">
        <w:rPr>
          <w:rStyle w:val="Emphasis"/>
        </w:rPr>
        <w:t xml:space="preserve"> </w:t>
      </w:r>
      <w:r>
        <w:rPr>
          <w:rStyle w:val="Emphasis"/>
        </w:rPr>
        <w:t xml:space="preserve"> DAHS Debugging</w:t>
      </w:r>
      <w:r>
        <w:t>.</w:t>
      </w:r>
    </w:p>
    <w:p w14:paraId="3CFFD4E0" w14:textId="77777777" w:rsidR="00EE4654" w:rsidRDefault="00EE4654" w:rsidP="001A17D4">
      <w:pPr>
        <w:pStyle w:val="NormalWeb"/>
        <w:keepNext/>
        <w:spacing w:before="0" w:beforeAutospacing="0" w:after="0" w:afterAutospacing="0"/>
      </w:pPr>
    </w:p>
    <w:p w14:paraId="3D966A92" w14:textId="34B02ABD" w:rsidR="00D759B9" w:rsidRPr="00951F78" w:rsidRDefault="00D759B9" w:rsidP="001A17D4">
      <w:pPr>
        <w:pStyle w:val="NormalWeb"/>
        <w:keepNext/>
        <w:spacing w:before="0" w:beforeAutospacing="0" w:after="0" w:afterAutospacing="0"/>
        <w:ind w:firstLine="720"/>
        <w:rPr>
          <w:rStyle w:val="Emphasis"/>
          <w:i w:val="0"/>
        </w:rPr>
      </w:pPr>
      <w:r>
        <w:t xml:space="preserve">Each source must purchase (or create) and install computer software designed to implement the electronic data reporting formats required under the Acid Rain Program. </w:t>
      </w:r>
      <w:r w:rsidR="00EE4654">
        <w:t xml:space="preserve"> </w:t>
      </w:r>
      <w:r>
        <w:t>EPA promulgate</w:t>
      </w:r>
      <w:r w:rsidR="00702BCF">
        <w:t>d</w:t>
      </w:r>
      <w:r>
        <w:t xml:space="preserve"> revisions to Part 75 in late 2007 to accommodate changes in EPA</w:t>
      </w:r>
      <w:r w:rsidR="009102A2">
        <w:t>'</w:t>
      </w:r>
      <w:r>
        <w:t xml:space="preserve">s data systems that manage the data submitted by respondents.  These data system changes </w:t>
      </w:r>
      <w:r w:rsidR="00702BCF">
        <w:t xml:space="preserve">were </w:t>
      </w:r>
      <w:r>
        <w:t xml:space="preserve">necessary to modernize </w:t>
      </w:r>
      <w:r w:rsidR="004C1961">
        <w:t>EPA</w:t>
      </w:r>
      <w:r w:rsidR="009102A2">
        <w:t>'</w:t>
      </w:r>
      <w:r w:rsidR="004C1961">
        <w:t xml:space="preserve">s </w:t>
      </w:r>
      <w:r>
        <w:t xml:space="preserve">data systems and streamline reporting.  The costs of the required upgrade </w:t>
      </w:r>
      <w:r w:rsidR="00740A5D">
        <w:t>were</w:t>
      </w:r>
      <w:r>
        <w:t xml:space="preserve"> analyzed in a separate ICR that </w:t>
      </w:r>
      <w:r w:rsidR="00740A5D">
        <w:t xml:space="preserve">was </w:t>
      </w:r>
      <w:r>
        <w:t xml:space="preserve">issued in conjunction with the Part 75 revisions. </w:t>
      </w:r>
      <w:r w:rsidR="00EE4654">
        <w:t xml:space="preserve"> </w:t>
      </w:r>
      <w:r>
        <w:t xml:space="preserve">For the time period of this ICR, </w:t>
      </w:r>
      <w:r w:rsidR="00BB29B0">
        <w:t>201</w:t>
      </w:r>
      <w:r w:rsidR="00EC4125">
        <w:t>7</w:t>
      </w:r>
      <w:r>
        <w:t>-</w:t>
      </w:r>
      <w:r w:rsidR="00BB29B0">
        <w:t>201</w:t>
      </w:r>
      <w:r w:rsidR="00EC4125">
        <w:t>9</w:t>
      </w:r>
      <w:r>
        <w:t>, no other changes would require a DAHS upgrade and therefore there are no burden hours for this activity.</w:t>
      </w:r>
      <w:r>
        <w:rPr>
          <w:rStyle w:val="Emphasis"/>
        </w:rPr>
        <w:t xml:space="preserve"> </w:t>
      </w:r>
    </w:p>
    <w:p w14:paraId="4E832AAC" w14:textId="77777777" w:rsidR="00EE4654" w:rsidRPr="00951F78" w:rsidRDefault="00EE4654" w:rsidP="00EE4654">
      <w:pPr>
        <w:pStyle w:val="NormalWeb"/>
        <w:spacing w:before="0" w:beforeAutospacing="0" w:after="0" w:afterAutospacing="0"/>
        <w:ind w:firstLine="720"/>
        <w:rPr>
          <w:rStyle w:val="Emphasis"/>
          <w:i w:val="0"/>
        </w:rPr>
      </w:pPr>
    </w:p>
    <w:p w14:paraId="1908D4D7" w14:textId="77777777" w:rsidR="00D759B9" w:rsidRDefault="00D759B9" w:rsidP="00CA6A09">
      <w:pPr>
        <w:pStyle w:val="NormalWeb"/>
        <w:spacing w:before="0" w:beforeAutospacing="0" w:after="0" w:afterAutospacing="0"/>
        <w:ind w:left="720"/>
      </w:pPr>
      <w:r>
        <w:rPr>
          <w:rStyle w:val="Emphasis"/>
        </w:rPr>
        <w:t xml:space="preserve">(iv) </w:t>
      </w:r>
      <w:r w:rsidR="00CA6A09">
        <w:rPr>
          <w:rStyle w:val="Emphasis"/>
        </w:rPr>
        <w:t xml:space="preserve"> </w:t>
      </w:r>
      <w:r>
        <w:rPr>
          <w:rStyle w:val="Emphasis"/>
        </w:rPr>
        <w:t>Monitoring Plans</w:t>
      </w:r>
      <w:r>
        <w:t xml:space="preserve">. </w:t>
      </w:r>
    </w:p>
    <w:p w14:paraId="02D9F31B" w14:textId="77777777" w:rsidR="00EE4654" w:rsidRDefault="00EE4654" w:rsidP="00EE4654">
      <w:pPr>
        <w:pStyle w:val="NormalWeb"/>
        <w:spacing w:before="0" w:beforeAutospacing="0" w:after="0" w:afterAutospacing="0"/>
      </w:pPr>
    </w:p>
    <w:p w14:paraId="7E5012B8" w14:textId="5812A021" w:rsidR="00D759B9" w:rsidRDefault="00D759B9" w:rsidP="00EE4654">
      <w:pPr>
        <w:pStyle w:val="NormalWeb"/>
        <w:spacing w:before="0" w:beforeAutospacing="0" w:after="0" w:afterAutospacing="0"/>
        <w:ind w:firstLine="720"/>
      </w:pPr>
      <w:r>
        <w:t xml:space="preserve">Consistent with the existing ICR, completing and submitting monitoring plans is estimated to require an average of about 20 hours per unit initially. </w:t>
      </w:r>
      <w:r w:rsidR="00EE4654">
        <w:t xml:space="preserve"> </w:t>
      </w:r>
      <w:r>
        <w:t xml:space="preserve">For existing units, initial monitoring plan submissions will be received prior to the time period covered in this renewal ICR, and, consistent with the existing ICR, EPA does not include burden hours for existing units under this initial monitoring plan development task area during </w:t>
      </w:r>
      <w:r w:rsidR="00BB29B0">
        <w:t>201</w:t>
      </w:r>
      <w:r w:rsidR="00EC4125">
        <w:t>7</w:t>
      </w:r>
      <w:r w:rsidR="00BB29B0">
        <w:t xml:space="preserve"> </w:t>
      </w:r>
      <w:r w:rsidR="00EE4654">
        <w:t xml:space="preserve">– </w:t>
      </w:r>
      <w:r w:rsidR="00BB29B0">
        <w:t>201</w:t>
      </w:r>
      <w:r w:rsidR="00EC4125">
        <w:t>9</w:t>
      </w:r>
      <w:r>
        <w:t>.</w:t>
      </w:r>
      <w:r w:rsidR="00EE4654">
        <w:t xml:space="preserve"> </w:t>
      </w:r>
      <w:r>
        <w:t xml:space="preserve"> The burden associated with revising the monitoring plan is included in the time for preparing and submitting each quarterly emissions report.</w:t>
      </w:r>
    </w:p>
    <w:p w14:paraId="60EB1AB9" w14:textId="77777777" w:rsidR="00EE4654" w:rsidRDefault="00EE4654" w:rsidP="00EE4654">
      <w:pPr>
        <w:pStyle w:val="NormalWeb"/>
        <w:spacing w:before="0" w:beforeAutospacing="0" w:after="0" w:afterAutospacing="0"/>
        <w:ind w:firstLine="720"/>
      </w:pPr>
    </w:p>
    <w:p w14:paraId="366D221E" w14:textId="5D03447C" w:rsidR="00D759B9" w:rsidRDefault="00D759B9" w:rsidP="00EE4654">
      <w:pPr>
        <w:pStyle w:val="NormalWeb"/>
        <w:spacing w:before="0" w:beforeAutospacing="0" w:after="0" w:afterAutospacing="0"/>
        <w:ind w:firstLine="720"/>
      </w:pPr>
      <w:r>
        <w:t xml:space="preserve">For new units, EPA has used an estimated number of new units as a projection for the average number of new units expected in </w:t>
      </w:r>
      <w:r w:rsidR="00BB29B0">
        <w:t>201</w:t>
      </w:r>
      <w:r w:rsidR="00EC4125">
        <w:t>7</w:t>
      </w:r>
      <w:r w:rsidR="00BB29B0">
        <w:t xml:space="preserve"> </w:t>
      </w:r>
      <w:r w:rsidR="00EE4654">
        <w:t xml:space="preserve">– </w:t>
      </w:r>
      <w:r w:rsidR="00BB29B0">
        <w:t>201</w:t>
      </w:r>
      <w:r w:rsidR="00EC4125">
        <w:t>9</w:t>
      </w:r>
      <w:r>
        <w:t xml:space="preserve">. </w:t>
      </w:r>
      <w:r w:rsidR="00EE4654">
        <w:t xml:space="preserve"> </w:t>
      </w:r>
      <w:r>
        <w:t>These units have a separate line item for initial monitoring plan preparation.</w:t>
      </w:r>
    </w:p>
    <w:p w14:paraId="13C2BCDB" w14:textId="77777777" w:rsidR="00EE4654" w:rsidRDefault="00EE4654" w:rsidP="00EE4654">
      <w:pPr>
        <w:pStyle w:val="NormalWeb"/>
        <w:spacing w:before="0" w:beforeAutospacing="0" w:after="0" w:afterAutospacing="0"/>
        <w:ind w:firstLine="720"/>
      </w:pPr>
    </w:p>
    <w:p w14:paraId="30D3DCE0" w14:textId="77777777" w:rsidR="00D759B9" w:rsidRDefault="00D759B9" w:rsidP="00CA6A09">
      <w:pPr>
        <w:pStyle w:val="NormalWeb"/>
        <w:spacing w:before="0" w:beforeAutospacing="0" w:after="0" w:afterAutospacing="0"/>
        <w:ind w:left="720"/>
      </w:pPr>
      <w:r>
        <w:rPr>
          <w:rStyle w:val="Emphasis"/>
        </w:rPr>
        <w:t xml:space="preserve">(v) </w:t>
      </w:r>
      <w:r w:rsidR="00CA6A09">
        <w:rPr>
          <w:rStyle w:val="Emphasis"/>
        </w:rPr>
        <w:t xml:space="preserve"> </w:t>
      </w:r>
      <w:r>
        <w:rPr>
          <w:rStyle w:val="Emphasis"/>
        </w:rPr>
        <w:t>Monitor Certification</w:t>
      </w:r>
      <w:r>
        <w:t xml:space="preserve">. </w:t>
      </w:r>
    </w:p>
    <w:p w14:paraId="4ACD4382" w14:textId="77777777" w:rsidR="00EE4654" w:rsidRDefault="00EE4654" w:rsidP="00EE4654">
      <w:pPr>
        <w:pStyle w:val="NormalWeb"/>
        <w:spacing w:before="0" w:beforeAutospacing="0" w:after="0" w:afterAutospacing="0"/>
      </w:pPr>
    </w:p>
    <w:p w14:paraId="3FA3ACAA" w14:textId="35681BF1" w:rsidR="00D759B9" w:rsidRDefault="00D759B9" w:rsidP="00EE4654">
      <w:pPr>
        <w:pStyle w:val="NormalWeb"/>
        <w:spacing w:before="0" w:beforeAutospacing="0" w:after="0" w:afterAutospacing="0"/>
        <w:ind w:firstLine="720"/>
      </w:pPr>
      <w:r>
        <w:t>For existing units, only re</w:t>
      </w:r>
      <w:r w:rsidR="00860082">
        <w:t>-</w:t>
      </w:r>
      <w:r>
        <w:t xml:space="preserve">certifications are included in the estimated activities for </w:t>
      </w:r>
      <w:r w:rsidR="00BB29B0">
        <w:t>201</w:t>
      </w:r>
      <w:r w:rsidR="00EC4125">
        <w:t>7</w:t>
      </w:r>
      <w:r w:rsidR="00BB29B0">
        <w:t xml:space="preserve"> </w:t>
      </w:r>
      <w:r w:rsidR="00EE4654">
        <w:t xml:space="preserve">– </w:t>
      </w:r>
      <w:r w:rsidR="00BB29B0">
        <w:t>201</w:t>
      </w:r>
      <w:r w:rsidR="00EC4125">
        <w:t>9</w:t>
      </w:r>
      <w:r w:rsidR="00E86AF4">
        <w:t xml:space="preserve">. </w:t>
      </w:r>
      <w:r w:rsidR="00740A5D">
        <w:t xml:space="preserve"> </w:t>
      </w:r>
      <w:r>
        <w:t xml:space="preserve">The Agency estimates a labor burden of 50 hours and a contractor cost of </w:t>
      </w:r>
      <w:r w:rsidRPr="00C82403">
        <w:t>$3,400</w:t>
      </w:r>
      <w:r>
        <w:t xml:space="preserve"> per respondent.</w:t>
      </w:r>
      <w:r w:rsidR="00EE4654">
        <w:t xml:space="preserve"> </w:t>
      </w:r>
      <w:r>
        <w:t xml:space="preserve"> The cost and burden figures exclude the costs and burdens associated with conducting a RATA as part of the recertification process because those costs are incorporated within the annual QA costs for previously certified monitoring systems. </w:t>
      </w:r>
    </w:p>
    <w:p w14:paraId="0523D8D1" w14:textId="77777777" w:rsidR="00EE4654" w:rsidRDefault="00EE4654" w:rsidP="00EE4654">
      <w:pPr>
        <w:pStyle w:val="NormalWeb"/>
        <w:spacing w:before="0" w:beforeAutospacing="0" w:after="0" w:afterAutospacing="0"/>
        <w:ind w:firstLine="720"/>
      </w:pPr>
    </w:p>
    <w:p w14:paraId="4B418259" w14:textId="77777777" w:rsidR="00D759B9" w:rsidRDefault="00D759B9" w:rsidP="001A17D4">
      <w:pPr>
        <w:widowControl/>
        <w:ind w:firstLine="720"/>
        <w:rPr>
          <w:color w:val="000000"/>
          <w:sz w:val="24"/>
          <w:szCs w:val="24"/>
        </w:rPr>
      </w:pPr>
      <w:r>
        <w:rPr>
          <w:color w:val="000000"/>
          <w:sz w:val="24"/>
          <w:szCs w:val="24"/>
        </w:rPr>
        <w:t>Under Part 75, sources are required to recertify the monitoring systems whenever the source makes a replacement, modification, or change in a certified CEMS or continuous opacity monitoring system that may significantly affect the ability of the system to accurately measure or record the NO</w:t>
      </w:r>
      <w:r w:rsidRPr="004C1961">
        <w:rPr>
          <w:color w:val="000000"/>
          <w:sz w:val="24"/>
          <w:szCs w:val="24"/>
          <w:vertAlign w:val="subscript"/>
        </w:rPr>
        <w:t>x</w:t>
      </w:r>
      <w:r>
        <w:rPr>
          <w:color w:val="000000"/>
          <w:sz w:val="24"/>
          <w:szCs w:val="24"/>
        </w:rPr>
        <w:t xml:space="preserve"> concentration, stack gas volumetric flow rate, NO</w:t>
      </w:r>
      <w:r w:rsidRPr="004C1961">
        <w:rPr>
          <w:color w:val="000000"/>
          <w:sz w:val="24"/>
          <w:szCs w:val="24"/>
          <w:vertAlign w:val="subscript"/>
        </w:rPr>
        <w:t>x</w:t>
      </w:r>
      <w:r>
        <w:rPr>
          <w:color w:val="000000"/>
          <w:sz w:val="24"/>
          <w:szCs w:val="24"/>
        </w:rPr>
        <w:t xml:space="preserve"> emission rate, percent moisture, or to meet the QA and QC requirements.  Recertification is also necessary whenever the source makes a replacement, modification, or change to the flue gas handling system or the unit operation that may significantly change the flow or concentration profile. Examples of changes which require recertification include: replacement of the analyzer, change in location or orientation of the sampling probe or site; and complete replacement of an existing CEMS or continuous opacity monitoring system.</w:t>
      </w:r>
    </w:p>
    <w:p w14:paraId="2B32618E" w14:textId="77777777" w:rsidR="00EE4654" w:rsidRDefault="00EE4654" w:rsidP="001A17D4">
      <w:pPr>
        <w:widowControl/>
        <w:ind w:firstLine="720"/>
        <w:rPr>
          <w:color w:val="000000"/>
          <w:sz w:val="24"/>
          <w:szCs w:val="24"/>
        </w:rPr>
      </w:pPr>
    </w:p>
    <w:p w14:paraId="46D55A87" w14:textId="77777777" w:rsidR="00D759B9" w:rsidRDefault="00D759B9" w:rsidP="00EE4654">
      <w:pPr>
        <w:pStyle w:val="NormalWeb"/>
        <w:spacing w:before="0" w:beforeAutospacing="0" w:after="0" w:afterAutospacing="0"/>
        <w:ind w:firstLine="720"/>
      </w:pPr>
      <w:r>
        <w:t>For new units, the monitor certification costs are included in the capital/startup costs.</w:t>
      </w:r>
    </w:p>
    <w:p w14:paraId="01FED400" w14:textId="77777777" w:rsidR="00CA6A09" w:rsidRDefault="00CA6A09" w:rsidP="00EE4654">
      <w:pPr>
        <w:pStyle w:val="NormalWeb"/>
        <w:spacing w:before="0" w:beforeAutospacing="0" w:after="0" w:afterAutospacing="0"/>
        <w:ind w:firstLine="720"/>
      </w:pPr>
    </w:p>
    <w:p w14:paraId="2817A725" w14:textId="77777777" w:rsidR="00D759B9" w:rsidRDefault="00D759B9" w:rsidP="001A17D4">
      <w:pPr>
        <w:pStyle w:val="NormalWeb"/>
        <w:keepNext/>
        <w:spacing w:before="0" w:beforeAutospacing="0" w:after="0" w:afterAutospacing="0"/>
        <w:ind w:left="720"/>
      </w:pPr>
      <w:r>
        <w:rPr>
          <w:rStyle w:val="Emphasis"/>
        </w:rPr>
        <w:t>(vi)</w:t>
      </w:r>
      <w:r w:rsidR="00CA6A09">
        <w:rPr>
          <w:rStyle w:val="Emphasis"/>
        </w:rPr>
        <w:t xml:space="preserve"> </w:t>
      </w:r>
      <w:r>
        <w:rPr>
          <w:rStyle w:val="Emphasis"/>
        </w:rPr>
        <w:t xml:space="preserve"> Quality Assurance</w:t>
      </w:r>
      <w:r>
        <w:t xml:space="preserve">. </w:t>
      </w:r>
    </w:p>
    <w:p w14:paraId="2E73F130" w14:textId="77777777" w:rsidR="00EE4654" w:rsidRDefault="00EE4654" w:rsidP="001A17D4">
      <w:pPr>
        <w:pStyle w:val="NormalWeb"/>
        <w:keepNext/>
        <w:spacing w:before="0" w:beforeAutospacing="0" w:after="0" w:afterAutospacing="0"/>
      </w:pPr>
    </w:p>
    <w:p w14:paraId="30F89881" w14:textId="77777777" w:rsidR="00D759B9" w:rsidRDefault="00D759B9" w:rsidP="001A17D4">
      <w:pPr>
        <w:pStyle w:val="NormalWeb"/>
        <w:keepNext/>
        <w:spacing w:before="0" w:beforeAutospacing="0" w:after="0" w:afterAutospacing="0"/>
        <w:ind w:firstLine="720"/>
      </w:pPr>
      <w:r>
        <w:t xml:space="preserve">Quality assurance (QA) testing and maintenance upon monitoring systems is the largest burden item under the monitoring, reporting and recordkeeping requirements. </w:t>
      </w:r>
      <w:r w:rsidR="00EE4654">
        <w:t xml:space="preserve"> </w:t>
      </w:r>
      <w:r>
        <w:t xml:space="preserve">The requirements include daily, quarterly and annual QA requirements, depending on the monitoring approach being used. </w:t>
      </w:r>
      <w:r w:rsidR="00EE4654">
        <w:t xml:space="preserve"> </w:t>
      </w:r>
      <w:r>
        <w:t xml:space="preserve">For reporting units that </w:t>
      </w:r>
      <w:r w:rsidR="00131AD2">
        <w:t>use flow</w:t>
      </w:r>
      <w:r w:rsidR="00DD1105">
        <w:t xml:space="preserve"> </w:t>
      </w:r>
      <w:r w:rsidR="00131AD2">
        <w:t>and NO</w:t>
      </w:r>
      <w:r w:rsidR="00131AD2" w:rsidRPr="00D13890">
        <w:rPr>
          <w:vertAlign w:val="subscript"/>
        </w:rPr>
        <w:t>x</w:t>
      </w:r>
      <w:r>
        <w:t xml:space="preserve"> </w:t>
      </w:r>
      <w:r w:rsidR="00DD1105">
        <w:t>CEMS</w:t>
      </w:r>
      <w:r>
        <w:t xml:space="preserve">, the Agency has developed a per unit labor burden based primarily on information gathered from affected sources. </w:t>
      </w:r>
      <w:r w:rsidR="00EE4654">
        <w:t xml:space="preserve"> </w:t>
      </w:r>
      <w:r>
        <w:t xml:space="preserve"> </w:t>
      </w:r>
      <w:r w:rsidR="00EE4654">
        <w:t xml:space="preserve"> </w:t>
      </w:r>
      <w:r>
        <w:t xml:space="preserve">For units that rely on the excepted methods under both Appendix D and E (i.e., units without CEMS), the burden estimates are reduced further because no CEMS QA is required. </w:t>
      </w:r>
      <w:r w:rsidR="00EE4654">
        <w:t xml:space="preserve"> </w:t>
      </w:r>
      <w:r>
        <w:t xml:space="preserve">For the relatively small number of units that require moisture correction, labor burdens for moisture monitoring QA activities have been added based on information supplied by an affected utility (see Docket A-97-35, Item II-D-94). </w:t>
      </w:r>
    </w:p>
    <w:p w14:paraId="4BFF4D14" w14:textId="77777777" w:rsidR="00EE4654" w:rsidRDefault="00EE4654" w:rsidP="00EE4654">
      <w:pPr>
        <w:pStyle w:val="NormalWeb"/>
        <w:spacing w:before="0" w:beforeAutospacing="0" w:after="0" w:afterAutospacing="0"/>
        <w:ind w:firstLine="720"/>
      </w:pPr>
    </w:p>
    <w:p w14:paraId="1C3CC54B" w14:textId="77777777" w:rsidR="00D759B9" w:rsidRDefault="00D759B9" w:rsidP="00CA6A09">
      <w:pPr>
        <w:pStyle w:val="NormalWeb"/>
        <w:spacing w:before="0" w:beforeAutospacing="0" w:after="0" w:afterAutospacing="0"/>
        <w:ind w:left="720"/>
      </w:pPr>
      <w:r>
        <w:rPr>
          <w:rStyle w:val="Emphasis"/>
        </w:rPr>
        <w:t>(vii)</w:t>
      </w:r>
      <w:r w:rsidR="00CA6A09">
        <w:rPr>
          <w:rStyle w:val="Emphasis"/>
        </w:rPr>
        <w:t xml:space="preserve"> </w:t>
      </w:r>
      <w:r>
        <w:rPr>
          <w:rStyle w:val="Emphasis"/>
        </w:rPr>
        <w:t xml:space="preserve"> Quarterly Reports</w:t>
      </w:r>
      <w:r>
        <w:t xml:space="preserve">. </w:t>
      </w:r>
    </w:p>
    <w:p w14:paraId="62699D98" w14:textId="77777777" w:rsidR="00EE4654" w:rsidRDefault="00EE4654" w:rsidP="00EE4654">
      <w:pPr>
        <w:pStyle w:val="NormalWeb"/>
        <w:spacing w:before="0" w:beforeAutospacing="0" w:after="0" w:afterAutospacing="0"/>
      </w:pPr>
    </w:p>
    <w:p w14:paraId="08CFB7C6" w14:textId="465CF419" w:rsidR="00D759B9" w:rsidRDefault="00D759B9" w:rsidP="00EE4654">
      <w:pPr>
        <w:pStyle w:val="NormalWeb"/>
        <w:spacing w:before="0" w:beforeAutospacing="0" w:after="0" w:afterAutospacing="0"/>
        <w:ind w:firstLine="720"/>
      </w:pPr>
      <w:r>
        <w:t>Tasks performed by utilities in preparing quarterly reports include: (1) a</w:t>
      </w:r>
      <w:r w:rsidR="00EE4654">
        <w:t>ssuring the quality of the data;</w:t>
      </w:r>
      <w:r>
        <w:t xml:space="preserve"> (2)</w:t>
      </w:r>
      <w:r w:rsidR="00EE4654">
        <w:t> preparing the quarterly report;</w:t>
      </w:r>
      <w:r>
        <w:t xml:space="preserve"> (3) revising th</w:t>
      </w:r>
      <w:r w:rsidR="00EE4654">
        <w:t>e monitoring plan, if necessary;</w:t>
      </w:r>
      <w:r>
        <w:t xml:space="preserve"> (4) preparation of hard copy documentation acc</w:t>
      </w:r>
      <w:r w:rsidR="00EE4654">
        <w:t>ompanying the quarterly reports;</w:t>
      </w:r>
      <w:r>
        <w:t xml:space="preserve"> and (5) managerial review. </w:t>
      </w:r>
      <w:r w:rsidR="00EE4654">
        <w:t xml:space="preserve"> </w:t>
      </w:r>
      <w:r>
        <w:t xml:space="preserve">EPA has been improving electronic file transfer procedures over the past few years and has been developing automated tools that allow sources to quality assure their reports. </w:t>
      </w:r>
      <w:r w:rsidR="00EE4654">
        <w:t xml:space="preserve"> </w:t>
      </w:r>
      <w:r>
        <w:t xml:space="preserve">EPA believes these efforts have reduced the average burdens per report over time. </w:t>
      </w:r>
      <w:r w:rsidR="00EE4654">
        <w:t xml:space="preserve"> </w:t>
      </w:r>
      <w:r>
        <w:t xml:space="preserve">In addition, because the program is maturing, the respondents have developed procedures and methods to increase their efficiency with reporting. </w:t>
      </w:r>
      <w:r w:rsidR="00EE4654">
        <w:t xml:space="preserve"> </w:t>
      </w:r>
    </w:p>
    <w:p w14:paraId="23C9DB75" w14:textId="77777777" w:rsidR="00EE4654" w:rsidRDefault="00EE4654" w:rsidP="00EE4654">
      <w:pPr>
        <w:pStyle w:val="NormalWeb"/>
        <w:spacing w:before="0" w:beforeAutospacing="0" w:after="0" w:afterAutospacing="0"/>
        <w:ind w:firstLine="720"/>
      </w:pPr>
    </w:p>
    <w:p w14:paraId="11F4D7A5" w14:textId="77777777" w:rsidR="00D759B9" w:rsidRDefault="00D759B9" w:rsidP="00EE4654">
      <w:pPr>
        <w:pStyle w:val="NormalWeb"/>
        <w:spacing w:before="0" w:beforeAutospacing="0" w:after="0" w:afterAutospacing="0"/>
        <w:rPr>
          <w:rStyle w:val="Strong"/>
        </w:rPr>
      </w:pPr>
      <w:r>
        <w:rPr>
          <w:rStyle w:val="Strong"/>
        </w:rPr>
        <w:t>Estimating</w:t>
      </w:r>
      <w:r>
        <w:t xml:space="preserve"> </w:t>
      </w:r>
      <w:r>
        <w:rPr>
          <w:rStyle w:val="Strong"/>
        </w:rPr>
        <w:t>Respondent Costs</w:t>
      </w:r>
    </w:p>
    <w:p w14:paraId="79019AFF" w14:textId="77777777" w:rsidR="00EE4654" w:rsidRDefault="00EE4654" w:rsidP="00EE4654">
      <w:pPr>
        <w:pStyle w:val="NormalWeb"/>
        <w:spacing w:before="0" w:beforeAutospacing="0" w:after="0" w:afterAutospacing="0"/>
      </w:pPr>
    </w:p>
    <w:p w14:paraId="4DA42278" w14:textId="51518221" w:rsidR="00D759B9" w:rsidRDefault="005B5D60" w:rsidP="00EE4654">
      <w:pPr>
        <w:pStyle w:val="NormalWeb"/>
        <w:spacing w:before="0" w:beforeAutospacing="0" w:after="0" w:afterAutospacing="0"/>
        <w:ind w:firstLine="720"/>
      </w:pPr>
      <w:r>
        <w:t>Table 6-</w:t>
      </w:r>
      <w:r w:rsidR="00116F2C">
        <w:t>2</w:t>
      </w:r>
      <w:r w:rsidR="00D759B9">
        <w:t xml:space="preserve"> summarizes the annual respondent costs. </w:t>
      </w:r>
      <w:r w:rsidR="00EE4654">
        <w:t xml:space="preserve"> </w:t>
      </w:r>
      <w:r w:rsidR="00D759B9">
        <w:t>The following discussion describes how those costs were derived.</w:t>
      </w:r>
    </w:p>
    <w:p w14:paraId="2CCB3CEC" w14:textId="77777777" w:rsidR="00EE4654" w:rsidRDefault="00EE4654" w:rsidP="00EE4654">
      <w:pPr>
        <w:pStyle w:val="NormalWeb"/>
        <w:spacing w:before="0" w:beforeAutospacing="0" w:after="0" w:afterAutospacing="0"/>
        <w:ind w:firstLine="720"/>
      </w:pPr>
    </w:p>
    <w:p w14:paraId="0BECEFB9" w14:textId="77777777" w:rsidR="00D759B9" w:rsidRDefault="00D759B9" w:rsidP="00CA6A09">
      <w:pPr>
        <w:pStyle w:val="NormalWeb"/>
        <w:spacing w:before="0" w:beforeAutospacing="0" w:after="0" w:afterAutospacing="0"/>
        <w:ind w:left="720"/>
        <w:rPr>
          <w:rStyle w:val="Emphasis"/>
        </w:rPr>
      </w:pPr>
      <w:r>
        <w:rPr>
          <w:rStyle w:val="Emphasis"/>
        </w:rPr>
        <w:t xml:space="preserve">(i) </w:t>
      </w:r>
      <w:r w:rsidR="00CA6A09">
        <w:rPr>
          <w:rStyle w:val="Emphasis"/>
        </w:rPr>
        <w:t xml:space="preserve"> </w:t>
      </w:r>
      <w:r>
        <w:rPr>
          <w:rStyle w:val="Emphasis"/>
        </w:rPr>
        <w:t>Estimating Total Capital and Annual Operations and Maintenance Costs</w:t>
      </w:r>
    </w:p>
    <w:p w14:paraId="1BB53259" w14:textId="77777777" w:rsidR="004D07FA" w:rsidRDefault="004D07FA" w:rsidP="00EE4654">
      <w:pPr>
        <w:pStyle w:val="NormalWeb"/>
        <w:spacing w:before="0" w:beforeAutospacing="0" w:after="0" w:afterAutospacing="0"/>
      </w:pPr>
    </w:p>
    <w:p w14:paraId="11594545" w14:textId="77777777" w:rsidR="00D759B9" w:rsidRDefault="00D759B9" w:rsidP="00EE4654">
      <w:pPr>
        <w:widowControl/>
        <w:ind w:firstLine="720"/>
        <w:rPr>
          <w:sz w:val="24"/>
          <w:szCs w:val="24"/>
        </w:rPr>
      </w:pPr>
      <w:r>
        <w:rPr>
          <w:sz w:val="24"/>
          <w:szCs w:val="24"/>
        </w:rPr>
        <w:t xml:space="preserve">Capital/start-up costs include the cost of installing required CEMS or alternatives.  The Agency developed the capital cost estimates for the CEM and other equipment based on EPA CEM cost models, existing ICRs, and comments from various affected utilities.  The cost estimates vary depending on the number and type of monitors that are required. </w:t>
      </w:r>
      <w:r w:rsidR="004D07FA">
        <w:rPr>
          <w:sz w:val="24"/>
          <w:szCs w:val="24"/>
        </w:rPr>
        <w:t xml:space="preserve"> </w:t>
      </w:r>
      <w:r>
        <w:rPr>
          <w:sz w:val="24"/>
          <w:szCs w:val="24"/>
        </w:rPr>
        <w:t xml:space="preserve">These annualized capital costs are from the Rule to Reduce Interstate Transport of Fine Particulate Matter and </w:t>
      </w:r>
      <w:r w:rsidRPr="00C82403">
        <w:rPr>
          <w:sz w:val="24"/>
          <w:szCs w:val="24"/>
        </w:rPr>
        <w:t>Ozone (Clean Air Interstate Rule) EPA ICR #2152.0</w:t>
      </w:r>
      <w:r w:rsidR="00DD1105">
        <w:rPr>
          <w:sz w:val="24"/>
          <w:szCs w:val="24"/>
        </w:rPr>
        <w:t>4</w:t>
      </w:r>
      <w:r w:rsidRPr="00C82403">
        <w:rPr>
          <w:sz w:val="24"/>
          <w:szCs w:val="24"/>
        </w:rPr>
        <w:t>.  The annualized costs ranged from $28,879 for units with a full set of CEMS, to $18,750 for a unit that uses NO</w:t>
      </w:r>
      <w:r w:rsidRPr="00C82403">
        <w:rPr>
          <w:sz w:val="24"/>
          <w:szCs w:val="24"/>
          <w:vertAlign w:val="subscript"/>
        </w:rPr>
        <w:t>x</w:t>
      </w:r>
      <w:r w:rsidRPr="00C82403">
        <w:rPr>
          <w:sz w:val="24"/>
          <w:szCs w:val="24"/>
        </w:rPr>
        <w:t xml:space="preserve"> CEMS and Appendix D methods, to $2,250 for units that use both Appendix D and Appendix</w:t>
      </w:r>
      <w:r>
        <w:rPr>
          <w:sz w:val="24"/>
          <w:szCs w:val="24"/>
        </w:rPr>
        <w:t xml:space="preserve"> E methods without any CEMS.</w:t>
      </w:r>
      <w:r w:rsidR="004D07FA">
        <w:rPr>
          <w:sz w:val="24"/>
          <w:szCs w:val="24"/>
        </w:rPr>
        <w:t xml:space="preserve"> </w:t>
      </w:r>
      <w:r>
        <w:rPr>
          <w:sz w:val="24"/>
          <w:szCs w:val="24"/>
        </w:rPr>
        <w:t xml:space="preserve"> There are no capital/start-up costs for LME units. </w:t>
      </w:r>
      <w:r w:rsidR="004D07FA">
        <w:rPr>
          <w:sz w:val="24"/>
          <w:szCs w:val="24"/>
        </w:rPr>
        <w:t xml:space="preserve"> </w:t>
      </w:r>
      <w:r>
        <w:rPr>
          <w:sz w:val="24"/>
          <w:szCs w:val="24"/>
        </w:rPr>
        <w:t>A discussion of how the capital/start-up costs were annualized follows in Section (iii)</w:t>
      </w:r>
      <w:r w:rsidR="00DD1105">
        <w:rPr>
          <w:sz w:val="24"/>
          <w:szCs w:val="24"/>
        </w:rPr>
        <w:t>, below</w:t>
      </w:r>
      <w:r>
        <w:rPr>
          <w:sz w:val="24"/>
          <w:szCs w:val="24"/>
        </w:rPr>
        <w:t>.</w:t>
      </w:r>
    </w:p>
    <w:p w14:paraId="28C31FBD" w14:textId="77777777" w:rsidR="00D759B9" w:rsidRDefault="00D759B9" w:rsidP="00EE4654">
      <w:pPr>
        <w:widowControl/>
        <w:rPr>
          <w:sz w:val="24"/>
          <w:szCs w:val="24"/>
        </w:rPr>
      </w:pPr>
    </w:p>
    <w:p w14:paraId="60A56DED" w14:textId="5F85B559" w:rsidR="00D759B9" w:rsidRDefault="00D759B9" w:rsidP="00EE4654">
      <w:pPr>
        <w:widowControl/>
        <w:ind w:firstLine="720"/>
        <w:rPr>
          <w:sz w:val="24"/>
          <w:szCs w:val="24"/>
        </w:rPr>
      </w:pPr>
      <w:r>
        <w:rPr>
          <w:sz w:val="24"/>
          <w:szCs w:val="24"/>
        </w:rPr>
        <w:t xml:space="preserve">In addition to capital/start-up costs, respondents incur operation and maintenance costs (exclusive of labor costs) that reflect ongoing costs to a unit. </w:t>
      </w:r>
      <w:r w:rsidR="004D07FA">
        <w:rPr>
          <w:sz w:val="24"/>
          <w:szCs w:val="24"/>
        </w:rPr>
        <w:t xml:space="preserve"> </w:t>
      </w:r>
      <w:r>
        <w:rPr>
          <w:sz w:val="24"/>
          <w:szCs w:val="24"/>
        </w:rPr>
        <w:t>These costs include both contractor costs for the required recertification, diagnostic, and quality assurance (QA) testing, and other direct maintenance-related expenses (</w:t>
      </w:r>
      <w:r w:rsidRPr="004D07FA">
        <w:rPr>
          <w:sz w:val="24"/>
          <w:szCs w:val="24"/>
        </w:rPr>
        <w:t>e.g.</w:t>
      </w:r>
      <w:r>
        <w:rPr>
          <w:sz w:val="24"/>
          <w:szCs w:val="24"/>
        </w:rPr>
        <w:t xml:space="preserve">, spare parts and calibration gases). </w:t>
      </w:r>
      <w:r w:rsidR="004D07FA">
        <w:rPr>
          <w:sz w:val="24"/>
          <w:szCs w:val="24"/>
        </w:rPr>
        <w:t xml:space="preserve"> </w:t>
      </w:r>
      <w:r>
        <w:rPr>
          <w:sz w:val="24"/>
          <w:szCs w:val="24"/>
        </w:rPr>
        <w:t xml:space="preserve">The cost estimates used in this renewal ICR are generally the same as </w:t>
      </w:r>
      <w:r w:rsidR="00116F2C">
        <w:rPr>
          <w:sz w:val="24"/>
          <w:szCs w:val="24"/>
        </w:rPr>
        <w:t xml:space="preserve">the cost estimates from </w:t>
      </w:r>
      <w:r>
        <w:rPr>
          <w:sz w:val="24"/>
          <w:szCs w:val="24"/>
        </w:rPr>
        <w:t>the Rule to Reduce Interstate Transport of Fine Particulate Matter and Ozone (Clean Air Interstate Rule) EPA ICR #2152.0</w:t>
      </w:r>
      <w:r w:rsidR="00DD1105">
        <w:rPr>
          <w:sz w:val="24"/>
          <w:szCs w:val="24"/>
        </w:rPr>
        <w:t>4</w:t>
      </w:r>
      <w:r>
        <w:rPr>
          <w:sz w:val="24"/>
          <w:szCs w:val="24"/>
        </w:rPr>
        <w:t xml:space="preserve">, and have been derived from EPA CEM cost models, existing ICRs, Agency staff experience under the Acid Rain Program, information gathered during development of the 1999 and 2002 Part 75 revisions, and supplemental estimates provided by affected utilities and others related to the various cost items (see, e.g., EPA Air Docket A-97-35, Item II-D-48). </w:t>
      </w:r>
      <w:r w:rsidR="004D07FA">
        <w:rPr>
          <w:sz w:val="24"/>
          <w:szCs w:val="24"/>
        </w:rPr>
        <w:t xml:space="preserve"> </w:t>
      </w:r>
      <w:r>
        <w:rPr>
          <w:sz w:val="24"/>
          <w:szCs w:val="24"/>
        </w:rPr>
        <w:t xml:space="preserve">The total cost for these operation and maintenance cost items (other than fuel sampling) is estimated </w:t>
      </w:r>
      <w:r w:rsidRPr="00C82403">
        <w:rPr>
          <w:sz w:val="24"/>
          <w:szCs w:val="24"/>
        </w:rPr>
        <w:t>at $31,200</w:t>
      </w:r>
      <w:r>
        <w:rPr>
          <w:sz w:val="24"/>
          <w:szCs w:val="24"/>
        </w:rPr>
        <w:t xml:space="preserve"> for a unit with a full set of CEMS, while units that use alternate methodologies have reduced costs. </w:t>
      </w:r>
      <w:r w:rsidR="004D07FA">
        <w:rPr>
          <w:sz w:val="24"/>
          <w:szCs w:val="24"/>
        </w:rPr>
        <w:t xml:space="preserve"> </w:t>
      </w:r>
    </w:p>
    <w:p w14:paraId="4576F5E3" w14:textId="77777777" w:rsidR="004D07FA" w:rsidRDefault="004D07FA" w:rsidP="00EE4654">
      <w:pPr>
        <w:widowControl/>
        <w:ind w:firstLine="720"/>
        <w:rPr>
          <w:sz w:val="24"/>
          <w:szCs w:val="24"/>
        </w:rPr>
      </w:pPr>
    </w:p>
    <w:p w14:paraId="7FC3E8AB" w14:textId="3EFA1C02" w:rsidR="00D759B9" w:rsidRDefault="00D759B9" w:rsidP="00EE4654">
      <w:pPr>
        <w:pStyle w:val="NormalWeb"/>
        <w:spacing w:before="0" w:beforeAutospacing="0" w:after="0" w:afterAutospacing="0"/>
        <w:ind w:firstLine="720"/>
      </w:pPr>
      <w:r>
        <w:t xml:space="preserve">Note that testing contractor costs for certification, </w:t>
      </w:r>
      <w:r w:rsidR="004D07FA">
        <w:t>recertification,</w:t>
      </w:r>
      <w:r>
        <w:t xml:space="preserve"> and annual RATAs also are presented as other direct costs and are not converted to equivalent source labor hours. </w:t>
      </w:r>
      <w:r w:rsidR="004D07FA">
        <w:t xml:space="preserve"> </w:t>
      </w:r>
      <w:r>
        <w:t xml:space="preserve">This approach is consistent with the common business practice for obtaining outside contractors to conduct certification/recertification tests and annual relative accuracy test audits. </w:t>
      </w:r>
      <w:r w:rsidR="004D07FA">
        <w:t xml:space="preserve"> </w:t>
      </w:r>
      <w:r>
        <w:t xml:space="preserve">For initial certification, the certification test costs are commonly bundled with equipment purchase contracts, according to information provided by a range of CEMS equipment vendors. </w:t>
      </w:r>
      <w:r w:rsidR="004D07FA">
        <w:t xml:space="preserve"> </w:t>
      </w:r>
      <w:r>
        <w:t xml:space="preserve">For RATAs that are conducted either as part of the annual quality assurance requirements or as part of recertification, industry contacts have indicated that RATA testing is usually performed </w:t>
      </w:r>
      <w:r w:rsidR="00116F2C">
        <w:t xml:space="preserve">on </w:t>
      </w:r>
      <w:r>
        <w:t>a fixed price contract basis, except for travel costs that may be billed on an hourly basis beyond the basic contract cost.</w:t>
      </w:r>
      <w:r w:rsidR="004D07FA">
        <w:t xml:space="preserve"> </w:t>
      </w:r>
      <w:r>
        <w:t xml:space="preserve"> For annual RATAs, the sources indicated that an annual contract between a testing company and utility is often used. </w:t>
      </w:r>
      <w:r w:rsidR="004D07FA">
        <w:t xml:space="preserve"> </w:t>
      </w:r>
      <w:r>
        <w:t>One municipal utility representative indicated that the applicable municipal regulations required that outside contracts be on a flat fee, not hourly, basis.</w:t>
      </w:r>
    </w:p>
    <w:p w14:paraId="19C1D4D8" w14:textId="77777777" w:rsidR="004D07FA" w:rsidRDefault="004D07FA" w:rsidP="00EE4654">
      <w:pPr>
        <w:pStyle w:val="NormalWeb"/>
        <w:spacing w:before="0" w:beforeAutospacing="0" w:after="0" w:afterAutospacing="0"/>
        <w:ind w:firstLine="720"/>
        <w:rPr>
          <w:rStyle w:val="Emphasis"/>
        </w:rPr>
      </w:pPr>
    </w:p>
    <w:p w14:paraId="3C0F2B86" w14:textId="77777777" w:rsidR="00D759B9" w:rsidRDefault="00D759B9" w:rsidP="00CA6A09">
      <w:pPr>
        <w:pStyle w:val="NormalWeb"/>
        <w:spacing w:before="0" w:beforeAutospacing="0" w:after="0" w:afterAutospacing="0"/>
        <w:ind w:left="720"/>
        <w:rPr>
          <w:rStyle w:val="Emphasis"/>
        </w:rPr>
      </w:pPr>
      <w:r>
        <w:rPr>
          <w:rStyle w:val="Emphasis"/>
        </w:rPr>
        <w:t>(ii)</w:t>
      </w:r>
      <w:r w:rsidR="00CA6A09">
        <w:rPr>
          <w:rStyle w:val="Emphasis"/>
        </w:rPr>
        <w:t xml:space="preserve"> </w:t>
      </w:r>
      <w:r>
        <w:rPr>
          <w:rStyle w:val="Emphasis"/>
        </w:rPr>
        <w:t xml:space="preserve"> Capital/Start-up vs. Operating and Maintenance (O &amp; M) Costs</w:t>
      </w:r>
    </w:p>
    <w:p w14:paraId="2D059157" w14:textId="77777777" w:rsidR="004D07FA" w:rsidRDefault="004D07FA" w:rsidP="00EE4654">
      <w:pPr>
        <w:pStyle w:val="NormalWeb"/>
        <w:spacing w:before="0" w:beforeAutospacing="0" w:after="0" w:afterAutospacing="0"/>
      </w:pPr>
    </w:p>
    <w:p w14:paraId="49A59264" w14:textId="77777777" w:rsidR="00D759B9" w:rsidRDefault="00D759B9" w:rsidP="00EE4654">
      <w:pPr>
        <w:pStyle w:val="NormalWeb"/>
        <w:spacing w:before="0" w:beforeAutospacing="0" w:after="0" w:afterAutospacing="0"/>
        <w:ind w:firstLine="720"/>
      </w:pPr>
      <w:r>
        <w:t>Capital costs reflect one-time costs for purchase of equipment which will be used over a period of years.</w:t>
      </w:r>
      <w:r w:rsidR="004D07FA">
        <w:t xml:space="preserve"> </w:t>
      </w:r>
      <w:r>
        <w:t xml:space="preserve"> Conversely, operating and maintenance costs are those costs which are incurred on an annual or other scheduled basis. </w:t>
      </w:r>
      <w:r w:rsidR="004D07FA">
        <w:t xml:space="preserve"> </w:t>
      </w:r>
      <w:r>
        <w:t xml:space="preserve">For instance, costs associated with quality assurance activities, such as spare parts or contractor costs for work, will be incurred on an annual basis. </w:t>
      </w:r>
    </w:p>
    <w:p w14:paraId="6FEDF3B9" w14:textId="77777777" w:rsidR="004D07FA" w:rsidRDefault="004D07FA" w:rsidP="00EE4654">
      <w:pPr>
        <w:pStyle w:val="NormalWeb"/>
        <w:spacing w:before="0" w:beforeAutospacing="0" w:after="0" w:afterAutospacing="0"/>
        <w:ind w:firstLine="720"/>
      </w:pPr>
    </w:p>
    <w:p w14:paraId="16ABE18B" w14:textId="77777777" w:rsidR="00D759B9" w:rsidRDefault="00D759B9" w:rsidP="00CA6A09">
      <w:pPr>
        <w:pStyle w:val="NormalWeb"/>
        <w:spacing w:before="0" w:beforeAutospacing="0" w:after="0" w:afterAutospacing="0"/>
        <w:ind w:left="720"/>
        <w:rPr>
          <w:rStyle w:val="Emphasis"/>
        </w:rPr>
      </w:pPr>
      <w:r>
        <w:rPr>
          <w:rStyle w:val="Emphasis"/>
        </w:rPr>
        <w:t>(iii)</w:t>
      </w:r>
      <w:r w:rsidR="00CA6A09">
        <w:rPr>
          <w:rStyle w:val="Emphasis"/>
        </w:rPr>
        <w:t xml:space="preserve"> </w:t>
      </w:r>
      <w:r>
        <w:rPr>
          <w:rStyle w:val="Emphasis"/>
        </w:rPr>
        <w:t xml:space="preserve"> Annualizing Capital Costs</w:t>
      </w:r>
    </w:p>
    <w:p w14:paraId="5AF8432C" w14:textId="77777777" w:rsidR="004D07FA" w:rsidRDefault="004D07FA" w:rsidP="00EE4654">
      <w:pPr>
        <w:pStyle w:val="NormalWeb"/>
        <w:spacing w:before="0" w:beforeAutospacing="0" w:after="0" w:afterAutospacing="0"/>
      </w:pPr>
    </w:p>
    <w:p w14:paraId="0135D93D" w14:textId="1C114169" w:rsidR="00D759B9" w:rsidRDefault="00D759B9" w:rsidP="00EE4654">
      <w:pPr>
        <w:widowControl/>
        <w:ind w:firstLine="720"/>
        <w:rPr>
          <w:sz w:val="24"/>
          <w:szCs w:val="24"/>
        </w:rPr>
      </w:pPr>
      <w:r>
        <w:rPr>
          <w:sz w:val="24"/>
          <w:szCs w:val="24"/>
        </w:rPr>
        <w:t xml:space="preserve">The relevant capital costs for the emissions trading portion of this ICR were annualized at a rate of </w:t>
      </w:r>
      <w:r w:rsidR="004D07FA">
        <w:rPr>
          <w:sz w:val="24"/>
          <w:szCs w:val="24"/>
        </w:rPr>
        <w:t>seven percent</w:t>
      </w:r>
      <w:r>
        <w:rPr>
          <w:sz w:val="24"/>
          <w:szCs w:val="24"/>
        </w:rPr>
        <w:t xml:space="preserve"> (i.e., the annualized capital cost was calculated assuming money to purchase the capital equipment was borrowed at a </w:t>
      </w:r>
      <w:r w:rsidR="004D07FA">
        <w:rPr>
          <w:sz w:val="24"/>
          <w:szCs w:val="24"/>
        </w:rPr>
        <w:t>seven percent</w:t>
      </w:r>
      <w:r>
        <w:rPr>
          <w:sz w:val="24"/>
          <w:szCs w:val="24"/>
        </w:rPr>
        <w:t xml:space="preserve"> annual interest rate).  The cost of the loan was amortized over the life of the loan to repay </w:t>
      </w:r>
      <w:r w:rsidR="00116F2C">
        <w:rPr>
          <w:sz w:val="24"/>
          <w:szCs w:val="24"/>
        </w:rPr>
        <w:t xml:space="preserve">the </w:t>
      </w:r>
      <w:r>
        <w:rPr>
          <w:sz w:val="24"/>
          <w:szCs w:val="24"/>
        </w:rPr>
        <w:t xml:space="preserve">original borrowed amount plus interest.  The result is the annualized capital cost reported.  The annualized cost of the necessary capital purchases varies </w:t>
      </w:r>
      <w:r w:rsidRPr="00C82403">
        <w:rPr>
          <w:sz w:val="24"/>
          <w:szCs w:val="24"/>
        </w:rPr>
        <w:t>from $2,250 to $ 28,879,</w:t>
      </w:r>
      <w:r>
        <w:rPr>
          <w:sz w:val="24"/>
          <w:szCs w:val="24"/>
        </w:rPr>
        <w:t xml:space="preserve"> per year, per unit, depending on the type of monitoring methodology.  The capital costs are from the Rule to Reduce Interstate Transport of Fine Particulate Matter and Ozone (Clean Air Interstate Rule)</w:t>
      </w:r>
      <w:r w:rsidR="009C478C">
        <w:rPr>
          <w:sz w:val="24"/>
          <w:szCs w:val="24"/>
        </w:rPr>
        <w:t>,</w:t>
      </w:r>
      <w:r>
        <w:rPr>
          <w:sz w:val="24"/>
          <w:szCs w:val="24"/>
        </w:rPr>
        <w:t xml:space="preserve"> EPA ICR #2152.02.</w:t>
      </w:r>
    </w:p>
    <w:p w14:paraId="09DB9C01" w14:textId="77777777" w:rsidR="004D07FA" w:rsidRDefault="004D07FA" w:rsidP="00EE4654">
      <w:pPr>
        <w:widowControl/>
        <w:ind w:firstLine="720"/>
        <w:rPr>
          <w:sz w:val="24"/>
          <w:szCs w:val="24"/>
        </w:rPr>
      </w:pPr>
    </w:p>
    <w:p w14:paraId="48FC9799" w14:textId="77777777" w:rsidR="00D759B9" w:rsidRDefault="00D759B9" w:rsidP="00CA6A09">
      <w:pPr>
        <w:pStyle w:val="NormalWeb"/>
        <w:spacing w:before="0" w:beforeAutospacing="0" w:after="0" w:afterAutospacing="0"/>
        <w:ind w:left="720"/>
        <w:rPr>
          <w:i/>
        </w:rPr>
      </w:pPr>
      <w:r>
        <w:rPr>
          <w:i/>
        </w:rPr>
        <w:t>(iv)  Fuel Sampling</w:t>
      </w:r>
    </w:p>
    <w:p w14:paraId="1D50A7A2" w14:textId="77777777" w:rsidR="004D07FA" w:rsidRDefault="004D07FA" w:rsidP="00EE4654">
      <w:pPr>
        <w:pStyle w:val="NormalWeb"/>
        <w:spacing w:before="0" w:beforeAutospacing="0" w:after="0" w:afterAutospacing="0"/>
        <w:rPr>
          <w:i/>
        </w:rPr>
      </w:pPr>
    </w:p>
    <w:p w14:paraId="3A3BA1F5" w14:textId="77777777" w:rsidR="00D759B9" w:rsidRDefault="00D759B9" w:rsidP="00EE4654">
      <w:pPr>
        <w:widowControl/>
        <w:ind w:firstLine="720"/>
        <w:rPr>
          <w:sz w:val="24"/>
          <w:szCs w:val="24"/>
        </w:rPr>
      </w:pPr>
      <w:r>
        <w:rPr>
          <w:sz w:val="24"/>
          <w:szCs w:val="24"/>
        </w:rPr>
        <w:t xml:space="preserve">To calculate heat input where the source is using the fuel flowmeter option for an oil or gas-fired unit, the source must obtain gross calorific value </w:t>
      </w:r>
      <w:r w:rsidR="00CF5A1A">
        <w:rPr>
          <w:sz w:val="24"/>
          <w:szCs w:val="24"/>
        </w:rPr>
        <w:t xml:space="preserve">(GCV) </w:t>
      </w:r>
      <w:r>
        <w:rPr>
          <w:sz w:val="24"/>
          <w:szCs w:val="24"/>
        </w:rPr>
        <w:t>data from sampling in accordance with Appendix D of Part 75.  For purposes of this ICR, it is assumed that the GCV data would be collected as part of standard business operating procedures to assure compliance with contractual specifications.  Thus no additional fuel sampling burdens or costs should be incurred.  This is consistent with the Rule to Reduce Interstate Transport of Fine Particulate Matter and Ozone (Clean Air Interstate Rule)</w:t>
      </w:r>
      <w:r w:rsidR="009C478C">
        <w:rPr>
          <w:sz w:val="24"/>
          <w:szCs w:val="24"/>
        </w:rPr>
        <w:t>,</w:t>
      </w:r>
      <w:r>
        <w:rPr>
          <w:sz w:val="24"/>
          <w:szCs w:val="24"/>
        </w:rPr>
        <w:t xml:space="preserve"> EPA ICR #2152.0</w:t>
      </w:r>
      <w:r w:rsidR="00DD1105">
        <w:rPr>
          <w:sz w:val="24"/>
          <w:szCs w:val="24"/>
        </w:rPr>
        <w:t>4</w:t>
      </w:r>
      <w:r>
        <w:rPr>
          <w:sz w:val="24"/>
          <w:szCs w:val="24"/>
        </w:rPr>
        <w:t>.</w:t>
      </w:r>
    </w:p>
    <w:p w14:paraId="1CC0FF02" w14:textId="77777777" w:rsidR="00337946" w:rsidRDefault="00337946" w:rsidP="00EE4654">
      <w:pPr>
        <w:pStyle w:val="NormalWeb"/>
        <w:spacing w:before="0" w:beforeAutospacing="0" w:after="0" w:afterAutospacing="0"/>
        <w:rPr>
          <w:rStyle w:val="Strong"/>
        </w:rPr>
      </w:pPr>
    </w:p>
    <w:p w14:paraId="3303C2C0" w14:textId="77777777" w:rsidR="00D759B9" w:rsidRDefault="00D759B9" w:rsidP="00EE4654">
      <w:pPr>
        <w:pStyle w:val="NormalWeb"/>
        <w:spacing w:before="0" w:beforeAutospacing="0" w:after="0" w:afterAutospacing="0"/>
        <w:rPr>
          <w:rStyle w:val="Strong"/>
        </w:rPr>
      </w:pPr>
      <w:r>
        <w:rPr>
          <w:rStyle w:val="Strong"/>
        </w:rPr>
        <w:t>Estimating the Respondent Universe and Total Burden and Costs</w:t>
      </w:r>
      <w:r w:rsidR="00E67896">
        <w:rPr>
          <w:rStyle w:val="Strong"/>
        </w:rPr>
        <w:t xml:space="preserve"> for </w:t>
      </w:r>
      <w:r w:rsidR="00931B38">
        <w:rPr>
          <w:rStyle w:val="Strong"/>
        </w:rPr>
        <w:t xml:space="preserve">Affected </w:t>
      </w:r>
      <w:r w:rsidR="00E67896">
        <w:rPr>
          <w:rStyle w:val="Strong"/>
        </w:rPr>
        <w:t>NBP Units</w:t>
      </w:r>
    </w:p>
    <w:p w14:paraId="3252FD1E" w14:textId="77777777" w:rsidR="004D07FA" w:rsidRDefault="004D07FA" w:rsidP="00EE4654">
      <w:pPr>
        <w:pStyle w:val="NormalWeb"/>
        <w:spacing w:before="0" w:beforeAutospacing="0" w:after="0" w:afterAutospacing="0"/>
      </w:pPr>
    </w:p>
    <w:p w14:paraId="34C538AC" w14:textId="7395B4C2" w:rsidR="00D759B9" w:rsidRDefault="00D759B9" w:rsidP="00EE4654">
      <w:pPr>
        <w:pStyle w:val="NormalWeb"/>
        <w:spacing w:before="0" w:beforeAutospacing="0" w:after="0" w:afterAutospacing="0"/>
        <w:ind w:firstLine="720"/>
      </w:pPr>
      <w:r>
        <w:t>EPA estimates that</w:t>
      </w:r>
      <w:r w:rsidR="00E67896">
        <w:t xml:space="preserve"> there are </w:t>
      </w:r>
      <w:r w:rsidR="00F04ECA">
        <w:t>460</w:t>
      </w:r>
      <w:r w:rsidR="00B37DC4">
        <w:t xml:space="preserve"> </w:t>
      </w:r>
      <w:r w:rsidR="00655DBB">
        <w:t xml:space="preserve">affected </w:t>
      </w:r>
      <w:r w:rsidR="00E67896">
        <w:t xml:space="preserve">units that will continue to conduct monitoring in accordance with Part 75 solely under the </w:t>
      </w:r>
      <w:r w:rsidR="00DF3A14">
        <w:t>NO</w:t>
      </w:r>
      <w:r w:rsidR="00DF3A14" w:rsidRPr="00C23056">
        <w:rPr>
          <w:vertAlign w:val="subscript"/>
        </w:rPr>
        <w:t>x</w:t>
      </w:r>
      <w:r w:rsidR="00E67896">
        <w:t xml:space="preserve"> SIP </w:t>
      </w:r>
      <w:r w:rsidR="00C401F6">
        <w:t>Call</w:t>
      </w:r>
      <w:r w:rsidR="00E67896">
        <w:t xml:space="preserve">. </w:t>
      </w:r>
      <w:r w:rsidR="005B5D60">
        <w:t>Table 6-</w:t>
      </w:r>
      <w:r w:rsidR="00116F2C">
        <w:t>2</w:t>
      </w:r>
      <w:r>
        <w:t xml:space="preserve"> shows the total burden and total cost </w:t>
      </w:r>
      <w:r w:rsidR="00E67896">
        <w:t xml:space="preserve">for </w:t>
      </w:r>
      <w:r>
        <w:t>this respondent universe.</w:t>
      </w:r>
    </w:p>
    <w:p w14:paraId="0D1BF0FC" w14:textId="77777777" w:rsidR="004D07FA" w:rsidRDefault="004D07FA" w:rsidP="004D07FA">
      <w:pPr>
        <w:pStyle w:val="NormalWeb"/>
        <w:spacing w:before="0" w:beforeAutospacing="0" w:after="0" w:afterAutospacing="0"/>
      </w:pPr>
    </w:p>
    <w:p w14:paraId="03F8A681" w14:textId="77777777" w:rsidR="00E67896" w:rsidRDefault="00E67896" w:rsidP="00E67896">
      <w:pPr>
        <w:pStyle w:val="NormalWeb"/>
        <w:spacing w:before="0" w:beforeAutospacing="0" w:after="0" w:afterAutospacing="0"/>
        <w:rPr>
          <w:rStyle w:val="Strong"/>
        </w:rPr>
      </w:pPr>
      <w:r>
        <w:rPr>
          <w:rStyle w:val="Strong"/>
        </w:rPr>
        <w:t>Estimating Agency Burden and Cost</w:t>
      </w:r>
    </w:p>
    <w:p w14:paraId="751843C1" w14:textId="77777777" w:rsidR="00E67896" w:rsidRDefault="00E67896" w:rsidP="00E67896">
      <w:pPr>
        <w:pStyle w:val="NormalWeb"/>
        <w:spacing w:before="0" w:beforeAutospacing="0" w:after="0" w:afterAutospacing="0"/>
      </w:pPr>
    </w:p>
    <w:p w14:paraId="3EEC395A" w14:textId="41D178C9" w:rsidR="00E67896" w:rsidRDefault="00E67896" w:rsidP="00E67896">
      <w:pPr>
        <w:pStyle w:val="NormalWeb"/>
        <w:spacing w:before="0" w:beforeAutospacing="0" w:after="0" w:afterAutospacing="0"/>
        <w:ind w:firstLine="720"/>
      </w:pPr>
      <w:r>
        <w:t xml:space="preserve">The tasks that will be performed by EPA include processing, reviewing, and evaluating emissions data reports submitted by </w:t>
      </w:r>
      <w:r w:rsidR="005B5D60">
        <w:t xml:space="preserve">the </w:t>
      </w:r>
      <w:r w:rsidR="00655DBB">
        <w:t xml:space="preserve">affected </w:t>
      </w:r>
      <w:r w:rsidR="005B5D60">
        <w:t>units</w:t>
      </w:r>
      <w:r>
        <w:t>,</w:t>
      </w:r>
      <w:r w:rsidR="005B5D60">
        <w:t xml:space="preserve"> </w:t>
      </w:r>
      <w:r>
        <w:t xml:space="preserve">and conducting appropriate audit activities to verify the information provided.  Assuming that the </w:t>
      </w:r>
      <w:r w:rsidR="002A2095">
        <w:t xml:space="preserve">460 </w:t>
      </w:r>
      <w:r w:rsidR="00655DBB">
        <w:t xml:space="preserve">affected </w:t>
      </w:r>
      <w:r w:rsidR="004C3FB2">
        <w:t>units will</w:t>
      </w:r>
      <w:r>
        <w:t xml:space="preserve"> submit </w:t>
      </w:r>
      <w:r w:rsidR="00582FBE">
        <w:t xml:space="preserve">1600 </w:t>
      </w:r>
      <w:r w:rsidR="00D64FC2">
        <w:t xml:space="preserve">quarterly </w:t>
      </w:r>
      <w:r w:rsidRPr="00337946">
        <w:t>emission reports</w:t>
      </w:r>
      <w:r>
        <w:t xml:space="preserve"> to EPA</w:t>
      </w:r>
      <w:r w:rsidR="00D64FC2">
        <w:t xml:space="preserve"> each year</w:t>
      </w:r>
      <w:r>
        <w:t xml:space="preserve">, the total annual burden incurred by the Agency will </w:t>
      </w:r>
      <w:r w:rsidRPr="00337946">
        <w:t xml:space="preserve">be </w:t>
      </w:r>
      <w:r w:rsidR="00582FBE">
        <w:t>3200</w:t>
      </w:r>
      <w:r w:rsidR="00582FBE" w:rsidRPr="00337946">
        <w:t xml:space="preserve"> </w:t>
      </w:r>
      <w:r w:rsidRPr="00337946">
        <w:t>hours.</w:t>
      </w:r>
      <w:r>
        <w:t xml:space="preserve">  </w:t>
      </w:r>
      <w:r w:rsidR="00024827">
        <w:t>(</w:t>
      </w:r>
      <w:r w:rsidR="00786AB2">
        <w:t xml:space="preserve">The </w:t>
      </w:r>
      <w:r w:rsidR="002A2095">
        <w:t xml:space="preserve">estimated </w:t>
      </w:r>
      <w:r w:rsidR="00024827">
        <w:t xml:space="preserve">annual total of </w:t>
      </w:r>
      <w:r w:rsidR="00582FBE">
        <w:t xml:space="preserve">1600 </w:t>
      </w:r>
      <w:r w:rsidR="00D64FC2">
        <w:t xml:space="preserve">quarterly </w:t>
      </w:r>
      <w:r w:rsidR="00786AB2">
        <w:t xml:space="preserve">emissions reports is based on </w:t>
      </w:r>
      <w:r w:rsidR="002A2095">
        <w:t xml:space="preserve">an assumption that </w:t>
      </w:r>
      <w:r w:rsidR="00582FBE">
        <w:t xml:space="preserve">340 </w:t>
      </w:r>
      <w:r w:rsidR="002A2095">
        <w:t>units will submit reports for all four quarters each year and 120 units will submit reports only for the two quarters each year that encompass the May-September ozone season</w:t>
      </w:r>
      <w:r w:rsidR="00786AB2">
        <w:t>.</w:t>
      </w:r>
      <w:r w:rsidR="00024827">
        <w:t>)</w:t>
      </w:r>
      <w:r w:rsidR="00786AB2">
        <w:t xml:space="preserve"> </w:t>
      </w:r>
      <w:r>
        <w:t xml:space="preserve">The total annual cost to EPA for processing, reviewing, and evaluating these quarterly emissions reports will be approximately </w:t>
      </w:r>
      <w:r w:rsidRPr="00337946">
        <w:t>$</w:t>
      </w:r>
      <w:r w:rsidR="000745CE">
        <w:t>166,912</w:t>
      </w:r>
      <w:r w:rsidRPr="00337946">
        <w:t>.</w:t>
      </w:r>
      <w:r>
        <w:t xml:space="preserve">  </w:t>
      </w:r>
      <w:r w:rsidR="005B5D60">
        <w:t>Table 6-</w:t>
      </w:r>
      <w:r w:rsidR="00116F2C">
        <w:t>3</w:t>
      </w:r>
      <w:r>
        <w:t xml:space="preserve"> summarizes the Agency burden and costs associated with emissions reporting.</w:t>
      </w:r>
    </w:p>
    <w:p w14:paraId="0760FD74" w14:textId="77777777" w:rsidR="00D759B9" w:rsidRDefault="00D759B9" w:rsidP="00BD387B">
      <w:pPr>
        <w:pStyle w:val="NormalWeb"/>
        <w:ind w:firstLine="720"/>
        <w:sectPr w:rsidR="00D759B9" w:rsidSect="00886008">
          <w:headerReference w:type="default" r:id="rId9"/>
          <w:footerReference w:type="default" r:id="rId10"/>
          <w:headerReference w:type="first" r:id="rId11"/>
          <w:pgSz w:w="12240" w:h="15840" w:code="1"/>
          <w:pgMar w:top="720" w:right="1440" w:bottom="1440" w:left="1440" w:header="720" w:footer="720" w:gutter="0"/>
          <w:pgNumType w:start="1"/>
          <w:cols w:space="720"/>
          <w:titlePg/>
          <w:docGrid w:linePitch="272"/>
        </w:sectPr>
      </w:pPr>
    </w:p>
    <w:p w14:paraId="2EE7F0C2" w14:textId="5A4A6FBD" w:rsidR="00D759B9" w:rsidRDefault="005B5D60" w:rsidP="004D07FA">
      <w:pPr>
        <w:pStyle w:val="NormalWeb"/>
        <w:spacing w:before="0" w:beforeAutospacing="0" w:after="0" w:afterAutospacing="0"/>
        <w:jc w:val="center"/>
        <w:rPr>
          <w:b/>
        </w:rPr>
      </w:pPr>
      <w:r>
        <w:rPr>
          <w:b/>
        </w:rPr>
        <w:t>TABLE 6-</w:t>
      </w:r>
      <w:r w:rsidR="00116F2C">
        <w:rPr>
          <w:b/>
        </w:rPr>
        <w:t>2</w:t>
      </w:r>
      <w:r w:rsidR="004D07FA">
        <w:rPr>
          <w:b/>
        </w:rPr>
        <w:t xml:space="preserve">:  </w:t>
      </w:r>
      <w:r w:rsidR="00D759B9">
        <w:rPr>
          <w:b/>
        </w:rPr>
        <w:t xml:space="preserve">ANNUAL RESPONDENT BURDEN/COST ESTIMATES FOR </w:t>
      </w:r>
      <w:r w:rsidR="00655DBB">
        <w:rPr>
          <w:b/>
        </w:rPr>
        <w:t xml:space="preserve">AFFECTED </w:t>
      </w:r>
      <w:r>
        <w:rPr>
          <w:b/>
        </w:rPr>
        <w:t>UNITS</w:t>
      </w:r>
    </w:p>
    <w:tbl>
      <w:tblPr>
        <w:tblW w:w="12960" w:type="dxa"/>
        <w:jc w:val="center"/>
        <w:tblLayout w:type="fixed"/>
        <w:tblCellMar>
          <w:top w:w="72" w:type="dxa"/>
          <w:left w:w="72" w:type="dxa"/>
          <w:bottom w:w="72" w:type="dxa"/>
          <w:right w:w="72" w:type="dxa"/>
        </w:tblCellMar>
        <w:tblLook w:val="04A0" w:firstRow="1" w:lastRow="0" w:firstColumn="1" w:lastColumn="0" w:noHBand="0" w:noVBand="1"/>
      </w:tblPr>
      <w:tblGrid>
        <w:gridCol w:w="2694"/>
        <w:gridCol w:w="958"/>
        <w:gridCol w:w="958"/>
        <w:gridCol w:w="1294"/>
        <w:gridCol w:w="1141"/>
        <w:gridCol w:w="975"/>
        <w:gridCol w:w="990"/>
        <w:gridCol w:w="1430"/>
        <w:gridCol w:w="1239"/>
        <w:gridCol w:w="1281"/>
      </w:tblGrid>
      <w:tr w:rsidR="00011F49" w:rsidRPr="004D07FA" w14:paraId="2922B967" w14:textId="77777777" w:rsidTr="005755AC">
        <w:trPr>
          <w:trHeight w:val="780"/>
          <w:jc w:val="center"/>
        </w:trPr>
        <w:tc>
          <w:tcPr>
            <w:tcW w:w="2694" w:type="dxa"/>
            <w:tcBorders>
              <w:top w:val="single" w:sz="4" w:space="0" w:color="000000"/>
              <w:left w:val="single" w:sz="4" w:space="0" w:color="000000"/>
              <w:bottom w:val="nil"/>
              <w:right w:val="single" w:sz="4" w:space="0" w:color="000000"/>
            </w:tcBorders>
            <w:shd w:val="pct10" w:color="auto" w:fill="auto"/>
            <w:vAlign w:val="bottom"/>
          </w:tcPr>
          <w:p w14:paraId="130BFD00" w14:textId="77777777" w:rsidR="00011F49" w:rsidRPr="004D07FA" w:rsidRDefault="00011F49" w:rsidP="005755AC">
            <w:pPr>
              <w:widowControl/>
              <w:autoSpaceDE/>
              <w:autoSpaceDN/>
              <w:adjustRightInd/>
              <w:jc w:val="center"/>
              <w:rPr>
                <w:b/>
                <w:bCs/>
                <w:color w:val="000000"/>
                <w:sz w:val="22"/>
              </w:rPr>
            </w:pPr>
            <w:r w:rsidRPr="004D07FA">
              <w:rPr>
                <w:b/>
                <w:bCs/>
                <w:color w:val="000000"/>
                <w:sz w:val="22"/>
              </w:rPr>
              <w:t>Information Collection Activity</w:t>
            </w:r>
          </w:p>
        </w:tc>
        <w:tc>
          <w:tcPr>
            <w:tcW w:w="958" w:type="dxa"/>
            <w:tcBorders>
              <w:top w:val="single" w:sz="4" w:space="0" w:color="000000"/>
              <w:left w:val="nil"/>
              <w:bottom w:val="nil"/>
              <w:right w:val="single" w:sz="4" w:space="0" w:color="000000"/>
            </w:tcBorders>
            <w:shd w:val="pct10" w:color="auto" w:fill="auto"/>
            <w:vAlign w:val="bottom"/>
          </w:tcPr>
          <w:p w14:paraId="4DF59728" w14:textId="786DE42F" w:rsidR="00011F49" w:rsidRPr="004D07FA" w:rsidRDefault="00011F49" w:rsidP="00962154">
            <w:pPr>
              <w:widowControl/>
              <w:autoSpaceDE/>
              <w:autoSpaceDN/>
              <w:adjustRightInd/>
              <w:jc w:val="center"/>
              <w:rPr>
                <w:b/>
                <w:bCs/>
                <w:color w:val="000000"/>
                <w:sz w:val="22"/>
              </w:rPr>
            </w:pPr>
            <w:r w:rsidRPr="004D07FA">
              <w:rPr>
                <w:b/>
                <w:bCs/>
                <w:color w:val="000000"/>
                <w:sz w:val="22"/>
              </w:rPr>
              <w:t>Mgr. $</w:t>
            </w:r>
            <w:r w:rsidR="00962154">
              <w:rPr>
                <w:b/>
                <w:bCs/>
                <w:color w:val="000000"/>
                <w:sz w:val="22"/>
              </w:rPr>
              <w:t>112.22</w:t>
            </w:r>
            <w:r w:rsidRPr="004D07FA">
              <w:rPr>
                <w:b/>
                <w:bCs/>
                <w:color w:val="000000"/>
                <w:sz w:val="22"/>
              </w:rPr>
              <w:t>/ Hour</w:t>
            </w:r>
          </w:p>
        </w:tc>
        <w:tc>
          <w:tcPr>
            <w:tcW w:w="958" w:type="dxa"/>
            <w:tcBorders>
              <w:top w:val="single" w:sz="4" w:space="0" w:color="000000"/>
              <w:left w:val="nil"/>
              <w:bottom w:val="nil"/>
              <w:right w:val="single" w:sz="4" w:space="0" w:color="000000"/>
            </w:tcBorders>
            <w:shd w:val="pct10" w:color="auto" w:fill="auto"/>
            <w:vAlign w:val="bottom"/>
          </w:tcPr>
          <w:p w14:paraId="61B4AF2C" w14:textId="2AD7E439" w:rsidR="00011F49" w:rsidRPr="004D07FA" w:rsidRDefault="00011F49" w:rsidP="00962154">
            <w:pPr>
              <w:widowControl/>
              <w:autoSpaceDE/>
              <w:autoSpaceDN/>
              <w:adjustRightInd/>
              <w:jc w:val="center"/>
              <w:rPr>
                <w:b/>
                <w:bCs/>
                <w:color w:val="000000"/>
                <w:sz w:val="22"/>
              </w:rPr>
            </w:pPr>
            <w:r w:rsidRPr="004D07FA">
              <w:rPr>
                <w:b/>
                <w:bCs/>
                <w:color w:val="000000"/>
                <w:sz w:val="22"/>
              </w:rPr>
              <w:t>Tech. $</w:t>
            </w:r>
            <w:r w:rsidR="00962154">
              <w:rPr>
                <w:b/>
                <w:bCs/>
                <w:color w:val="000000"/>
                <w:sz w:val="22"/>
              </w:rPr>
              <w:t>77.66</w:t>
            </w:r>
            <w:r w:rsidRPr="004D07FA">
              <w:rPr>
                <w:b/>
                <w:bCs/>
                <w:color w:val="000000"/>
                <w:sz w:val="22"/>
              </w:rPr>
              <w:t>/ Hour</w:t>
            </w:r>
          </w:p>
        </w:tc>
        <w:tc>
          <w:tcPr>
            <w:tcW w:w="1294" w:type="dxa"/>
            <w:tcBorders>
              <w:top w:val="single" w:sz="4" w:space="0" w:color="000000"/>
              <w:left w:val="nil"/>
              <w:bottom w:val="nil"/>
              <w:right w:val="single" w:sz="4" w:space="0" w:color="000000"/>
            </w:tcBorders>
            <w:shd w:val="pct10" w:color="auto" w:fill="auto"/>
            <w:vAlign w:val="bottom"/>
          </w:tcPr>
          <w:p w14:paraId="6BB11C6C" w14:textId="77777777" w:rsidR="00011F49" w:rsidRPr="004D07FA" w:rsidRDefault="00011F49" w:rsidP="005755AC">
            <w:pPr>
              <w:widowControl/>
              <w:autoSpaceDE/>
              <w:autoSpaceDN/>
              <w:adjustRightInd/>
              <w:jc w:val="center"/>
              <w:rPr>
                <w:b/>
                <w:bCs/>
                <w:color w:val="000000"/>
                <w:sz w:val="22"/>
              </w:rPr>
            </w:pPr>
            <w:r>
              <w:rPr>
                <w:b/>
                <w:bCs/>
                <w:color w:val="000000"/>
                <w:sz w:val="22"/>
              </w:rPr>
              <w:t>Respondent Hours/</w:t>
            </w:r>
            <w:r w:rsidRPr="004D07FA">
              <w:rPr>
                <w:b/>
                <w:bCs/>
                <w:color w:val="000000"/>
                <w:sz w:val="22"/>
              </w:rPr>
              <w:t>Year</w:t>
            </w:r>
          </w:p>
        </w:tc>
        <w:tc>
          <w:tcPr>
            <w:tcW w:w="1141" w:type="dxa"/>
            <w:tcBorders>
              <w:top w:val="single" w:sz="4" w:space="0" w:color="000000"/>
              <w:left w:val="nil"/>
              <w:bottom w:val="nil"/>
              <w:right w:val="single" w:sz="4" w:space="0" w:color="000000"/>
            </w:tcBorders>
            <w:shd w:val="pct10" w:color="auto" w:fill="auto"/>
            <w:vAlign w:val="bottom"/>
          </w:tcPr>
          <w:p w14:paraId="049C5B97" w14:textId="77777777" w:rsidR="00011F49" w:rsidRPr="004D07FA" w:rsidRDefault="00011F49" w:rsidP="005755AC">
            <w:pPr>
              <w:widowControl/>
              <w:autoSpaceDE/>
              <w:autoSpaceDN/>
              <w:adjustRightInd/>
              <w:jc w:val="center"/>
              <w:rPr>
                <w:b/>
                <w:bCs/>
                <w:color w:val="000000"/>
                <w:sz w:val="22"/>
              </w:rPr>
            </w:pPr>
            <w:r w:rsidRPr="004D07FA">
              <w:rPr>
                <w:b/>
                <w:bCs/>
                <w:color w:val="000000"/>
                <w:sz w:val="22"/>
              </w:rPr>
              <w:t>Labor Cost/Year</w:t>
            </w:r>
          </w:p>
        </w:tc>
        <w:tc>
          <w:tcPr>
            <w:tcW w:w="975" w:type="dxa"/>
            <w:tcBorders>
              <w:top w:val="single" w:sz="4" w:space="0" w:color="000000"/>
              <w:left w:val="nil"/>
              <w:bottom w:val="single" w:sz="4" w:space="0" w:color="auto"/>
              <w:right w:val="nil"/>
            </w:tcBorders>
            <w:shd w:val="pct10" w:color="auto" w:fill="auto"/>
            <w:vAlign w:val="bottom"/>
          </w:tcPr>
          <w:p w14:paraId="7D72692C" w14:textId="77777777" w:rsidR="00011F49" w:rsidRPr="004D07FA" w:rsidRDefault="00011F49" w:rsidP="005755AC">
            <w:pPr>
              <w:widowControl/>
              <w:autoSpaceDE/>
              <w:autoSpaceDN/>
              <w:adjustRightInd/>
              <w:jc w:val="center"/>
              <w:rPr>
                <w:b/>
                <w:bCs/>
                <w:color w:val="000000"/>
                <w:sz w:val="22"/>
              </w:rPr>
            </w:pPr>
            <w:r w:rsidRPr="004D07FA">
              <w:rPr>
                <w:b/>
                <w:bCs/>
                <w:color w:val="000000"/>
                <w:sz w:val="22"/>
              </w:rPr>
              <w:t>Cont./ O&amp;M Cost</w:t>
            </w:r>
          </w:p>
        </w:tc>
        <w:tc>
          <w:tcPr>
            <w:tcW w:w="990" w:type="dxa"/>
            <w:tcBorders>
              <w:top w:val="single" w:sz="4" w:space="0" w:color="000000"/>
              <w:left w:val="single" w:sz="4" w:space="0" w:color="000000"/>
              <w:bottom w:val="nil"/>
              <w:right w:val="single" w:sz="4" w:space="0" w:color="000000"/>
            </w:tcBorders>
            <w:shd w:val="pct10" w:color="auto" w:fill="auto"/>
            <w:vAlign w:val="bottom"/>
          </w:tcPr>
          <w:p w14:paraId="2939BB77" w14:textId="77777777" w:rsidR="00011F49" w:rsidRPr="004D07FA" w:rsidRDefault="00011F49" w:rsidP="005755AC">
            <w:pPr>
              <w:widowControl/>
              <w:autoSpaceDE/>
              <w:autoSpaceDN/>
              <w:adjustRightInd/>
              <w:jc w:val="center"/>
              <w:rPr>
                <w:b/>
                <w:bCs/>
                <w:color w:val="000000"/>
                <w:sz w:val="22"/>
              </w:rPr>
            </w:pPr>
            <w:r w:rsidRPr="004D07FA">
              <w:rPr>
                <w:b/>
                <w:bCs/>
                <w:color w:val="000000"/>
                <w:sz w:val="22"/>
              </w:rPr>
              <w:t>Capital/ Startup Cost</w:t>
            </w:r>
          </w:p>
        </w:tc>
        <w:tc>
          <w:tcPr>
            <w:tcW w:w="1430" w:type="dxa"/>
            <w:tcBorders>
              <w:top w:val="single" w:sz="4" w:space="0" w:color="000000"/>
              <w:left w:val="nil"/>
              <w:bottom w:val="nil"/>
              <w:right w:val="single" w:sz="4" w:space="0" w:color="000000"/>
            </w:tcBorders>
            <w:shd w:val="pct10" w:color="auto" w:fill="auto"/>
            <w:vAlign w:val="bottom"/>
          </w:tcPr>
          <w:p w14:paraId="26D98F16" w14:textId="77777777" w:rsidR="00011F49" w:rsidRPr="004D07FA" w:rsidRDefault="00011F49" w:rsidP="00011F49">
            <w:pPr>
              <w:widowControl/>
              <w:autoSpaceDE/>
              <w:autoSpaceDN/>
              <w:adjustRightInd/>
              <w:jc w:val="center"/>
              <w:rPr>
                <w:b/>
                <w:bCs/>
                <w:color w:val="000000"/>
                <w:sz w:val="22"/>
              </w:rPr>
            </w:pPr>
            <w:r>
              <w:rPr>
                <w:b/>
                <w:bCs/>
                <w:color w:val="000000"/>
                <w:sz w:val="22"/>
              </w:rPr>
              <w:t>Number</w:t>
            </w:r>
            <w:r w:rsidRPr="004D07FA">
              <w:rPr>
                <w:b/>
                <w:bCs/>
                <w:color w:val="000000"/>
                <w:sz w:val="22"/>
              </w:rPr>
              <w:t xml:space="preserve"> of Respondents</w:t>
            </w:r>
          </w:p>
        </w:tc>
        <w:tc>
          <w:tcPr>
            <w:tcW w:w="1239" w:type="dxa"/>
            <w:tcBorders>
              <w:top w:val="single" w:sz="4" w:space="0" w:color="000000"/>
              <w:left w:val="nil"/>
              <w:bottom w:val="nil"/>
              <w:right w:val="single" w:sz="4" w:space="0" w:color="000000"/>
            </w:tcBorders>
            <w:shd w:val="pct10" w:color="auto" w:fill="auto"/>
            <w:vAlign w:val="bottom"/>
          </w:tcPr>
          <w:p w14:paraId="03530415" w14:textId="77777777" w:rsidR="00011F49" w:rsidRPr="004D07FA" w:rsidRDefault="00011F49" w:rsidP="005755AC">
            <w:pPr>
              <w:widowControl/>
              <w:autoSpaceDE/>
              <w:autoSpaceDN/>
              <w:adjustRightInd/>
              <w:jc w:val="center"/>
              <w:rPr>
                <w:b/>
                <w:bCs/>
                <w:color w:val="000000"/>
                <w:sz w:val="22"/>
              </w:rPr>
            </w:pPr>
            <w:r w:rsidRPr="004D07FA">
              <w:rPr>
                <w:b/>
                <w:bCs/>
                <w:color w:val="000000"/>
                <w:sz w:val="22"/>
              </w:rPr>
              <w:t>Total Hours/</w:t>
            </w:r>
            <w:r>
              <w:rPr>
                <w:b/>
                <w:bCs/>
                <w:color w:val="000000"/>
                <w:sz w:val="22"/>
              </w:rPr>
              <w:br/>
            </w:r>
            <w:r w:rsidRPr="004D07FA">
              <w:rPr>
                <w:b/>
                <w:bCs/>
                <w:color w:val="000000"/>
                <w:sz w:val="22"/>
              </w:rPr>
              <w:t>Year</w:t>
            </w:r>
          </w:p>
        </w:tc>
        <w:tc>
          <w:tcPr>
            <w:tcW w:w="1281" w:type="dxa"/>
            <w:tcBorders>
              <w:top w:val="single" w:sz="4" w:space="0" w:color="000000"/>
              <w:left w:val="nil"/>
              <w:bottom w:val="nil"/>
              <w:right w:val="single" w:sz="4" w:space="0" w:color="000000"/>
            </w:tcBorders>
            <w:shd w:val="pct10" w:color="auto" w:fill="auto"/>
            <w:vAlign w:val="bottom"/>
          </w:tcPr>
          <w:p w14:paraId="22D038E0" w14:textId="77777777" w:rsidR="00011F49" w:rsidRPr="004D07FA" w:rsidRDefault="00011F49" w:rsidP="005755AC">
            <w:pPr>
              <w:widowControl/>
              <w:autoSpaceDE/>
              <w:autoSpaceDN/>
              <w:adjustRightInd/>
              <w:jc w:val="center"/>
              <w:rPr>
                <w:b/>
                <w:bCs/>
                <w:color w:val="000000"/>
                <w:sz w:val="22"/>
              </w:rPr>
            </w:pPr>
            <w:r w:rsidRPr="004D07FA">
              <w:rPr>
                <w:b/>
                <w:bCs/>
                <w:color w:val="000000"/>
                <w:sz w:val="22"/>
              </w:rPr>
              <w:t>Total Cost/Year</w:t>
            </w:r>
          </w:p>
        </w:tc>
      </w:tr>
      <w:tr w:rsidR="00011F49" w:rsidRPr="004D07FA" w14:paraId="0E079571" w14:textId="77777777" w:rsidTr="005755AC">
        <w:trPr>
          <w:trHeight w:val="510"/>
          <w:jc w:val="center"/>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342F6E99" w14:textId="77777777" w:rsidR="00011F49" w:rsidRPr="004D07FA" w:rsidRDefault="00011F49" w:rsidP="005755AC">
            <w:pPr>
              <w:widowControl/>
              <w:autoSpaceDE/>
              <w:autoSpaceDN/>
              <w:adjustRightInd/>
              <w:ind w:left="288" w:hanging="288"/>
              <w:rPr>
                <w:color w:val="000000"/>
              </w:rPr>
            </w:pPr>
            <w:r w:rsidRPr="004D07FA">
              <w:rPr>
                <w:color w:val="000000"/>
              </w:rPr>
              <w:t xml:space="preserve">1. </w:t>
            </w:r>
            <w:r>
              <w:rPr>
                <w:color w:val="000000"/>
              </w:rPr>
              <w:t xml:space="preserve"> </w:t>
            </w:r>
            <w:r w:rsidRPr="004D07FA">
              <w:rPr>
                <w:color w:val="000000"/>
              </w:rPr>
              <w:t>Review Instructions and Requirements</w:t>
            </w:r>
          </w:p>
        </w:tc>
        <w:tc>
          <w:tcPr>
            <w:tcW w:w="958" w:type="dxa"/>
            <w:tcBorders>
              <w:top w:val="single" w:sz="4" w:space="0" w:color="auto"/>
              <w:left w:val="nil"/>
              <w:bottom w:val="single" w:sz="4" w:space="0" w:color="auto"/>
              <w:right w:val="single" w:sz="4" w:space="0" w:color="auto"/>
            </w:tcBorders>
            <w:shd w:val="clear" w:color="auto" w:fill="auto"/>
            <w:vAlign w:val="bottom"/>
          </w:tcPr>
          <w:p w14:paraId="1AB2B6AE" w14:textId="77777777" w:rsidR="00011F49" w:rsidRPr="004D07FA" w:rsidRDefault="00011F49" w:rsidP="005755AC">
            <w:pPr>
              <w:widowControl/>
              <w:autoSpaceDE/>
              <w:autoSpaceDN/>
              <w:adjustRightInd/>
              <w:jc w:val="right"/>
              <w:rPr>
                <w:color w:val="000000"/>
              </w:rPr>
            </w:pPr>
            <w:r w:rsidRPr="004D07FA">
              <w:rPr>
                <w:color w:val="000000"/>
              </w:rPr>
              <w:t>4</w:t>
            </w:r>
          </w:p>
        </w:tc>
        <w:tc>
          <w:tcPr>
            <w:tcW w:w="958" w:type="dxa"/>
            <w:tcBorders>
              <w:top w:val="single" w:sz="4" w:space="0" w:color="auto"/>
              <w:left w:val="nil"/>
              <w:bottom w:val="single" w:sz="4" w:space="0" w:color="auto"/>
              <w:right w:val="single" w:sz="4" w:space="0" w:color="auto"/>
            </w:tcBorders>
            <w:shd w:val="clear" w:color="auto" w:fill="auto"/>
            <w:vAlign w:val="bottom"/>
          </w:tcPr>
          <w:p w14:paraId="5516F58B" w14:textId="77777777" w:rsidR="00011F49" w:rsidRPr="004D07FA" w:rsidRDefault="00011F49" w:rsidP="005755AC">
            <w:pPr>
              <w:widowControl/>
              <w:autoSpaceDE/>
              <w:autoSpaceDN/>
              <w:adjustRightInd/>
              <w:jc w:val="right"/>
              <w:rPr>
                <w:color w:val="000000"/>
              </w:rPr>
            </w:pPr>
            <w:r w:rsidRPr="004D07FA">
              <w:rPr>
                <w:color w:val="000000"/>
              </w:rPr>
              <w:t>4</w:t>
            </w:r>
          </w:p>
        </w:tc>
        <w:tc>
          <w:tcPr>
            <w:tcW w:w="1294" w:type="dxa"/>
            <w:tcBorders>
              <w:top w:val="single" w:sz="4" w:space="0" w:color="auto"/>
              <w:left w:val="nil"/>
              <w:bottom w:val="single" w:sz="4" w:space="0" w:color="auto"/>
              <w:right w:val="single" w:sz="4" w:space="0" w:color="auto"/>
            </w:tcBorders>
            <w:shd w:val="clear" w:color="auto" w:fill="auto"/>
            <w:vAlign w:val="bottom"/>
          </w:tcPr>
          <w:p w14:paraId="6CD6C882" w14:textId="77777777" w:rsidR="00011F49" w:rsidRPr="004D07FA" w:rsidRDefault="00011F49" w:rsidP="005755AC">
            <w:pPr>
              <w:widowControl/>
              <w:autoSpaceDE/>
              <w:autoSpaceDN/>
              <w:adjustRightInd/>
              <w:jc w:val="right"/>
              <w:rPr>
                <w:color w:val="000000"/>
              </w:rPr>
            </w:pPr>
            <w:r w:rsidRPr="004D07FA">
              <w:rPr>
                <w:color w:val="000000"/>
              </w:rPr>
              <w:t>8</w:t>
            </w:r>
          </w:p>
        </w:tc>
        <w:tc>
          <w:tcPr>
            <w:tcW w:w="1141" w:type="dxa"/>
            <w:tcBorders>
              <w:top w:val="single" w:sz="4" w:space="0" w:color="auto"/>
              <w:left w:val="nil"/>
              <w:bottom w:val="single" w:sz="4" w:space="0" w:color="auto"/>
              <w:right w:val="single" w:sz="4" w:space="0" w:color="auto"/>
            </w:tcBorders>
            <w:shd w:val="clear" w:color="auto" w:fill="auto"/>
            <w:vAlign w:val="bottom"/>
          </w:tcPr>
          <w:p w14:paraId="06D71C77" w14:textId="1B46E60B" w:rsidR="00011F49" w:rsidRPr="004D07FA" w:rsidRDefault="00011F49">
            <w:pPr>
              <w:widowControl/>
              <w:autoSpaceDE/>
              <w:autoSpaceDN/>
              <w:adjustRightInd/>
              <w:jc w:val="right"/>
              <w:rPr>
                <w:color w:val="000000"/>
              </w:rPr>
            </w:pPr>
            <w:r w:rsidRPr="004D07FA">
              <w:rPr>
                <w:color w:val="000000"/>
              </w:rPr>
              <w:t>$</w:t>
            </w:r>
            <w:r w:rsidR="00C0773D">
              <w:rPr>
                <w:color w:val="000000"/>
              </w:rPr>
              <w:t>760</w:t>
            </w:r>
            <w:r w:rsidR="00C0773D" w:rsidRPr="004D07FA">
              <w:rPr>
                <w:color w:val="000000"/>
              </w:rPr>
              <w:t xml:space="preserve"> </w:t>
            </w:r>
          </w:p>
        </w:tc>
        <w:tc>
          <w:tcPr>
            <w:tcW w:w="975" w:type="dxa"/>
            <w:tcBorders>
              <w:top w:val="nil"/>
              <w:left w:val="nil"/>
              <w:bottom w:val="single" w:sz="4" w:space="0" w:color="auto"/>
              <w:right w:val="nil"/>
            </w:tcBorders>
            <w:shd w:val="clear" w:color="auto" w:fill="auto"/>
            <w:vAlign w:val="bottom"/>
          </w:tcPr>
          <w:p w14:paraId="056BB0D0" w14:textId="77777777" w:rsidR="00011F49" w:rsidRPr="004D07FA" w:rsidRDefault="00011F49" w:rsidP="005755AC">
            <w:pPr>
              <w:widowControl/>
              <w:autoSpaceDE/>
              <w:autoSpaceDN/>
              <w:adjustRightInd/>
              <w:jc w:val="right"/>
              <w:rPr>
                <w:color w:val="000000"/>
              </w:rPr>
            </w:pPr>
            <w:r w:rsidRPr="004D07FA">
              <w:rPr>
                <w:color w:val="000000"/>
              </w:rPr>
              <w:t xml:space="preserve">$0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14:paraId="0F6ADC27" w14:textId="77777777" w:rsidR="00011F49" w:rsidRPr="004D07FA" w:rsidRDefault="00011F49" w:rsidP="005755AC">
            <w:pPr>
              <w:widowControl/>
              <w:autoSpaceDE/>
              <w:autoSpaceDN/>
              <w:adjustRightInd/>
              <w:jc w:val="right"/>
              <w:rPr>
                <w:color w:val="000000"/>
              </w:rPr>
            </w:pPr>
            <w:r w:rsidRPr="004D07FA">
              <w:rPr>
                <w:color w:val="000000"/>
              </w:rPr>
              <w:t xml:space="preserve">$0 </w:t>
            </w:r>
          </w:p>
        </w:tc>
        <w:tc>
          <w:tcPr>
            <w:tcW w:w="1430" w:type="dxa"/>
            <w:tcBorders>
              <w:top w:val="single" w:sz="4" w:space="0" w:color="auto"/>
              <w:left w:val="nil"/>
              <w:bottom w:val="single" w:sz="4" w:space="0" w:color="auto"/>
              <w:right w:val="single" w:sz="4" w:space="0" w:color="auto"/>
            </w:tcBorders>
            <w:shd w:val="clear" w:color="auto" w:fill="auto"/>
            <w:vAlign w:val="bottom"/>
          </w:tcPr>
          <w:p w14:paraId="118C8DAD" w14:textId="375B3001" w:rsidR="00011F49" w:rsidRPr="004D07FA" w:rsidRDefault="0069376D" w:rsidP="0069376D">
            <w:pPr>
              <w:widowControl/>
              <w:autoSpaceDE/>
              <w:autoSpaceDN/>
              <w:adjustRightInd/>
              <w:jc w:val="right"/>
              <w:rPr>
                <w:color w:val="000000"/>
              </w:rPr>
            </w:pPr>
            <w:r>
              <w:rPr>
                <w:color w:val="000000"/>
              </w:rPr>
              <w:t>75</w:t>
            </w:r>
          </w:p>
        </w:tc>
        <w:tc>
          <w:tcPr>
            <w:tcW w:w="1239" w:type="dxa"/>
            <w:tcBorders>
              <w:top w:val="single" w:sz="4" w:space="0" w:color="auto"/>
              <w:left w:val="nil"/>
              <w:bottom w:val="single" w:sz="4" w:space="0" w:color="auto"/>
              <w:right w:val="single" w:sz="4" w:space="0" w:color="auto"/>
            </w:tcBorders>
            <w:shd w:val="clear" w:color="auto" w:fill="auto"/>
            <w:vAlign w:val="bottom"/>
          </w:tcPr>
          <w:p w14:paraId="5823E097" w14:textId="404D7346" w:rsidR="00011F49" w:rsidRPr="004D07FA" w:rsidRDefault="0069376D" w:rsidP="005755AC">
            <w:pPr>
              <w:widowControl/>
              <w:autoSpaceDE/>
              <w:autoSpaceDN/>
              <w:adjustRightInd/>
              <w:jc w:val="right"/>
              <w:rPr>
                <w:color w:val="000000"/>
              </w:rPr>
            </w:pPr>
            <w:r>
              <w:rPr>
                <w:color w:val="000000"/>
              </w:rPr>
              <w:t>600</w:t>
            </w:r>
          </w:p>
        </w:tc>
        <w:tc>
          <w:tcPr>
            <w:tcW w:w="1281" w:type="dxa"/>
            <w:tcBorders>
              <w:top w:val="single" w:sz="4" w:space="0" w:color="auto"/>
              <w:left w:val="nil"/>
              <w:bottom w:val="single" w:sz="4" w:space="0" w:color="auto"/>
              <w:right w:val="single" w:sz="4" w:space="0" w:color="auto"/>
            </w:tcBorders>
            <w:shd w:val="clear" w:color="auto" w:fill="auto"/>
            <w:vAlign w:val="bottom"/>
          </w:tcPr>
          <w:p w14:paraId="736BEA47" w14:textId="764C2742" w:rsidR="00011F49" w:rsidRPr="004D07FA" w:rsidRDefault="00011F49" w:rsidP="0069376D">
            <w:pPr>
              <w:widowControl/>
              <w:autoSpaceDE/>
              <w:autoSpaceDN/>
              <w:adjustRightInd/>
              <w:jc w:val="right"/>
              <w:rPr>
                <w:color w:val="000000"/>
              </w:rPr>
            </w:pPr>
            <w:r w:rsidRPr="004D07FA">
              <w:rPr>
                <w:color w:val="000000"/>
              </w:rPr>
              <w:t>$</w:t>
            </w:r>
            <w:r w:rsidR="0069376D">
              <w:rPr>
                <w:color w:val="000000"/>
              </w:rPr>
              <w:t>56,964</w:t>
            </w:r>
          </w:p>
        </w:tc>
      </w:tr>
      <w:tr w:rsidR="00011F49" w:rsidRPr="004D07FA" w14:paraId="0467098A" w14:textId="77777777" w:rsidTr="005755AC">
        <w:trPr>
          <w:trHeight w:val="510"/>
          <w:jc w:val="center"/>
        </w:trPr>
        <w:tc>
          <w:tcPr>
            <w:tcW w:w="2694" w:type="dxa"/>
            <w:tcBorders>
              <w:top w:val="nil"/>
              <w:left w:val="single" w:sz="4" w:space="0" w:color="auto"/>
              <w:bottom w:val="single" w:sz="4" w:space="0" w:color="auto"/>
              <w:right w:val="single" w:sz="4" w:space="0" w:color="auto"/>
            </w:tcBorders>
            <w:shd w:val="clear" w:color="auto" w:fill="auto"/>
          </w:tcPr>
          <w:p w14:paraId="53FCB60A" w14:textId="77777777" w:rsidR="00011F49" w:rsidRPr="004D07FA" w:rsidRDefault="00011F49" w:rsidP="005755AC">
            <w:pPr>
              <w:widowControl/>
              <w:autoSpaceDE/>
              <w:autoSpaceDN/>
              <w:adjustRightInd/>
              <w:ind w:left="288" w:hanging="288"/>
              <w:rPr>
                <w:color w:val="000000"/>
              </w:rPr>
            </w:pPr>
            <w:r w:rsidRPr="004D07FA">
              <w:rPr>
                <w:color w:val="000000"/>
              </w:rPr>
              <w:t xml:space="preserve">2. </w:t>
            </w:r>
            <w:r>
              <w:rPr>
                <w:color w:val="000000"/>
              </w:rPr>
              <w:t xml:space="preserve"> </w:t>
            </w:r>
            <w:r w:rsidRPr="004D07FA">
              <w:rPr>
                <w:color w:val="000000"/>
              </w:rPr>
              <w:t>Respond to EPA Generated Error Messages, Field Audits</w:t>
            </w:r>
          </w:p>
        </w:tc>
        <w:tc>
          <w:tcPr>
            <w:tcW w:w="958" w:type="dxa"/>
            <w:tcBorders>
              <w:top w:val="nil"/>
              <w:left w:val="nil"/>
              <w:bottom w:val="single" w:sz="4" w:space="0" w:color="auto"/>
              <w:right w:val="single" w:sz="4" w:space="0" w:color="auto"/>
            </w:tcBorders>
            <w:shd w:val="clear" w:color="auto" w:fill="auto"/>
            <w:vAlign w:val="bottom"/>
          </w:tcPr>
          <w:p w14:paraId="20E07AFF" w14:textId="77777777" w:rsidR="00011F49" w:rsidRPr="004D07FA" w:rsidRDefault="00011F49" w:rsidP="005755AC">
            <w:pPr>
              <w:widowControl/>
              <w:autoSpaceDE/>
              <w:autoSpaceDN/>
              <w:adjustRightInd/>
              <w:jc w:val="right"/>
              <w:rPr>
                <w:color w:val="000000"/>
              </w:rPr>
            </w:pPr>
            <w:r w:rsidRPr="004D07FA">
              <w:rPr>
                <w:color w:val="000000"/>
              </w:rPr>
              <w:t>6</w:t>
            </w:r>
          </w:p>
        </w:tc>
        <w:tc>
          <w:tcPr>
            <w:tcW w:w="958" w:type="dxa"/>
            <w:tcBorders>
              <w:top w:val="nil"/>
              <w:left w:val="nil"/>
              <w:bottom w:val="single" w:sz="4" w:space="0" w:color="auto"/>
              <w:right w:val="single" w:sz="4" w:space="0" w:color="auto"/>
            </w:tcBorders>
            <w:shd w:val="clear" w:color="auto" w:fill="auto"/>
            <w:vAlign w:val="bottom"/>
          </w:tcPr>
          <w:p w14:paraId="5EDB488D" w14:textId="77777777" w:rsidR="00011F49" w:rsidRPr="004D07FA" w:rsidRDefault="00011F49" w:rsidP="005755AC">
            <w:pPr>
              <w:widowControl/>
              <w:autoSpaceDE/>
              <w:autoSpaceDN/>
              <w:adjustRightInd/>
              <w:jc w:val="right"/>
              <w:rPr>
                <w:color w:val="000000"/>
              </w:rPr>
            </w:pPr>
            <w:r w:rsidRPr="004D07FA">
              <w:rPr>
                <w:color w:val="000000"/>
              </w:rPr>
              <w:t>18</w:t>
            </w:r>
          </w:p>
        </w:tc>
        <w:tc>
          <w:tcPr>
            <w:tcW w:w="1294" w:type="dxa"/>
            <w:tcBorders>
              <w:top w:val="nil"/>
              <w:left w:val="nil"/>
              <w:bottom w:val="single" w:sz="4" w:space="0" w:color="auto"/>
              <w:right w:val="single" w:sz="4" w:space="0" w:color="auto"/>
            </w:tcBorders>
            <w:shd w:val="clear" w:color="auto" w:fill="auto"/>
            <w:vAlign w:val="bottom"/>
          </w:tcPr>
          <w:p w14:paraId="1D7B20BE" w14:textId="77777777" w:rsidR="00011F49" w:rsidRPr="004D07FA" w:rsidRDefault="00011F49" w:rsidP="005755AC">
            <w:pPr>
              <w:widowControl/>
              <w:autoSpaceDE/>
              <w:autoSpaceDN/>
              <w:adjustRightInd/>
              <w:jc w:val="right"/>
              <w:rPr>
                <w:color w:val="000000"/>
              </w:rPr>
            </w:pPr>
            <w:r w:rsidRPr="004D07FA">
              <w:rPr>
                <w:color w:val="000000"/>
              </w:rPr>
              <w:t>24</w:t>
            </w:r>
          </w:p>
        </w:tc>
        <w:tc>
          <w:tcPr>
            <w:tcW w:w="1141" w:type="dxa"/>
            <w:tcBorders>
              <w:top w:val="nil"/>
              <w:left w:val="nil"/>
              <w:bottom w:val="single" w:sz="4" w:space="0" w:color="auto"/>
              <w:right w:val="single" w:sz="4" w:space="0" w:color="auto"/>
            </w:tcBorders>
            <w:shd w:val="clear" w:color="auto" w:fill="auto"/>
            <w:vAlign w:val="bottom"/>
          </w:tcPr>
          <w:p w14:paraId="17A3D27F" w14:textId="6DC475F6" w:rsidR="00011F49" w:rsidRPr="004D07FA" w:rsidRDefault="00011F49">
            <w:pPr>
              <w:widowControl/>
              <w:autoSpaceDE/>
              <w:autoSpaceDN/>
              <w:adjustRightInd/>
              <w:jc w:val="right"/>
              <w:rPr>
                <w:color w:val="000000"/>
              </w:rPr>
            </w:pPr>
            <w:r w:rsidRPr="004D07FA">
              <w:rPr>
                <w:color w:val="000000"/>
              </w:rPr>
              <w:t>$</w:t>
            </w:r>
            <w:r w:rsidR="00C0773D">
              <w:rPr>
                <w:color w:val="000000"/>
              </w:rPr>
              <w:t>2</w:t>
            </w:r>
            <w:r w:rsidR="00A7258F">
              <w:rPr>
                <w:color w:val="000000"/>
              </w:rPr>
              <w:t>,</w:t>
            </w:r>
            <w:r w:rsidR="00C0773D">
              <w:rPr>
                <w:color w:val="000000"/>
              </w:rPr>
              <w:t>071</w:t>
            </w:r>
            <w:r w:rsidRPr="004D07FA">
              <w:rPr>
                <w:color w:val="000000"/>
              </w:rPr>
              <w:t xml:space="preserve"> </w:t>
            </w:r>
          </w:p>
        </w:tc>
        <w:tc>
          <w:tcPr>
            <w:tcW w:w="975" w:type="dxa"/>
            <w:tcBorders>
              <w:top w:val="nil"/>
              <w:left w:val="nil"/>
              <w:bottom w:val="single" w:sz="4" w:space="0" w:color="auto"/>
              <w:right w:val="nil"/>
            </w:tcBorders>
            <w:shd w:val="clear" w:color="auto" w:fill="auto"/>
            <w:vAlign w:val="bottom"/>
          </w:tcPr>
          <w:p w14:paraId="02CF11D4" w14:textId="77777777" w:rsidR="00011F49" w:rsidRPr="004D07FA" w:rsidRDefault="00011F49" w:rsidP="005755AC">
            <w:pPr>
              <w:widowControl/>
              <w:autoSpaceDE/>
              <w:autoSpaceDN/>
              <w:adjustRightInd/>
              <w:jc w:val="right"/>
              <w:rPr>
                <w:color w:val="000000"/>
              </w:rPr>
            </w:pPr>
            <w:r w:rsidRPr="004D07FA">
              <w:rPr>
                <w:color w:val="000000"/>
              </w:rPr>
              <w:t xml:space="preserve">$0 </w:t>
            </w:r>
          </w:p>
        </w:tc>
        <w:tc>
          <w:tcPr>
            <w:tcW w:w="990" w:type="dxa"/>
            <w:tcBorders>
              <w:top w:val="nil"/>
              <w:left w:val="single" w:sz="4" w:space="0" w:color="auto"/>
              <w:bottom w:val="single" w:sz="4" w:space="0" w:color="auto"/>
              <w:right w:val="single" w:sz="4" w:space="0" w:color="auto"/>
            </w:tcBorders>
            <w:shd w:val="clear" w:color="auto" w:fill="auto"/>
            <w:vAlign w:val="bottom"/>
          </w:tcPr>
          <w:p w14:paraId="5CEBB4A0" w14:textId="77777777" w:rsidR="00011F49" w:rsidRPr="004D07FA" w:rsidRDefault="00011F49" w:rsidP="005755AC">
            <w:pPr>
              <w:widowControl/>
              <w:autoSpaceDE/>
              <w:autoSpaceDN/>
              <w:adjustRightInd/>
              <w:jc w:val="right"/>
              <w:rPr>
                <w:color w:val="000000"/>
              </w:rPr>
            </w:pPr>
            <w:r w:rsidRPr="004D07FA">
              <w:rPr>
                <w:color w:val="000000"/>
              </w:rPr>
              <w:t xml:space="preserve">$0 </w:t>
            </w:r>
          </w:p>
        </w:tc>
        <w:tc>
          <w:tcPr>
            <w:tcW w:w="1430" w:type="dxa"/>
            <w:tcBorders>
              <w:top w:val="nil"/>
              <w:left w:val="nil"/>
              <w:bottom w:val="single" w:sz="4" w:space="0" w:color="auto"/>
              <w:right w:val="single" w:sz="4" w:space="0" w:color="auto"/>
            </w:tcBorders>
            <w:shd w:val="clear" w:color="auto" w:fill="auto"/>
            <w:vAlign w:val="bottom"/>
          </w:tcPr>
          <w:p w14:paraId="597D4A53" w14:textId="628AFF38" w:rsidR="00011F49" w:rsidRPr="004D07FA" w:rsidRDefault="0069376D" w:rsidP="005755AC">
            <w:pPr>
              <w:widowControl/>
              <w:autoSpaceDE/>
              <w:autoSpaceDN/>
              <w:adjustRightInd/>
              <w:jc w:val="right"/>
              <w:rPr>
                <w:color w:val="000000"/>
              </w:rPr>
            </w:pPr>
            <w:r>
              <w:rPr>
                <w:color w:val="000000"/>
              </w:rPr>
              <w:t>460</w:t>
            </w:r>
          </w:p>
        </w:tc>
        <w:tc>
          <w:tcPr>
            <w:tcW w:w="1239" w:type="dxa"/>
            <w:tcBorders>
              <w:top w:val="nil"/>
              <w:left w:val="nil"/>
              <w:bottom w:val="single" w:sz="4" w:space="0" w:color="auto"/>
              <w:right w:val="single" w:sz="4" w:space="0" w:color="auto"/>
            </w:tcBorders>
            <w:shd w:val="clear" w:color="auto" w:fill="auto"/>
            <w:vAlign w:val="bottom"/>
          </w:tcPr>
          <w:p w14:paraId="369927B9" w14:textId="096DE515" w:rsidR="00011F49" w:rsidRPr="004D07FA" w:rsidRDefault="0069376D" w:rsidP="005755AC">
            <w:pPr>
              <w:widowControl/>
              <w:autoSpaceDE/>
              <w:autoSpaceDN/>
              <w:adjustRightInd/>
              <w:jc w:val="right"/>
              <w:rPr>
                <w:color w:val="000000"/>
              </w:rPr>
            </w:pPr>
            <w:r>
              <w:rPr>
                <w:color w:val="000000"/>
              </w:rPr>
              <w:t>11,040</w:t>
            </w:r>
          </w:p>
        </w:tc>
        <w:tc>
          <w:tcPr>
            <w:tcW w:w="1281" w:type="dxa"/>
            <w:tcBorders>
              <w:top w:val="nil"/>
              <w:left w:val="nil"/>
              <w:bottom w:val="single" w:sz="4" w:space="0" w:color="auto"/>
              <w:right w:val="single" w:sz="4" w:space="0" w:color="auto"/>
            </w:tcBorders>
            <w:shd w:val="clear" w:color="auto" w:fill="auto"/>
            <w:vAlign w:val="bottom"/>
          </w:tcPr>
          <w:p w14:paraId="2C95A852" w14:textId="57FA1305" w:rsidR="00011F49" w:rsidRPr="004D07FA" w:rsidRDefault="00011F49" w:rsidP="0069376D">
            <w:pPr>
              <w:widowControl/>
              <w:autoSpaceDE/>
              <w:autoSpaceDN/>
              <w:adjustRightInd/>
              <w:jc w:val="right"/>
              <w:rPr>
                <w:color w:val="000000"/>
              </w:rPr>
            </w:pPr>
            <w:r>
              <w:rPr>
                <w:color w:val="000000"/>
              </w:rPr>
              <w:t>$</w:t>
            </w:r>
            <w:r w:rsidR="0069376D">
              <w:rPr>
                <w:color w:val="000000"/>
              </w:rPr>
              <w:t>952,752</w:t>
            </w:r>
            <w:r w:rsidRPr="004D07FA">
              <w:rPr>
                <w:color w:val="000000"/>
              </w:rPr>
              <w:t xml:space="preserve"> </w:t>
            </w:r>
          </w:p>
        </w:tc>
      </w:tr>
      <w:tr w:rsidR="00011F49" w:rsidRPr="004D07FA" w14:paraId="76C588DB" w14:textId="77777777" w:rsidTr="005755AC">
        <w:trPr>
          <w:trHeight w:val="300"/>
          <w:jc w:val="center"/>
        </w:trPr>
        <w:tc>
          <w:tcPr>
            <w:tcW w:w="2694" w:type="dxa"/>
            <w:tcBorders>
              <w:top w:val="nil"/>
              <w:left w:val="single" w:sz="4" w:space="0" w:color="auto"/>
              <w:bottom w:val="single" w:sz="4" w:space="0" w:color="auto"/>
              <w:right w:val="single" w:sz="4" w:space="0" w:color="auto"/>
            </w:tcBorders>
            <w:shd w:val="clear" w:color="auto" w:fill="auto"/>
          </w:tcPr>
          <w:p w14:paraId="7FE5AC00" w14:textId="77777777" w:rsidR="00011F49" w:rsidRPr="004D07FA" w:rsidRDefault="00011F49" w:rsidP="005755AC">
            <w:pPr>
              <w:widowControl/>
              <w:autoSpaceDE/>
              <w:autoSpaceDN/>
              <w:adjustRightInd/>
              <w:rPr>
                <w:color w:val="000000"/>
              </w:rPr>
            </w:pPr>
            <w:r w:rsidRPr="004D07FA">
              <w:rPr>
                <w:color w:val="000000"/>
              </w:rPr>
              <w:t xml:space="preserve">3. </w:t>
            </w:r>
            <w:r>
              <w:rPr>
                <w:color w:val="000000"/>
              </w:rPr>
              <w:t xml:space="preserve"> </w:t>
            </w:r>
            <w:r w:rsidRPr="004D07FA">
              <w:rPr>
                <w:color w:val="000000"/>
              </w:rPr>
              <w:t>DAHS Debugging</w:t>
            </w:r>
          </w:p>
        </w:tc>
        <w:tc>
          <w:tcPr>
            <w:tcW w:w="958" w:type="dxa"/>
            <w:tcBorders>
              <w:top w:val="nil"/>
              <w:left w:val="nil"/>
              <w:bottom w:val="single" w:sz="4" w:space="0" w:color="auto"/>
              <w:right w:val="single" w:sz="4" w:space="0" w:color="auto"/>
            </w:tcBorders>
            <w:shd w:val="clear" w:color="auto" w:fill="auto"/>
            <w:vAlign w:val="bottom"/>
          </w:tcPr>
          <w:p w14:paraId="29047709" w14:textId="77777777" w:rsidR="00011F49" w:rsidRPr="004D07FA" w:rsidRDefault="00011F49" w:rsidP="005755AC">
            <w:pPr>
              <w:widowControl/>
              <w:autoSpaceDE/>
              <w:autoSpaceDN/>
              <w:adjustRightInd/>
              <w:jc w:val="right"/>
              <w:rPr>
                <w:color w:val="000000"/>
              </w:rPr>
            </w:pPr>
            <w:r w:rsidRPr="004D07FA">
              <w:rPr>
                <w:color w:val="000000"/>
              </w:rPr>
              <w:t>4</w:t>
            </w:r>
          </w:p>
        </w:tc>
        <w:tc>
          <w:tcPr>
            <w:tcW w:w="958" w:type="dxa"/>
            <w:tcBorders>
              <w:top w:val="nil"/>
              <w:left w:val="nil"/>
              <w:bottom w:val="single" w:sz="4" w:space="0" w:color="auto"/>
              <w:right w:val="single" w:sz="4" w:space="0" w:color="auto"/>
            </w:tcBorders>
            <w:shd w:val="clear" w:color="auto" w:fill="auto"/>
            <w:vAlign w:val="bottom"/>
          </w:tcPr>
          <w:p w14:paraId="2B5751A3" w14:textId="77777777" w:rsidR="00011F49" w:rsidRPr="004D07FA" w:rsidRDefault="00011F49" w:rsidP="005755AC">
            <w:pPr>
              <w:widowControl/>
              <w:autoSpaceDE/>
              <w:autoSpaceDN/>
              <w:adjustRightInd/>
              <w:jc w:val="right"/>
              <w:rPr>
                <w:color w:val="000000"/>
              </w:rPr>
            </w:pPr>
            <w:r w:rsidRPr="004D07FA">
              <w:rPr>
                <w:color w:val="000000"/>
              </w:rPr>
              <w:t>12</w:t>
            </w:r>
          </w:p>
        </w:tc>
        <w:tc>
          <w:tcPr>
            <w:tcW w:w="1294" w:type="dxa"/>
            <w:tcBorders>
              <w:top w:val="nil"/>
              <w:left w:val="nil"/>
              <w:bottom w:val="single" w:sz="4" w:space="0" w:color="auto"/>
              <w:right w:val="single" w:sz="4" w:space="0" w:color="auto"/>
            </w:tcBorders>
            <w:shd w:val="clear" w:color="auto" w:fill="auto"/>
            <w:vAlign w:val="bottom"/>
          </w:tcPr>
          <w:p w14:paraId="4FE3AAFD" w14:textId="77777777" w:rsidR="00011F49" w:rsidRPr="004D07FA" w:rsidRDefault="00011F49" w:rsidP="005755AC">
            <w:pPr>
              <w:widowControl/>
              <w:autoSpaceDE/>
              <w:autoSpaceDN/>
              <w:adjustRightInd/>
              <w:jc w:val="right"/>
              <w:rPr>
                <w:color w:val="000000"/>
              </w:rPr>
            </w:pPr>
            <w:r w:rsidRPr="004D07FA">
              <w:rPr>
                <w:color w:val="000000"/>
              </w:rPr>
              <w:t>16</w:t>
            </w:r>
          </w:p>
        </w:tc>
        <w:tc>
          <w:tcPr>
            <w:tcW w:w="1141" w:type="dxa"/>
            <w:tcBorders>
              <w:top w:val="nil"/>
              <w:left w:val="nil"/>
              <w:bottom w:val="single" w:sz="4" w:space="0" w:color="auto"/>
              <w:right w:val="single" w:sz="4" w:space="0" w:color="auto"/>
            </w:tcBorders>
            <w:shd w:val="clear" w:color="auto" w:fill="auto"/>
            <w:vAlign w:val="bottom"/>
          </w:tcPr>
          <w:p w14:paraId="6C237E67" w14:textId="24EE568E" w:rsidR="00011F49" w:rsidRPr="004D07FA" w:rsidRDefault="00011F49">
            <w:pPr>
              <w:widowControl/>
              <w:autoSpaceDE/>
              <w:autoSpaceDN/>
              <w:adjustRightInd/>
              <w:jc w:val="right"/>
              <w:rPr>
                <w:color w:val="000000"/>
              </w:rPr>
            </w:pPr>
            <w:r w:rsidRPr="004D07FA">
              <w:rPr>
                <w:color w:val="000000"/>
              </w:rPr>
              <w:t>$</w:t>
            </w:r>
            <w:r w:rsidR="00A7258F">
              <w:rPr>
                <w:color w:val="000000"/>
              </w:rPr>
              <w:t>1,</w:t>
            </w:r>
            <w:r w:rsidR="00C0773D">
              <w:rPr>
                <w:color w:val="000000"/>
              </w:rPr>
              <w:t>381</w:t>
            </w:r>
            <w:r w:rsidRPr="004D07FA">
              <w:rPr>
                <w:color w:val="000000"/>
              </w:rPr>
              <w:t xml:space="preserve"> </w:t>
            </w:r>
          </w:p>
        </w:tc>
        <w:tc>
          <w:tcPr>
            <w:tcW w:w="975" w:type="dxa"/>
            <w:tcBorders>
              <w:top w:val="nil"/>
              <w:left w:val="nil"/>
              <w:bottom w:val="nil"/>
              <w:right w:val="nil"/>
            </w:tcBorders>
            <w:shd w:val="clear" w:color="auto" w:fill="auto"/>
            <w:vAlign w:val="bottom"/>
          </w:tcPr>
          <w:p w14:paraId="28B53519" w14:textId="77777777" w:rsidR="00011F49" w:rsidRPr="004D07FA" w:rsidRDefault="00011F49" w:rsidP="005755AC">
            <w:pPr>
              <w:widowControl/>
              <w:autoSpaceDE/>
              <w:autoSpaceDN/>
              <w:adjustRightInd/>
              <w:jc w:val="right"/>
              <w:rPr>
                <w:color w:val="000000"/>
              </w:rPr>
            </w:pPr>
            <w:r w:rsidRPr="004D07FA">
              <w:rPr>
                <w:color w:val="000000"/>
              </w:rPr>
              <w:t xml:space="preserve">$0 </w:t>
            </w:r>
          </w:p>
        </w:tc>
        <w:tc>
          <w:tcPr>
            <w:tcW w:w="990" w:type="dxa"/>
            <w:tcBorders>
              <w:top w:val="nil"/>
              <w:left w:val="single" w:sz="4" w:space="0" w:color="auto"/>
              <w:bottom w:val="single" w:sz="4" w:space="0" w:color="auto"/>
              <w:right w:val="single" w:sz="4" w:space="0" w:color="auto"/>
            </w:tcBorders>
            <w:shd w:val="clear" w:color="auto" w:fill="auto"/>
            <w:vAlign w:val="bottom"/>
          </w:tcPr>
          <w:p w14:paraId="4AC2C757" w14:textId="77777777" w:rsidR="00011F49" w:rsidRPr="004D07FA" w:rsidRDefault="00011F49" w:rsidP="005755AC">
            <w:pPr>
              <w:widowControl/>
              <w:autoSpaceDE/>
              <w:autoSpaceDN/>
              <w:adjustRightInd/>
              <w:jc w:val="right"/>
              <w:rPr>
                <w:color w:val="000000"/>
              </w:rPr>
            </w:pPr>
            <w:r w:rsidRPr="004D07FA">
              <w:rPr>
                <w:color w:val="000000"/>
              </w:rPr>
              <w:t xml:space="preserve">$0 </w:t>
            </w:r>
          </w:p>
        </w:tc>
        <w:tc>
          <w:tcPr>
            <w:tcW w:w="1430" w:type="dxa"/>
            <w:tcBorders>
              <w:top w:val="nil"/>
              <w:left w:val="nil"/>
              <w:bottom w:val="single" w:sz="4" w:space="0" w:color="auto"/>
              <w:right w:val="single" w:sz="4" w:space="0" w:color="auto"/>
            </w:tcBorders>
            <w:shd w:val="clear" w:color="auto" w:fill="auto"/>
            <w:vAlign w:val="bottom"/>
          </w:tcPr>
          <w:p w14:paraId="2D66247B" w14:textId="2FB89018" w:rsidR="00011F49" w:rsidRPr="004D07FA" w:rsidRDefault="0069376D" w:rsidP="005755AC">
            <w:pPr>
              <w:widowControl/>
              <w:autoSpaceDE/>
              <w:autoSpaceDN/>
              <w:adjustRightInd/>
              <w:jc w:val="right"/>
              <w:rPr>
                <w:color w:val="000000"/>
              </w:rPr>
            </w:pPr>
            <w:r>
              <w:rPr>
                <w:color w:val="000000"/>
              </w:rPr>
              <w:t>460</w:t>
            </w:r>
          </w:p>
        </w:tc>
        <w:tc>
          <w:tcPr>
            <w:tcW w:w="1239" w:type="dxa"/>
            <w:tcBorders>
              <w:top w:val="nil"/>
              <w:left w:val="nil"/>
              <w:bottom w:val="single" w:sz="4" w:space="0" w:color="auto"/>
              <w:right w:val="single" w:sz="4" w:space="0" w:color="auto"/>
            </w:tcBorders>
            <w:shd w:val="clear" w:color="auto" w:fill="auto"/>
            <w:vAlign w:val="bottom"/>
          </w:tcPr>
          <w:p w14:paraId="42924E49" w14:textId="06AECE43" w:rsidR="00011F49" w:rsidRPr="004D07FA" w:rsidRDefault="0069376D" w:rsidP="0069376D">
            <w:pPr>
              <w:widowControl/>
              <w:autoSpaceDE/>
              <w:autoSpaceDN/>
              <w:adjustRightInd/>
              <w:jc w:val="right"/>
              <w:rPr>
                <w:color w:val="000000"/>
              </w:rPr>
            </w:pPr>
            <w:r>
              <w:rPr>
                <w:color w:val="000000"/>
              </w:rPr>
              <w:t>7,360</w:t>
            </w:r>
          </w:p>
        </w:tc>
        <w:tc>
          <w:tcPr>
            <w:tcW w:w="1281" w:type="dxa"/>
            <w:tcBorders>
              <w:top w:val="nil"/>
              <w:left w:val="nil"/>
              <w:bottom w:val="single" w:sz="4" w:space="0" w:color="auto"/>
              <w:right w:val="single" w:sz="4" w:space="0" w:color="auto"/>
            </w:tcBorders>
            <w:shd w:val="clear" w:color="auto" w:fill="auto"/>
            <w:vAlign w:val="bottom"/>
          </w:tcPr>
          <w:p w14:paraId="01D22AED" w14:textId="7B2B88A6" w:rsidR="00011F49" w:rsidRPr="004D07FA" w:rsidRDefault="00011F49" w:rsidP="0069376D">
            <w:pPr>
              <w:widowControl/>
              <w:autoSpaceDE/>
              <w:autoSpaceDN/>
              <w:adjustRightInd/>
              <w:jc w:val="right"/>
              <w:rPr>
                <w:color w:val="000000"/>
              </w:rPr>
            </w:pPr>
            <w:r>
              <w:rPr>
                <w:color w:val="000000"/>
              </w:rPr>
              <w:t>$</w:t>
            </w:r>
            <w:r w:rsidR="0069376D">
              <w:rPr>
                <w:color w:val="000000"/>
              </w:rPr>
              <w:t>635,168</w:t>
            </w:r>
            <w:r w:rsidRPr="004D07FA">
              <w:rPr>
                <w:color w:val="000000"/>
              </w:rPr>
              <w:t xml:space="preserve"> </w:t>
            </w:r>
          </w:p>
        </w:tc>
      </w:tr>
      <w:tr w:rsidR="00011F49" w:rsidRPr="004D07FA" w14:paraId="404AC51E" w14:textId="77777777" w:rsidTr="005755AC">
        <w:trPr>
          <w:trHeight w:val="300"/>
          <w:jc w:val="center"/>
        </w:trPr>
        <w:tc>
          <w:tcPr>
            <w:tcW w:w="2694" w:type="dxa"/>
            <w:tcBorders>
              <w:top w:val="nil"/>
              <w:left w:val="single" w:sz="4" w:space="0" w:color="auto"/>
              <w:bottom w:val="single" w:sz="4" w:space="0" w:color="auto"/>
              <w:right w:val="single" w:sz="4" w:space="0" w:color="auto"/>
            </w:tcBorders>
            <w:shd w:val="clear" w:color="auto" w:fill="auto"/>
          </w:tcPr>
          <w:p w14:paraId="132033B2" w14:textId="77777777" w:rsidR="00011F49" w:rsidRPr="004D07FA" w:rsidRDefault="00011F49" w:rsidP="005755AC">
            <w:pPr>
              <w:widowControl/>
              <w:autoSpaceDE/>
              <w:autoSpaceDN/>
              <w:adjustRightInd/>
              <w:rPr>
                <w:color w:val="000000"/>
              </w:rPr>
            </w:pPr>
            <w:r w:rsidRPr="004D07FA">
              <w:rPr>
                <w:color w:val="000000"/>
              </w:rPr>
              <w:t xml:space="preserve">4. </w:t>
            </w:r>
            <w:r>
              <w:rPr>
                <w:color w:val="000000"/>
              </w:rPr>
              <w:t xml:space="preserve"> </w:t>
            </w:r>
            <w:r w:rsidRPr="004D07FA">
              <w:rPr>
                <w:color w:val="000000"/>
              </w:rPr>
              <w:t>New Unit Monitoring Plans</w:t>
            </w:r>
          </w:p>
        </w:tc>
        <w:tc>
          <w:tcPr>
            <w:tcW w:w="958" w:type="dxa"/>
            <w:tcBorders>
              <w:top w:val="nil"/>
              <w:left w:val="nil"/>
              <w:bottom w:val="single" w:sz="4" w:space="0" w:color="auto"/>
              <w:right w:val="single" w:sz="4" w:space="0" w:color="auto"/>
            </w:tcBorders>
            <w:shd w:val="clear" w:color="auto" w:fill="auto"/>
            <w:vAlign w:val="bottom"/>
          </w:tcPr>
          <w:p w14:paraId="556C0110" w14:textId="77777777" w:rsidR="00011F49" w:rsidRPr="004D07FA" w:rsidRDefault="00011F49" w:rsidP="005755AC">
            <w:pPr>
              <w:widowControl/>
              <w:autoSpaceDE/>
              <w:autoSpaceDN/>
              <w:adjustRightInd/>
              <w:jc w:val="right"/>
              <w:rPr>
                <w:color w:val="000000"/>
              </w:rPr>
            </w:pPr>
            <w:r w:rsidRPr="004D07FA">
              <w:rPr>
                <w:color w:val="000000"/>
              </w:rPr>
              <w:t>10</w:t>
            </w:r>
          </w:p>
        </w:tc>
        <w:tc>
          <w:tcPr>
            <w:tcW w:w="958" w:type="dxa"/>
            <w:tcBorders>
              <w:top w:val="nil"/>
              <w:left w:val="nil"/>
              <w:bottom w:val="single" w:sz="4" w:space="0" w:color="auto"/>
              <w:right w:val="single" w:sz="4" w:space="0" w:color="auto"/>
            </w:tcBorders>
            <w:shd w:val="clear" w:color="auto" w:fill="auto"/>
            <w:vAlign w:val="bottom"/>
          </w:tcPr>
          <w:p w14:paraId="2B71B501" w14:textId="77777777" w:rsidR="00011F49" w:rsidRPr="004D07FA" w:rsidRDefault="00011F49" w:rsidP="005755AC">
            <w:pPr>
              <w:widowControl/>
              <w:autoSpaceDE/>
              <w:autoSpaceDN/>
              <w:adjustRightInd/>
              <w:jc w:val="right"/>
              <w:rPr>
                <w:color w:val="000000"/>
              </w:rPr>
            </w:pPr>
            <w:r w:rsidRPr="004D07FA">
              <w:rPr>
                <w:color w:val="000000"/>
              </w:rPr>
              <w:t>10</w:t>
            </w:r>
          </w:p>
        </w:tc>
        <w:tc>
          <w:tcPr>
            <w:tcW w:w="1294" w:type="dxa"/>
            <w:tcBorders>
              <w:top w:val="nil"/>
              <w:left w:val="nil"/>
              <w:bottom w:val="single" w:sz="4" w:space="0" w:color="auto"/>
              <w:right w:val="single" w:sz="4" w:space="0" w:color="auto"/>
            </w:tcBorders>
            <w:shd w:val="clear" w:color="auto" w:fill="auto"/>
            <w:vAlign w:val="bottom"/>
          </w:tcPr>
          <w:p w14:paraId="4439BA4F" w14:textId="77777777" w:rsidR="00011F49" w:rsidRPr="004D07FA" w:rsidRDefault="00011F49" w:rsidP="005755AC">
            <w:pPr>
              <w:widowControl/>
              <w:autoSpaceDE/>
              <w:autoSpaceDN/>
              <w:adjustRightInd/>
              <w:jc w:val="right"/>
              <w:rPr>
                <w:color w:val="000000"/>
              </w:rPr>
            </w:pPr>
            <w:r w:rsidRPr="004D07FA">
              <w:rPr>
                <w:color w:val="000000"/>
              </w:rPr>
              <w:t>20</w:t>
            </w:r>
          </w:p>
        </w:tc>
        <w:tc>
          <w:tcPr>
            <w:tcW w:w="1141" w:type="dxa"/>
            <w:tcBorders>
              <w:top w:val="nil"/>
              <w:left w:val="nil"/>
              <w:bottom w:val="single" w:sz="4" w:space="0" w:color="auto"/>
              <w:right w:val="single" w:sz="4" w:space="0" w:color="auto"/>
            </w:tcBorders>
            <w:shd w:val="clear" w:color="auto" w:fill="auto"/>
            <w:vAlign w:val="bottom"/>
          </w:tcPr>
          <w:p w14:paraId="75AD4575" w14:textId="224E5535" w:rsidR="00011F49" w:rsidRPr="004D07FA" w:rsidRDefault="00011F49">
            <w:pPr>
              <w:widowControl/>
              <w:autoSpaceDE/>
              <w:autoSpaceDN/>
              <w:adjustRightInd/>
              <w:jc w:val="right"/>
              <w:rPr>
                <w:color w:val="000000"/>
              </w:rPr>
            </w:pPr>
            <w:r w:rsidRPr="004D07FA">
              <w:rPr>
                <w:color w:val="000000"/>
              </w:rPr>
              <w:t>$1,</w:t>
            </w:r>
            <w:r w:rsidR="00A7258F">
              <w:rPr>
                <w:color w:val="000000"/>
              </w:rPr>
              <w:t>8</w:t>
            </w:r>
            <w:r w:rsidR="00C0773D">
              <w:rPr>
                <w:color w:val="000000"/>
              </w:rPr>
              <w:t>99</w:t>
            </w:r>
            <w:r w:rsidR="00A7258F" w:rsidRPr="004D07FA">
              <w:rPr>
                <w:color w:val="000000"/>
              </w:rPr>
              <w:t xml:space="preserve"> </w:t>
            </w:r>
          </w:p>
        </w:tc>
        <w:tc>
          <w:tcPr>
            <w:tcW w:w="975" w:type="dxa"/>
            <w:tcBorders>
              <w:top w:val="single" w:sz="4" w:space="0" w:color="auto"/>
              <w:left w:val="nil"/>
              <w:bottom w:val="single" w:sz="4" w:space="0" w:color="auto"/>
              <w:right w:val="nil"/>
            </w:tcBorders>
            <w:shd w:val="clear" w:color="auto" w:fill="auto"/>
            <w:vAlign w:val="bottom"/>
          </w:tcPr>
          <w:p w14:paraId="134E94C4" w14:textId="77777777" w:rsidR="00011F49" w:rsidRPr="004D07FA" w:rsidRDefault="00011F49" w:rsidP="005755AC">
            <w:pPr>
              <w:widowControl/>
              <w:autoSpaceDE/>
              <w:autoSpaceDN/>
              <w:adjustRightInd/>
              <w:jc w:val="right"/>
              <w:rPr>
                <w:color w:val="000000"/>
              </w:rPr>
            </w:pPr>
            <w:r w:rsidRPr="004D07FA">
              <w:rPr>
                <w:color w:val="000000"/>
              </w:rPr>
              <w:t xml:space="preserve">$0 </w:t>
            </w:r>
          </w:p>
        </w:tc>
        <w:tc>
          <w:tcPr>
            <w:tcW w:w="990" w:type="dxa"/>
            <w:tcBorders>
              <w:top w:val="nil"/>
              <w:left w:val="single" w:sz="4" w:space="0" w:color="auto"/>
              <w:bottom w:val="single" w:sz="4" w:space="0" w:color="auto"/>
              <w:right w:val="single" w:sz="4" w:space="0" w:color="auto"/>
            </w:tcBorders>
            <w:shd w:val="clear" w:color="auto" w:fill="auto"/>
            <w:vAlign w:val="bottom"/>
          </w:tcPr>
          <w:p w14:paraId="48ADCF09" w14:textId="77777777" w:rsidR="00011F49" w:rsidRPr="004D07FA" w:rsidRDefault="00011F49" w:rsidP="005755AC">
            <w:pPr>
              <w:widowControl/>
              <w:autoSpaceDE/>
              <w:autoSpaceDN/>
              <w:adjustRightInd/>
              <w:jc w:val="right"/>
              <w:rPr>
                <w:color w:val="000000"/>
              </w:rPr>
            </w:pPr>
            <w:r w:rsidRPr="004D07FA">
              <w:rPr>
                <w:color w:val="000000"/>
              </w:rPr>
              <w:t xml:space="preserve">$0 </w:t>
            </w:r>
          </w:p>
        </w:tc>
        <w:tc>
          <w:tcPr>
            <w:tcW w:w="1430" w:type="dxa"/>
            <w:tcBorders>
              <w:top w:val="nil"/>
              <w:left w:val="nil"/>
              <w:bottom w:val="single" w:sz="4" w:space="0" w:color="auto"/>
              <w:right w:val="single" w:sz="4" w:space="0" w:color="auto"/>
            </w:tcBorders>
            <w:shd w:val="clear" w:color="auto" w:fill="auto"/>
            <w:vAlign w:val="bottom"/>
          </w:tcPr>
          <w:p w14:paraId="4EEC7013" w14:textId="50263DDE" w:rsidR="00011F49" w:rsidRPr="004D07FA" w:rsidRDefault="0069376D" w:rsidP="005755AC">
            <w:pPr>
              <w:widowControl/>
              <w:autoSpaceDE/>
              <w:autoSpaceDN/>
              <w:adjustRightInd/>
              <w:jc w:val="right"/>
              <w:rPr>
                <w:color w:val="000000"/>
              </w:rPr>
            </w:pPr>
            <w:r>
              <w:rPr>
                <w:color w:val="000000"/>
              </w:rPr>
              <w:t>46</w:t>
            </w:r>
          </w:p>
        </w:tc>
        <w:tc>
          <w:tcPr>
            <w:tcW w:w="1239" w:type="dxa"/>
            <w:tcBorders>
              <w:top w:val="nil"/>
              <w:left w:val="nil"/>
              <w:bottom w:val="single" w:sz="4" w:space="0" w:color="auto"/>
              <w:right w:val="single" w:sz="4" w:space="0" w:color="auto"/>
            </w:tcBorders>
            <w:shd w:val="clear" w:color="auto" w:fill="auto"/>
            <w:vAlign w:val="bottom"/>
          </w:tcPr>
          <w:p w14:paraId="5F9460A4" w14:textId="66204756" w:rsidR="00011F49" w:rsidRPr="004D07FA" w:rsidRDefault="0069376D" w:rsidP="005755AC">
            <w:pPr>
              <w:widowControl/>
              <w:autoSpaceDE/>
              <w:autoSpaceDN/>
              <w:adjustRightInd/>
              <w:jc w:val="right"/>
              <w:rPr>
                <w:color w:val="000000"/>
              </w:rPr>
            </w:pPr>
            <w:r>
              <w:rPr>
                <w:color w:val="000000"/>
              </w:rPr>
              <w:t>920</w:t>
            </w:r>
          </w:p>
        </w:tc>
        <w:tc>
          <w:tcPr>
            <w:tcW w:w="1281" w:type="dxa"/>
            <w:tcBorders>
              <w:top w:val="nil"/>
              <w:left w:val="nil"/>
              <w:bottom w:val="single" w:sz="4" w:space="0" w:color="auto"/>
              <w:right w:val="single" w:sz="4" w:space="0" w:color="auto"/>
            </w:tcBorders>
            <w:shd w:val="clear" w:color="auto" w:fill="auto"/>
            <w:vAlign w:val="bottom"/>
          </w:tcPr>
          <w:p w14:paraId="5A4C6851" w14:textId="7F5D9856" w:rsidR="00011F49" w:rsidRPr="004D07FA" w:rsidRDefault="00011F49" w:rsidP="0069376D">
            <w:pPr>
              <w:widowControl/>
              <w:autoSpaceDE/>
              <w:autoSpaceDN/>
              <w:adjustRightInd/>
              <w:jc w:val="right"/>
              <w:rPr>
                <w:color w:val="000000"/>
              </w:rPr>
            </w:pPr>
            <w:r>
              <w:rPr>
                <w:color w:val="000000"/>
              </w:rPr>
              <w:t>$</w:t>
            </w:r>
            <w:r w:rsidR="0069376D">
              <w:rPr>
                <w:color w:val="000000"/>
              </w:rPr>
              <w:t>87,345</w:t>
            </w:r>
          </w:p>
        </w:tc>
      </w:tr>
      <w:tr w:rsidR="00011F49" w:rsidRPr="004D07FA" w14:paraId="3225FF8C" w14:textId="77777777" w:rsidTr="005755AC">
        <w:trPr>
          <w:trHeight w:val="300"/>
          <w:jc w:val="center"/>
        </w:trPr>
        <w:tc>
          <w:tcPr>
            <w:tcW w:w="2694" w:type="dxa"/>
            <w:tcBorders>
              <w:top w:val="nil"/>
              <w:left w:val="single" w:sz="4" w:space="0" w:color="auto"/>
              <w:bottom w:val="single" w:sz="4" w:space="0" w:color="auto"/>
              <w:right w:val="single" w:sz="4" w:space="0" w:color="auto"/>
            </w:tcBorders>
            <w:shd w:val="clear" w:color="auto" w:fill="auto"/>
          </w:tcPr>
          <w:p w14:paraId="0F78D3A3" w14:textId="77777777" w:rsidR="00011F49" w:rsidRPr="004D07FA" w:rsidRDefault="00011F49" w:rsidP="005755AC">
            <w:pPr>
              <w:widowControl/>
              <w:autoSpaceDE/>
              <w:autoSpaceDN/>
              <w:adjustRightInd/>
              <w:rPr>
                <w:color w:val="000000"/>
              </w:rPr>
            </w:pPr>
            <w:r w:rsidRPr="004D07FA">
              <w:rPr>
                <w:color w:val="000000"/>
              </w:rPr>
              <w:t xml:space="preserve">5. </w:t>
            </w:r>
            <w:r>
              <w:rPr>
                <w:color w:val="000000"/>
              </w:rPr>
              <w:t xml:space="preserve"> </w:t>
            </w:r>
            <w:r w:rsidRPr="004D07FA">
              <w:rPr>
                <w:color w:val="000000"/>
              </w:rPr>
              <w:t>Recertify Monitors</w:t>
            </w:r>
          </w:p>
        </w:tc>
        <w:tc>
          <w:tcPr>
            <w:tcW w:w="958" w:type="dxa"/>
            <w:tcBorders>
              <w:top w:val="nil"/>
              <w:left w:val="nil"/>
              <w:bottom w:val="single" w:sz="4" w:space="0" w:color="auto"/>
              <w:right w:val="single" w:sz="4" w:space="0" w:color="auto"/>
            </w:tcBorders>
            <w:shd w:val="clear" w:color="auto" w:fill="auto"/>
            <w:vAlign w:val="bottom"/>
          </w:tcPr>
          <w:p w14:paraId="295BCF7C" w14:textId="77777777" w:rsidR="00011F49" w:rsidRPr="004D07FA" w:rsidRDefault="00011F49" w:rsidP="005755AC">
            <w:pPr>
              <w:widowControl/>
              <w:autoSpaceDE/>
              <w:autoSpaceDN/>
              <w:adjustRightInd/>
              <w:jc w:val="right"/>
              <w:rPr>
                <w:color w:val="000000"/>
              </w:rPr>
            </w:pPr>
            <w:r w:rsidRPr="004D07FA">
              <w:rPr>
                <w:color w:val="000000"/>
              </w:rPr>
              <w:t>38</w:t>
            </w:r>
          </w:p>
        </w:tc>
        <w:tc>
          <w:tcPr>
            <w:tcW w:w="958" w:type="dxa"/>
            <w:tcBorders>
              <w:top w:val="nil"/>
              <w:left w:val="nil"/>
              <w:bottom w:val="single" w:sz="4" w:space="0" w:color="auto"/>
              <w:right w:val="single" w:sz="4" w:space="0" w:color="auto"/>
            </w:tcBorders>
            <w:shd w:val="clear" w:color="auto" w:fill="auto"/>
            <w:vAlign w:val="bottom"/>
          </w:tcPr>
          <w:p w14:paraId="42339586" w14:textId="77777777" w:rsidR="00011F49" w:rsidRPr="004D07FA" w:rsidRDefault="00011F49" w:rsidP="005755AC">
            <w:pPr>
              <w:widowControl/>
              <w:autoSpaceDE/>
              <w:autoSpaceDN/>
              <w:adjustRightInd/>
              <w:jc w:val="right"/>
              <w:rPr>
                <w:color w:val="000000"/>
              </w:rPr>
            </w:pPr>
            <w:r w:rsidRPr="004D07FA">
              <w:rPr>
                <w:color w:val="000000"/>
              </w:rPr>
              <w:t>12</w:t>
            </w:r>
          </w:p>
        </w:tc>
        <w:tc>
          <w:tcPr>
            <w:tcW w:w="1294" w:type="dxa"/>
            <w:tcBorders>
              <w:top w:val="nil"/>
              <w:left w:val="nil"/>
              <w:bottom w:val="single" w:sz="4" w:space="0" w:color="auto"/>
              <w:right w:val="single" w:sz="4" w:space="0" w:color="auto"/>
            </w:tcBorders>
            <w:shd w:val="clear" w:color="auto" w:fill="auto"/>
            <w:vAlign w:val="bottom"/>
          </w:tcPr>
          <w:p w14:paraId="4FFC087A" w14:textId="77777777" w:rsidR="00011F49" w:rsidRPr="004D07FA" w:rsidRDefault="00011F49" w:rsidP="005755AC">
            <w:pPr>
              <w:widowControl/>
              <w:autoSpaceDE/>
              <w:autoSpaceDN/>
              <w:adjustRightInd/>
              <w:jc w:val="right"/>
              <w:rPr>
                <w:color w:val="000000"/>
              </w:rPr>
            </w:pPr>
            <w:r w:rsidRPr="004D07FA">
              <w:rPr>
                <w:color w:val="000000"/>
              </w:rPr>
              <w:t>50</w:t>
            </w:r>
          </w:p>
        </w:tc>
        <w:tc>
          <w:tcPr>
            <w:tcW w:w="1141" w:type="dxa"/>
            <w:tcBorders>
              <w:top w:val="nil"/>
              <w:left w:val="nil"/>
              <w:bottom w:val="single" w:sz="4" w:space="0" w:color="auto"/>
              <w:right w:val="single" w:sz="4" w:space="0" w:color="auto"/>
            </w:tcBorders>
            <w:shd w:val="clear" w:color="auto" w:fill="auto"/>
            <w:vAlign w:val="bottom"/>
          </w:tcPr>
          <w:p w14:paraId="12DDFF26" w14:textId="35023D69" w:rsidR="00011F49" w:rsidRPr="004D07FA" w:rsidRDefault="00011F49">
            <w:pPr>
              <w:widowControl/>
              <w:autoSpaceDE/>
              <w:autoSpaceDN/>
              <w:adjustRightInd/>
              <w:jc w:val="right"/>
              <w:rPr>
                <w:color w:val="000000"/>
              </w:rPr>
            </w:pPr>
            <w:r w:rsidRPr="004D07FA">
              <w:rPr>
                <w:color w:val="000000"/>
              </w:rPr>
              <w:t>$</w:t>
            </w:r>
            <w:r w:rsidR="00C0773D">
              <w:rPr>
                <w:color w:val="000000"/>
              </w:rPr>
              <w:t>5</w:t>
            </w:r>
            <w:r w:rsidRPr="004D07FA">
              <w:rPr>
                <w:color w:val="000000"/>
              </w:rPr>
              <w:t>,</w:t>
            </w:r>
            <w:r w:rsidR="00A7258F">
              <w:rPr>
                <w:color w:val="000000"/>
              </w:rPr>
              <w:t>1</w:t>
            </w:r>
            <w:r w:rsidR="00A7258F" w:rsidRPr="004D07FA">
              <w:rPr>
                <w:color w:val="000000"/>
              </w:rPr>
              <w:t>9</w:t>
            </w:r>
            <w:r w:rsidR="00C0773D">
              <w:rPr>
                <w:color w:val="000000"/>
              </w:rPr>
              <w:t>6</w:t>
            </w:r>
            <w:r w:rsidR="00A7258F" w:rsidRPr="004D07FA">
              <w:rPr>
                <w:color w:val="000000"/>
              </w:rPr>
              <w:t xml:space="preserve"> </w:t>
            </w:r>
          </w:p>
        </w:tc>
        <w:tc>
          <w:tcPr>
            <w:tcW w:w="975" w:type="dxa"/>
            <w:tcBorders>
              <w:top w:val="nil"/>
              <w:left w:val="nil"/>
              <w:bottom w:val="single" w:sz="4" w:space="0" w:color="auto"/>
              <w:right w:val="nil"/>
            </w:tcBorders>
            <w:shd w:val="clear" w:color="auto" w:fill="auto"/>
            <w:vAlign w:val="bottom"/>
          </w:tcPr>
          <w:p w14:paraId="69920B93" w14:textId="77777777" w:rsidR="00011F49" w:rsidRPr="004D07FA" w:rsidRDefault="00011F49" w:rsidP="005755AC">
            <w:pPr>
              <w:widowControl/>
              <w:autoSpaceDE/>
              <w:autoSpaceDN/>
              <w:adjustRightInd/>
              <w:jc w:val="right"/>
              <w:rPr>
                <w:color w:val="000000"/>
              </w:rPr>
            </w:pPr>
            <w:r w:rsidRPr="004D07FA">
              <w:rPr>
                <w:color w:val="000000"/>
              </w:rPr>
              <w:t xml:space="preserve">$3,400 </w:t>
            </w:r>
          </w:p>
        </w:tc>
        <w:tc>
          <w:tcPr>
            <w:tcW w:w="990" w:type="dxa"/>
            <w:tcBorders>
              <w:top w:val="nil"/>
              <w:left w:val="single" w:sz="4" w:space="0" w:color="auto"/>
              <w:bottom w:val="single" w:sz="4" w:space="0" w:color="auto"/>
              <w:right w:val="single" w:sz="4" w:space="0" w:color="auto"/>
            </w:tcBorders>
            <w:shd w:val="clear" w:color="auto" w:fill="auto"/>
            <w:vAlign w:val="bottom"/>
          </w:tcPr>
          <w:p w14:paraId="22D2FE24" w14:textId="77777777" w:rsidR="00011F49" w:rsidRPr="004D07FA" w:rsidRDefault="00011F49" w:rsidP="005755AC">
            <w:pPr>
              <w:widowControl/>
              <w:autoSpaceDE/>
              <w:autoSpaceDN/>
              <w:adjustRightInd/>
              <w:jc w:val="right"/>
              <w:rPr>
                <w:color w:val="000000"/>
              </w:rPr>
            </w:pPr>
            <w:r w:rsidRPr="004D07FA">
              <w:rPr>
                <w:color w:val="000000"/>
              </w:rPr>
              <w:t xml:space="preserve">$0 </w:t>
            </w:r>
          </w:p>
        </w:tc>
        <w:tc>
          <w:tcPr>
            <w:tcW w:w="1430" w:type="dxa"/>
            <w:tcBorders>
              <w:top w:val="nil"/>
              <w:left w:val="nil"/>
              <w:bottom w:val="single" w:sz="4" w:space="0" w:color="auto"/>
              <w:right w:val="single" w:sz="4" w:space="0" w:color="auto"/>
            </w:tcBorders>
            <w:shd w:val="clear" w:color="auto" w:fill="auto"/>
            <w:vAlign w:val="bottom"/>
          </w:tcPr>
          <w:p w14:paraId="136C6899" w14:textId="44AA233D" w:rsidR="00011F49" w:rsidRPr="004D07FA" w:rsidRDefault="0069376D" w:rsidP="005755AC">
            <w:pPr>
              <w:widowControl/>
              <w:autoSpaceDE/>
              <w:autoSpaceDN/>
              <w:adjustRightInd/>
              <w:jc w:val="right"/>
              <w:rPr>
                <w:color w:val="000000"/>
              </w:rPr>
            </w:pPr>
            <w:r>
              <w:rPr>
                <w:color w:val="000000"/>
              </w:rPr>
              <w:t>46</w:t>
            </w:r>
          </w:p>
        </w:tc>
        <w:tc>
          <w:tcPr>
            <w:tcW w:w="1239" w:type="dxa"/>
            <w:tcBorders>
              <w:top w:val="nil"/>
              <w:left w:val="nil"/>
              <w:bottom w:val="single" w:sz="4" w:space="0" w:color="auto"/>
              <w:right w:val="single" w:sz="4" w:space="0" w:color="auto"/>
            </w:tcBorders>
            <w:shd w:val="clear" w:color="auto" w:fill="auto"/>
            <w:vAlign w:val="bottom"/>
          </w:tcPr>
          <w:p w14:paraId="40F56DEE" w14:textId="4E16A8B6" w:rsidR="00011F49" w:rsidRPr="004D07FA" w:rsidRDefault="0069376D" w:rsidP="005755AC">
            <w:pPr>
              <w:widowControl/>
              <w:autoSpaceDE/>
              <w:autoSpaceDN/>
              <w:adjustRightInd/>
              <w:jc w:val="right"/>
              <w:rPr>
                <w:color w:val="000000"/>
              </w:rPr>
            </w:pPr>
            <w:r>
              <w:rPr>
                <w:color w:val="000000"/>
              </w:rPr>
              <w:t>2300</w:t>
            </w:r>
          </w:p>
        </w:tc>
        <w:tc>
          <w:tcPr>
            <w:tcW w:w="1281" w:type="dxa"/>
            <w:tcBorders>
              <w:top w:val="nil"/>
              <w:left w:val="nil"/>
              <w:bottom w:val="single" w:sz="4" w:space="0" w:color="auto"/>
              <w:right w:val="single" w:sz="4" w:space="0" w:color="auto"/>
            </w:tcBorders>
            <w:shd w:val="clear" w:color="auto" w:fill="auto"/>
            <w:vAlign w:val="bottom"/>
          </w:tcPr>
          <w:p w14:paraId="22870DB8" w14:textId="565327E1" w:rsidR="00011F49" w:rsidRPr="004D07FA" w:rsidRDefault="00011F49" w:rsidP="0069376D">
            <w:pPr>
              <w:widowControl/>
              <w:autoSpaceDE/>
              <w:autoSpaceDN/>
              <w:adjustRightInd/>
              <w:jc w:val="right"/>
              <w:rPr>
                <w:color w:val="000000"/>
              </w:rPr>
            </w:pPr>
            <w:r>
              <w:rPr>
                <w:color w:val="000000"/>
              </w:rPr>
              <w:t>$</w:t>
            </w:r>
            <w:r w:rsidR="0069376D">
              <w:rPr>
                <w:color w:val="000000"/>
              </w:rPr>
              <w:t>395,429</w:t>
            </w:r>
            <w:r w:rsidRPr="004D07FA">
              <w:rPr>
                <w:color w:val="000000"/>
              </w:rPr>
              <w:t xml:space="preserve"> </w:t>
            </w:r>
          </w:p>
        </w:tc>
      </w:tr>
      <w:tr w:rsidR="00011F49" w:rsidRPr="004D07FA" w14:paraId="7A937B27" w14:textId="77777777" w:rsidTr="005755AC">
        <w:trPr>
          <w:trHeight w:val="300"/>
          <w:jc w:val="center"/>
        </w:trPr>
        <w:tc>
          <w:tcPr>
            <w:tcW w:w="2694" w:type="dxa"/>
            <w:tcBorders>
              <w:top w:val="nil"/>
              <w:left w:val="single" w:sz="4" w:space="0" w:color="auto"/>
              <w:bottom w:val="single" w:sz="4" w:space="0" w:color="auto"/>
              <w:right w:val="single" w:sz="4" w:space="0" w:color="auto"/>
            </w:tcBorders>
            <w:shd w:val="clear" w:color="auto" w:fill="auto"/>
          </w:tcPr>
          <w:p w14:paraId="76C95E12" w14:textId="77777777" w:rsidR="00011F49" w:rsidRPr="004D07FA" w:rsidRDefault="00011F49" w:rsidP="005755AC">
            <w:pPr>
              <w:widowControl/>
              <w:autoSpaceDE/>
              <w:autoSpaceDN/>
              <w:adjustRightInd/>
              <w:ind w:left="288" w:hanging="288"/>
              <w:rPr>
                <w:color w:val="000000"/>
              </w:rPr>
            </w:pPr>
            <w:r w:rsidRPr="004D07FA">
              <w:rPr>
                <w:color w:val="000000"/>
              </w:rPr>
              <w:t xml:space="preserve">6. </w:t>
            </w:r>
            <w:r>
              <w:rPr>
                <w:color w:val="000000"/>
              </w:rPr>
              <w:t xml:space="preserve"> </w:t>
            </w:r>
            <w:r w:rsidRPr="004D07FA">
              <w:rPr>
                <w:color w:val="000000"/>
              </w:rPr>
              <w:t>Startup/Capital Items and Perform QA Testing and Maintenance</w:t>
            </w:r>
          </w:p>
        </w:tc>
        <w:tc>
          <w:tcPr>
            <w:tcW w:w="958" w:type="dxa"/>
            <w:tcBorders>
              <w:top w:val="nil"/>
              <w:left w:val="nil"/>
              <w:bottom w:val="single" w:sz="4" w:space="0" w:color="auto"/>
              <w:right w:val="single" w:sz="4" w:space="0" w:color="auto"/>
            </w:tcBorders>
            <w:shd w:val="clear" w:color="auto" w:fill="auto"/>
            <w:vAlign w:val="bottom"/>
          </w:tcPr>
          <w:p w14:paraId="262ACBEE" w14:textId="77777777" w:rsidR="00011F49" w:rsidRPr="004D07FA" w:rsidRDefault="00011F49" w:rsidP="005755AC">
            <w:pPr>
              <w:widowControl/>
              <w:autoSpaceDE/>
              <w:autoSpaceDN/>
              <w:adjustRightInd/>
              <w:jc w:val="right"/>
              <w:rPr>
                <w:color w:val="000000"/>
              </w:rPr>
            </w:pPr>
            <w:r w:rsidRPr="004D07FA">
              <w:rPr>
                <w:color w:val="000000"/>
              </w:rPr>
              <w:t> </w:t>
            </w:r>
          </w:p>
        </w:tc>
        <w:tc>
          <w:tcPr>
            <w:tcW w:w="958" w:type="dxa"/>
            <w:tcBorders>
              <w:top w:val="nil"/>
              <w:left w:val="nil"/>
              <w:bottom w:val="single" w:sz="4" w:space="0" w:color="auto"/>
              <w:right w:val="single" w:sz="4" w:space="0" w:color="auto"/>
            </w:tcBorders>
            <w:shd w:val="clear" w:color="auto" w:fill="auto"/>
            <w:vAlign w:val="bottom"/>
          </w:tcPr>
          <w:p w14:paraId="52DE38CF" w14:textId="77777777" w:rsidR="00011F49" w:rsidRPr="004D07FA" w:rsidRDefault="00011F49" w:rsidP="005755AC">
            <w:pPr>
              <w:widowControl/>
              <w:autoSpaceDE/>
              <w:autoSpaceDN/>
              <w:adjustRightInd/>
              <w:jc w:val="right"/>
              <w:rPr>
                <w:color w:val="000000"/>
              </w:rPr>
            </w:pPr>
            <w:r w:rsidRPr="004D07FA">
              <w:rPr>
                <w:color w:val="000000"/>
              </w:rPr>
              <w:t> </w:t>
            </w:r>
          </w:p>
        </w:tc>
        <w:tc>
          <w:tcPr>
            <w:tcW w:w="1294" w:type="dxa"/>
            <w:tcBorders>
              <w:top w:val="nil"/>
              <w:left w:val="nil"/>
              <w:bottom w:val="single" w:sz="4" w:space="0" w:color="auto"/>
              <w:right w:val="single" w:sz="4" w:space="0" w:color="auto"/>
            </w:tcBorders>
            <w:shd w:val="clear" w:color="auto" w:fill="auto"/>
            <w:vAlign w:val="bottom"/>
          </w:tcPr>
          <w:p w14:paraId="323644C0" w14:textId="77777777" w:rsidR="00011F49" w:rsidRPr="004D07FA" w:rsidRDefault="00011F49" w:rsidP="005755AC">
            <w:pPr>
              <w:widowControl/>
              <w:autoSpaceDE/>
              <w:autoSpaceDN/>
              <w:adjustRightInd/>
              <w:jc w:val="right"/>
              <w:rPr>
                <w:color w:val="000000"/>
              </w:rPr>
            </w:pPr>
            <w:r w:rsidRPr="004D07FA">
              <w:rPr>
                <w:color w:val="000000"/>
              </w:rPr>
              <w:t> </w:t>
            </w:r>
          </w:p>
        </w:tc>
        <w:tc>
          <w:tcPr>
            <w:tcW w:w="1141" w:type="dxa"/>
            <w:tcBorders>
              <w:top w:val="nil"/>
              <w:left w:val="nil"/>
              <w:bottom w:val="single" w:sz="4" w:space="0" w:color="auto"/>
              <w:right w:val="single" w:sz="4" w:space="0" w:color="auto"/>
            </w:tcBorders>
            <w:shd w:val="clear" w:color="auto" w:fill="auto"/>
            <w:vAlign w:val="bottom"/>
          </w:tcPr>
          <w:p w14:paraId="66F854A3" w14:textId="77777777" w:rsidR="00011F49" w:rsidRPr="004D07FA" w:rsidRDefault="00011F49" w:rsidP="005755AC">
            <w:pPr>
              <w:widowControl/>
              <w:autoSpaceDE/>
              <w:autoSpaceDN/>
              <w:adjustRightInd/>
              <w:jc w:val="right"/>
              <w:rPr>
                <w:color w:val="000000"/>
              </w:rPr>
            </w:pPr>
            <w:r w:rsidRPr="004D07FA">
              <w:rPr>
                <w:color w:val="000000"/>
              </w:rPr>
              <w:t> </w:t>
            </w:r>
          </w:p>
        </w:tc>
        <w:tc>
          <w:tcPr>
            <w:tcW w:w="975" w:type="dxa"/>
            <w:tcBorders>
              <w:top w:val="nil"/>
              <w:left w:val="nil"/>
              <w:bottom w:val="single" w:sz="4" w:space="0" w:color="auto"/>
              <w:right w:val="single" w:sz="4" w:space="0" w:color="auto"/>
            </w:tcBorders>
            <w:shd w:val="clear" w:color="auto" w:fill="auto"/>
            <w:vAlign w:val="bottom"/>
          </w:tcPr>
          <w:p w14:paraId="5FD3D7B7" w14:textId="77777777" w:rsidR="00011F49" w:rsidRPr="004D07FA" w:rsidRDefault="00011F49" w:rsidP="005755AC">
            <w:pPr>
              <w:widowControl/>
              <w:autoSpaceDE/>
              <w:autoSpaceDN/>
              <w:adjustRightInd/>
              <w:jc w:val="right"/>
              <w:rPr>
                <w:color w:val="000000"/>
              </w:rPr>
            </w:pPr>
            <w:r w:rsidRPr="004D07FA">
              <w:rPr>
                <w:color w:val="000000"/>
              </w:rPr>
              <w:t> </w:t>
            </w:r>
          </w:p>
        </w:tc>
        <w:tc>
          <w:tcPr>
            <w:tcW w:w="990" w:type="dxa"/>
            <w:tcBorders>
              <w:top w:val="nil"/>
              <w:left w:val="nil"/>
              <w:bottom w:val="single" w:sz="4" w:space="0" w:color="auto"/>
              <w:right w:val="single" w:sz="4" w:space="0" w:color="auto"/>
            </w:tcBorders>
            <w:shd w:val="clear" w:color="auto" w:fill="auto"/>
            <w:vAlign w:val="bottom"/>
          </w:tcPr>
          <w:p w14:paraId="5D0773E6" w14:textId="77777777" w:rsidR="00011F49" w:rsidRPr="004D07FA" w:rsidRDefault="00011F49" w:rsidP="005755AC">
            <w:pPr>
              <w:widowControl/>
              <w:autoSpaceDE/>
              <w:autoSpaceDN/>
              <w:adjustRightInd/>
              <w:jc w:val="right"/>
              <w:rPr>
                <w:color w:val="000000"/>
              </w:rPr>
            </w:pPr>
            <w:r w:rsidRPr="004D07FA">
              <w:rPr>
                <w:color w:val="000000"/>
              </w:rPr>
              <w:t> </w:t>
            </w:r>
          </w:p>
        </w:tc>
        <w:tc>
          <w:tcPr>
            <w:tcW w:w="1430" w:type="dxa"/>
            <w:tcBorders>
              <w:top w:val="nil"/>
              <w:left w:val="nil"/>
              <w:bottom w:val="single" w:sz="4" w:space="0" w:color="auto"/>
              <w:right w:val="single" w:sz="4" w:space="0" w:color="auto"/>
            </w:tcBorders>
            <w:shd w:val="clear" w:color="auto" w:fill="auto"/>
            <w:vAlign w:val="bottom"/>
          </w:tcPr>
          <w:p w14:paraId="01F63864" w14:textId="77777777" w:rsidR="00011F49" w:rsidRPr="004D07FA" w:rsidRDefault="00011F49" w:rsidP="005755AC">
            <w:pPr>
              <w:widowControl/>
              <w:autoSpaceDE/>
              <w:autoSpaceDN/>
              <w:adjustRightInd/>
              <w:jc w:val="right"/>
              <w:rPr>
                <w:color w:val="000000"/>
              </w:rPr>
            </w:pPr>
            <w:r w:rsidRPr="004D07FA">
              <w:rPr>
                <w:color w:val="000000"/>
              </w:rPr>
              <w:t> </w:t>
            </w:r>
          </w:p>
        </w:tc>
        <w:tc>
          <w:tcPr>
            <w:tcW w:w="1239" w:type="dxa"/>
            <w:tcBorders>
              <w:top w:val="nil"/>
              <w:left w:val="nil"/>
              <w:bottom w:val="single" w:sz="4" w:space="0" w:color="auto"/>
              <w:right w:val="single" w:sz="4" w:space="0" w:color="auto"/>
            </w:tcBorders>
            <w:shd w:val="clear" w:color="auto" w:fill="auto"/>
            <w:vAlign w:val="bottom"/>
          </w:tcPr>
          <w:p w14:paraId="5DDE1524" w14:textId="77777777" w:rsidR="00011F49" w:rsidRPr="004D07FA" w:rsidRDefault="00011F49" w:rsidP="005755AC">
            <w:pPr>
              <w:widowControl/>
              <w:autoSpaceDE/>
              <w:autoSpaceDN/>
              <w:adjustRightInd/>
              <w:jc w:val="right"/>
              <w:rPr>
                <w:color w:val="000000"/>
              </w:rPr>
            </w:pPr>
            <w:r w:rsidRPr="004D07FA">
              <w:rPr>
                <w:color w:val="000000"/>
              </w:rPr>
              <w:t> </w:t>
            </w:r>
          </w:p>
        </w:tc>
        <w:tc>
          <w:tcPr>
            <w:tcW w:w="1281" w:type="dxa"/>
            <w:tcBorders>
              <w:top w:val="nil"/>
              <w:left w:val="nil"/>
              <w:bottom w:val="single" w:sz="4" w:space="0" w:color="auto"/>
              <w:right w:val="single" w:sz="4" w:space="0" w:color="auto"/>
            </w:tcBorders>
            <w:shd w:val="clear" w:color="auto" w:fill="auto"/>
            <w:vAlign w:val="bottom"/>
          </w:tcPr>
          <w:p w14:paraId="2BDDE47E" w14:textId="77777777" w:rsidR="00011F49" w:rsidRPr="004D07FA" w:rsidRDefault="00011F49" w:rsidP="005755AC">
            <w:pPr>
              <w:widowControl/>
              <w:autoSpaceDE/>
              <w:autoSpaceDN/>
              <w:adjustRightInd/>
              <w:jc w:val="right"/>
              <w:rPr>
                <w:color w:val="000000"/>
              </w:rPr>
            </w:pPr>
            <w:r w:rsidRPr="004D07FA">
              <w:rPr>
                <w:color w:val="000000"/>
              </w:rPr>
              <w:t> </w:t>
            </w:r>
          </w:p>
        </w:tc>
      </w:tr>
      <w:tr w:rsidR="00011F49" w:rsidRPr="004D07FA" w14:paraId="7CDEF837" w14:textId="77777777" w:rsidTr="005755AC">
        <w:trPr>
          <w:trHeight w:val="300"/>
          <w:jc w:val="center"/>
        </w:trPr>
        <w:tc>
          <w:tcPr>
            <w:tcW w:w="2694" w:type="dxa"/>
            <w:tcBorders>
              <w:top w:val="nil"/>
              <w:left w:val="single" w:sz="4" w:space="0" w:color="auto"/>
              <w:bottom w:val="single" w:sz="4" w:space="0" w:color="auto"/>
              <w:right w:val="single" w:sz="4" w:space="0" w:color="auto"/>
            </w:tcBorders>
            <w:shd w:val="clear" w:color="auto" w:fill="auto"/>
          </w:tcPr>
          <w:p w14:paraId="06E88F04" w14:textId="77777777" w:rsidR="00011F49" w:rsidRPr="004D07FA" w:rsidRDefault="00011F49" w:rsidP="005755AC">
            <w:pPr>
              <w:widowControl/>
              <w:autoSpaceDE/>
              <w:autoSpaceDN/>
              <w:adjustRightInd/>
              <w:ind w:left="558" w:hanging="270"/>
              <w:rPr>
                <w:color w:val="000000"/>
              </w:rPr>
            </w:pPr>
            <w:r w:rsidRPr="004D07FA">
              <w:rPr>
                <w:color w:val="000000"/>
              </w:rPr>
              <w:t xml:space="preserve">(a) </w:t>
            </w:r>
            <w:r>
              <w:rPr>
                <w:color w:val="000000"/>
              </w:rPr>
              <w:t xml:space="preserve"> </w:t>
            </w:r>
            <w:r w:rsidRPr="004D07FA">
              <w:rPr>
                <w:color w:val="000000"/>
              </w:rPr>
              <w:t>NO</w:t>
            </w:r>
            <w:r w:rsidRPr="00E97BBC">
              <w:rPr>
                <w:color w:val="000000"/>
                <w:vertAlign w:val="subscript"/>
              </w:rPr>
              <w:t>x</w:t>
            </w:r>
            <w:r w:rsidRPr="004D07FA">
              <w:rPr>
                <w:color w:val="000000"/>
              </w:rPr>
              <w:t xml:space="preserve"> and Flow CEMS</w:t>
            </w:r>
          </w:p>
        </w:tc>
        <w:tc>
          <w:tcPr>
            <w:tcW w:w="958" w:type="dxa"/>
            <w:tcBorders>
              <w:top w:val="nil"/>
              <w:left w:val="nil"/>
              <w:bottom w:val="single" w:sz="4" w:space="0" w:color="auto"/>
              <w:right w:val="single" w:sz="4" w:space="0" w:color="auto"/>
            </w:tcBorders>
            <w:shd w:val="clear" w:color="auto" w:fill="auto"/>
            <w:vAlign w:val="bottom"/>
          </w:tcPr>
          <w:p w14:paraId="22C34C12" w14:textId="77777777" w:rsidR="00011F49" w:rsidRPr="004D07FA" w:rsidRDefault="00011F49" w:rsidP="005755AC">
            <w:pPr>
              <w:widowControl/>
              <w:autoSpaceDE/>
              <w:autoSpaceDN/>
              <w:adjustRightInd/>
              <w:jc w:val="right"/>
              <w:rPr>
                <w:color w:val="000000"/>
              </w:rPr>
            </w:pPr>
            <w:r w:rsidRPr="004D07FA">
              <w:rPr>
                <w:color w:val="000000"/>
              </w:rPr>
              <w:t>50</w:t>
            </w:r>
          </w:p>
        </w:tc>
        <w:tc>
          <w:tcPr>
            <w:tcW w:w="958" w:type="dxa"/>
            <w:tcBorders>
              <w:top w:val="nil"/>
              <w:left w:val="nil"/>
              <w:bottom w:val="single" w:sz="4" w:space="0" w:color="auto"/>
              <w:right w:val="single" w:sz="4" w:space="0" w:color="auto"/>
            </w:tcBorders>
            <w:shd w:val="clear" w:color="auto" w:fill="auto"/>
            <w:vAlign w:val="bottom"/>
          </w:tcPr>
          <w:p w14:paraId="394A0A2F" w14:textId="77777777" w:rsidR="00011F49" w:rsidRPr="004D07FA" w:rsidRDefault="00011F49" w:rsidP="005755AC">
            <w:pPr>
              <w:widowControl/>
              <w:autoSpaceDE/>
              <w:autoSpaceDN/>
              <w:adjustRightInd/>
              <w:jc w:val="right"/>
              <w:rPr>
                <w:color w:val="000000"/>
              </w:rPr>
            </w:pPr>
            <w:r w:rsidRPr="004D07FA">
              <w:rPr>
                <w:color w:val="000000"/>
              </w:rPr>
              <w:t>480</w:t>
            </w:r>
          </w:p>
        </w:tc>
        <w:tc>
          <w:tcPr>
            <w:tcW w:w="1294" w:type="dxa"/>
            <w:tcBorders>
              <w:top w:val="nil"/>
              <w:left w:val="nil"/>
              <w:bottom w:val="single" w:sz="4" w:space="0" w:color="auto"/>
              <w:right w:val="single" w:sz="4" w:space="0" w:color="auto"/>
            </w:tcBorders>
            <w:shd w:val="clear" w:color="auto" w:fill="auto"/>
            <w:vAlign w:val="bottom"/>
          </w:tcPr>
          <w:p w14:paraId="68757707" w14:textId="77777777" w:rsidR="00011F49" w:rsidRPr="004D07FA" w:rsidRDefault="00011F49" w:rsidP="005755AC">
            <w:pPr>
              <w:widowControl/>
              <w:autoSpaceDE/>
              <w:autoSpaceDN/>
              <w:adjustRightInd/>
              <w:jc w:val="right"/>
              <w:rPr>
                <w:color w:val="000000"/>
              </w:rPr>
            </w:pPr>
            <w:r w:rsidRPr="004D07FA">
              <w:rPr>
                <w:color w:val="000000"/>
              </w:rPr>
              <w:t>530</w:t>
            </w:r>
          </w:p>
        </w:tc>
        <w:tc>
          <w:tcPr>
            <w:tcW w:w="1141" w:type="dxa"/>
            <w:tcBorders>
              <w:top w:val="nil"/>
              <w:left w:val="nil"/>
              <w:bottom w:val="single" w:sz="4" w:space="0" w:color="auto"/>
              <w:right w:val="single" w:sz="4" w:space="0" w:color="auto"/>
            </w:tcBorders>
            <w:shd w:val="clear" w:color="auto" w:fill="auto"/>
            <w:vAlign w:val="bottom"/>
          </w:tcPr>
          <w:p w14:paraId="7D642C18" w14:textId="7C1E93F9" w:rsidR="00011F49" w:rsidRPr="004D07FA" w:rsidRDefault="00011F49" w:rsidP="00A7258F">
            <w:pPr>
              <w:widowControl/>
              <w:autoSpaceDE/>
              <w:autoSpaceDN/>
              <w:adjustRightInd/>
              <w:jc w:val="right"/>
              <w:rPr>
                <w:color w:val="000000"/>
              </w:rPr>
            </w:pPr>
            <w:r w:rsidRPr="004D07FA">
              <w:rPr>
                <w:color w:val="000000"/>
              </w:rPr>
              <w:t>$</w:t>
            </w:r>
            <w:r w:rsidR="00C0773D">
              <w:rPr>
                <w:color w:val="000000"/>
              </w:rPr>
              <w:t>42</w:t>
            </w:r>
            <w:r w:rsidR="00A7258F">
              <w:rPr>
                <w:color w:val="000000"/>
              </w:rPr>
              <w:t>,</w:t>
            </w:r>
            <w:r w:rsidR="00C0773D">
              <w:rPr>
                <w:color w:val="000000"/>
              </w:rPr>
              <w:t>888</w:t>
            </w:r>
            <w:r w:rsidRPr="004D07FA">
              <w:rPr>
                <w:color w:val="000000"/>
              </w:rPr>
              <w:t xml:space="preserve"> </w:t>
            </w:r>
          </w:p>
        </w:tc>
        <w:tc>
          <w:tcPr>
            <w:tcW w:w="975" w:type="dxa"/>
            <w:tcBorders>
              <w:top w:val="nil"/>
              <w:left w:val="nil"/>
              <w:bottom w:val="single" w:sz="4" w:space="0" w:color="auto"/>
              <w:right w:val="nil"/>
            </w:tcBorders>
            <w:shd w:val="clear" w:color="auto" w:fill="auto"/>
            <w:vAlign w:val="bottom"/>
          </w:tcPr>
          <w:p w14:paraId="06FC8BC9" w14:textId="77777777" w:rsidR="00011F49" w:rsidRPr="004D07FA" w:rsidRDefault="00011F49" w:rsidP="005755AC">
            <w:pPr>
              <w:widowControl/>
              <w:autoSpaceDE/>
              <w:autoSpaceDN/>
              <w:adjustRightInd/>
              <w:jc w:val="right"/>
              <w:rPr>
                <w:color w:val="000000"/>
              </w:rPr>
            </w:pPr>
            <w:r w:rsidRPr="004D07FA">
              <w:rPr>
                <w:color w:val="000000"/>
              </w:rPr>
              <w:t xml:space="preserve">$31,200 </w:t>
            </w:r>
          </w:p>
        </w:tc>
        <w:tc>
          <w:tcPr>
            <w:tcW w:w="990" w:type="dxa"/>
            <w:tcBorders>
              <w:top w:val="nil"/>
              <w:left w:val="single" w:sz="4" w:space="0" w:color="auto"/>
              <w:bottom w:val="single" w:sz="4" w:space="0" w:color="auto"/>
              <w:right w:val="single" w:sz="4" w:space="0" w:color="auto"/>
            </w:tcBorders>
            <w:shd w:val="clear" w:color="auto" w:fill="auto"/>
            <w:vAlign w:val="bottom"/>
          </w:tcPr>
          <w:p w14:paraId="218B4343" w14:textId="77777777" w:rsidR="00011F49" w:rsidRPr="004D07FA" w:rsidRDefault="00011F49" w:rsidP="005755AC">
            <w:pPr>
              <w:widowControl/>
              <w:autoSpaceDE/>
              <w:autoSpaceDN/>
              <w:adjustRightInd/>
              <w:jc w:val="right"/>
              <w:rPr>
                <w:color w:val="000000"/>
              </w:rPr>
            </w:pPr>
            <w:r w:rsidRPr="004D07FA">
              <w:rPr>
                <w:color w:val="000000"/>
              </w:rPr>
              <w:t xml:space="preserve">$28,879 </w:t>
            </w:r>
          </w:p>
        </w:tc>
        <w:tc>
          <w:tcPr>
            <w:tcW w:w="1430" w:type="dxa"/>
            <w:tcBorders>
              <w:top w:val="nil"/>
              <w:left w:val="nil"/>
              <w:bottom w:val="single" w:sz="4" w:space="0" w:color="auto"/>
              <w:right w:val="single" w:sz="4" w:space="0" w:color="auto"/>
            </w:tcBorders>
            <w:shd w:val="clear" w:color="auto" w:fill="auto"/>
            <w:vAlign w:val="bottom"/>
          </w:tcPr>
          <w:p w14:paraId="76A01F61" w14:textId="3C1FB69C" w:rsidR="00011F49" w:rsidRPr="004D07FA" w:rsidRDefault="003157C5" w:rsidP="005755AC">
            <w:pPr>
              <w:widowControl/>
              <w:autoSpaceDE/>
              <w:autoSpaceDN/>
              <w:adjustRightInd/>
              <w:jc w:val="right"/>
              <w:rPr>
                <w:color w:val="000000"/>
              </w:rPr>
            </w:pPr>
            <w:r>
              <w:rPr>
                <w:color w:val="000000"/>
              </w:rPr>
              <w:t>84</w:t>
            </w:r>
            <w:r w:rsidR="003C72AD">
              <w:rPr>
                <w:rStyle w:val="CommentReference"/>
              </w:rPr>
              <w:commentReference w:id="1"/>
            </w:r>
          </w:p>
        </w:tc>
        <w:tc>
          <w:tcPr>
            <w:tcW w:w="1239" w:type="dxa"/>
            <w:tcBorders>
              <w:top w:val="nil"/>
              <w:left w:val="nil"/>
              <w:bottom w:val="single" w:sz="4" w:space="0" w:color="auto"/>
              <w:right w:val="single" w:sz="4" w:space="0" w:color="auto"/>
            </w:tcBorders>
            <w:shd w:val="clear" w:color="auto" w:fill="auto"/>
            <w:vAlign w:val="bottom"/>
          </w:tcPr>
          <w:p w14:paraId="77E0B55C" w14:textId="27AD61F4" w:rsidR="00011F49" w:rsidRPr="004D07FA" w:rsidRDefault="000745CE" w:rsidP="005755AC">
            <w:pPr>
              <w:widowControl/>
              <w:autoSpaceDE/>
              <w:autoSpaceDN/>
              <w:adjustRightInd/>
              <w:jc w:val="right"/>
              <w:rPr>
                <w:color w:val="000000"/>
              </w:rPr>
            </w:pPr>
            <w:r>
              <w:rPr>
                <w:color w:val="000000"/>
              </w:rPr>
              <w:t>44</w:t>
            </w:r>
            <w:r w:rsidR="00D64FC2">
              <w:rPr>
                <w:color w:val="000000"/>
              </w:rPr>
              <w:t>,</w:t>
            </w:r>
            <w:r>
              <w:rPr>
                <w:color w:val="000000"/>
              </w:rPr>
              <w:t>520</w:t>
            </w:r>
          </w:p>
        </w:tc>
        <w:tc>
          <w:tcPr>
            <w:tcW w:w="1281" w:type="dxa"/>
            <w:tcBorders>
              <w:top w:val="nil"/>
              <w:left w:val="nil"/>
              <w:bottom w:val="single" w:sz="4" w:space="0" w:color="auto"/>
              <w:right w:val="single" w:sz="4" w:space="0" w:color="auto"/>
            </w:tcBorders>
            <w:shd w:val="clear" w:color="auto" w:fill="auto"/>
            <w:vAlign w:val="bottom"/>
          </w:tcPr>
          <w:p w14:paraId="029A84A2" w14:textId="41939AF8" w:rsidR="00011F49" w:rsidRPr="004D07FA" w:rsidRDefault="00D64FC2" w:rsidP="005755AC">
            <w:pPr>
              <w:widowControl/>
              <w:autoSpaceDE/>
              <w:autoSpaceDN/>
              <w:adjustRightInd/>
              <w:jc w:val="right"/>
              <w:rPr>
                <w:color w:val="000000"/>
              </w:rPr>
            </w:pPr>
            <w:r>
              <w:rPr>
                <w:color w:val="000000"/>
              </w:rPr>
              <w:t>$</w:t>
            </w:r>
            <w:r w:rsidR="000745CE">
              <w:rPr>
                <w:color w:val="000000"/>
              </w:rPr>
              <w:t>8</w:t>
            </w:r>
            <w:r>
              <w:rPr>
                <w:color w:val="000000"/>
              </w:rPr>
              <w:t>,</w:t>
            </w:r>
            <w:r w:rsidR="000745CE">
              <w:rPr>
                <w:color w:val="000000"/>
              </w:rPr>
              <w:t>649</w:t>
            </w:r>
            <w:r>
              <w:rPr>
                <w:color w:val="000000"/>
              </w:rPr>
              <w:t>,</w:t>
            </w:r>
            <w:r w:rsidR="000745CE">
              <w:rPr>
                <w:color w:val="000000"/>
              </w:rPr>
              <w:t>211</w:t>
            </w:r>
            <w:r w:rsidR="00011F49" w:rsidRPr="004D07FA">
              <w:rPr>
                <w:color w:val="000000"/>
              </w:rPr>
              <w:t xml:space="preserve"> </w:t>
            </w:r>
          </w:p>
        </w:tc>
      </w:tr>
      <w:tr w:rsidR="00011F49" w:rsidRPr="004D07FA" w14:paraId="5D9731CC" w14:textId="77777777" w:rsidTr="005755AC">
        <w:trPr>
          <w:trHeight w:val="300"/>
          <w:jc w:val="center"/>
        </w:trPr>
        <w:tc>
          <w:tcPr>
            <w:tcW w:w="2694" w:type="dxa"/>
            <w:tcBorders>
              <w:top w:val="nil"/>
              <w:left w:val="single" w:sz="4" w:space="0" w:color="auto"/>
              <w:bottom w:val="single" w:sz="4" w:space="0" w:color="auto"/>
              <w:right w:val="single" w:sz="4" w:space="0" w:color="auto"/>
            </w:tcBorders>
            <w:shd w:val="clear" w:color="auto" w:fill="auto"/>
          </w:tcPr>
          <w:p w14:paraId="10E54D1F" w14:textId="4A80F7D7" w:rsidR="00011F49" w:rsidRPr="004D07FA" w:rsidRDefault="00011F49" w:rsidP="003C72AD">
            <w:pPr>
              <w:widowControl/>
              <w:autoSpaceDE/>
              <w:autoSpaceDN/>
              <w:adjustRightInd/>
              <w:ind w:left="558" w:hanging="270"/>
              <w:rPr>
                <w:color w:val="000000"/>
              </w:rPr>
            </w:pPr>
            <w:r w:rsidRPr="004D07FA">
              <w:rPr>
                <w:color w:val="000000"/>
              </w:rPr>
              <w:t xml:space="preserve">(b) </w:t>
            </w:r>
            <w:r>
              <w:rPr>
                <w:color w:val="000000"/>
              </w:rPr>
              <w:t xml:space="preserve"> </w:t>
            </w:r>
            <w:r w:rsidRPr="004D07FA">
              <w:rPr>
                <w:color w:val="000000"/>
              </w:rPr>
              <w:t>NO</w:t>
            </w:r>
            <w:r w:rsidRPr="00E97BBC">
              <w:rPr>
                <w:color w:val="000000"/>
                <w:vertAlign w:val="subscript"/>
              </w:rPr>
              <w:t>x</w:t>
            </w:r>
            <w:r w:rsidRPr="004D07FA">
              <w:rPr>
                <w:color w:val="000000"/>
              </w:rPr>
              <w:t xml:space="preserve"> CEM and Fuel</w:t>
            </w:r>
            <w:r w:rsidR="003C72AD">
              <w:rPr>
                <w:color w:val="000000"/>
              </w:rPr>
              <w:t xml:space="preserve"> Flow</w:t>
            </w:r>
            <w:r w:rsidRPr="004D07FA">
              <w:rPr>
                <w:color w:val="000000"/>
              </w:rPr>
              <w:t>meter</w:t>
            </w:r>
          </w:p>
        </w:tc>
        <w:tc>
          <w:tcPr>
            <w:tcW w:w="958" w:type="dxa"/>
            <w:tcBorders>
              <w:top w:val="nil"/>
              <w:left w:val="nil"/>
              <w:bottom w:val="single" w:sz="4" w:space="0" w:color="auto"/>
              <w:right w:val="single" w:sz="4" w:space="0" w:color="auto"/>
            </w:tcBorders>
            <w:shd w:val="clear" w:color="auto" w:fill="auto"/>
            <w:vAlign w:val="bottom"/>
          </w:tcPr>
          <w:p w14:paraId="47CC6179" w14:textId="77777777" w:rsidR="00011F49" w:rsidRPr="004D07FA" w:rsidRDefault="00011F49" w:rsidP="005755AC">
            <w:pPr>
              <w:widowControl/>
              <w:autoSpaceDE/>
              <w:autoSpaceDN/>
              <w:adjustRightInd/>
              <w:jc w:val="right"/>
              <w:rPr>
                <w:color w:val="000000"/>
              </w:rPr>
            </w:pPr>
            <w:r w:rsidRPr="004D07FA">
              <w:rPr>
                <w:color w:val="000000"/>
              </w:rPr>
              <w:t>20</w:t>
            </w:r>
          </w:p>
        </w:tc>
        <w:tc>
          <w:tcPr>
            <w:tcW w:w="958" w:type="dxa"/>
            <w:tcBorders>
              <w:top w:val="nil"/>
              <w:left w:val="nil"/>
              <w:bottom w:val="single" w:sz="4" w:space="0" w:color="auto"/>
              <w:right w:val="single" w:sz="4" w:space="0" w:color="auto"/>
            </w:tcBorders>
            <w:shd w:val="clear" w:color="auto" w:fill="auto"/>
            <w:vAlign w:val="bottom"/>
          </w:tcPr>
          <w:p w14:paraId="06C4362D" w14:textId="77777777" w:rsidR="00011F49" w:rsidRPr="004D07FA" w:rsidRDefault="00011F49" w:rsidP="005755AC">
            <w:pPr>
              <w:widowControl/>
              <w:autoSpaceDE/>
              <w:autoSpaceDN/>
              <w:adjustRightInd/>
              <w:jc w:val="right"/>
              <w:rPr>
                <w:color w:val="000000"/>
              </w:rPr>
            </w:pPr>
            <w:r w:rsidRPr="004D07FA">
              <w:rPr>
                <w:color w:val="000000"/>
              </w:rPr>
              <w:t>375</w:t>
            </w:r>
          </w:p>
        </w:tc>
        <w:tc>
          <w:tcPr>
            <w:tcW w:w="1294" w:type="dxa"/>
            <w:tcBorders>
              <w:top w:val="nil"/>
              <w:left w:val="nil"/>
              <w:bottom w:val="single" w:sz="4" w:space="0" w:color="auto"/>
              <w:right w:val="single" w:sz="4" w:space="0" w:color="auto"/>
            </w:tcBorders>
            <w:shd w:val="clear" w:color="auto" w:fill="auto"/>
            <w:vAlign w:val="bottom"/>
          </w:tcPr>
          <w:p w14:paraId="305F204F" w14:textId="77777777" w:rsidR="00011F49" w:rsidRPr="004D07FA" w:rsidRDefault="00011F49" w:rsidP="005755AC">
            <w:pPr>
              <w:widowControl/>
              <w:autoSpaceDE/>
              <w:autoSpaceDN/>
              <w:adjustRightInd/>
              <w:jc w:val="right"/>
              <w:rPr>
                <w:color w:val="000000"/>
              </w:rPr>
            </w:pPr>
            <w:r w:rsidRPr="004D07FA">
              <w:rPr>
                <w:color w:val="000000"/>
              </w:rPr>
              <w:t>395</w:t>
            </w:r>
          </w:p>
        </w:tc>
        <w:tc>
          <w:tcPr>
            <w:tcW w:w="1141" w:type="dxa"/>
            <w:tcBorders>
              <w:top w:val="nil"/>
              <w:left w:val="nil"/>
              <w:bottom w:val="single" w:sz="4" w:space="0" w:color="auto"/>
              <w:right w:val="single" w:sz="4" w:space="0" w:color="auto"/>
            </w:tcBorders>
            <w:shd w:val="clear" w:color="auto" w:fill="auto"/>
            <w:vAlign w:val="bottom"/>
          </w:tcPr>
          <w:p w14:paraId="4C6746DF" w14:textId="413EC7B5" w:rsidR="00011F49" w:rsidRPr="004D07FA" w:rsidRDefault="00011F49" w:rsidP="00A7258F">
            <w:pPr>
              <w:widowControl/>
              <w:autoSpaceDE/>
              <w:autoSpaceDN/>
              <w:adjustRightInd/>
              <w:jc w:val="right"/>
              <w:rPr>
                <w:color w:val="000000"/>
              </w:rPr>
            </w:pPr>
            <w:r w:rsidRPr="004D07FA">
              <w:rPr>
                <w:color w:val="000000"/>
              </w:rPr>
              <w:t>$</w:t>
            </w:r>
            <w:r w:rsidR="00C0773D">
              <w:rPr>
                <w:color w:val="000000"/>
              </w:rPr>
              <w:t>31</w:t>
            </w:r>
            <w:r w:rsidR="00A7258F">
              <w:rPr>
                <w:color w:val="000000"/>
              </w:rPr>
              <w:t>,</w:t>
            </w:r>
            <w:r w:rsidR="00C0773D">
              <w:rPr>
                <w:color w:val="000000"/>
              </w:rPr>
              <w:t>367</w:t>
            </w:r>
            <w:r w:rsidRPr="004D07FA">
              <w:rPr>
                <w:color w:val="000000"/>
              </w:rPr>
              <w:t xml:space="preserve"> </w:t>
            </w:r>
          </w:p>
        </w:tc>
        <w:tc>
          <w:tcPr>
            <w:tcW w:w="975" w:type="dxa"/>
            <w:tcBorders>
              <w:top w:val="nil"/>
              <w:left w:val="nil"/>
              <w:bottom w:val="single" w:sz="4" w:space="0" w:color="auto"/>
              <w:right w:val="nil"/>
            </w:tcBorders>
            <w:shd w:val="clear" w:color="auto" w:fill="auto"/>
            <w:vAlign w:val="bottom"/>
          </w:tcPr>
          <w:p w14:paraId="3116C07D" w14:textId="77777777" w:rsidR="00011F49" w:rsidRPr="004D07FA" w:rsidRDefault="00011F49" w:rsidP="005755AC">
            <w:pPr>
              <w:widowControl/>
              <w:autoSpaceDE/>
              <w:autoSpaceDN/>
              <w:adjustRightInd/>
              <w:jc w:val="right"/>
              <w:rPr>
                <w:color w:val="000000"/>
              </w:rPr>
            </w:pPr>
            <w:r w:rsidRPr="004D07FA">
              <w:rPr>
                <w:color w:val="000000"/>
              </w:rPr>
              <w:t xml:space="preserve">$17,400 </w:t>
            </w:r>
          </w:p>
        </w:tc>
        <w:tc>
          <w:tcPr>
            <w:tcW w:w="990" w:type="dxa"/>
            <w:tcBorders>
              <w:top w:val="nil"/>
              <w:left w:val="single" w:sz="4" w:space="0" w:color="auto"/>
              <w:bottom w:val="single" w:sz="4" w:space="0" w:color="auto"/>
              <w:right w:val="single" w:sz="4" w:space="0" w:color="auto"/>
            </w:tcBorders>
            <w:shd w:val="clear" w:color="auto" w:fill="auto"/>
            <w:vAlign w:val="bottom"/>
          </w:tcPr>
          <w:p w14:paraId="50E34F54" w14:textId="77777777" w:rsidR="00011F49" w:rsidRPr="004D07FA" w:rsidRDefault="00011F49" w:rsidP="005755AC">
            <w:pPr>
              <w:widowControl/>
              <w:autoSpaceDE/>
              <w:autoSpaceDN/>
              <w:adjustRightInd/>
              <w:jc w:val="right"/>
              <w:rPr>
                <w:color w:val="000000"/>
              </w:rPr>
            </w:pPr>
            <w:r w:rsidRPr="004D07FA">
              <w:rPr>
                <w:color w:val="000000"/>
              </w:rPr>
              <w:t xml:space="preserve">$18,750 </w:t>
            </w:r>
          </w:p>
        </w:tc>
        <w:tc>
          <w:tcPr>
            <w:tcW w:w="1430" w:type="dxa"/>
            <w:tcBorders>
              <w:top w:val="nil"/>
              <w:left w:val="nil"/>
              <w:bottom w:val="single" w:sz="4" w:space="0" w:color="auto"/>
              <w:right w:val="single" w:sz="4" w:space="0" w:color="auto"/>
            </w:tcBorders>
            <w:shd w:val="clear" w:color="auto" w:fill="auto"/>
            <w:vAlign w:val="bottom"/>
          </w:tcPr>
          <w:p w14:paraId="3B673424" w14:textId="4F2DD3CE" w:rsidR="00011F49" w:rsidRPr="004D07FA" w:rsidRDefault="0069376D" w:rsidP="005755AC">
            <w:pPr>
              <w:widowControl/>
              <w:autoSpaceDE/>
              <w:autoSpaceDN/>
              <w:adjustRightInd/>
              <w:jc w:val="right"/>
              <w:rPr>
                <w:color w:val="000000"/>
              </w:rPr>
            </w:pPr>
            <w:r>
              <w:rPr>
                <w:color w:val="000000"/>
              </w:rPr>
              <w:t>183</w:t>
            </w:r>
          </w:p>
        </w:tc>
        <w:tc>
          <w:tcPr>
            <w:tcW w:w="1239" w:type="dxa"/>
            <w:tcBorders>
              <w:top w:val="nil"/>
              <w:left w:val="nil"/>
              <w:bottom w:val="single" w:sz="4" w:space="0" w:color="auto"/>
              <w:right w:val="single" w:sz="4" w:space="0" w:color="auto"/>
            </w:tcBorders>
            <w:shd w:val="clear" w:color="auto" w:fill="auto"/>
            <w:vAlign w:val="bottom"/>
          </w:tcPr>
          <w:p w14:paraId="01480EC4" w14:textId="2C236359" w:rsidR="00011F49" w:rsidRPr="004D07FA" w:rsidRDefault="0069376D" w:rsidP="005755AC">
            <w:pPr>
              <w:widowControl/>
              <w:autoSpaceDE/>
              <w:autoSpaceDN/>
              <w:adjustRightInd/>
              <w:jc w:val="right"/>
              <w:rPr>
                <w:color w:val="000000"/>
              </w:rPr>
            </w:pPr>
            <w:r>
              <w:rPr>
                <w:color w:val="000000"/>
              </w:rPr>
              <w:t>72,285</w:t>
            </w:r>
          </w:p>
        </w:tc>
        <w:tc>
          <w:tcPr>
            <w:tcW w:w="1281" w:type="dxa"/>
            <w:tcBorders>
              <w:top w:val="nil"/>
              <w:left w:val="nil"/>
              <w:bottom w:val="single" w:sz="4" w:space="0" w:color="auto"/>
              <w:right w:val="single" w:sz="4" w:space="0" w:color="auto"/>
            </w:tcBorders>
            <w:shd w:val="clear" w:color="auto" w:fill="auto"/>
            <w:vAlign w:val="bottom"/>
          </w:tcPr>
          <w:p w14:paraId="446B25D5" w14:textId="0C7D801B" w:rsidR="00011F49" w:rsidRPr="004D07FA" w:rsidRDefault="00D64FC2" w:rsidP="005755AC">
            <w:pPr>
              <w:widowControl/>
              <w:autoSpaceDE/>
              <w:autoSpaceDN/>
              <w:adjustRightInd/>
              <w:jc w:val="right"/>
              <w:rPr>
                <w:color w:val="000000"/>
              </w:rPr>
            </w:pPr>
            <w:r>
              <w:rPr>
                <w:color w:val="000000"/>
              </w:rPr>
              <w:t>$</w:t>
            </w:r>
            <w:r w:rsidR="0069376D">
              <w:rPr>
                <w:color w:val="000000"/>
              </w:rPr>
              <w:t>12,355,593</w:t>
            </w:r>
          </w:p>
        </w:tc>
      </w:tr>
      <w:tr w:rsidR="00011F49" w:rsidRPr="004D07FA" w14:paraId="558805BD" w14:textId="77777777" w:rsidTr="005755AC">
        <w:trPr>
          <w:trHeight w:val="300"/>
          <w:jc w:val="center"/>
        </w:trPr>
        <w:tc>
          <w:tcPr>
            <w:tcW w:w="2694" w:type="dxa"/>
            <w:tcBorders>
              <w:top w:val="nil"/>
              <w:left w:val="single" w:sz="4" w:space="0" w:color="auto"/>
              <w:bottom w:val="single" w:sz="4" w:space="0" w:color="auto"/>
              <w:right w:val="single" w:sz="4" w:space="0" w:color="auto"/>
            </w:tcBorders>
            <w:shd w:val="clear" w:color="auto" w:fill="auto"/>
          </w:tcPr>
          <w:p w14:paraId="0C5E471D" w14:textId="299A81C0" w:rsidR="00011F49" w:rsidRPr="004D07FA" w:rsidRDefault="00011F49" w:rsidP="005755AC">
            <w:pPr>
              <w:widowControl/>
              <w:autoSpaceDE/>
              <w:autoSpaceDN/>
              <w:adjustRightInd/>
              <w:ind w:left="558" w:hanging="270"/>
              <w:rPr>
                <w:color w:val="000000"/>
              </w:rPr>
            </w:pPr>
            <w:r w:rsidRPr="004D07FA">
              <w:rPr>
                <w:color w:val="000000"/>
              </w:rPr>
              <w:t xml:space="preserve">(c) </w:t>
            </w:r>
            <w:r>
              <w:rPr>
                <w:color w:val="000000"/>
              </w:rPr>
              <w:t xml:space="preserve"> </w:t>
            </w:r>
            <w:r w:rsidRPr="004D07FA">
              <w:rPr>
                <w:color w:val="000000"/>
              </w:rPr>
              <w:t>App. E and Fuel</w:t>
            </w:r>
            <w:r w:rsidR="003C72AD">
              <w:rPr>
                <w:color w:val="000000"/>
              </w:rPr>
              <w:t xml:space="preserve"> Flow</w:t>
            </w:r>
            <w:r w:rsidRPr="004D07FA">
              <w:rPr>
                <w:color w:val="000000"/>
              </w:rPr>
              <w:t>meter</w:t>
            </w:r>
          </w:p>
        </w:tc>
        <w:tc>
          <w:tcPr>
            <w:tcW w:w="958" w:type="dxa"/>
            <w:tcBorders>
              <w:top w:val="nil"/>
              <w:left w:val="nil"/>
              <w:bottom w:val="single" w:sz="4" w:space="0" w:color="auto"/>
              <w:right w:val="single" w:sz="4" w:space="0" w:color="auto"/>
            </w:tcBorders>
            <w:shd w:val="clear" w:color="auto" w:fill="auto"/>
            <w:vAlign w:val="bottom"/>
          </w:tcPr>
          <w:p w14:paraId="17DADB82" w14:textId="77777777" w:rsidR="00011F49" w:rsidRPr="004D07FA" w:rsidRDefault="00011F49" w:rsidP="005755AC">
            <w:pPr>
              <w:widowControl/>
              <w:autoSpaceDE/>
              <w:autoSpaceDN/>
              <w:adjustRightInd/>
              <w:jc w:val="right"/>
              <w:rPr>
                <w:color w:val="000000"/>
              </w:rPr>
            </w:pPr>
            <w:r w:rsidRPr="004D07FA">
              <w:rPr>
                <w:color w:val="000000"/>
              </w:rPr>
              <w:t>5</w:t>
            </w:r>
          </w:p>
        </w:tc>
        <w:tc>
          <w:tcPr>
            <w:tcW w:w="958" w:type="dxa"/>
            <w:tcBorders>
              <w:top w:val="nil"/>
              <w:left w:val="nil"/>
              <w:bottom w:val="single" w:sz="4" w:space="0" w:color="auto"/>
              <w:right w:val="single" w:sz="4" w:space="0" w:color="auto"/>
            </w:tcBorders>
            <w:shd w:val="clear" w:color="auto" w:fill="auto"/>
            <w:vAlign w:val="bottom"/>
          </w:tcPr>
          <w:p w14:paraId="4223D801" w14:textId="77777777" w:rsidR="00011F49" w:rsidRPr="004D07FA" w:rsidRDefault="00011F49" w:rsidP="005755AC">
            <w:pPr>
              <w:widowControl/>
              <w:autoSpaceDE/>
              <w:autoSpaceDN/>
              <w:adjustRightInd/>
              <w:jc w:val="right"/>
              <w:rPr>
                <w:color w:val="000000"/>
              </w:rPr>
            </w:pPr>
            <w:r w:rsidRPr="004D07FA">
              <w:rPr>
                <w:color w:val="000000"/>
              </w:rPr>
              <w:t>30</w:t>
            </w:r>
          </w:p>
        </w:tc>
        <w:tc>
          <w:tcPr>
            <w:tcW w:w="1294" w:type="dxa"/>
            <w:tcBorders>
              <w:top w:val="nil"/>
              <w:left w:val="nil"/>
              <w:bottom w:val="single" w:sz="4" w:space="0" w:color="auto"/>
              <w:right w:val="single" w:sz="4" w:space="0" w:color="auto"/>
            </w:tcBorders>
            <w:shd w:val="clear" w:color="auto" w:fill="auto"/>
            <w:vAlign w:val="bottom"/>
          </w:tcPr>
          <w:p w14:paraId="742266AB" w14:textId="77777777" w:rsidR="00011F49" w:rsidRPr="004D07FA" w:rsidRDefault="00011F49" w:rsidP="005755AC">
            <w:pPr>
              <w:widowControl/>
              <w:autoSpaceDE/>
              <w:autoSpaceDN/>
              <w:adjustRightInd/>
              <w:jc w:val="right"/>
              <w:rPr>
                <w:color w:val="000000"/>
              </w:rPr>
            </w:pPr>
            <w:r w:rsidRPr="004D07FA">
              <w:rPr>
                <w:color w:val="000000"/>
              </w:rPr>
              <w:t>35</w:t>
            </w:r>
          </w:p>
        </w:tc>
        <w:tc>
          <w:tcPr>
            <w:tcW w:w="1141" w:type="dxa"/>
            <w:tcBorders>
              <w:top w:val="nil"/>
              <w:left w:val="nil"/>
              <w:bottom w:val="single" w:sz="4" w:space="0" w:color="auto"/>
              <w:right w:val="single" w:sz="4" w:space="0" w:color="auto"/>
            </w:tcBorders>
            <w:shd w:val="clear" w:color="auto" w:fill="auto"/>
            <w:vAlign w:val="bottom"/>
          </w:tcPr>
          <w:p w14:paraId="66C992D3" w14:textId="20804725" w:rsidR="00011F49" w:rsidRPr="004D07FA" w:rsidRDefault="00011F49">
            <w:pPr>
              <w:widowControl/>
              <w:autoSpaceDE/>
              <w:autoSpaceDN/>
              <w:adjustRightInd/>
              <w:jc w:val="right"/>
              <w:rPr>
                <w:color w:val="000000"/>
              </w:rPr>
            </w:pPr>
            <w:r w:rsidRPr="004D07FA">
              <w:rPr>
                <w:color w:val="000000"/>
              </w:rPr>
              <w:t>$2,</w:t>
            </w:r>
            <w:r w:rsidR="00C0773D">
              <w:rPr>
                <w:color w:val="000000"/>
              </w:rPr>
              <w:t>891</w:t>
            </w:r>
            <w:r w:rsidR="00A7258F" w:rsidRPr="004D07FA">
              <w:rPr>
                <w:color w:val="000000"/>
              </w:rPr>
              <w:t xml:space="preserve"> </w:t>
            </w:r>
          </w:p>
        </w:tc>
        <w:tc>
          <w:tcPr>
            <w:tcW w:w="975" w:type="dxa"/>
            <w:tcBorders>
              <w:top w:val="nil"/>
              <w:left w:val="nil"/>
              <w:bottom w:val="single" w:sz="4" w:space="0" w:color="auto"/>
              <w:right w:val="nil"/>
            </w:tcBorders>
            <w:shd w:val="clear" w:color="auto" w:fill="auto"/>
            <w:vAlign w:val="bottom"/>
          </w:tcPr>
          <w:p w14:paraId="5E128749" w14:textId="77777777" w:rsidR="00011F49" w:rsidRPr="004D07FA" w:rsidRDefault="00011F49" w:rsidP="005755AC">
            <w:pPr>
              <w:widowControl/>
              <w:autoSpaceDE/>
              <w:autoSpaceDN/>
              <w:adjustRightInd/>
              <w:jc w:val="right"/>
              <w:rPr>
                <w:color w:val="000000"/>
              </w:rPr>
            </w:pPr>
            <w:r w:rsidRPr="004D07FA">
              <w:rPr>
                <w:color w:val="000000"/>
              </w:rPr>
              <w:t xml:space="preserve">$1,800 </w:t>
            </w:r>
          </w:p>
        </w:tc>
        <w:tc>
          <w:tcPr>
            <w:tcW w:w="990" w:type="dxa"/>
            <w:tcBorders>
              <w:top w:val="nil"/>
              <w:left w:val="single" w:sz="4" w:space="0" w:color="auto"/>
              <w:bottom w:val="single" w:sz="4" w:space="0" w:color="auto"/>
              <w:right w:val="single" w:sz="4" w:space="0" w:color="auto"/>
            </w:tcBorders>
            <w:shd w:val="clear" w:color="auto" w:fill="auto"/>
            <w:vAlign w:val="bottom"/>
          </w:tcPr>
          <w:p w14:paraId="07DCE52C" w14:textId="77777777" w:rsidR="00011F49" w:rsidRPr="004D07FA" w:rsidRDefault="00011F49" w:rsidP="005755AC">
            <w:pPr>
              <w:widowControl/>
              <w:autoSpaceDE/>
              <w:autoSpaceDN/>
              <w:adjustRightInd/>
              <w:jc w:val="right"/>
              <w:rPr>
                <w:color w:val="000000"/>
              </w:rPr>
            </w:pPr>
            <w:r w:rsidRPr="004D07FA">
              <w:rPr>
                <w:color w:val="000000"/>
              </w:rPr>
              <w:t xml:space="preserve">$2,250 </w:t>
            </w:r>
          </w:p>
        </w:tc>
        <w:tc>
          <w:tcPr>
            <w:tcW w:w="1430" w:type="dxa"/>
            <w:tcBorders>
              <w:top w:val="nil"/>
              <w:left w:val="nil"/>
              <w:bottom w:val="single" w:sz="4" w:space="0" w:color="auto"/>
              <w:right w:val="single" w:sz="4" w:space="0" w:color="auto"/>
            </w:tcBorders>
            <w:shd w:val="clear" w:color="auto" w:fill="auto"/>
            <w:vAlign w:val="bottom"/>
          </w:tcPr>
          <w:p w14:paraId="405080CE" w14:textId="79CAA958" w:rsidR="00011F49" w:rsidRPr="004D07FA" w:rsidRDefault="0069376D" w:rsidP="005755AC">
            <w:pPr>
              <w:widowControl/>
              <w:autoSpaceDE/>
              <w:autoSpaceDN/>
              <w:adjustRightInd/>
              <w:jc w:val="right"/>
              <w:rPr>
                <w:color w:val="000000"/>
              </w:rPr>
            </w:pPr>
            <w:r>
              <w:rPr>
                <w:color w:val="000000"/>
              </w:rPr>
              <w:t>12</w:t>
            </w:r>
          </w:p>
        </w:tc>
        <w:tc>
          <w:tcPr>
            <w:tcW w:w="1239" w:type="dxa"/>
            <w:tcBorders>
              <w:top w:val="nil"/>
              <w:left w:val="nil"/>
              <w:bottom w:val="single" w:sz="4" w:space="0" w:color="auto"/>
              <w:right w:val="single" w:sz="4" w:space="0" w:color="auto"/>
            </w:tcBorders>
            <w:shd w:val="clear" w:color="auto" w:fill="auto"/>
            <w:vAlign w:val="bottom"/>
          </w:tcPr>
          <w:p w14:paraId="6B6A4509" w14:textId="6ECF9BE9" w:rsidR="00011F49" w:rsidRPr="004D07FA" w:rsidRDefault="0069376D" w:rsidP="005755AC">
            <w:pPr>
              <w:widowControl/>
              <w:autoSpaceDE/>
              <w:autoSpaceDN/>
              <w:adjustRightInd/>
              <w:jc w:val="right"/>
              <w:rPr>
                <w:color w:val="000000"/>
              </w:rPr>
            </w:pPr>
            <w:r>
              <w:rPr>
                <w:color w:val="000000"/>
              </w:rPr>
              <w:t>420</w:t>
            </w:r>
          </w:p>
        </w:tc>
        <w:tc>
          <w:tcPr>
            <w:tcW w:w="1281" w:type="dxa"/>
            <w:tcBorders>
              <w:top w:val="nil"/>
              <w:left w:val="nil"/>
              <w:bottom w:val="single" w:sz="4" w:space="0" w:color="auto"/>
              <w:right w:val="single" w:sz="4" w:space="0" w:color="auto"/>
            </w:tcBorders>
            <w:shd w:val="clear" w:color="auto" w:fill="auto"/>
            <w:vAlign w:val="bottom"/>
          </w:tcPr>
          <w:p w14:paraId="66E7612E" w14:textId="2D9D3F18" w:rsidR="00011F49" w:rsidRPr="004D07FA" w:rsidRDefault="00011F49" w:rsidP="0069376D">
            <w:pPr>
              <w:widowControl/>
              <w:autoSpaceDE/>
              <w:autoSpaceDN/>
              <w:adjustRightInd/>
              <w:jc w:val="right"/>
              <w:rPr>
                <w:color w:val="000000"/>
              </w:rPr>
            </w:pPr>
            <w:r w:rsidRPr="004D07FA">
              <w:rPr>
                <w:color w:val="000000"/>
              </w:rPr>
              <w:t>$</w:t>
            </w:r>
            <w:r w:rsidR="0069376D">
              <w:rPr>
                <w:color w:val="000000"/>
              </w:rPr>
              <w:t>83,291</w:t>
            </w:r>
            <w:r w:rsidRPr="004D07FA">
              <w:rPr>
                <w:color w:val="000000"/>
              </w:rPr>
              <w:t xml:space="preserve"> </w:t>
            </w:r>
          </w:p>
        </w:tc>
      </w:tr>
      <w:tr w:rsidR="0069376D" w:rsidRPr="004D07FA" w14:paraId="4C7E62FF" w14:textId="77777777" w:rsidTr="005755AC">
        <w:trPr>
          <w:trHeight w:val="300"/>
          <w:jc w:val="center"/>
        </w:trPr>
        <w:tc>
          <w:tcPr>
            <w:tcW w:w="2694" w:type="dxa"/>
            <w:tcBorders>
              <w:top w:val="nil"/>
              <w:left w:val="single" w:sz="4" w:space="0" w:color="auto"/>
              <w:bottom w:val="single" w:sz="4" w:space="0" w:color="auto"/>
              <w:right w:val="single" w:sz="4" w:space="0" w:color="auto"/>
            </w:tcBorders>
            <w:shd w:val="clear" w:color="auto" w:fill="auto"/>
          </w:tcPr>
          <w:p w14:paraId="5E51104E" w14:textId="77777777" w:rsidR="0069376D" w:rsidRPr="004D07FA" w:rsidRDefault="0069376D" w:rsidP="005755AC">
            <w:pPr>
              <w:widowControl/>
              <w:autoSpaceDE/>
              <w:autoSpaceDN/>
              <w:adjustRightInd/>
              <w:ind w:left="558" w:hanging="270"/>
              <w:rPr>
                <w:color w:val="000000"/>
              </w:rPr>
            </w:pPr>
            <w:r>
              <w:rPr>
                <w:color w:val="000000"/>
              </w:rPr>
              <w:t>(d)LME</w:t>
            </w:r>
          </w:p>
        </w:tc>
        <w:tc>
          <w:tcPr>
            <w:tcW w:w="958" w:type="dxa"/>
            <w:tcBorders>
              <w:top w:val="nil"/>
              <w:left w:val="nil"/>
              <w:bottom w:val="single" w:sz="4" w:space="0" w:color="auto"/>
              <w:right w:val="single" w:sz="4" w:space="0" w:color="auto"/>
            </w:tcBorders>
            <w:shd w:val="clear" w:color="auto" w:fill="auto"/>
            <w:vAlign w:val="bottom"/>
          </w:tcPr>
          <w:p w14:paraId="66EB68B6" w14:textId="77777777" w:rsidR="0069376D" w:rsidRPr="004D07FA" w:rsidRDefault="0069376D" w:rsidP="005755AC">
            <w:pPr>
              <w:widowControl/>
              <w:autoSpaceDE/>
              <w:autoSpaceDN/>
              <w:adjustRightInd/>
              <w:jc w:val="right"/>
              <w:rPr>
                <w:color w:val="000000"/>
              </w:rPr>
            </w:pPr>
            <w:r>
              <w:rPr>
                <w:color w:val="000000"/>
              </w:rPr>
              <w:t>4</w:t>
            </w:r>
          </w:p>
        </w:tc>
        <w:tc>
          <w:tcPr>
            <w:tcW w:w="958" w:type="dxa"/>
            <w:tcBorders>
              <w:top w:val="nil"/>
              <w:left w:val="nil"/>
              <w:bottom w:val="single" w:sz="4" w:space="0" w:color="auto"/>
              <w:right w:val="single" w:sz="4" w:space="0" w:color="auto"/>
            </w:tcBorders>
            <w:shd w:val="clear" w:color="auto" w:fill="auto"/>
            <w:vAlign w:val="bottom"/>
          </w:tcPr>
          <w:p w14:paraId="701CE8ED" w14:textId="77777777" w:rsidR="0069376D" w:rsidRPr="004D07FA" w:rsidRDefault="0069376D" w:rsidP="005755AC">
            <w:pPr>
              <w:widowControl/>
              <w:autoSpaceDE/>
              <w:autoSpaceDN/>
              <w:adjustRightInd/>
              <w:jc w:val="right"/>
              <w:rPr>
                <w:color w:val="000000"/>
              </w:rPr>
            </w:pPr>
            <w:r>
              <w:rPr>
                <w:color w:val="000000"/>
              </w:rPr>
              <w:t>12</w:t>
            </w:r>
          </w:p>
        </w:tc>
        <w:tc>
          <w:tcPr>
            <w:tcW w:w="1294" w:type="dxa"/>
            <w:tcBorders>
              <w:top w:val="nil"/>
              <w:left w:val="nil"/>
              <w:bottom w:val="single" w:sz="4" w:space="0" w:color="auto"/>
              <w:right w:val="single" w:sz="4" w:space="0" w:color="auto"/>
            </w:tcBorders>
            <w:shd w:val="clear" w:color="auto" w:fill="auto"/>
            <w:vAlign w:val="bottom"/>
          </w:tcPr>
          <w:p w14:paraId="2020D1FF" w14:textId="77777777" w:rsidR="0069376D" w:rsidRPr="004D07FA" w:rsidRDefault="0069376D" w:rsidP="005755AC">
            <w:pPr>
              <w:widowControl/>
              <w:autoSpaceDE/>
              <w:autoSpaceDN/>
              <w:adjustRightInd/>
              <w:jc w:val="right"/>
              <w:rPr>
                <w:color w:val="000000"/>
              </w:rPr>
            </w:pPr>
            <w:r>
              <w:rPr>
                <w:color w:val="000000"/>
              </w:rPr>
              <w:t>16</w:t>
            </w:r>
          </w:p>
        </w:tc>
        <w:tc>
          <w:tcPr>
            <w:tcW w:w="1141" w:type="dxa"/>
            <w:tcBorders>
              <w:top w:val="nil"/>
              <w:left w:val="nil"/>
              <w:bottom w:val="single" w:sz="4" w:space="0" w:color="auto"/>
              <w:right w:val="single" w:sz="4" w:space="0" w:color="auto"/>
            </w:tcBorders>
            <w:shd w:val="clear" w:color="auto" w:fill="auto"/>
            <w:vAlign w:val="bottom"/>
          </w:tcPr>
          <w:p w14:paraId="2624EDE4" w14:textId="77777777" w:rsidR="0069376D" w:rsidRPr="004D07FA" w:rsidRDefault="0069376D" w:rsidP="00A7258F">
            <w:pPr>
              <w:widowControl/>
              <w:autoSpaceDE/>
              <w:autoSpaceDN/>
              <w:adjustRightInd/>
              <w:jc w:val="right"/>
              <w:rPr>
                <w:color w:val="000000"/>
              </w:rPr>
            </w:pPr>
            <w:r>
              <w:rPr>
                <w:color w:val="000000"/>
              </w:rPr>
              <w:t>$1,381</w:t>
            </w:r>
          </w:p>
        </w:tc>
        <w:tc>
          <w:tcPr>
            <w:tcW w:w="975" w:type="dxa"/>
            <w:tcBorders>
              <w:top w:val="nil"/>
              <w:left w:val="nil"/>
              <w:bottom w:val="single" w:sz="4" w:space="0" w:color="auto"/>
              <w:right w:val="nil"/>
            </w:tcBorders>
            <w:shd w:val="clear" w:color="auto" w:fill="auto"/>
            <w:vAlign w:val="bottom"/>
          </w:tcPr>
          <w:p w14:paraId="71C71DE4" w14:textId="77777777" w:rsidR="0069376D" w:rsidRPr="004D07FA" w:rsidRDefault="0069376D" w:rsidP="005755AC">
            <w:pPr>
              <w:widowControl/>
              <w:autoSpaceDE/>
              <w:autoSpaceDN/>
              <w:adjustRightInd/>
              <w:jc w:val="right"/>
              <w:rPr>
                <w:color w:val="000000"/>
              </w:rPr>
            </w:pPr>
            <w:r>
              <w:rPr>
                <w:color w:val="000000"/>
              </w:rPr>
              <w:t>$1,991</w:t>
            </w:r>
          </w:p>
        </w:tc>
        <w:tc>
          <w:tcPr>
            <w:tcW w:w="990" w:type="dxa"/>
            <w:tcBorders>
              <w:top w:val="nil"/>
              <w:left w:val="single" w:sz="4" w:space="0" w:color="auto"/>
              <w:bottom w:val="single" w:sz="4" w:space="0" w:color="auto"/>
              <w:right w:val="single" w:sz="4" w:space="0" w:color="auto"/>
            </w:tcBorders>
            <w:shd w:val="clear" w:color="auto" w:fill="auto"/>
            <w:vAlign w:val="bottom"/>
          </w:tcPr>
          <w:p w14:paraId="7ED29A67" w14:textId="77777777" w:rsidR="0069376D" w:rsidRPr="004D07FA" w:rsidRDefault="0069376D" w:rsidP="005755AC">
            <w:pPr>
              <w:widowControl/>
              <w:autoSpaceDE/>
              <w:autoSpaceDN/>
              <w:adjustRightInd/>
              <w:jc w:val="right"/>
              <w:rPr>
                <w:color w:val="000000"/>
              </w:rPr>
            </w:pPr>
          </w:p>
        </w:tc>
        <w:tc>
          <w:tcPr>
            <w:tcW w:w="1430" w:type="dxa"/>
            <w:tcBorders>
              <w:top w:val="nil"/>
              <w:left w:val="nil"/>
              <w:bottom w:val="single" w:sz="4" w:space="0" w:color="auto"/>
              <w:right w:val="single" w:sz="4" w:space="0" w:color="auto"/>
            </w:tcBorders>
            <w:shd w:val="clear" w:color="auto" w:fill="auto"/>
            <w:vAlign w:val="bottom"/>
          </w:tcPr>
          <w:p w14:paraId="707A54E1" w14:textId="77777777" w:rsidR="0069376D" w:rsidDel="0069376D" w:rsidRDefault="0069376D" w:rsidP="005755AC">
            <w:pPr>
              <w:widowControl/>
              <w:autoSpaceDE/>
              <w:autoSpaceDN/>
              <w:adjustRightInd/>
              <w:jc w:val="right"/>
              <w:rPr>
                <w:color w:val="000000"/>
              </w:rPr>
            </w:pPr>
            <w:r>
              <w:rPr>
                <w:color w:val="000000"/>
              </w:rPr>
              <w:t>181</w:t>
            </w:r>
          </w:p>
        </w:tc>
        <w:tc>
          <w:tcPr>
            <w:tcW w:w="1239" w:type="dxa"/>
            <w:tcBorders>
              <w:top w:val="nil"/>
              <w:left w:val="nil"/>
              <w:bottom w:val="single" w:sz="4" w:space="0" w:color="auto"/>
              <w:right w:val="single" w:sz="4" w:space="0" w:color="auto"/>
            </w:tcBorders>
            <w:shd w:val="clear" w:color="auto" w:fill="auto"/>
            <w:vAlign w:val="bottom"/>
          </w:tcPr>
          <w:p w14:paraId="2017387F" w14:textId="77777777" w:rsidR="0069376D" w:rsidDel="0069376D" w:rsidRDefault="0069376D" w:rsidP="005755AC">
            <w:pPr>
              <w:widowControl/>
              <w:autoSpaceDE/>
              <w:autoSpaceDN/>
              <w:adjustRightInd/>
              <w:jc w:val="right"/>
              <w:rPr>
                <w:color w:val="000000"/>
              </w:rPr>
            </w:pPr>
            <w:r>
              <w:rPr>
                <w:color w:val="000000"/>
              </w:rPr>
              <w:t>2,896</w:t>
            </w:r>
          </w:p>
        </w:tc>
        <w:tc>
          <w:tcPr>
            <w:tcW w:w="1281" w:type="dxa"/>
            <w:tcBorders>
              <w:top w:val="nil"/>
              <w:left w:val="nil"/>
              <w:bottom w:val="single" w:sz="4" w:space="0" w:color="auto"/>
              <w:right w:val="single" w:sz="4" w:space="0" w:color="auto"/>
            </w:tcBorders>
            <w:shd w:val="clear" w:color="auto" w:fill="auto"/>
            <w:vAlign w:val="bottom"/>
          </w:tcPr>
          <w:p w14:paraId="35DF243F" w14:textId="77777777" w:rsidR="0069376D" w:rsidRPr="004D07FA" w:rsidRDefault="0069376D" w:rsidP="0069376D">
            <w:pPr>
              <w:widowControl/>
              <w:autoSpaceDE/>
              <w:autoSpaceDN/>
              <w:adjustRightInd/>
              <w:jc w:val="right"/>
              <w:rPr>
                <w:color w:val="000000"/>
              </w:rPr>
            </w:pPr>
            <w:r>
              <w:rPr>
                <w:color w:val="000000"/>
              </w:rPr>
              <w:t>$610,296</w:t>
            </w:r>
          </w:p>
        </w:tc>
      </w:tr>
      <w:tr w:rsidR="00011F49" w:rsidRPr="004D07FA" w14:paraId="2F840D52" w14:textId="77777777" w:rsidTr="005755AC">
        <w:trPr>
          <w:trHeight w:val="765"/>
          <w:jc w:val="center"/>
        </w:trPr>
        <w:tc>
          <w:tcPr>
            <w:tcW w:w="2694" w:type="dxa"/>
            <w:tcBorders>
              <w:top w:val="nil"/>
              <w:left w:val="single" w:sz="4" w:space="0" w:color="auto"/>
              <w:bottom w:val="single" w:sz="4" w:space="0" w:color="auto"/>
              <w:right w:val="single" w:sz="4" w:space="0" w:color="auto"/>
            </w:tcBorders>
            <w:shd w:val="clear" w:color="auto" w:fill="auto"/>
          </w:tcPr>
          <w:p w14:paraId="27A8AFDF" w14:textId="633DB164" w:rsidR="00011F49" w:rsidRPr="003072F2" w:rsidRDefault="00011F49" w:rsidP="005755AC">
            <w:pPr>
              <w:widowControl/>
              <w:tabs>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288" w:hanging="288"/>
              <w:jc w:val="both"/>
              <w:rPr>
                <w:color w:val="000000"/>
                <w:vertAlign w:val="superscript"/>
              </w:rPr>
            </w:pPr>
            <w:r w:rsidRPr="004D07FA">
              <w:rPr>
                <w:color w:val="000000"/>
              </w:rPr>
              <w:t xml:space="preserve">7. </w:t>
            </w:r>
            <w:r>
              <w:rPr>
                <w:color w:val="000000"/>
              </w:rPr>
              <w:t xml:space="preserve"> </w:t>
            </w:r>
            <w:r w:rsidRPr="004D07FA">
              <w:rPr>
                <w:color w:val="000000"/>
              </w:rPr>
              <w:t>Assure Data Quality, Prepare Reports (inc. monitor</w:t>
            </w:r>
            <w:r w:rsidR="00E43EA9">
              <w:rPr>
                <w:color w:val="000000"/>
              </w:rPr>
              <w:t>ing</w:t>
            </w:r>
            <w:r w:rsidRPr="004D07FA">
              <w:rPr>
                <w:color w:val="000000"/>
              </w:rPr>
              <w:t xml:space="preserve"> plan update), Submit Reports</w:t>
            </w:r>
            <w:r w:rsidR="003072F2">
              <w:rPr>
                <w:color w:val="000000"/>
                <w:vertAlign w:val="superscript"/>
              </w:rPr>
              <w:t>a</w:t>
            </w:r>
          </w:p>
        </w:tc>
        <w:tc>
          <w:tcPr>
            <w:tcW w:w="958" w:type="dxa"/>
            <w:tcBorders>
              <w:top w:val="nil"/>
              <w:left w:val="nil"/>
              <w:bottom w:val="nil"/>
              <w:right w:val="single" w:sz="4" w:space="0" w:color="auto"/>
            </w:tcBorders>
            <w:shd w:val="clear" w:color="auto" w:fill="auto"/>
            <w:vAlign w:val="bottom"/>
          </w:tcPr>
          <w:p w14:paraId="0D6FD2AF" w14:textId="77777777" w:rsidR="00011F49" w:rsidRPr="004D07FA" w:rsidRDefault="00011F49" w:rsidP="005755AC">
            <w:pPr>
              <w:widowControl/>
              <w:autoSpaceDE/>
              <w:autoSpaceDN/>
              <w:adjustRightInd/>
              <w:jc w:val="right"/>
              <w:rPr>
                <w:color w:val="000000"/>
              </w:rPr>
            </w:pPr>
            <w:r w:rsidRPr="004D07FA">
              <w:rPr>
                <w:color w:val="000000"/>
              </w:rPr>
              <w:t>20</w:t>
            </w:r>
          </w:p>
        </w:tc>
        <w:tc>
          <w:tcPr>
            <w:tcW w:w="958" w:type="dxa"/>
            <w:tcBorders>
              <w:top w:val="nil"/>
              <w:left w:val="nil"/>
              <w:bottom w:val="nil"/>
              <w:right w:val="single" w:sz="4" w:space="0" w:color="auto"/>
            </w:tcBorders>
            <w:shd w:val="clear" w:color="auto" w:fill="auto"/>
            <w:vAlign w:val="bottom"/>
          </w:tcPr>
          <w:p w14:paraId="15F240CB" w14:textId="77777777" w:rsidR="00011F49" w:rsidRPr="004D07FA" w:rsidRDefault="00011F49" w:rsidP="005755AC">
            <w:pPr>
              <w:widowControl/>
              <w:autoSpaceDE/>
              <w:autoSpaceDN/>
              <w:adjustRightInd/>
              <w:jc w:val="right"/>
              <w:rPr>
                <w:color w:val="000000"/>
              </w:rPr>
            </w:pPr>
            <w:r w:rsidRPr="004D07FA">
              <w:rPr>
                <w:color w:val="000000"/>
              </w:rPr>
              <w:t>82</w:t>
            </w:r>
          </w:p>
        </w:tc>
        <w:tc>
          <w:tcPr>
            <w:tcW w:w="1294" w:type="dxa"/>
            <w:tcBorders>
              <w:top w:val="nil"/>
              <w:left w:val="nil"/>
              <w:bottom w:val="single" w:sz="4" w:space="0" w:color="auto"/>
              <w:right w:val="single" w:sz="4" w:space="0" w:color="auto"/>
            </w:tcBorders>
            <w:shd w:val="clear" w:color="auto" w:fill="auto"/>
            <w:vAlign w:val="bottom"/>
          </w:tcPr>
          <w:p w14:paraId="09AC6E96" w14:textId="77777777" w:rsidR="00011F49" w:rsidRPr="004D07FA" w:rsidRDefault="00011F49" w:rsidP="005755AC">
            <w:pPr>
              <w:widowControl/>
              <w:autoSpaceDE/>
              <w:autoSpaceDN/>
              <w:adjustRightInd/>
              <w:jc w:val="right"/>
              <w:rPr>
                <w:color w:val="000000"/>
              </w:rPr>
            </w:pPr>
            <w:r w:rsidRPr="004D07FA">
              <w:rPr>
                <w:color w:val="000000"/>
              </w:rPr>
              <w:t>102</w:t>
            </w:r>
          </w:p>
        </w:tc>
        <w:tc>
          <w:tcPr>
            <w:tcW w:w="1141" w:type="dxa"/>
            <w:tcBorders>
              <w:top w:val="nil"/>
              <w:left w:val="nil"/>
              <w:bottom w:val="single" w:sz="4" w:space="0" w:color="auto"/>
              <w:right w:val="single" w:sz="4" w:space="0" w:color="auto"/>
            </w:tcBorders>
            <w:shd w:val="clear" w:color="auto" w:fill="auto"/>
            <w:vAlign w:val="bottom"/>
          </w:tcPr>
          <w:p w14:paraId="371B24DE" w14:textId="57F0B080" w:rsidR="00011F49" w:rsidRPr="004D07FA" w:rsidRDefault="00011F49">
            <w:pPr>
              <w:widowControl/>
              <w:autoSpaceDE/>
              <w:autoSpaceDN/>
              <w:adjustRightInd/>
              <w:jc w:val="right"/>
              <w:rPr>
                <w:color w:val="000000"/>
              </w:rPr>
            </w:pPr>
            <w:r w:rsidRPr="004D07FA">
              <w:rPr>
                <w:color w:val="000000"/>
              </w:rPr>
              <w:t>$</w:t>
            </w:r>
            <w:r w:rsidR="00C0773D">
              <w:rPr>
                <w:color w:val="000000"/>
              </w:rPr>
              <w:t>8</w:t>
            </w:r>
            <w:r w:rsidRPr="004D07FA">
              <w:rPr>
                <w:color w:val="000000"/>
              </w:rPr>
              <w:t>,</w:t>
            </w:r>
            <w:r w:rsidR="000958AB">
              <w:rPr>
                <w:color w:val="000000"/>
              </w:rPr>
              <w:t>6</w:t>
            </w:r>
            <w:r w:rsidR="00C0773D">
              <w:rPr>
                <w:color w:val="000000"/>
              </w:rPr>
              <w:t>13</w:t>
            </w:r>
            <w:r w:rsidR="00A7258F" w:rsidRPr="004D07FA">
              <w:rPr>
                <w:color w:val="000000"/>
              </w:rPr>
              <w:t xml:space="preserve"> </w:t>
            </w:r>
          </w:p>
        </w:tc>
        <w:tc>
          <w:tcPr>
            <w:tcW w:w="975" w:type="dxa"/>
            <w:tcBorders>
              <w:top w:val="nil"/>
              <w:left w:val="nil"/>
              <w:bottom w:val="nil"/>
              <w:right w:val="nil"/>
            </w:tcBorders>
            <w:shd w:val="clear" w:color="auto" w:fill="auto"/>
            <w:vAlign w:val="bottom"/>
          </w:tcPr>
          <w:p w14:paraId="27623137" w14:textId="77777777" w:rsidR="00011F49" w:rsidRPr="004D07FA" w:rsidRDefault="00011F49" w:rsidP="005755AC">
            <w:pPr>
              <w:widowControl/>
              <w:autoSpaceDE/>
              <w:autoSpaceDN/>
              <w:adjustRightInd/>
              <w:jc w:val="right"/>
              <w:rPr>
                <w:color w:val="000000"/>
              </w:rPr>
            </w:pPr>
            <w:r w:rsidRPr="004D07FA">
              <w:rPr>
                <w:color w:val="000000"/>
              </w:rPr>
              <w:t xml:space="preserve">$0 </w:t>
            </w:r>
          </w:p>
        </w:tc>
        <w:tc>
          <w:tcPr>
            <w:tcW w:w="990" w:type="dxa"/>
            <w:tcBorders>
              <w:top w:val="nil"/>
              <w:left w:val="single" w:sz="4" w:space="0" w:color="auto"/>
              <w:bottom w:val="nil"/>
              <w:right w:val="single" w:sz="4" w:space="0" w:color="auto"/>
            </w:tcBorders>
            <w:shd w:val="clear" w:color="auto" w:fill="auto"/>
            <w:vAlign w:val="bottom"/>
          </w:tcPr>
          <w:p w14:paraId="7D06D947" w14:textId="77777777" w:rsidR="00011F49" w:rsidRPr="004D07FA" w:rsidRDefault="00011F49" w:rsidP="005755AC">
            <w:pPr>
              <w:widowControl/>
              <w:autoSpaceDE/>
              <w:autoSpaceDN/>
              <w:adjustRightInd/>
              <w:jc w:val="right"/>
              <w:rPr>
                <w:color w:val="000000"/>
              </w:rPr>
            </w:pPr>
            <w:r w:rsidRPr="004D07FA">
              <w:rPr>
                <w:color w:val="000000"/>
              </w:rPr>
              <w:t xml:space="preserve">$0 </w:t>
            </w:r>
          </w:p>
        </w:tc>
        <w:tc>
          <w:tcPr>
            <w:tcW w:w="1430" w:type="dxa"/>
            <w:tcBorders>
              <w:top w:val="nil"/>
              <w:left w:val="nil"/>
              <w:bottom w:val="nil"/>
              <w:right w:val="single" w:sz="4" w:space="0" w:color="auto"/>
            </w:tcBorders>
            <w:shd w:val="clear" w:color="auto" w:fill="auto"/>
            <w:vAlign w:val="bottom"/>
          </w:tcPr>
          <w:p w14:paraId="0ACA71E1" w14:textId="048A4288" w:rsidR="00011F49" w:rsidRPr="004D07FA" w:rsidRDefault="0069376D" w:rsidP="005755AC">
            <w:pPr>
              <w:widowControl/>
              <w:autoSpaceDE/>
              <w:autoSpaceDN/>
              <w:adjustRightInd/>
              <w:jc w:val="right"/>
              <w:rPr>
                <w:color w:val="000000"/>
              </w:rPr>
            </w:pPr>
            <w:r>
              <w:rPr>
                <w:color w:val="000000"/>
              </w:rPr>
              <w:t>460</w:t>
            </w:r>
          </w:p>
        </w:tc>
        <w:tc>
          <w:tcPr>
            <w:tcW w:w="1239" w:type="dxa"/>
            <w:tcBorders>
              <w:top w:val="nil"/>
              <w:left w:val="nil"/>
              <w:bottom w:val="single" w:sz="4" w:space="0" w:color="auto"/>
              <w:right w:val="single" w:sz="4" w:space="0" w:color="auto"/>
            </w:tcBorders>
            <w:shd w:val="clear" w:color="auto" w:fill="auto"/>
            <w:vAlign w:val="bottom"/>
          </w:tcPr>
          <w:p w14:paraId="137F8C99" w14:textId="47270178" w:rsidR="00011F49" w:rsidRPr="004D07FA" w:rsidRDefault="0069376D" w:rsidP="0069376D">
            <w:pPr>
              <w:widowControl/>
              <w:autoSpaceDE/>
              <w:autoSpaceDN/>
              <w:adjustRightInd/>
              <w:jc w:val="right"/>
              <w:rPr>
                <w:color w:val="000000"/>
              </w:rPr>
            </w:pPr>
            <w:r>
              <w:rPr>
                <w:color w:val="000000"/>
              </w:rPr>
              <w:t>46,920</w:t>
            </w:r>
          </w:p>
        </w:tc>
        <w:tc>
          <w:tcPr>
            <w:tcW w:w="1281" w:type="dxa"/>
            <w:tcBorders>
              <w:top w:val="nil"/>
              <w:left w:val="nil"/>
              <w:bottom w:val="single" w:sz="4" w:space="0" w:color="auto"/>
              <w:right w:val="single" w:sz="4" w:space="0" w:color="auto"/>
            </w:tcBorders>
            <w:shd w:val="clear" w:color="auto" w:fill="auto"/>
            <w:vAlign w:val="bottom"/>
          </w:tcPr>
          <w:p w14:paraId="1F41847A" w14:textId="3E703CEC" w:rsidR="00011F49" w:rsidRPr="004D07FA" w:rsidRDefault="00011F49" w:rsidP="0069376D">
            <w:pPr>
              <w:widowControl/>
              <w:autoSpaceDE/>
              <w:autoSpaceDN/>
              <w:adjustRightInd/>
              <w:jc w:val="right"/>
              <w:rPr>
                <w:color w:val="000000"/>
              </w:rPr>
            </w:pPr>
            <w:r>
              <w:rPr>
                <w:color w:val="000000"/>
              </w:rPr>
              <w:t>$</w:t>
            </w:r>
            <w:r w:rsidR="0069376D">
              <w:rPr>
                <w:color w:val="000000"/>
              </w:rPr>
              <w:t>3,961,759</w:t>
            </w:r>
            <w:r w:rsidRPr="004D07FA">
              <w:rPr>
                <w:color w:val="000000"/>
              </w:rPr>
              <w:t xml:space="preserve"> </w:t>
            </w:r>
          </w:p>
        </w:tc>
      </w:tr>
      <w:tr w:rsidR="00011F49" w:rsidRPr="004D07FA" w14:paraId="72954C94" w14:textId="77777777" w:rsidTr="005755AC">
        <w:trPr>
          <w:trHeight w:val="300"/>
          <w:jc w:val="center"/>
        </w:trPr>
        <w:tc>
          <w:tcPr>
            <w:tcW w:w="2694" w:type="dxa"/>
            <w:tcBorders>
              <w:top w:val="nil"/>
              <w:left w:val="single" w:sz="4" w:space="0" w:color="auto"/>
              <w:bottom w:val="single" w:sz="4" w:space="0" w:color="auto"/>
              <w:right w:val="single" w:sz="4" w:space="0" w:color="auto"/>
            </w:tcBorders>
            <w:shd w:val="clear" w:color="auto" w:fill="auto"/>
          </w:tcPr>
          <w:p w14:paraId="77FFC3D3" w14:textId="77777777" w:rsidR="00011F49" w:rsidRPr="004D07FA" w:rsidRDefault="00011F49" w:rsidP="005755AC">
            <w:pPr>
              <w:widowControl/>
              <w:autoSpaceDE/>
              <w:autoSpaceDN/>
              <w:adjustRightInd/>
              <w:rPr>
                <w:color w:val="000000"/>
              </w:rPr>
            </w:pPr>
            <w:r w:rsidRPr="004D07FA">
              <w:rPr>
                <w:color w:val="000000"/>
              </w:rPr>
              <w:t>TOTAL:</w:t>
            </w:r>
          </w:p>
        </w:tc>
        <w:tc>
          <w:tcPr>
            <w:tcW w:w="958" w:type="dxa"/>
            <w:tcBorders>
              <w:top w:val="single" w:sz="4" w:space="0" w:color="auto"/>
              <w:left w:val="nil"/>
              <w:bottom w:val="single" w:sz="4" w:space="0" w:color="auto"/>
              <w:right w:val="single" w:sz="4" w:space="0" w:color="auto"/>
            </w:tcBorders>
            <w:shd w:val="clear" w:color="auto" w:fill="auto"/>
            <w:vAlign w:val="bottom"/>
          </w:tcPr>
          <w:p w14:paraId="2A0868F8" w14:textId="77777777" w:rsidR="00011F49" w:rsidRPr="004D07FA" w:rsidRDefault="00011F49" w:rsidP="005755AC">
            <w:pPr>
              <w:widowControl/>
              <w:autoSpaceDE/>
              <w:autoSpaceDN/>
              <w:adjustRightInd/>
              <w:jc w:val="right"/>
              <w:rPr>
                <w:color w:val="000000"/>
              </w:rPr>
            </w:pPr>
            <w:r w:rsidRPr="004D07FA">
              <w:rPr>
                <w:color w:val="000000"/>
              </w:rPr>
              <w:t> </w:t>
            </w:r>
          </w:p>
        </w:tc>
        <w:tc>
          <w:tcPr>
            <w:tcW w:w="958" w:type="dxa"/>
            <w:tcBorders>
              <w:top w:val="single" w:sz="4" w:space="0" w:color="auto"/>
              <w:left w:val="nil"/>
              <w:bottom w:val="single" w:sz="4" w:space="0" w:color="auto"/>
              <w:right w:val="single" w:sz="4" w:space="0" w:color="auto"/>
            </w:tcBorders>
            <w:shd w:val="clear" w:color="auto" w:fill="auto"/>
            <w:vAlign w:val="bottom"/>
          </w:tcPr>
          <w:p w14:paraId="1FAFBA8D" w14:textId="77777777" w:rsidR="00011F49" w:rsidRPr="004D07FA" w:rsidRDefault="00011F49" w:rsidP="005755AC">
            <w:pPr>
              <w:widowControl/>
              <w:autoSpaceDE/>
              <w:autoSpaceDN/>
              <w:adjustRightInd/>
              <w:jc w:val="right"/>
              <w:rPr>
                <w:color w:val="000000"/>
              </w:rPr>
            </w:pPr>
            <w:r w:rsidRPr="004D07FA">
              <w:rPr>
                <w:color w:val="000000"/>
              </w:rPr>
              <w:t> </w:t>
            </w:r>
          </w:p>
        </w:tc>
        <w:tc>
          <w:tcPr>
            <w:tcW w:w="1294" w:type="dxa"/>
            <w:tcBorders>
              <w:top w:val="nil"/>
              <w:left w:val="nil"/>
              <w:bottom w:val="single" w:sz="4" w:space="0" w:color="auto"/>
              <w:right w:val="single" w:sz="4" w:space="0" w:color="auto"/>
            </w:tcBorders>
            <w:shd w:val="clear" w:color="auto" w:fill="auto"/>
            <w:vAlign w:val="bottom"/>
          </w:tcPr>
          <w:p w14:paraId="33947F80" w14:textId="77777777" w:rsidR="00011F49" w:rsidRPr="004D07FA" w:rsidRDefault="00011F49" w:rsidP="005755AC">
            <w:pPr>
              <w:widowControl/>
              <w:autoSpaceDE/>
              <w:autoSpaceDN/>
              <w:adjustRightInd/>
              <w:jc w:val="right"/>
              <w:rPr>
                <w:color w:val="000000"/>
              </w:rPr>
            </w:pPr>
            <w:r w:rsidRPr="004D07FA">
              <w:rPr>
                <w:color w:val="000000"/>
              </w:rPr>
              <w:t> </w:t>
            </w:r>
          </w:p>
        </w:tc>
        <w:tc>
          <w:tcPr>
            <w:tcW w:w="1141" w:type="dxa"/>
            <w:tcBorders>
              <w:top w:val="nil"/>
              <w:left w:val="nil"/>
              <w:bottom w:val="single" w:sz="4" w:space="0" w:color="auto"/>
              <w:right w:val="single" w:sz="4" w:space="0" w:color="auto"/>
            </w:tcBorders>
            <w:shd w:val="clear" w:color="auto" w:fill="auto"/>
            <w:vAlign w:val="bottom"/>
          </w:tcPr>
          <w:p w14:paraId="62EC27E4" w14:textId="77777777" w:rsidR="00011F49" w:rsidRPr="004D07FA" w:rsidRDefault="00011F49" w:rsidP="005755AC">
            <w:pPr>
              <w:widowControl/>
              <w:autoSpaceDE/>
              <w:autoSpaceDN/>
              <w:adjustRightInd/>
              <w:jc w:val="right"/>
              <w:rPr>
                <w:color w:val="000000"/>
              </w:rPr>
            </w:pPr>
            <w:r w:rsidRPr="004D07FA">
              <w:rPr>
                <w:color w:val="000000"/>
              </w:rPr>
              <w:t> </w:t>
            </w:r>
          </w:p>
        </w:tc>
        <w:tc>
          <w:tcPr>
            <w:tcW w:w="975" w:type="dxa"/>
            <w:tcBorders>
              <w:top w:val="single" w:sz="4" w:space="0" w:color="auto"/>
              <w:left w:val="nil"/>
              <w:bottom w:val="single" w:sz="4" w:space="0" w:color="auto"/>
              <w:right w:val="single" w:sz="4" w:space="0" w:color="auto"/>
            </w:tcBorders>
            <w:shd w:val="clear" w:color="auto" w:fill="auto"/>
            <w:vAlign w:val="bottom"/>
          </w:tcPr>
          <w:p w14:paraId="18C3403B" w14:textId="77777777" w:rsidR="00011F49" w:rsidRPr="004D07FA" w:rsidRDefault="00011F49" w:rsidP="005755AC">
            <w:pPr>
              <w:widowControl/>
              <w:autoSpaceDE/>
              <w:autoSpaceDN/>
              <w:adjustRightInd/>
              <w:jc w:val="right"/>
              <w:rPr>
                <w:color w:val="000000"/>
              </w:rPr>
            </w:pPr>
            <w:r w:rsidRPr="004D07FA">
              <w:rPr>
                <w:color w:val="000000"/>
              </w:rPr>
              <w:t> </w:t>
            </w:r>
          </w:p>
        </w:tc>
        <w:tc>
          <w:tcPr>
            <w:tcW w:w="990" w:type="dxa"/>
            <w:tcBorders>
              <w:top w:val="single" w:sz="4" w:space="0" w:color="auto"/>
              <w:left w:val="nil"/>
              <w:bottom w:val="single" w:sz="4" w:space="0" w:color="auto"/>
              <w:right w:val="single" w:sz="4" w:space="0" w:color="auto"/>
            </w:tcBorders>
            <w:shd w:val="clear" w:color="auto" w:fill="auto"/>
            <w:vAlign w:val="bottom"/>
          </w:tcPr>
          <w:p w14:paraId="1583C837" w14:textId="77777777" w:rsidR="00011F49" w:rsidRPr="004D07FA" w:rsidRDefault="00011F49" w:rsidP="005755AC">
            <w:pPr>
              <w:widowControl/>
              <w:autoSpaceDE/>
              <w:autoSpaceDN/>
              <w:adjustRightInd/>
              <w:jc w:val="right"/>
              <w:rPr>
                <w:color w:val="000000"/>
              </w:rPr>
            </w:pPr>
            <w:r w:rsidRPr="004D07FA">
              <w:rPr>
                <w:color w:val="000000"/>
              </w:rPr>
              <w:t> </w:t>
            </w:r>
          </w:p>
        </w:tc>
        <w:tc>
          <w:tcPr>
            <w:tcW w:w="1430" w:type="dxa"/>
            <w:tcBorders>
              <w:top w:val="single" w:sz="4" w:space="0" w:color="auto"/>
              <w:left w:val="nil"/>
              <w:bottom w:val="single" w:sz="4" w:space="0" w:color="auto"/>
              <w:right w:val="single" w:sz="4" w:space="0" w:color="auto"/>
            </w:tcBorders>
            <w:shd w:val="clear" w:color="auto" w:fill="auto"/>
            <w:vAlign w:val="bottom"/>
          </w:tcPr>
          <w:p w14:paraId="7BA4A2F8" w14:textId="77777777" w:rsidR="00011F49" w:rsidRPr="004D07FA" w:rsidRDefault="00011F49" w:rsidP="005755AC">
            <w:pPr>
              <w:widowControl/>
              <w:autoSpaceDE/>
              <w:autoSpaceDN/>
              <w:adjustRightInd/>
              <w:jc w:val="right"/>
              <w:rPr>
                <w:color w:val="000000"/>
              </w:rPr>
            </w:pPr>
            <w:r w:rsidRPr="004D07FA">
              <w:rPr>
                <w:color w:val="000000"/>
              </w:rPr>
              <w:t> </w:t>
            </w:r>
          </w:p>
        </w:tc>
        <w:tc>
          <w:tcPr>
            <w:tcW w:w="1239" w:type="dxa"/>
            <w:tcBorders>
              <w:top w:val="nil"/>
              <w:left w:val="nil"/>
              <w:bottom w:val="single" w:sz="4" w:space="0" w:color="000000"/>
              <w:right w:val="nil"/>
            </w:tcBorders>
            <w:shd w:val="clear" w:color="auto" w:fill="auto"/>
            <w:vAlign w:val="bottom"/>
          </w:tcPr>
          <w:p w14:paraId="760CFEC0" w14:textId="47AFF98A" w:rsidR="00011F49" w:rsidRPr="004D07FA" w:rsidRDefault="000745CE" w:rsidP="005755AC">
            <w:pPr>
              <w:widowControl/>
              <w:autoSpaceDE/>
              <w:autoSpaceDN/>
              <w:adjustRightInd/>
              <w:jc w:val="right"/>
              <w:rPr>
                <w:color w:val="000000"/>
              </w:rPr>
            </w:pPr>
            <w:r>
              <w:rPr>
                <w:color w:val="000000"/>
              </w:rPr>
              <w:t>189</w:t>
            </w:r>
            <w:r w:rsidR="004771D3">
              <w:rPr>
                <w:color w:val="000000"/>
              </w:rPr>
              <w:t>,</w:t>
            </w:r>
            <w:r>
              <w:rPr>
                <w:color w:val="000000"/>
              </w:rPr>
              <w:t>261</w:t>
            </w:r>
          </w:p>
        </w:tc>
        <w:tc>
          <w:tcPr>
            <w:tcW w:w="1281" w:type="dxa"/>
            <w:tcBorders>
              <w:top w:val="nil"/>
              <w:left w:val="single" w:sz="4" w:space="0" w:color="000000"/>
              <w:bottom w:val="single" w:sz="4" w:space="0" w:color="000000"/>
              <w:right w:val="single" w:sz="4" w:space="0" w:color="000000"/>
            </w:tcBorders>
            <w:shd w:val="clear" w:color="auto" w:fill="auto"/>
            <w:vAlign w:val="bottom"/>
          </w:tcPr>
          <w:p w14:paraId="6B95F2ED" w14:textId="2F1B108C" w:rsidR="00011F49" w:rsidRPr="004D07FA" w:rsidRDefault="00D64FC2" w:rsidP="0069376D">
            <w:pPr>
              <w:widowControl/>
              <w:autoSpaceDE/>
              <w:autoSpaceDN/>
              <w:adjustRightInd/>
              <w:jc w:val="right"/>
              <w:rPr>
                <w:color w:val="000000"/>
              </w:rPr>
            </w:pPr>
            <w:r>
              <w:rPr>
                <w:color w:val="000000"/>
              </w:rPr>
              <w:t>$</w:t>
            </w:r>
            <w:r w:rsidR="000745CE">
              <w:rPr>
                <w:color w:val="000000"/>
              </w:rPr>
              <w:t>27</w:t>
            </w:r>
            <w:r w:rsidR="004771D3">
              <w:rPr>
                <w:color w:val="000000"/>
              </w:rPr>
              <w:t>,</w:t>
            </w:r>
            <w:r w:rsidR="000745CE">
              <w:rPr>
                <w:color w:val="000000"/>
              </w:rPr>
              <w:t>787</w:t>
            </w:r>
            <w:r w:rsidR="004771D3">
              <w:rPr>
                <w:color w:val="000000"/>
              </w:rPr>
              <w:t>,</w:t>
            </w:r>
            <w:r w:rsidR="000745CE">
              <w:rPr>
                <w:color w:val="000000"/>
              </w:rPr>
              <w:t>807</w:t>
            </w:r>
          </w:p>
        </w:tc>
      </w:tr>
    </w:tbl>
    <w:p w14:paraId="64A7CBEA" w14:textId="2A67FA1E" w:rsidR="003072F2" w:rsidRPr="00E97BBC" w:rsidRDefault="0018348C" w:rsidP="003072F2">
      <w:pPr>
        <w:pStyle w:val="NormalWeb"/>
        <w:spacing w:before="0" w:beforeAutospacing="0" w:after="0" w:afterAutospacing="0"/>
        <w:rPr>
          <w:sz w:val="20"/>
          <w:szCs w:val="20"/>
        </w:rPr>
      </w:pPr>
      <w:r w:rsidRPr="0018348C">
        <w:rPr>
          <w:color w:val="000000"/>
          <w:sz w:val="20"/>
          <w:szCs w:val="20"/>
          <w:vertAlign w:val="superscript"/>
        </w:rPr>
        <w:t>a</w:t>
      </w:r>
      <w:r w:rsidR="003072F2" w:rsidRPr="00E97BBC">
        <w:rPr>
          <w:color w:val="000000"/>
          <w:sz w:val="20"/>
          <w:szCs w:val="20"/>
        </w:rPr>
        <w:t xml:space="preserve"> </w:t>
      </w:r>
      <w:r w:rsidR="003072F2">
        <w:rPr>
          <w:color w:val="000000"/>
          <w:sz w:val="20"/>
          <w:szCs w:val="20"/>
        </w:rPr>
        <w:t xml:space="preserve"> Based on an assumption of </w:t>
      </w:r>
      <w:r w:rsidR="0069376D">
        <w:rPr>
          <w:color w:val="000000"/>
          <w:sz w:val="20"/>
          <w:szCs w:val="20"/>
        </w:rPr>
        <w:t xml:space="preserve">340 </w:t>
      </w:r>
      <w:r w:rsidR="003072F2">
        <w:rPr>
          <w:color w:val="000000"/>
          <w:sz w:val="20"/>
          <w:szCs w:val="20"/>
        </w:rPr>
        <w:t xml:space="preserve">annual reporting and </w:t>
      </w:r>
      <w:r w:rsidR="0069376D">
        <w:rPr>
          <w:color w:val="000000"/>
          <w:sz w:val="20"/>
          <w:szCs w:val="20"/>
        </w:rPr>
        <w:t>120</w:t>
      </w:r>
      <w:r w:rsidR="003072F2">
        <w:rPr>
          <w:color w:val="000000"/>
          <w:sz w:val="20"/>
          <w:szCs w:val="20"/>
        </w:rPr>
        <w:t xml:space="preserve"> Ozone Season only reporting facilities</w:t>
      </w:r>
      <w:r w:rsidR="003072F2" w:rsidRPr="00E97BBC">
        <w:rPr>
          <w:color w:val="000000"/>
          <w:sz w:val="20"/>
          <w:szCs w:val="20"/>
        </w:rPr>
        <w:t>.</w:t>
      </w:r>
    </w:p>
    <w:p w14:paraId="1446BD7B" w14:textId="77777777" w:rsidR="00E97BBC" w:rsidRDefault="00E97BBC" w:rsidP="004D07FA">
      <w:pPr>
        <w:widowControl/>
        <w:sectPr w:rsidR="00E97BBC" w:rsidSect="00886008">
          <w:headerReference w:type="default" r:id="rId13"/>
          <w:pgSz w:w="15840" w:h="12240" w:orient="landscape"/>
          <w:pgMar w:top="1440" w:right="1440" w:bottom="1440" w:left="1440" w:header="720" w:footer="720" w:gutter="0"/>
          <w:cols w:space="720"/>
          <w:noEndnote/>
          <w:docGrid w:linePitch="272"/>
        </w:sectPr>
      </w:pPr>
    </w:p>
    <w:p w14:paraId="78DFD99E" w14:textId="5E2AF00D" w:rsidR="00D759B9" w:rsidRDefault="005B5D60" w:rsidP="00E97BBC">
      <w:pPr>
        <w:widowControl/>
        <w:jc w:val="center"/>
        <w:rPr>
          <w:b/>
          <w:sz w:val="24"/>
          <w:szCs w:val="24"/>
        </w:rPr>
      </w:pPr>
      <w:r>
        <w:rPr>
          <w:b/>
          <w:sz w:val="24"/>
          <w:szCs w:val="24"/>
        </w:rPr>
        <w:t>TABLE 6-</w:t>
      </w:r>
      <w:r w:rsidR="00116F2C">
        <w:rPr>
          <w:b/>
          <w:sz w:val="24"/>
          <w:szCs w:val="24"/>
        </w:rPr>
        <w:t>3</w:t>
      </w:r>
      <w:r w:rsidR="00E97BBC">
        <w:rPr>
          <w:b/>
          <w:sz w:val="24"/>
          <w:szCs w:val="24"/>
        </w:rPr>
        <w:t xml:space="preserve">: </w:t>
      </w:r>
      <w:r w:rsidR="00D759B9">
        <w:rPr>
          <w:b/>
          <w:sz w:val="24"/>
          <w:szCs w:val="24"/>
        </w:rPr>
        <w:t xml:space="preserve"> ANNUAL AGENCY BURDEN/COST ESTIMATES </w:t>
      </w:r>
      <w:r w:rsidR="00E97BBC">
        <w:rPr>
          <w:b/>
          <w:sz w:val="24"/>
          <w:szCs w:val="24"/>
        </w:rPr>
        <w:br/>
      </w:r>
      <w:r w:rsidR="00D759B9">
        <w:rPr>
          <w:b/>
          <w:sz w:val="24"/>
          <w:szCs w:val="24"/>
        </w:rPr>
        <w:t>FOR</w:t>
      </w:r>
      <w:r>
        <w:rPr>
          <w:b/>
          <w:sz w:val="24"/>
          <w:szCs w:val="24"/>
        </w:rPr>
        <w:t xml:space="preserve"> </w:t>
      </w:r>
      <w:r w:rsidR="00655DBB">
        <w:rPr>
          <w:b/>
          <w:sz w:val="24"/>
          <w:szCs w:val="24"/>
        </w:rPr>
        <w:t xml:space="preserve">AFFECTED </w:t>
      </w:r>
      <w:r>
        <w:rPr>
          <w:b/>
          <w:sz w:val="24"/>
          <w:szCs w:val="24"/>
        </w:rPr>
        <w:t>UNITS</w:t>
      </w:r>
    </w:p>
    <w:p w14:paraId="3EAC7C9B" w14:textId="77777777" w:rsidR="00E97BBC" w:rsidRPr="00E97BBC" w:rsidRDefault="00E97BBC" w:rsidP="00E97BBC">
      <w:pPr>
        <w:widowControl/>
        <w:jc w:val="center"/>
        <w:rPr>
          <w:sz w:val="24"/>
        </w:rPr>
      </w:pPr>
    </w:p>
    <w:tbl>
      <w:tblPr>
        <w:tblW w:w="9360" w:type="dxa"/>
        <w:jc w:val="center"/>
        <w:tblLayout w:type="fixed"/>
        <w:tblCellMar>
          <w:top w:w="72" w:type="dxa"/>
          <w:left w:w="72" w:type="dxa"/>
          <w:bottom w:w="72" w:type="dxa"/>
          <w:right w:w="72" w:type="dxa"/>
        </w:tblCellMar>
        <w:tblLook w:val="04A0" w:firstRow="1" w:lastRow="0" w:firstColumn="1" w:lastColumn="0" w:noHBand="0" w:noVBand="1"/>
      </w:tblPr>
      <w:tblGrid>
        <w:gridCol w:w="1827"/>
        <w:gridCol w:w="1560"/>
        <w:gridCol w:w="1753"/>
        <w:gridCol w:w="1146"/>
        <w:gridCol w:w="1928"/>
        <w:gridCol w:w="1146"/>
      </w:tblGrid>
      <w:tr w:rsidR="00CB7C40" w:rsidRPr="00CB7C40" w14:paraId="44D4CF15" w14:textId="77777777" w:rsidTr="00705051">
        <w:trPr>
          <w:trHeight w:val="780"/>
          <w:jc w:val="center"/>
        </w:trPr>
        <w:tc>
          <w:tcPr>
            <w:tcW w:w="1827" w:type="dxa"/>
            <w:tcBorders>
              <w:top w:val="single" w:sz="4" w:space="0" w:color="000000"/>
              <w:left w:val="single" w:sz="4" w:space="0" w:color="000000"/>
              <w:bottom w:val="single" w:sz="4" w:space="0" w:color="000000"/>
              <w:right w:val="single" w:sz="4" w:space="0" w:color="000000"/>
            </w:tcBorders>
            <w:shd w:val="pct10" w:color="auto" w:fill="auto"/>
            <w:vAlign w:val="bottom"/>
          </w:tcPr>
          <w:p w14:paraId="7A352A09" w14:textId="77777777" w:rsidR="00CB7C40" w:rsidRPr="00337946" w:rsidRDefault="00CB7C40" w:rsidP="00E97BBC">
            <w:pPr>
              <w:widowControl/>
              <w:autoSpaceDE/>
              <w:autoSpaceDN/>
              <w:adjustRightInd/>
              <w:jc w:val="center"/>
              <w:rPr>
                <w:b/>
                <w:bCs/>
                <w:color w:val="000000"/>
                <w:sz w:val="18"/>
                <w:szCs w:val="18"/>
              </w:rPr>
            </w:pPr>
            <w:r w:rsidRPr="00337946">
              <w:rPr>
                <w:b/>
                <w:bCs/>
                <w:color w:val="000000"/>
                <w:sz w:val="18"/>
                <w:szCs w:val="18"/>
              </w:rPr>
              <w:t>Tasks</w:t>
            </w:r>
          </w:p>
        </w:tc>
        <w:tc>
          <w:tcPr>
            <w:tcW w:w="1560" w:type="dxa"/>
            <w:tcBorders>
              <w:top w:val="single" w:sz="4" w:space="0" w:color="000000"/>
              <w:left w:val="nil"/>
              <w:bottom w:val="single" w:sz="4" w:space="0" w:color="000000"/>
              <w:right w:val="single" w:sz="4" w:space="0" w:color="000000"/>
            </w:tcBorders>
            <w:shd w:val="pct10" w:color="auto" w:fill="auto"/>
            <w:vAlign w:val="bottom"/>
          </w:tcPr>
          <w:p w14:paraId="649A9267" w14:textId="77777777" w:rsidR="00CB7C40" w:rsidRPr="00337946" w:rsidRDefault="00CB7C40" w:rsidP="00705051">
            <w:pPr>
              <w:widowControl/>
              <w:autoSpaceDE/>
              <w:autoSpaceDN/>
              <w:adjustRightInd/>
              <w:jc w:val="center"/>
              <w:rPr>
                <w:b/>
                <w:bCs/>
                <w:color w:val="000000"/>
                <w:sz w:val="18"/>
                <w:szCs w:val="18"/>
              </w:rPr>
            </w:pPr>
            <w:r w:rsidRPr="00337946">
              <w:rPr>
                <w:b/>
                <w:bCs/>
                <w:color w:val="000000"/>
                <w:sz w:val="18"/>
                <w:szCs w:val="18"/>
              </w:rPr>
              <w:t xml:space="preserve">Quarterly Burden Hours </w:t>
            </w:r>
            <w:r w:rsidR="00705051" w:rsidRPr="00337946">
              <w:rPr>
                <w:b/>
                <w:bCs/>
                <w:color w:val="000000"/>
                <w:sz w:val="18"/>
                <w:szCs w:val="18"/>
              </w:rPr>
              <w:t>p</w:t>
            </w:r>
            <w:r w:rsidRPr="00337946">
              <w:rPr>
                <w:b/>
                <w:bCs/>
                <w:color w:val="000000"/>
                <w:sz w:val="18"/>
                <w:szCs w:val="18"/>
              </w:rPr>
              <w:t>er Report</w:t>
            </w:r>
          </w:p>
        </w:tc>
        <w:tc>
          <w:tcPr>
            <w:tcW w:w="1753" w:type="dxa"/>
            <w:tcBorders>
              <w:top w:val="single" w:sz="4" w:space="0" w:color="000000"/>
              <w:left w:val="nil"/>
              <w:bottom w:val="single" w:sz="4" w:space="0" w:color="000000"/>
              <w:right w:val="single" w:sz="4" w:space="0" w:color="000000"/>
            </w:tcBorders>
            <w:shd w:val="pct10" w:color="auto" w:fill="auto"/>
            <w:vAlign w:val="bottom"/>
          </w:tcPr>
          <w:p w14:paraId="18EF726E" w14:textId="77777777" w:rsidR="00CB7C40" w:rsidRPr="00337946" w:rsidRDefault="00705051" w:rsidP="00E97BBC">
            <w:pPr>
              <w:widowControl/>
              <w:autoSpaceDE/>
              <w:autoSpaceDN/>
              <w:adjustRightInd/>
              <w:jc w:val="center"/>
              <w:rPr>
                <w:b/>
                <w:bCs/>
                <w:color w:val="000000"/>
                <w:sz w:val="18"/>
                <w:szCs w:val="18"/>
              </w:rPr>
            </w:pPr>
            <w:r w:rsidRPr="00337946">
              <w:rPr>
                <w:b/>
                <w:bCs/>
                <w:color w:val="000000"/>
                <w:sz w:val="18"/>
                <w:szCs w:val="18"/>
              </w:rPr>
              <w:t>Quarterly Cost p</w:t>
            </w:r>
            <w:r w:rsidR="00CB7C40" w:rsidRPr="00337946">
              <w:rPr>
                <w:b/>
                <w:bCs/>
                <w:color w:val="000000"/>
                <w:sz w:val="18"/>
                <w:szCs w:val="18"/>
              </w:rPr>
              <w:t>er Report</w:t>
            </w:r>
            <w:r w:rsidR="00CB7C40" w:rsidRPr="00337946">
              <w:rPr>
                <w:b/>
                <w:bCs/>
                <w:color w:val="000000"/>
                <w:sz w:val="18"/>
                <w:szCs w:val="18"/>
                <w:vertAlign w:val="superscript"/>
              </w:rPr>
              <w:t>a</w:t>
            </w:r>
          </w:p>
        </w:tc>
        <w:tc>
          <w:tcPr>
            <w:tcW w:w="1146" w:type="dxa"/>
            <w:tcBorders>
              <w:top w:val="single" w:sz="4" w:space="0" w:color="000000"/>
              <w:left w:val="nil"/>
              <w:bottom w:val="single" w:sz="4" w:space="0" w:color="000000"/>
              <w:right w:val="single" w:sz="4" w:space="0" w:color="000000"/>
            </w:tcBorders>
            <w:shd w:val="pct10" w:color="auto" w:fill="auto"/>
            <w:vAlign w:val="bottom"/>
          </w:tcPr>
          <w:p w14:paraId="3505A6DA" w14:textId="77777777" w:rsidR="00CB7C40" w:rsidRPr="00337946" w:rsidRDefault="00CB7C40" w:rsidP="00E97BBC">
            <w:pPr>
              <w:widowControl/>
              <w:autoSpaceDE/>
              <w:autoSpaceDN/>
              <w:adjustRightInd/>
              <w:jc w:val="center"/>
              <w:rPr>
                <w:b/>
                <w:bCs/>
                <w:color w:val="000000"/>
                <w:sz w:val="18"/>
                <w:szCs w:val="18"/>
              </w:rPr>
            </w:pPr>
            <w:r w:rsidRPr="00337946">
              <w:rPr>
                <w:b/>
                <w:bCs/>
                <w:color w:val="000000"/>
                <w:sz w:val="18"/>
                <w:szCs w:val="18"/>
              </w:rPr>
              <w:t>Number of Reports</w:t>
            </w:r>
            <w:r w:rsidRPr="00337946">
              <w:rPr>
                <w:b/>
                <w:bCs/>
                <w:color w:val="000000"/>
                <w:sz w:val="18"/>
                <w:szCs w:val="18"/>
                <w:vertAlign w:val="superscript"/>
              </w:rPr>
              <w:t>b</w:t>
            </w:r>
          </w:p>
        </w:tc>
        <w:tc>
          <w:tcPr>
            <w:tcW w:w="1928" w:type="dxa"/>
            <w:tcBorders>
              <w:top w:val="single" w:sz="4" w:space="0" w:color="000000"/>
              <w:left w:val="nil"/>
              <w:bottom w:val="single" w:sz="4" w:space="0" w:color="000000"/>
              <w:right w:val="single" w:sz="4" w:space="0" w:color="000000"/>
            </w:tcBorders>
            <w:shd w:val="pct10" w:color="auto" w:fill="auto"/>
            <w:vAlign w:val="bottom"/>
          </w:tcPr>
          <w:p w14:paraId="34DEB836" w14:textId="547D3450" w:rsidR="00CB7C40" w:rsidRPr="00337946" w:rsidRDefault="00CB7C40">
            <w:pPr>
              <w:widowControl/>
              <w:autoSpaceDE/>
              <w:autoSpaceDN/>
              <w:adjustRightInd/>
              <w:jc w:val="center"/>
              <w:rPr>
                <w:b/>
                <w:bCs/>
                <w:color w:val="000000"/>
                <w:sz w:val="18"/>
                <w:szCs w:val="18"/>
              </w:rPr>
            </w:pPr>
            <w:r w:rsidRPr="00337946">
              <w:rPr>
                <w:b/>
                <w:bCs/>
                <w:color w:val="000000"/>
                <w:sz w:val="18"/>
                <w:szCs w:val="18"/>
              </w:rPr>
              <w:t xml:space="preserve">Total Burden </w:t>
            </w:r>
            <w:r w:rsidR="00705051" w:rsidRPr="00337946">
              <w:rPr>
                <w:b/>
                <w:bCs/>
                <w:color w:val="000000"/>
                <w:sz w:val="18"/>
                <w:szCs w:val="18"/>
              </w:rPr>
              <w:t>p</w:t>
            </w:r>
            <w:r w:rsidRPr="00337946">
              <w:rPr>
                <w:b/>
                <w:bCs/>
                <w:color w:val="000000"/>
                <w:sz w:val="18"/>
                <w:szCs w:val="18"/>
              </w:rPr>
              <w:t xml:space="preserve">er Year (hours) </w:t>
            </w:r>
            <w:r w:rsidR="00705051" w:rsidRPr="00337946">
              <w:rPr>
                <w:b/>
                <w:bCs/>
                <w:color w:val="000000"/>
                <w:sz w:val="18"/>
                <w:szCs w:val="18"/>
              </w:rPr>
              <w:br/>
            </w:r>
            <w:r w:rsidRPr="00337946">
              <w:rPr>
                <w:b/>
                <w:bCs/>
                <w:color w:val="000000"/>
                <w:sz w:val="18"/>
                <w:szCs w:val="18"/>
              </w:rPr>
              <w:t>(201</w:t>
            </w:r>
            <w:r w:rsidR="009D77AB">
              <w:rPr>
                <w:b/>
                <w:bCs/>
                <w:color w:val="000000"/>
                <w:sz w:val="18"/>
                <w:szCs w:val="18"/>
              </w:rPr>
              <w:t>7</w:t>
            </w:r>
            <w:r w:rsidR="00705051" w:rsidRPr="00337946">
              <w:rPr>
                <w:b/>
                <w:bCs/>
                <w:color w:val="000000"/>
                <w:sz w:val="18"/>
                <w:szCs w:val="18"/>
              </w:rPr>
              <w:t>–</w:t>
            </w:r>
            <w:r w:rsidRPr="00337946">
              <w:rPr>
                <w:b/>
                <w:bCs/>
                <w:color w:val="000000"/>
                <w:sz w:val="18"/>
                <w:szCs w:val="18"/>
              </w:rPr>
              <w:t>201</w:t>
            </w:r>
            <w:r w:rsidR="009D77AB">
              <w:rPr>
                <w:b/>
                <w:bCs/>
                <w:color w:val="000000"/>
                <w:sz w:val="18"/>
                <w:szCs w:val="18"/>
              </w:rPr>
              <w:t>9</w:t>
            </w:r>
            <w:r w:rsidRPr="00337946">
              <w:rPr>
                <w:b/>
                <w:bCs/>
                <w:color w:val="000000"/>
                <w:sz w:val="18"/>
                <w:szCs w:val="18"/>
              </w:rPr>
              <w:t>)</w:t>
            </w:r>
          </w:p>
        </w:tc>
        <w:tc>
          <w:tcPr>
            <w:tcW w:w="1146" w:type="dxa"/>
            <w:tcBorders>
              <w:top w:val="single" w:sz="4" w:space="0" w:color="000000"/>
              <w:left w:val="nil"/>
              <w:bottom w:val="single" w:sz="4" w:space="0" w:color="000000"/>
              <w:right w:val="single" w:sz="4" w:space="0" w:color="000000"/>
            </w:tcBorders>
            <w:shd w:val="pct10" w:color="auto" w:fill="auto"/>
            <w:vAlign w:val="bottom"/>
          </w:tcPr>
          <w:p w14:paraId="5F4DC03D" w14:textId="77777777" w:rsidR="00CB7C40" w:rsidRPr="00337946" w:rsidRDefault="00CB7C40" w:rsidP="00E97BBC">
            <w:pPr>
              <w:widowControl/>
              <w:autoSpaceDE/>
              <w:autoSpaceDN/>
              <w:adjustRightInd/>
              <w:jc w:val="center"/>
              <w:rPr>
                <w:b/>
                <w:bCs/>
                <w:color w:val="000000"/>
                <w:sz w:val="18"/>
                <w:szCs w:val="18"/>
              </w:rPr>
            </w:pPr>
            <w:r w:rsidRPr="00337946">
              <w:rPr>
                <w:b/>
                <w:bCs/>
                <w:color w:val="000000"/>
                <w:sz w:val="18"/>
                <w:szCs w:val="18"/>
              </w:rPr>
              <w:t>Total Cost</w:t>
            </w:r>
          </w:p>
        </w:tc>
      </w:tr>
      <w:tr w:rsidR="00CB7C40" w:rsidRPr="00CB7C40" w14:paraId="6E422FE9" w14:textId="77777777" w:rsidTr="00E86AF4">
        <w:trPr>
          <w:trHeight w:val="765"/>
          <w:jc w:val="center"/>
        </w:trPr>
        <w:tc>
          <w:tcPr>
            <w:tcW w:w="1827" w:type="dxa"/>
            <w:tcBorders>
              <w:top w:val="nil"/>
              <w:left w:val="single" w:sz="4" w:space="0" w:color="000000"/>
              <w:bottom w:val="single" w:sz="4" w:space="0" w:color="000000"/>
              <w:right w:val="single" w:sz="4" w:space="0" w:color="000000"/>
            </w:tcBorders>
            <w:shd w:val="clear" w:color="auto" w:fill="auto"/>
          </w:tcPr>
          <w:p w14:paraId="33193A30" w14:textId="77777777" w:rsidR="00CB7C40" w:rsidRPr="00337946" w:rsidRDefault="00CB7C40" w:rsidP="00E97BBC">
            <w:pPr>
              <w:widowControl/>
              <w:autoSpaceDE/>
              <w:autoSpaceDN/>
              <w:adjustRightInd/>
              <w:rPr>
                <w:color w:val="000000"/>
                <w:sz w:val="18"/>
                <w:szCs w:val="18"/>
              </w:rPr>
            </w:pPr>
            <w:r w:rsidRPr="00337946">
              <w:rPr>
                <w:color w:val="000000"/>
                <w:sz w:val="18"/>
                <w:szCs w:val="18"/>
              </w:rPr>
              <w:t>Process, review, and evaluate quarterly report and issue feedback letter</w:t>
            </w:r>
            <w:r w:rsidR="00705051" w:rsidRPr="00337946">
              <w:rPr>
                <w:color w:val="000000"/>
                <w:sz w:val="18"/>
                <w:szCs w:val="18"/>
              </w:rPr>
              <w:t>.</w:t>
            </w:r>
          </w:p>
        </w:tc>
        <w:tc>
          <w:tcPr>
            <w:tcW w:w="1560" w:type="dxa"/>
            <w:tcBorders>
              <w:top w:val="nil"/>
              <w:left w:val="nil"/>
              <w:bottom w:val="single" w:sz="4" w:space="0" w:color="000000"/>
              <w:right w:val="single" w:sz="4" w:space="0" w:color="000000"/>
            </w:tcBorders>
            <w:shd w:val="clear" w:color="auto" w:fill="auto"/>
            <w:vAlign w:val="bottom"/>
          </w:tcPr>
          <w:p w14:paraId="69DA09F1" w14:textId="77777777" w:rsidR="00CB7C40" w:rsidRPr="00337946" w:rsidRDefault="00CB7C40" w:rsidP="00E86AF4">
            <w:pPr>
              <w:widowControl/>
              <w:autoSpaceDE/>
              <w:autoSpaceDN/>
              <w:adjustRightInd/>
              <w:jc w:val="right"/>
              <w:rPr>
                <w:color w:val="000000"/>
                <w:sz w:val="18"/>
                <w:szCs w:val="18"/>
              </w:rPr>
            </w:pPr>
            <w:r w:rsidRPr="00337946">
              <w:rPr>
                <w:color w:val="000000"/>
                <w:sz w:val="18"/>
                <w:szCs w:val="18"/>
              </w:rPr>
              <w:t>2</w:t>
            </w:r>
          </w:p>
        </w:tc>
        <w:tc>
          <w:tcPr>
            <w:tcW w:w="1753" w:type="dxa"/>
            <w:tcBorders>
              <w:top w:val="nil"/>
              <w:left w:val="nil"/>
              <w:bottom w:val="single" w:sz="4" w:space="0" w:color="000000"/>
              <w:right w:val="single" w:sz="4" w:space="0" w:color="000000"/>
            </w:tcBorders>
            <w:shd w:val="clear" w:color="auto" w:fill="auto"/>
            <w:vAlign w:val="bottom"/>
          </w:tcPr>
          <w:p w14:paraId="6CBC5FD4" w14:textId="343806C4" w:rsidR="00CB7C40" w:rsidRPr="00337946" w:rsidRDefault="00CB7C40" w:rsidP="00E43EA9">
            <w:pPr>
              <w:widowControl/>
              <w:autoSpaceDE/>
              <w:autoSpaceDN/>
              <w:adjustRightInd/>
              <w:jc w:val="right"/>
              <w:rPr>
                <w:color w:val="000000"/>
                <w:sz w:val="18"/>
                <w:szCs w:val="18"/>
              </w:rPr>
            </w:pPr>
            <w:r w:rsidRPr="00337946">
              <w:rPr>
                <w:color w:val="000000"/>
                <w:sz w:val="18"/>
                <w:szCs w:val="18"/>
              </w:rPr>
              <w:t>$</w:t>
            </w:r>
            <w:r w:rsidR="00BA4D18">
              <w:rPr>
                <w:color w:val="000000"/>
                <w:sz w:val="18"/>
                <w:szCs w:val="18"/>
              </w:rPr>
              <w:t>10</w:t>
            </w:r>
            <w:r w:rsidR="00C0773D">
              <w:rPr>
                <w:color w:val="000000"/>
                <w:sz w:val="18"/>
                <w:szCs w:val="18"/>
              </w:rPr>
              <w:t>4</w:t>
            </w:r>
            <w:r w:rsidR="00BA4D18">
              <w:rPr>
                <w:color w:val="000000"/>
                <w:sz w:val="18"/>
                <w:szCs w:val="18"/>
              </w:rPr>
              <w:t>.</w:t>
            </w:r>
            <w:r w:rsidR="00C0773D">
              <w:rPr>
                <w:color w:val="000000"/>
                <w:sz w:val="18"/>
                <w:szCs w:val="18"/>
              </w:rPr>
              <w:t>32</w:t>
            </w:r>
            <w:r w:rsidRPr="00337946">
              <w:rPr>
                <w:color w:val="000000"/>
                <w:sz w:val="18"/>
                <w:szCs w:val="18"/>
              </w:rPr>
              <w:t xml:space="preserve"> </w:t>
            </w:r>
          </w:p>
        </w:tc>
        <w:tc>
          <w:tcPr>
            <w:tcW w:w="1146" w:type="dxa"/>
            <w:tcBorders>
              <w:top w:val="nil"/>
              <w:left w:val="nil"/>
              <w:bottom w:val="single" w:sz="4" w:space="0" w:color="000000"/>
              <w:right w:val="single" w:sz="4" w:space="0" w:color="000000"/>
            </w:tcBorders>
            <w:shd w:val="clear" w:color="auto" w:fill="auto"/>
            <w:vAlign w:val="bottom"/>
          </w:tcPr>
          <w:p w14:paraId="11B53CD5" w14:textId="64684B9E" w:rsidR="00CB7C40" w:rsidRPr="00337946" w:rsidRDefault="000745CE" w:rsidP="00E67896">
            <w:pPr>
              <w:widowControl/>
              <w:autoSpaceDE/>
              <w:autoSpaceDN/>
              <w:adjustRightInd/>
              <w:jc w:val="right"/>
              <w:rPr>
                <w:color w:val="000000"/>
                <w:sz w:val="18"/>
                <w:szCs w:val="18"/>
                <w:highlight w:val="yellow"/>
              </w:rPr>
            </w:pPr>
            <w:r>
              <w:rPr>
                <w:color w:val="000000"/>
                <w:sz w:val="18"/>
                <w:szCs w:val="18"/>
              </w:rPr>
              <w:t>1</w:t>
            </w:r>
            <w:r w:rsidR="00D64FC2">
              <w:rPr>
                <w:color w:val="000000"/>
                <w:sz w:val="18"/>
                <w:szCs w:val="18"/>
              </w:rPr>
              <w:t>,</w:t>
            </w:r>
            <w:r>
              <w:rPr>
                <w:color w:val="000000"/>
                <w:sz w:val="18"/>
                <w:szCs w:val="18"/>
              </w:rPr>
              <w:t>600</w:t>
            </w:r>
          </w:p>
        </w:tc>
        <w:tc>
          <w:tcPr>
            <w:tcW w:w="1928" w:type="dxa"/>
            <w:tcBorders>
              <w:top w:val="nil"/>
              <w:left w:val="nil"/>
              <w:bottom w:val="single" w:sz="4" w:space="0" w:color="000000"/>
              <w:right w:val="single" w:sz="4" w:space="0" w:color="000000"/>
            </w:tcBorders>
            <w:shd w:val="clear" w:color="auto" w:fill="auto"/>
            <w:vAlign w:val="bottom"/>
          </w:tcPr>
          <w:p w14:paraId="70EB71BF" w14:textId="17AE2C9B" w:rsidR="00CB7C40" w:rsidRPr="00337946" w:rsidRDefault="000745CE" w:rsidP="00E67896">
            <w:pPr>
              <w:widowControl/>
              <w:autoSpaceDE/>
              <w:autoSpaceDN/>
              <w:adjustRightInd/>
              <w:jc w:val="right"/>
              <w:rPr>
                <w:color w:val="000000"/>
                <w:sz w:val="18"/>
                <w:szCs w:val="18"/>
                <w:highlight w:val="yellow"/>
              </w:rPr>
            </w:pPr>
            <w:r>
              <w:rPr>
                <w:color w:val="000000"/>
                <w:sz w:val="18"/>
                <w:szCs w:val="18"/>
              </w:rPr>
              <w:t>3</w:t>
            </w:r>
            <w:r w:rsidR="00D64FC2">
              <w:rPr>
                <w:color w:val="000000"/>
                <w:sz w:val="18"/>
                <w:szCs w:val="18"/>
              </w:rPr>
              <w:t>,</w:t>
            </w:r>
            <w:r>
              <w:rPr>
                <w:color w:val="000000"/>
                <w:sz w:val="18"/>
                <w:szCs w:val="18"/>
              </w:rPr>
              <w:t>200</w:t>
            </w:r>
          </w:p>
        </w:tc>
        <w:tc>
          <w:tcPr>
            <w:tcW w:w="1146" w:type="dxa"/>
            <w:tcBorders>
              <w:top w:val="nil"/>
              <w:left w:val="nil"/>
              <w:bottom w:val="single" w:sz="4" w:space="0" w:color="000000"/>
              <w:right w:val="single" w:sz="4" w:space="0" w:color="000000"/>
            </w:tcBorders>
            <w:shd w:val="clear" w:color="auto" w:fill="auto"/>
            <w:vAlign w:val="bottom"/>
          </w:tcPr>
          <w:p w14:paraId="13779956" w14:textId="0FF1F2A1" w:rsidR="00CB7C40" w:rsidRPr="00337946" w:rsidRDefault="00024827" w:rsidP="000745CE">
            <w:pPr>
              <w:widowControl/>
              <w:autoSpaceDE/>
              <w:autoSpaceDN/>
              <w:adjustRightInd/>
              <w:jc w:val="right"/>
              <w:rPr>
                <w:color w:val="000000"/>
                <w:sz w:val="18"/>
                <w:szCs w:val="18"/>
                <w:highlight w:val="yellow"/>
              </w:rPr>
            </w:pPr>
            <w:r>
              <w:rPr>
                <w:color w:val="000000"/>
                <w:sz w:val="18"/>
                <w:szCs w:val="18"/>
              </w:rPr>
              <w:t>$</w:t>
            </w:r>
            <w:r w:rsidR="000745CE">
              <w:rPr>
                <w:color w:val="000000"/>
                <w:sz w:val="18"/>
                <w:szCs w:val="18"/>
              </w:rPr>
              <w:t>166</w:t>
            </w:r>
            <w:r w:rsidR="00D64FC2">
              <w:rPr>
                <w:color w:val="000000"/>
                <w:sz w:val="18"/>
                <w:szCs w:val="18"/>
              </w:rPr>
              <w:t>,</w:t>
            </w:r>
            <w:r w:rsidR="000745CE">
              <w:rPr>
                <w:color w:val="000000"/>
                <w:sz w:val="18"/>
                <w:szCs w:val="18"/>
              </w:rPr>
              <w:t>912</w:t>
            </w:r>
            <w:r w:rsidR="00E64549" w:rsidRPr="00337946">
              <w:rPr>
                <w:color w:val="000000"/>
                <w:sz w:val="18"/>
                <w:szCs w:val="18"/>
              </w:rPr>
              <w:t xml:space="preserve"> </w:t>
            </w:r>
          </w:p>
        </w:tc>
      </w:tr>
    </w:tbl>
    <w:p w14:paraId="7C34FC45" w14:textId="18064955" w:rsidR="00D759B9" w:rsidRPr="00E97BBC" w:rsidRDefault="00E97BBC" w:rsidP="00E97BBC">
      <w:pPr>
        <w:pStyle w:val="NormalWeb"/>
        <w:spacing w:before="0" w:beforeAutospacing="0" w:after="0" w:afterAutospacing="0"/>
        <w:rPr>
          <w:color w:val="000000"/>
          <w:sz w:val="20"/>
          <w:szCs w:val="20"/>
        </w:rPr>
      </w:pPr>
      <w:r w:rsidRPr="00E97BBC">
        <w:rPr>
          <w:color w:val="000000"/>
          <w:sz w:val="20"/>
          <w:szCs w:val="20"/>
          <w:vertAlign w:val="superscript"/>
        </w:rPr>
        <w:t>a</w:t>
      </w:r>
      <w:r w:rsidRPr="00E97BBC">
        <w:rPr>
          <w:color w:val="000000"/>
          <w:sz w:val="20"/>
          <w:szCs w:val="20"/>
        </w:rPr>
        <w:t xml:space="preserve"> </w:t>
      </w:r>
      <w:r w:rsidR="007148F9">
        <w:rPr>
          <w:color w:val="000000"/>
          <w:sz w:val="20"/>
          <w:szCs w:val="20"/>
        </w:rPr>
        <w:t xml:space="preserve"> </w:t>
      </w:r>
      <w:r w:rsidRPr="00E97BBC">
        <w:rPr>
          <w:color w:val="000000"/>
          <w:sz w:val="20"/>
          <w:szCs w:val="20"/>
        </w:rPr>
        <w:t>Based on an average total compensation rate of</w:t>
      </w:r>
      <w:r w:rsidRPr="00E97BBC">
        <w:rPr>
          <w:b/>
          <w:bCs/>
          <w:color w:val="000000"/>
          <w:sz w:val="20"/>
          <w:szCs w:val="20"/>
        </w:rPr>
        <w:t xml:space="preserve"> $</w:t>
      </w:r>
      <w:r w:rsidR="00BA4D18">
        <w:rPr>
          <w:b/>
          <w:bCs/>
          <w:color w:val="000000"/>
          <w:sz w:val="20"/>
          <w:szCs w:val="20"/>
        </w:rPr>
        <w:t>5</w:t>
      </w:r>
      <w:r w:rsidR="00747BAB">
        <w:rPr>
          <w:b/>
          <w:bCs/>
          <w:color w:val="000000"/>
          <w:sz w:val="20"/>
          <w:szCs w:val="20"/>
        </w:rPr>
        <w:t>2</w:t>
      </w:r>
      <w:r w:rsidR="00BA4D18">
        <w:rPr>
          <w:b/>
          <w:bCs/>
          <w:color w:val="000000"/>
          <w:sz w:val="20"/>
          <w:szCs w:val="20"/>
        </w:rPr>
        <w:t>.1</w:t>
      </w:r>
      <w:r w:rsidR="00747BAB">
        <w:rPr>
          <w:b/>
          <w:bCs/>
          <w:color w:val="000000"/>
          <w:sz w:val="20"/>
          <w:szCs w:val="20"/>
        </w:rPr>
        <w:t>6</w:t>
      </w:r>
      <w:r w:rsidR="0051374D">
        <w:rPr>
          <w:b/>
          <w:bCs/>
          <w:color w:val="000000"/>
          <w:sz w:val="20"/>
          <w:szCs w:val="20"/>
        </w:rPr>
        <w:t xml:space="preserve"> </w:t>
      </w:r>
      <w:r w:rsidRPr="00E97BBC">
        <w:rPr>
          <w:color w:val="000000"/>
          <w:sz w:val="20"/>
          <w:szCs w:val="20"/>
        </w:rPr>
        <w:t>per hour</w:t>
      </w:r>
      <w:r>
        <w:rPr>
          <w:color w:val="000000"/>
          <w:sz w:val="20"/>
          <w:szCs w:val="20"/>
        </w:rPr>
        <w:t>.</w:t>
      </w:r>
    </w:p>
    <w:p w14:paraId="17BEE25F" w14:textId="33CF1596" w:rsidR="00E97BBC" w:rsidRPr="00E97BBC" w:rsidRDefault="00E97BBC" w:rsidP="00E97BBC">
      <w:pPr>
        <w:pStyle w:val="NormalWeb"/>
        <w:spacing w:before="0" w:beforeAutospacing="0" w:after="0" w:afterAutospacing="0"/>
        <w:rPr>
          <w:sz w:val="20"/>
          <w:szCs w:val="20"/>
        </w:rPr>
      </w:pPr>
      <w:r w:rsidRPr="00E97BBC">
        <w:rPr>
          <w:color w:val="000000"/>
          <w:sz w:val="20"/>
          <w:szCs w:val="20"/>
          <w:vertAlign w:val="superscript"/>
        </w:rPr>
        <w:t>b</w:t>
      </w:r>
      <w:r w:rsidRPr="00E97BBC">
        <w:rPr>
          <w:color w:val="000000"/>
          <w:sz w:val="20"/>
          <w:szCs w:val="20"/>
        </w:rPr>
        <w:t xml:space="preserve"> </w:t>
      </w:r>
      <w:r w:rsidR="007148F9">
        <w:rPr>
          <w:color w:val="000000"/>
          <w:sz w:val="20"/>
          <w:szCs w:val="20"/>
        </w:rPr>
        <w:t xml:space="preserve"> </w:t>
      </w:r>
      <w:r w:rsidR="005D1FAC">
        <w:rPr>
          <w:color w:val="000000"/>
          <w:sz w:val="20"/>
          <w:szCs w:val="20"/>
        </w:rPr>
        <w:t xml:space="preserve">Based on an assumption of </w:t>
      </w:r>
      <w:r w:rsidR="008C1C67">
        <w:rPr>
          <w:color w:val="000000"/>
          <w:sz w:val="20"/>
          <w:szCs w:val="20"/>
        </w:rPr>
        <w:t xml:space="preserve">340 </w:t>
      </w:r>
      <w:r w:rsidR="005D1FAC">
        <w:rPr>
          <w:color w:val="000000"/>
          <w:sz w:val="20"/>
          <w:szCs w:val="20"/>
        </w:rPr>
        <w:t xml:space="preserve">annual reporting and </w:t>
      </w:r>
      <w:r w:rsidR="008C1C67">
        <w:rPr>
          <w:color w:val="000000"/>
          <w:sz w:val="20"/>
          <w:szCs w:val="20"/>
        </w:rPr>
        <w:t>120</w:t>
      </w:r>
      <w:r w:rsidR="005D1FAC">
        <w:rPr>
          <w:color w:val="000000"/>
          <w:sz w:val="20"/>
          <w:szCs w:val="20"/>
        </w:rPr>
        <w:t xml:space="preserve"> Ozone Season only reporting facilities</w:t>
      </w:r>
      <w:r w:rsidRPr="00E97BBC">
        <w:rPr>
          <w:color w:val="000000"/>
          <w:sz w:val="20"/>
          <w:szCs w:val="20"/>
        </w:rPr>
        <w:t>.</w:t>
      </w:r>
    </w:p>
    <w:p w14:paraId="10FF215E" w14:textId="77777777" w:rsidR="00D759B9" w:rsidRDefault="00D759B9" w:rsidP="00E72E59">
      <w:pPr>
        <w:widowControl/>
        <w:numPr>
          <w:ilvl w:val="12"/>
          <w:numId w:val="0"/>
        </w:numPr>
        <w:tabs>
          <w:tab w:val="left" w:pos="-1440"/>
          <w:tab w:val="left" w:pos="-720"/>
          <w:tab w:val="left" w:pos="426"/>
          <w:tab w:val="left" w:pos="960"/>
          <w:tab w:val="left" w:pos="1560"/>
          <w:tab w:val="left" w:pos="2160"/>
          <w:tab w:val="left" w:pos="2760"/>
          <w:tab w:val="left" w:pos="3360"/>
          <w:tab w:val="left" w:pos="6480"/>
          <w:tab w:val="left" w:pos="8640"/>
          <w:tab w:val="left" w:pos="10080"/>
        </w:tabs>
        <w:rPr>
          <w:b/>
          <w:bCs/>
          <w:sz w:val="24"/>
          <w:szCs w:val="24"/>
        </w:rPr>
      </w:pPr>
    </w:p>
    <w:p w14:paraId="26AFD83C" w14:textId="77777777" w:rsidR="004C1961" w:rsidRDefault="004C1961" w:rsidP="00BD387B">
      <w:pPr>
        <w:widowControl/>
        <w:numPr>
          <w:ilvl w:val="12"/>
          <w:numId w:val="0"/>
        </w:numPr>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p w14:paraId="43073B68" w14:textId="77777777" w:rsidR="008C21E0" w:rsidRDefault="008C21E0" w:rsidP="008C21E0">
      <w:pPr>
        <w:widowControl/>
        <w:numPr>
          <w:ilvl w:val="12"/>
          <w:numId w:val="0"/>
        </w:numPr>
        <w:tabs>
          <w:tab w:val="left" w:pos="-1440"/>
          <w:tab w:val="left" w:pos="-720"/>
          <w:tab w:val="left" w:pos="426"/>
          <w:tab w:val="left" w:pos="960"/>
          <w:tab w:val="left" w:pos="1560"/>
          <w:tab w:val="left" w:pos="2160"/>
          <w:tab w:val="left" w:pos="2760"/>
          <w:tab w:val="left" w:pos="3360"/>
          <w:tab w:val="left" w:pos="6480"/>
          <w:tab w:val="left" w:pos="8640"/>
          <w:tab w:val="left" w:pos="10080"/>
        </w:tabs>
        <w:ind w:left="360"/>
        <w:rPr>
          <w:sz w:val="24"/>
          <w:szCs w:val="24"/>
        </w:rPr>
      </w:pPr>
      <w:r>
        <w:rPr>
          <w:b/>
          <w:bCs/>
          <w:sz w:val="24"/>
          <w:szCs w:val="24"/>
        </w:rPr>
        <w:t>6(d) Summary of Burden Hours and Costs</w:t>
      </w:r>
    </w:p>
    <w:p w14:paraId="077ED4CF" w14:textId="77777777" w:rsidR="008C21E0" w:rsidRDefault="008C21E0" w:rsidP="008C21E0">
      <w:pPr>
        <w:widowControl/>
        <w:numPr>
          <w:ilvl w:val="12"/>
          <w:numId w:val="0"/>
        </w:numPr>
        <w:tabs>
          <w:tab w:val="left" w:pos="-1440"/>
          <w:tab w:val="left" w:pos="-720"/>
          <w:tab w:val="left" w:pos="426"/>
          <w:tab w:val="left" w:pos="960"/>
          <w:tab w:val="left" w:pos="1560"/>
          <w:tab w:val="left" w:pos="2160"/>
          <w:tab w:val="left" w:pos="2760"/>
          <w:tab w:val="left" w:pos="3360"/>
          <w:tab w:val="left" w:pos="6480"/>
          <w:tab w:val="left" w:pos="8640"/>
          <w:tab w:val="left" w:pos="10080"/>
        </w:tabs>
        <w:jc w:val="center"/>
        <w:rPr>
          <w:sz w:val="24"/>
          <w:szCs w:val="24"/>
        </w:rPr>
      </w:pPr>
    </w:p>
    <w:p w14:paraId="27B6BC61" w14:textId="22CA4FCA" w:rsidR="008C21E0" w:rsidRDefault="008C21E0" w:rsidP="008C21E0">
      <w:pPr>
        <w:widowControl/>
        <w:numPr>
          <w:ilvl w:val="12"/>
          <w:numId w:val="0"/>
        </w:numPr>
        <w:tabs>
          <w:tab w:val="left" w:pos="-1440"/>
          <w:tab w:val="left" w:pos="-720"/>
          <w:tab w:val="left" w:pos="426"/>
          <w:tab w:val="left" w:pos="960"/>
          <w:tab w:val="left" w:pos="1560"/>
          <w:tab w:val="left" w:pos="2160"/>
          <w:tab w:val="left" w:pos="2760"/>
          <w:tab w:val="left" w:pos="3360"/>
          <w:tab w:val="left" w:pos="6480"/>
          <w:tab w:val="left" w:pos="8640"/>
          <w:tab w:val="left" w:pos="10080"/>
        </w:tabs>
        <w:ind w:firstLine="720"/>
        <w:rPr>
          <w:sz w:val="24"/>
          <w:szCs w:val="24"/>
        </w:rPr>
      </w:pPr>
      <w:r>
        <w:rPr>
          <w:sz w:val="24"/>
          <w:szCs w:val="24"/>
        </w:rPr>
        <w:t>Table 6-</w:t>
      </w:r>
      <w:r w:rsidR="00116F2C">
        <w:rPr>
          <w:sz w:val="24"/>
          <w:szCs w:val="24"/>
        </w:rPr>
        <w:t>4</w:t>
      </w:r>
      <w:r w:rsidR="00AA49AD">
        <w:rPr>
          <w:sz w:val="24"/>
          <w:szCs w:val="24"/>
        </w:rPr>
        <w:t xml:space="preserve"> </w:t>
      </w:r>
      <w:r>
        <w:rPr>
          <w:sz w:val="24"/>
          <w:szCs w:val="24"/>
        </w:rPr>
        <w:t xml:space="preserve">summarizes the annual aggregate burden and cost estimates to both the respondents and the agency for the period of </w:t>
      </w:r>
      <w:r w:rsidR="008C1C67">
        <w:rPr>
          <w:sz w:val="24"/>
          <w:szCs w:val="24"/>
        </w:rPr>
        <w:t xml:space="preserve">2017 </w:t>
      </w:r>
      <w:r w:rsidR="007125D0">
        <w:rPr>
          <w:sz w:val="24"/>
          <w:szCs w:val="24"/>
        </w:rPr>
        <w:t>through 201</w:t>
      </w:r>
      <w:r w:rsidR="008C1C67">
        <w:rPr>
          <w:sz w:val="24"/>
          <w:szCs w:val="24"/>
        </w:rPr>
        <w:t>9</w:t>
      </w:r>
      <w:r>
        <w:rPr>
          <w:sz w:val="24"/>
          <w:szCs w:val="24"/>
        </w:rPr>
        <w:t xml:space="preserve">.  </w:t>
      </w:r>
    </w:p>
    <w:p w14:paraId="28658B0A" w14:textId="77777777" w:rsidR="008C21E0" w:rsidRDefault="008C21E0" w:rsidP="008C21E0">
      <w:pPr>
        <w:widowControl/>
        <w:numPr>
          <w:ilvl w:val="12"/>
          <w:numId w:val="0"/>
        </w:numPr>
        <w:tabs>
          <w:tab w:val="left" w:pos="-1440"/>
          <w:tab w:val="left" w:pos="-720"/>
          <w:tab w:val="left" w:pos="426"/>
          <w:tab w:val="left" w:pos="960"/>
          <w:tab w:val="left" w:pos="1560"/>
          <w:tab w:val="left" w:pos="2160"/>
          <w:tab w:val="left" w:pos="2760"/>
          <w:tab w:val="left" w:pos="3360"/>
          <w:tab w:val="left" w:pos="6480"/>
          <w:tab w:val="left" w:pos="8640"/>
          <w:tab w:val="left" w:pos="10080"/>
        </w:tabs>
        <w:ind w:firstLine="720"/>
        <w:rPr>
          <w:sz w:val="24"/>
          <w:szCs w:val="24"/>
        </w:rPr>
      </w:pPr>
    </w:p>
    <w:p w14:paraId="5A93C224" w14:textId="2563BF1A" w:rsidR="008C21E0" w:rsidRDefault="008C21E0" w:rsidP="008C21E0">
      <w:pPr>
        <w:widowControl/>
        <w:numPr>
          <w:ilvl w:val="12"/>
          <w:numId w:val="0"/>
        </w:numPr>
        <w:tabs>
          <w:tab w:val="left" w:pos="-1440"/>
          <w:tab w:val="left" w:pos="-720"/>
          <w:tab w:val="left" w:pos="426"/>
          <w:tab w:val="left" w:pos="960"/>
          <w:tab w:val="left" w:pos="1560"/>
          <w:tab w:val="left" w:pos="2160"/>
          <w:tab w:val="left" w:pos="2760"/>
          <w:tab w:val="left" w:pos="3360"/>
          <w:tab w:val="left" w:pos="6480"/>
          <w:tab w:val="left" w:pos="8640"/>
          <w:tab w:val="left" w:pos="10080"/>
        </w:tabs>
        <w:jc w:val="center"/>
        <w:rPr>
          <w:b/>
          <w:sz w:val="24"/>
          <w:szCs w:val="24"/>
        </w:rPr>
      </w:pPr>
      <w:r>
        <w:rPr>
          <w:b/>
          <w:sz w:val="24"/>
          <w:szCs w:val="24"/>
        </w:rPr>
        <w:t>TABLE 6-</w:t>
      </w:r>
      <w:r w:rsidR="00116F2C">
        <w:rPr>
          <w:b/>
          <w:sz w:val="24"/>
          <w:szCs w:val="24"/>
        </w:rPr>
        <w:t>4</w:t>
      </w:r>
      <w:r w:rsidRPr="00F27FBE">
        <w:rPr>
          <w:b/>
          <w:sz w:val="24"/>
          <w:szCs w:val="24"/>
        </w:rPr>
        <w:t xml:space="preserve">:  AGGREGATE ANNUAL RESPONDENT </w:t>
      </w:r>
      <w:r>
        <w:rPr>
          <w:b/>
          <w:sz w:val="24"/>
          <w:szCs w:val="24"/>
        </w:rPr>
        <w:t xml:space="preserve">AND AGENCY </w:t>
      </w:r>
      <w:r w:rsidRPr="00F27FBE">
        <w:rPr>
          <w:b/>
          <w:sz w:val="24"/>
          <w:szCs w:val="24"/>
        </w:rPr>
        <w:t>BURDEN AND COST OF COLLECTIONS (</w:t>
      </w:r>
      <w:r w:rsidR="007125D0" w:rsidRPr="00F27FBE">
        <w:rPr>
          <w:b/>
          <w:sz w:val="24"/>
          <w:szCs w:val="24"/>
        </w:rPr>
        <w:t>201</w:t>
      </w:r>
      <w:r w:rsidR="009D77AB">
        <w:rPr>
          <w:b/>
          <w:sz w:val="24"/>
          <w:szCs w:val="24"/>
        </w:rPr>
        <w:t>7</w:t>
      </w:r>
      <w:r w:rsidR="007125D0" w:rsidRPr="00F27FBE">
        <w:rPr>
          <w:b/>
          <w:sz w:val="24"/>
          <w:szCs w:val="24"/>
        </w:rPr>
        <w:t xml:space="preserve"> </w:t>
      </w:r>
      <w:r w:rsidRPr="00F27FBE">
        <w:rPr>
          <w:b/>
          <w:sz w:val="24"/>
          <w:szCs w:val="24"/>
        </w:rPr>
        <w:t xml:space="preserve">– </w:t>
      </w:r>
      <w:r w:rsidR="007125D0" w:rsidRPr="00F27FBE">
        <w:rPr>
          <w:b/>
          <w:sz w:val="24"/>
          <w:szCs w:val="24"/>
        </w:rPr>
        <w:t>201</w:t>
      </w:r>
      <w:r w:rsidR="009D77AB">
        <w:rPr>
          <w:b/>
          <w:sz w:val="24"/>
          <w:szCs w:val="24"/>
        </w:rPr>
        <w:t>9</w:t>
      </w:r>
      <w:r w:rsidRPr="00F27FBE">
        <w:rPr>
          <w:b/>
          <w:sz w:val="24"/>
          <w:szCs w:val="24"/>
        </w:rPr>
        <w:t>)</w:t>
      </w:r>
    </w:p>
    <w:p w14:paraId="718BD22A" w14:textId="77777777" w:rsidR="008C21E0" w:rsidRPr="00F27FBE" w:rsidRDefault="008C21E0" w:rsidP="008C21E0">
      <w:pPr>
        <w:widowControl/>
        <w:numPr>
          <w:ilvl w:val="12"/>
          <w:numId w:val="0"/>
        </w:numPr>
        <w:tabs>
          <w:tab w:val="left" w:pos="-1440"/>
          <w:tab w:val="left" w:pos="-720"/>
          <w:tab w:val="left" w:pos="426"/>
          <w:tab w:val="left" w:pos="960"/>
          <w:tab w:val="left" w:pos="1560"/>
          <w:tab w:val="left" w:pos="2160"/>
          <w:tab w:val="left" w:pos="2760"/>
          <w:tab w:val="left" w:pos="3360"/>
          <w:tab w:val="left" w:pos="6480"/>
          <w:tab w:val="left" w:pos="8640"/>
          <w:tab w:val="left" w:pos="10080"/>
        </w:tabs>
        <w:jc w:val="center"/>
        <w:rPr>
          <w:b/>
          <w:sz w:val="24"/>
          <w:szCs w:val="24"/>
        </w:rPr>
      </w:pPr>
    </w:p>
    <w:tbl>
      <w:tblPr>
        <w:tblW w:w="9360" w:type="dxa"/>
        <w:jc w:val="center"/>
        <w:tblLayout w:type="fixed"/>
        <w:tblCellMar>
          <w:top w:w="72" w:type="dxa"/>
          <w:left w:w="72" w:type="dxa"/>
          <w:bottom w:w="72" w:type="dxa"/>
          <w:right w:w="72" w:type="dxa"/>
        </w:tblCellMar>
        <w:tblLook w:val="04A0" w:firstRow="1" w:lastRow="0" w:firstColumn="1" w:lastColumn="0" w:noHBand="0" w:noVBand="1"/>
      </w:tblPr>
      <w:tblGrid>
        <w:gridCol w:w="4320"/>
        <w:gridCol w:w="2070"/>
        <w:gridCol w:w="2970"/>
      </w:tblGrid>
      <w:tr w:rsidR="008C21E0" w:rsidRPr="00F27FBE" w14:paraId="4DAEC0CC" w14:textId="77777777" w:rsidTr="008C752B">
        <w:trPr>
          <w:trHeight w:val="720"/>
          <w:jc w:val="center"/>
        </w:trPr>
        <w:tc>
          <w:tcPr>
            <w:tcW w:w="4320" w:type="dxa"/>
            <w:tcBorders>
              <w:top w:val="single" w:sz="4" w:space="0" w:color="auto"/>
              <w:left w:val="single" w:sz="4" w:space="0" w:color="auto"/>
              <w:bottom w:val="single" w:sz="4" w:space="0" w:color="auto"/>
              <w:right w:val="single" w:sz="4" w:space="0" w:color="auto"/>
            </w:tcBorders>
            <w:shd w:val="pct10" w:color="auto" w:fill="auto"/>
            <w:noWrap/>
            <w:vAlign w:val="bottom"/>
          </w:tcPr>
          <w:p w14:paraId="1C0A9576" w14:textId="77777777" w:rsidR="008C21E0" w:rsidRPr="00337946" w:rsidRDefault="008C21E0" w:rsidP="008C752B">
            <w:pPr>
              <w:widowControl/>
              <w:autoSpaceDE/>
              <w:autoSpaceDN/>
              <w:adjustRightInd/>
              <w:jc w:val="center"/>
              <w:rPr>
                <w:b/>
                <w:color w:val="000000"/>
                <w:sz w:val="18"/>
                <w:szCs w:val="18"/>
              </w:rPr>
            </w:pPr>
            <w:r w:rsidRPr="00337946">
              <w:rPr>
                <w:b/>
                <w:color w:val="000000"/>
                <w:sz w:val="18"/>
                <w:szCs w:val="18"/>
              </w:rPr>
              <w:t>Program</w:t>
            </w:r>
          </w:p>
        </w:tc>
        <w:tc>
          <w:tcPr>
            <w:tcW w:w="2070" w:type="dxa"/>
            <w:tcBorders>
              <w:top w:val="single" w:sz="4" w:space="0" w:color="auto"/>
              <w:left w:val="nil"/>
              <w:bottom w:val="single" w:sz="4" w:space="0" w:color="auto"/>
              <w:right w:val="single" w:sz="4" w:space="0" w:color="auto"/>
            </w:tcBorders>
            <w:shd w:val="pct10" w:color="auto" w:fill="auto"/>
            <w:vAlign w:val="bottom"/>
          </w:tcPr>
          <w:p w14:paraId="5D14A19D" w14:textId="77777777" w:rsidR="008C21E0" w:rsidRPr="00337946" w:rsidRDefault="008C21E0" w:rsidP="008C752B">
            <w:pPr>
              <w:widowControl/>
              <w:autoSpaceDE/>
              <w:autoSpaceDN/>
              <w:adjustRightInd/>
              <w:jc w:val="center"/>
              <w:rPr>
                <w:b/>
                <w:color w:val="000000"/>
                <w:sz w:val="18"/>
                <w:szCs w:val="18"/>
              </w:rPr>
            </w:pPr>
            <w:r w:rsidRPr="00337946">
              <w:rPr>
                <w:b/>
                <w:color w:val="000000"/>
                <w:sz w:val="18"/>
                <w:szCs w:val="18"/>
              </w:rPr>
              <w:t>Total Annual Burden (Hours)</w:t>
            </w:r>
          </w:p>
        </w:tc>
        <w:tc>
          <w:tcPr>
            <w:tcW w:w="2970" w:type="dxa"/>
            <w:tcBorders>
              <w:top w:val="single" w:sz="4" w:space="0" w:color="auto"/>
              <w:left w:val="nil"/>
              <w:bottom w:val="single" w:sz="4" w:space="0" w:color="auto"/>
              <w:right w:val="single" w:sz="4" w:space="0" w:color="auto"/>
            </w:tcBorders>
            <w:shd w:val="pct10" w:color="auto" w:fill="auto"/>
            <w:vAlign w:val="bottom"/>
          </w:tcPr>
          <w:p w14:paraId="7B88E464" w14:textId="77777777" w:rsidR="008C21E0" w:rsidRPr="00337946" w:rsidRDefault="008C21E0" w:rsidP="008C752B">
            <w:pPr>
              <w:widowControl/>
              <w:autoSpaceDE/>
              <w:autoSpaceDN/>
              <w:adjustRightInd/>
              <w:jc w:val="center"/>
              <w:rPr>
                <w:b/>
                <w:color w:val="000000"/>
                <w:sz w:val="18"/>
                <w:szCs w:val="18"/>
              </w:rPr>
            </w:pPr>
            <w:r w:rsidRPr="00337946">
              <w:rPr>
                <w:b/>
                <w:color w:val="000000"/>
                <w:sz w:val="18"/>
                <w:szCs w:val="18"/>
              </w:rPr>
              <w:t>Total Annual Costs</w:t>
            </w:r>
            <w:r w:rsidRPr="00337946">
              <w:rPr>
                <w:b/>
                <w:color w:val="000000"/>
                <w:sz w:val="18"/>
                <w:szCs w:val="18"/>
                <w:vertAlign w:val="superscript"/>
              </w:rPr>
              <w:t>a</w:t>
            </w:r>
          </w:p>
        </w:tc>
      </w:tr>
      <w:tr w:rsidR="008C21E0" w:rsidRPr="00F27FBE" w14:paraId="0A4EEA72" w14:textId="77777777" w:rsidTr="008C752B">
        <w:trPr>
          <w:trHeight w:val="108"/>
          <w:jc w:val="center"/>
        </w:trPr>
        <w:tc>
          <w:tcPr>
            <w:tcW w:w="4320" w:type="dxa"/>
            <w:tcBorders>
              <w:top w:val="nil"/>
              <w:left w:val="single" w:sz="4" w:space="0" w:color="auto"/>
              <w:bottom w:val="single" w:sz="4" w:space="0" w:color="auto"/>
              <w:right w:val="single" w:sz="4" w:space="0" w:color="auto"/>
            </w:tcBorders>
            <w:shd w:val="clear" w:color="auto" w:fill="auto"/>
            <w:noWrap/>
          </w:tcPr>
          <w:p w14:paraId="44271E50" w14:textId="77777777" w:rsidR="008C21E0" w:rsidRPr="00337946" w:rsidRDefault="008C21E0" w:rsidP="008C752B">
            <w:pPr>
              <w:widowControl/>
              <w:autoSpaceDE/>
              <w:autoSpaceDN/>
              <w:adjustRightInd/>
              <w:rPr>
                <w:color w:val="000000"/>
                <w:sz w:val="18"/>
                <w:szCs w:val="18"/>
              </w:rPr>
            </w:pPr>
            <w:r>
              <w:rPr>
                <w:color w:val="000000"/>
                <w:sz w:val="18"/>
                <w:szCs w:val="18"/>
              </w:rPr>
              <w:t>Annual Industry Respondent Burden</w:t>
            </w:r>
          </w:p>
        </w:tc>
        <w:tc>
          <w:tcPr>
            <w:tcW w:w="2070" w:type="dxa"/>
            <w:tcBorders>
              <w:top w:val="nil"/>
              <w:left w:val="nil"/>
              <w:bottom w:val="single" w:sz="4" w:space="0" w:color="auto"/>
              <w:right w:val="single" w:sz="4" w:space="0" w:color="auto"/>
            </w:tcBorders>
            <w:shd w:val="clear" w:color="auto" w:fill="auto"/>
            <w:noWrap/>
            <w:vAlign w:val="bottom"/>
          </w:tcPr>
          <w:p w14:paraId="2BC2B27D" w14:textId="44C013FE" w:rsidR="008C21E0" w:rsidRPr="00337946" w:rsidRDefault="000745CE" w:rsidP="008C752B">
            <w:pPr>
              <w:widowControl/>
              <w:autoSpaceDE/>
              <w:autoSpaceDN/>
              <w:adjustRightInd/>
              <w:jc w:val="right"/>
              <w:rPr>
                <w:color w:val="000000"/>
                <w:sz w:val="18"/>
                <w:szCs w:val="18"/>
                <w:highlight w:val="yellow"/>
              </w:rPr>
            </w:pPr>
            <w:r>
              <w:rPr>
                <w:color w:val="000000"/>
                <w:sz w:val="18"/>
                <w:szCs w:val="18"/>
              </w:rPr>
              <w:t>189</w:t>
            </w:r>
            <w:r w:rsidR="00D64FC2">
              <w:rPr>
                <w:color w:val="000000"/>
                <w:sz w:val="18"/>
                <w:szCs w:val="18"/>
              </w:rPr>
              <w:t>,</w:t>
            </w:r>
            <w:r>
              <w:rPr>
                <w:color w:val="000000"/>
                <w:sz w:val="18"/>
                <w:szCs w:val="18"/>
              </w:rPr>
              <w:t>261</w:t>
            </w:r>
          </w:p>
        </w:tc>
        <w:tc>
          <w:tcPr>
            <w:tcW w:w="2970" w:type="dxa"/>
            <w:tcBorders>
              <w:top w:val="nil"/>
              <w:left w:val="nil"/>
              <w:bottom w:val="single" w:sz="4" w:space="0" w:color="auto"/>
              <w:right w:val="single" w:sz="4" w:space="0" w:color="auto"/>
            </w:tcBorders>
            <w:shd w:val="clear" w:color="auto" w:fill="auto"/>
            <w:noWrap/>
            <w:vAlign w:val="bottom"/>
          </w:tcPr>
          <w:p w14:paraId="67462D90" w14:textId="17CBDFF3" w:rsidR="008C21E0" w:rsidRPr="00337946" w:rsidRDefault="008C21E0" w:rsidP="000745CE">
            <w:pPr>
              <w:widowControl/>
              <w:autoSpaceDE/>
              <w:autoSpaceDN/>
              <w:adjustRightInd/>
              <w:jc w:val="right"/>
              <w:rPr>
                <w:color w:val="000000"/>
                <w:sz w:val="18"/>
                <w:szCs w:val="18"/>
                <w:highlight w:val="yellow"/>
              </w:rPr>
            </w:pPr>
            <w:r w:rsidRPr="00337946">
              <w:rPr>
                <w:color w:val="000000"/>
                <w:sz w:val="18"/>
                <w:szCs w:val="18"/>
              </w:rPr>
              <w:t xml:space="preserve">   $</w:t>
            </w:r>
            <w:r w:rsidR="000745CE">
              <w:rPr>
                <w:color w:val="000000"/>
                <w:sz w:val="18"/>
                <w:szCs w:val="18"/>
              </w:rPr>
              <w:t>27</w:t>
            </w:r>
            <w:r w:rsidR="00D64FC2">
              <w:rPr>
                <w:color w:val="000000"/>
                <w:sz w:val="18"/>
                <w:szCs w:val="18"/>
              </w:rPr>
              <w:t>,</w:t>
            </w:r>
            <w:r w:rsidR="000745CE">
              <w:rPr>
                <w:color w:val="000000"/>
                <w:sz w:val="18"/>
                <w:szCs w:val="18"/>
              </w:rPr>
              <w:t>787</w:t>
            </w:r>
            <w:r w:rsidR="00D64FC2">
              <w:rPr>
                <w:color w:val="000000"/>
                <w:sz w:val="18"/>
                <w:szCs w:val="18"/>
              </w:rPr>
              <w:t>,</w:t>
            </w:r>
            <w:r w:rsidR="000745CE">
              <w:rPr>
                <w:color w:val="000000"/>
                <w:sz w:val="18"/>
                <w:szCs w:val="18"/>
              </w:rPr>
              <w:t>807</w:t>
            </w:r>
          </w:p>
        </w:tc>
      </w:tr>
      <w:tr w:rsidR="008C21E0" w:rsidRPr="00F27FBE" w14:paraId="0F11D557" w14:textId="77777777" w:rsidTr="008C752B">
        <w:trPr>
          <w:trHeight w:val="108"/>
          <w:jc w:val="center"/>
        </w:trPr>
        <w:tc>
          <w:tcPr>
            <w:tcW w:w="4320" w:type="dxa"/>
            <w:tcBorders>
              <w:top w:val="nil"/>
              <w:left w:val="single" w:sz="4" w:space="0" w:color="auto"/>
              <w:bottom w:val="single" w:sz="4" w:space="0" w:color="auto"/>
              <w:right w:val="single" w:sz="4" w:space="0" w:color="auto"/>
            </w:tcBorders>
            <w:shd w:val="clear" w:color="auto" w:fill="auto"/>
            <w:noWrap/>
          </w:tcPr>
          <w:p w14:paraId="1084D7EE" w14:textId="77777777" w:rsidR="008C21E0" w:rsidRPr="00337946" w:rsidDel="005D1FAC" w:rsidRDefault="008C21E0" w:rsidP="008C752B">
            <w:pPr>
              <w:widowControl/>
              <w:autoSpaceDE/>
              <w:autoSpaceDN/>
              <w:adjustRightInd/>
              <w:rPr>
                <w:color w:val="000000"/>
                <w:sz w:val="18"/>
                <w:szCs w:val="18"/>
              </w:rPr>
            </w:pPr>
            <w:r>
              <w:rPr>
                <w:color w:val="000000"/>
                <w:sz w:val="18"/>
                <w:szCs w:val="18"/>
              </w:rPr>
              <w:t xml:space="preserve">Annual Agency Burden </w:t>
            </w:r>
          </w:p>
        </w:tc>
        <w:tc>
          <w:tcPr>
            <w:tcW w:w="2070" w:type="dxa"/>
            <w:tcBorders>
              <w:top w:val="nil"/>
              <w:left w:val="nil"/>
              <w:bottom w:val="single" w:sz="4" w:space="0" w:color="auto"/>
              <w:right w:val="single" w:sz="4" w:space="0" w:color="auto"/>
            </w:tcBorders>
            <w:shd w:val="clear" w:color="auto" w:fill="auto"/>
            <w:noWrap/>
            <w:vAlign w:val="bottom"/>
          </w:tcPr>
          <w:p w14:paraId="535C87FF" w14:textId="035B3D9B" w:rsidR="008C21E0" w:rsidRDefault="008C21E0" w:rsidP="00D64FC2">
            <w:pPr>
              <w:widowControl/>
              <w:autoSpaceDE/>
              <w:autoSpaceDN/>
              <w:adjustRightInd/>
              <w:jc w:val="right"/>
              <w:rPr>
                <w:color w:val="000000"/>
                <w:sz w:val="18"/>
                <w:szCs w:val="18"/>
              </w:rPr>
            </w:pPr>
            <w:r w:rsidRPr="00337946">
              <w:rPr>
                <w:color w:val="000000"/>
                <w:sz w:val="18"/>
                <w:szCs w:val="18"/>
              </w:rPr>
              <w:t xml:space="preserve">                          </w:t>
            </w:r>
            <w:r w:rsidR="00D64FC2">
              <w:rPr>
                <w:color w:val="000000"/>
                <w:sz w:val="18"/>
                <w:szCs w:val="18"/>
              </w:rPr>
              <w:t>3,200</w:t>
            </w:r>
            <w:r w:rsidR="008C1C67" w:rsidRPr="00337946">
              <w:rPr>
                <w:color w:val="000000"/>
                <w:sz w:val="18"/>
                <w:szCs w:val="18"/>
              </w:rPr>
              <w:t xml:space="preserve"> </w:t>
            </w:r>
          </w:p>
        </w:tc>
        <w:tc>
          <w:tcPr>
            <w:tcW w:w="2970" w:type="dxa"/>
            <w:tcBorders>
              <w:top w:val="nil"/>
              <w:left w:val="nil"/>
              <w:bottom w:val="single" w:sz="4" w:space="0" w:color="auto"/>
              <w:right w:val="single" w:sz="4" w:space="0" w:color="auto"/>
            </w:tcBorders>
            <w:shd w:val="clear" w:color="auto" w:fill="auto"/>
            <w:noWrap/>
            <w:vAlign w:val="bottom"/>
          </w:tcPr>
          <w:p w14:paraId="1FDA26DE" w14:textId="106B9855" w:rsidR="008C21E0" w:rsidRPr="00337946" w:rsidRDefault="008C21E0" w:rsidP="00D64FC2">
            <w:pPr>
              <w:widowControl/>
              <w:autoSpaceDE/>
              <w:autoSpaceDN/>
              <w:adjustRightInd/>
              <w:jc w:val="right"/>
              <w:rPr>
                <w:color w:val="000000"/>
                <w:sz w:val="18"/>
                <w:szCs w:val="18"/>
              </w:rPr>
            </w:pPr>
            <w:r w:rsidRPr="00337946">
              <w:rPr>
                <w:color w:val="000000"/>
                <w:sz w:val="18"/>
                <w:szCs w:val="18"/>
              </w:rPr>
              <w:t xml:space="preserve"> </w:t>
            </w:r>
            <w:r w:rsidR="00D64FC2">
              <w:rPr>
                <w:color w:val="000000"/>
                <w:sz w:val="18"/>
                <w:szCs w:val="18"/>
              </w:rPr>
              <w:t>$166,912</w:t>
            </w:r>
          </w:p>
        </w:tc>
      </w:tr>
      <w:tr w:rsidR="008C21E0" w:rsidRPr="00F27FBE" w14:paraId="2A18B6BB" w14:textId="77777777" w:rsidTr="008C752B">
        <w:trPr>
          <w:trHeight w:val="81"/>
          <w:jc w:val="center"/>
        </w:trPr>
        <w:tc>
          <w:tcPr>
            <w:tcW w:w="4320" w:type="dxa"/>
            <w:tcBorders>
              <w:top w:val="nil"/>
              <w:left w:val="single" w:sz="4" w:space="0" w:color="auto"/>
              <w:bottom w:val="single" w:sz="4" w:space="0" w:color="auto"/>
              <w:right w:val="single" w:sz="4" w:space="0" w:color="auto"/>
            </w:tcBorders>
            <w:shd w:val="clear" w:color="auto" w:fill="auto"/>
            <w:noWrap/>
          </w:tcPr>
          <w:p w14:paraId="3A32110B" w14:textId="77777777" w:rsidR="008C21E0" w:rsidRPr="00337946" w:rsidRDefault="008C21E0" w:rsidP="008C752B">
            <w:pPr>
              <w:widowControl/>
              <w:autoSpaceDE/>
              <w:autoSpaceDN/>
              <w:adjustRightInd/>
              <w:rPr>
                <w:color w:val="000000"/>
                <w:sz w:val="18"/>
                <w:szCs w:val="18"/>
              </w:rPr>
            </w:pPr>
            <w:r w:rsidRPr="00337946">
              <w:rPr>
                <w:color w:val="000000"/>
                <w:sz w:val="18"/>
                <w:szCs w:val="18"/>
              </w:rPr>
              <w:t>TOTAL</w:t>
            </w:r>
          </w:p>
        </w:tc>
        <w:tc>
          <w:tcPr>
            <w:tcW w:w="2070" w:type="dxa"/>
            <w:tcBorders>
              <w:top w:val="nil"/>
              <w:left w:val="nil"/>
              <w:bottom w:val="single" w:sz="4" w:space="0" w:color="auto"/>
              <w:right w:val="single" w:sz="4" w:space="0" w:color="auto"/>
            </w:tcBorders>
            <w:shd w:val="clear" w:color="auto" w:fill="auto"/>
            <w:noWrap/>
            <w:vAlign w:val="bottom"/>
          </w:tcPr>
          <w:p w14:paraId="2DC4B3CE" w14:textId="6B987BA1" w:rsidR="008C21E0" w:rsidRPr="00337946" w:rsidRDefault="00D64FC2" w:rsidP="00D64FC2">
            <w:pPr>
              <w:widowControl/>
              <w:autoSpaceDE/>
              <w:autoSpaceDN/>
              <w:adjustRightInd/>
              <w:jc w:val="right"/>
              <w:rPr>
                <w:color w:val="000000"/>
                <w:sz w:val="18"/>
                <w:szCs w:val="18"/>
                <w:highlight w:val="yellow"/>
              </w:rPr>
            </w:pPr>
            <w:r>
              <w:rPr>
                <w:color w:val="000000"/>
                <w:sz w:val="18"/>
                <w:szCs w:val="18"/>
              </w:rPr>
              <w:t>192,461</w:t>
            </w:r>
          </w:p>
        </w:tc>
        <w:tc>
          <w:tcPr>
            <w:tcW w:w="2970" w:type="dxa"/>
            <w:tcBorders>
              <w:top w:val="nil"/>
              <w:left w:val="nil"/>
              <w:bottom w:val="single" w:sz="4" w:space="0" w:color="auto"/>
              <w:right w:val="single" w:sz="4" w:space="0" w:color="auto"/>
            </w:tcBorders>
            <w:shd w:val="clear" w:color="auto" w:fill="auto"/>
            <w:noWrap/>
            <w:vAlign w:val="bottom"/>
          </w:tcPr>
          <w:p w14:paraId="6E32B362" w14:textId="09351220" w:rsidR="008C21E0" w:rsidRPr="00337946" w:rsidRDefault="008C21E0" w:rsidP="00D64FC2">
            <w:pPr>
              <w:widowControl/>
              <w:autoSpaceDE/>
              <w:autoSpaceDN/>
              <w:adjustRightInd/>
              <w:jc w:val="right"/>
              <w:rPr>
                <w:color w:val="000000"/>
                <w:sz w:val="18"/>
                <w:szCs w:val="18"/>
                <w:highlight w:val="yellow"/>
              </w:rPr>
            </w:pPr>
            <w:r w:rsidRPr="00337946">
              <w:rPr>
                <w:color w:val="000000"/>
                <w:sz w:val="18"/>
                <w:szCs w:val="18"/>
              </w:rPr>
              <w:t xml:space="preserve">   </w:t>
            </w:r>
            <w:r w:rsidR="00D64FC2">
              <w:rPr>
                <w:color w:val="000000"/>
                <w:sz w:val="18"/>
                <w:szCs w:val="18"/>
              </w:rPr>
              <w:t>$27,954,719</w:t>
            </w:r>
          </w:p>
        </w:tc>
      </w:tr>
    </w:tbl>
    <w:p w14:paraId="1126EECA" w14:textId="6588B7EC" w:rsidR="008C21E0" w:rsidRDefault="008C21E0" w:rsidP="008C21E0">
      <w:pPr>
        <w:widowControl/>
        <w:numPr>
          <w:ilvl w:val="12"/>
          <w:numId w:val="0"/>
        </w:numPr>
        <w:tabs>
          <w:tab w:val="left" w:pos="0"/>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27FBE">
        <w:rPr>
          <w:szCs w:val="24"/>
          <w:vertAlign w:val="superscript"/>
        </w:rPr>
        <w:t>a</w:t>
      </w:r>
      <w:r w:rsidRPr="00F27FBE">
        <w:rPr>
          <w:szCs w:val="24"/>
        </w:rPr>
        <w:t xml:space="preserve"> </w:t>
      </w:r>
      <w:r>
        <w:rPr>
          <w:szCs w:val="24"/>
        </w:rPr>
        <w:t xml:space="preserve"> </w:t>
      </w:r>
      <w:r w:rsidR="008C1C67">
        <w:rPr>
          <w:szCs w:val="24"/>
        </w:rPr>
        <w:t>2017</w:t>
      </w:r>
      <w:r w:rsidR="008C1C67" w:rsidRPr="00F27FBE">
        <w:rPr>
          <w:szCs w:val="24"/>
        </w:rPr>
        <w:t xml:space="preserve"> </w:t>
      </w:r>
      <w:r w:rsidRPr="00F27FBE">
        <w:rPr>
          <w:szCs w:val="24"/>
        </w:rPr>
        <w:t>dollars.</w:t>
      </w:r>
    </w:p>
    <w:p w14:paraId="1DA38078" w14:textId="77777777" w:rsidR="008C21E0" w:rsidRDefault="008C21E0" w:rsidP="008C21E0">
      <w:pPr>
        <w:widowControl/>
        <w:numPr>
          <w:ilvl w:val="12"/>
          <w:numId w:val="0"/>
        </w:numPr>
        <w:tabs>
          <w:tab w:val="left" w:pos="-1440"/>
          <w:tab w:val="left" w:pos="-720"/>
          <w:tab w:val="left" w:pos="426"/>
          <w:tab w:val="left" w:pos="960"/>
          <w:tab w:val="left" w:pos="1560"/>
          <w:tab w:val="left" w:pos="2160"/>
          <w:tab w:val="left" w:pos="2760"/>
          <w:tab w:val="left" w:pos="3360"/>
          <w:tab w:val="left" w:pos="6480"/>
          <w:tab w:val="left" w:pos="8640"/>
          <w:tab w:val="left" w:pos="10080"/>
        </w:tabs>
        <w:rPr>
          <w:sz w:val="24"/>
          <w:szCs w:val="24"/>
        </w:rPr>
      </w:pPr>
    </w:p>
    <w:p w14:paraId="24844134" w14:textId="77777777" w:rsidR="008C21E0" w:rsidRDefault="008C21E0" w:rsidP="008C21E0">
      <w:pPr>
        <w:widowControl/>
        <w:numPr>
          <w:ilvl w:val="12"/>
          <w:numId w:val="0"/>
        </w:numPr>
        <w:tabs>
          <w:tab w:val="left" w:pos="-1440"/>
          <w:tab w:val="left" w:pos="-720"/>
          <w:tab w:val="left" w:pos="426"/>
          <w:tab w:val="left" w:pos="960"/>
          <w:tab w:val="left" w:pos="1560"/>
          <w:tab w:val="left" w:pos="2160"/>
          <w:tab w:val="left" w:pos="2760"/>
          <w:tab w:val="left" w:pos="3360"/>
          <w:tab w:val="left" w:pos="6480"/>
          <w:tab w:val="left" w:pos="8640"/>
          <w:tab w:val="left" w:pos="10080"/>
        </w:tabs>
        <w:ind w:left="360"/>
        <w:rPr>
          <w:sz w:val="24"/>
          <w:szCs w:val="24"/>
        </w:rPr>
      </w:pPr>
      <w:r>
        <w:rPr>
          <w:b/>
          <w:bCs/>
          <w:sz w:val="24"/>
          <w:szCs w:val="24"/>
        </w:rPr>
        <w:t>6(</w:t>
      </w:r>
      <w:r w:rsidR="00AA49AD">
        <w:rPr>
          <w:b/>
          <w:bCs/>
          <w:sz w:val="24"/>
          <w:szCs w:val="24"/>
        </w:rPr>
        <w:t>d</w:t>
      </w:r>
      <w:r>
        <w:rPr>
          <w:b/>
          <w:bCs/>
          <w:sz w:val="24"/>
          <w:szCs w:val="24"/>
        </w:rPr>
        <w:t xml:space="preserve">) Reasons for Change in </w:t>
      </w:r>
      <w:r w:rsidR="009439C0">
        <w:rPr>
          <w:b/>
          <w:bCs/>
          <w:sz w:val="24"/>
          <w:szCs w:val="24"/>
        </w:rPr>
        <w:t>Burden</w:t>
      </w:r>
    </w:p>
    <w:p w14:paraId="00C637EB" w14:textId="77777777" w:rsidR="008C21E0" w:rsidRDefault="008C21E0" w:rsidP="008C21E0">
      <w:pPr>
        <w:widowControl/>
        <w:numPr>
          <w:ilvl w:val="12"/>
          <w:numId w:val="0"/>
        </w:numPr>
        <w:tabs>
          <w:tab w:val="left" w:pos="-1440"/>
          <w:tab w:val="left" w:pos="-720"/>
          <w:tab w:val="left" w:pos="426"/>
          <w:tab w:val="left" w:pos="960"/>
          <w:tab w:val="left" w:pos="1560"/>
          <w:tab w:val="left" w:pos="2160"/>
          <w:tab w:val="left" w:pos="2760"/>
          <w:tab w:val="left" w:pos="3360"/>
          <w:tab w:val="left" w:pos="6480"/>
          <w:tab w:val="left" w:pos="8640"/>
          <w:tab w:val="left" w:pos="10080"/>
        </w:tabs>
        <w:rPr>
          <w:sz w:val="24"/>
          <w:szCs w:val="24"/>
        </w:rPr>
      </w:pPr>
    </w:p>
    <w:p w14:paraId="5ABFF24B" w14:textId="06B64F4D" w:rsidR="00A7111C" w:rsidRDefault="008C21E0" w:rsidP="00A7111C">
      <w:pPr>
        <w:numPr>
          <w:ilvl w:val="12"/>
          <w:numId w:val="0"/>
        </w:numPr>
        <w:ind w:firstLine="720"/>
        <w:rPr>
          <w:sz w:val="24"/>
          <w:szCs w:val="24"/>
        </w:rPr>
      </w:pPr>
      <w:r>
        <w:rPr>
          <w:sz w:val="24"/>
          <w:szCs w:val="24"/>
        </w:rPr>
        <w:t xml:space="preserve">Hourly burden estimates </w:t>
      </w:r>
      <w:r w:rsidR="00871B5C">
        <w:rPr>
          <w:sz w:val="24"/>
          <w:szCs w:val="24"/>
        </w:rPr>
        <w:t xml:space="preserve">per respondent </w:t>
      </w:r>
      <w:r>
        <w:rPr>
          <w:sz w:val="24"/>
          <w:szCs w:val="24"/>
        </w:rPr>
        <w:t>in t</w:t>
      </w:r>
      <w:r w:rsidRPr="00AA5EF7">
        <w:rPr>
          <w:sz w:val="24"/>
          <w:szCs w:val="24"/>
        </w:rPr>
        <w:t xml:space="preserve">his ICR renewal </w:t>
      </w:r>
      <w:r>
        <w:rPr>
          <w:sz w:val="24"/>
          <w:szCs w:val="24"/>
        </w:rPr>
        <w:t xml:space="preserve">are </w:t>
      </w:r>
      <w:r w:rsidR="005F15DE">
        <w:rPr>
          <w:sz w:val="24"/>
          <w:szCs w:val="24"/>
        </w:rPr>
        <w:t xml:space="preserve">the same as </w:t>
      </w:r>
      <w:r>
        <w:rPr>
          <w:sz w:val="24"/>
          <w:szCs w:val="24"/>
        </w:rPr>
        <w:t>those in</w:t>
      </w:r>
      <w:r w:rsidRPr="00AA5EF7">
        <w:rPr>
          <w:sz w:val="24"/>
          <w:szCs w:val="24"/>
        </w:rPr>
        <w:t xml:space="preserve"> the previous ICR.  </w:t>
      </w:r>
      <w:r w:rsidR="005F15DE">
        <w:rPr>
          <w:sz w:val="24"/>
          <w:szCs w:val="24"/>
        </w:rPr>
        <w:t>Industry and government wage rates are higher based on the Employee Cost Index and G</w:t>
      </w:r>
      <w:r w:rsidR="005F15DE" w:rsidRPr="005F15DE">
        <w:rPr>
          <w:sz w:val="24"/>
          <w:szCs w:val="24"/>
        </w:rPr>
        <w:t>eneral Schedule</w:t>
      </w:r>
      <w:r w:rsidR="005F15DE">
        <w:rPr>
          <w:sz w:val="24"/>
          <w:szCs w:val="24"/>
        </w:rPr>
        <w:t>.</w:t>
      </w:r>
      <w:r w:rsidR="006E4DC4">
        <w:rPr>
          <w:sz w:val="24"/>
          <w:szCs w:val="24"/>
        </w:rPr>
        <w:t xml:space="preserve">  </w:t>
      </w:r>
      <w:r w:rsidR="00A7111C">
        <w:rPr>
          <w:sz w:val="24"/>
          <w:szCs w:val="24"/>
        </w:rPr>
        <w:t xml:space="preserve">The total burden and cost have increased </w:t>
      </w:r>
      <w:r w:rsidR="00871B5C">
        <w:rPr>
          <w:sz w:val="24"/>
          <w:szCs w:val="24"/>
        </w:rPr>
        <w:t xml:space="preserve">primarily </w:t>
      </w:r>
      <w:r w:rsidR="00A7111C">
        <w:rPr>
          <w:sz w:val="24"/>
          <w:szCs w:val="24"/>
        </w:rPr>
        <w:t xml:space="preserve">due to the increased number of units </w:t>
      </w:r>
      <w:r w:rsidR="00871B5C">
        <w:rPr>
          <w:sz w:val="24"/>
          <w:szCs w:val="24"/>
        </w:rPr>
        <w:t xml:space="preserve">now </w:t>
      </w:r>
      <w:r w:rsidR="00A7111C">
        <w:rPr>
          <w:sz w:val="24"/>
          <w:szCs w:val="24"/>
        </w:rPr>
        <w:t xml:space="preserve">reporting </w:t>
      </w:r>
      <w:r w:rsidR="00871B5C">
        <w:rPr>
          <w:sz w:val="24"/>
          <w:szCs w:val="24"/>
        </w:rPr>
        <w:t xml:space="preserve">under this program instead of under other programs. </w:t>
      </w:r>
      <w:r w:rsidR="00311C60" w:rsidRPr="00311C60">
        <w:rPr>
          <w:sz w:val="24"/>
          <w:szCs w:val="24"/>
        </w:rPr>
        <w:t>The information collection burden for reporting ozone season NO</w:t>
      </w:r>
      <w:r w:rsidR="00311C60" w:rsidRPr="00311C60">
        <w:rPr>
          <w:sz w:val="24"/>
          <w:szCs w:val="24"/>
          <w:vertAlign w:val="subscript"/>
        </w:rPr>
        <w:t>X</w:t>
      </w:r>
      <w:r w:rsidR="00311C60" w:rsidRPr="00311C60">
        <w:rPr>
          <w:sz w:val="24"/>
          <w:szCs w:val="24"/>
        </w:rPr>
        <w:t xml:space="preserve"> mass emissions data for all sources that were formerly subject to the CAIR NO</w:t>
      </w:r>
      <w:r w:rsidR="00311C60" w:rsidRPr="00311C60">
        <w:rPr>
          <w:sz w:val="24"/>
          <w:szCs w:val="24"/>
          <w:vertAlign w:val="subscript"/>
        </w:rPr>
        <w:t>X</w:t>
      </w:r>
      <w:r w:rsidR="00311C60" w:rsidRPr="00311C60">
        <w:rPr>
          <w:sz w:val="24"/>
          <w:szCs w:val="24"/>
        </w:rPr>
        <w:t xml:space="preserve"> Ozone Season Trading Program and are not covered by CSAPR is now covered under this ICR</w:t>
      </w:r>
      <w:r w:rsidR="00311C60">
        <w:rPr>
          <w:sz w:val="24"/>
          <w:szCs w:val="24"/>
        </w:rPr>
        <w:t xml:space="preserve">. </w:t>
      </w:r>
      <w:r w:rsidR="00311C60" w:rsidRPr="00311C60">
        <w:rPr>
          <w:sz w:val="24"/>
          <w:szCs w:val="24"/>
        </w:rPr>
        <w:t>Previously, the burden for reporting ozone season NO</w:t>
      </w:r>
      <w:r w:rsidR="00311C60" w:rsidRPr="00311C60">
        <w:rPr>
          <w:sz w:val="24"/>
          <w:szCs w:val="24"/>
          <w:vertAlign w:val="subscript"/>
        </w:rPr>
        <w:t>X</w:t>
      </w:r>
      <w:r w:rsidR="00311C60" w:rsidRPr="00311C60">
        <w:rPr>
          <w:sz w:val="24"/>
          <w:szCs w:val="24"/>
        </w:rPr>
        <w:t xml:space="preserve"> mass emissions data for some of these sources was covered under the CAIR Program ICR (EPA ICR No. 2152.05, OMB Control No. 2060-0570).</w:t>
      </w:r>
      <w:r w:rsidR="00311C60">
        <w:rPr>
          <w:sz w:val="24"/>
          <w:szCs w:val="24"/>
        </w:rPr>
        <w:t xml:space="preserve"> </w:t>
      </w:r>
    </w:p>
    <w:p w14:paraId="13820806" w14:textId="77777777" w:rsidR="008C21E0" w:rsidRDefault="008C21E0" w:rsidP="008C21E0">
      <w:pPr>
        <w:widowControl/>
        <w:numPr>
          <w:ilvl w:val="12"/>
          <w:numId w:val="0"/>
        </w:numPr>
        <w:tabs>
          <w:tab w:val="left" w:pos="-1440"/>
          <w:tab w:val="left" w:pos="-720"/>
          <w:tab w:val="left" w:pos="426"/>
          <w:tab w:val="left" w:pos="960"/>
          <w:tab w:val="left" w:pos="1560"/>
          <w:tab w:val="left" w:pos="2160"/>
          <w:tab w:val="left" w:pos="2760"/>
          <w:tab w:val="left" w:pos="3360"/>
          <w:tab w:val="left" w:pos="6480"/>
          <w:tab w:val="left" w:pos="8640"/>
          <w:tab w:val="left" w:pos="10080"/>
        </w:tabs>
        <w:rPr>
          <w:sz w:val="24"/>
          <w:szCs w:val="24"/>
        </w:rPr>
      </w:pPr>
    </w:p>
    <w:p w14:paraId="7E7A9D27" w14:textId="77777777" w:rsidR="008C21E0" w:rsidRDefault="008C21E0" w:rsidP="008C21E0">
      <w:pPr>
        <w:widowControl/>
        <w:numPr>
          <w:ilvl w:val="12"/>
          <w:numId w:val="0"/>
        </w:numPr>
        <w:tabs>
          <w:tab w:val="left" w:pos="-1440"/>
          <w:tab w:val="left" w:pos="-720"/>
          <w:tab w:val="left" w:pos="426"/>
          <w:tab w:val="left" w:pos="960"/>
          <w:tab w:val="left" w:pos="1560"/>
          <w:tab w:val="left" w:pos="2160"/>
          <w:tab w:val="left" w:pos="2760"/>
          <w:tab w:val="left" w:pos="3360"/>
          <w:tab w:val="left" w:pos="6480"/>
          <w:tab w:val="left" w:pos="8640"/>
          <w:tab w:val="left" w:pos="10080"/>
        </w:tabs>
        <w:ind w:left="360"/>
        <w:rPr>
          <w:sz w:val="24"/>
          <w:szCs w:val="24"/>
        </w:rPr>
      </w:pPr>
      <w:r>
        <w:rPr>
          <w:b/>
          <w:bCs/>
          <w:sz w:val="24"/>
          <w:szCs w:val="24"/>
        </w:rPr>
        <w:t>6(</w:t>
      </w:r>
      <w:r w:rsidR="00AA49AD">
        <w:rPr>
          <w:b/>
          <w:bCs/>
          <w:sz w:val="24"/>
          <w:szCs w:val="24"/>
        </w:rPr>
        <w:t>e</w:t>
      </w:r>
      <w:r>
        <w:rPr>
          <w:b/>
          <w:bCs/>
          <w:sz w:val="24"/>
          <w:szCs w:val="24"/>
        </w:rPr>
        <w:t>) Burden Statement</w:t>
      </w:r>
    </w:p>
    <w:p w14:paraId="40EBCC3E" w14:textId="77777777" w:rsidR="00BC51DB" w:rsidRDefault="00BC51DB" w:rsidP="008C21E0">
      <w:pPr>
        <w:widowControl/>
        <w:numPr>
          <w:ilvl w:val="12"/>
          <w:numId w:val="0"/>
        </w:numPr>
        <w:tabs>
          <w:tab w:val="left" w:pos="-1440"/>
          <w:tab w:val="left" w:pos="-720"/>
          <w:tab w:val="left" w:pos="426"/>
          <w:tab w:val="left" w:pos="960"/>
          <w:tab w:val="left" w:pos="1560"/>
          <w:tab w:val="left" w:pos="2160"/>
          <w:tab w:val="left" w:pos="2760"/>
          <w:tab w:val="left" w:pos="3360"/>
          <w:tab w:val="left" w:pos="6480"/>
          <w:tab w:val="left" w:pos="8640"/>
          <w:tab w:val="left" w:pos="10080"/>
        </w:tabs>
        <w:rPr>
          <w:sz w:val="24"/>
          <w:szCs w:val="24"/>
        </w:rPr>
      </w:pPr>
      <w:r>
        <w:rPr>
          <w:sz w:val="24"/>
          <w:szCs w:val="24"/>
        </w:rPr>
        <w:tab/>
      </w:r>
    </w:p>
    <w:p w14:paraId="31072FBB" w14:textId="4EEAA3D9" w:rsidR="008C21E0" w:rsidRDefault="00BC51DB" w:rsidP="008C21E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Pr>
          <w:sz w:val="24"/>
          <w:szCs w:val="24"/>
        </w:rPr>
        <w:tab/>
      </w:r>
      <w:r w:rsidR="008C21E0">
        <w:rPr>
          <w:sz w:val="24"/>
          <w:szCs w:val="24"/>
        </w:rPr>
        <w:t xml:space="preserve">The annual public reporting and recordkeeping burden for this collection of information is estimated to average </w:t>
      </w:r>
      <w:r w:rsidR="00943A93">
        <w:rPr>
          <w:sz w:val="24"/>
          <w:szCs w:val="24"/>
        </w:rPr>
        <w:t xml:space="preserve">118 </w:t>
      </w:r>
      <w:r w:rsidR="009C5B0A">
        <w:rPr>
          <w:rStyle w:val="CommentReference"/>
        </w:rPr>
        <w:commentReference w:id="2"/>
      </w:r>
      <w:r w:rsidR="00943A93">
        <w:rPr>
          <w:rStyle w:val="CommentReference"/>
        </w:rPr>
        <w:commentReference w:id="3"/>
      </w:r>
      <w:r w:rsidR="008C21E0">
        <w:rPr>
          <w:color w:val="000000"/>
          <w:sz w:val="24"/>
          <w:szCs w:val="24"/>
        </w:rPr>
        <w:t xml:space="preserve">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14:paraId="7BBEDE2A" w14:textId="77777777" w:rsidR="008C21E0" w:rsidRDefault="008C21E0" w:rsidP="008C21E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14:paraId="645DEB2A" w14:textId="77777777" w:rsidR="008C21E0" w:rsidRDefault="008C21E0" w:rsidP="008C21E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sz w:val="24"/>
          <w:szCs w:val="24"/>
        </w:rPr>
      </w:pPr>
      <w:r>
        <w:rPr>
          <w:color w:val="000000"/>
          <w:sz w:val="24"/>
          <w:szCs w:val="24"/>
        </w:rPr>
        <w:tab/>
      </w:r>
      <w:r>
        <w:rPr>
          <w:color w:val="0F0F0F"/>
          <w:sz w:val="24"/>
          <w:szCs w:val="24"/>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Pr>
          <w:sz w:val="24"/>
          <w:szCs w:val="24"/>
        </w:rPr>
        <w:t>EPA-HQ-OAR-2006-0947</w:t>
      </w:r>
      <w:r>
        <w:rPr>
          <w:color w:val="0F0F0F"/>
          <w:sz w:val="24"/>
          <w:szCs w:val="24"/>
        </w:rPr>
        <w:t xml:space="preserve">, which is available for online viewing at www.regulations.gov, or in person viewing at the Air and Radiation docket in the EPA Docket Center (EPA/DC), EPA West, Room </w:t>
      </w:r>
      <w:r w:rsidR="00BC51DB">
        <w:rPr>
          <w:color w:val="0F0F0F"/>
          <w:sz w:val="24"/>
          <w:szCs w:val="24"/>
        </w:rPr>
        <w:t>3334</w:t>
      </w:r>
      <w:r>
        <w:rPr>
          <w:color w:val="0F0F0F"/>
          <w:sz w:val="24"/>
          <w:szCs w:val="24"/>
        </w:rPr>
        <w:t xml:space="preserve">, 1301 Constitution Avenue, NW, Washington, D.C.  The EPA Docket Center Public Reading Room is open from 8:30 a.m. to 4:30 p.m., Monday through Friday, excluding legal holidays.  The telephone number for the Reading Room is (202) 566-1744, and the telephone number for the Air and Radiation docket is (202) 566-1742.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Pr>
              <w:color w:val="0F0F0F"/>
              <w:sz w:val="24"/>
              <w:szCs w:val="24"/>
            </w:rPr>
            <w:t>725 17th Street, NW</w:t>
          </w:r>
        </w:smartTag>
        <w:r>
          <w:rPr>
            <w:color w:val="0F0F0F"/>
            <w:sz w:val="24"/>
            <w:szCs w:val="24"/>
          </w:rPr>
          <w:t xml:space="preserve">, </w:t>
        </w:r>
        <w:smartTag w:uri="urn:schemas-microsoft-com:office:smarttags" w:element="City">
          <w:r>
            <w:rPr>
              <w:color w:val="0F0F0F"/>
              <w:sz w:val="24"/>
              <w:szCs w:val="24"/>
            </w:rPr>
            <w:t>Washington</w:t>
          </w:r>
        </w:smartTag>
        <w:r>
          <w:rPr>
            <w:color w:val="0F0F0F"/>
            <w:sz w:val="24"/>
            <w:szCs w:val="24"/>
          </w:rPr>
          <w:t xml:space="preserve">, </w:t>
        </w:r>
        <w:smartTag w:uri="urn:schemas-microsoft-com:office:smarttags" w:element="State">
          <w:r>
            <w:rPr>
              <w:color w:val="0F0F0F"/>
              <w:sz w:val="24"/>
              <w:szCs w:val="24"/>
            </w:rPr>
            <w:t>D.C.</w:t>
          </w:r>
        </w:smartTag>
        <w:r>
          <w:rPr>
            <w:color w:val="0F0F0F"/>
            <w:sz w:val="24"/>
            <w:szCs w:val="24"/>
          </w:rPr>
          <w:t xml:space="preserve"> </w:t>
        </w:r>
        <w:smartTag w:uri="urn:schemas-microsoft-com:office:smarttags" w:element="PostalCode">
          <w:r>
            <w:rPr>
              <w:color w:val="0F0F0F"/>
              <w:sz w:val="24"/>
              <w:szCs w:val="24"/>
            </w:rPr>
            <w:t>20503</w:t>
          </w:r>
        </w:smartTag>
      </w:smartTag>
      <w:r>
        <w:rPr>
          <w:color w:val="0F0F0F"/>
          <w:sz w:val="24"/>
          <w:szCs w:val="24"/>
        </w:rPr>
        <w:t>, Attention:  Desk Officer for EPA.  Please include the EPA Docket ID</w:t>
      </w:r>
      <w:r>
        <w:rPr>
          <w:rFonts w:ascii="Courier New" w:hAnsi="Courier New" w:cs="Courier New"/>
          <w:color w:val="0F0F0F"/>
          <w:sz w:val="24"/>
          <w:szCs w:val="24"/>
        </w:rPr>
        <w:t xml:space="preserve"> </w:t>
      </w:r>
      <w:r>
        <w:rPr>
          <w:color w:val="0F0F0F"/>
          <w:sz w:val="24"/>
          <w:szCs w:val="24"/>
        </w:rPr>
        <w:t xml:space="preserve">Number </w:t>
      </w:r>
      <w:r>
        <w:rPr>
          <w:sz w:val="24"/>
          <w:szCs w:val="24"/>
        </w:rPr>
        <w:t>EPA-HQ-OAR-2006-0947</w:t>
      </w:r>
      <w:r>
        <w:rPr>
          <w:color w:val="0F0F0F"/>
          <w:sz w:val="24"/>
          <w:szCs w:val="24"/>
        </w:rPr>
        <w:t xml:space="preserve"> and OMB Control Number 2060-0445 any correspondence.</w:t>
      </w:r>
    </w:p>
    <w:p w14:paraId="0213987B" w14:textId="77777777" w:rsidR="008C21E0" w:rsidRDefault="008C21E0" w:rsidP="008C21E0">
      <w:pPr>
        <w:widowControl/>
        <w:numPr>
          <w:ilvl w:val="12"/>
          <w:numId w:val="0"/>
        </w:numPr>
        <w:tabs>
          <w:tab w:val="left" w:pos="-1440"/>
          <w:tab w:val="left" w:pos="-720"/>
          <w:tab w:val="left" w:pos="426"/>
          <w:tab w:val="left" w:pos="960"/>
          <w:tab w:val="left" w:pos="1560"/>
          <w:tab w:val="left" w:pos="2160"/>
          <w:tab w:val="left" w:pos="2760"/>
          <w:tab w:val="left" w:pos="3360"/>
          <w:tab w:val="left" w:pos="6480"/>
          <w:tab w:val="left" w:pos="8640"/>
          <w:tab w:val="left" w:pos="10080"/>
        </w:tabs>
        <w:rPr>
          <w:sz w:val="24"/>
          <w:szCs w:val="24"/>
        </w:rPr>
      </w:pPr>
    </w:p>
    <w:p w14:paraId="44CD6194" w14:textId="77777777" w:rsidR="008C21E0" w:rsidRDefault="008C21E0" w:rsidP="008C21E0">
      <w:pPr>
        <w:widowControl/>
        <w:numPr>
          <w:ilvl w:val="12"/>
          <w:numId w:val="0"/>
        </w:numPr>
        <w:tabs>
          <w:tab w:val="left" w:pos="-1440"/>
          <w:tab w:val="left" w:pos="-720"/>
          <w:tab w:val="left" w:pos="426"/>
          <w:tab w:val="left" w:pos="960"/>
          <w:tab w:val="left" w:pos="1560"/>
          <w:tab w:val="left" w:pos="2160"/>
          <w:tab w:val="left" w:pos="2760"/>
          <w:tab w:val="left" w:pos="3360"/>
          <w:tab w:val="left" w:pos="6480"/>
          <w:tab w:val="left" w:pos="8640"/>
          <w:tab w:val="left" w:pos="10080"/>
        </w:tabs>
        <w:rPr>
          <w:sz w:val="24"/>
          <w:szCs w:val="24"/>
        </w:rPr>
      </w:pPr>
    </w:p>
    <w:p w14:paraId="16253BC5" w14:textId="77777777" w:rsidR="007655E5" w:rsidRDefault="007655E5">
      <w:pPr>
        <w:widowControl/>
        <w:numPr>
          <w:ilvl w:val="12"/>
          <w:numId w:val="0"/>
        </w:numPr>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D72A63F" w14:textId="77777777" w:rsidR="004C1961" w:rsidRDefault="004C1961" w:rsidP="00BD387B">
      <w:pPr>
        <w:widowControl/>
        <w:numPr>
          <w:ilvl w:val="12"/>
          <w:numId w:val="0"/>
        </w:numPr>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sectPr w:rsidR="004C1961" w:rsidSect="00886008">
      <w:headerReference w:type="default" r:id="rId14"/>
      <w:pgSz w:w="12240" w:h="15840"/>
      <w:pgMar w:top="1440" w:right="1440" w:bottom="1440" w:left="1440" w:header="720" w:footer="720" w:gutter="0"/>
      <w:cols w:space="720"/>
      <w:noEndnote/>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Lifland, David" w:date="2017-08-29T16:29:00Z" w:initials="DTL">
    <w:p w14:paraId="75C7D4FD" w14:textId="68FE7FA0" w:rsidR="003C72AD" w:rsidRDefault="003C72AD">
      <w:pPr>
        <w:pStyle w:val="CommentText"/>
      </w:pPr>
      <w:r>
        <w:rPr>
          <w:rStyle w:val="CommentReference"/>
        </w:rPr>
        <w:annotationRef/>
      </w:r>
      <w:r>
        <w:t>Why is this 0 respondents? Why is the total number of respondents in lines 6a, 6b, 6c, and 6d of this column only 376 instead of 460?.</w:t>
      </w:r>
    </w:p>
  </w:comment>
  <w:comment w:id="2" w:author="Lifland, David" w:date="2017-08-29T16:29:00Z" w:initials="DTL">
    <w:p w14:paraId="4EDD35D6" w14:textId="6D253A2C" w:rsidR="009C5B0A" w:rsidRDefault="009C5B0A">
      <w:pPr>
        <w:pStyle w:val="CommentText"/>
      </w:pPr>
      <w:r>
        <w:rPr>
          <w:rStyle w:val="CommentReference"/>
        </w:rPr>
        <w:annotationRef/>
      </w:r>
      <w:r w:rsidR="00C716CE">
        <w:t>Is this supposed to be average per RESPONSE or average per RESPONDENT?  In either case, u</w:t>
      </w:r>
      <w:r>
        <w:t xml:space="preserve">pdate after </w:t>
      </w:r>
      <w:r w:rsidR="00C716CE">
        <w:t>numbers above are updated.</w:t>
      </w:r>
    </w:p>
  </w:comment>
  <w:comment w:id="3" w:author="Chang, Ming" w:date="2017-08-29T16:29:00Z" w:initials="CM">
    <w:p w14:paraId="25376D59" w14:textId="28EF11E2" w:rsidR="00943A93" w:rsidRDefault="00943A93">
      <w:pPr>
        <w:pStyle w:val="CommentText"/>
      </w:pPr>
      <w:r>
        <w:rPr>
          <w:rStyle w:val="CommentReference"/>
        </w:rPr>
        <w:annotationRef/>
      </w:r>
      <w:r>
        <w:t>189261 total hours burden/1600total hours response =118 hours per response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5C7D4FD" w15:done="0"/>
  <w15:commentEx w15:paraId="4EDD35D6" w15:done="0"/>
  <w15:commentEx w15:paraId="25376D59" w15:paraIdParent="4EDD35D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BB6C4D" w14:textId="77777777" w:rsidR="00FA127E" w:rsidRDefault="00FA127E">
      <w:r>
        <w:separator/>
      </w:r>
    </w:p>
  </w:endnote>
  <w:endnote w:type="continuationSeparator" w:id="0">
    <w:p w14:paraId="787B98CE" w14:textId="77777777" w:rsidR="00FA127E" w:rsidRDefault="00FA1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MathA">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D4D83" w14:textId="77777777" w:rsidR="00116F2C" w:rsidRDefault="00116F2C" w:rsidP="00886008">
    <w:pPr>
      <w:pStyle w:val="Footer"/>
      <w:jc w:val="center"/>
    </w:pPr>
  </w:p>
  <w:p w14:paraId="1A2384B1" w14:textId="2EECAB9D" w:rsidR="00116F2C" w:rsidRDefault="00116F2C" w:rsidP="00886008">
    <w:pPr>
      <w:pStyle w:val="Footer"/>
      <w:jc w:val="center"/>
    </w:pPr>
    <w:r>
      <w:fldChar w:fldCharType="begin"/>
    </w:r>
    <w:r>
      <w:instrText xml:space="preserve"> PAGE   \* MERGEFORMAT </w:instrText>
    </w:r>
    <w:r>
      <w:fldChar w:fldCharType="separate"/>
    </w:r>
    <w:r w:rsidR="00B4474A">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9EC143" w14:textId="77777777" w:rsidR="00FA127E" w:rsidRDefault="00FA127E">
      <w:r>
        <w:separator/>
      </w:r>
    </w:p>
  </w:footnote>
  <w:footnote w:type="continuationSeparator" w:id="0">
    <w:p w14:paraId="268DBF5B" w14:textId="77777777" w:rsidR="00FA127E" w:rsidRDefault="00FA1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36EFEB" w14:textId="77777777" w:rsidR="00116F2C" w:rsidRPr="0012308D" w:rsidRDefault="00116F2C" w:rsidP="0012308D">
    <w:pPr>
      <w:pStyle w:val="Header"/>
      <w:ind w:left="7920"/>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61EF85" w14:textId="77777777" w:rsidR="00116F2C" w:rsidRPr="0012308D" w:rsidRDefault="00116F2C" w:rsidP="0012308D">
    <w:pPr>
      <w:pStyle w:val="Header"/>
      <w:jc w:val="right"/>
      <w:rPr>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352D92" w14:textId="77777777" w:rsidR="00116F2C" w:rsidRDefault="00116F2C">
    <w:pPr>
      <w:rPr>
        <w:sz w:val="24"/>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FA896" w14:textId="77777777" w:rsidR="00116F2C" w:rsidRDefault="00116F2C">
    <w:pP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1B4434A"/>
    <w:lvl w:ilvl="0">
      <w:numFmt w:val="bullet"/>
      <w:lvlText w:val="*"/>
      <w:lvlJc w:val="left"/>
    </w:lvl>
  </w:abstractNum>
  <w:abstractNum w:abstractNumId="1">
    <w:nsid w:val="055D7621"/>
    <w:multiLevelType w:val="hybridMultilevel"/>
    <w:tmpl w:val="3C808394"/>
    <w:lvl w:ilvl="0" w:tplc="1DDAAFD6">
      <w:numFmt w:val="bullet"/>
      <w:lvlText w:val=""/>
      <w:lvlJc w:val="left"/>
      <w:pPr>
        <w:ind w:left="720" w:hanging="360"/>
      </w:pPr>
      <w:rPr>
        <w:rFonts w:ascii="WP MathA" w:eastAsia="Times New Roman" w:hAnsi="WP MathA" w:cs="WP Math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B1059C"/>
    <w:multiLevelType w:val="hybridMultilevel"/>
    <w:tmpl w:val="DE5AD7D2"/>
    <w:lvl w:ilvl="0" w:tplc="49FA64B6">
      <w:numFmt w:val="bullet"/>
      <w:lvlText w:val=""/>
      <w:lvlJc w:val="left"/>
      <w:pPr>
        <w:ind w:left="573" w:hanging="360"/>
      </w:pPr>
      <w:rPr>
        <w:rFonts w:ascii="WP MathA" w:eastAsia="Times New Roman" w:hAnsi="WP MathA" w:cs="WP Math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7167B1"/>
    <w:multiLevelType w:val="multilevel"/>
    <w:tmpl w:val="8786B380"/>
    <w:lvl w:ilvl="0">
      <w:start w:val="6"/>
      <w:numFmt w:val="decimal"/>
      <w:lvlText w:val="%1"/>
      <w:lvlJc w:val="left"/>
      <w:pPr>
        <w:tabs>
          <w:tab w:val="num" w:pos="600"/>
        </w:tabs>
        <w:ind w:left="600" w:hanging="600"/>
      </w:pPr>
      <w:rPr>
        <w:rFonts w:hint="default"/>
      </w:rPr>
    </w:lvl>
    <w:lvl w:ilvl="1">
      <w:start w:val="3"/>
      <w:numFmt w:val="decimal"/>
      <w:lvlText w:val="%1.%2"/>
      <w:lvlJc w:val="left"/>
      <w:pPr>
        <w:tabs>
          <w:tab w:val="num" w:pos="960"/>
        </w:tabs>
        <w:ind w:left="960" w:hanging="60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nsid w:val="18B04F79"/>
    <w:multiLevelType w:val="multilevel"/>
    <w:tmpl w:val="25F0E7B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
    <w:nsid w:val="28F74261"/>
    <w:multiLevelType w:val="hybridMultilevel"/>
    <w:tmpl w:val="892260BA"/>
    <w:lvl w:ilvl="0" w:tplc="64188AD4">
      <w:numFmt w:val="bullet"/>
      <w:lvlText w:val=""/>
      <w:lvlJc w:val="left"/>
      <w:pPr>
        <w:ind w:left="573" w:hanging="360"/>
      </w:pPr>
      <w:rPr>
        <w:rFonts w:ascii="WP MathA" w:eastAsia="Times New Roman" w:hAnsi="WP MathA" w:cs="WP MathA" w:hint="default"/>
      </w:rPr>
    </w:lvl>
    <w:lvl w:ilvl="1" w:tplc="04090003" w:tentative="1">
      <w:start w:val="1"/>
      <w:numFmt w:val="bullet"/>
      <w:lvlText w:val="o"/>
      <w:lvlJc w:val="left"/>
      <w:pPr>
        <w:ind w:left="1293" w:hanging="360"/>
      </w:pPr>
      <w:rPr>
        <w:rFonts w:ascii="Courier New" w:hAnsi="Courier New" w:cs="Courier New" w:hint="default"/>
      </w:rPr>
    </w:lvl>
    <w:lvl w:ilvl="2" w:tplc="04090005" w:tentative="1">
      <w:start w:val="1"/>
      <w:numFmt w:val="bullet"/>
      <w:lvlText w:val=""/>
      <w:lvlJc w:val="left"/>
      <w:pPr>
        <w:ind w:left="2013" w:hanging="360"/>
      </w:pPr>
      <w:rPr>
        <w:rFonts w:ascii="Wingdings" w:hAnsi="Wingdings" w:hint="default"/>
      </w:rPr>
    </w:lvl>
    <w:lvl w:ilvl="3" w:tplc="04090001" w:tentative="1">
      <w:start w:val="1"/>
      <w:numFmt w:val="bullet"/>
      <w:lvlText w:val=""/>
      <w:lvlJc w:val="left"/>
      <w:pPr>
        <w:ind w:left="2733" w:hanging="360"/>
      </w:pPr>
      <w:rPr>
        <w:rFonts w:ascii="Symbol" w:hAnsi="Symbol" w:hint="default"/>
      </w:rPr>
    </w:lvl>
    <w:lvl w:ilvl="4" w:tplc="04090003" w:tentative="1">
      <w:start w:val="1"/>
      <w:numFmt w:val="bullet"/>
      <w:lvlText w:val="o"/>
      <w:lvlJc w:val="left"/>
      <w:pPr>
        <w:ind w:left="3453" w:hanging="360"/>
      </w:pPr>
      <w:rPr>
        <w:rFonts w:ascii="Courier New" w:hAnsi="Courier New" w:cs="Courier New" w:hint="default"/>
      </w:rPr>
    </w:lvl>
    <w:lvl w:ilvl="5" w:tplc="04090005" w:tentative="1">
      <w:start w:val="1"/>
      <w:numFmt w:val="bullet"/>
      <w:lvlText w:val=""/>
      <w:lvlJc w:val="left"/>
      <w:pPr>
        <w:ind w:left="4173" w:hanging="360"/>
      </w:pPr>
      <w:rPr>
        <w:rFonts w:ascii="Wingdings" w:hAnsi="Wingdings" w:hint="default"/>
      </w:rPr>
    </w:lvl>
    <w:lvl w:ilvl="6" w:tplc="04090001" w:tentative="1">
      <w:start w:val="1"/>
      <w:numFmt w:val="bullet"/>
      <w:lvlText w:val=""/>
      <w:lvlJc w:val="left"/>
      <w:pPr>
        <w:ind w:left="4893" w:hanging="360"/>
      </w:pPr>
      <w:rPr>
        <w:rFonts w:ascii="Symbol" w:hAnsi="Symbol" w:hint="default"/>
      </w:rPr>
    </w:lvl>
    <w:lvl w:ilvl="7" w:tplc="04090003" w:tentative="1">
      <w:start w:val="1"/>
      <w:numFmt w:val="bullet"/>
      <w:lvlText w:val="o"/>
      <w:lvlJc w:val="left"/>
      <w:pPr>
        <w:ind w:left="5613" w:hanging="360"/>
      </w:pPr>
      <w:rPr>
        <w:rFonts w:ascii="Courier New" w:hAnsi="Courier New" w:cs="Courier New" w:hint="default"/>
      </w:rPr>
    </w:lvl>
    <w:lvl w:ilvl="8" w:tplc="04090005" w:tentative="1">
      <w:start w:val="1"/>
      <w:numFmt w:val="bullet"/>
      <w:lvlText w:val=""/>
      <w:lvlJc w:val="left"/>
      <w:pPr>
        <w:ind w:left="6333" w:hanging="360"/>
      </w:pPr>
      <w:rPr>
        <w:rFonts w:ascii="Wingdings" w:hAnsi="Wingdings" w:hint="default"/>
      </w:rPr>
    </w:lvl>
  </w:abstractNum>
  <w:abstractNum w:abstractNumId="6">
    <w:nsid w:val="2A3160D9"/>
    <w:multiLevelType w:val="hybridMultilevel"/>
    <w:tmpl w:val="32D213A8"/>
    <w:lvl w:ilvl="0" w:tplc="04090001">
      <w:start w:val="1"/>
      <w:numFmt w:val="bullet"/>
      <w:lvlText w:val=""/>
      <w:lvlJc w:val="left"/>
      <w:pPr>
        <w:ind w:left="720" w:hanging="360"/>
      </w:pPr>
      <w:rPr>
        <w:rFonts w:ascii="Symbol" w:hAnsi="Symbol" w:hint="default"/>
      </w:rPr>
    </w:lvl>
    <w:lvl w:ilvl="1" w:tplc="9050D088">
      <w:numFmt w:val="bullet"/>
      <w:lvlText w:val=""/>
      <w:lvlJc w:val="left"/>
      <w:pPr>
        <w:ind w:left="1440" w:hanging="360"/>
      </w:pPr>
      <w:rPr>
        <w:rFonts w:ascii="WP MathA" w:eastAsia="Times New Roman" w:hAnsi="WP MathA" w:cs="WP Math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B66423"/>
    <w:multiLevelType w:val="multilevel"/>
    <w:tmpl w:val="BCA455B4"/>
    <w:lvl w:ilvl="0">
      <w:start w:val="6"/>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37DA761C"/>
    <w:multiLevelType w:val="multilevel"/>
    <w:tmpl w:val="25F0E7B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9">
    <w:nsid w:val="57202EC0"/>
    <w:multiLevelType w:val="hybridMultilevel"/>
    <w:tmpl w:val="5B240680"/>
    <w:lvl w:ilvl="0" w:tplc="04090001">
      <w:start w:val="1"/>
      <w:numFmt w:val="bullet"/>
      <w:lvlText w:val=""/>
      <w:lvlJc w:val="left"/>
      <w:pPr>
        <w:ind w:left="933" w:hanging="360"/>
      </w:pPr>
      <w:rPr>
        <w:rFonts w:ascii="Symbol" w:hAnsi="Symbol" w:hint="default"/>
      </w:rPr>
    </w:lvl>
    <w:lvl w:ilvl="1" w:tplc="04090003" w:tentative="1">
      <w:start w:val="1"/>
      <w:numFmt w:val="bullet"/>
      <w:lvlText w:val="o"/>
      <w:lvlJc w:val="left"/>
      <w:pPr>
        <w:ind w:left="1653" w:hanging="360"/>
      </w:pPr>
      <w:rPr>
        <w:rFonts w:ascii="Courier New" w:hAnsi="Courier New" w:cs="Courier New" w:hint="default"/>
      </w:rPr>
    </w:lvl>
    <w:lvl w:ilvl="2" w:tplc="04090005" w:tentative="1">
      <w:start w:val="1"/>
      <w:numFmt w:val="bullet"/>
      <w:lvlText w:val=""/>
      <w:lvlJc w:val="left"/>
      <w:pPr>
        <w:ind w:left="2373" w:hanging="360"/>
      </w:pPr>
      <w:rPr>
        <w:rFonts w:ascii="Wingdings" w:hAnsi="Wingdings" w:hint="default"/>
      </w:rPr>
    </w:lvl>
    <w:lvl w:ilvl="3" w:tplc="04090001" w:tentative="1">
      <w:start w:val="1"/>
      <w:numFmt w:val="bullet"/>
      <w:lvlText w:val=""/>
      <w:lvlJc w:val="left"/>
      <w:pPr>
        <w:ind w:left="3093" w:hanging="360"/>
      </w:pPr>
      <w:rPr>
        <w:rFonts w:ascii="Symbol" w:hAnsi="Symbol" w:hint="default"/>
      </w:rPr>
    </w:lvl>
    <w:lvl w:ilvl="4" w:tplc="04090003" w:tentative="1">
      <w:start w:val="1"/>
      <w:numFmt w:val="bullet"/>
      <w:lvlText w:val="o"/>
      <w:lvlJc w:val="left"/>
      <w:pPr>
        <w:ind w:left="3813" w:hanging="360"/>
      </w:pPr>
      <w:rPr>
        <w:rFonts w:ascii="Courier New" w:hAnsi="Courier New" w:cs="Courier New" w:hint="default"/>
      </w:rPr>
    </w:lvl>
    <w:lvl w:ilvl="5" w:tplc="04090005" w:tentative="1">
      <w:start w:val="1"/>
      <w:numFmt w:val="bullet"/>
      <w:lvlText w:val=""/>
      <w:lvlJc w:val="left"/>
      <w:pPr>
        <w:ind w:left="4533" w:hanging="360"/>
      </w:pPr>
      <w:rPr>
        <w:rFonts w:ascii="Wingdings" w:hAnsi="Wingdings" w:hint="default"/>
      </w:rPr>
    </w:lvl>
    <w:lvl w:ilvl="6" w:tplc="04090001" w:tentative="1">
      <w:start w:val="1"/>
      <w:numFmt w:val="bullet"/>
      <w:lvlText w:val=""/>
      <w:lvlJc w:val="left"/>
      <w:pPr>
        <w:ind w:left="5253" w:hanging="360"/>
      </w:pPr>
      <w:rPr>
        <w:rFonts w:ascii="Symbol" w:hAnsi="Symbol" w:hint="default"/>
      </w:rPr>
    </w:lvl>
    <w:lvl w:ilvl="7" w:tplc="04090003" w:tentative="1">
      <w:start w:val="1"/>
      <w:numFmt w:val="bullet"/>
      <w:lvlText w:val="o"/>
      <w:lvlJc w:val="left"/>
      <w:pPr>
        <w:ind w:left="5973" w:hanging="360"/>
      </w:pPr>
      <w:rPr>
        <w:rFonts w:ascii="Courier New" w:hAnsi="Courier New" w:cs="Courier New" w:hint="default"/>
      </w:rPr>
    </w:lvl>
    <w:lvl w:ilvl="8" w:tplc="04090005" w:tentative="1">
      <w:start w:val="1"/>
      <w:numFmt w:val="bullet"/>
      <w:lvlText w:val=""/>
      <w:lvlJc w:val="left"/>
      <w:pPr>
        <w:ind w:left="6693" w:hanging="360"/>
      </w:pPr>
      <w:rPr>
        <w:rFonts w:ascii="Wingdings" w:hAnsi="Wingdings" w:hint="default"/>
      </w:rPr>
    </w:lvl>
  </w:abstractNum>
  <w:abstractNum w:abstractNumId="10">
    <w:nsid w:val="57E53390"/>
    <w:multiLevelType w:val="hybridMultilevel"/>
    <w:tmpl w:val="C1AC9130"/>
    <w:lvl w:ilvl="0" w:tplc="04090001">
      <w:start w:val="1"/>
      <w:numFmt w:val="bullet"/>
      <w:lvlText w:val=""/>
      <w:lvlJc w:val="left"/>
      <w:pPr>
        <w:ind w:left="933" w:hanging="360"/>
      </w:pPr>
      <w:rPr>
        <w:rFonts w:ascii="Symbol" w:hAnsi="Symbol" w:hint="default"/>
      </w:rPr>
    </w:lvl>
    <w:lvl w:ilvl="1" w:tplc="04090003" w:tentative="1">
      <w:start w:val="1"/>
      <w:numFmt w:val="bullet"/>
      <w:lvlText w:val="o"/>
      <w:lvlJc w:val="left"/>
      <w:pPr>
        <w:ind w:left="1653" w:hanging="360"/>
      </w:pPr>
      <w:rPr>
        <w:rFonts w:ascii="Courier New" w:hAnsi="Courier New" w:cs="Courier New" w:hint="default"/>
      </w:rPr>
    </w:lvl>
    <w:lvl w:ilvl="2" w:tplc="04090005" w:tentative="1">
      <w:start w:val="1"/>
      <w:numFmt w:val="bullet"/>
      <w:lvlText w:val=""/>
      <w:lvlJc w:val="left"/>
      <w:pPr>
        <w:ind w:left="2373" w:hanging="360"/>
      </w:pPr>
      <w:rPr>
        <w:rFonts w:ascii="Wingdings" w:hAnsi="Wingdings" w:hint="default"/>
      </w:rPr>
    </w:lvl>
    <w:lvl w:ilvl="3" w:tplc="04090001" w:tentative="1">
      <w:start w:val="1"/>
      <w:numFmt w:val="bullet"/>
      <w:lvlText w:val=""/>
      <w:lvlJc w:val="left"/>
      <w:pPr>
        <w:ind w:left="3093" w:hanging="360"/>
      </w:pPr>
      <w:rPr>
        <w:rFonts w:ascii="Symbol" w:hAnsi="Symbol" w:hint="default"/>
      </w:rPr>
    </w:lvl>
    <w:lvl w:ilvl="4" w:tplc="04090003" w:tentative="1">
      <w:start w:val="1"/>
      <w:numFmt w:val="bullet"/>
      <w:lvlText w:val="o"/>
      <w:lvlJc w:val="left"/>
      <w:pPr>
        <w:ind w:left="3813" w:hanging="360"/>
      </w:pPr>
      <w:rPr>
        <w:rFonts w:ascii="Courier New" w:hAnsi="Courier New" w:cs="Courier New" w:hint="default"/>
      </w:rPr>
    </w:lvl>
    <w:lvl w:ilvl="5" w:tplc="04090005" w:tentative="1">
      <w:start w:val="1"/>
      <w:numFmt w:val="bullet"/>
      <w:lvlText w:val=""/>
      <w:lvlJc w:val="left"/>
      <w:pPr>
        <w:ind w:left="4533" w:hanging="360"/>
      </w:pPr>
      <w:rPr>
        <w:rFonts w:ascii="Wingdings" w:hAnsi="Wingdings" w:hint="default"/>
      </w:rPr>
    </w:lvl>
    <w:lvl w:ilvl="6" w:tplc="04090001" w:tentative="1">
      <w:start w:val="1"/>
      <w:numFmt w:val="bullet"/>
      <w:lvlText w:val=""/>
      <w:lvlJc w:val="left"/>
      <w:pPr>
        <w:ind w:left="5253" w:hanging="360"/>
      </w:pPr>
      <w:rPr>
        <w:rFonts w:ascii="Symbol" w:hAnsi="Symbol" w:hint="default"/>
      </w:rPr>
    </w:lvl>
    <w:lvl w:ilvl="7" w:tplc="04090003" w:tentative="1">
      <w:start w:val="1"/>
      <w:numFmt w:val="bullet"/>
      <w:lvlText w:val="o"/>
      <w:lvlJc w:val="left"/>
      <w:pPr>
        <w:ind w:left="5973" w:hanging="360"/>
      </w:pPr>
      <w:rPr>
        <w:rFonts w:ascii="Courier New" w:hAnsi="Courier New" w:cs="Courier New" w:hint="default"/>
      </w:rPr>
    </w:lvl>
    <w:lvl w:ilvl="8" w:tplc="04090005" w:tentative="1">
      <w:start w:val="1"/>
      <w:numFmt w:val="bullet"/>
      <w:lvlText w:val=""/>
      <w:lvlJc w:val="left"/>
      <w:pPr>
        <w:ind w:left="6693" w:hanging="360"/>
      </w:pPr>
      <w:rPr>
        <w:rFonts w:ascii="Wingdings" w:hAnsi="Wingdings" w:hint="default"/>
      </w:rPr>
    </w:lvl>
  </w:abstractNum>
  <w:abstractNum w:abstractNumId="11">
    <w:nsid w:val="5F237A96"/>
    <w:multiLevelType w:val="hybridMultilevel"/>
    <w:tmpl w:val="D3142BEA"/>
    <w:lvl w:ilvl="0" w:tplc="82A20526">
      <w:start w:val="1"/>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EA462D"/>
    <w:multiLevelType w:val="hybridMultilevel"/>
    <w:tmpl w:val="D60638F0"/>
    <w:lvl w:ilvl="0" w:tplc="75D85A7C">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3">
    <w:nsid w:val="64820DD7"/>
    <w:multiLevelType w:val="hybridMultilevel"/>
    <w:tmpl w:val="096E276A"/>
    <w:lvl w:ilvl="0" w:tplc="49FA64B6">
      <w:numFmt w:val="bullet"/>
      <w:lvlText w:val=""/>
      <w:lvlJc w:val="left"/>
      <w:pPr>
        <w:ind w:left="573" w:hanging="360"/>
      </w:pPr>
      <w:rPr>
        <w:rFonts w:ascii="WP MathA" w:eastAsia="Times New Roman" w:hAnsi="WP MathA" w:cs="WP MathA" w:hint="default"/>
      </w:rPr>
    </w:lvl>
    <w:lvl w:ilvl="1" w:tplc="04090003" w:tentative="1">
      <w:start w:val="1"/>
      <w:numFmt w:val="bullet"/>
      <w:lvlText w:val="o"/>
      <w:lvlJc w:val="left"/>
      <w:pPr>
        <w:ind w:left="1293" w:hanging="360"/>
      </w:pPr>
      <w:rPr>
        <w:rFonts w:ascii="Courier New" w:hAnsi="Courier New" w:cs="Courier New" w:hint="default"/>
      </w:rPr>
    </w:lvl>
    <w:lvl w:ilvl="2" w:tplc="04090005" w:tentative="1">
      <w:start w:val="1"/>
      <w:numFmt w:val="bullet"/>
      <w:lvlText w:val=""/>
      <w:lvlJc w:val="left"/>
      <w:pPr>
        <w:ind w:left="2013" w:hanging="360"/>
      </w:pPr>
      <w:rPr>
        <w:rFonts w:ascii="Wingdings" w:hAnsi="Wingdings" w:hint="default"/>
      </w:rPr>
    </w:lvl>
    <w:lvl w:ilvl="3" w:tplc="04090001" w:tentative="1">
      <w:start w:val="1"/>
      <w:numFmt w:val="bullet"/>
      <w:lvlText w:val=""/>
      <w:lvlJc w:val="left"/>
      <w:pPr>
        <w:ind w:left="2733" w:hanging="360"/>
      </w:pPr>
      <w:rPr>
        <w:rFonts w:ascii="Symbol" w:hAnsi="Symbol" w:hint="default"/>
      </w:rPr>
    </w:lvl>
    <w:lvl w:ilvl="4" w:tplc="04090003" w:tentative="1">
      <w:start w:val="1"/>
      <w:numFmt w:val="bullet"/>
      <w:lvlText w:val="o"/>
      <w:lvlJc w:val="left"/>
      <w:pPr>
        <w:ind w:left="3453" w:hanging="360"/>
      </w:pPr>
      <w:rPr>
        <w:rFonts w:ascii="Courier New" w:hAnsi="Courier New" w:cs="Courier New" w:hint="default"/>
      </w:rPr>
    </w:lvl>
    <w:lvl w:ilvl="5" w:tplc="04090005" w:tentative="1">
      <w:start w:val="1"/>
      <w:numFmt w:val="bullet"/>
      <w:lvlText w:val=""/>
      <w:lvlJc w:val="left"/>
      <w:pPr>
        <w:ind w:left="4173" w:hanging="360"/>
      </w:pPr>
      <w:rPr>
        <w:rFonts w:ascii="Wingdings" w:hAnsi="Wingdings" w:hint="default"/>
      </w:rPr>
    </w:lvl>
    <w:lvl w:ilvl="6" w:tplc="04090001" w:tentative="1">
      <w:start w:val="1"/>
      <w:numFmt w:val="bullet"/>
      <w:lvlText w:val=""/>
      <w:lvlJc w:val="left"/>
      <w:pPr>
        <w:ind w:left="4893" w:hanging="360"/>
      </w:pPr>
      <w:rPr>
        <w:rFonts w:ascii="Symbol" w:hAnsi="Symbol" w:hint="default"/>
      </w:rPr>
    </w:lvl>
    <w:lvl w:ilvl="7" w:tplc="04090003" w:tentative="1">
      <w:start w:val="1"/>
      <w:numFmt w:val="bullet"/>
      <w:lvlText w:val="o"/>
      <w:lvlJc w:val="left"/>
      <w:pPr>
        <w:ind w:left="5613" w:hanging="360"/>
      </w:pPr>
      <w:rPr>
        <w:rFonts w:ascii="Courier New" w:hAnsi="Courier New" w:cs="Courier New" w:hint="default"/>
      </w:rPr>
    </w:lvl>
    <w:lvl w:ilvl="8" w:tplc="04090005" w:tentative="1">
      <w:start w:val="1"/>
      <w:numFmt w:val="bullet"/>
      <w:lvlText w:val=""/>
      <w:lvlJc w:val="left"/>
      <w:pPr>
        <w:ind w:left="6333" w:hanging="360"/>
      </w:pPr>
      <w:rPr>
        <w:rFonts w:ascii="Wingdings" w:hAnsi="Wingdings" w:hint="default"/>
      </w:rPr>
    </w:lvl>
  </w:abstractNum>
  <w:abstractNum w:abstractNumId="14">
    <w:nsid w:val="64833A62"/>
    <w:multiLevelType w:val="multilevel"/>
    <w:tmpl w:val="EF227AE6"/>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5">
    <w:nsid w:val="6EC249BC"/>
    <w:multiLevelType w:val="hybridMultilevel"/>
    <w:tmpl w:val="8EDAC322"/>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9F16CBE"/>
    <w:multiLevelType w:val="hybridMultilevel"/>
    <w:tmpl w:val="F35252E4"/>
    <w:lvl w:ilvl="0" w:tplc="FA2C12D0">
      <w:start w:val="1"/>
      <w:numFmt w:val="decimal"/>
      <w:lvlText w:val="%1."/>
      <w:lvlJc w:val="left"/>
      <w:pPr>
        <w:ind w:left="693" w:hanging="360"/>
      </w:pPr>
      <w:rPr>
        <w:rFonts w:hint="default"/>
      </w:rPr>
    </w:lvl>
    <w:lvl w:ilvl="1" w:tplc="04090019" w:tentative="1">
      <w:start w:val="1"/>
      <w:numFmt w:val="lowerLetter"/>
      <w:lvlText w:val="%2."/>
      <w:lvlJc w:val="left"/>
      <w:pPr>
        <w:ind w:left="1413" w:hanging="360"/>
      </w:pPr>
    </w:lvl>
    <w:lvl w:ilvl="2" w:tplc="0409001B" w:tentative="1">
      <w:start w:val="1"/>
      <w:numFmt w:val="lowerRoman"/>
      <w:lvlText w:val="%3."/>
      <w:lvlJc w:val="right"/>
      <w:pPr>
        <w:ind w:left="2133" w:hanging="180"/>
      </w:pPr>
    </w:lvl>
    <w:lvl w:ilvl="3" w:tplc="0409000F" w:tentative="1">
      <w:start w:val="1"/>
      <w:numFmt w:val="decimal"/>
      <w:lvlText w:val="%4."/>
      <w:lvlJc w:val="left"/>
      <w:pPr>
        <w:ind w:left="2853" w:hanging="360"/>
      </w:pPr>
    </w:lvl>
    <w:lvl w:ilvl="4" w:tplc="04090019" w:tentative="1">
      <w:start w:val="1"/>
      <w:numFmt w:val="lowerLetter"/>
      <w:lvlText w:val="%5."/>
      <w:lvlJc w:val="left"/>
      <w:pPr>
        <w:ind w:left="3573" w:hanging="360"/>
      </w:pPr>
    </w:lvl>
    <w:lvl w:ilvl="5" w:tplc="0409001B" w:tentative="1">
      <w:start w:val="1"/>
      <w:numFmt w:val="lowerRoman"/>
      <w:lvlText w:val="%6."/>
      <w:lvlJc w:val="right"/>
      <w:pPr>
        <w:ind w:left="4293" w:hanging="180"/>
      </w:pPr>
    </w:lvl>
    <w:lvl w:ilvl="6" w:tplc="0409000F" w:tentative="1">
      <w:start w:val="1"/>
      <w:numFmt w:val="decimal"/>
      <w:lvlText w:val="%7."/>
      <w:lvlJc w:val="left"/>
      <w:pPr>
        <w:ind w:left="5013" w:hanging="360"/>
      </w:pPr>
    </w:lvl>
    <w:lvl w:ilvl="7" w:tplc="04090019" w:tentative="1">
      <w:start w:val="1"/>
      <w:numFmt w:val="lowerLetter"/>
      <w:lvlText w:val="%8."/>
      <w:lvlJc w:val="left"/>
      <w:pPr>
        <w:ind w:left="5733" w:hanging="360"/>
      </w:pPr>
    </w:lvl>
    <w:lvl w:ilvl="8" w:tplc="0409001B" w:tentative="1">
      <w:start w:val="1"/>
      <w:numFmt w:val="lowerRoman"/>
      <w:lvlText w:val="%9."/>
      <w:lvlJc w:val="right"/>
      <w:pPr>
        <w:ind w:left="6453" w:hanging="180"/>
      </w:pPr>
    </w:lvl>
  </w:abstractNum>
  <w:num w:numId="1">
    <w:abstractNumId w:val="0"/>
    <w:lvlOverride w:ilvl="0">
      <w:lvl w:ilvl="0">
        <w:start w:val="1"/>
        <w:numFmt w:val="bullet"/>
        <w:lvlText w:val="•"/>
        <w:legacy w:legacy="1" w:legacySpace="0" w:legacyIndent="1"/>
        <w:lvlJc w:val="left"/>
        <w:pPr>
          <w:ind w:left="721" w:hanging="1"/>
        </w:pPr>
        <w:rPr>
          <w:rFonts w:ascii="Times New Roman" w:hAnsi="Times New Roman" w:cs="Times New Roman" w:hint="default"/>
        </w:rPr>
      </w:lvl>
    </w:lvlOverride>
  </w:num>
  <w:num w:numId="2">
    <w:abstractNumId w:val="7"/>
  </w:num>
  <w:num w:numId="3">
    <w:abstractNumId w:val="3"/>
  </w:num>
  <w:num w:numId="4">
    <w:abstractNumId w:val="14"/>
  </w:num>
  <w:num w:numId="5">
    <w:abstractNumId w:val="4"/>
  </w:num>
  <w:num w:numId="6">
    <w:abstractNumId w:val="8"/>
  </w:num>
  <w:num w:numId="7">
    <w:abstractNumId w:val="10"/>
  </w:num>
  <w:num w:numId="8">
    <w:abstractNumId w:val="5"/>
  </w:num>
  <w:num w:numId="9">
    <w:abstractNumId w:val="6"/>
  </w:num>
  <w:num w:numId="10">
    <w:abstractNumId w:val="9"/>
  </w:num>
  <w:num w:numId="11">
    <w:abstractNumId w:val="13"/>
  </w:num>
  <w:num w:numId="12">
    <w:abstractNumId w:val="2"/>
  </w:num>
  <w:num w:numId="13">
    <w:abstractNumId w:val="1"/>
  </w:num>
  <w:num w:numId="14">
    <w:abstractNumId w:val="15"/>
  </w:num>
  <w:num w:numId="15">
    <w:abstractNumId w:val="16"/>
  </w:num>
  <w:num w:numId="16">
    <w:abstractNumId w:val="12"/>
  </w:num>
  <w:num w:numId="1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fland, David">
    <w15:presenceInfo w15:providerId="None" w15:userId="Lifland, David"/>
  </w15:person>
  <w15:person w15:author="Chang, Ming">
    <w15:presenceInfo w15:providerId="AD" w15:userId="S-1-5-21-1339303556-449845944-1601390327-1128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720"/>
  <w:hyphenationZone w:val="936"/>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99C"/>
    <w:rsid w:val="00010059"/>
    <w:rsid w:val="00011F49"/>
    <w:rsid w:val="0001606B"/>
    <w:rsid w:val="00016A01"/>
    <w:rsid w:val="000176CF"/>
    <w:rsid w:val="0002315C"/>
    <w:rsid w:val="00024827"/>
    <w:rsid w:val="000433CB"/>
    <w:rsid w:val="00055760"/>
    <w:rsid w:val="0006368A"/>
    <w:rsid w:val="00063D91"/>
    <w:rsid w:val="00072DCB"/>
    <w:rsid w:val="000745CE"/>
    <w:rsid w:val="00076DF6"/>
    <w:rsid w:val="00090C26"/>
    <w:rsid w:val="00092DA1"/>
    <w:rsid w:val="000958AB"/>
    <w:rsid w:val="000B091E"/>
    <w:rsid w:val="000D19D7"/>
    <w:rsid w:val="000E2B17"/>
    <w:rsid w:val="000E3E27"/>
    <w:rsid w:val="000F14C1"/>
    <w:rsid w:val="00100C1A"/>
    <w:rsid w:val="00101C24"/>
    <w:rsid w:val="001076F7"/>
    <w:rsid w:val="00107774"/>
    <w:rsid w:val="00114FF0"/>
    <w:rsid w:val="00116F2C"/>
    <w:rsid w:val="0012041F"/>
    <w:rsid w:val="0012287D"/>
    <w:rsid w:val="0012308D"/>
    <w:rsid w:val="0012568A"/>
    <w:rsid w:val="00126B41"/>
    <w:rsid w:val="00131AD2"/>
    <w:rsid w:val="001333D6"/>
    <w:rsid w:val="00135B7C"/>
    <w:rsid w:val="00137AB6"/>
    <w:rsid w:val="001441AB"/>
    <w:rsid w:val="0015115C"/>
    <w:rsid w:val="00153952"/>
    <w:rsid w:val="00153B1F"/>
    <w:rsid w:val="00155D01"/>
    <w:rsid w:val="00160971"/>
    <w:rsid w:val="001631A4"/>
    <w:rsid w:val="00172945"/>
    <w:rsid w:val="0017335D"/>
    <w:rsid w:val="00173934"/>
    <w:rsid w:val="0018348C"/>
    <w:rsid w:val="0019636E"/>
    <w:rsid w:val="001A17D4"/>
    <w:rsid w:val="001A7DE6"/>
    <w:rsid w:val="001A7E82"/>
    <w:rsid w:val="001B1423"/>
    <w:rsid w:val="001B398F"/>
    <w:rsid w:val="001C1CF6"/>
    <w:rsid w:val="001C688A"/>
    <w:rsid w:val="001E60F6"/>
    <w:rsid w:val="001F4A13"/>
    <w:rsid w:val="001F5087"/>
    <w:rsid w:val="00204C67"/>
    <w:rsid w:val="00207EB1"/>
    <w:rsid w:val="00213836"/>
    <w:rsid w:val="002167C7"/>
    <w:rsid w:val="00223D7B"/>
    <w:rsid w:val="002429C0"/>
    <w:rsid w:val="00252C51"/>
    <w:rsid w:val="002539CF"/>
    <w:rsid w:val="002848B5"/>
    <w:rsid w:val="00284C77"/>
    <w:rsid w:val="002A2095"/>
    <w:rsid w:val="002A3469"/>
    <w:rsid w:val="002B0AC3"/>
    <w:rsid w:val="002B0AFB"/>
    <w:rsid w:val="002B129D"/>
    <w:rsid w:val="002C7418"/>
    <w:rsid w:val="002D7E0F"/>
    <w:rsid w:val="002E08AC"/>
    <w:rsid w:val="002F11DE"/>
    <w:rsid w:val="00300FC9"/>
    <w:rsid w:val="003029FF"/>
    <w:rsid w:val="0030458E"/>
    <w:rsid w:val="0030530A"/>
    <w:rsid w:val="003072F2"/>
    <w:rsid w:val="00311C60"/>
    <w:rsid w:val="00314FC0"/>
    <w:rsid w:val="003157C5"/>
    <w:rsid w:val="00321142"/>
    <w:rsid w:val="00322694"/>
    <w:rsid w:val="00326B14"/>
    <w:rsid w:val="0032765C"/>
    <w:rsid w:val="00337946"/>
    <w:rsid w:val="0034155A"/>
    <w:rsid w:val="00342655"/>
    <w:rsid w:val="003470D0"/>
    <w:rsid w:val="00357575"/>
    <w:rsid w:val="003600A3"/>
    <w:rsid w:val="00360363"/>
    <w:rsid w:val="00360C3A"/>
    <w:rsid w:val="003615E2"/>
    <w:rsid w:val="003643CC"/>
    <w:rsid w:val="00371EE8"/>
    <w:rsid w:val="003761A2"/>
    <w:rsid w:val="0038233D"/>
    <w:rsid w:val="003844E4"/>
    <w:rsid w:val="00391C9A"/>
    <w:rsid w:val="003A0560"/>
    <w:rsid w:val="003A3371"/>
    <w:rsid w:val="003B0BF6"/>
    <w:rsid w:val="003B6A22"/>
    <w:rsid w:val="003C10EF"/>
    <w:rsid w:val="003C6632"/>
    <w:rsid w:val="003C72AD"/>
    <w:rsid w:val="003C7C5A"/>
    <w:rsid w:val="003D452F"/>
    <w:rsid w:val="003D5244"/>
    <w:rsid w:val="003D68CC"/>
    <w:rsid w:val="00401008"/>
    <w:rsid w:val="00401B7B"/>
    <w:rsid w:val="00404825"/>
    <w:rsid w:val="00407FA3"/>
    <w:rsid w:val="0041614A"/>
    <w:rsid w:val="00430AEB"/>
    <w:rsid w:val="00440A8B"/>
    <w:rsid w:val="0044270A"/>
    <w:rsid w:val="00443539"/>
    <w:rsid w:val="0044455B"/>
    <w:rsid w:val="00446603"/>
    <w:rsid w:val="004575B1"/>
    <w:rsid w:val="0046248A"/>
    <w:rsid w:val="00466B87"/>
    <w:rsid w:val="00467734"/>
    <w:rsid w:val="00470457"/>
    <w:rsid w:val="004727DB"/>
    <w:rsid w:val="00474201"/>
    <w:rsid w:val="00476551"/>
    <w:rsid w:val="004771D3"/>
    <w:rsid w:val="0049085A"/>
    <w:rsid w:val="00490A69"/>
    <w:rsid w:val="00493ABB"/>
    <w:rsid w:val="00494156"/>
    <w:rsid w:val="004A3DE5"/>
    <w:rsid w:val="004A4508"/>
    <w:rsid w:val="004A61F2"/>
    <w:rsid w:val="004B1A43"/>
    <w:rsid w:val="004B5508"/>
    <w:rsid w:val="004B6E06"/>
    <w:rsid w:val="004C155B"/>
    <w:rsid w:val="004C1961"/>
    <w:rsid w:val="004C3FB2"/>
    <w:rsid w:val="004D07FA"/>
    <w:rsid w:val="004D6F24"/>
    <w:rsid w:val="004E78B6"/>
    <w:rsid w:val="004F5985"/>
    <w:rsid w:val="005032F9"/>
    <w:rsid w:val="0051374D"/>
    <w:rsid w:val="00514C62"/>
    <w:rsid w:val="00520835"/>
    <w:rsid w:val="00520E77"/>
    <w:rsid w:val="00524CB2"/>
    <w:rsid w:val="0052520F"/>
    <w:rsid w:val="005254C9"/>
    <w:rsid w:val="00526F8A"/>
    <w:rsid w:val="0054055B"/>
    <w:rsid w:val="00542CE4"/>
    <w:rsid w:val="0054404C"/>
    <w:rsid w:val="00545EB5"/>
    <w:rsid w:val="005723F9"/>
    <w:rsid w:val="005755AC"/>
    <w:rsid w:val="00581A91"/>
    <w:rsid w:val="00582FBE"/>
    <w:rsid w:val="005864A8"/>
    <w:rsid w:val="005909AB"/>
    <w:rsid w:val="005A6D5A"/>
    <w:rsid w:val="005B247C"/>
    <w:rsid w:val="005B5D60"/>
    <w:rsid w:val="005D0E78"/>
    <w:rsid w:val="005D1FAC"/>
    <w:rsid w:val="005D4465"/>
    <w:rsid w:val="005D59AB"/>
    <w:rsid w:val="005E083C"/>
    <w:rsid w:val="005E0E2A"/>
    <w:rsid w:val="005E0E60"/>
    <w:rsid w:val="005E1828"/>
    <w:rsid w:val="005E432A"/>
    <w:rsid w:val="005E45B7"/>
    <w:rsid w:val="005F15DE"/>
    <w:rsid w:val="005F162E"/>
    <w:rsid w:val="005F6688"/>
    <w:rsid w:val="006077A0"/>
    <w:rsid w:val="00621E4C"/>
    <w:rsid w:val="00622F65"/>
    <w:rsid w:val="006538D1"/>
    <w:rsid w:val="00655DBB"/>
    <w:rsid w:val="006653FD"/>
    <w:rsid w:val="00670A89"/>
    <w:rsid w:val="006722FA"/>
    <w:rsid w:val="006845C7"/>
    <w:rsid w:val="006929E8"/>
    <w:rsid w:val="0069376D"/>
    <w:rsid w:val="006A48C7"/>
    <w:rsid w:val="006B216D"/>
    <w:rsid w:val="006B66EE"/>
    <w:rsid w:val="006C42F4"/>
    <w:rsid w:val="006C6E2F"/>
    <w:rsid w:val="006E05BD"/>
    <w:rsid w:val="006E3B6F"/>
    <w:rsid w:val="006E4DC4"/>
    <w:rsid w:val="006E4FAA"/>
    <w:rsid w:val="006E5653"/>
    <w:rsid w:val="006F6125"/>
    <w:rsid w:val="00702BCF"/>
    <w:rsid w:val="00705051"/>
    <w:rsid w:val="007125D0"/>
    <w:rsid w:val="007148F9"/>
    <w:rsid w:val="007323DC"/>
    <w:rsid w:val="00734164"/>
    <w:rsid w:val="00740A5D"/>
    <w:rsid w:val="00742616"/>
    <w:rsid w:val="00744F87"/>
    <w:rsid w:val="00747982"/>
    <w:rsid w:val="00747BAB"/>
    <w:rsid w:val="00751665"/>
    <w:rsid w:val="00753531"/>
    <w:rsid w:val="007578F4"/>
    <w:rsid w:val="00762F74"/>
    <w:rsid w:val="007655E5"/>
    <w:rsid w:val="00770EAD"/>
    <w:rsid w:val="00771109"/>
    <w:rsid w:val="00771DD9"/>
    <w:rsid w:val="00772F15"/>
    <w:rsid w:val="00773DFC"/>
    <w:rsid w:val="0077556B"/>
    <w:rsid w:val="0078696C"/>
    <w:rsid w:val="00786AB2"/>
    <w:rsid w:val="007871B7"/>
    <w:rsid w:val="007908B8"/>
    <w:rsid w:val="007A1AB8"/>
    <w:rsid w:val="007A2748"/>
    <w:rsid w:val="007A3BC1"/>
    <w:rsid w:val="007A3FDF"/>
    <w:rsid w:val="007B3350"/>
    <w:rsid w:val="007B5DFD"/>
    <w:rsid w:val="007C2274"/>
    <w:rsid w:val="007D18D5"/>
    <w:rsid w:val="007D2975"/>
    <w:rsid w:val="007E241A"/>
    <w:rsid w:val="007E2FB0"/>
    <w:rsid w:val="007E4394"/>
    <w:rsid w:val="007E6D33"/>
    <w:rsid w:val="007F01BA"/>
    <w:rsid w:val="007F6FF9"/>
    <w:rsid w:val="0080573A"/>
    <w:rsid w:val="008077D4"/>
    <w:rsid w:val="008209E6"/>
    <w:rsid w:val="008265EB"/>
    <w:rsid w:val="0082733F"/>
    <w:rsid w:val="0083199C"/>
    <w:rsid w:val="008457B0"/>
    <w:rsid w:val="00845ABA"/>
    <w:rsid w:val="0085181C"/>
    <w:rsid w:val="00860082"/>
    <w:rsid w:val="00871019"/>
    <w:rsid w:val="00871B5C"/>
    <w:rsid w:val="00877656"/>
    <w:rsid w:val="00886008"/>
    <w:rsid w:val="00890A69"/>
    <w:rsid w:val="00892430"/>
    <w:rsid w:val="008A0B5F"/>
    <w:rsid w:val="008A283F"/>
    <w:rsid w:val="008B206E"/>
    <w:rsid w:val="008B2C18"/>
    <w:rsid w:val="008B374A"/>
    <w:rsid w:val="008B4141"/>
    <w:rsid w:val="008C15B7"/>
    <w:rsid w:val="008C1C67"/>
    <w:rsid w:val="008C21E0"/>
    <w:rsid w:val="008C5534"/>
    <w:rsid w:val="008C5EB0"/>
    <w:rsid w:val="008C752B"/>
    <w:rsid w:val="008D0B29"/>
    <w:rsid w:val="008D3137"/>
    <w:rsid w:val="008E4291"/>
    <w:rsid w:val="008F3908"/>
    <w:rsid w:val="008F3B74"/>
    <w:rsid w:val="008F7340"/>
    <w:rsid w:val="009102A2"/>
    <w:rsid w:val="009145F2"/>
    <w:rsid w:val="00931B38"/>
    <w:rsid w:val="009351F7"/>
    <w:rsid w:val="00941802"/>
    <w:rsid w:val="009439C0"/>
    <w:rsid w:val="00943A93"/>
    <w:rsid w:val="00944711"/>
    <w:rsid w:val="00945F37"/>
    <w:rsid w:val="00951F78"/>
    <w:rsid w:val="00951F9E"/>
    <w:rsid w:val="00961ACC"/>
    <w:rsid w:val="00962154"/>
    <w:rsid w:val="009728CD"/>
    <w:rsid w:val="00977413"/>
    <w:rsid w:val="00992025"/>
    <w:rsid w:val="009A05C1"/>
    <w:rsid w:val="009A38D1"/>
    <w:rsid w:val="009A5D18"/>
    <w:rsid w:val="009A6F9A"/>
    <w:rsid w:val="009B0B32"/>
    <w:rsid w:val="009B5806"/>
    <w:rsid w:val="009B6E14"/>
    <w:rsid w:val="009C07A8"/>
    <w:rsid w:val="009C2EB8"/>
    <w:rsid w:val="009C478C"/>
    <w:rsid w:val="009C5B0A"/>
    <w:rsid w:val="009D1147"/>
    <w:rsid w:val="009D2AA3"/>
    <w:rsid w:val="009D3D73"/>
    <w:rsid w:val="009D77AB"/>
    <w:rsid w:val="009E581F"/>
    <w:rsid w:val="009E6958"/>
    <w:rsid w:val="009F5F1D"/>
    <w:rsid w:val="00A02D60"/>
    <w:rsid w:val="00A07997"/>
    <w:rsid w:val="00A10CA6"/>
    <w:rsid w:val="00A16137"/>
    <w:rsid w:val="00A17083"/>
    <w:rsid w:val="00A17F1E"/>
    <w:rsid w:val="00A30487"/>
    <w:rsid w:val="00A61F71"/>
    <w:rsid w:val="00A7111C"/>
    <w:rsid w:val="00A7258F"/>
    <w:rsid w:val="00A76A6C"/>
    <w:rsid w:val="00A827AA"/>
    <w:rsid w:val="00A8483A"/>
    <w:rsid w:val="00A857A3"/>
    <w:rsid w:val="00A97B2A"/>
    <w:rsid w:val="00AA49AD"/>
    <w:rsid w:val="00AA5EF7"/>
    <w:rsid w:val="00AB4DCF"/>
    <w:rsid w:val="00AC41ED"/>
    <w:rsid w:val="00AC79E2"/>
    <w:rsid w:val="00AD0B6F"/>
    <w:rsid w:val="00AD52D8"/>
    <w:rsid w:val="00AE3A17"/>
    <w:rsid w:val="00AE642F"/>
    <w:rsid w:val="00AE7B9A"/>
    <w:rsid w:val="00AF1B09"/>
    <w:rsid w:val="00AF47C0"/>
    <w:rsid w:val="00B02B5A"/>
    <w:rsid w:val="00B1405F"/>
    <w:rsid w:val="00B142D9"/>
    <w:rsid w:val="00B14A1C"/>
    <w:rsid w:val="00B15C10"/>
    <w:rsid w:val="00B31F85"/>
    <w:rsid w:val="00B34156"/>
    <w:rsid w:val="00B36465"/>
    <w:rsid w:val="00B37DC4"/>
    <w:rsid w:val="00B4474A"/>
    <w:rsid w:val="00B5051A"/>
    <w:rsid w:val="00B57FB1"/>
    <w:rsid w:val="00B605AF"/>
    <w:rsid w:val="00B66A10"/>
    <w:rsid w:val="00B7028D"/>
    <w:rsid w:val="00B7571F"/>
    <w:rsid w:val="00B92072"/>
    <w:rsid w:val="00B93075"/>
    <w:rsid w:val="00B9427D"/>
    <w:rsid w:val="00B96925"/>
    <w:rsid w:val="00BA4D18"/>
    <w:rsid w:val="00BB0A92"/>
    <w:rsid w:val="00BB0C85"/>
    <w:rsid w:val="00BB1469"/>
    <w:rsid w:val="00BB29B0"/>
    <w:rsid w:val="00BB54DA"/>
    <w:rsid w:val="00BC51DB"/>
    <w:rsid w:val="00BC7E4D"/>
    <w:rsid w:val="00BD387B"/>
    <w:rsid w:val="00BD4C74"/>
    <w:rsid w:val="00BD582E"/>
    <w:rsid w:val="00BD6AB4"/>
    <w:rsid w:val="00BD6C8E"/>
    <w:rsid w:val="00BE6217"/>
    <w:rsid w:val="00C03C9F"/>
    <w:rsid w:val="00C0773D"/>
    <w:rsid w:val="00C14DCF"/>
    <w:rsid w:val="00C20CBF"/>
    <w:rsid w:val="00C23056"/>
    <w:rsid w:val="00C30743"/>
    <w:rsid w:val="00C34692"/>
    <w:rsid w:val="00C36730"/>
    <w:rsid w:val="00C401F6"/>
    <w:rsid w:val="00C41B9F"/>
    <w:rsid w:val="00C46B2F"/>
    <w:rsid w:val="00C46CBF"/>
    <w:rsid w:val="00C60A5F"/>
    <w:rsid w:val="00C7069F"/>
    <w:rsid w:val="00C716CE"/>
    <w:rsid w:val="00C74204"/>
    <w:rsid w:val="00C81D4D"/>
    <w:rsid w:val="00C82403"/>
    <w:rsid w:val="00C82549"/>
    <w:rsid w:val="00C86C76"/>
    <w:rsid w:val="00CA6A09"/>
    <w:rsid w:val="00CB7C40"/>
    <w:rsid w:val="00CD2B1C"/>
    <w:rsid w:val="00CD3AAD"/>
    <w:rsid w:val="00CE7636"/>
    <w:rsid w:val="00CF32F9"/>
    <w:rsid w:val="00CF56DE"/>
    <w:rsid w:val="00CF5A1A"/>
    <w:rsid w:val="00D0680B"/>
    <w:rsid w:val="00D07FD1"/>
    <w:rsid w:val="00D13890"/>
    <w:rsid w:val="00D2208C"/>
    <w:rsid w:val="00D34930"/>
    <w:rsid w:val="00D35DD6"/>
    <w:rsid w:val="00D36CA9"/>
    <w:rsid w:val="00D37574"/>
    <w:rsid w:val="00D41EB9"/>
    <w:rsid w:val="00D46A69"/>
    <w:rsid w:val="00D5556D"/>
    <w:rsid w:val="00D565CE"/>
    <w:rsid w:val="00D6087F"/>
    <w:rsid w:val="00D63A4D"/>
    <w:rsid w:val="00D64FC2"/>
    <w:rsid w:val="00D71562"/>
    <w:rsid w:val="00D759B9"/>
    <w:rsid w:val="00D826B1"/>
    <w:rsid w:val="00D92E67"/>
    <w:rsid w:val="00D965E3"/>
    <w:rsid w:val="00DA3023"/>
    <w:rsid w:val="00DB4742"/>
    <w:rsid w:val="00DB55E6"/>
    <w:rsid w:val="00DC48BF"/>
    <w:rsid w:val="00DC5562"/>
    <w:rsid w:val="00DC684F"/>
    <w:rsid w:val="00DD00B9"/>
    <w:rsid w:val="00DD1105"/>
    <w:rsid w:val="00DE11B7"/>
    <w:rsid w:val="00DE70F3"/>
    <w:rsid w:val="00DF3A14"/>
    <w:rsid w:val="00DF3BAA"/>
    <w:rsid w:val="00E0745C"/>
    <w:rsid w:val="00E077FF"/>
    <w:rsid w:val="00E07E04"/>
    <w:rsid w:val="00E13596"/>
    <w:rsid w:val="00E1614E"/>
    <w:rsid w:val="00E26557"/>
    <w:rsid w:val="00E318C9"/>
    <w:rsid w:val="00E33590"/>
    <w:rsid w:val="00E34937"/>
    <w:rsid w:val="00E379AB"/>
    <w:rsid w:val="00E37E70"/>
    <w:rsid w:val="00E43EA9"/>
    <w:rsid w:val="00E46D4E"/>
    <w:rsid w:val="00E525B2"/>
    <w:rsid w:val="00E56092"/>
    <w:rsid w:val="00E56855"/>
    <w:rsid w:val="00E61772"/>
    <w:rsid w:val="00E61F96"/>
    <w:rsid w:val="00E64549"/>
    <w:rsid w:val="00E656D4"/>
    <w:rsid w:val="00E67896"/>
    <w:rsid w:val="00E70E8E"/>
    <w:rsid w:val="00E71584"/>
    <w:rsid w:val="00E72AF0"/>
    <w:rsid w:val="00E72E59"/>
    <w:rsid w:val="00E76AB1"/>
    <w:rsid w:val="00E7736D"/>
    <w:rsid w:val="00E81FB3"/>
    <w:rsid w:val="00E86AF4"/>
    <w:rsid w:val="00E86E86"/>
    <w:rsid w:val="00E97BBC"/>
    <w:rsid w:val="00EA31B2"/>
    <w:rsid w:val="00EB4C54"/>
    <w:rsid w:val="00EC3463"/>
    <w:rsid w:val="00EC4125"/>
    <w:rsid w:val="00ED01F3"/>
    <w:rsid w:val="00ED5666"/>
    <w:rsid w:val="00EE4654"/>
    <w:rsid w:val="00EE471D"/>
    <w:rsid w:val="00EE735E"/>
    <w:rsid w:val="00EF08C1"/>
    <w:rsid w:val="00EF0A59"/>
    <w:rsid w:val="00EF254F"/>
    <w:rsid w:val="00F03BBF"/>
    <w:rsid w:val="00F03DFA"/>
    <w:rsid w:val="00F04ECA"/>
    <w:rsid w:val="00F05915"/>
    <w:rsid w:val="00F108D5"/>
    <w:rsid w:val="00F12361"/>
    <w:rsid w:val="00F258DB"/>
    <w:rsid w:val="00F27FBE"/>
    <w:rsid w:val="00F3535B"/>
    <w:rsid w:val="00F53796"/>
    <w:rsid w:val="00F5580E"/>
    <w:rsid w:val="00F61579"/>
    <w:rsid w:val="00F63B55"/>
    <w:rsid w:val="00F911F8"/>
    <w:rsid w:val="00FA127E"/>
    <w:rsid w:val="00FB3B01"/>
    <w:rsid w:val="00FC23FB"/>
    <w:rsid w:val="00FC2FE6"/>
    <w:rsid w:val="00FD2F12"/>
    <w:rsid w:val="00FD5581"/>
    <w:rsid w:val="00FE04EA"/>
    <w:rsid w:val="00FE1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4097"/>
    <o:shapelayout v:ext="edit">
      <o:idmap v:ext="edit" data="1"/>
    </o:shapelayout>
  </w:shapeDefaults>
  <w:decimalSymbol w:val="."/>
  <w:listSeparator w:val=","/>
  <w14:docId w14:val="6C3B2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7A3"/>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A857A3"/>
    <w:pPr>
      <w:widowControl w:val="0"/>
      <w:autoSpaceDE w:val="0"/>
      <w:autoSpaceDN w:val="0"/>
      <w:adjustRightInd w:val="0"/>
      <w:ind w:left="720"/>
      <w:jc w:val="both"/>
    </w:pPr>
    <w:rPr>
      <w:sz w:val="24"/>
      <w:szCs w:val="24"/>
    </w:rPr>
  </w:style>
  <w:style w:type="paragraph" w:customStyle="1" w:styleId="26">
    <w:name w:val="_26"/>
    <w:rsid w:val="00A857A3"/>
    <w:pPr>
      <w:widowControl w:val="0"/>
      <w:autoSpaceDE w:val="0"/>
      <w:autoSpaceDN w:val="0"/>
      <w:adjustRightInd w:val="0"/>
      <w:jc w:val="both"/>
    </w:pPr>
    <w:rPr>
      <w:sz w:val="24"/>
      <w:szCs w:val="24"/>
    </w:rPr>
  </w:style>
  <w:style w:type="paragraph" w:customStyle="1" w:styleId="25">
    <w:name w:val="_25"/>
    <w:rsid w:val="00A857A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sz w:val="24"/>
      <w:szCs w:val="24"/>
    </w:rPr>
  </w:style>
  <w:style w:type="paragraph" w:customStyle="1" w:styleId="24">
    <w:name w:val="_24"/>
    <w:rsid w:val="00A857A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23">
    <w:name w:val="_23"/>
    <w:rsid w:val="00A857A3"/>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22">
    <w:name w:val="_22"/>
    <w:rsid w:val="00A857A3"/>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21">
    <w:name w:val="_21"/>
    <w:rsid w:val="00A857A3"/>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20">
    <w:name w:val="_20"/>
    <w:rsid w:val="00A857A3"/>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19">
    <w:name w:val="_19"/>
    <w:rsid w:val="00A857A3"/>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18">
    <w:name w:val="_18"/>
    <w:rsid w:val="00A857A3"/>
    <w:pPr>
      <w:widowControl w:val="0"/>
      <w:tabs>
        <w:tab w:val="left" w:pos="6480"/>
        <w:tab w:val="left" w:pos="7200"/>
        <w:tab w:val="left" w:pos="7920"/>
        <w:tab w:val="left" w:pos="8640"/>
      </w:tabs>
      <w:autoSpaceDE w:val="0"/>
      <w:autoSpaceDN w:val="0"/>
      <w:adjustRightInd w:val="0"/>
      <w:ind w:left="6480"/>
      <w:jc w:val="both"/>
    </w:pPr>
    <w:rPr>
      <w:sz w:val="24"/>
      <w:szCs w:val="24"/>
    </w:rPr>
  </w:style>
  <w:style w:type="paragraph" w:customStyle="1" w:styleId="17">
    <w:name w:val="_17"/>
    <w:rsid w:val="00A857A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16">
    <w:name w:val="_16"/>
    <w:rsid w:val="00A857A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sz w:val="24"/>
      <w:szCs w:val="24"/>
    </w:rPr>
  </w:style>
  <w:style w:type="paragraph" w:customStyle="1" w:styleId="15">
    <w:name w:val="_15"/>
    <w:rsid w:val="00A857A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14">
    <w:name w:val="_14"/>
    <w:rsid w:val="00A857A3"/>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13">
    <w:name w:val="_13"/>
    <w:rsid w:val="00A857A3"/>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12">
    <w:name w:val="_12"/>
    <w:rsid w:val="00A857A3"/>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11">
    <w:name w:val="_11"/>
    <w:rsid w:val="00A857A3"/>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10">
    <w:name w:val="_10"/>
    <w:rsid w:val="00A857A3"/>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9">
    <w:name w:val="_9"/>
    <w:rsid w:val="00A857A3"/>
    <w:pPr>
      <w:widowControl w:val="0"/>
      <w:tabs>
        <w:tab w:val="left" w:pos="6480"/>
        <w:tab w:val="left" w:pos="7200"/>
        <w:tab w:val="left" w:pos="7920"/>
        <w:tab w:val="left" w:pos="8640"/>
      </w:tabs>
      <w:autoSpaceDE w:val="0"/>
      <w:autoSpaceDN w:val="0"/>
      <w:adjustRightInd w:val="0"/>
      <w:ind w:left="6480"/>
      <w:jc w:val="both"/>
    </w:pPr>
    <w:rPr>
      <w:sz w:val="24"/>
      <w:szCs w:val="24"/>
    </w:rPr>
  </w:style>
  <w:style w:type="paragraph" w:customStyle="1" w:styleId="8">
    <w:name w:val="_8"/>
    <w:rsid w:val="00A857A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7">
    <w:name w:val="_7"/>
    <w:rsid w:val="00A857A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sz w:val="24"/>
      <w:szCs w:val="24"/>
    </w:rPr>
  </w:style>
  <w:style w:type="paragraph" w:customStyle="1" w:styleId="6">
    <w:name w:val="_6"/>
    <w:rsid w:val="00A857A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5">
    <w:name w:val="_5"/>
    <w:rsid w:val="00A857A3"/>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4">
    <w:name w:val="_4"/>
    <w:rsid w:val="00A857A3"/>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3">
    <w:name w:val="_3"/>
    <w:rsid w:val="00A857A3"/>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2">
    <w:name w:val="_2"/>
    <w:rsid w:val="00A857A3"/>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1">
    <w:name w:val="_1"/>
    <w:rsid w:val="00A857A3"/>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a">
    <w:name w:val="_"/>
    <w:rsid w:val="00A857A3"/>
    <w:pPr>
      <w:widowControl w:val="0"/>
      <w:tabs>
        <w:tab w:val="left" w:pos="6480"/>
        <w:tab w:val="left" w:pos="7200"/>
        <w:tab w:val="left" w:pos="7920"/>
        <w:tab w:val="left" w:pos="8640"/>
      </w:tabs>
      <w:autoSpaceDE w:val="0"/>
      <w:autoSpaceDN w:val="0"/>
      <w:adjustRightInd w:val="0"/>
      <w:ind w:left="6480"/>
      <w:jc w:val="both"/>
    </w:pPr>
    <w:rPr>
      <w:sz w:val="24"/>
      <w:szCs w:val="24"/>
    </w:rPr>
  </w:style>
  <w:style w:type="paragraph" w:styleId="Header">
    <w:name w:val="header"/>
    <w:basedOn w:val="Normal"/>
    <w:link w:val="HeaderChar"/>
    <w:uiPriority w:val="99"/>
    <w:rsid w:val="00A857A3"/>
    <w:pPr>
      <w:tabs>
        <w:tab w:val="center" w:pos="4320"/>
        <w:tab w:val="right" w:pos="8640"/>
      </w:tabs>
    </w:pPr>
  </w:style>
  <w:style w:type="paragraph" w:styleId="Footer">
    <w:name w:val="footer"/>
    <w:basedOn w:val="Normal"/>
    <w:link w:val="FooterChar"/>
    <w:uiPriority w:val="99"/>
    <w:rsid w:val="00A857A3"/>
    <w:pPr>
      <w:tabs>
        <w:tab w:val="center" w:pos="4320"/>
        <w:tab w:val="right" w:pos="8640"/>
      </w:tabs>
    </w:pPr>
  </w:style>
  <w:style w:type="paragraph" w:styleId="NormalWeb">
    <w:name w:val="Normal (Web)"/>
    <w:basedOn w:val="Normal"/>
    <w:semiHidden/>
    <w:rsid w:val="00A857A3"/>
    <w:pPr>
      <w:widowControl/>
      <w:autoSpaceDE/>
      <w:autoSpaceDN/>
      <w:adjustRightInd/>
      <w:spacing w:before="100" w:beforeAutospacing="1" w:after="100" w:afterAutospacing="1"/>
    </w:pPr>
    <w:rPr>
      <w:sz w:val="24"/>
      <w:szCs w:val="24"/>
    </w:rPr>
  </w:style>
  <w:style w:type="character" w:styleId="Strong">
    <w:name w:val="Strong"/>
    <w:qFormat/>
    <w:rsid w:val="00A857A3"/>
    <w:rPr>
      <w:b/>
      <w:bCs/>
    </w:rPr>
  </w:style>
  <w:style w:type="character" w:styleId="Emphasis">
    <w:name w:val="Emphasis"/>
    <w:uiPriority w:val="20"/>
    <w:qFormat/>
    <w:rsid w:val="00A857A3"/>
    <w:rPr>
      <w:i/>
      <w:iCs/>
    </w:rPr>
  </w:style>
  <w:style w:type="character" w:styleId="PageNumber">
    <w:name w:val="page number"/>
    <w:basedOn w:val="DefaultParagraphFont"/>
    <w:semiHidden/>
    <w:rsid w:val="00A857A3"/>
  </w:style>
  <w:style w:type="paragraph" w:styleId="BalloonText">
    <w:name w:val="Balloon Text"/>
    <w:basedOn w:val="Normal"/>
    <w:semiHidden/>
    <w:rsid w:val="00A857A3"/>
    <w:rPr>
      <w:rFonts w:ascii="Tahoma" w:hAnsi="Tahoma" w:cs="Tahoma"/>
      <w:sz w:val="16"/>
      <w:szCs w:val="16"/>
    </w:rPr>
  </w:style>
  <w:style w:type="character" w:styleId="Hyperlink">
    <w:name w:val="Hyperlink"/>
    <w:uiPriority w:val="99"/>
    <w:rsid w:val="00A857A3"/>
    <w:rPr>
      <w:color w:val="0000FF"/>
      <w:u w:val="single"/>
    </w:rPr>
  </w:style>
  <w:style w:type="character" w:customStyle="1" w:styleId="2ndtier1">
    <w:name w:val="2nd tier (1)"/>
    <w:rsid w:val="00A857A3"/>
    <w:rPr>
      <w:b/>
      <w:bCs/>
    </w:rPr>
  </w:style>
  <w:style w:type="paragraph" w:customStyle="1" w:styleId="Level3">
    <w:name w:val="Level 3"/>
    <w:rsid w:val="00A857A3"/>
    <w:pPr>
      <w:autoSpaceDE w:val="0"/>
      <w:autoSpaceDN w:val="0"/>
      <w:adjustRightInd w:val="0"/>
      <w:ind w:left="2160"/>
    </w:pPr>
    <w:rPr>
      <w:sz w:val="24"/>
      <w:szCs w:val="24"/>
    </w:rPr>
  </w:style>
  <w:style w:type="character" w:customStyle="1" w:styleId="3rdtiera">
    <w:name w:val="3rd tier (a)"/>
    <w:rsid w:val="00A857A3"/>
    <w:rPr>
      <w:i/>
      <w:iCs/>
    </w:rPr>
  </w:style>
  <w:style w:type="character" w:customStyle="1" w:styleId="SYSHYPERTEXT">
    <w:name w:val="SYS_HYPERTEXT"/>
    <w:rsid w:val="00A857A3"/>
    <w:rPr>
      <w:color w:val="0000FF"/>
      <w:u w:val="single"/>
    </w:rPr>
  </w:style>
  <w:style w:type="paragraph" w:customStyle="1" w:styleId="Level2">
    <w:name w:val="Level 2"/>
    <w:rsid w:val="00A857A3"/>
    <w:pPr>
      <w:autoSpaceDE w:val="0"/>
      <w:autoSpaceDN w:val="0"/>
      <w:adjustRightInd w:val="0"/>
      <w:ind w:left="1440"/>
    </w:pPr>
    <w:rPr>
      <w:sz w:val="24"/>
      <w:szCs w:val="24"/>
    </w:rPr>
  </w:style>
  <w:style w:type="character" w:customStyle="1" w:styleId="HeaderChar">
    <w:name w:val="Header Char"/>
    <w:basedOn w:val="DefaultParagraphFont"/>
    <w:link w:val="Header"/>
    <w:uiPriority w:val="99"/>
    <w:rsid w:val="00490A69"/>
  </w:style>
  <w:style w:type="character" w:styleId="FollowedHyperlink">
    <w:name w:val="FollowedHyperlink"/>
    <w:uiPriority w:val="99"/>
    <w:semiHidden/>
    <w:unhideWhenUsed/>
    <w:rsid w:val="00E72AF0"/>
    <w:rPr>
      <w:color w:val="800080"/>
      <w:u w:val="single"/>
    </w:rPr>
  </w:style>
  <w:style w:type="paragraph" w:styleId="HTMLPreformatted">
    <w:name w:val="HTML Preformatted"/>
    <w:basedOn w:val="Normal"/>
    <w:rsid w:val="003276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styleId="CommentReference">
    <w:name w:val="annotation reference"/>
    <w:uiPriority w:val="99"/>
    <w:semiHidden/>
    <w:unhideWhenUsed/>
    <w:rsid w:val="008C15B7"/>
    <w:rPr>
      <w:sz w:val="16"/>
      <w:szCs w:val="16"/>
    </w:rPr>
  </w:style>
  <w:style w:type="paragraph" w:styleId="CommentText">
    <w:name w:val="annotation text"/>
    <w:basedOn w:val="Normal"/>
    <w:link w:val="CommentTextChar"/>
    <w:uiPriority w:val="99"/>
    <w:semiHidden/>
    <w:unhideWhenUsed/>
    <w:rsid w:val="008C15B7"/>
  </w:style>
  <w:style w:type="character" w:customStyle="1" w:styleId="CommentTextChar">
    <w:name w:val="Comment Text Char"/>
    <w:basedOn w:val="DefaultParagraphFont"/>
    <w:link w:val="CommentText"/>
    <w:uiPriority w:val="99"/>
    <w:semiHidden/>
    <w:rsid w:val="008C15B7"/>
  </w:style>
  <w:style w:type="paragraph" w:styleId="CommentSubject">
    <w:name w:val="annotation subject"/>
    <w:basedOn w:val="CommentText"/>
    <w:next w:val="CommentText"/>
    <w:link w:val="CommentSubjectChar"/>
    <w:uiPriority w:val="99"/>
    <w:semiHidden/>
    <w:unhideWhenUsed/>
    <w:rsid w:val="008C15B7"/>
    <w:rPr>
      <w:b/>
      <w:bCs/>
    </w:rPr>
  </w:style>
  <w:style w:type="character" w:customStyle="1" w:styleId="CommentSubjectChar">
    <w:name w:val="Comment Subject Char"/>
    <w:link w:val="CommentSubject"/>
    <w:uiPriority w:val="99"/>
    <w:semiHidden/>
    <w:rsid w:val="008C15B7"/>
    <w:rPr>
      <w:b/>
      <w:bCs/>
    </w:rPr>
  </w:style>
  <w:style w:type="paragraph" w:styleId="Revision">
    <w:name w:val="Revision"/>
    <w:hidden/>
    <w:uiPriority w:val="99"/>
    <w:semiHidden/>
    <w:rsid w:val="004D6F24"/>
  </w:style>
  <w:style w:type="paragraph" w:styleId="ListParagraph">
    <w:name w:val="List Paragraph"/>
    <w:basedOn w:val="Normal"/>
    <w:uiPriority w:val="34"/>
    <w:qFormat/>
    <w:rsid w:val="005B5D60"/>
    <w:pPr>
      <w:ind w:left="720"/>
      <w:contextualSpacing/>
    </w:pPr>
  </w:style>
  <w:style w:type="character" w:customStyle="1" w:styleId="FooterChar">
    <w:name w:val="Footer Char"/>
    <w:link w:val="Footer"/>
    <w:uiPriority w:val="99"/>
    <w:rsid w:val="00C41B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7A3"/>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A857A3"/>
    <w:pPr>
      <w:widowControl w:val="0"/>
      <w:autoSpaceDE w:val="0"/>
      <w:autoSpaceDN w:val="0"/>
      <w:adjustRightInd w:val="0"/>
      <w:ind w:left="720"/>
      <w:jc w:val="both"/>
    </w:pPr>
    <w:rPr>
      <w:sz w:val="24"/>
      <w:szCs w:val="24"/>
    </w:rPr>
  </w:style>
  <w:style w:type="paragraph" w:customStyle="1" w:styleId="26">
    <w:name w:val="_26"/>
    <w:rsid w:val="00A857A3"/>
    <w:pPr>
      <w:widowControl w:val="0"/>
      <w:autoSpaceDE w:val="0"/>
      <w:autoSpaceDN w:val="0"/>
      <w:adjustRightInd w:val="0"/>
      <w:jc w:val="both"/>
    </w:pPr>
    <w:rPr>
      <w:sz w:val="24"/>
      <w:szCs w:val="24"/>
    </w:rPr>
  </w:style>
  <w:style w:type="paragraph" w:customStyle="1" w:styleId="25">
    <w:name w:val="_25"/>
    <w:rsid w:val="00A857A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sz w:val="24"/>
      <w:szCs w:val="24"/>
    </w:rPr>
  </w:style>
  <w:style w:type="paragraph" w:customStyle="1" w:styleId="24">
    <w:name w:val="_24"/>
    <w:rsid w:val="00A857A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23">
    <w:name w:val="_23"/>
    <w:rsid w:val="00A857A3"/>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22">
    <w:name w:val="_22"/>
    <w:rsid w:val="00A857A3"/>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21">
    <w:name w:val="_21"/>
    <w:rsid w:val="00A857A3"/>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20">
    <w:name w:val="_20"/>
    <w:rsid w:val="00A857A3"/>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19">
    <w:name w:val="_19"/>
    <w:rsid w:val="00A857A3"/>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18">
    <w:name w:val="_18"/>
    <w:rsid w:val="00A857A3"/>
    <w:pPr>
      <w:widowControl w:val="0"/>
      <w:tabs>
        <w:tab w:val="left" w:pos="6480"/>
        <w:tab w:val="left" w:pos="7200"/>
        <w:tab w:val="left" w:pos="7920"/>
        <w:tab w:val="left" w:pos="8640"/>
      </w:tabs>
      <w:autoSpaceDE w:val="0"/>
      <w:autoSpaceDN w:val="0"/>
      <w:adjustRightInd w:val="0"/>
      <w:ind w:left="6480"/>
      <w:jc w:val="both"/>
    </w:pPr>
    <w:rPr>
      <w:sz w:val="24"/>
      <w:szCs w:val="24"/>
    </w:rPr>
  </w:style>
  <w:style w:type="paragraph" w:customStyle="1" w:styleId="17">
    <w:name w:val="_17"/>
    <w:rsid w:val="00A857A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16">
    <w:name w:val="_16"/>
    <w:rsid w:val="00A857A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sz w:val="24"/>
      <w:szCs w:val="24"/>
    </w:rPr>
  </w:style>
  <w:style w:type="paragraph" w:customStyle="1" w:styleId="15">
    <w:name w:val="_15"/>
    <w:rsid w:val="00A857A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14">
    <w:name w:val="_14"/>
    <w:rsid w:val="00A857A3"/>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13">
    <w:name w:val="_13"/>
    <w:rsid w:val="00A857A3"/>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12">
    <w:name w:val="_12"/>
    <w:rsid w:val="00A857A3"/>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11">
    <w:name w:val="_11"/>
    <w:rsid w:val="00A857A3"/>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10">
    <w:name w:val="_10"/>
    <w:rsid w:val="00A857A3"/>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9">
    <w:name w:val="_9"/>
    <w:rsid w:val="00A857A3"/>
    <w:pPr>
      <w:widowControl w:val="0"/>
      <w:tabs>
        <w:tab w:val="left" w:pos="6480"/>
        <w:tab w:val="left" w:pos="7200"/>
        <w:tab w:val="left" w:pos="7920"/>
        <w:tab w:val="left" w:pos="8640"/>
      </w:tabs>
      <w:autoSpaceDE w:val="0"/>
      <w:autoSpaceDN w:val="0"/>
      <w:adjustRightInd w:val="0"/>
      <w:ind w:left="6480"/>
      <w:jc w:val="both"/>
    </w:pPr>
    <w:rPr>
      <w:sz w:val="24"/>
      <w:szCs w:val="24"/>
    </w:rPr>
  </w:style>
  <w:style w:type="paragraph" w:customStyle="1" w:styleId="8">
    <w:name w:val="_8"/>
    <w:rsid w:val="00A857A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7">
    <w:name w:val="_7"/>
    <w:rsid w:val="00A857A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sz w:val="24"/>
      <w:szCs w:val="24"/>
    </w:rPr>
  </w:style>
  <w:style w:type="paragraph" w:customStyle="1" w:styleId="6">
    <w:name w:val="_6"/>
    <w:rsid w:val="00A857A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5">
    <w:name w:val="_5"/>
    <w:rsid w:val="00A857A3"/>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4">
    <w:name w:val="_4"/>
    <w:rsid w:val="00A857A3"/>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3">
    <w:name w:val="_3"/>
    <w:rsid w:val="00A857A3"/>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2">
    <w:name w:val="_2"/>
    <w:rsid w:val="00A857A3"/>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1">
    <w:name w:val="_1"/>
    <w:rsid w:val="00A857A3"/>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a">
    <w:name w:val="_"/>
    <w:rsid w:val="00A857A3"/>
    <w:pPr>
      <w:widowControl w:val="0"/>
      <w:tabs>
        <w:tab w:val="left" w:pos="6480"/>
        <w:tab w:val="left" w:pos="7200"/>
        <w:tab w:val="left" w:pos="7920"/>
        <w:tab w:val="left" w:pos="8640"/>
      </w:tabs>
      <w:autoSpaceDE w:val="0"/>
      <w:autoSpaceDN w:val="0"/>
      <w:adjustRightInd w:val="0"/>
      <w:ind w:left="6480"/>
      <w:jc w:val="both"/>
    </w:pPr>
    <w:rPr>
      <w:sz w:val="24"/>
      <w:szCs w:val="24"/>
    </w:rPr>
  </w:style>
  <w:style w:type="paragraph" w:styleId="Header">
    <w:name w:val="header"/>
    <w:basedOn w:val="Normal"/>
    <w:link w:val="HeaderChar"/>
    <w:uiPriority w:val="99"/>
    <w:rsid w:val="00A857A3"/>
    <w:pPr>
      <w:tabs>
        <w:tab w:val="center" w:pos="4320"/>
        <w:tab w:val="right" w:pos="8640"/>
      </w:tabs>
    </w:pPr>
  </w:style>
  <w:style w:type="paragraph" w:styleId="Footer">
    <w:name w:val="footer"/>
    <w:basedOn w:val="Normal"/>
    <w:link w:val="FooterChar"/>
    <w:uiPriority w:val="99"/>
    <w:rsid w:val="00A857A3"/>
    <w:pPr>
      <w:tabs>
        <w:tab w:val="center" w:pos="4320"/>
        <w:tab w:val="right" w:pos="8640"/>
      </w:tabs>
    </w:pPr>
  </w:style>
  <w:style w:type="paragraph" w:styleId="NormalWeb">
    <w:name w:val="Normal (Web)"/>
    <w:basedOn w:val="Normal"/>
    <w:semiHidden/>
    <w:rsid w:val="00A857A3"/>
    <w:pPr>
      <w:widowControl/>
      <w:autoSpaceDE/>
      <w:autoSpaceDN/>
      <w:adjustRightInd/>
      <w:spacing w:before="100" w:beforeAutospacing="1" w:after="100" w:afterAutospacing="1"/>
    </w:pPr>
    <w:rPr>
      <w:sz w:val="24"/>
      <w:szCs w:val="24"/>
    </w:rPr>
  </w:style>
  <w:style w:type="character" w:styleId="Strong">
    <w:name w:val="Strong"/>
    <w:qFormat/>
    <w:rsid w:val="00A857A3"/>
    <w:rPr>
      <w:b/>
      <w:bCs/>
    </w:rPr>
  </w:style>
  <w:style w:type="character" w:styleId="Emphasis">
    <w:name w:val="Emphasis"/>
    <w:uiPriority w:val="20"/>
    <w:qFormat/>
    <w:rsid w:val="00A857A3"/>
    <w:rPr>
      <w:i/>
      <w:iCs/>
    </w:rPr>
  </w:style>
  <w:style w:type="character" w:styleId="PageNumber">
    <w:name w:val="page number"/>
    <w:basedOn w:val="DefaultParagraphFont"/>
    <w:semiHidden/>
    <w:rsid w:val="00A857A3"/>
  </w:style>
  <w:style w:type="paragraph" w:styleId="BalloonText">
    <w:name w:val="Balloon Text"/>
    <w:basedOn w:val="Normal"/>
    <w:semiHidden/>
    <w:rsid w:val="00A857A3"/>
    <w:rPr>
      <w:rFonts w:ascii="Tahoma" w:hAnsi="Tahoma" w:cs="Tahoma"/>
      <w:sz w:val="16"/>
      <w:szCs w:val="16"/>
    </w:rPr>
  </w:style>
  <w:style w:type="character" w:styleId="Hyperlink">
    <w:name w:val="Hyperlink"/>
    <w:uiPriority w:val="99"/>
    <w:rsid w:val="00A857A3"/>
    <w:rPr>
      <w:color w:val="0000FF"/>
      <w:u w:val="single"/>
    </w:rPr>
  </w:style>
  <w:style w:type="character" w:customStyle="1" w:styleId="2ndtier1">
    <w:name w:val="2nd tier (1)"/>
    <w:rsid w:val="00A857A3"/>
    <w:rPr>
      <w:b/>
      <w:bCs/>
    </w:rPr>
  </w:style>
  <w:style w:type="paragraph" w:customStyle="1" w:styleId="Level3">
    <w:name w:val="Level 3"/>
    <w:rsid w:val="00A857A3"/>
    <w:pPr>
      <w:autoSpaceDE w:val="0"/>
      <w:autoSpaceDN w:val="0"/>
      <w:adjustRightInd w:val="0"/>
      <w:ind w:left="2160"/>
    </w:pPr>
    <w:rPr>
      <w:sz w:val="24"/>
      <w:szCs w:val="24"/>
    </w:rPr>
  </w:style>
  <w:style w:type="character" w:customStyle="1" w:styleId="3rdtiera">
    <w:name w:val="3rd tier (a)"/>
    <w:rsid w:val="00A857A3"/>
    <w:rPr>
      <w:i/>
      <w:iCs/>
    </w:rPr>
  </w:style>
  <w:style w:type="character" w:customStyle="1" w:styleId="SYSHYPERTEXT">
    <w:name w:val="SYS_HYPERTEXT"/>
    <w:rsid w:val="00A857A3"/>
    <w:rPr>
      <w:color w:val="0000FF"/>
      <w:u w:val="single"/>
    </w:rPr>
  </w:style>
  <w:style w:type="paragraph" w:customStyle="1" w:styleId="Level2">
    <w:name w:val="Level 2"/>
    <w:rsid w:val="00A857A3"/>
    <w:pPr>
      <w:autoSpaceDE w:val="0"/>
      <w:autoSpaceDN w:val="0"/>
      <w:adjustRightInd w:val="0"/>
      <w:ind w:left="1440"/>
    </w:pPr>
    <w:rPr>
      <w:sz w:val="24"/>
      <w:szCs w:val="24"/>
    </w:rPr>
  </w:style>
  <w:style w:type="character" w:customStyle="1" w:styleId="HeaderChar">
    <w:name w:val="Header Char"/>
    <w:basedOn w:val="DefaultParagraphFont"/>
    <w:link w:val="Header"/>
    <w:uiPriority w:val="99"/>
    <w:rsid w:val="00490A69"/>
  </w:style>
  <w:style w:type="character" w:styleId="FollowedHyperlink">
    <w:name w:val="FollowedHyperlink"/>
    <w:uiPriority w:val="99"/>
    <w:semiHidden/>
    <w:unhideWhenUsed/>
    <w:rsid w:val="00E72AF0"/>
    <w:rPr>
      <w:color w:val="800080"/>
      <w:u w:val="single"/>
    </w:rPr>
  </w:style>
  <w:style w:type="paragraph" w:styleId="HTMLPreformatted">
    <w:name w:val="HTML Preformatted"/>
    <w:basedOn w:val="Normal"/>
    <w:rsid w:val="003276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styleId="CommentReference">
    <w:name w:val="annotation reference"/>
    <w:uiPriority w:val="99"/>
    <w:semiHidden/>
    <w:unhideWhenUsed/>
    <w:rsid w:val="008C15B7"/>
    <w:rPr>
      <w:sz w:val="16"/>
      <w:szCs w:val="16"/>
    </w:rPr>
  </w:style>
  <w:style w:type="paragraph" w:styleId="CommentText">
    <w:name w:val="annotation text"/>
    <w:basedOn w:val="Normal"/>
    <w:link w:val="CommentTextChar"/>
    <w:uiPriority w:val="99"/>
    <w:semiHidden/>
    <w:unhideWhenUsed/>
    <w:rsid w:val="008C15B7"/>
  </w:style>
  <w:style w:type="character" w:customStyle="1" w:styleId="CommentTextChar">
    <w:name w:val="Comment Text Char"/>
    <w:basedOn w:val="DefaultParagraphFont"/>
    <w:link w:val="CommentText"/>
    <w:uiPriority w:val="99"/>
    <w:semiHidden/>
    <w:rsid w:val="008C15B7"/>
  </w:style>
  <w:style w:type="paragraph" w:styleId="CommentSubject">
    <w:name w:val="annotation subject"/>
    <w:basedOn w:val="CommentText"/>
    <w:next w:val="CommentText"/>
    <w:link w:val="CommentSubjectChar"/>
    <w:uiPriority w:val="99"/>
    <w:semiHidden/>
    <w:unhideWhenUsed/>
    <w:rsid w:val="008C15B7"/>
    <w:rPr>
      <w:b/>
      <w:bCs/>
    </w:rPr>
  </w:style>
  <w:style w:type="character" w:customStyle="1" w:styleId="CommentSubjectChar">
    <w:name w:val="Comment Subject Char"/>
    <w:link w:val="CommentSubject"/>
    <w:uiPriority w:val="99"/>
    <w:semiHidden/>
    <w:rsid w:val="008C15B7"/>
    <w:rPr>
      <w:b/>
      <w:bCs/>
    </w:rPr>
  </w:style>
  <w:style w:type="paragraph" w:styleId="Revision">
    <w:name w:val="Revision"/>
    <w:hidden/>
    <w:uiPriority w:val="99"/>
    <w:semiHidden/>
    <w:rsid w:val="004D6F24"/>
  </w:style>
  <w:style w:type="paragraph" w:styleId="ListParagraph">
    <w:name w:val="List Paragraph"/>
    <w:basedOn w:val="Normal"/>
    <w:uiPriority w:val="34"/>
    <w:qFormat/>
    <w:rsid w:val="005B5D60"/>
    <w:pPr>
      <w:ind w:left="720"/>
      <w:contextualSpacing/>
    </w:pPr>
  </w:style>
  <w:style w:type="character" w:customStyle="1" w:styleId="FooterChar">
    <w:name w:val="Footer Char"/>
    <w:link w:val="Footer"/>
    <w:uiPriority w:val="99"/>
    <w:rsid w:val="00C41B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40541">
      <w:bodyDiv w:val="1"/>
      <w:marLeft w:val="0"/>
      <w:marRight w:val="0"/>
      <w:marTop w:val="0"/>
      <w:marBottom w:val="0"/>
      <w:divBdr>
        <w:top w:val="none" w:sz="0" w:space="0" w:color="auto"/>
        <w:left w:val="none" w:sz="0" w:space="0" w:color="auto"/>
        <w:bottom w:val="none" w:sz="0" w:space="0" w:color="auto"/>
        <w:right w:val="none" w:sz="0" w:space="0" w:color="auto"/>
      </w:divBdr>
    </w:div>
    <w:div w:id="154493135">
      <w:bodyDiv w:val="1"/>
      <w:marLeft w:val="0"/>
      <w:marRight w:val="0"/>
      <w:marTop w:val="0"/>
      <w:marBottom w:val="0"/>
      <w:divBdr>
        <w:top w:val="none" w:sz="0" w:space="0" w:color="auto"/>
        <w:left w:val="none" w:sz="0" w:space="0" w:color="auto"/>
        <w:bottom w:val="none" w:sz="0" w:space="0" w:color="auto"/>
        <w:right w:val="none" w:sz="0" w:space="0" w:color="auto"/>
      </w:divBdr>
    </w:div>
    <w:div w:id="211891403">
      <w:bodyDiv w:val="1"/>
      <w:marLeft w:val="0"/>
      <w:marRight w:val="0"/>
      <w:marTop w:val="0"/>
      <w:marBottom w:val="0"/>
      <w:divBdr>
        <w:top w:val="none" w:sz="0" w:space="0" w:color="auto"/>
        <w:left w:val="none" w:sz="0" w:space="0" w:color="auto"/>
        <w:bottom w:val="none" w:sz="0" w:space="0" w:color="auto"/>
        <w:right w:val="none" w:sz="0" w:space="0" w:color="auto"/>
      </w:divBdr>
    </w:div>
    <w:div w:id="343560732">
      <w:bodyDiv w:val="1"/>
      <w:marLeft w:val="0"/>
      <w:marRight w:val="0"/>
      <w:marTop w:val="0"/>
      <w:marBottom w:val="0"/>
      <w:divBdr>
        <w:top w:val="none" w:sz="0" w:space="0" w:color="auto"/>
        <w:left w:val="none" w:sz="0" w:space="0" w:color="auto"/>
        <w:bottom w:val="none" w:sz="0" w:space="0" w:color="auto"/>
        <w:right w:val="none" w:sz="0" w:space="0" w:color="auto"/>
      </w:divBdr>
    </w:div>
    <w:div w:id="501046722">
      <w:bodyDiv w:val="1"/>
      <w:marLeft w:val="0"/>
      <w:marRight w:val="0"/>
      <w:marTop w:val="0"/>
      <w:marBottom w:val="0"/>
      <w:divBdr>
        <w:top w:val="none" w:sz="0" w:space="0" w:color="auto"/>
        <w:left w:val="none" w:sz="0" w:space="0" w:color="auto"/>
        <w:bottom w:val="none" w:sz="0" w:space="0" w:color="auto"/>
        <w:right w:val="none" w:sz="0" w:space="0" w:color="auto"/>
      </w:divBdr>
    </w:div>
    <w:div w:id="580260226">
      <w:bodyDiv w:val="1"/>
      <w:marLeft w:val="0"/>
      <w:marRight w:val="0"/>
      <w:marTop w:val="0"/>
      <w:marBottom w:val="0"/>
      <w:divBdr>
        <w:top w:val="none" w:sz="0" w:space="0" w:color="auto"/>
        <w:left w:val="none" w:sz="0" w:space="0" w:color="auto"/>
        <w:bottom w:val="none" w:sz="0" w:space="0" w:color="auto"/>
        <w:right w:val="none" w:sz="0" w:space="0" w:color="auto"/>
      </w:divBdr>
    </w:div>
    <w:div w:id="703797200">
      <w:bodyDiv w:val="1"/>
      <w:marLeft w:val="0"/>
      <w:marRight w:val="0"/>
      <w:marTop w:val="0"/>
      <w:marBottom w:val="0"/>
      <w:divBdr>
        <w:top w:val="none" w:sz="0" w:space="0" w:color="auto"/>
        <w:left w:val="none" w:sz="0" w:space="0" w:color="auto"/>
        <w:bottom w:val="none" w:sz="0" w:space="0" w:color="auto"/>
        <w:right w:val="none" w:sz="0" w:space="0" w:color="auto"/>
      </w:divBdr>
    </w:div>
    <w:div w:id="731076298">
      <w:bodyDiv w:val="1"/>
      <w:marLeft w:val="0"/>
      <w:marRight w:val="0"/>
      <w:marTop w:val="0"/>
      <w:marBottom w:val="0"/>
      <w:divBdr>
        <w:top w:val="none" w:sz="0" w:space="0" w:color="auto"/>
        <w:left w:val="none" w:sz="0" w:space="0" w:color="auto"/>
        <w:bottom w:val="none" w:sz="0" w:space="0" w:color="auto"/>
        <w:right w:val="none" w:sz="0" w:space="0" w:color="auto"/>
      </w:divBdr>
    </w:div>
    <w:div w:id="845707775">
      <w:bodyDiv w:val="1"/>
      <w:marLeft w:val="0"/>
      <w:marRight w:val="0"/>
      <w:marTop w:val="0"/>
      <w:marBottom w:val="0"/>
      <w:divBdr>
        <w:top w:val="none" w:sz="0" w:space="0" w:color="auto"/>
        <w:left w:val="none" w:sz="0" w:space="0" w:color="auto"/>
        <w:bottom w:val="none" w:sz="0" w:space="0" w:color="auto"/>
        <w:right w:val="none" w:sz="0" w:space="0" w:color="auto"/>
      </w:divBdr>
    </w:div>
    <w:div w:id="1101997287">
      <w:bodyDiv w:val="1"/>
      <w:marLeft w:val="0"/>
      <w:marRight w:val="0"/>
      <w:marTop w:val="0"/>
      <w:marBottom w:val="0"/>
      <w:divBdr>
        <w:top w:val="none" w:sz="0" w:space="0" w:color="auto"/>
        <w:left w:val="none" w:sz="0" w:space="0" w:color="auto"/>
        <w:bottom w:val="none" w:sz="0" w:space="0" w:color="auto"/>
        <w:right w:val="none" w:sz="0" w:space="0" w:color="auto"/>
      </w:divBdr>
    </w:div>
    <w:div w:id="1375033896">
      <w:bodyDiv w:val="1"/>
      <w:marLeft w:val="0"/>
      <w:marRight w:val="0"/>
      <w:marTop w:val="0"/>
      <w:marBottom w:val="0"/>
      <w:divBdr>
        <w:top w:val="none" w:sz="0" w:space="0" w:color="auto"/>
        <w:left w:val="none" w:sz="0" w:space="0" w:color="auto"/>
        <w:bottom w:val="none" w:sz="0" w:space="0" w:color="auto"/>
        <w:right w:val="none" w:sz="0" w:space="0" w:color="auto"/>
      </w:divBdr>
    </w:div>
    <w:div w:id="1473597738">
      <w:bodyDiv w:val="1"/>
      <w:marLeft w:val="0"/>
      <w:marRight w:val="0"/>
      <w:marTop w:val="0"/>
      <w:marBottom w:val="0"/>
      <w:divBdr>
        <w:top w:val="none" w:sz="0" w:space="0" w:color="auto"/>
        <w:left w:val="none" w:sz="0" w:space="0" w:color="auto"/>
        <w:bottom w:val="none" w:sz="0" w:space="0" w:color="auto"/>
        <w:right w:val="none" w:sz="0" w:space="0" w:color="auto"/>
      </w:divBdr>
    </w:div>
    <w:div w:id="1522547191">
      <w:bodyDiv w:val="1"/>
      <w:marLeft w:val="0"/>
      <w:marRight w:val="0"/>
      <w:marTop w:val="0"/>
      <w:marBottom w:val="0"/>
      <w:divBdr>
        <w:top w:val="none" w:sz="0" w:space="0" w:color="auto"/>
        <w:left w:val="none" w:sz="0" w:space="0" w:color="auto"/>
        <w:bottom w:val="none" w:sz="0" w:space="0" w:color="auto"/>
        <w:right w:val="none" w:sz="0" w:space="0" w:color="auto"/>
      </w:divBdr>
    </w:div>
    <w:div w:id="1703087706">
      <w:bodyDiv w:val="1"/>
      <w:marLeft w:val="0"/>
      <w:marRight w:val="0"/>
      <w:marTop w:val="0"/>
      <w:marBottom w:val="0"/>
      <w:divBdr>
        <w:top w:val="none" w:sz="0" w:space="0" w:color="auto"/>
        <w:left w:val="none" w:sz="0" w:space="0" w:color="auto"/>
        <w:bottom w:val="none" w:sz="0" w:space="0" w:color="auto"/>
        <w:right w:val="none" w:sz="0" w:space="0" w:color="auto"/>
      </w:divBdr>
    </w:div>
    <w:div w:id="1982229528">
      <w:bodyDiv w:val="1"/>
      <w:marLeft w:val="0"/>
      <w:marRight w:val="0"/>
      <w:marTop w:val="0"/>
      <w:marBottom w:val="0"/>
      <w:divBdr>
        <w:top w:val="none" w:sz="0" w:space="0" w:color="auto"/>
        <w:left w:val="none" w:sz="0" w:space="0" w:color="auto"/>
        <w:bottom w:val="none" w:sz="0" w:space="0" w:color="auto"/>
        <w:right w:val="none" w:sz="0" w:space="0" w:color="auto"/>
      </w:divBdr>
    </w:div>
    <w:div w:id="1984848479">
      <w:bodyDiv w:val="1"/>
      <w:marLeft w:val="0"/>
      <w:marRight w:val="0"/>
      <w:marTop w:val="0"/>
      <w:marBottom w:val="0"/>
      <w:divBdr>
        <w:top w:val="none" w:sz="0" w:space="0" w:color="auto"/>
        <w:left w:val="none" w:sz="0" w:space="0" w:color="auto"/>
        <w:bottom w:val="none" w:sz="0" w:space="0" w:color="auto"/>
        <w:right w:val="none" w:sz="0" w:space="0" w:color="auto"/>
      </w:divBdr>
    </w:div>
    <w:div w:id="2125688195">
      <w:bodyDiv w:val="1"/>
      <w:marLeft w:val="0"/>
      <w:marRight w:val="0"/>
      <w:marTop w:val="0"/>
      <w:marBottom w:val="0"/>
      <w:divBdr>
        <w:top w:val="none" w:sz="0" w:space="0" w:color="auto"/>
        <w:left w:val="none" w:sz="0" w:space="0" w:color="auto"/>
        <w:bottom w:val="none" w:sz="0" w:space="0" w:color="auto"/>
        <w:right w:val="none" w:sz="0" w:space="0" w:color="auto"/>
      </w:divBdr>
    </w:div>
    <w:div w:id="214192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mments" Target="comments.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BDB2E-AAE7-4BC0-A8DB-427DF6912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6126</Words>
  <Characters>34924</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EPA</Company>
  <LinksUpToDate>false</LinksUpToDate>
  <CharactersWithSpaces>40969</CharactersWithSpaces>
  <SharedDoc>false</SharedDoc>
  <HLinks>
    <vt:vector size="12" baseType="variant">
      <vt:variant>
        <vt:i4>8061038</vt:i4>
      </vt:variant>
      <vt:variant>
        <vt:i4>3</vt:i4>
      </vt:variant>
      <vt:variant>
        <vt:i4>0</vt:i4>
      </vt:variant>
      <vt:variant>
        <vt:i4>5</vt:i4>
      </vt:variant>
      <vt:variant>
        <vt:lpwstr>http://archive.opm.gov/oca/12tables/pdf/gs.pdf</vt:lpwstr>
      </vt:variant>
      <vt:variant>
        <vt:lpwstr/>
      </vt:variant>
      <vt:variant>
        <vt:i4>3342400</vt:i4>
      </vt:variant>
      <vt:variant>
        <vt:i4>0</vt:i4>
      </vt:variant>
      <vt:variant>
        <vt:i4>0</vt:i4>
      </vt:variant>
      <vt:variant>
        <vt:i4>5</vt:i4>
      </vt:variant>
      <vt:variant>
        <vt:lpwstr>http://www.bls.gov/schedule/archives/eci_nr.htm</vt:lpwstr>
      </vt:variant>
      <vt:variant>
        <vt:lpwstr>2013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EPA</dc:creator>
  <cp:lastModifiedBy>SYSTEM</cp:lastModifiedBy>
  <cp:revision>2</cp:revision>
  <cp:lastPrinted>2013-12-02T15:38:00Z</cp:lastPrinted>
  <dcterms:created xsi:type="dcterms:W3CDTF">2017-08-29T20:29:00Z</dcterms:created>
  <dcterms:modified xsi:type="dcterms:W3CDTF">2017-08-29T20:29:00Z</dcterms:modified>
</cp:coreProperties>
</file>