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A57E" w14:textId="77777777" w:rsidR="00814B41" w:rsidRDefault="00814B41" w:rsidP="001E0371">
      <w:pPr>
        <w:jc w:val="center"/>
        <w:rPr>
          <w:sz w:val="32"/>
          <w:szCs w:val="32"/>
          <w:lang w:val="en-CA"/>
        </w:rPr>
      </w:pPr>
      <w:bookmarkStart w:id="0" w:name="_GoBack"/>
      <w:bookmarkEnd w:id="0"/>
    </w:p>
    <w:p w14:paraId="31899AA2" w14:textId="77777777" w:rsidR="00157BA3" w:rsidRDefault="00157BA3" w:rsidP="001E0371">
      <w:pPr>
        <w:jc w:val="center"/>
        <w:rPr>
          <w:sz w:val="32"/>
          <w:szCs w:val="32"/>
          <w:lang w:val="en-CA"/>
        </w:rPr>
      </w:pPr>
    </w:p>
    <w:p w14:paraId="06FDF3C0" w14:textId="77777777" w:rsidR="00814B41" w:rsidRDefault="00814B41" w:rsidP="001E0371">
      <w:pPr>
        <w:jc w:val="center"/>
        <w:rPr>
          <w:sz w:val="32"/>
          <w:szCs w:val="32"/>
          <w:lang w:val="en-CA"/>
        </w:rPr>
      </w:pPr>
    </w:p>
    <w:p w14:paraId="577CB762" w14:textId="77777777" w:rsidR="001E0371" w:rsidRPr="000C6696" w:rsidRDefault="009050F9" w:rsidP="001E0371">
      <w:pPr>
        <w:jc w:val="center"/>
        <w:rPr>
          <w:b/>
          <w:bCs/>
          <w:sz w:val="32"/>
          <w:szCs w:val="32"/>
          <w:u w:val="single"/>
        </w:rPr>
      </w:pPr>
      <w:r w:rsidRPr="000C6696">
        <w:rPr>
          <w:sz w:val="32"/>
          <w:szCs w:val="32"/>
          <w:lang w:val="en-CA"/>
        </w:rPr>
        <w:fldChar w:fldCharType="begin"/>
      </w:r>
      <w:r w:rsidR="001E0371" w:rsidRPr="000C6696">
        <w:rPr>
          <w:sz w:val="32"/>
          <w:szCs w:val="32"/>
          <w:lang w:val="en-CA"/>
        </w:rPr>
        <w:instrText xml:space="preserve"> SEQ CHAPTER \h \r 1</w:instrText>
      </w:r>
      <w:r w:rsidRPr="000C6696">
        <w:rPr>
          <w:sz w:val="32"/>
          <w:szCs w:val="32"/>
          <w:lang w:val="en-CA"/>
        </w:rPr>
        <w:fldChar w:fldCharType="end"/>
      </w:r>
      <w:r w:rsidR="001E0371" w:rsidRPr="000C6696">
        <w:rPr>
          <w:b/>
          <w:bCs/>
          <w:sz w:val="32"/>
          <w:szCs w:val="32"/>
          <w:u w:val="single"/>
        </w:rPr>
        <w:t>Supporting Statement</w:t>
      </w:r>
    </w:p>
    <w:p w14:paraId="66941200" w14:textId="77777777" w:rsidR="001E0371" w:rsidRPr="000C6696" w:rsidRDefault="001E0371" w:rsidP="001E0371">
      <w:pPr>
        <w:jc w:val="center"/>
        <w:rPr>
          <w:b/>
          <w:bCs/>
          <w:sz w:val="32"/>
          <w:szCs w:val="32"/>
          <w:u w:val="single"/>
        </w:rPr>
      </w:pPr>
    </w:p>
    <w:p w14:paraId="59837D50" w14:textId="77777777" w:rsidR="001E0371" w:rsidRPr="000C6696" w:rsidRDefault="001E0371" w:rsidP="001E0371">
      <w:pPr>
        <w:jc w:val="center"/>
        <w:rPr>
          <w:b/>
          <w:bCs/>
          <w:sz w:val="32"/>
          <w:szCs w:val="32"/>
          <w:u w:val="single"/>
        </w:rPr>
      </w:pPr>
      <w:r w:rsidRPr="000C6696">
        <w:rPr>
          <w:b/>
          <w:bCs/>
          <w:sz w:val="32"/>
          <w:szCs w:val="32"/>
          <w:u w:val="single"/>
        </w:rPr>
        <w:t>For</w:t>
      </w:r>
    </w:p>
    <w:p w14:paraId="246B54CF" w14:textId="77777777" w:rsidR="001E0371" w:rsidRPr="000C6696" w:rsidRDefault="001E0371" w:rsidP="001E0371">
      <w:pPr>
        <w:jc w:val="center"/>
        <w:rPr>
          <w:b/>
          <w:bCs/>
          <w:sz w:val="32"/>
          <w:szCs w:val="32"/>
          <w:u w:val="single"/>
        </w:rPr>
      </w:pPr>
    </w:p>
    <w:p w14:paraId="44A14E82" w14:textId="77777777" w:rsidR="001E0371" w:rsidRPr="000C6696" w:rsidRDefault="001E0371" w:rsidP="001E0371">
      <w:pPr>
        <w:jc w:val="center"/>
        <w:rPr>
          <w:sz w:val="32"/>
          <w:szCs w:val="32"/>
        </w:rPr>
      </w:pPr>
      <w:r w:rsidRPr="000C6696">
        <w:rPr>
          <w:b/>
          <w:bCs/>
          <w:sz w:val="32"/>
          <w:szCs w:val="32"/>
          <w:u w:val="single"/>
        </w:rPr>
        <w:t>Information Collection Request</w:t>
      </w:r>
    </w:p>
    <w:p w14:paraId="7B4DABBD" w14:textId="77777777" w:rsidR="001E0371" w:rsidRPr="00C77513" w:rsidRDefault="001E0371" w:rsidP="001E0371">
      <w:pPr>
        <w:jc w:val="center"/>
      </w:pPr>
    </w:p>
    <w:p w14:paraId="6DC25BAE" w14:textId="77777777" w:rsidR="001E0371" w:rsidRPr="00C77513" w:rsidRDefault="001E0371" w:rsidP="001E0371">
      <w:pPr>
        <w:jc w:val="center"/>
      </w:pPr>
    </w:p>
    <w:p w14:paraId="54442350" w14:textId="77777777" w:rsidR="001E0371" w:rsidRPr="00C77513" w:rsidRDefault="001E0371" w:rsidP="001E0371">
      <w:pPr>
        <w:jc w:val="center"/>
      </w:pPr>
    </w:p>
    <w:p w14:paraId="550B8CB4" w14:textId="77777777" w:rsidR="001E0371" w:rsidRPr="00C77513" w:rsidRDefault="00F573BE" w:rsidP="001E0371">
      <w:pPr>
        <w:jc w:val="center"/>
      </w:pPr>
      <w:r>
        <w:t xml:space="preserve">Engine </w:t>
      </w:r>
      <w:r w:rsidR="001E0371" w:rsidRPr="00C77513">
        <w:t>Emission Defect Information Reports and</w:t>
      </w:r>
    </w:p>
    <w:p w14:paraId="3721AAA9" w14:textId="77777777" w:rsidR="001E0371" w:rsidRDefault="001E0371" w:rsidP="001E0371">
      <w:pPr>
        <w:jc w:val="center"/>
      </w:pPr>
      <w:r w:rsidRPr="00C77513">
        <w:t>Voluntary Emission Recall Reports (Re</w:t>
      </w:r>
      <w:r w:rsidR="00087DA0">
        <w:t>vision</w:t>
      </w:r>
      <w:r w:rsidRPr="00C77513">
        <w:t>)</w:t>
      </w:r>
    </w:p>
    <w:p w14:paraId="219CE3FF" w14:textId="77777777" w:rsidR="001420FE" w:rsidRDefault="001420FE" w:rsidP="001E0371">
      <w:pPr>
        <w:jc w:val="center"/>
      </w:pPr>
    </w:p>
    <w:p w14:paraId="1AE375DF" w14:textId="77777777" w:rsidR="001420FE" w:rsidRDefault="001420FE" w:rsidP="001E0371">
      <w:pPr>
        <w:jc w:val="center"/>
      </w:pPr>
    </w:p>
    <w:p w14:paraId="232DA363" w14:textId="0B92E4E3" w:rsidR="00432FD2" w:rsidRDefault="00432FD2" w:rsidP="001E0371">
      <w:pPr>
        <w:jc w:val="center"/>
      </w:pPr>
      <w:r>
        <w:t xml:space="preserve">ICR Number </w:t>
      </w:r>
      <w:r w:rsidR="00C55178">
        <w:t>0</w:t>
      </w:r>
      <w:r>
        <w:t>282.</w:t>
      </w:r>
      <w:r w:rsidR="00333014">
        <w:t>17</w:t>
      </w:r>
    </w:p>
    <w:p w14:paraId="28E1C95C" w14:textId="77777777" w:rsidR="00432FD2" w:rsidRPr="00C77513" w:rsidRDefault="00432FD2" w:rsidP="001E0371">
      <w:pPr>
        <w:jc w:val="center"/>
      </w:pPr>
      <w:r>
        <w:t>OMB Number 2060-0048</w:t>
      </w:r>
    </w:p>
    <w:p w14:paraId="78F69154" w14:textId="77777777" w:rsidR="001E0371" w:rsidRDefault="001E0371" w:rsidP="001E0371">
      <w:pPr>
        <w:jc w:val="center"/>
      </w:pPr>
    </w:p>
    <w:p w14:paraId="26324B96" w14:textId="77777777" w:rsidR="001E0371" w:rsidRPr="00C77513" w:rsidRDefault="001E0371" w:rsidP="001E0371">
      <w:pPr>
        <w:jc w:val="center"/>
      </w:pPr>
    </w:p>
    <w:p w14:paraId="728A8DEF" w14:textId="77777777" w:rsidR="001E0371" w:rsidRPr="00C77513" w:rsidRDefault="00087DA0" w:rsidP="001E0371">
      <w:pPr>
        <w:jc w:val="center"/>
      </w:pPr>
      <w:r>
        <w:t>August 2017</w:t>
      </w:r>
    </w:p>
    <w:p w14:paraId="4873FEDD" w14:textId="77777777" w:rsidR="001E0371" w:rsidRPr="00C77513" w:rsidRDefault="001E0371" w:rsidP="001E0371">
      <w:pPr>
        <w:jc w:val="center"/>
      </w:pPr>
    </w:p>
    <w:p w14:paraId="250533A3" w14:textId="77777777" w:rsidR="001E0371" w:rsidRPr="00C77513" w:rsidRDefault="001E0371" w:rsidP="001E0371">
      <w:pPr>
        <w:jc w:val="center"/>
      </w:pPr>
    </w:p>
    <w:p w14:paraId="539AB567" w14:textId="7D7F64BA" w:rsidR="00DE74FC" w:rsidRDefault="001E0371" w:rsidP="00DE74FC">
      <w:pPr>
        <w:jc w:val="center"/>
      </w:pPr>
      <w:r w:rsidRPr="00C77513">
        <w:t>42 USC 7521 § 206</w:t>
      </w:r>
      <w:r w:rsidR="00DE74FC">
        <w:t xml:space="preserve">, § 207 &amp; </w:t>
      </w:r>
      <w:r w:rsidR="00DE74FC" w:rsidRPr="00C77513">
        <w:t>§ 21</w:t>
      </w:r>
      <w:r w:rsidR="00DE74FC">
        <w:t>3</w:t>
      </w:r>
    </w:p>
    <w:p w14:paraId="4DFE471B" w14:textId="77777777" w:rsidR="0078145E" w:rsidRPr="0078145E" w:rsidRDefault="0078145E" w:rsidP="0078145E">
      <w:pPr>
        <w:jc w:val="center"/>
      </w:pPr>
    </w:p>
    <w:p w14:paraId="1B482038" w14:textId="6AEFF257" w:rsidR="0078145E" w:rsidRPr="00C77513" w:rsidRDefault="0078145E" w:rsidP="0078145E">
      <w:pPr>
        <w:jc w:val="center"/>
      </w:pPr>
      <w:r w:rsidRPr="0078145E">
        <w:t xml:space="preserve"> 4</w:t>
      </w:r>
      <w:r>
        <w:t>0 CFR Part 85, Subparts S and T</w:t>
      </w:r>
    </w:p>
    <w:p w14:paraId="712E0B4E" w14:textId="77777777" w:rsidR="001E0371" w:rsidRPr="00C77513" w:rsidRDefault="001E0371" w:rsidP="001E0371">
      <w:pPr>
        <w:jc w:val="center"/>
      </w:pPr>
      <w:r w:rsidRPr="00C77513">
        <w:t>40 CFR Part 85</w:t>
      </w:r>
      <w:r w:rsidR="00DE74FC">
        <w:t xml:space="preserve">; </w:t>
      </w:r>
      <w:r w:rsidRPr="00C77513">
        <w:t>40 CFR Part 89</w:t>
      </w:r>
    </w:p>
    <w:p w14:paraId="0E7495D7" w14:textId="77777777" w:rsidR="001E0371" w:rsidRPr="00C77513" w:rsidRDefault="001E0371" w:rsidP="001E0371">
      <w:pPr>
        <w:jc w:val="center"/>
      </w:pPr>
      <w:r w:rsidRPr="00C77513">
        <w:t>40 CFR Part 90</w:t>
      </w:r>
      <w:r w:rsidR="00DE74FC">
        <w:t xml:space="preserve">; </w:t>
      </w:r>
      <w:r w:rsidRPr="00C77513">
        <w:t>40 CFR Part 91</w:t>
      </w:r>
    </w:p>
    <w:p w14:paraId="29A51F2A" w14:textId="77777777" w:rsidR="00346EB1" w:rsidRDefault="001E0371" w:rsidP="001E0371">
      <w:pPr>
        <w:jc w:val="center"/>
      </w:pPr>
      <w:r w:rsidRPr="00C77513">
        <w:t>40 CFR Part 92</w:t>
      </w:r>
      <w:r w:rsidR="00DE74FC">
        <w:t xml:space="preserve">; </w:t>
      </w:r>
      <w:r w:rsidR="00346EB1">
        <w:t>40 CFR Part 94</w:t>
      </w:r>
    </w:p>
    <w:p w14:paraId="3EA961BA" w14:textId="77777777" w:rsidR="00DE74FC" w:rsidRDefault="00DE74FC" w:rsidP="00DE74FC">
      <w:pPr>
        <w:jc w:val="center"/>
      </w:pPr>
      <w:r>
        <w:t>40 CFR Part 1033; 40 CFR Part 1039</w:t>
      </w:r>
    </w:p>
    <w:p w14:paraId="031703C0" w14:textId="77777777" w:rsidR="00DE74FC" w:rsidRDefault="00DE74FC" w:rsidP="00DE74FC">
      <w:pPr>
        <w:jc w:val="center"/>
      </w:pPr>
      <w:r>
        <w:t>40 CFR Part 1042; 40 CFR Part 1045</w:t>
      </w:r>
    </w:p>
    <w:p w14:paraId="24F794CC" w14:textId="77777777" w:rsidR="00003639" w:rsidRDefault="003E239F" w:rsidP="001E0371">
      <w:pPr>
        <w:jc w:val="center"/>
      </w:pPr>
      <w:r>
        <w:t>40 CFR Part 1048</w:t>
      </w:r>
      <w:r w:rsidR="00DE74FC">
        <w:t xml:space="preserve">; </w:t>
      </w:r>
      <w:r w:rsidR="00003639">
        <w:t>40 CFR Part 1051</w:t>
      </w:r>
    </w:p>
    <w:p w14:paraId="49142ADB" w14:textId="77777777" w:rsidR="00346EB1" w:rsidRPr="00C77513" w:rsidRDefault="00DE74FC" w:rsidP="001E0371">
      <w:pPr>
        <w:jc w:val="center"/>
      </w:pPr>
      <w:r>
        <w:t xml:space="preserve">40 CFR Part 1054; </w:t>
      </w:r>
      <w:r w:rsidR="00346EB1">
        <w:t>40 CFR Part 10</w:t>
      </w:r>
      <w:r w:rsidR="0055681E">
        <w:t>6</w:t>
      </w:r>
      <w:r w:rsidR="00346EB1">
        <w:t>8</w:t>
      </w:r>
    </w:p>
    <w:p w14:paraId="25BCEEC0" w14:textId="77777777" w:rsidR="001E0371" w:rsidRPr="00C77513" w:rsidRDefault="001E0371" w:rsidP="0055681E"/>
    <w:p w14:paraId="5C1FF166" w14:textId="77777777" w:rsidR="001E0371" w:rsidRPr="00C77513" w:rsidRDefault="001E0371" w:rsidP="001E0371">
      <w:pPr>
        <w:jc w:val="center"/>
      </w:pPr>
    </w:p>
    <w:p w14:paraId="507CB1FE" w14:textId="77777777" w:rsidR="001E0371" w:rsidRPr="00C77513" w:rsidRDefault="001E0371" w:rsidP="001E0371">
      <w:pPr>
        <w:jc w:val="center"/>
      </w:pPr>
    </w:p>
    <w:p w14:paraId="5AC5323E" w14:textId="77777777" w:rsidR="001E0371" w:rsidRPr="00C77513" w:rsidRDefault="001E0371" w:rsidP="001E0371">
      <w:pPr>
        <w:jc w:val="center"/>
      </w:pPr>
    </w:p>
    <w:p w14:paraId="5A254D9D" w14:textId="77777777" w:rsidR="001E0371" w:rsidRPr="00C77513" w:rsidRDefault="001E0371" w:rsidP="001E0371">
      <w:pPr>
        <w:jc w:val="center"/>
      </w:pPr>
    </w:p>
    <w:p w14:paraId="641F58C0" w14:textId="77777777" w:rsidR="001E0371" w:rsidRPr="00C77513" w:rsidRDefault="001E0371" w:rsidP="001E0371">
      <w:pPr>
        <w:jc w:val="center"/>
      </w:pPr>
      <w:r w:rsidRPr="00C77513">
        <w:t>Certification and Compliance Division</w:t>
      </w:r>
    </w:p>
    <w:p w14:paraId="219C99FD" w14:textId="77777777" w:rsidR="001E0371" w:rsidRPr="00C77513" w:rsidRDefault="001E0371" w:rsidP="001E0371">
      <w:pPr>
        <w:jc w:val="center"/>
      </w:pPr>
      <w:r w:rsidRPr="00C77513">
        <w:t>Office of Transportation and Air Quality</w:t>
      </w:r>
    </w:p>
    <w:p w14:paraId="0FCC4964" w14:textId="77777777" w:rsidR="001E0371" w:rsidRPr="00C77513" w:rsidRDefault="001E0371" w:rsidP="001E0371">
      <w:pPr>
        <w:jc w:val="center"/>
      </w:pPr>
      <w:r w:rsidRPr="00C77513">
        <w:t>Office of Air and Radiation</w:t>
      </w:r>
    </w:p>
    <w:p w14:paraId="2B2849EF" w14:textId="77777777" w:rsidR="001E0371" w:rsidRPr="00C77513" w:rsidRDefault="001E0371" w:rsidP="009E2B66">
      <w:pPr>
        <w:jc w:val="center"/>
        <w:rPr>
          <w:rStyle w:val="Strong"/>
          <w:u w:val="single"/>
        </w:rPr>
      </w:pPr>
      <w:smartTag w:uri="urn:schemas-microsoft-com:office:smarttags" w:element="place">
        <w:smartTag w:uri="urn:schemas-microsoft-com:office:smarttags" w:element="country-region">
          <w:r w:rsidRPr="00C77513">
            <w:t>U.S.</w:t>
          </w:r>
        </w:smartTag>
      </w:smartTag>
      <w:r w:rsidRPr="00C77513">
        <w:t xml:space="preserve"> Environmental Protection Agency</w:t>
      </w:r>
    </w:p>
    <w:p w14:paraId="43A9300A" w14:textId="77777777" w:rsidR="001E0371" w:rsidRPr="00C77513" w:rsidRDefault="001E0371" w:rsidP="001E0371">
      <w:pPr>
        <w:rPr>
          <w:rStyle w:val="Strong"/>
          <w:u w:val="single"/>
        </w:rPr>
      </w:pPr>
    </w:p>
    <w:p w14:paraId="4CA4BDC8" w14:textId="77777777" w:rsidR="00D40798" w:rsidRDefault="00131944" w:rsidP="003B40E4">
      <w:pPr>
        <w:rPr>
          <w:rFonts w:ascii="Courier New" w:hAnsi="Courier New" w:cs="Courier New"/>
          <w:b/>
          <w:bCs/>
          <w:u w:val="single"/>
        </w:rPr>
      </w:pPr>
      <w:r>
        <w:rPr>
          <w:rFonts w:ascii="Courier New" w:hAnsi="Courier New" w:cs="Courier New"/>
          <w:b/>
          <w:bCs/>
          <w:u w:val="single"/>
        </w:rPr>
        <w:br w:type="page"/>
      </w:r>
    </w:p>
    <w:p w14:paraId="67118CCD" w14:textId="77777777" w:rsidR="00D40798" w:rsidRDefault="00D40798" w:rsidP="003B40E4">
      <w:pPr>
        <w:rPr>
          <w:rFonts w:ascii="Courier New" w:hAnsi="Courier New" w:cs="Courier New"/>
          <w:b/>
          <w:bCs/>
          <w:u w:val="single"/>
        </w:rPr>
      </w:pPr>
    </w:p>
    <w:p w14:paraId="27538AF0" w14:textId="77777777" w:rsidR="00DD59F7" w:rsidRPr="003B40E4" w:rsidRDefault="00455EEA" w:rsidP="003B40E4">
      <w:pPr>
        <w:rPr>
          <w:b/>
          <w:u w:val="single"/>
        </w:rPr>
      </w:pPr>
      <w:r w:rsidRPr="003B40E4">
        <w:rPr>
          <w:b/>
        </w:rPr>
        <w:t>1.</w:t>
      </w:r>
      <w:r w:rsidRPr="003B40E4">
        <w:rPr>
          <w:b/>
        </w:rPr>
        <w:tab/>
      </w:r>
      <w:r w:rsidR="00DD59F7" w:rsidRPr="003B40E4">
        <w:rPr>
          <w:b/>
          <w:u w:val="single"/>
        </w:rPr>
        <w:t>Identification of the Information Collection</w:t>
      </w:r>
    </w:p>
    <w:p w14:paraId="4B05D355" w14:textId="77777777" w:rsidR="00DD59F7" w:rsidRDefault="00DD59F7">
      <w:pPr>
        <w:rPr>
          <w:u w:val="single"/>
        </w:rPr>
      </w:pPr>
    </w:p>
    <w:p w14:paraId="39893BEC" w14:textId="77777777" w:rsidR="00DD59F7" w:rsidRPr="009B431C" w:rsidRDefault="00DD59F7">
      <w:r w:rsidRPr="009B431C">
        <w:t xml:space="preserve">1(a) </w:t>
      </w:r>
      <w:r w:rsidR="00455EEA" w:rsidRPr="009B431C">
        <w:tab/>
      </w:r>
      <w:r w:rsidRPr="009B431C">
        <w:rPr>
          <w:u w:val="single"/>
        </w:rPr>
        <w:t>Title</w:t>
      </w:r>
      <w:r w:rsidR="00593479" w:rsidRPr="009B431C">
        <w:rPr>
          <w:u w:val="single"/>
        </w:rPr>
        <w:t xml:space="preserve"> and Number</w:t>
      </w:r>
      <w:r w:rsidR="00A803F1" w:rsidRPr="009B431C">
        <w:rPr>
          <w:u w:val="single"/>
        </w:rPr>
        <w:t xml:space="preserve"> o</w:t>
      </w:r>
      <w:r w:rsidRPr="009B431C">
        <w:rPr>
          <w:u w:val="single"/>
        </w:rPr>
        <w:t>f The Information Collection</w:t>
      </w:r>
    </w:p>
    <w:p w14:paraId="60CC909E" w14:textId="77777777" w:rsidR="00DD59F7" w:rsidRDefault="00DD59F7"/>
    <w:p w14:paraId="22D4ECF8" w14:textId="06EF7658" w:rsidR="00DD59F7" w:rsidRDefault="00F573BE" w:rsidP="009E171A">
      <w:pPr>
        <w:ind w:firstLine="720"/>
      </w:pPr>
      <w:r>
        <w:rPr>
          <w:rFonts w:ascii="Melior" w:hAnsi="Melior" w:cs="Melior"/>
        </w:rPr>
        <w:t xml:space="preserve">Engine </w:t>
      </w:r>
      <w:r w:rsidR="00DD59F7" w:rsidRPr="002D2CD0">
        <w:rPr>
          <w:rFonts w:ascii="Melior" w:hAnsi="Melior" w:cs="Melior"/>
        </w:rPr>
        <w:t>Emission Defect Information Reports and Voluntary Emission Recall Reports</w:t>
      </w:r>
      <w:r w:rsidR="00087DA0">
        <w:rPr>
          <w:rFonts w:ascii="Melior" w:hAnsi="Melior" w:cs="Melior"/>
        </w:rPr>
        <w:t xml:space="preserve"> (Revision</w:t>
      </w:r>
      <w:r w:rsidR="00952561">
        <w:rPr>
          <w:rFonts w:ascii="Melior" w:hAnsi="Melior" w:cs="Melior"/>
        </w:rPr>
        <w:t>;</w:t>
      </w:r>
      <w:r w:rsidR="00270D1A">
        <w:rPr>
          <w:rFonts w:ascii="Melior" w:hAnsi="Melior" w:cs="Melior"/>
        </w:rPr>
        <w:t xml:space="preserve"> </w:t>
      </w:r>
      <w:r w:rsidR="00DD59F7">
        <w:t xml:space="preserve">EPA Number </w:t>
      </w:r>
      <w:r w:rsidR="00876C81">
        <w:t>0282.17</w:t>
      </w:r>
      <w:r w:rsidR="001815C2">
        <w:t>,</w:t>
      </w:r>
      <w:r w:rsidR="00C55178">
        <w:t xml:space="preserve"> OMB Control Number</w:t>
      </w:r>
      <w:r w:rsidR="00AC7B76">
        <w:t xml:space="preserve"> </w:t>
      </w:r>
      <w:r w:rsidR="00DD59F7">
        <w:t>2060-0048</w:t>
      </w:r>
      <w:r w:rsidR="00087DA0">
        <w:t>)</w:t>
      </w:r>
      <w:r w:rsidR="00DD59F7">
        <w:t>.</w:t>
      </w:r>
    </w:p>
    <w:p w14:paraId="5D93AB53" w14:textId="77777777" w:rsidR="00340741" w:rsidRDefault="00340741"/>
    <w:p w14:paraId="05208911" w14:textId="77777777" w:rsidR="00D40798" w:rsidRDefault="00D40798"/>
    <w:p w14:paraId="4C36F298" w14:textId="77777777" w:rsidR="00DD59F7" w:rsidRPr="000104BE" w:rsidRDefault="00DD59F7" w:rsidP="00B224A4">
      <w:pPr>
        <w:pStyle w:val="Heading2"/>
      </w:pPr>
      <w:r w:rsidRPr="009B431C">
        <w:rPr>
          <w:u w:val="none"/>
        </w:rPr>
        <w:t xml:space="preserve">1(b) </w:t>
      </w:r>
      <w:r w:rsidR="000104BE" w:rsidRPr="009B431C">
        <w:rPr>
          <w:u w:val="none"/>
        </w:rPr>
        <w:tab/>
      </w:r>
      <w:r w:rsidRPr="000104BE">
        <w:t>Short Characterization/Abstract</w:t>
      </w:r>
    </w:p>
    <w:p w14:paraId="73058B81" w14:textId="77777777" w:rsidR="009B0662" w:rsidRDefault="009B0662"/>
    <w:p w14:paraId="36C5CF59" w14:textId="7CAB3648" w:rsidR="00082E7A" w:rsidRPr="00082E7A" w:rsidRDefault="009050F9" w:rsidP="00082E7A">
      <w:pPr>
        <w:ind w:firstLine="720"/>
      </w:pPr>
      <w:r w:rsidRPr="00082E7A">
        <w:rPr>
          <w:lang w:val="en-CA"/>
        </w:rPr>
        <w:fldChar w:fldCharType="begin"/>
      </w:r>
      <w:r w:rsidR="00082E7A" w:rsidRPr="00082E7A">
        <w:rPr>
          <w:lang w:val="en-CA"/>
        </w:rPr>
        <w:instrText xml:space="preserve"> SEQ CHAPTER \h \r 1</w:instrText>
      </w:r>
      <w:r w:rsidRPr="00082E7A">
        <w:rPr>
          <w:lang w:val="en-CA"/>
        </w:rPr>
        <w:fldChar w:fldCharType="end"/>
      </w:r>
      <w:r w:rsidR="00082E7A" w:rsidRPr="00082E7A">
        <w:t xml:space="preserve">Under Section 206(a) of the CAA (42 USC 7521), engine manufacturers may not legally introduce their products into US commerce unless EPA has certified that </w:t>
      </w:r>
      <w:r w:rsidR="0078145E">
        <w:t>they comply</w:t>
      </w:r>
      <w:r w:rsidR="00082E7A" w:rsidRPr="00082E7A">
        <w:t xml:space="preserve"> with applicable emission standards.  Section 213(d) extends all emission certification and compliance provisions to non-road engines and vehicles.  During the certification process, manufacturers must demonstrate that their products comply with applicable emissions standards throughout their useful lives.  </w:t>
      </w:r>
    </w:p>
    <w:p w14:paraId="5DB049FE" w14:textId="77777777" w:rsidR="00082E7A" w:rsidRPr="00082E7A" w:rsidRDefault="00082E7A" w:rsidP="00082E7A"/>
    <w:p w14:paraId="4F138C1C" w14:textId="77777777" w:rsidR="00082E7A" w:rsidRPr="00082E7A" w:rsidRDefault="00082E7A" w:rsidP="00082E7A">
      <w:r w:rsidRPr="00082E7A">
        <w:tab/>
        <w:t xml:space="preserve">Per sections 207(c)(1) and 213 of the Clean Air Act (CAA), when emission testing shows that a substantial number of properly maintained and used engines produced by a manufacturer do not conform to emission standards, the manufacturer is required to recall the engines.  When manufacturers learn of the existence of emission-related defects in </w:t>
      </w:r>
      <w:r w:rsidR="001815C2">
        <w:t>specified number of engines</w:t>
      </w:r>
      <w:r w:rsidRPr="00082E7A">
        <w:t xml:space="preserve"> of the same class and model year, they are required to submit a Defect Information Report (D</w:t>
      </w:r>
      <w:r w:rsidR="00E113C1">
        <w:t xml:space="preserve">IR).  DIRs contain information </w:t>
      </w:r>
      <w:r w:rsidRPr="00082E7A">
        <w:t>about the engines on which a defect has been found and a description of the defect and its effects on engine performance and emissions</w:t>
      </w:r>
      <w:r w:rsidR="002877E2" w:rsidRPr="00082E7A">
        <w:t xml:space="preserve">. </w:t>
      </w:r>
      <w:r w:rsidR="00952561">
        <w:t>For some types of engines, manufacturers must also submit bi-annual reports as they conduct their defect-related investigations.</w:t>
      </w:r>
      <w:r w:rsidR="002877E2" w:rsidRPr="00082E7A">
        <w:t xml:space="preserve"> </w:t>
      </w:r>
      <w:r w:rsidRPr="00082E7A">
        <w:t xml:space="preserve">EPA uses these reports to target potentially nonconforming classes of engines for future testing, to monitor compliance with applicable regulations and to order a recall, if necessary.  </w:t>
      </w:r>
    </w:p>
    <w:p w14:paraId="3BF2EB29" w14:textId="77777777" w:rsidR="00082E7A" w:rsidRPr="00082E7A" w:rsidRDefault="00082E7A" w:rsidP="00082E7A"/>
    <w:p w14:paraId="71344754" w14:textId="77777777" w:rsidR="00082E7A" w:rsidRDefault="00082E7A" w:rsidP="00082E7A">
      <w:r w:rsidRPr="00082E7A">
        <w:tab/>
      </w:r>
      <w:r w:rsidR="001815C2">
        <w:t>If warranted, m</w:t>
      </w:r>
      <w:r w:rsidRPr="00082E7A">
        <w:t xml:space="preserve">anufacturers can also initiate a recall voluntarily by submitting a Voluntary Emission Recall Report (VERR).  </w:t>
      </w:r>
      <w:r w:rsidR="00952561">
        <w:t xml:space="preserve">EPA may also order a recall. </w:t>
      </w:r>
      <w:r w:rsidRPr="00082E7A">
        <w:t>VERRs contain information such as the procedures used by manufacturers to notify engine owners, the identification of engines affected, and repairs to be completed on recalled engines.  Manufacturers also submit progress reports that track the number of engines repaired</w:t>
      </w:r>
      <w:r w:rsidR="001815C2">
        <w:t xml:space="preserve"> (VERR updates)</w:t>
      </w:r>
      <w:r w:rsidRPr="00082E7A">
        <w:t>.  VERRs and VERR updates allow EPA to determine whether the manufacturer conducting the recall is acting in accordance with the CAA and to examine and monitor the effectiv</w:t>
      </w:r>
      <w:r w:rsidR="00952561">
        <w:t xml:space="preserve">eness of the recall campaign. </w:t>
      </w:r>
    </w:p>
    <w:p w14:paraId="7DA14DA2" w14:textId="77777777" w:rsidR="002C1D07" w:rsidRDefault="002C1D07" w:rsidP="00082E7A"/>
    <w:p w14:paraId="302C4440" w14:textId="25FE6F99" w:rsidR="002C1D07" w:rsidRDefault="002C1D07" w:rsidP="00082E7A">
      <w:r>
        <w:tab/>
        <w:t>This information collection request covers on-road heavy-duty (HD) engines (i.e., truck engines)</w:t>
      </w:r>
      <w:r w:rsidR="0024546C">
        <w:t>, highway motorcycles</w:t>
      </w:r>
      <w:r>
        <w:t xml:space="preserve"> and nonroad (NR) engines. NR is a broad category that </w:t>
      </w:r>
      <w:r w:rsidR="00D40798">
        <w:t>refers to a group of engines used in off-road applications, ranging from lawn movers to ocean-going vessels and locomotives</w:t>
      </w:r>
      <w:r w:rsidR="00595D50">
        <w:rPr>
          <w:rStyle w:val="FootnoteReference"/>
        </w:rPr>
        <w:footnoteReference w:id="1"/>
      </w:r>
      <w:r w:rsidR="00595D50">
        <w:t xml:space="preserve">. For the purpose of this ICR, </w:t>
      </w:r>
      <w:r w:rsidR="00952561">
        <w:t>the term ‘</w:t>
      </w:r>
      <w:r w:rsidR="00595D50">
        <w:t>NR</w:t>
      </w:r>
      <w:r w:rsidR="00952561">
        <w:t>’ refers to</w:t>
      </w:r>
      <w:r w:rsidR="00595D50">
        <w:t>:</w:t>
      </w:r>
      <w:r>
        <w:t xml:space="preserve"> </w:t>
      </w:r>
    </w:p>
    <w:p w14:paraId="2D432398" w14:textId="77777777" w:rsidR="002C1D07" w:rsidRDefault="002C1D07" w:rsidP="00082E7A"/>
    <w:p w14:paraId="03B9379E" w14:textId="77777777" w:rsidR="002C1D07" w:rsidRDefault="002C1D07" w:rsidP="00595D50">
      <w:pPr>
        <w:numPr>
          <w:ilvl w:val="0"/>
          <w:numId w:val="40"/>
        </w:numPr>
      </w:pPr>
      <w:r>
        <w:t>N</w:t>
      </w:r>
      <w:r w:rsidR="00595D50">
        <w:t>R</w:t>
      </w:r>
      <w:r>
        <w:t xml:space="preserve"> compression-ignition (CI) engines</w:t>
      </w:r>
      <w:r w:rsidR="00595D50">
        <w:t>,</w:t>
      </w:r>
    </w:p>
    <w:p w14:paraId="7397611E" w14:textId="77777777" w:rsidR="00595D50" w:rsidRDefault="00595D50" w:rsidP="00595D50">
      <w:pPr>
        <w:numPr>
          <w:ilvl w:val="0"/>
          <w:numId w:val="40"/>
        </w:numPr>
      </w:pPr>
      <w:r>
        <w:lastRenderedPageBreak/>
        <w:t xml:space="preserve">NR small spark-ignition (SI) engines, </w:t>
      </w:r>
    </w:p>
    <w:p w14:paraId="1175A8FF" w14:textId="77777777" w:rsidR="00595D50" w:rsidRDefault="00595D50" w:rsidP="00595D50">
      <w:pPr>
        <w:numPr>
          <w:ilvl w:val="0"/>
          <w:numId w:val="40"/>
        </w:numPr>
      </w:pPr>
      <w:r>
        <w:t>NR large spark-ignition (LSI) engines,</w:t>
      </w:r>
    </w:p>
    <w:p w14:paraId="69E10418" w14:textId="77777777" w:rsidR="00595D50" w:rsidRDefault="00595D50" w:rsidP="00595D50">
      <w:pPr>
        <w:numPr>
          <w:ilvl w:val="0"/>
          <w:numId w:val="40"/>
        </w:numPr>
      </w:pPr>
      <w:r>
        <w:t>Marine spark-ignition (MSI) engines,</w:t>
      </w:r>
    </w:p>
    <w:p w14:paraId="7866F52A" w14:textId="77777777" w:rsidR="00595D50" w:rsidRDefault="00595D50" w:rsidP="00595D50">
      <w:pPr>
        <w:numPr>
          <w:ilvl w:val="0"/>
          <w:numId w:val="40"/>
        </w:numPr>
      </w:pPr>
      <w:r>
        <w:t>Marine compression-ignition (MCI) engines,</w:t>
      </w:r>
    </w:p>
    <w:p w14:paraId="20D85468" w14:textId="77777777" w:rsidR="00595D50" w:rsidRDefault="00595D50" w:rsidP="00595D50">
      <w:pPr>
        <w:numPr>
          <w:ilvl w:val="0"/>
          <w:numId w:val="40"/>
        </w:numPr>
      </w:pPr>
      <w:r>
        <w:t>Locomotives and locomotive engines, and</w:t>
      </w:r>
    </w:p>
    <w:p w14:paraId="262ACEE8" w14:textId="77777777" w:rsidR="00595D50" w:rsidRDefault="00595D50" w:rsidP="00595D50">
      <w:pPr>
        <w:numPr>
          <w:ilvl w:val="0"/>
          <w:numId w:val="40"/>
        </w:numPr>
      </w:pPr>
      <w:r>
        <w:t>Recreational vehicles (snowmobiles, all-terrain vehicles &amp; dirt bikes).</w:t>
      </w:r>
    </w:p>
    <w:p w14:paraId="53506BCD" w14:textId="77777777" w:rsidR="00082E7A" w:rsidRPr="00082E7A" w:rsidRDefault="00082E7A" w:rsidP="00082E7A"/>
    <w:p w14:paraId="4F44894A" w14:textId="38AB6A02" w:rsidR="000A04CE" w:rsidRDefault="000A04CE" w:rsidP="000A04CE">
      <w:pPr>
        <w:rPr>
          <w:color w:val="000000"/>
        </w:rPr>
      </w:pPr>
      <w:r>
        <w:rPr>
          <w:color w:val="000000"/>
        </w:rPr>
        <w:tab/>
        <w:t xml:space="preserve">This information is collected by the Diesel Engine Compliance Center (DECC), Compliance Division (CD), Office of Transportation and Air Quality, Office of Air and Radiation, U.S. Environmental Protection Agency (EPA).  Besides DECC, this information could be used by the Office of Enforcement and Compliance Assurance and the Department of Justice for enforcement purposes.  Non-confidential portions may be disclosed to the public.  Trade associations, environmental groups and the public may use this information, which is usually </w:t>
      </w:r>
      <w:r w:rsidR="00114DFD">
        <w:rPr>
          <w:color w:val="000000"/>
        </w:rPr>
        <w:t>electronically</w:t>
      </w:r>
      <w:r>
        <w:rPr>
          <w:color w:val="000000"/>
        </w:rPr>
        <w:t xml:space="preserve"> and stored in CD's databases.  </w:t>
      </w:r>
    </w:p>
    <w:p w14:paraId="1353B25A" w14:textId="77777777" w:rsidR="00F573BE" w:rsidRPr="00082E7A" w:rsidRDefault="00F573BE" w:rsidP="00082E7A"/>
    <w:p w14:paraId="0CEDF1B4" w14:textId="4B05954B" w:rsidR="00082E7A" w:rsidRDefault="00082E7A" w:rsidP="00082E7A">
      <w:r w:rsidRPr="00082E7A">
        <w:tab/>
      </w:r>
      <w:r w:rsidR="003415AA">
        <w:t>EPA</w:t>
      </w:r>
      <w:r w:rsidRPr="00082E7A">
        <w:t xml:space="preserve"> estimate</w:t>
      </w:r>
      <w:r w:rsidR="003415AA">
        <w:t>s</w:t>
      </w:r>
      <w:r w:rsidRPr="00082E7A">
        <w:t xml:space="preserve"> </w:t>
      </w:r>
      <w:r w:rsidRPr="0024546C">
        <w:t xml:space="preserve">that </w:t>
      </w:r>
      <w:r w:rsidR="000B0974" w:rsidRPr="0024546C">
        <w:t>approximate</w:t>
      </w:r>
      <w:r w:rsidR="003415AA" w:rsidRPr="0024546C">
        <w:t>ly</w:t>
      </w:r>
      <w:r w:rsidRPr="0024546C">
        <w:t xml:space="preserve"> </w:t>
      </w:r>
      <w:r w:rsidR="001C3F4F">
        <w:t>2</w:t>
      </w:r>
      <w:r w:rsidR="0024546C" w:rsidRPr="0024546C">
        <w:t>9</w:t>
      </w:r>
      <w:r w:rsidRPr="005B2634">
        <w:t xml:space="preserve"> engine manufacturers will respond to this collection with an approximate cost of </w:t>
      </w:r>
      <w:r w:rsidRPr="0024546C">
        <w:t>$</w:t>
      </w:r>
      <w:r w:rsidR="001C3F4F">
        <w:t>936,157</w:t>
      </w:r>
      <w:r w:rsidR="0024546C" w:rsidRPr="0024546C">
        <w:t>.</w:t>
      </w:r>
    </w:p>
    <w:p w14:paraId="1F5E330D" w14:textId="77777777" w:rsidR="00F573BE" w:rsidRPr="00082E7A" w:rsidRDefault="00F573BE" w:rsidP="00082E7A"/>
    <w:p w14:paraId="7BD93716" w14:textId="77777777" w:rsidR="00093963" w:rsidRDefault="00093963"/>
    <w:p w14:paraId="57233E21" w14:textId="77777777" w:rsidR="009B0662" w:rsidRPr="009B431C" w:rsidRDefault="000241E6" w:rsidP="009B431C">
      <w:pPr>
        <w:pStyle w:val="Heading1"/>
        <w:rPr>
          <w:rStyle w:val="StyleHeading1BoldChar"/>
        </w:rPr>
      </w:pPr>
      <w:r w:rsidRPr="00C50009">
        <w:rPr>
          <w:rStyle w:val="StyleHeading1NounderlineChar"/>
          <w:u w:val="none"/>
        </w:rPr>
        <w:t>2.</w:t>
      </w:r>
      <w:r w:rsidRPr="00C50009">
        <w:rPr>
          <w:rStyle w:val="StyleHeading1NounderlineChar"/>
          <w:u w:val="none"/>
        </w:rPr>
        <w:tab/>
      </w:r>
      <w:r w:rsidR="009B0662" w:rsidRPr="009B431C">
        <w:rPr>
          <w:rStyle w:val="StyleHeading1BoldChar"/>
        </w:rPr>
        <w:t>Need For and Use of the Collection</w:t>
      </w:r>
    </w:p>
    <w:p w14:paraId="7E134AA1" w14:textId="77777777" w:rsidR="009B0662" w:rsidRDefault="009B0662">
      <w:pPr>
        <w:rPr>
          <w:u w:val="single"/>
        </w:rPr>
      </w:pPr>
    </w:p>
    <w:p w14:paraId="4523101A" w14:textId="77777777" w:rsidR="009B0662" w:rsidRDefault="009B0662" w:rsidP="00B224A4">
      <w:pPr>
        <w:pStyle w:val="Heading2"/>
      </w:pPr>
      <w:r w:rsidRPr="009B431C">
        <w:rPr>
          <w:u w:val="none"/>
        </w:rPr>
        <w:t xml:space="preserve">2(a) </w:t>
      </w:r>
      <w:r w:rsidR="000241E6" w:rsidRPr="009B431C">
        <w:rPr>
          <w:u w:val="none"/>
        </w:rPr>
        <w:tab/>
      </w:r>
      <w:r w:rsidRPr="000241E6">
        <w:t xml:space="preserve">Need/Authority </w:t>
      </w:r>
      <w:r w:rsidR="002877E2" w:rsidRPr="000241E6">
        <w:t>for</w:t>
      </w:r>
      <w:r w:rsidRPr="000241E6">
        <w:t xml:space="preserve"> The Collection</w:t>
      </w:r>
    </w:p>
    <w:p w14:paraId="6D2D9AF9" w14:textId="77777777" w:rsidR="00AA54D8" w:rsidRDefault="00AA54D8"/>
    <w:p w14:paraId="099F2105" w14:textId="77777777" w:rsidR="00AA54D8" w:rsidRPr="00AA54D8" w:rsidRDefault="009050F9" w:rsidP="006C1584">
      <w:pPr>
        <w:ind w:firstLine="720"/>
      </w:pPr>
      <w:r w:rsidRPr="00AA54D8">
        <w:fldChar w:fldCharType="begin"/>
      </w:r>
      <w:r w:rsidR="00AA54D8" w:rsidRPr="00AA54D8">
        <w:instrText xml:space="preserve"> SEQ CHAPTER \h \r 1</w:instrText>
      </w:r>
      <w:r w:rsidRPr="00AA54D8">
        <w:fldChar w:fldCharType="end"/>
      </w:r>
      <w:r w:rsidR="00AA54D8" w:rsidRPr="00AA54D8">
        <w:t>EPA</w:t>
      </w:r>
      <w:r w:rsidR="00716324">
        <w:t>'</w:t>
      </w:r>
      <w:r w:rsidR="00AA54D8" w:rsidRPr="00AA54D8">
        <w:t>s emission compliance programs, including-emissions related recalls, are statutorily mandated; the agency does not have discretion to cease these functions.  Sections 207(c)(1) and 213 of the Clean Air Act (CAA) mandate engine manufacturers to conduct recalls when in-use emission testing shows that a substantial number of properly maintained and used engines of the same class or engine family do not conform to emission standards.</w:t>
      </w:r>
    </w:p>
    <w:p w14:paraId="38C27949" w14:textId="77777777" w:rsidR="00AA54D8" w:rsidRPr="00AA54D8" w:rsidRDefault="00AA54D8" w:rsidP="00AA54D8"/>
    <w:p w14:paraId="17B3AF67" w14:textId="77777777" w:rsidR="00AA54D8" w:rsidRPr="00AA54D8" w:rsidRDefault="00AA54D8" w:rsidP="00AA54D8">
      <w:r w:rsidRPr="00AA54D8">
        <w:tab/>
        <w:t xml:space="preserve">Section 208(a) of the Clean Air Act provides EPA with the authority to require a manufacturer to </w:t>
      </w:r>
      <w:r w:rsidR="00716324">
        <w:t>"</w:t>
      </w:r>
      <w:r w:rsidRPr="00AA54D8">
        <w:t>make reports and provide information the Administrator may reasonably require to determine whether the manufacturer or other person has acted or is acting in compliance</w:t>
      </w:r>
      <w:r w:rsidR="00716324">
        <w:t>"</w:t>
      </w:r>
      <w:r w:rsidRPr="00AA54D8">
        <w:t xml:space="preserve"> with Title II of th</w:t>
      </w:r>
      <w:r w:rsidR="00432FD2">
        <w:t>e Clean Air Act and applicable regulations</w:t>
      </w:r>
      <w:r w:rsidRPr="00AA54D8">
        <w:t>.  Regulations implementing such reporting requirements are codified at:</w:t>
      </w:r>
    </w:p>
    <w:p w14:paraId="635CB9A3" w14:textId="77777777" w:rsidR="00AA54D8" w:rsidRDefault="00AA54D8" w:rsidP="00314A0B">
      <w:pPr>
        <w:pStyle w:val="Clear"/>
      </w:pPr>
    </w:p>
    <w:p w14:paraId="774A9D65" w14:textId="59938FC9" w:rsidR="00E561DF" w:rsidRPr="00AA54D8" w:rsidRDefault="00E561DF" w:rsidP="0055681E">
      <w:pPr>
        <w:numPr>
          <w:ilvl w:val="0"/>
          <w:numId w:val="23"/>
        </w:numPr>
      </w:pPr>
      <w:r w:rsidRPr="00AA54D8">
        <w:t xml:space="preserve">40 CFR part 85, </w:t>
      </w:r>
      <w:r w:rsidR="000A04CE">
        <w:t>Subpart</w:t>
      </w:r>
      <w:r w:rsidRPr="00AA54D8">
        <w:t xml:space="preserve"> T </w:t>
      </w:r>
      <w:r w:rsidR="000A04CE">
        <w:t xml:space="preserve">- </w:t>
      </w:r>
      <w:r w:rsidRPr="00AA54D8">
        <w:t>On-highway, Heavy-duty Truck</w:t>
      </w:r>
      <w:r w:rsidR="00036024">
        <w:t xml:space="preserve"> Engines</w:t>
      </w:r>
      <w:r w:rsidRPr="00AA54D8">
        <w:t xml:space="preserve"> </w:t>
      </w:r>
      <w:r w:rsidR="00036024">
        <w:t>and Highway Motorcycle En</w:t>
      </w:r>
      <w:r w:rsidR="000A04CE">
        <w:t>gines</w:t>
      </w:r>
    </w:p>
    <w:p w14:paraId="04851D36" w14:textId="77777777" w:rsidR="00E561DF" w:rsidRPr="00AA54D8" w:rsidRDefault="00E561DF" w:rsidP="0055681E">
      <w:pPr>
        <w:numPr>
          <w:ilvl w:val="0"/>
          <w:numId w:val="23"/>
        </w:numPr>
      </w:pPr>
      <w:r w:rsidRPr="00AA54D8">
        <w:t xml:space="preserve">40 CFR </w:t>
      </w:r>
      <w:r w:rsidR="000A04CE">
        <w:t>Part</w:t>
      </w:r>
      <w:r w:rsidRPr="00AA54D8">
        <w:t xml:space="preserve"> 89, </w:t>
      </w:r>
      <w:r w:rsidR="000A04CE">
        <w:t>Subpart</w:t>
      </w:r>
      <w:r w:rsidRPr="00AA54D8">
        <w:t xml:space="preserve"> I </w:t>
      </w:r>
      <w:r w:rsidR="000A04CE">
        <w:t xml:space="preserve">- </w:t>
      </w:r>
      <w:r w:rsidRPr="00AA54D8">
        <w:t>Non-ro</w:t>
      </w:r>
      <w:r w:rsidR="000A04CE">
        <w:t>ad Compression-ignition Engines</w:t>
      </w:r>
    </w:p>
    <w:p w14:paraId="01BE5B4A" w14:textId="77777777" w:rsidR="00E561DF" w:rsidRPr="00AA54D8" w:rsidRDefault="00E561DF" w:rsidP="0055681E">
      <w:pPr>
        <w:numPr>
          <w:ilvl w:val="0"/>
          <w:numId w:val="23"/>
        </w:numPr>
      </w:pPr>
      <w:r w:rsidRPr="00AA54D8">
        <w:t xml:space="preserve">40 CFR </w:t>
      </w:r>
      <w:r w:rsidR="000A04CE">
        <w:t>Part</w:t>
      </w:r>
      <w:r w:rsidRPr="00AA54D8">
        <w:t xml:space="preserve"> 90, </w:t>
      </w:r>
      <w:r w:rsidR="000A04CE">
        <w:t>Subpart</w:t>
      </w:r>
      <w:r w:rsidRPr="00AA54D8">
        <w:t xml:space="preserve"> I </w:t>
      </w:r>
      <w:r w:rsidR="000A04CE">
        <w:t>- Non-road Spark-ignition Engines</w:t>
      </w:r>
    </w:p>
    <w:p w14:paraId="7EC0E1F9" w14:textId="77777777" w:rsidR="00E561DF" w:rsidRPr="00AA54D8" w:rsidRDefault="00E561DF" w:rsidP="0055681E">
      <w:pPr>
        <w:numPr>
          <w:ilvl w:val="0"/>
          <w:numId w:val="23"/>
        </w:numPr>
      </w:pPr>
      <w:r w:rsidRPr="00AA54D8">
        <w:t xml:space="preserve">40 CFR </w:t>
      </w:r>
      <w:r w:rsidR="000A04CE">
        <w:t>Part</w:t>
      </w:r>
      <w:r w:rsidRPr="00AA54D8">
        <w:t xml:space="preserve"> 91, </w:t>
      </w:r>
      <w:r w:rsidR="000A04CE">
        <w:t>Subpart</w:t>
      </w:r>
      <w:r w:rsidRPr="00AA54D8">
        <w:t xml:space="preserve"> J </w:t>
      </w:r>
      <w:r w:rsidR="000A04CE">
        <w:t xml:space="preserve">- </w:t>
      </w:r>
      <w:r w:rsidRPr="00AA54D8">
        <w:t>Marine</w:t>
      </w:r>
      <w:r w:rsidR="00CB4BBE">
        <w:t xml:space="preserve"> Spark-ignition</w:t>
      </w:r>
      <w:r w:rsidR="000A04CE">
        <w:t xml:space="preserve"> Engines</w:t>
      </w:r>
    </w:p>
    <w:p w14:paraId="48AA0139" w14:textId="77777777" w:rsidR="00432FD2" w:rsidRDefault="00E561DF" w:rsidP="0055681E">
      <w:pPr>
        <w:numPr>
          <w:ilvl w:val="0"/>
          <w:numId w:val="23"/>
        </w:numPr>
      </w:pPr>
      <w:r w:rsidRPr="00AA54D8">
        <w:t xml:space="preserve">40 CFR </w:t>
      </w:r>
      <w:r w:rsidR="000A04CE">
        <w:t>Part</w:t>
      </w:r>
      <w:r w:rsidRPr="00AA54D8">
        <w:t xml:space="preserve"> 92, </w:t>
      </w:r>
      <w:r w:rsidR="000A04CE">
        <w:t>Subpart</w:t>
      </w:r>
      <w:r w:rsidRPr="00AA54D8">
        <w:t xml:space="preserve"> E </w:t>
      </w:r>
      <w:r w:rsidR="000A04CE">
        <w:t xml:space="preserve">- </w:t>
      </w:r>
      <w:r w:rsidRPr="00AA54D8">
        <w:t>Locomotives and Locomotive Engines</w:t>
      </w:r>
    </w:p>
    <w:p w14:paraId="3CFDCA8A" w14:textId="77777777" w:rsidR="00432FD2" w:rsidRDefault="00432FD2" w:rsidP="0055681E">
      <w:pPr>
        <w:numPr>
          <w:ilvl w:val="0"/>
          <w:numId w:val="23"/>
        </w:numPr>
      </w:pPr>
      <w:r>
        <w:t xml:space="preserve">40 CFR </w:t>
      </w:r>
      <w:r w:rsidR="000A04CE">
        <w:t>Part</w:t>
      </w:r>
      <w:r>
        <w:t xml:space="preserve"> 94</w:t>
      </w:r>
      <w:r w:rsidR="0055681E">
        <w:t xml:space="preserve">, </w:t>
      </w:r>
      <w:r w:rsidR="000A04CE">
        <w:t>Subpart</w:t>
      </w:r>
      <w:r w:rsidR="0055681E" w:rsidRPr="00CB4BBE">
        <w:t xml:space="preserve"> E</w:t>
      </w:r>
      <w:r w:rsidR="000A04CE">
        <w:t xml:space="preserve"> - </w:t>
      </w:r>
      <w:r w:rsidR="0055681E">
        <w:t>Marine Compression-ignition Engines</w:t>
      </w:r>
    </w:p>
    <w:p w14:paraId="6F4FDA02" w14:textId="77777777" w:rsidR="00432FD2" w:rsidRDefault="0055681E" w:rsidP="0055681E">
      <w:pPr>
        <w:numPr>
          <w:ilvl w:val="0"/>
          <w:numId w:val="23"/>
        </w:numPr>
      </w:pPr>
      <w:r>
        <w:t xml:space="preserve">40 CFR </w:t>
      </w:r>
      <w:r w:rsidR="000A04CE">
        <w:t>Part</w:t>
      </w:r>
      <w:r>
        <w:t xml:space="preserve"> 1068, </w:t>
      </w:r>
      <w:r w:rsidR="000A04CE">
        <w:t>Subpart</w:t>
      </w:r>
      <w:r w:rsidRPr="00AA54D8">
        <w:t xml:space="preserve"> </w:t>
      </w:r>
      <w:r w:rsidR="000A04CE">
        <w:t xml:space="preserve">F - </w:t>
      </w:r>
      <w:r>
        <w:t>General provisions for engines certified under:</w:t>
      </w:r>
    </w:p>
    <w:p w14:paraId="656B82AC" w14:textId="77777777" w:rsidR="0055681E" w:rsidRDefault="007D2A83" w:rsidP="00FA0738">
      <w:pPr>
        <w:numPr>
          <w:ilvl w:val="0"/>
          <w:numId w:val="41"/>
        </w:numPr>
      </w:pPr>
      <w:r>
        <w:t xml:space="preserve">40 CFR </w:t>
      </w:r>
      <w:r w:rsidR="0055681E">
        <w:t>Part 1033 – Locomotives</w:t>
      </w:r>
    </w:p>
    <w:p w14:paraId="6880FBBD" w14:textId="77777777" w:rsidR="0055681E" w:rsidRDefault="007D2A83" w:rsidP="00FA0738">
      <w:pPr>
        <w:numPr>
          <w:ilvl w:val="0"/>
          <w:numId w:val="41"/>
        </w:numPr>
      </w:pPr>
      <w:r>
        <w:t xml:space="preserve">40 CFR </w:t>
      </w:r>
      <w:r w:rsidR="0055681E">
        <w:t xml:space="preserve">Part 1039 - </w:t>
      </w:r>
      <w:r w:rsidR="0055681E" w:rsidRPr="00AA54D8">
        <w:t>Non-road Compression-ignition Engines</w:t>
      </w:r>
    </w:p>
    <w:p w14:paraId="37467A25" w14:textId="77777777" w:rsidR="0055681E" w:rsidRDefault="007D2A83" w:rsidP="00FA0738">
      <w:pPr>
        <w:numPr>
          <w:ilvl w:val="0"/>
          <w:numId w:val="41"/>
        </w:numPr>
      </w:pPr>
      <w:r>
        <w:t xml:space="preserve">40 CFR </w:t>
      </w:r>
      <w:r w:rsidR="0055681E">
        <w:t>Part 1042 - Marine Compression-ignition Engines</w:t>
      </w:r>
    </w:p>
    <w:p w14:paraId="25C8BA48" w14:textId="77777777" w:rsidR="0055681E" w:rsidRDefault="007D2A83" w:rsidP="00FA0738">
      <w:pPr>
        <w:numPr>
          <w:ilvl w:val="0"/>
          <w:numId w:val="41"/>
        </w:numPr>
      </w:pPr>
      <w:r>
        <w:t xml:space="preserve">40 CFR </w:t>
      </w:r>
      <w:r w:rsidR="0055681E">
        <w:t xml:space="preserve">Part 1045 - </w:t>
      </w:r>
      <w:r w:rsidR="00CB4BBE" w:rsidRPr="00AA54D8">
        <w:t xml:space="preserve">Marine </w:t>
      </w:r>
      <w:r w:rsidR="00CB4BBE">
        <w:t xml:space="preserve">Spark-ignition </w:t>
      </w:r>
      <w:r w:rsidR="00CB4BBE" w:rsidRPr="00AA54D8">
        <w:t>Engines</w:t>
      </w:r>
    </w:p>
    <w:p w14:paraId="209F11A8" w14:textId="77777777" w:rsidR="0055681E" w:rsidRDefault="007D2A83" w:rsidP="00FA0738">
      <w:pPr>
        <w:numPr>
          <w:ilvl w:val="0"/>
          <w:numId w:val="41"/>
        </w:numPr>
      </w:pPr>
      <w:r>
        <w:t xml:space="preserve">40 CFR </w:t>
      </w:r>
      <w:r w:rsidR="0055681E">
        <w:t>Part 1048 – Large Spark-ignition Engines</w:t>
      </w:r>
    </w:p>
    <w:p w14:paraId="11752809" w14:textId="77777777" w:rsidR="0055681E" w:rsidRDefault="007D2A83" w:rsidP="00FA0738">
      <w:pPr>
        <w:numPr>
          <w:ilvl w:val="0"/>
          <w:numId w:val="41"/>
        </w:numPr>
      </w:pPr>
      <w:r>
        <w:t xml:space="preserve">40 CFR </w:t>
      </w:r>
      <w:r w:rsidR="00CB4BBE">
        <w:t>Part 1051 – Recreational Vehicles</w:t>
      </w:r>
      <w:r w:rsidR="00003639">
        <w:t xml:space="preserve"> (Snowmobiles and All Terrain Vehicles only)</w:t>
      </w:r>
    </w:p>
    <w:p w14:paraId="568D981E" w14:textId="77777777" w:rsidR="00CB4BBE" w:rsidRDefault="007D2A83" w:rsidP="00FA0738">
      <w:pPr>
        <w:numPr>
          <w:ilvl w:val="0"/>
          <w:numId w:val="41"/>
        </w:numPr>
      </w:pPr>
      <w:r>
        <w:t xml:space="preserve">40 CFR </w:t>
      </w:r>
      <w:r w:rsidR="00CB4BBE">
        <w:t xml:space="preserve">Part 1054 - </w:t>
      </w:r>
      <w:r w:rsidR="00CB4BBE" w:rsidRPr="00AA54D8">
        <w:t>Non-road Spark-ignition Engines</w:t>
      </w:r>
    </w:p>
    <w:p w14:paraId="11118F3E" w14:textId="77777777" w:rsidR="00E561DF" w:rsidRDefault="00E561DF" w:rsidP="00E561DF"/>
    <w:p w14:paraId="69B0F6EB" w14:textId="77777777" w:rsidR="00D40798" w:rsidRDefault="00131944" w:rsidP="009B431C">
      <w:r>
        <w:tab/>
      </w:r>
      <w:r w:rsidR="00E561DF" w:rsidRPr="00AA54D8">
        <w:t>The information collected under this information collection request is needed to identify potentially noncomplying engines.  Those engines are then targeted for future testing to ensure that they comply with emission standard</w:t>
      </w:r>
      <w:r w:rsidR="00160154">
        <w:t>s throughout their useful lives</w:t>
      </w:r>
      <w:r w:rsidR="00D40798">
        <w:t>.</w:t>
      </w:r>
    </w:p>
    <w:p w14:paraId="44FD7475" w14:textId="77777777" w:rsidR="00D40798" w:rsidRDefault="00D40798" w:rsidP="009B431C"/>
    <w:p w14:paraId="4A69733C" w14:textId="77777777" w:rsidR="00D40798" w:rsidRDefault="00D40798" w:rsidP="009B431C"/>
    <w:p w14:paraId="4A76B09E" w14:textId="77777777" w:rsidR="009B0662" w:rsidRPr="009B431C" w:rsidRDefault="009B0662" w:rsidP="009B431C">
      <w:pPr>
        <w:rPr>
          <w:u w:val="single"/>
        </w:rPr>
      </w:pPr>
      <w:r w:rsidRPr="009B431C">
        <w:t xml:space="preserve">2(b) </w:t>
      </w:r>
      <w:r w:rsidR="00CC6FDF" w:rsidRPr="009B431C">
        <w:tab/>
      </w:r>
      <w:r w:rsidRPr="009B431C">
        <w:rPr>
          <w:u w:val="single"/>
        </w:rPr>
        <w:t xml:space="preserve">Practical Utility/Users </w:t>
      </w:r>
      <w:r w:rsidR="002877E2" w:rsidRPr="009B431C">
        <w:rPr>
          <w:u w:val="single"/>
        </w:rPr>
        <w:t>of</w:t>
      </w:r>
      <w:r w:rsidRPr="009B431C">
        <w:rPr>
          <w:u w:val="single"/>
        </w:rPr>
        <w:t xml:space="preserve"> The Data</w:t>
      </w:r>
    </w:p>
    <w:p w14:paraId="466285D9" w14:textId="77777777" w:rsidR="009B0662" w:rsidRPr="007C26C3" w:rsidRDefault="009B0662"/>
    <w:p w14:paraId="4CB5B79D" w14:textId="77777777" w:rsidR="007C26C3" w:rsidRPr="007C26C3" w:rsidRDefault="009050F9" w:rsidP="007C26C3">
      <w:pPr>
        <w:ind w:firstLine="720"/>
        <w:rPr>
          <w:rFonts w:cs="Courier New"/>
        </w:rPr>
      </w:pPr>
      <w:r w:rsidRPr="007C26C3">
        <w:rPr>
          <w:lang w:val="en-CA"/>
        </w:rPr>
        <w:fldChar w:fldCharType="begin"/>
      </w:r>
      <w:r w:rsidR="007C26C3" w:rsidRPr="007C26C3">
        <w:rPr>
          <w:lang w:val="en-CA"/>
        </w:rPr>
        <w:instrText xml:space="preserve"> SEQ CHAPTER \h \r 1</w:instrText>
      </w:r>
      <w:r w:rsidRPr="007C26C3">
        <w:rPr>
          <w:lang w:val="en-CA"/>
        </w:rPr>
        <w:fldChar w:fldCharType="end"/>
      </w:r>
      <w:r w:rsidR="007C26C3" w:rsidRPr="007C26C3">
        <w:rPr>
          <w:rFonts w:cs="Courier New"/>
        </w:rPr>
        <w:t>EPA uses the information requested to ensure compliance with the Clean Air Act</w:t>
      </w:r>
      <w:r w:rsidR="00716324">
        <w:rPr>
          <w:rFonts w:cs="Courier New"/>
        </w:rPr>
        <w:t>'</w:t>
      </w:r>
      <w:r w:rsidR="007C26C3" w:rsidRPr="007C26C3">
        <w:rPr>
          <w:rFonts w:cs="Courier New"/>
        </w:rPr>
        <w:t>s in-use emission requirements</w:t>
      </w:r>
      <w:r w:rsidR="002877E2" w:rsidRPr="007C26C3">
        <w:rPr>
          <w:rFonts w:cs="Courier New"/>
        </w:rPr>
        <w:t xml:space="preserve">.  </w:t>
      </w:r>
      <w:r w:rsidR="007C26C3" w:rsidRPr="007C26C3">
        <w:rPr>
          <w:rFonts w:cs="Courier New"/>
        </w:rPr>
        <w:t>This information collection enables EPA to ensure that engine manufacturers are complying with applicable in-use emission regulations, measure the impact of non-road engines</w:t>
      </w:r>
      <w:r w:rsidR="00716324">
        <w:rPr>
          <w:rFonts w:cs="Courier New"/>
        </w:rPr>
        <w:t>'</w:t>
      </w:r>
      <w:r w:rsidR="007C26C3" w:rsidRPr="007C26C3">
        <w:rPr>
          <w:rFonts w:cs="Courier New"/>
        </w:rPr>
        <w:t xml:space="preserve"> emissions on air quality, and take corrective actions as needed.</w:t>
      </w:r>
      <w:r w:rsidR="007C26C3" w:rsidRPr="007C26C3">
        <w:rPr>
          <w:rFonts w:cs="Courier New"/>
        </w:rPr>
        <w:tab/>
      </w:r>
      <w:r w:rsidR="007C26C3" w:rsidRPr="007C26C3">
        <w:rPr>
          <w:rFonts w:cs="Courier New"/>
        </w:rPr>
        <w:tab/>
      </w:r>
    </w:p>
    <w:p w14:paraId="7251DD72" w14:textId="77777777" w:rsidR="007C26C3" w:rsidRPr="007C26C3" w:rsidRDefault="007C26C3" w:rsidP="007C26C3">
      <w:pPr>
        <w:rPr>
          <w:rFonts w:cs="Courier New"/>
        </w:rPr>
      </w:pPr>
    </w:p>
    <w:p w14:paraId="49A94F55" w14:textId="69F20CC8" w:rsidR="007C26C3" w:rsidRPr="007C26C3" w:rsidRDefault="007C26C3" w:rsidP="007C26C3">
      <w:pPr>
        <w:rPr>
          <w:rFonts w:cs="Courier New"/>
        </w:rPr>
      </w:pPr>
      <w:r w:rsidRPr="007C26C3">
        <w:rPr>
          <w:rFonts w:cs="Courier New"/>
        </w:rPr>
        <w:tab/>
      </w:r>
      <w:r w:rsidR="00114DFD">
        <w:rPr>
          <w:rFonts w:cs="Courier New"/>
        </w:rPr>
        <w:t xml:space="preserve">Defect-related reports </w:t>
      </w:r>
      <w:r w:rsidRPr="007C26C3">
        <w:rPr>
          <w:rFonts w:cs="Courier New"/>
        </w:rPr>
        <w:t xml:space="preserve">notify EPA of the existence of defects in a significant number of engines that may cause engine emissions to exceed applicable standards.  These reports enable the Agency to take action, as needed. </w:t>
      </w:r>
      <w:r w:rsidR="007D2A83">
        <w:rPr>
          <w:color w:val="000000"/>
        </w:rPr>
        <w:t xml:space="preserve">If a family of engines is found not to comply with in-use standards, manufacturers are required to recall the family. </w:t>
      </w:r>
      <w:r w:rsidR="00114DFD">
        <w:rPr>
          <w:rFonts w:cs="Courier New"/>
        </w:rPr>
        <w:t>Recall-related reports</w:t>
      </w:r>
      <w:r w:rsidRPr="007C26C3">
        <w:rPr>
          <w:rFonts w:cs="Courier New"/>
        </w:rPr>
        <w:t xml:space="preserve"> are used to determine if a manufacturer is acting in accordance with the Clean Air Act and to examine and monitor the effectiveness of </w:t>
      </w:r>
      <w:r w:rsidR="007D2A83">
        <w:rPr>
          <w:rFonts w:cs="Courier New"/>
        </w:rPr>
        <w:t>a</w:t>
      </w:r>
      <w:r w:rsidRPr="007C26C3">
        <w:rPr>
          <w:rFonts w:cs="Courier New"/>
        </w:rPr>
        <w:t xml:space="preserve"> recall campaign.  Measures of effectiveness include the procedures the manufacturer is following to notify vehicle owners and provide timely repairs, the percentage of vehicle owners that are responding to recall notification and the number of engines that are being repaired.  </w:t>
      </w:r>
    </w:p>
    <w:p w14:paraId="7F553F86" w14:textId="77777777" w:rsidR="007C26C3" w:rsidRPr="007C26C3" w:rsidRDefault="007C26C3" w:rsidP="007C26C3">
      <w:pPr>
        <w:rPr>
          <w:rFonts w:cs="Courier New"/>
        </w:rPr>
      </w:pPr>
    </w:p>
    <w:p w14:paraId="0472FB1C" w14:textId="77777777" w:rsidR="007D2A83" w:rsidRDefault="007D2A83" w:rsidP="007D2A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t xml:space="preserve">The information will be received and used by DECC.  In instances of noncompliance, the information may be used by EPA’s enforcement office and the Department of Justice.  Non-confidential portions of the information submitted to DECC are available to and used by importers, environmental groups, members of the public and state and local government organizations. </w:t>
      </w:r>
    </w:p>
    <w:p w14:paraId="4A18055D" w14:textId="77777777" w:rsidR="00CE62E2" w:rsidRDefault="00CE62E2"/>
    <w:p w14:paraId="1692905D" w14:textId="77777777" w:rsidR="007D2A83" w:rsidRDefault="007D2A83"/>
    <w:p w14:paraId="0FB8EF85" w14:textId="77777777" w:rsidR="00D40798" w:rsidRDefault="00D40798"/>
    <w:p w14:paraId="44C9697A" w14:textId="77777777" w:rsidR="009B0662" w:rsidRPr="003B40E4" w:rsidRDefault="005854BA" w:rsidP="009B431C">
      <w:pPr>
        <w:pStyle w:val="Heading1"/>
      </w:pPr>
      <w:r w:rsidRPr="003B40E4">
        <w:rPr>
          <w:rStyle w:val="StyleHeading1NounderlineChar"/>
          <w:u w:val="none"/>
        </w:rPr>
        <w:t>3</w:t>
      </w:r>
      <w:r w:rsidRPr="003B40E4">
        <w:rPr>
          <w:u w:val="none"/>
        </w:rPr>
        <w:t>.</w:t>
      </w:r>
      <w:r w:rsidR="009B0662" w:rsidRPr="003B40E4">
        <w:rPr>
          <w:u w:val="none"/>
        </w:rPr>
        <w:t xml:space="preserve"> </w:t>
      </w:r>
      <w:r w:rsidRPr="003B40E4">
        <w:rPr>
          <w:u w:val="none"/>
        </w:rPr>
        <w:tab/>
      </w:r>
      <w:r w:rsidR="009B0662" w:rsidRPr="003B40E4">
        <w:t>Non-duplication, Consultations, and Other Collection Criteria</w:t>
      </w:r>
    </w:p>
    <w:p w14:paraId="7DE054F1" w14:textId="77777777" w:rsidR="00CE62E2" w:rsidRDefault="00CE62E2">
      <w:pPr>
        <w:rPr>
          <w:u w:val="single"/>
        </w:rPr>
      </w:pPr>
    </w:p>
    <w:p w14:paraId="2227A9C6" w14:textId="77777777" w:rsidR="007D2A83" w:rsidRDefault="007D2A83">
      <w:pPr>
        <w:rPr>
          <w:u w:val="single"/>
        </w:rPr>
      </w:pPr>
    </w:p>
    <w:p w14:paraId="66A8CD18" w14:textId="77777777" w:rsidR="009B0662" w:rsidRPr="0003582A" w:rsidRDefault="009B0662" w:rsidP="00B224A4">
      <w:pPr>
        <w:pStyle w:val="Heading2"/>
      </w:pPr>
      <w:r w:rsidRPr="009B431C">
        <w:rPr>
          <w:u w:val="none"/>
        </w:rPr>
        <w:t xml:space="preserve">3(a) </w:t>
      </w:r>
      <w:r w:rsidR="0003582A" w:rsidRPr="009B431C">
        <w:rPr>
          <w:u w:val="none"/>
        </w:rPr>
        <w:tab/>
      </w:r>
      <w:r w:rsidRPr="0003582A">
        <w:t>Non-duplication</w:t>
      </w:r>
    </w:p>
    <w:p w14:paraId="74D10C73" w14:textId="77777777" w:rsidR="009B0662" w:rsidRDefault="009B0662"/>
    <w:p w14:paraId="12D785DA" w14:textId="77777777" w:rsidR="002568C6" w:rsidRDefault="009050F9" w:rsidP="00BD486A">
      <w:pPr>
        <w:ind w:firstLine="720"/>
      </w:pPr>
      <w:r w:rsidRPr="00CE62E2">
        <w:fldChar w:fldCharType="begin"/>
      </w:r>
      <w:r w:rsidR="00CE62E2" w:rsidRPr="00CE62E2">
        <w:instrText xml:space="preserve"> SEQ CHAPTER \h \r 1</w:instrText>
      </w:r>
      <w:r w:rsidRPr="00CE62E2">
        <w:fldChar w:fldCharType="end"/>
      </w:r>
      <w:r w:rsidR="00CE62E2" w:rsidRPr="00CE62E2">
        <w:t xml:space="preserve">The information requested under this ICR is required by statute.  Because of its specialized </w:t>
      </w:r>
      <w:r w:rsidR="007D2A83">
        <w:t xml:space="preserve">and sometimes confidential </w:t>
      </w:r>
      <w:r w:rsidR="00CE62E2" w:rsidRPr="00CE62E2">
        <w:t>nature, the information collected is not available from any other source.</w:t>
      </w:r>
    </w:p>
    <w:p w14:paraId="7136A939" w14:textId="77777777" w:rsidR="007D2A83" w:rsidRPr="00CE62E2" w:rsidRDefault="007D2A83" w:rsidP="00BD486A">
      <w:pPr>
        <w:ind w:firstLine="720"/>
      </w:pPr>
    </w:p>
    <w:p w14:paraId="5906F647" w14:textId="77777777" w:rsidR="00CE62E2" w:rsidRDefault="00CE62E2"/>
    <w:p w14:paraId="7B22E452" w14:textId="77777777" w:rsidR="009B0662" w:rsidRDefault="009B0662" w:rsidP="00B224A4">
      <w:pPr>
        <w:pStyle w:val="Heading2"/>
      </w:pPr>
      <w:r w:rsidRPr="009B431C">
        <w:rPr>
          <w:u w:val="none"/>
        </w:rPr>
        <w:t xml:space="preserve">3(b) </w:t>
      </w:r>
      <w:r w:rsidR="0003582A" w:rsidRPr="009B431C">
        <w:rPr>
          <w:u w:val="none"/>
        </w:rPr>
        <w:tab/>
      </w:r>
      <w:r w:rsidRPr="0003582A">
        <w:t>Public Notice Required Prior to ICR Submission to OMB</w:t>
      </w:r>
      <w:r>
        <w:br/>
      </w:r>
    </w:p>
    <w:p w14:paraId="049E1887" w14:textId="003BEAB0" w:rsidR="009E5444" w:rsidRDefault="009050F9" w:rsidP="000C47AE">
      <w:pPr>
        <w:pStyle w:val="Clear"/>
        <w:ind w:firstLine="720"/>
      </w:pPr>
      <w:r>
        <w:fldChar w:fldCharType="begin"/>
      </w:r>
      <w:r w:rsidR="009E5444">
        <w:instrText xml:space="preserve"> SEQ CHAPTER \h \r 1</w:instrText>
      </w:r>
      <w:r>
        <w:fldChar w:fldCharType="end"/>
      </w:r>
      <w:r w:rsidR="009E5444">
        <w:t xml:space="preserve">An announcement of the public comment period for this ICR renewal was published in the </w:t>
      </w:r>
      <w:r w:rsidR="009E5444">
        <w:rPr>
          <w:u w:val="single"/>
        </w:rPr>
        <w:t>Federal Register</w:t>
      </w:r>
      <w:r w:rsidR="009E5444">
        <w:t xml:space="preserve"> on </w:t>
      </w:r>
      <w:r w:rsidR="00087DA0">
        <w:t>June 29, 2017</w:t>
      </w:r>
      <w:r w:rsidR="00CD0ADE" w:rsidRPr="00C91693">
        <w:t xml:space="preserve"> </w:t>
      </w:r>
      <w:r w:rsidR="009E5444" w:rsidRPr="00C91693">
        <w:t>(</w:t>
      </w:r>
      <w:r w:rsidR="00114DFD">
        <w:t>82</w:t>
      </w:r>
      <w:r w:rsidR="00DB01D8">
        <w:t xml:space="preserve"> FR</w:t>
      </w:r>
      <w:r w:rsidR="009E5444" w:rsidRPr="00C91693">
        <w:t xml:space="preserve"> </w:t>
      </w:r>
      <w:r w:rsidR="00087DA0">
        <w:t>29544</w:t>
      </w:r>
      <w:r w:rsidR="009E5444" w:rsidRPr="00C91693">
        <w:t>).</w:t>
      </w:r>
      <w:r w:rsidR="009E5444">
        <w:t xml:space="preserve">  </w:t>
      </w:r>
      <w:r w:rsidR="009E5444" w:rsidRPr="00C522C0">
        <w:t xml:space="preserve">No comments </w:t>
      </w:r>
      <w:r w:rsidR="00C55178">
        <w:t>were</w:t>
      </w:r>
      <w:r w:rsidR="009E5444" w:rsidRPr="00C522C0">
        <w:t xml:space="preserve"> received.</w:t>
      </w:r>
      <w:r w:rsidR="009E5444">
        <w:t xml:space="preserve">  </w:t>
      </w:r>
    </w:p>
    <w:p w14:paraId="401F9489" w14:textId="77777777" w:rsidR="007D2A83" w:rsidRDefault="007D2A83" w:rsidP="000C47AE">
      <w:pPr>
        <w:pStyle w:val="Clear"/>
        <w:ind w:firstLine="720"/>
      </w:pPr>
    </w:p>
    <w:p w14:paraId="16922D08" w14:textId="77777777" w:rsidR="009E5444" w:rsidRDefault="009E5444"/>
    <w:p w14:paraId="00D6368B" w14:textId="77777777" w:rsidR="009B0662" w:rsidRDefault="009B0662" w:rsidP="00B224A4">
      <w:pPr>
        <w:pStyle w:val="Heading2"/>
      </w:pPr>
      <w:r w:rsidRPr="009B431C">
        <w:rPr>
          <w:u w:val="none"/>
        </w:rPr>
        <w:t xml:space="preserve">3(c) </w:t>
      </w:r>
      <w:r w:rsidR="000F68E3" w:rsidRPr="009B431C">
        <w:rPr>
          <w:u w:val="none"/>
        </w:rPr>
        <w:tab/>
      </w:r>
      <w:r w:rsidRPr="000F68E3">
        <w:t>Consultations</w:t>
      </w:r>
    </w:p>
    <w:p w14:paraId="34F73389" w14:textId="77777777" w:rsidR="0078057F" w:rsidRDefault="0078057F" w:rsidP="0082656C">
      <w:pPr>
        <w:rPr>
          <w:color w:val="000000"/>
        </w:rPr>
      </w:pPr>
    </w:p>
    <w:p w14:paraId="0A80DBBA" w14:textId="0910BBFD" w:rsidR="007D2A83" w:rsidRDefault="009B0662" w:rsidP="007D2A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sidRPr="009B0662">
        <w:rPr>
          <w:color w:val="000000"/>
        </w:rPr>
        <w:t xml:space="preserve">In updating this information collection request, </w:t>
      </w:r>
      <w:r w:rsidR="007D2A83">
        <w:rPr>
          <w:color w:val="000000"/>
        </w:rPr>
        <w:t>EPA contacted fewer than 10 past respondents regarding this inform</w:t>
      </w:r>
      <w:r w:rsidR="007D1620">
        <w:rPr>
          <w:color w:val="000000"/>
        </w:rPr>
        <w:t>ation collection burden.</w:t>
      </w:r>
    </w:p>
    <w:p w14:paraId="0C7A1C18" w14:textId="77777777" w:rsidR="009064AB" w:rsidRPr="00DF4A52" w:rsidRDefault="009064AB" w:rsidP="0078057F">
      <w:pPr>
        <w:ind w:firstLine="720"/>
      </w:pPr>
    </w:p>
    <w:p w14:paraId="22358B2E" w14:textId="77777777" w:rsidR="00DF4A52" w:rsidRDefault="00DF4A52" w:rsidP="00B224A4">
      <w:pPr>
        <w:pStyle w:val="Heading2"/>
        <w:rPr>
          <w:u w:val="none"/>
        </w:rPr>
      </w:pPr>
    </w:p>
    <w:p w14:paraId="7B29395A" w14:textId="77777777" w:rsidR="00C539E4" w:rsidRDefault="00C539E4" w:rsidP="00B224A4">
      <w:pPr>
        <w:pStyle w:val="Heading2"/>
      </w:pPr>
      <w:r w:rsidRPr="009B431C">
        <w:rPr>
          <w:u w:val="none"/>
        </w:rPr>
        <w:t xml:space="preserve">3(d) </w:t>
      </w:r>
      <w:r w:rsidR="00E91AB4" w:rsidRPr="009B431C">
        <w:rPr>
          <w:u w:val="none"/>
        </w:rPr>
        <w:tab/>
      </w:r>
      <w:r w:rsidRPr="006954BF">
        <w:t>Effe</w:t>
      </w:r>
      <w:r w:rsidR="00E91AB4" w:rsidRPr="006954BF">
        <w:t xml:space="preserve">cts </w:t>
      </w:r>
      <w:r w:rsidR="00DF4A52">
        <w:t>o</w:t>
      </w:r>
      <w:r w:rsidR="00E91AB4" w:rsidRPr="006954BF">
        <w:t>f Less Frequent Collection</w:t>
      </w:r>
    </w:p>
    <w:p w14:paraId="56EBC22C" w14:textId="0F26E9EA" w:rsidR="00114DFD" w:rsidRDefault="00114DFD" w:rsidP="00715222">
      <w:pPr>
        <w:pStyle w:val="NormalWeb"/>
        <w:keepNext/>
        <w:keepLines/>
        <w:ind w:firstLine="720"/>
      </w:pPr>
      <w:r>
        <w:t>Defect-related and VERRs are</w:t>
      </w:r>
      <w:r w:rsidR="007D2A83">
        <w:t xml:space="preserve"> </w:t>
      </w:r>
      <w:r w:rsidR="00C539E4">
        <w:t xml:space="preserve">only collected </w:t>
      </w:r>
      <w:r w:rsidR="007D2A83">
        <w:t>as needed. That is, when a certain number of properly maintain</w:t>
      </w:r>
      <w:r>
        <w:t>ed</w:t>
      </w:r>
      <w:r w:rsidR="007D2A83">
        <w:t xml:space="preserve"> engines register defects that </w:t>
      </w:r>
      <w:r w:rsidR="007D2A83" w:rsidRPr="007C26C3">
        <w:rPr>
          <w:rFonts w:cs="Courier New"/>
        </w:rPr>
        <w:t>may cause engine emissions t</w:t>
      </w:r>
      <w:r w:rsidR="007D2A83">
        <w:rPr>
          <w:rFonts w:cs="Courier New"/>
        </w:rPr>
        <w:t>o exceed applicable standards.</w:t>
      </w:r>
      <w:r w:rsidR="002877E2">
        <w:t xml:space="preserve"> </w:t>
      </w:r>
      <w:r w:rsidR="00715222">
        <w:t xml:space="preserve">For NR engines, defect-related investigation reports are submitted bi-annually, but only once the manufacturer determines that an issue may exist.  </w:t>
      </w:r>
      <w:r w:rsidR="00C539E4">
        <w:t>Thus, manufacturers are required to provide this information only when potential violations exist</w:t>
      </w:r>
      <w:r w:rsidR="002877E2">
        <w:t xml:space="preserve">.  </w:t>
      </w:r>
      <w:r>
        <w:t>Less frequent collection of these data</w:t>
      </w:r>
      <w:r w:rsidR="00C539E4">
        <w:t xml:space="preserve"> would allow potential violations to go undetected</w:t>
      </w:r>
      <w:r w:rsidR="002877E2">
        <w:t xml:space="preserve">.  </w:t>
      </w:r>
    </w:p>
    <w:p w14:paraId="0972CFDB" w14:textId="77777777" w:rsidR="006B6D53" w:rsidRDefault="00C539E4" w:rsidP="006B6D53">
      <w:pPr>
        <w:pStyle w:val="NormalWeb"/>
        <w:keepNext/>
        <w:keepLines/>
        <w:ind w:firstLine="720"/>
      </w:pPr>
      <w:r>
        <w:t xml:space="preserve">Follow-up progress reports on voluntary recalls </w:t>
      </w:r>
      <w:r w:rsidR="007D2A83">
        <w:t xml:space="preserve">(VERRs) </w:t>
      </w:r>
      <w:r>
        <w:t xml:space="preserve">are collected quarterly for </w:t>
      </w:r>
      <w:r w:rsidR="007E3408">
        <w:t xml:space="preserve">up to </w:t>
      </w:r>
      <w:r>
        <w:t>six quarters</w:t>
      </w:r>
      <w:r w:rsidR="002877E2">
        <w:t xml:space="preserve">.  </w:t>
      </w:r>
      <w:r>
        <w:t>These progress reports or updates are used to monitor the progress of a recall campaign, observing the promptness with which engines subject to the recall receive the remedial repair</w:t>
      </w:r>
      <w:r w:rsidR="002877E2">
        <w:t xml:space="preserve">.  </w:t>
      </w:r>
      <w:r>
        <w:t>Experience has shown that the quarterly reporting interval</w:t>
      </w:r>
      <w:r w:rsidR="006D4028">
        <w:t xml:space="preserve">, which corresponds to most </w:t>
      </w:r>
      <w:r w:rsidR="007E3408">
        <w:t>manufacturers’</w:t>
      </w:r>
      <w:r w:rsidR="006D4028">
        <w:t xml:space="preserve"> internal cycles,</w:t>
      </w:r>
      <w:r>
        <w:t xml:space="preserve"> is generally the minimum interval for effective oversight of a recall campaign.</w:t>
      </w:r>
    </w:p>
    <w:p w14:paraId="149CCBD2" w14:textId="77777777" w:rsidR="003C34D0" w:rsidRDefault="00C539E4" w:rsidP="00B224A4">
      <w:pPr>
        <w:pStyle w:val="Heading2"/>
      </w:pPr>
      <w:r w:rsidRPr="00952561">
        <w:rPr>
          <w:u w:val="none"/>
        </w:rPr>
        <w:t xml:space="preserve">3(e) </w:t>
      </w:r>
      <w:r w:rsidR="000B4201" w:rsidRPr="00952561">
        <w:rPr>
          <w:u w:val="none"/>
        </w:rPr>
        <w:tab/>
      </w:r>
      <w:r w:rsidR="000B4201" w:rsidRPr="00952561">
        <w:t>General Guidelines</w:t>
      </w:r>
    </w:p>
    <w:p w14:paraId="5E43E0CC" w14:textId="52F7E545" w:rsidR="00747C9D" w:rsidRDefault="000D568D" w:rsidP="00A56084">
      <w:pPr>
        <w:pStyle w:val="NormalWeb"/>
        <w:ind w:firstLine="720"/>
      </w:pPr>
      <w:r>
        <w:t xml:space="preserve">According to Part 1068.501(c)(1), manufacturers must submit </w:t>
      </w:r>
      <w:r w:rsidR="003C34D0">
        <w:t xml:space="preserve">DIRs </w:t>
      </w:r>
      <w:r>
        <w:t>within 21 days after the date the threshold specified in 1068.501(f) is met. When a recall becomes necessary under Part 1068.505(c), manufacturers have 60 days to submit a remedial plan (</w:t>
      </w:r>
      <w:r w:rsidR="00EA6BDB">
        <w:t xml:space="preserve">same as a </w:t>
      </w:r>
      <w:r>
        <w:t>VERR</w:t>
      </w:r>
      <w:r w:rsidR="00747C9D">
        <w:t>). Manufacturers must then update EPA on the progress of the recall for six consecutive quarters or until all engines are inspected, whichever comes first (1068.525(b)). VERR updates are due</w:t>
      </w:r>
      <w:r>
        <w:t xml:space="preserve"> 25 days after the end of each quarter</w:t>
      </w:r>
      <w:r w:rsidR="00747C9D">
        <w:t xml:space="preserve">. </w:t>
      </w:r>
    </w:p>
    <w:p w14:paraId="6D13E413" w14:textId="77777777" w:rsidR="000E7E17" w:rsidRDefault="000D568D" w:rsidP="00A56084">
      <w:pPr>
        <w:pStyle w:val="NormalWeb"/>
        <w:ind w:firstLine="720"/>
      </w:pPr>
      <w:r>
        <w:t>For industries regulated under other Parts (see section 2(a) for details), DIRs are due within 15 days</w:t>
      </w:r>
      <w:r w:rsidR="002D6CA0">
        <w:t xml:space="preserve"> from the time a manufacturer determines that a reportable defect exists</w:t>
      </w:r>
      <w:r>
        <w:t xml:space="preserve">. If information necessary to complete the written report is not available to the respondent within </w:t>
      </w:r>
      <w:r w:rsidRPr="000D568D">
        <w:t>15 days,</w:t>
      </w:r>
      <w:r>
        <w:t xml:space="preserve"> the respondent may submit the missing information when it becomes available.  </w:t>
      </w:r>
      <w:r w:rsidR="00747C9D">
        <w:t xml:space="preserve">VERRs are required </w:t>
      </w:r>
      <w:r w:rsidR="003C34D0">
        <w:t>within 15 days after vehicle owner notification</w:t>
      </w:r>
      <w:r w:rsidR="00747C9D">
        <w:t>.</w:t>
      </w:r>
      <w:r w:rsidR="003C34D0">
        <w:t xml:space="preserve"> </w:t>
      </w:r>
    </w:p>
    <w:p w14:paraId="2F21914F" w14:textId="77777777" w:rsidR="006B6D53" w:rsidRDefault="006B0B74" w:rsidP="007E3408">
      <w:pPr>
        <w:pStyle w:val="NormalWeb"/>
        <w:ind w:firstLine="720"/>
      </w:pPr>
      <w:r w:rsidRPr="00952561">
        <w:t>This collection also requires manufacturers to retain records</w:t>
      </w:r>
      <w:r w:rsidR="00952561" w:rsidRPr="00952561">
        <w:t xml:space="preserve"> for periods longer than one year. For industries regulated under Part 1068, records must be kept for three years (1068.530).  For other industries, records are kept for five years. </w:t>
      </w:r>
      <w:r w:rsidR="006B6D53" w:rsidRPr="00952561">
        <w:t>These recordkeeping requirements stem</w:t>
      </w:r>
      <w:r w:rsidR="006B6D53" w:rsidRPr="008B3DD0">
        <w:t xml:space="preserve"> mainly from the statutory requirement to warr</w:t>
      </w:r>
      <w:r w:rsidR="006B6D53">
        <w:t>ant some items for long periods</w:t>
      </w:r>
      <w:r w:rsidR="006B6D53" w:rsidRPr="008B3DD0">
        <w:t xml:space="preserve"> and because </w:t>
      </w:r>
      <w:r w:rsidR="006B6D53">
        <w:t xml:space="preserve">some of the types of engines covered by this collection </w:t>
      </w:r>
      <w:r w:rsidR="006B6D53" w:rsidRPr="008B3DD0">
        <w:t>have extremely long useful lives</w:t>
      </w:r>
      <w:r w:rsidR="006B6D53">
        <w:t xml:space="preserve"> (e.g</w:t>
      </w:r>
      <w:r w:rsidR="006B6D53" w:rsidRPr="008B3DD0">
        <w:t>.</w:t>
      </w:r>
      <w:r w:rsidR="006B6D53">
        <w:t>, locomotives).</w:t>
      </w:r>
      <w:r w:rsidR="006B6D53" w:rsidRPr="008B3DD0">
        <w:t xml:space="preserve">  </w:t>
      </w:r>
    </w:p>
    <w:p w14:paraId="35D04676" w14:textId="77777777" w:rsidR="006B6D53" w:rsidRDefault="006B6D53" w:rsidP="006B6D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t xml:space="preserve">Manufacturers may need to submit certain sensitive technical descriptions when describing the nature of a defect.  That information is kept confidential in accordance with the Freedom of Information Act, EPA regulations at 40 CFR Part 2, and class determinations issued by EPA's Office of General Counsel.  </w:t>
      </w:r>
    </w:p>
    <w:p w14:paraId="122BF0A4" w14:textId="77777777" w:rsidR="006B6D53" w:rsidRDefault="006B6D53" w:rsidP="00B224A4">
      <w:pPr>
        <w:pStyle w:val="Heading2"/>
        <w:rPr>
          <w:u w:val="none"/>
        </w:rPr>
      </w:pPr>
    </w:p>
    <w:p w14:paraId="3ABB79E7" w14:textId="77777777" w:rsidR="006B6D53" w:rsidRDefault="006B6D53" w:rsidP="00B224A4">
      <w:pPr>
        <w:pStyle w:val="Heading2"/>
        <w:rPr>
          <w:u w:val="none"/>
        </w:rPr>
      </w:pPr>
    </w:p>
    <w:p w14:paraId="454060D8" w14:textId="77777777" w:rsidR="006B0B74" w:rsidRDefault="001E0371" w:rsidP="00B224A4">
      <w:pPr>
        <w:pStyle w:val="Heading2"/>
      </w:pPr>
      <w:r w:rsidRPr="009B431C">
        <w:rPr>
          <w:u w:val="none"/>
        </w:rPr>
        <w:t xml:space="preserve">3(f) </w:t>
      </w:r>
      <w:r w:rsidR="00F85DAD" w:rsidRPr="009B431C">
        <w:rPr>
          <w:u w:val="none"/>
        </w:rPr>
        <w:tab/>
      </w:r>
      <w:r w:rsidRPr="00F85DAD">
        <w:t>Confidentiality</w:t>
      </w:r>
    </w:p>
    <w:p w14:paraId="51D014B6" w14:textId="77777777" w:rsidR="006B6D53" w:rsidRPr="006B6D53" w:rsidRDefault="006B6D53" w:rsidP="006B6D53"/>
    <w:p w14:paraId="36B76694" w14:textId="77777777" w:rsidR="006B6D53" w:rsidRDefault="006B6D53" w:rsidP="006B6D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t xml:space="preserve">Manufacturers are allowed to assert a claim of confidentiality over information provided to EPA.  Confidentiality is provided in accordance with the Freedom of Information Act and EPA regulations at 40 CFR Part 2.  </w:t>
      </w:r>
    </w:p>
    <w:p w14:paraId="34E71B26" w14:textId="77777777" w:rsidR="006B6D53" w:rsidRDefault="006B6D53" w:rsidP="006B6D5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109636A" w14:textId="77777777" w:rsidR="00C4014B" w:rsidRDefault="001E0371" w:rsidP="00B224A4">
      <w:pPr>
        <w:pStyle w:val="Heading2"/>
      </w:pPr>
      <w:r w:rsidRPr="009B431C">
        <w:rPr>
          <w:u w:val="none"/>
        </w:rPr>
        <w:t xml:space="preserve">3(g) </w:t>
      </w:r>
      <w:r w:rsidR="00C4014B" w:rsidRPr="009B431C">
        <w:rPr>
          <w:u w:val="none"/>
        </w:rPr>
        <w:tab/>
      </w:r>
      <w:r w:rsidR="00C4014B" w:rsidRPr="00C4014B">
        <w:t>Sensitive Questions</w:t>
      </w:r>
    </w:p>
    <w:p w14:paraId="00378E7D" w14:textId="77777777" w:rsidR="00EE15B2" w:rsidRDefault="001E0371" w:rsidP="00B4376E">
      <w:pPr>
        <w:pStyle w:val="NormalWeb"/>
        <w:ind w:firstLine="720"/>
      </w:pPr>
      <w:r>
        <w:t>No questions of a sensitive nature are asked.</w:t>
      </w:r>
    </w:p>
    <w:p w14:paraId="6E61EEA1" w14:textId="77777777" w:rsidR="00F76A1F" w:rsidRDefault="00F76A1F" w:rsidP="00B4376E">
      <w:pPr>
        <w:pStyle w:val="Clear"/>
        <w:rPr>
          <w:color w:val="000000"/>
          <w:lang w:val="en-US"/>
        </w:rPr>
      </w:pPr>
    </w:p>
    <w:p w14:paraId="3E0C908C" w14:textId="77777777" w:rsidR="006B6D53" w:rsidRDefault="006B6D53" w:rsidP="00B4376E">
      <w:pPr>
        <w:pStyle w:val="Clear"/>
        <w:rPr>
          <w:color w:val="000000"/>
          <w:lang w:val="en-US"/>
        </w:rPr>
      </w:pPr>
    </w:p>
    <w:p w14:paraId="03122F0B" w14:textId="77777777" w:rsidR="001E0371" w:rsidRPr="00573F97" w:rsidRDefault="00EE15B2" w:rsidP="00573F97">
      <w:pPr>
        <w:keepNext/>
        <w:keepLines/>
        <w:rPr>
          <w:b/>
          <w:u w:val="single"/>
        </w:rPr>
      </w:pPr>
      <w:r w:rsidRPr="001815C2">
        <w:rPr>
          <w:b/>
        </w:rPr>
        <w:t>4.</w:t>
      </w:r>
      <w:r w:rsidR="00676984" w:rsidRPr="001815C2">
        <w:rPr>
          <w:b/>
        </w:rPr>
        <w:tab/>
      </w:r>
      <w:r w:rsidR="001E0371" w:rsidRPr="001815C2">
        <w:rPr>
          <w:b/>
          <w:u w:val="single"/>
        </w:rPr>
        <w:t>The Respondents and the Information Requested</w:t>
      </w:r>
    </w:p>
    <w:p w14:paraId="6BA366DA" w14:textId="77777777" w:rsidR="00CE1439" w:rsidRDefault="00CE1439" w:rsidP="00573F97">
      <w:pPr>
        <w:keepNext/>
        <w:keepLines/>
      </w:pPr>
    </w:p>
    <w:p w14:paraId="76AD9954" w14:textId="77777777" w:rsidR="006B6D53" w:rsidRDefault="006B6D53" w:rsidP="00573F97">
      <w:pPr>
        <w:keepNext/>
        <w:keepLines/>
      </w:pPr>
    </w:p>
    <w:p w14:paraId="7CE01E14" w14:textId="77777777" w:rsidR="001E0371" w:rsidRPr="004D23F4" w:rsidRDefault="001E0371" w:rsidP="00573F97">
      <w:pPr>
        <w:pStyle w:val="Heading2"/>
        <w:keepLines/>
      </w:pPr>
      <w:r w:rsidRPr="009B431C">
        <w:rPr>
          <w:u w:val="none"/>
        </w:rPr>
        <w:t xml:space="preserve">4(a) </w:t>
      </w:r>
      <w:r w:rsidR="00B82F56" w:rsidRPr="009B431C">
        <w:rPr>
          <w:u w:val="none"/>
        </w:rPr>
        <w:tab/>
      </w:r>
      <w:r w:rsidRPr="00CE1439">
        <w:t>Respondents/NAICS Codes</w:t>
      </w:r>
    </w:p>
    <w:p w14:paraId="3CEEDB21" w14:textId="77777777" w:rsidR="00CE1439" w:rsidRDefault="00CE1439" w:rsidP="00131944">
      <w:pPr>
        <w:keepNext/>
        <w:keepLines/>
      </w:pPr>
    </w:p>
    <w:p w14:paraId="32595030" w14:textId="77777777" w:rsidR="004D23F4" w:rsidRPr="004D23F4" w:rsidRDefault="009050F9" w:rsidP="00131944">
      <w:pPr>
        <w:keepNext/>
        <w:keepLines/>
        <w:ind w:firstLine="720"/>
      </w:pPr>
      <w:r w:rsidRPr="004D23F4">
        <w:fldChar w:fldCharType="begin"/>
      </w:r>
      <w:r w:rsidR="004D23F4" w:rsidRPr="004D23F4">
        <w:instrText xml:space="preserve"> SEQ CHAPTER \h \r 1</w:instrText>
      </w:r>
      <w:r w:rsidRPr="004D23F4">
        <w:fldChar w:fldCharType="end"/>
      </w:r>
      <w:r w:rsidR="004D23F4" w:rsidRPr="004D23F4">
        <w:t>Respondents are manufacturers of non-road engines within the following North American Industry Classification System (NAICS) codes:</w:t>
      </w:r>
    </w:p>
    <w:p w14:paraId="27661B0E" w14:textId="77777777" w:rsidR="004D23F4" w:rsidRPr="004D23F4" w:rsidRDefault="004D23F4" w:rsidP="00131944">
      <w:pPr>
        <w:keepNext/>
        <w:keepLines/>
      </w:pPr>
    </w:p>
    <w:p w14:paraId="1328A4DB" w14:textId="77777777" w:rsidR="004D23F4" w:rsidRPr="00FF63F9" w:rsidRDefault="007137EC" w:rsidP="007137EC">
      <w:pPr>
        <w:keepNext/>
        <w:keepLines/>
        <w:ind w:left="360"/>
      </w:pPr>
      <w:r w:rsidRPr="00FF63F9">
        <w:t>●</w:t>
      </w:r>
      <w:r w:rsidRPr="00FF63F9">
        <w:tab/>
      </w:r>
      <w:r w:rsidR="004D23F4" w:rsidRPr="00FF63F9">
        <w:t>333618 Other Engine Equipment Manufacturing</w:t>
      </w:r>
    </w:p>
    <w:p w14:paraId="194924F3" w14:textId="77777777" w:rsidR="005A613A" w:rsidRDefault="007137EC" w:rsidP="007137EC">
      <w:pPr>
        <w:keepNext/>
        <w:keepLines/>
        <w:ind w:left="360"/>
      </w:pPr>
      <w:r w:rsidRPr="00FF63F9">
        <w:t>●</w:t>
      </w:r>
      <w:r w:rsidRPr="00FF63F9">
        <w:tab/>
      </w:r>
      <w:r w:rsidR="004D23F4" w:rsidRPr="00FF63F9">
        <w:t>336312 Gasoline Engine and Engine Parts Manufacturing</w:t>
      </w:r>
    </w:p>
    <w:p w14:paraId="261B4B61" w14:textId="77777777" w:rsidR="005A613A" w:rsidRDefault="005A613A" w:rsidP="00131944">
      <w:pPr>
        <w:keepNext/>
        <w:keepLines/>
      </w:pPr>
    </w:p>
    <w:p w14:paraId="00279E8F" w14:textId="77777777" w:rsidR="006B6D53" w:rsidRDefault="006B6D53" w:rsidP="00131944">
      <w:pPr>
        <w:keepNext/>
        <w:keepLines/>
      </w:pPr>
    </w:p>
    <w:p w14:paraId="0AFA9105" w14:textId="77777777" w:rsidR="001E0371" w:rsidRDefault="001E0371" w:rsidP="00B224A4">
      <w:pPr>
        <w:pStyle w:val="Heading2"/>
      </w:pPr>
      <w:r w:rsidRPr="009B431C">
        <w:rPr>
          <w:u w:val="none"/>
        </w:rPr>
        <w:t xml:space="preserve">4(b) </w:t>
      </w:r>
      <w:r w:rsidR="00B82F56" w:rsidRPr="009B431C">
        <w:rPr>
          <w:u w:val="none"/>
        </w:rPr>
        <w:tab/>
      </w:r>
      <w:r w:rsidR="00B82F56" w:rsidRPr="005C542D">
        <w:t>Information Requested</w:t>
      </w:r>
    </w:p>
    <w:p w14:paraId="499A21B8" w14:textId="77777777" w:rsidR="00A307C5" w:rsidRDefault="00A307C5" w:rsidP="00A90CEC">
      <w:pPr>
        <w:rPr>
          <w:lang w:val="en-CA"/>
        </w:rPr>
      </w:pPr>
    </w:p>
    <w:p w14:paraId="390C5AD7" w14:textId="77777777" w:rsidR="00EF4994" w:rsidRDefault="00EF4994" w:rsidP="00A90CEC">
      <w:pPr>
        <w:rPr>
          <w:lang w:val="en-CA"/>
        </w:rPr>
      </w:pPr>
    </w:p>
    <w:p w14:paraId="2A05ADD8" w14:textId="77777777" w:rsidR="00EF4994" w:rsidRDefault="00EF4994" w:rsidP="00EF49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t>EPA has developed electronic tools that respondents use to submit the information requested.  Section 4(b)(i) below summarizes the data requested under each program and the tools used to collect it.</w:t>
      </w:r>
    </w:p>
    <w:p w14:paraId="36EAF2BD" w14:textId="77777777" w:rsidR="00EF4994" w:rsidRDefault="00EF4994" w:rsidP="00A90CEC">
      <w:pPr>
        <w:rPr>
          <w:lang w:val="en-CA"/>
        </w:rPr>
      </w:pPr>
    </w:p>
    <w:p w14:paraId="6E6F0A22" w14:textId="77777777" w:rsidR="00A90CEC" w:rsidRPr="00A90CEC" w:rsidRDefault="009050F9" w:rsidP="009B431C">
      <w:pPr>
        <w:tabs>
          <w:tab w:val="left" w:pos="1080"/>
        </w:tabs>
        <w:ind w:left="360"/>
      </w:pPr>
      <w:r w:rsidRPr="00A90CEC">
        <w:rPr>
          <w:lang w:val="en-CA"/>
        </w:rPr>
        <w:fldChar w:fldCharType="begin"/>
      </w:r>
      <w:r w:rsidR="00A90CEC" w:rsidRPr="00A90CEC">
        <w:rPr>
          <w:lang w:val="en-CA"/>
        </w:rPr>
        <w:instrText xml:space="preserve"> SEQ CHAPTER \h \r 1</w:instrText>
      </w:r>
      <w:r w:rsidRPr="00A90CEC">
        <w:rPr>
          <w:lang w:val="en-CA"/>
        </w:rPr>
        <w:fldChar w:fldCharType="end"/>
      </w:r>
      <w:r w:rsidR="00A90CEC" w:rsidRPr="00A90CEC">
        <w:t>(i)</w:t>
      </w:r>
      <w:r w:rsidR="00A90CEC" w:rsidRPr="00A90CEC">
        <w:tab/>
      </w:r>
      <w:r w:rsidR="00A90CEC" w:rsidRPr="009B431C">
        <w:rPr>
          <w:u w:val="single"/>
        </w:rPr>
        <w:t xml:space="preserve">Data Items  </w:t>
      </w:r>
    </w:p>
    <w:p w14:paraId="34E4B383" w14:textId="77777777" w:rsidR="00A90CEC" w:rsidRPr="00A90CEC" w:rsidRDefault="00A90CEC" w:rsidP="00A90CEC">
      <w:pPr>
        <w:jc w:val="center"/>
      </w:pPr>
    </w:p>
    <w:p w14:paraId="44C7777D" w14:textId="77777777" w:rsidR="00A90CEC" w:rsidRPr="00A90CEC" w:rsidRDefault="00A90CEC" w:rsidP="00A90CEC">
      <w:r w:rsidRPr="00A90CEC">
        <w:tab/>
      </w:r>
      <w:r w:rsidR="00213A1C">
        <w:t xml:space="preserve">Subsections </w:t>
      </w:r>
      <w:r w:rsidRPr="00A90CEC">
        <w:t xml:space="preserve">A through E </w:t>
      </w:r>
      <w:r w:rsidR="00213A1C">
        <w:t xml:space="preserve">below </w:t>
      </w:r>
      <w:r w:rsidRPr="00A90CEC">
        <w:t xml:space="preserve">list </w:t>
      </w:r>
      <w:r w:rsidR="006D4028">
        <w:t xml:space="preserve">most of </w:t>
      </w:r>
      <w:r w:rsidRPr="00A90CEC">
        <w:t>the data items requested under this information collection.  Some of these data items are required to be kept in records and submitted only upon request.</w:t>
      </w:r>
      <w:r w:rsidRPr="00A90CEC">
        <w:tab/>
      </w:r>
      <w:r w:rsidR="00213A1C">
        <w:t xml:space="preserve">The lists in these sections are meant to give an idea of what is usually requested.  For a complete list of all data items applicable for each type of engine, please refer to the regulations listed in Section 2(a). </w:t>
      </w:r>
    </w:p>
    <w:p w14:paraId="333FDA84" w14:textId="77777777" w:rsidR="008E52C5" w:rsidRDefault="008E52C5" w:rsidP="008E52C5"/>
    <w:p w14:paraId="33AEC735" w14:textId="77777777" w:rsidR="00FE58C3" w:rsidRPr="009B431C" w:rsidRDefault="00913068" w:rsidP="009B431C">
      <w:pPr>
        <w:ind w:left="720"/>
        <w:rPr>
          <w:u w:val="single"/>
        </w:rPr>
      </w:pPr>
      <w:r w:rsidRPr="009B431C">
        <w:t>A.</w:t>
      </w:r>
      <w:r w:rsidRPr="009B431C">
        <w:tab/>
      </w:r>
      <w:r w:rsidRPr="009B431C">
        <w:rPr>
          <w:u w:val="single"/>
        </w:rPr>
        <w:t>D</w:t>
      </w:r>
      <w:r w:rsidR="00FE58C3" w:rsidRPr="009B431C">
        <w:rPr>
          <w:u w:val="single"/>
        </w:rPr>
        <w:t>efect Information Reports (DIRs)</w:t>
      </w:r>
      <w:r w:rsidR="00EF4994" w:rsidRPr="00EF4994">
        <w:rPr>
          <w:color w:val="FF0000"/>
          <w:u w:val="single"/>
        </w:rPr>
        <w:t xml:space="preserve"> </w:t>
      </w:r>
    </w:p>
    <w:p w14:paraId="531CFA25" w14:textId="77777777" w:rsidR="00C20317" w:rsidRPr="0020126B" w:rsidRDefault="00C20317" w:rsidP="00FE58C3">
      <w:pPr>
        <w:numPr>
          <w:ilvl w:val="12"/>
          <w:numId w:val="0"/>
        </w:numPr>
      </w:pPr>
    </w:p>
    <w:p w14:paraId="19B538A2" w14:textId="77777777" w:rsidR="001C654F" w:rsidRDefault="00FE58C3" w:rsidP="00FE58C3">
      <w:pPr>
        <w:numPr>
          <w:ilvl w:val="12"/>
          <w:numId w:val="0"/>
        </w:numPr>
      </w:pPr>
      <w:r w:rsidRPr="0020126B">
        <w:tab/>
        <w:t>Manufacturers are required to submit defect information reports only when their data indicates that an emission-related defect may exist</w:t>
      </w:r>
      <w:r w:rsidR="006D4028">
        <w:t xml:space="preserve"> in a substantial number of properly maintain engines.  The term “substantial number” has different definitions in some of the regulations covered by this collection</w:t>
      </w:r>
      <w:r w:rsidR="00B40053">
        <w:t xml:space="preserve">. </w:t>
      </w:r>
      <w:r w:rsidR="00E65499">
        <w:t>Part 1068</w:t>
      </w:r>
      <w:r w:rsidR="001C654F">
        <w:t xml:space="preserve"> establish thresholds based on projected sales </w:t>
      </w:r>
      <w:r w:rsidR="00B40053">
        <w:t>(40 CFR 1068.</w:t>
      </w:r>
      <w:r w:rsidR="00E65499">
        <w:t>501(e))</w:t>
      </w:r>
      <w:r w:rsidR="001C654F">
        <w:t>.</w:t>
      </w:r>
      <w:r w:rsidRPr="0020126B">
        <w:t xml:space="preserve"> </w:t>
      </w:r>
      <w:r w:rsidR="00B40053">
        <w:t>Section 2(a) lists the industries regulated under Part 1068.</w:t>
      </w:r>
      <w:r w:rsidRPr="0020126B">
        <w:t xml:space="preserve"> </w:t>
      </w:r>
      <w:r w:rsidR="00B40053">
        <w:t>; For other industries, the regulations generally define this term as 25</w:t>
      </w:r>
      <w:r w:rsidR="00B40053" w:rsidRPr="0020126B">
        <w:t xml:space="preserve"> engines or more (10 for locomotives).</w:t>
      </w:r>
      <w:r w:rsidR="00B40053">
        <w:t xml:space="preserve">  </w:t>
      </w:r>
    </w:p>
    <w:p w14:paraId="584A5480" w14:textId="77777777" w:rsidR="001C654F" w:rsidRDefault="001C654F" w:rsidP="00FE58C3">
      <w:pPr>
        <w:numPr>
          <w:ilvl w:val="12"/>
          <w:numId w:val="0"/>
        </w:numPr>
      </w:pPr>
    </w:p>
    <w:p w14:paraId="36988E70" w14:textId="77777777" w:rsidR="00FE58C3" w:rsidRPr="0020126B" w:rsidRDefault="001C654F" w:rsidP="001C654F">
      <w:pPr>
        <w:numPr>
          <w:ilvl w:val="12"/>
          <w:numId w:val="0"/>
        </w:numPr>
        <w:ind w:firstLine="720"/>
      </w:pPr>
      <w:r>
        <w:t xml:space="preserve">Manufacturers must report </w:t>
      </w:r>
      <w:r w:rsidR="00FE58C3" w:rsidRPr="0020126B">
        <w:t xml:space="preserve">within 15 working </w:t>
      </w:r>
      <w:r>
        <w:t xml:space="preserve">days </w:t>
      </w:r>
      <w:r w:rsidR="00E65499">
        <w:t xml:space="preserve">(21 days for engines subject to Part 1068) </w:t>
      </w:r>
      <w:r>
        <w:t xml:space="preserve">after </w:t>
      </w:r>
      <w:r w:rsidR="007E3408">
        <w:t>a</w:t>
      </w:r>
      <w:r>
        <w:t xml:space="preserve"> defect is found</w:t>
      </w:r>
      <w:r w:rsidR="00E65499">
        <w:t xml:space="preserve"> in a substantial number of engines</w:t>
      </w:r>
      <w:r w:rsidR="00FE58C3" w:rsidRPr="0020126B">
        <w:t xml:space="preserve">.  These requirements apply only to </w:t>
      </w:r>
      <w:r w:rsidR="00B40053" w:rsidRPr="0020126B">
        <w:t>engines that</w:t>
      </w:r>
      <w:r w:rsidR="00FE58C3" w:rsidRPr="0020126B">
        <w:t xml:space="preserve"> have already been sold to the public and remain in effect for five years after the model year in which the engine was certified. </w:t>
      </w:r>
      <w:r>
        <w:t xml:space="preserve">For engines subject to Part 1068, the requirements apply for the entire useful life of the engine or five years after the end of the model year, whichever is longer [40 CFR 1068.501(b)(4)]. </w:t>
      </w:r>
    </w:p>
    <w:p w14:paraId="159D33A9" w14:textId="77777777" w:rsidR="001C654F" w:rsidRDefault="001C654F" w:rsidP="001C654F">
      <w:pPr>
        <w:keepNext/>
        <w:numPr>
          <w:ilvl w:val="12"/>
          <w:numId w:val="0"/>
        </w:numPr>
        <w:rPr>
          <w:b/>
          <w:bCs/>
        </w:rPr>
      </w:pPr>
    </w:p>
    <w:p w14:paraId="4AD38D1F" w14:textId="77777777" w:rsidR="001C654F" w:rsidRDefault="00DB01D8" w:rsidP="002D6CA0">
      <w:pPr>
        <w:keepNext/>
        <w:ind w:firstLine="720"/>
      </w:pPr>
      <w:r>
        <w:t>Manufacturers of HD engines use a form</w:t>
      </w:r>
      <w:r w:rsidR="001815C2">
        <w:t xml:space="preserve"> to submit their DIRs. NR manufacturers </w:t>
      </w:r>
      <w:r w:rsidR="002D6CA0">
        <w:t xml:space="preserve">may choose the format in which they submit their reports. EPA may develop forms for NR manufacturers in the future. </w:t>
      </w:r>
      <w:r w:rsidR="001815C2">
        <w:t xml:space="preserve">Data items </w:t>
      </w:r>
      <w:r w:rsidR="001C654F">
        <w:t>requested in Defect Information Reports include:</w:t>
      </w:r>
    </w:p>
    <w:p w14:paraId="30D9B6FA" w14:textId="77777777" w:rsidR="001C654F" w:rsidRDefault="001C654F" w:rsidP="001C654F">
      <w:pPr>
        <w:keepNext/>
        <w:ind w:left="720"/>
      </w:pPr>
    </w:p>
    <w:p w14:paraId="2B4D710F" w14:textId="77777777" w:rsidR="001C654F" w:rsidRDefault="001C654F" w:rsidP="001C654F">
      <w:pPr>
        <w:keepNext/>
        <w:numPr>
          <w:ilvl w:val="0"/>
          <w:numId w:val="21"/>
        </w:numPr>
      </w:pPr>
      <w:r>
        <w:t>The manufacturer's corporate name</w:t>
      </w:r>
    </w:p>
    <w:p w14:paraId="54F716ED" w14:textId="77777777" w:rsidR="001C654F" w:rsidRDefault="001C654F" w:rsidP="001C654F">
      <w:pPr>
        <w:keepNext/>
        <w:numPr>
          <w:ilvl w:val="0"/>
          <w:numId w:val="21"/>
        </w:numPr>
      </w:pPr>
      <w:r>
        <w:t>A description of the defect</w:t>
      </w:r>
    </w:p>
    <w:p w14:paraId="26377111" w14:textId="77777777" w:rsidR="001C654F" w:rsidRDefault="001C654F" w:rsidP="001C654F">
      <w:pPr>
        <w:keepNext/>
        <w:numPr>
          <w:ilvl w:val="0"/>
          <w:numId w:val="21"/>
        </w:numPr>
      </w:pPr>
      <w:r>
        <w:t>A description of the class or category of engines</w:t>
      </w:r>
    </w:p>
    <w:p w14:paraId="37F97364" w14:textId="77777777" w:rsidR="001C654F" w:rsidRDefault="001C654F" w:rsidP="001C654F">
      <w:pPr>
        <w:keepNext/>
        <w:numPr>
          <w:ilvl w:val="0"/>
          <w:numId w:val="21"/>
        </w:numPr>
      </w:pPr>
      <w:r>
        <w:t>Number of vehicle or engines estimated or known to have the defect and explanation of derivation.</w:t>
      </w:r>
    </w:p>
    <w:p w14:paraId="77CC917A" w14:textId="77777777" w:rsidR="001C654F" w:rsidRDefault="001C654F" w:rsidP="001C654F">
      <w:pPr>
        <w:keepNext/>
        <w:numPr>
          <w:ilvl w:val="0"/>
          <w:numId w:val="21"/>
        </w:numPr>
      </w:pPr>
      <w:r>
        <w:t>The address of the plant(s) where they were produced</w:t>
      </w:r>
    </w:p>
    <w:p w14:paraId="7DF5E077" w14:textId="77777777" w:rsidR="001C654F" w:rsidRDefault="001C654F" w:rsidP="001C654F">
      <w:pPr>
        <w:keepNext/>
        <w:numPr>
          <w:ilvl w:val="0"/>
          <w:numId w:val="21"/>
        </w:numPr>
      </w:pPr>
      <w:r>
        <w:t>Evaluation of the emissions impact and any driveability problems it might cause</w:t>
      </w:r>
    </w:p>
    <w:p w14:paraId="5CB12BD7" w14:textId="77777777" w:rsidR="001C654F" w:rsidRDefault="001C654F" w:rsidP="001C654F">
      <w:pPr>
        <w:keepNext/>
        <w:numPr>
          <w:ilvl w:val="0"/>
          <w:numId w:val="21"/>
        </w:numPr>
      </w:pPr>
      <w:r>
        <w:t>Available emissions data related to the defect</w:t>
      </w:r>
    </w:p>
    <w:p w14:paraId="13EBC5A1" w14:textId="77777777" w:rsidR="001C654F" w:rsidRDefault="001C654F" w:rsidP="001C654F">
      <w:pPr>
        <w:keepNext/>
        <w:numPr>
          <w:ilvl w:val="0"/>
          <w:numId w:val="21"/>
        </w:numPr>
      </w:pPr>
      <w:r>
        <w:t>Indication of any anticipated manufacturer follow-up</w:t>
      </w:r>
    </w:p>
    <w:p w14:paraId="570961E4" w14:textId="77777777" w:rsidR="00131944" w:rsidRDefault="00131944" w:rsidP="001815C2">
      <w:pPr>
        <w:keepNext/>
        <w:ind w:left="720"/>
      </w:pPr>
    </w:p>
    <w:p w14:paraId="1DFD4EB5" w14:textId="77777777" w:rsidR="001815C2" w:rsidRDefault="001815C2" w:rsidP="001815C2">
      <w:pPr>
        <w:ind w:firstLine="720"/>
      </w:pPr>
      <w:r>
        <w:t xml:space="preserve">Under Part 1068, manufacturers must update EPA as they investigate a defect to determine whether the applicable threshold has been reached.  These reports must be submitted bi-annual, no later than June 30 and December 31 of each year until the manufacturer makes a determination. </w:t>
      </w:r>
    </w:p>
    <w:p w14:paraId="19C1384B" w14:textId="77777777" w:rsidR="001815C2" w:rsidRPr="00131944" w:rsidRDefault="001815C2" w:rsidP="001815C2">
      <w:pPr>
        <w:keepNext/>
        <w:ind w:left="720"/>
      </w:pPr>
    </w:p>
    <w:p w14:paraId="2499541D" w14:textId="77777777" w:rsidR="001815C2" w:rsidRDefault="001815C2" w:rsidP="001815C2">
      <w:pPr>
        <w:keepNext/>
        <w:ind w:left="720"/>
      </w:pPr>
    </w:p>
    <w:p w14:paraId="293C9F39" w14:textId="77777777" w:rsidR="001815C2" w:rsidRDefault="001815C2" w:rsidP="001815C2">
      <w:pPr>
        <w:keepNext/>
        <w:ind w:left="720"/>
      </w:pPr>
    </w:p>
    <w:p w14:paraId="15B51A83" w14:textId="77777777" w:rsidR="00125323" w:rsidRPr="009B431C" w:rsidRDefault="00D52FF7" w:rsidP="009B431C">
      <w:pPr>
        <w:ind w:left="720"/>
      </w:pPr>
      <w:r w:rsidRPr="009B431C">
        <w:t>B.</w:t>
      </w:r>
      <w:r w:rsidRPr="009B431C">
        <w:tab/>
      </w:r>
      <w:r w:rsidR="009050F9" w:rsidRPr="009B431C">
        <w:rPr>
          <w:u w:val="single"/>
        </w:rPr>
        <w:fldChar w:fldCharType="begin"/>
      </w:r>
      <w:r w:rsidR="00125323" w:rsidRPr="009B431C">
        <w:rPr>
          <w:u w:val="single"/>
        </w:rPr>
        <w:instrText xml:space="preserve"> SEQ CHAPTER \h \r 1</w:instrText>
      </w:r>
      <w:r w:rsidR="009050F9" w:rsidRPr="009B431C">
        <w:rPr>
          <w:u w:val="single"/>
        </w:rPr>
        <w:fldChar w:fldCharType="end"/>
      </w:r>
      <w:r w:rsidR="00125323" w:rsidRPr="009B431C">
        <w:rPr>
          <w:u w:val="single"/>
        </w:rPr>
        <w:t>Voluntary Emission Recall Reports (VERRs)</w:t>
      </w:r>
      <w:r w:rsidR="00EF4994" w:rsidRPr="00EF4994">
        <w:rPr>
          <w:color w:val="FF0000"/>
          <w:u w:val="single"/>
        </w:rPr>
        <w:t xml:space="preserve"> </w:t>
      </w:r>
    </w:p>
    <w:p w14:paraId="5FC6CE08" w14:textId="77777777" w:rsidR="00125323" w:rsidRPr="00125323" w:rsidRDefault="00125323" w:rsidP="00125323"/>
    <w:p w14:paraId="68DAFCD1" w14:textId="77777777" w:rsidR="002D6CA0" w:rsidRDefault="002D6CA0" w:rsidP="002D6CA0">
      <w:pPr>
        <w:pStyle w:val="NormalWeb"/>
        <w:ind w:firstLine="720"/>
      </w:pPr>
      <w:r>
        <w:t>After a manufacturer determines that the applicable threshold was met, the manufacturer may choose to recall the engines or EPA may order a recall. (For simplicity, we are referring to all recall reports as VERRs, a widely used name, regardless of whether the recall was voluntary</w:t>
      </w:r>
      <w:r w:rsidRPr="002D6CA0">
        <w:t xml:space="preserve"> </w:t>
      </w:r>
      <w:r>
        <w:t>or mandated.)</w:t>
      </w:r>
      <w:r w:rsidR="00B40053">
        <w:t xml:space="preserve"> </w:t>
      </w:r>
      <w:r>
        <w:t xml:space="preserve"> Under Part 1068.505(c), manufacturers have 60 days to submit a remedial plan (VERR). </w:t>
      </w:r>
    </w:p>
    <w:p w14:paraId="3421DE0E" w14:textId="77777777" w:rsidR="009064AB" w:rsidRDefault="002D6CA0" w:rsidP="002D6CA0">
      <w:pPr>
        <w:ind w:firstLine="720"/>
      </w:pPr>
      <w:r>
        <w:t>For other industries, i</w:t>
      </w:r>
      <w:r w:rsidR="00125323" w:rsidRPr="00125323">
        <w:t xml:space="preserve">f the recall </w:t>
      </w:r>
      <w:r w:rsidR="00125323" w:rsidRPr="002D6CA0">
        <w:t>involves 25 engines or more (one for locomotives), they must notify EPA about the recall within 15 days o</w:t>
      </w:r>
      <w:r w:rsidR="00125323" w:rsidRPr="00125323">
        <w:t>f the date they first started to notify</w:t>
      </w:r>
      <w:r w:rsidR="001C654F">
        <w:t xml:space="preserve"> engine owners.</w:t>
      </w:r>
    </w:p>
    <w:p w14:paraId="125089CB" w14:textId="77777777" w:rsidR="00213A1C" w:rsidRDefault="00213A1C" w:rsidP="009064AB"/>
    <w:p w14:paraId="36C2E7E5" w14:textId="77777777" w:rsidR="006B6D53" w:rsidRPr="00EF4994" w:rsidRDefault="00DB01D8" w:rsidP="002D6CA0">
      <w:pPr>
        <w:ind w:firstLine="720"/>
      </w:pPr>
      <w:r>
        <w:t>EPA has developed a form</w:t>
      </w:r>
      <w:r w:rsidR="002D6CA0">
        <w:t xml:space="preserve"> for HD engine VERRs. As with DIRs, NR manufacturers may choose the format in which they submit VERRs. Forms for NR VERRs may be developed at a later time.  </w:t>
      </w:r>
      <w:r w:rsidR="00213A1C" w:rsidRPr="00EF4994">
        <w:t xml:space="preserve">Information </w:t>
      </w:r>
      <w:r w:rsidR="00FF63F9" w:rsidRPr="00EF4994">
        <w:t xml:space="preserve">items </w:t>
      </w:r>
      <w:r w:rsidR="00213A1C" w:rsidRPr="00EF4994">
        <w:t xml:space="preserve">requested in </w:t>
      </w:r>
      <w:r w:rsidR="00B40053">
        <w:t xml:space="preserve">VERRs </w:t>
      </w:r>
      <w:r w:rsidR="00213A1C" w:rsidRPr="00EF4994">
        <w:t xml:space="preserve"> include:</w:t>
      </w:r>
    </w:p>
    <w:p w14:paraId="6E470A0A" w14:textId="77777777" w:rsidR="00EF4994" w:rsidRDefault="00EF4994" w:rsidP="00EF4994"/>
    <w:p w14:paraId="36591745" w14:textId="77777777" w:rsidR="00FF63F9" w:rsidRPr="00EF4994" w:rsidRDefault="00213A1C" w:rsidP="00EF4994">
      <w:pPr>
        <w:numPr>
          <w:ilvl w:val="0"/>
          <w:numId w:val="35"/>
        </w:numPr>
      </w:pPr>
      <w:r w:rsidRPr="00EF4994">
        <w:t>A description of the class or category of engines being recalled</w:t>
      </w:r>
      <w:r w:rsidR="00FF63F9" w:rsidRPr="00EF4994">
        <w:t xml:space="preserve"> </w:t>
      </w:r>
    </w:p>
    <w:p w14:paraId="12DE92CD" w14:textId="77777777" w:rsidR="00FF63F9" w:rsidRPr="00EF4994" w:rsidRDefault="00FF63F9" w:rsidP="00EF4994">
      <w:pPr>
        <w:numPr>
          <w:ilvl w:val="0"/>
          <w:numId w:val="35"/>
        </w:numPr>
      </w:pPr>
      <w:r w:rsidRPr="00EF4994">
        <w:t>A description of the modifications or repairs made to correct the defects</w:t>
      </w:r>
    </w:p>
    <w:p w14:paraId="7FB2890D" w14:textId="77777777" w:rsidR="00FF63F9" w:rsidRPr="00EF4994" w:rsidRDefault="00FF63F9" w:rsidP="00EF4994">
      <w:pPr>
        <w:numPr>
          <w:ilvl w:val="0"/>
          <w:numId w:val="35"/>
        </w:numPr>
      </w:pPr>
      <w:r w:rsidRPr="00EF4994">
        <w:t>A description of the method being used to identify and contact the owners</w:t>
      </w:r>
    </w:p>
    <w:p w14:paraId="7F40BBF8" w14:textId="77777777" w:rsidR="00FF63F9" w:rsidRPr="00EF4994" w:rsidRDefault="00FF63F9" w:rsidP="00EF4994">
      <w:pPr>
        <w:numPr>
          <w:ilvl w:val="0"/>
          <w:numId w:val="35"/>
        </w:numPr>
      </w:pPr>
      <w:r w:rsidRPr="00EF4994">
        <w:t>A description of any conditions for eligibility for repair and any reasons for the conditions</w:t>
      </w:r>
    </w:p>
    <w:p w14:paraId="717809DC" w14:textId="77777777" w:rsidR="00FF63F9" w:rsidRPr="00EF4994" w:rsidRDefault="00FF63F9" w:rsidP="00EF4994">
      <w:pPr>
        <w:numPr>
          <w:ilvl w:val="0"/>
          <w:numId w:val="35"/>
        </w:numPr>
      </w:pPr>
      <w:r w:rsidRPr="00EF4994">
        <w:t>A description of the procedure to be followed by the owner to obtain repairs and where the repairs can be obtained</w:t>
      </w:r>
    </w:p>
    <w:p w14:paraId="251F2500" w14:textId="77777777" w:rsidR="00FF63F9" w:rsidRPr="00EF4994" w:rsidRDefault="00FF63F9" w:rsidP="00EF4994">
      <w:pPr>
        <w:numPr>
          <w:ilvl w:val="0"/>
          <w:numId w:val="35"/>
        </w:numPr>
      </w:pPr>
      <w:r w:rsidRPr="00EF4994">
        <w:t>If repairs are not being performed at dealers, a description of who will perform the repairs and where  the defect will be remedied</w:t>
      </w:r>
    </w:p>
    <w:p w14:paraId="36DB3004" w14:textId="77777777" w:rsidR="00FF63F9" w:rsidRPr="00EF4994" w:rsidRDefault="00FF63F9" w:rsidP="00EF4994">
      <w:pPr>
        <w:numPr>
          <w:ilvl w:val="0"/>
          <w:numId w:val="35"/>
        </w:numPr>
      </w:pPr>
      <w:r w:rsidRPr="00EF4994">
        <w:t>Copies of the letters of notification to be sent to the vehicle owners</w:t>
      </w:r>
    </w:p>
    <w:p w14:paraId="11CDDA14" w14:textId="77777777" w:rsidR="00FF63F9" w:rsidRPr="00EF4994" w:rsidRDefault="00FF63F9" w:rsidP="00EF4994">
      <w:pPr>
        <w:numPr>
          <w:ilvl w:val="0"/>
          <w:numId w:val="35"/>
        </w:numPr>
      </w:pPr>
      <w:r w:rsidRPr="00EF4994">
        <w:t>A description of the system for assuring an adequate supply of parts is available for the repairs and that they are performed in a timely manner.</w:t>
      </w:r>
    </w:p>
    <w:p w14:paraId="2133F5D4" w14:textId="77777777" w:rsidR="00FF63F9" w:rsidRPr="00EF4994" w:rsidRDefault="00FF63F9" w:rsidP="00EF4994">
      <w:pPr>
        <w:numPr>
          <w:ilvl w:val="0"/>
          <w:numId w:val="35"/>
        </w:numPr>
      </w:pPr>
      <w:r w:rsidRPr="00EF4994">
        <w:t>Copies of all necessary instructions to be sent to the persons who are to perform the repairs</w:t>
      </w:r>
    </w:p>
    <w:p w14:paraId="616A8135" w14:textId="77777777" w:rsidR="00FF63F9" w:rsidRPr="00EF4994" w:rsidRDefault="00FF63F9" w:rsidP="00EF4994">
      <w:pPr>
        <w:numPr>
          <w:ilvl w:val="0"/>
          <w:numId w:val="35"/>
        </w:numPr>
      </w:pPr>
      <w:r w:rsidRPr="00EF4994">
        <w:t xml:space="preserve">A description of the impact of the proposed changes on fuel consumption, </w:t>
      </w:r>
      <w:r w:rsidR="00EF4994" w:rsidRPr="00EF4994">
        <w:t>drivability</w:t>
      </w:r>
      <w:r w:rsidRPr="00EF4994">
        <w:t xml:space="preserve">, and safety of the engines </w:t>
      </w:r>
    </w:p>
    <w:p w14:paraId="4DEBBB20" w14:textId="77777777" w:rsidR="00FF63F9" w:rsidRPr="00EF4994" w:rsidRDefault="00FF63F9" w:rsidP="00EF4994">
      <w:pPr>
        <w:numPr>
          <w:ilvl w:val="0"/>
          <w:numId w:val="35"/>
        </w:numPr>
      </w:pPr>
      <w:r w:rsidRPr="00EF4994">
        <w:t>A sample of any labels to be applied to the participant engines identifying the recall being performed</w:t>
      </w:r>
    </w:p>
    <w:p w14:paraId="6776918A" w14:textId="77777777" w:rsidR="00FF63F9" w:rsidRPr="00EF4994" w:rsidRDefault="00FF63F9" w:rsidP="00EF4994"/>
    <w:p w14:paraId="4ABA4FF2" w14:textId="77777777" w:rsidR="00213A1C" w:rsidRPr="00125323" w:rsidRDefault="00213A1C" w:rsidP="005756F0">
      <w:pPr>
        <w:keepNext/>
        <w:keepLines/>
        <w:jc w:val="center"/>
        <w:rPr>
          <w:b/>
          <w:bCs/>
        </w:rPr>
      </w:pPr>
    </w:p>
    <w:p w14:paraId="6899D792" w14:textId="77777777" w:rsidR="00125323" w:rsidRPr="00EF4994" w:rsidRDefault="00FC1AF5" w:rsidP="009B431C">
      <w:pPr>
        <w:pStyle w:val="Heading3"/>
        <w:rPr>
          <w:color w:val="FF0000"/>
        </w:rPr>
      </w:pPr>
      <w:r>
        <w:t>C.</w:t>
      </w:r>
      <w:r w:rsidR="009B431C">
        <w:tab/>
      </w:r>
      <w:r w:rsidR="00125323" w:rsidRPr="009B431C">
        <w:rPr>
          <w:u w:val="single"/>
        </w:rPr>
        <w:t>VERR Progress Reports</w:t>
      </w:r>
      <w:r w:rsidR="00EF4994">
        <w:rPr>
          <w:u w:val="single"/>
        </w:rPr>
        <w:t xml:space="preserve"> </w:t>
      </w:r>
    </w:p>
    <w:p w14:paraId="70EFE204" w14:textId="77777777" w:rsidR="00125323" w:rsidRPr="00E656C8" w:rsidRDefault="00125323" w:rsidP="00223586">
      <w:pPr>
        <w:keepNext/>
        <w:keepLines/>
        <w:numPr>
          <w:ilvl w:val="12"/>
          <w:numId w:val="0"/>
        </w:numPr>
        <w:rPr>
          <w:u w:val="single"/>
        </w:rPr>
      </w:pPr>
      <w:r w:rsidRPr="00125323">
        <w:tab/>
      </w:r>
    </w:p>
    <w:p w14:paraId="3DBE9576" w14:textId="77777777" w:rsidR="00125323" w:rsidRDefault="00125323" w:rsidP="00223586">
      <w:pPr>
        <w:keepNext/>
        <w:keepLines/>
        <w:numPr>
          <w:ilvl w:val="12"/>
          <w:numId w:val="0"/>
        </w:numPr>
      </w:pPr>
      <w:r w:rsidRPr="00125323">
        <w:tab/>
      </w:r>
      <w:r w:rsidRPr="00B40053">
        <w:t xml:space="preserve">VERR Quarterly Progress Reports </w:t>
      </w:r>
      <w:r w:rsidR="00B40053" w:rsidRPr="00B40053">
        <w:t xml:space="preserve">(VERR updates) </w:t>
      </w:r>
      <w:r w:rsidRPr="00B40053">
        <w:t xml:space="preserve">document the progress of voluntary </w:t>
      </w:r>
      <w:r w:rsidR="00B40053" w:rsidRPr="00B40053">
        <w:t xml:space="preserve">(or mandated) </w:t>
      </w:r>
      <w:r w:rsidRPr="00B40053">
        <w:t xml:space="preserve">recalls.  </w:t>
      </w:r>
      <w:r w:rsidR="00B40053">
        <w:t xml:space="preserve">Manufacturers must submit </w:t>
      </w:r>
      <w:r w:rsidRPr="00B40053">
        <w:t xml:space="preserve">VERR </w:t>
      </w:r>
      <w:r w:rsidR="00B40053" w:rsidRPr="00B40053">
        <w:t xml:space="preserve">updates </w:t>
      </w:r>
      <w:r w:rsidRPr="00B40053">
        <w:t xml:space="preserve">for six </w:t>
      </w:r>
      <w:r w:rsidR="00B40053">
        <w:t xml:space="preserve">consecutive </w:t>
      </w:r>
      <w:r w:rsidRPr="00B40053">
        <w:t>quarters following the beginning of any recall campaign</w:t>
      </w:r>
      <w:r w:rsidR="00B40053">
        <w:t>,</w:t>
      </w:r>
      <w:r w:rsidRPr="00B40053">
        <w:t xml:space="preserve"> </w:t>
      </w:r>
      <w:r w:rsidR="00B40053">
        <w:t>or until all engines have been inspected, whichever comes first</w:t>
      </w:r>
      <w:r w:rsidR="00B40053" w:rsidRPr="00B40053">
        <w:t xml:space="preserve"> </w:t>
      </w:r>
      <w:r w:rsidRPr="00B40053">
        <w:t>(</w:t>
      </w:r>
      <w:r w:rsidR="00B40053">
        <w:t>Part</w:t>
      </w:r>
      <w:r w:rsidRPr="00B40053">
        <w:t xml:space="preserve"> 85.1904(b)</w:t>
      </w:r>
      <w:r w:rsidR="00B40053">
        <w:t>,</w:t>
      </w:r>
      <w:r w:rsidRPr="00B40053">
        <w:t xml:space="preserve"> </w:t>
      </w:r>
      <w:r w:rsidR="00B40053">
        <w:t>Part</w:t>
      </w:r>
      <w:r w:rsidRPr="00B40053">
        <w:t xml:space="preserve"> 92.404(b)</w:t>
      </w:r>
      <w:r w:rsidR="00B40053">
        <w:t xml:space="preserve"> &amp; Part 1068.525(b)</w:t>
      </w:r>
      <w:r w:rsidRPr="00B40053">
        <w:t>).  These reports must be submitted no later than 25 working days after the end of each calendar quarter.</w:t>
      </w:r>
    </w:p>
    <w:p w14:paraId="537899D2" w14:textId="77777777" w:rsidR="00125323" w:rsidRPr="00125323" w:rsidRDefault="00125323" w:rsidP="00125323">
      <w:pPr>
        <w:numPr>
          <w:ilvl w:val="12"/>
          <w:numId w:val="0"/>
        </w:numPr>
      </w:pPr>
    </w:p>
    <w:p w14:paraId="54B1F1D8" w14:textId="77777777" w:rsidR="00125323" w:rsidRDefault="00125323" w:rsidP="00125323">
      <w:pPr>
        <w:numPr>
          <w:ilvl w:val="12"/>
          <w:numId w:val="0"/>
        </w:numPr>
      </w:pPr>
      <w:r w:rsidRPr="00125323">
        <w:tab/>
        <w:t xml:space="preserve">Manufacturers of non-road spark-ignition engines </w:t>
      </w:r>
      <w:r w:rsidR="00B40053">
        <w:t xml:space="preserve">not subject to Part 1068 </w:t>
      </w:r>
      <w:r w:rsidRPr="00125323">
        <w:t xml:space="preserve">need to submit only one report within 18 months of the start of owner </w:t>
      </w:r>
      <w:r w:rsidRPr="00B40053">
        <w:t>notification (40 CFR 90.804(b)).</w:t>
      </w:r>
      <w:r w:rsidRPr="00125323">
        <w:t xml:space="preserve">  </w:t>
      </w:r>
      <w:r w:rsidR="00B40053">
        <w:t xml:space="preserve">Under Part </w:t>
      </w:r>
      <w:r w:rsidR="00B40053" w:rsidRPr="00125323">
        <w:t>90.804(b</w:t>
      </w:r>
      <w:r w:rsidR="00B40053">
        <w:t>), m</w:t>
      </w:r>
      <w:r w:rsidRPr="00125323">
        <w:t>arine engine manufacturers need to submit a report one year from the sta</w:t>
      </w:r>
      <w:r w:rsidR="00927427">
        <w:t>rt of owner notification</w:t>
      </w:r>
      <w:r w:rsidRPr="00125323">
        <w:t>.</w:t>
      </w:r>
      <w:r w:rsidR="00213A1C">
        <w:t xml:space="preserve"> Other variations may exist among the different categories of engines.</w:t>
      </w:r>
    </w:p>
    <w:p w14:paraId="4997BC2B" w14:textId="77777777" w:rsidR="00213A1C" w:rsidRDefault="00213A1C" w:rsidP="00125323">
      <w:pPr>
        <w:numPr>
          <w:ilvl w:val="12"/>
          <w:numId w:val="0"/>
        </w:numPr>
      </w:pPr>
    </w:p>
    <w:p w14:paraId="5D1A8926" w14:textId="77777777" w:rsidR="00213A1C" w:rsidRDefault="00DB01D8" w:rsidP="00927427">
      <w:pPr>
        <w:numPr>
          <w:ilvl w:val="12"/>
          <w:numId w:val="0"/>
        </w:numPr>
        <w:ind w:firstLine="360"/>
      </w:pPr>
      <w:r>
        <w:t>HD manufacturers use a form</w:t>
      </w:r>
      <w:r w:rsidR="00927427" w:rsidRPr="00927427">
        <w:t xml:space="preserve"> to </w:t>
      </w:r>
      <w:r w:rsidR="00927427">
        <w:t>submit</w:t>
      </w:r>
      <w:r w:rsidR="00927427" w:rsidRPr="00927427">
        <w:t xml:space="preserve"> their VERR updates.  </w:t>
      </w:r>
      <w:r w:rsidR="00927427">
        <w:t>For all industries, VERR update d</w:t>
      </w:r>
      <w:r w:rsidR="00213A1C">
        <w:t>ata items</w:t>
      </w:r>
      <w:r w:rsidR="00927427">
        <w:t xml:space="preserve"> generally</w:t>
      </w:r>
      <w:r w:rsidR="00213A1C">
        <w:t xml:space="preserve"> include:</w:t>
      </w:r>
    </w:p>
    <w:p w14:paraId="5E0C543D" w14:textId="77777777" w:rsidR="00213A1C" w:rsidRDefault="00213A1C" w:rsidP="00125323">
      <w:pPr>
        <w:numPr>
          <w:ilvl w:val="12"/>
          <w:numId w:val="0"/>
        </w:numPr>
      </w:pPr>
    </w:p>
    <w:p w14:paraId="1A089569" w14:textId="77777777" w:rsidR="00213A1C" w:rsidRDefault="00213A1C" w:rsidP="00213A1C">
      <w:pPr>
        <w:numPr>
          <w:ilvl w:val="0"/>
          <w:numId w:val="25"/>
        </w:numPr>
      </w:pPr>
      <w:r>
        <w:t>Recall campaign number</w:t>
      </w:r>
    </w:p>
    <w:p w14:paraId="56588A2D" w14:textId="77777777" w:rsidR="00213A1C" w:rsidRDefault="00213A1C" w:rsidP="00213A1C">
      <w:pPr>
        <w:numPr>
          <w:ilvl w:val="0"/>
          <w:numId w:val="25"/>
        </w:numPr>
      </w:pPr>
      <w:r>
        <w:t>Date of owner notification and completion</w:t>
      </w:r>
    </w:p>
    <w:p w14:paraId="1DB9C08F" w14:textId="77777777" w:rsidR="00213A1C" w:rsidRDefault="00213A1C" w:rsidP="00213A1C">
      <w:pPr>
        <w:numPr>
          <w:ilvl w:val="0"/>
          <w:numId w:val="25"/>
        </w:numPr>
      </w:pPr>
      <w:r>
        <w:t>Number of engines involved</w:t>
      </w:r>
    </w:p>
    <w:p w14:paraId="7A1CEA1D" w14:textId="77777777" w:rsidR="00213A1C" w:rsidRDefault="00213A1C" w:rsidP="00213A1C">
      <w:pPr>
        <w:numPr>
          <w:ilvl w:val="0"/>
          <w:numId w:val="25"/>
        </w:numPr>
      </w:pPr>
      <w:r>
        <w:t>Number of engines known or estimated to be affected by the defect</w:t>
      </w:r>
    </w:p>
    <w:p w14:paraId="424E5545" w14:textId="77777777" w:rsidR="00213A1C" w:rsidRDefault="00213A1C" w:rsidP="00213A1C">
      <w:pPr>
        <w:numPr>
          <w:ilvl w:val="0"/>
          <w:numId w:val="25"/>
        </w:numPr>
      </w:pPr>
      <w:r>
        <w:t>Number of or engines brought in and inspected as part of the campaign</w:t>
      </w:r>
    </w:p>
    <w:p w14:paraId="5229FFEC" w14:textId="77777777" w:rsidR="00213A1C" w:rsidRDefault="00213A1C" w:rsidP="00213A1C">
      <w:pPr>
        <w:numPr>
          <w:ilvl w:val="0"/>
          <w:numId w:val="25"/>
        </w:numPr>
      </w:pPr>
      <w:r>
        <w:t>Number of engines found to have the defect after inspection</w:t>
      </w:r>
    </w:p>
    <w:p w14:paraId="304BE1FE" w14:textId="77777777" w:rsidR="00213A1C" w:rsidRDefault="00213A1C" w:rsidP="00213A1C">
      <w:pPr>
        <w:numPr>
          <w:ilvl w:val="0"/>
          <w:numId w:val="25"/>
        </w:numPr>
      </w:pPr>
      <w:r>
        <w:t>Number of engines actually receiving repair</w:t>
      </w:r>
    </w:p>
    <w:p w14:paraId="6A299E45" w14:textId="77777777" w:rsidR="00213A1C" w:rsidRDefault="00213A1C" w:rsidP="00213A1C">
      <w:pPr>
        <w:numPr>
          <w:ilvl w:val="0"/>
          <w:numId w:val="25"/>
        </w:numPr>
      </w:pPr>
      <w:r>
        <w:t>Number of engines determined to be unavailable due to exportation, theft, scrapping or other reasons</w:t>
      </w:r>
    </w:p>
    <w:p w14:paraId="59A9A477" w14:textId="77777777" w:rsidR="00213A1C" w:rsidRDefault="00213A1C" w:rsidP="00213A1C">
      <w:pPr>
        <w:numPr>
          <w:ilvl w:val="0"/>
          <w:numId w:val="25"/>
        </w:numPr>
      </w:pPr>
      <w:r>
        <w:t>Number of engines determined to be ineligible because of improper maintenance or use</w:t>
      </w:r>
    </w:p>
    <w:p w14:paraId="5C175C8B" w14:textId="77777777" w:rsidR="00213A1C" w:rsidRDefault="00213A1C" w:rsidP="00213A1C">
      <w:pPr>
        <w:numPr>
          <w:ilvl w:val="0"/>
          <w:numId w:val="25"/>
        </w:numPr>
      </w:pPr>
      <w:r>
        <w:t>Copies of any service bulletins sent to dealers which relate to the defect that had not previously been reported</w:t>
      </w:r>
    </w:p>
    <w:p w14:paraId="07462F3E" w14:textId="77777777" w:rsidR="00213A1C" w:rsidRDefault="00213A1C" w:rsidP="00213A1C">
      <w:pPr>
        <w:numPr>
          <w:ilvl w:val="0"/>
          <w:numId w:val="25"/>
        </w:numPr>
      </w:pPr>
      <w:r>
        <w:t>Copies of all communications transmitted to vehicle owners which relate to the defect to be corrected not previously submitted</w:t>
      </w:r>
    </w:p>
    <w:p w14:paraId="2A8F22D5" w14:textId="77777777" w:rsidR="00213A1C" w:rsidRDefault="00213A1C" w:rsidP="00213A1C">
      <w:pPr>
        <w:numPr>
          <w:ilvl w:val="0"/>
          <w:numId w:val="25"/>
        </w:numPr>
      </w:pPr>
      <w:r>
        <w:t>Revisions to any of the information previously submitted</w:t>
      </w:r>
    </w:p>
    <w:p w14:paraId="50381FE4" w14:textId="77777777" w:rsidR="00213A1C" w:rsidRDefault="00213A1C" w:rsidP="00213A1C">
      <w:pPr>
        <w:numPr>
          <w:ilvl w:val="0"/>
          <w:numId w:val="25"/>
        </w:numPr>
      </w:pPr>
      <w:r>
        <w:t>Vehicle owner contact information upon request</w:t>
      </w:r>
    </w:p>
    <w:p w14:paraId="142C57DB" w14:textId="77777777" w:rsidR="00213A1C" w:rsidRDefault="00213A1C" w:rsidP="00213A1C"/>
    <w:p w14:paraId="043320DD" w14:textId="77777777" w:rsidR="00213A1C" w:rsidRDefault="00213A1C" w:rsidP="00213A1C">
      <w:r>
        <w:t>For non-road and marine spark-ignition engines only:</w:t>
      </w:r>
    </w:p>
    <w:p w14:paraId="38806985" w14:textId="77777777" w:rsidR="00213A1C" w:rsidRPr="00125323" w:rsidRDefault="00213A1C" w:rsidP="00213A1C"/>
    <w:p w14:paraId="315CE5BD" w14:textId="77777777" w:rsidR="00213A1C" w:rsidRDefault="00213A1C" w:rsidP="00213A1C">
      <w:pPr>
        <w:numPr>
          <w:ilvl w:val="0"/>
          <w:numId w:val="25"/>
        </w:numPr>
      </w:pPr>
      <w:r>
        <w:t>Methods used to notify owners and dealers</w:t>
      </w:r>
    </w:p>
    <w:p w14:paraId="53E65601" w14:textId="77777777" w:rsidR="00213A1C" w:rsidRDefault="00213A1C" w:rsidP="00213A1C">
      <w:pPr>
        <w:numPr>
          <w:ilvl w:val="0"/>
          <w:numId w:val="25"/>
        </w:numPr>
      </w:pPr>
      <w:r>
        <w:t>Number of engines known or estimated to be affected</w:t>
      </w:r>
    </w:p>
    <w:p w14:paraId="467E561B" w14:textId="77777777" w:rsidR="00213A1C" w:rsidRDefault="00213A1C" w:rsidP="00213A1C">
      <w:pPr>
        <w:numPr>
          <w:ilvl w:val="0"/>
          <w:numId w:val="25"/>
        </w:numPr>
      </w:pPr>
      <w:r>
        <w:t>Number of engines actually being repaired</w:t>
      </w:r>
    </w:p>
    <w:p w14:paraId="77BA194E" w14:textId="77777777" w:rsidR="00213A1C" w:rsidRDefault="00213A1C" w:rsidP="00213A1C">
      <w:pPr>
        <w:numPr>
          <w:ilvl w:val="0"/>
          <w:numId w:val="25"/>
        </w:numPr>
      </w:pPr>
      <w:r>
        <w:t>Number of owners and dealers involved</w:t>
      </w:r>
    </w:p>
    <w:p w14:paraId="3969BAD3" w14:textId="77777777" w:rsidR="00125323" w:rsidRPr="00125323" w:rsidRDefault="00213A1C" w:rsidP="00213A1C">
      <w:pPr>
        <w:numPr>
          <w:ilvl w:val="0"/>
          <w:numId w:val="25"/>
        </w:numPr>
      </w:pPr>
      <w:r>
        <w:t>Number of engines determined to be ineligible because of improper maintenance or use</w:t>
      </w:r>
    </w:p>
    <w:p w14:paraId="2831034D" w14:textId="77777777" w:rsidR="00213A1C" w:rsidRDefault="00213A1C" w:rsidP="00125323">
      <w:pPr>
        <w:numPr>
          <w:ilvl w:val="12"/>
          <w:numId w:val="0"/>
        </w:numPr>
      </w:pPr>
    </w:p>
    <w:p w14:paraId="7B5861DB" w14:textId="77777777" w:rsidR="00927427" w:rsidRPr="00125323" w:rsidRDefault="00927427" w:rsidP="00125323">
      <w:pPr>
        <w:numPr>
          <w:ilvl w:val="12"/>
          <w:numId w:val="0"/>
        </w:numPr>
      </w:pPr>
    </w:p>
    <w:p w14:paraId="08AF1A4E" w14:textId="77777777" w:rsidR="00125323" w:rsidRPr="004B4381" w:rsidRDefault="004B4381" w:rsidP="009B431C">
      <w:pPr>
        <w:pStyle w:val="Heading3"/>
      </w:pPr>
      <w:r w:rsidRPr="004B4381">
        <w:t>D</w:t>
      </w:r>
      <w:r>
        <w:t>.</w:t>
      </w:r>
      <w:r>
        <w:tab/>
      </w:r>
      <w:r w:rsidR="00125323" w:rsidRPr="009B431C">
        <w:rPr>
          <w:u w:val="single"/>
        </w:rPr>
        <w:t>Recordkeeping Requirements</w:t>
      </w:r>
    </w:p>
    <w:p w14:paraId="4090CCAC" w14:textId="77777777" w:rsidR="00125323" w:rsidRPr="00125323" w:rsidRDefault="00125323" w:rsidP="00125323">
      <w:pPr>
        <w:numPr>
          <w:ilvl w:val="12"/>
          <w:numId w:val="0"/>
        </w:numPr>
      </w:pPr>
    </w:p>
    <w:p w14:paraId="0E08AE04" w14:textId="77777777" w:rsidR="00125323" w:rsidRPr="00125323" w:rsidRDefault="00125323" w:rsidP="00125323">
      <w:pPr>
        <w:numPr>
          <w:ilvl w:val="12"/>
          <w:numId w:val="0"/>
        </w:numPr>
      </w:pPr>
      <w:r w:rsidRPr="00125323">
        <w:tab/>
        <w:t xml:space="preserve">Manufacturers are required to keep records of all the data gathered to compile the reports for at least five </w:t>
      </w:r>
      <w:r w:rsidRPr="00927427">
        <w:t>years (</w:t>
      </w:r>
      <w:r w:rsidR="00927427" w:rsidRPr="00927427">
        <w:t>Parts</w:t>
      </w:r>
      <w:r w:rsidRPr="00927427">
        <w:t xml:space="preserve"> 85.1906(b), </w:t>
      </w:r>
      <w:r w:rsidR="002877E2" w:rsidRPr="00927427">
        <w:t>90.805(b),</w:t>
      </w:r>
      <w:r w:rsidRPr="00927427">
        <w:t xml:space="preserve"> and 91.905(b)).</w:t>
      </w:r>
      <w:r w:rsidR="00E65499">
        <w:t xml:space="preserve"> Recalls related to recalls under Part 1068 must be kept for at least three years after that last required report was submitted (40 CFR 1068.530).</w:t>
      </w:r>
      <w:r w:rsidRPr="00125323">
        <w:t xml:space="preserve">  Locomotive and locomotive engine manufacturers</w:t>
      </w:r>
      <w:r w:rsidR="00E65499">
        <w:t xml:space="preserve"> under Part 92</w:t>
      </w:r>
      <w:r w:rsidRPr="00125323">
        <w:t xml:space="preserve"> however, must keep these records for eight years (</w:t>
      </w:r>
      <w:r w:rsidR="00531E2D">
        <w:t xml:space="preserve">40 CFR </w:t>
      </w:r>
      <w:r w:rsidRPr="00125323">
        <w:t xml:space="preserve">92.406(b)).  Manufacturers are required to make all records available to EPA upon request (40 CFR Parts 85.1906(b), 90.805(b), </w:t>
      </w:r>
      <w:r w:rsidR="002877E2" w:rsidRPr="00125323">
        <w:t>91.905(b),</w:t>
      </w:r>
      <w:r w:rsidRPr="00125323">
        <w:t xml:space="preserve"> and 92.406(b)).</w:t>
      </w:r>
    </w:p>
    <w:p w14:paraId="7E088686" w14:textId="77777777" w:rsidR="00125323" w:rsidRPr="00125323" w:rsidRDefault="00125323" w:rsidP="00125323">
      <w:pPr>
        <w:numPr>
          <w:ilvl w:val="12"/>
          <w:numId w:val="0"/>
        </w:numPr>
      </w:pPr>
    </w:p>
    <w:p w14:paraId="281DAFED" w14:textId="77777777" w:rsidR="00125323" w:rsidRPr="00125323" w:rsidRDefault="00125323" w:rsidP="002877E2">
      <w:pPr>
        <w:keepNext/>
        <w:keepLines/>
        <w:numPr>
          <w:ilvl w:val="12"/>
          <w:numId w:val="0"/>
        </w:numPr>
      </w:pPr>
      <w:r w:rsidRPr="00125323">
        <w:tab/>
        <w:t xml:space="preserve">The following information must also be </w:t>
      </w:r>
      <w:r w:rsidR="002877E2" w:rsidRPr="00125323">
        <w:t>maintained</w:t>
      </w:r>
      <w:r w:rsidR="00531E2D">
        <w:t xml:space="preserve"> </w:t>
      </w:r>
      <w:r w:rsidRPr="00125323">
        <w:t xml:space="preserve">in a form suitable for inspection, such as </w:t>
      </w:r>
      <w:r w:rsidR="00531E2D">
        <w:t>electronic</w:t>
      </w:r>
      <w:r w:rsidRPr="00125323">
        <w:t xml:space="preserve"> storage devices or </w:t>
      </w:r>
      <w:r w:rsidR="00531E2D">
        <w:t>databases</w:t>
      </w:r>
      <w:r w:rsidRPr="00125323">
        <w:t>:</w:t>
      </w:r>
    </w:p>
    <w:p w14:paraId="15F2EAA5" w14:textId="77777777" w:rsidR="00125323" w:rsidRDefault="00125323" w:rsidP="00B224A4">
      <w:pPr>
        <w:keepNext/>
        <w:keepLines/>
        <w:numPr>
          <w:ilvl w:val="12"/>
          <w:numId w:val="0"/>
        </w:numPr>
        <w:rPr>
          <w:b/>
          <w:bCs/>
        </w:rPr>
      </w:pPr>
    </w:p>
    <w:p w14:paraId="232083BA" w14:textId="77777777" w:rsidR="00531E2D" w:rsidRDefault="00531E2D" w:rsidP="00531E2D">
      <w:pPr>
        <w:keepNext/>
        <w:keepLines/>
        <w:numPr>
          <w:ilvl w:val="0"/>
          <w:numId w:val="26"/>
        </w:numPr>
      </w:pPr>
      <w:r>
        <w:t>The names and addresses of vehicle or engine owners:</w:t>
      </w:r>
    </w:p>
    <w:p w14:paraId="316A2A7F" w14:textId="77777777" w:rsidR="00531E2D" w:rsidRDefault="00531E2D" w:rsidP="00531E2D">
      <w:pPr>
        <w:keepNext/>
        <w:keepLines/>
        <w:numPr>
          <w:ilvl w:val="0"/>
          <w:numId w:val="26"/>
        </w:numPr>
      </w:pPr>
      <w:r>
        <w:t>To whom notification was given</w:t>
      </w:r>
    </w:p>
    <w:p w14:paraId="50ED1F41" w14:textId="77777777" w:rsidR="00531E2D" w:rsidRDefault="00531E2D" w:rsidP="00531E2D">
      <w:pPr>
        <w:keepNext/>
        <w:keepLines/>
        <w:numPr>
          <w:ilvl w:val="0"/>
          <w:numId w:val="26"/>
        </w:numPr>
      </w:pPr>
      <w:r>
        <w:t>Who received remedial repair or inspection</w:t>
      </w:r>
    </w:p>
    <w:p w14:paraId="33D4E7A4" w14:textId="77777777" w:rsidR="00531E2D" w:rsidRDefault="00531E2D" w:rsidP="00AB1258">
      <w:pPr>
        <w:keepNext/>
        <w:keepLines/>
        <w:numPr>
          <w:ilvl w:val="0"/>
          <w:numId w:val="26"/>
        </w:numPr>
      </w:pPr>
      <w:r>
        <w:t>Who was determined not to be  eligible because of improper maintenance or use</w:t>
      </w:r>
    </w:p>
    <w:p w14:paraId="09C74F0E" w14:textId="77777777" w:rsidR="00B224A4" w:rsidRDefault="00B224A4" w:rsidP="00223586"/>
    <w:p w14:paraId="3E3082B6" w14:textId="77777777" w:rsidR="00927427" w:rsidRDefault="00927427" w:rsidP="009B431C">
      <w:pPr>
        <w:keepNext/>
        <w:keepLines/>
        <w:tabs>
          <w:tab w:val="left" w:pos="1080"/>
        </w:tabs>
        <w:ind w:left="360"/>
      </w:pPr>
    </w:p>
    <w:p w14:paraId="6613438D" w14:textId="77777777" w:rsidR="008E7531" w:rsidRPr="009B431C" w:rsidRDefault="009050F9" w:rsidP="009B431C">
      <w:pPr>
        <w:keepNext/>
        <w:keepLines/>
        <w:tabs>
          <w:tab w:val="left" w:pos="1080"/>
        </w:tabs>
        <w:ind w:left="360"/>
      </w:pPr>
      <w:r w:rsidRPr="009B431C">
        <w:fldChar w:fldCharType="begin"/>
      </w:r>
      <w:r w:rsidR="008E7531" w:rsidRPr="009B431C">
        <w:instrText xml:space="preserve"> SEQ CHAPTER \h \r 1</w:instrText>
      </w:r>
      <w:r w:rsidRPr="009B431C">
        <w:fldChar w:fldCharType="end"/>
      </w:r>
      <w:r w:rsidR="008E7531" w:rsidRPr="009B431C">
        <w:t>(ii)</w:t>
      </w:r>
      <w:r w:rsidR="008E7531" w:rsidRPr="009B431C">
        <w:tab/>
      </w:r>
      <w:r w:rsidR="008E7531" w:rsidRPr="009B431C">
        <w:rPr>
          <w:u w:val="single"/>
        </w:rPr>
        <w:t>Respondent Activities</w:t>
      </w:r>
    </w:p>
    <w:p w14:paraId="0C136459" w14:textId="77777777" w:rsidR="008E7531" w:rsidRPr="008E7531" w:rsidRDefault="00B27EBB" w:rsidP="009B431C">
      <w:pPr>
        <w:keepNext/>
        <w:keepLines/>
      </w:pPr>
      <w:r>
        <w:t xml:space="preserve"> </w:t>
      </w:r>
    </w:p>
    <w:p w14:paraId="5EFD61ED" w14:textId="77777777" w:rsidR="008E7531" w:rsidRPr="008E7531" w:rsidRDefault="007137EC" w:rsidP="009B431C">
      <w:pPr>
        <w:keepNext/>
        <w:keepLines/>
      </w:pPr>
      <w:r>
        <w:tab/>
      </w:r>
      <w:r w:rsidR="008E7531" w:rsidRPr="008E7531">
        <w:t>The activities manufacturers need to perform to comply with the requirements of each type of report are as follows:</w:t>
      </w:r>
    </w:p>
    <w:p w14:paraId="39A2B8C2" w14:textId="77777777" w:rsidR="008E7531" w:rsidRPr="008E7531" w:rsidRDefault="008E7531" w:rsidP="007137EC">
      <w:pPr>
        <w:keepNext/>
        <w:keepLines/>
      </w:pPr>
    </w:p>
    <w:p w14:paraId="3296C764" w14:textId="77777777" w:rsidR="007137EC" w:rsidRPr="008E7531" w:rsidRDefault="008E7531" w:rsidP="007137EC">
      <w:pPr>
        <w:numPr>
          <w:ilvl w:val="0"/>
          <w:numId w:val="27"/>
        </w:numPr>
      </w:pPr>
      <w:r w:rsidRPr="008E7531">
        <w:t>Monitor engine performance by collecting information on the frequency of customer or dealer complaints and findings by their own research departments</w:t>
      </w:r>
      <w:r w:rsidR="002877E2">
        <w:t xml:space="preserve"> </w:t>
      </w:r>
      <w:r w:rsidRPr="008E7531">
        <w:t>(customary business practice)</w:t>
      </w:r>
    </w:p>
    <w:p w14:paraId="5D6C03CB" w14:textId="77777777" w:rsidR="008E7531" w:rsidRDefault="008E7531" w:rsidP="00531E2D">
      <w:pPr>
        <w:numPr>
          <w:ilvl w:val="0"/>
          <w:numId w:val="27"/>
        </w:numPr>
      </w:pPr>
      <w:r w:rsidRPr="008E7531">
        <w:t>Review instructions and regulations</w:t>
      </w:r>
    </w:p>
    <w:p w14:paraId="13DA72FE" w14:textId="77777777" w:rsidR="008E7531" w:rsidRDefault="008E7531" w:rsidP="00531E2D">
      <w:pPr>
        <w:numPr>
          <w:ilvl w:val="0"/>
          <w:numId w:val="27"/>
        </w:numPr>
      </w:pPr>
      <w:r w:rsidRPr="008E7531">
        <w:t>Compile data</w:t>
      </w:r>
    </w:p>
    <w:p w14:paraId="3E7A317F" w14:textId="77777777" w:rsidR="008E7531" w:rsidRDefault="008E7531" w:rsidP="00531E2D">
      <w:pPr>
        <w:numPr>
          <w:ilvl w:val="0"/>
          <w:numId w:val="27"/>
        </w:numPr>
      </w:pPr>
      <w:r w:rsidRPr="008E7531">
        <w:t>Prepare and submit report</w:t>
      </w:r>
    </w:p>
    <w:p w14:paraId="70C9A9F4" w14:textId="77777777" w:rsidR="008E7531" w:rsidRDefault="008E7531" w:rsidP="00531E2D">
      <w:pPr>
        <w:numPr>
          <w:ilvl w:val="0"/>
          <w:numId w:val="27"/>
        </w:numPr>
      </w:pPr>
      <w:r w:rsidRPr="008E7531">
        <w:t>Maintain records</w:t>
      </w:r>
    </w:p>
    <w:p w14:paraId="0389E729" w14:textId="77777777" w:rsidR="00431283" w:rsidRDefault="00431283" w:rsidP="00431283"/>
    <w:p w14:paraId="5C75CA90" w14:textId="77777777" w:rsidR="00EF4994" w:rsidRDefault="00EF4994" w:rsidP="00431283"/>
    <w:p w14:paraId="2DE8D8C5" w14:textId="77777777" w:rsidR="00EF4994" w:rsidRDefault="00EF4994" w:rsidP="00431283"/>
    <w:p w14:paraId="58D0CAF7" w14:textId="77777777" w:rsidR="00276725" w:rsidRPr="00276725" w:rsidRDefault="009050F9" w:rsidP="009B431C">
      <w:pPr>
        <w:pStyle w:val="Heading1"/>
        <w:ind w:left="720" w:hanging="720"/>
      </w:pPr>
      <w:r w:rsidRPr="009B431C">
        <w:rPr>
          <w:u w:val="none"/>
        </w:rPr>
        <w:fldChar w:fldCharType="begin"/>
      </w:r>
      <w:r w:rsidR="00B0106C" w:rsidRPr="009B431C">
        <w:rPr>
          <w:u w:val="none"/>
        </w:rPr>
        <w:instrText xml:space="preserve"> SEQ CHAPTER \h \r 1</w:instrText>
      </w:r>
      <w:r w:rsidRPr="009B431C">
        <w:rPr>
          <w:u w:val="none"/>
        </w:rPr>
        <w:fldChar w:fldCharType="end"/>
      </w:r>
      <w:r w:rsidR="00B0106C" w:rsidRPr="009B431C">
        <w:rPr>
          <w:u w:val="none"/>
        </w:rPr>
        <w:t>5.</w:t>
      </w:r>
      <w:r w:rsidR="00B0106C" w:rsidRPr="009B431C">
        <w:rPr>
          <w:u w:val="none"/>
        </w:rPr>
        <w:tab/>
      </w:r>
      <w:r w:rsidR="00B0106C" w:rsidRPr="00276725">
        <w:t>The Information Collected</w:t>
      </w:r>
      <w:r w:rsidR="00B224A4">
        <w:t xml:space="preserve"> </w:t>
      </w:r>
      <w:r w:rsidR="00B0106C" w:rsidRPr="00276725">
        <w:t>--</w:t>
      </w:r>
      <w:r w:rsidR="00B224A4">
        <w:t xml:space="preserve"> </w:t>
      </w:r>
      <w:r w:rsidR="00B0106C" w:rsidRPr="00276725">
        <w:t>Agency Activities, Collection Methodology, and Information Management</w:t>
      </w:r>
    </w:p>
    <w:p w14:paraId="5D0757EB" w14:textId="77777777" w:rsidR="00276725" w:rsidRDefault="00276725" w:rsidP="00431283">
      <w:pPr>
        <w:rPr>
          <w:u w:val="single"/>
        </w:rPr>
      </w:pPr>
    </w:p>
    <w:p w14:paraId="7DC4CBAD" w14:textId="77777777" w:rsidR="00276725" w:rsidRPr="00EE6CA0" w:rsidRDefault="009050F9" w:rsidP="00B224A4">
      <w:pPr>
        <w:pStyle w:val="Heading2"/>
      </w:pPr>
      <w:r w:rsidRPr="009B431C">
        <w:rPr>
          <w:u w:val="none"/>
        </w:rPr>
        <w:fldChar w:fldCharType="begin"/>
      </w:r>
      <w:r w:rsidR="009850CB" w:rsidRPr="009B431C">
        <w:rPr>
          <w:u w:val="none"/>
        </w:rPr>
        <w:instrText xml:space="preserve"> SEQ CHAPTER \h \r 1</w:instrText>
      </w:r>
      <w:r w:rsidRPr="009B431C">
        <w:rPr>
          <w:u w:val="none"/>
        </w:rPr>
        <w:fldChar w:fldCharType="end"/>
      </w:r>
      <w:r w:rsidR="009850CB" w:rsidRPr="009B431C">
        <w:rPr>
          <w:u w:val="none"/>
        </w:rPr>
        <w:t>5(a)</w:t>
      </w:r>
      <w:r w:rsidR="009850CB" w:rsidRPr="009B431C">
        <w:rPr>
          <w:u w:val="none"/>
        </w:rPr>
        <w:tab/>
      </w:r>
      <w:r w:rsidR="009850CB" w:rsidRPr="00B224A4">
        <w:t>Agency Activities</w:t>
      </w:r>
    </w:p>
    <w:p w14:paraId="01C6AEFA" w14:textId="77777777" w:rsidR="00276725" w:rsidRDefault="00276725" w:rsidP="00431283">
      <w:pPr>
        <w:rPr>
          <w:u w:val="single"/>
        </w:rPr>
      </w:pPr>
    </w:p>
    <w:p w14:paraId="3E335B80" w14:textId="77777777" w:rsidR="00C744A9" w:rsidRPr="00C744A9" w:rsidRDefault="009D171A" w:rsidP="00C744A9">
      <w:r>
        <w:tab/>
      </w:r>
      <w:r w:rsidR="009050F9" w:rsidRPr="00C744A9">
        <w:fldChar w:fldCharType="begin"/>
      </w:r>
      <w:r w:rsidR="00C744A9" w:rsidRPr="00C744A9">
        <w:instrText xml:space="preserve"> SEQ CHAPTER \h \r 1</w:instrText>
      </w:r>
      <w:r w:rsidR="009050F9" w:rsidRPr="00C744A9">
        <w:fldChar w:fldCharType="end"/>
      </w:r>
      <w:r w:rsidR="00C744A9" w:rsidRPr="00C744A9">
        <w:t>EPA officials carry out the following activities:</w:t>
      </w:r>
    </w:p>
    <w:p w14:paraId="534A1D8F" w14:textId="77777777" w:rsidR="00C744A9" w:rsidRPr="00C744A9" w:rsidRDefault="00C744A9" w:rsidP="007137EC">
      <w:pPr>
        <w:ind w:left="720" w:hanging="360"/>
      </w:pPr>
    </w:p>
    <w:p w14:paraId="5D5CE28B" w14:textId="77777777" w:rsidR="00C744A9" w:rsidRDefault="00C744A9" w:rsidP="00531E2D">
      <w:pPr>
        <w:numPr>
          <w:ilvl w:val="0"/>
          <w:numId w:val="28"/>
        </w:numPr>
      </w:pPr>
      <w:r w:rsidRPr="00C744A9">
        <w:t>Review regulations</w:t>
      </w:r>
    </w:p>
    <w:p w14:paraId="4F6BE867" w14:textId="77777777" w:rsidR="00C744A9" w:rsidRDefault="00C744A9" w:rsidP="00531E2D">
      <w:pPr>
        <w:numPr>
          <w:ilvl w:val="0"/>
          <w:numId w:val="28"/>
        </w:numPr>
      </w:pPr>
      <w:r w:rsidRPr="00C744A9">
        <w:t>Answer respondents</w:t>
      </w:r>
      <w:r w:rsidR="00716324">
        <w:t>'</w:t>
      </w:r>
      <w:r w:rsidRPr="00C744A9">
        <w:t xml:space="preserve"> questions</w:t>
      </w:r>
    </w:p>
    <w:p w14:paraId="79BFA58F" w14:textId="77777777" w:rsidR="00C744A9" w:rsidRDefault="00C744A9" w:rsidP="00531E2D">
      <w:pPr>
        <w:numPr>
          <w:ilvl w:val="0"/>
          <w:numId w:val="28"/>
        </w:numPr>
      </w:pPr>
      <w:r w:rsidRPr="00C744A9">
        <w:t>Review reports for completeness and compliance with regulations</w:t>
      </w:r>
    </w:p>
    <w:p w14:paraId="483F5F9A" w14:textId="77777777" w:rsidR="00C744A9" w:rsidRDefault="00C744A9" w:rsidP="00531E2D">
      <w:pPr>
        <w:numPr>
          <w:ilvl w:val="0"/>
          <w:numId w:val="28"/>
        </w:numPr>
      </w:pPr>
      <w:r w:rsidRPr="00C744A9">
        <w:t>Analyze reports to determine the impact of the situation described in the report on emission levels</w:t>
      </w:r>
    </w:p>
    <w:p w14:paraId="42436C24" w14:textId="77777777" w:rsidR="00C744A9" w:rsidRDefault="00C744A9" w:rsidP="00531E2D">
      <w:pPr>
        <w:numPr>
          <w:ilvl w:val="0"/>
          <w:numId w:val="28"/>
        </w:numPr>
      </w:pPr>
      <w:r w:rsidRPr="00C744A9">
        <w:t>Evaluate manufacturers</w:t>
      </w:r>
      <w:r w:rsidR="00716324">
        <w:t>'</w:t>
      </w:r>
      <w:r w:rsidRPr="00C744A9">
        <w:t xml:space="preserve"> procedures to determine if the problem is being addressed correctly and how effective a recall campaign is</w:t>
      </w:r>
    </w:p>
    <w:p w14:paraId="2F9868B6" w14:textId="77777777" w:rsidR="00C744A9" w:rsidRDefault="00C744A9" w:rsidP="00531E2D">
      <w:pPr>
        <w:numPr>
          <w:ilvl w:val="0"/>
          <w:numId w:val="28"/>
        </w:numPr>
      </w:pPr>
      <w:r w:rsidRPr="00C744A9">
        <w:t>Recommend, if needed, additional compliance activities such as further testing or research</w:t>
      </w:r>
    </w:p>
    <w:p w14:paraId="04F5DA79" w14:textId="77777777" w:rsidR="00C744A9" w:rsidRDefault="00C744A9" w:rsidP="00531E2D">
      <w:pPr>
        <w:numPr>
          <w:ilvl w:val="0"/>
          <w:numId w:val="28"/>
        </w:numPr>
      </w:pPr>
      <w:r w:rsidRPr="00C744A9">
        <w:t>Identify engine classes that may need follow up in the future</w:t>
      </w:r>
    </w:p>
    <w:p w14:paraId="66CB0AF4" w14:textId="77777777" w:rsidR="00C744A9" w:rsidRDefault="00C744A9" w:rsidP="00531E2D">
      <w:pPr>
        <w:numPr>
          <w:ilvl w:val="0"/>
          <w:numId w:val="28"/>
        </w:numPr>
      </w:pPr>
      <w:r w:rsidRPr="00C744A9">
        <w:t>Summarize and store the information electronically</w:t>
      </w:r>
    </w:p>
    <w:p w14:paraId="167018EC" w14:textId="77777777" w:rsidR="00B34ADE" w:rsidRDefault="00B34ADE" w:rsidP="002B2F80">
      <w:pPr>
        <w:ind w:left="360"/>
      </w:pPr>
    </w:p>
    <w:p w14:paraId="6578C6E3" w14:textId="77777777" w:rsidR="00531E2D" w:rsidRPr="00C744A9" w:rsidRDefault="00531E2D" w:rsidP="002B2F80">
      <w:pPr>
        <w:ind w:left="360"/>
      </w:pPr>
    </w:p>
    <w:p w14:paraId="6572D24C" w14:textId="77777777" w:rsidR="00C744A9" w:rsidRPr="00C744A9" w:rsidRDefault="00C744A9" w:rsidP="00F75A71">
      <w:pPr>
        <w:pStyle w:val="Heading2"/>
        <w:keepLines/>
      </w:pPr>
      <w:r w:rsidRPr="00A53CC1">
        <w:rPr>
          <w:u w:val="none"/>
        </w:rPr>
        <w:t>5(b)</w:t>
      </w:r>
      <w:r w:rsidRPr="00A53CC1">
        <w:rPr>
          <w:u w:val="none"/>
        </w:rPr>
        <w:tab/>
      </w:r>
      <w:r w:rsidRPr="00C744A9">
        <w:t>Collection Methodology and Management</w:t>
      </w:r>
    </w:p>
    <w:p w14:paraId="00FA93AA" w14:textId="77777777" w:rsidR="00B524CA" w:rsidRPr="00C744A9" w:rsidRDefault="00B524CA" w:rsidP="00F75A71">
      <w:pPr>
        <w:keepNext/>
        <w:keepLines/>
      </w:pPr>
    </w:p>
    <w:p w14:paraId="63E9CA05" w14:textId="5342311D" w:rsidR="00E07986" w:rsidRDefault="00C744A9" w:rsidP="001B6288">
      <w:pPr>
        <w:keepNext/>
        <w:keepLines/>
      </w:pPr>
      <w:r w:rsidRPr="00C744A9">
        <w:tab/>
        <w:t>EPA currently makes extensive use of electronic media in gather</w:t>
      </w:r>
      <w:r w:rsidR="00EA6BDB">
        <w:t>ing and evaluating information.</w:t>
      </w:r>
    </w:p>
    <w:p w14:paraId="1856ECC7" w14:textId="77777777" w:rsidR="00E07986" w:rsidRDefault="00E07986" w:rsidP="001B6288">
      <w:pPr>
        <w:keepNext/>
        <w:keepLines/>
      </w:pPr>
    </w:p>
    <w:p w14:paraId="3643D566" w14:textId="13204DD0" w:rsidR="00376375" w:rsidRPr="0078145E" w:rsidRDefault="0078145E" w:rsidP="0078145E">
      <w:pPr>
        <w:keepNext/>
        <w:keepLines/>
        <w:ind w:firstLine="360"/>
      </w:pPr>
      <w:r>
        <w:t xml:space="preserve">For industries that must comply with defect reporting regulations found at </w:t>
      </w:r>
      <w:r w:rsidRPr="0078145E">
        <w:t>40 C</w:t>
      </w:r>
      <w:r>
        <w:t>FR Part 85, Subparts S and T (namely h</w:t>
      </w:r>
      <w:r w:rsidR="00E07986">
        <w:t>eavy-duty</w:t>
      </w:r>
      <w:r>
        <w:t xml:space="preserve"> trucks</w:t>
      </w:r>
      <w:r w:rsidR="00E07986">
        <w:t xml:space="preserve"> and </w:t>
      </w:r>
      <w:r>
        <w:t>h</w:t>
      </w:r>
      <w:r w:rsidR="00E07986">
        <w:t>ighway motorcycle</w:t>
      </w:r>
      <w:r>
        <w:t>s), EPA has developed the following</w:t>
      </w:r>
      <w:r w:rsidR="00253B90">
        <w:rPr>
          <w:color w:val="000000"/>
        </w:rPr>
        <w:t xml:space="preserve"> </w:t>
      </w:r>
      <w:r w:rsidR="00404CEF">
        <w:rPr>
          <w:color w:val="000000"/>
        </w:rPr>
        <w:t>Adobe Reader-</w:t>
      </w:r>
      <w:r w:rsidR="00376375">
        <w:rPr>
          <w:color w:val="000000"/>
        </w:rPr>
        <w:t>based forms:</w:t>
      </w:r>
    </w:p>
    <w:p w14:paraId="635E85E1" w14:textId="77777777" w:rsidR="00376375" w:rsidRDefault="00376375" w:rsidP="00253B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 </w:t>
      </w:r>
    </w:p>
    <w:p w14:paraId="3C42E666" w14:textId="60DD5C0C" w:rsidR="00376375" w:rsidRPr="00A10C02" w:rsidRDefault="00376375" w:rsidP="00376375">
      <w:pPr>
        <w:widowControl w:val="0"/>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color w:val="000000"/>
        </w:rPr>
        <w:t xml:space="preserve">Form </w:t>
      </w:r>
      <w:r w:rsidRPr="00A10C02">
        <w:t>590-</w:t>
      </w:r>
      <w:r w:rsidR="00A10C02" w:rsidRPr="00A10C02">
        <w:t>301</w:t>
      </w:r>
      <w:r w:rsidRPr="00A10C02">
        <w:t xml:space="preserve"> is used for DIRs</w:t>
      </w:r>
    </w:p>
    <w:p w14:paraId="6D8DB2D7" w14:textId="1B365F1F" w:rsidR="00376375" w:rsidRPr="00A10C02" w:rsidRDefault="00376375" w:rsidP="00376375">
      <w:pPr>
        <w:widowControl w:val="0"/>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0C02">
        <w:t>Form 590-</w:t>
      </w:r>
      <w:r w:rsidR="00A10C02" w:rsidRPr="00A10C02">
        <w:t>300</w:t>
      </w:r>
      <w:r w:rsidRPr="00A10C02">
        <w:t xml:space="preserve"> is used for </w:t>
      </w:r>
      <w:bookmarkStart w:id="1" w:name="OLE_LINK3"/>
      <w:bookmarkStart w:id="2" w:name="OLE_LINK4"/>
      <w:r w:rsidRPr="00A10C02">
        <w:t>VER</w:t>
      </w:r>
      <w:bookmarkEnd w:id="1"/>
      <w:bookmarkEnd w:id="2"/>
      <w:r w:rsidRPr="00A10C02">
        <w:t>Rs, and</w:t>
      </w:r>
    </w:p>
    <w:p w14:paraId="7012CF80" w14:textId="4F17ECEC" w:rsidR="00376375" w:rsidRPr="00A10C02" w:rsidRDefault="00376375" w:rsidP="00376375">
      <w:pPr>
        <w:widowControl w:val="0"/>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0C02">
        <w:t>Form 590-</w:t>
      </w:r>
      <w:r w:rsidR="00A10C02" w:rsidRPr="00A10C02">
        <w:t>302</w:t>
      </w:r>
      <w:r w:rsidRPr="00A10C02">
        <w:t xml:space="preserve"> is used for VER Quarterly Reports</w:t>
      </w:r>
    </w:p>
    <w:p w14:paraId="1CAF42D6" w14:textId="77777777" w:rsidR="00376375" w:rsidRPr="00A10C02" w:rsidRDefault="00376375" w:rsidP="00253B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79866DB" w14:textId="24ADA3CD" w:rsidR="0078145E" w:rsidRDefault="0078145E" w:rsidP="00253B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r>
      <w:r w:rsidR="001B6288">
        <w:rPr>
          <w:color w:val="000000"/>
        </w:rPr>
        <w:t xml:space="preserve">The forms can be downloaded from </w:t>
      </w:r>
      <w:hyperlink r:id="rId8" w:history="1">
        <w:r w:rsidR="001B6288" w:rsidRPr="008E7607">
          <w:rPr>
            <w:rStyle w:val="Hyperlink"/>
          </w:rPr>
          <w:t>https://www.epa.gov/vehicle-and-engine-certification/report-forms-and-guidance-defects-and-recalls-under-40-cfr-part-85</w:t>
        </w:r>
      </w:hyperlink>
      <w:r w:rsidR="001B6288">
        <w:rPr>
          <w:color w:val="000000"/>
        </w:rPr>
        <w:t xml:space="preserve">. </w:t>
      </w:r>
      <w:r w:rsidR="00EA6BDB">
        <w:rPr>
          <w:color w:val="000000"/>
        </w:rPr>
        <w:t xml:space="preserve">Manufacturers of NR engines may prepare reports using their own formats. Reports are then electronically </w:t>
      </w:r>
      <w:r w:rsidR="00E07986">
        <w:rPr>
          <w:color w:val="000000"/>
        </w:rPr>
        <w:t>submit</w:t>
      </w:r>
      <w:r w:rsidR="00EA6BDB">
        <w:rPr>
          <w:color w:val="000000"/>
        </w:rPr>
        <w:t>ted to</w:t>
      </w:r>
      <w:r w:rsidR="00E07986">
        <w:rPr>
          <w:color w:val="000000"/>
        </w:rPr>
        <w:t xml:space="preserve"> OTAQ’s Document Module</w:t>
      </w:r>
      <w:r w:rsidR="00EA6BDB">
        <w:rPr>
          <w:color w:val="000000"/>
        </w:rPr>
        <w:t xml:space="preserve"> through Verify, CD’s engine and vehicle emissions data system</w:t>
      </w:r>
      <w:r w:rsidR="00E07986">
        <w:rPr>
          <w:color w:val="000000"/>
        </w:rPr>
        <w:t>. The data is then retrieved and uploaded</w:t>
      </w:r>
      <w:r w:rsidR="00EA6BDB">
        <w:rPr>
          <w:color w:val="000000"/>
        </w:rPr>
        <w:t xml:space="preserve"> by a contractor into </w:t>
      </w:r>
      <w:r w:rsidR="00E07986">
        <w:rPr>
          <w:color w:val="000000"/>
        </w:rPr>
        <w:t>internal def</w:t>
      </w:r>
      <w:r w:rsidR="00EA6BDB">
        <w:rPr>
          <w:color w:val="000000"/>
        </w:rPr>
        <w:t xml:space="preserve">ects databases. </w:t>
      </w:r>
      <w:r w:rsidR="00E07986">
        <w:rPr>
          <w:color w:val="000000"/>
          <w:lang w:val="en-GB"/>
        </w:rPr>
        <w:t xml:space="preserve">While </w:t>
      </w:r>
      <w:r w:rsidR="00EA6BDB">
        <w:rPr>
          <w:color w:val="000000"/>
          <w:lang w:val="en-GB"/>
        </w:rPr>
        <w:t>those databases are</w:t>
      </w:r>
      <w:r w:rsidR="00E07986">
        <w:rPr>
          <w:color w:val="000000"/>
          <w:lang w:val="en-GB"/>
        </w:rPr>
        <w:t xml:space="preserve"> not viewable by manufacturers or the public, additional information about VERIFY can be found at </w:t>
      </w:r>
      <w:hyperlink r:id="rId9" w:history="1">
        <w:r w:rsidR="00E07986" w:rsidRPr="006B7206">
          <w:rPr>
            <w:rStyle w:val="Hyperlink"/>
          </w:rPr>
          <w:t>https://www.epa.gov/vehicle-and-engine-certification/how-register-verify-system</w:t>
        </w:r>
      </w:hyperlink>
      <w:r w:rsidR="00E07986">
        <w:t>.</w:t>
      </w:r>
      <w:r w:rsidR="00E07986">
        <w:rPr>
          <w:color w:val="000000"/>
        </w:rPr>
        <w:t xml:space="preserve"> </w:t>
      </w:r>
    </w:p>
    <w:p w14:paraId="0EF567F6" w14:textId="77777777" w:rsidR="0078145E" w:rsidRDefault="0078145E" w:rsidP="00253B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55DEC290" w14:textId="77777777" w:rsidR="00EF4994" w:rsidRDefault="00EF4994" w:rsidP="00B224A4">
      <w:pPr>
        <w:pStyle w:val="Heading2"/>
        <w:rPr>
          <w:u w:val="none"/>
        </w:rPr>
      </w:pPr>
    </w:p>
    <w:p w14:paraId="5DDAE18E" w14:textId="77777777" w:rsidR="00C744A9" w:rsidRPr="00C744A9" w:rsidRDefault="00C744A9" w:rsidP="00B224A4">
      <w:pPr>
        <w:pStyle w:val="Heading2"/>
      </w:pPr>
      <w:r w:rsidRPr="00A53CC1">
        <w:rPr>
          <w:u w:val="none"/>
        </w:rPr>
        <w:t>5(c)</w:t>
      </w:r>
      <w:r w:rsidRPr="00A53CC1">
        <w:rPr>
          <w:u w:val="none"/>
        </w:rPr>
        <w:tab/>
      </w:r>
      <w:r w:rsidRPr="00C744A9">
        <w:t>Small Entity Flexibility</w:t>
      </w:r>
    </w:p>
    <w:p w14:paraId="310BFD39" w14:textId="77777777" w:rsidR="00B524CA" w:rsidRPr="00C744A9" w:rsidRDefault="00B524CA" w:rsidP="00C744A9"/>
    <w:p w14:paraId="33FE381E" w14:textId="77777777" w:rsidR="00C744A9" w:rsidRDefault="00C744A9" w:rsidP="00C744A9">
      <w:r w:rsidRPr="00C744A9">
        <w:tab/>
        <w:t xml:space="preserve">The information requested is </w:t>
      </w:r>
      <w:r w:rsidR="00D40798" w:rsidRPr="00C744A9">
        <w:t>the</w:t>
      </w:r>
      <w:r w:rsidRPr="00C744A9">
        <w:t xml:space="preserve"> minimum needed to effectively maintain the emission control programs</w:t>
      </w:r>
      <w:r w:rsidR="00716324">
        <w:t>'</w:t>
      </w:r>
      <w:r w:rsidRPr="00C744A9">
        <w:t xml:space="preserve"> integrity and comply with the requirements of the Clean Air Act.  Further measures to simplify reporting requirements for small businesses do not appear prudent or necessary.</w:t>
      </w:r>
    </w:p>
    <w:p w14:paraId="3ABBAA85" w14:textId="77777777" w:rsidR="00B524CA" w:rsidRPr="00C744A9" w:rsidRDefault="00B524CA" w:rsidP="00C744A9"/>
    <w:p w14:paraId="4C897F11" w14:textId="77777777" w:rsidR="00EF4994" w:rsidRDefault="00EF4994" w:rsidP="00B224A4">
      <w:pPr>
        <w:pStyle w:val="Heading2"/>
        <w:rPr>
          <w:u w:val="none"/>
        </w:rPr>
      </w:pPr>
    </w:p>
    <w:p w14:paraId="51DC8558" w14:textId="77777777" w:rsidR="00C744A9" w:rsidRPr="00C744A9" w:rsidRDefault="00C744A9" w:rsidP="00B224A4">
      <w:pPr>
        <w:pStyle w:val="Heading2"/>
      </w:pPr>
      <w:r w:rsidRPr="00A53CC1">
        <w:rPr>
          <w:u w:val="none"/>
        </w:rPr>
        <w:t>5(d)</w:t>
      </w:r>
      <w:r w:rsidRPr="00A53CC1">
        <w:rPr>
          <w:u w:val="none"/>
        </w:rPr>
        <w:tab/>
      </w:r>
      <w:r w:rsidRPr="00C744A9">
        <w:t>Collection Schedule</w:t>
      </w:r>
    </w:p>
    <w:p w14:paraId="13F45677" w14:textId="77777777" w:rsidR="00C744A9" w:rsidRPr="00C744A9" w:rsidRDefault="00C744A9" w:rsidP="00716324">
      <w:pPr>
        <w:keepNext/>
        <w:keepLines/>
      </w:pPr>
    </w:p>
    <w:p w14:paraId="1FA5D060" w14:textId="77777777" w:rsidR="00531E2D" w:rsidRDefault="00531E2D" w:rsidP="00716324">
      <w:pPr>
        <w:keepNext/>
        <w:keepLines/>
      </w:pPr>
      <w:r>
        <w:tab/>
        <w:t xml:space="preserve">DIRs are </w:t>
      </w:r>
      <w:r w:rsidR="00C744A9" w:rsidRPr="00635197">
        <w:t>collected on occasion only</w:t>
      </w:r>
      <w:r w:rsidR="002877E2" w:rsidRPr="00635197">
        <w:t xml:space="preserve">.  </w:t>
      </w:r>
      <w:r>
        <w:t xml:space="preserve">If the defect requires a recall, a reporting scheduled is triggered.  </w:t>
      </w:r>
      <w:r w:rsidRPr="00927427">
        <w:t xml:space="preserve">Sections </w:t>
      </w:r>
      <w:bookmarkStart w:id="3" w:name="OLE_LINK1"/>
      <w:bookmarkStart w:id="4" w:name="OLE_LINK2"/>
      <w:r w:rsidRPr="00927427">
        <w:t xml:space="preserve">4(b)(i)(A) </w:t>
      </w:r>
      <w:bookmarkEnd w:id="3"/>
      <w:bookmarkEnd w:id="4"/>
      <w:r w:rsidRPr="00927427">
        <w:t>through 4(b)(i)(D) describe the schedule.</w:t>
      </w:r>
    </w:p>
    <w:p w14:paraId="3737AEBE" w14:textId="77777777" w:rsidR="00531E2D" w:rsidRDefault="00531E2D" w:rsidP="00716324">
      <w:pPr>
        <w:keepNext/>
        <w:keepLines/>
      </w:pPr>
    </w:p>
    <w:p w14:paraId="6E378DE1" w14:textId="77777777" w:rsidR="009669E2" w:rsidRDefault="009669E2" w:rsidP="00C744A9"/>
    <w:p w14:paraId="644AEF4A" w14:textId="77777777" w:rsidR="00531E2D" w:rsidRDefault="00531E2D" w:rsidP="00C744A9"/>
    <w:p w14:paraId="29CAE225" w14:textId="77777777" w:rsidR="009669E2" w:rsidRPr="002A7A1F" w:rsidRDefault="009050F9" w:rsidP="009B431C">
      <w:pPr>
        <w:pStyle w:val="Heading1"/>
      </w:pPr>
      <w:r w:rsidRPr="009B431C">
        <w:rPr>
          <w:u w:val="none"/>
        </w:rPr>
        <w:fldChar w:fldCharType="begin"/>
      </w:r>
      <w:r w:rsidR="009669E2" w:rsidRPr="009B431C">
        <w:rPr>
          <w:u w:val="none"/>
        </w:rPr>
        <w:instrText xml:space="preserve"> SEQ CHAPTER \h \r 1</w:instrText>
      </w:r>
      <w:r w:rsidRPr="009B431C">
        <w:rPr>
          <w:u w:val="none"/>
        </w:rPr>
        <w:fldChar w:fldCharType="end"/>
      </w:r>
      <w:r w:rsidR="009669E2" w:rsidRPr="009B431C">
        <w:rPr>
          <w:u w:val="none"/>
        </w:rPr>
        <w:t>6.</w:t>
      </w:r>
      <w:r w:rsidR="009669E2" w:rsidRPr="009B431C">
        <w:rPr>
          <w:u w:val="none"/>
        </w:rPr>
        <w:tab/>
      </w:r>
      <w:r w:rsidR="009669E2" w:rsidRPr="002A7A1F">
        <w:t>Estimating the Burden and Cost of the Collection</w:t>
      </w:r>
    </w:p>
    <w:p w14:paraId="67526D5F" w14:textId="77777777" w:rsidR="002B782B" w:rsidRDefault="002B782B" w:rsidP="00223586">
      <w:pPr>
        <w:pStyle w:val="Cl"/>
        <w:keepNext/>
        <w:keepLines/>
      </w:pPr>
    </w:p>
    <w:p w14:paraId="603ABDBC" w14:textId="77777777" w:rsidR="00531E2D" w:rsidRPr="002A15A2" w:rsidRDefault="00531E2D" w:rsidP="002A15A2"/>
    <w:p w14:paraId="488DC889" w14:textId="77777777" w:rsidR="002D6475" w:rsidRPr="002A15A2" w:rsidRDefault="009050F9" w:rsidP="00B224A4">
      <w:pPr>
        <w:pStyle w:val="Heading2"/>
      </w:pPr>
      <w:r w:rsidRPr="00A53CC1">
        <w:rPr>
          <w:u w:val="none"/>
        </w:rPr>
        <w:fldChar w:fldCharType="begin"/>
      </w:r>
      <w:r w:rsidR="000800E8" w:rsidRPr="00A53CC1">
        <w:rPr>
          <w:u w:val="none"/>
        </w:rPr>
        <w:instrText xml:space="preserve"> SEQ CHAPTER \h \r 1</w:instrText>
      </w:r>
      <w:r w:rsidRPr="00A53CC1">
        <w:rPr>
          <w:u w:val="none"/>
        </w:rPr>
        <w:fldChar w:fldCharType="end"/>
      </w:r>
      <w:r w:rsidR="000800E8" w:rsidRPr="00A53CC1">
        <w:rPr>
          <w:u w:val="none"/>
        </w:rPr>
        <w:t>6(a)</w:t>
      </w:r>
      <w:r w:rsidR="000800E8" w:rsidRPr="00A53CC1">
        <w:rPr>
          <w:u w:val="none"/>
        </w:rPr>
        <w:tab/>
      </w:r>
      <w:r w:rsidR="000800E8" w:rsidRPr="00B224A4">
        <w:t>Estimating Respondent Burden</w:t>
      </w:r>
    </w:p>
    <w:p w14:paraId="0253178D" w14:textId="77777777" w:rsidR="000800E8" w:rsidRPr="002A15A2" w:rsidRDefault="000800E8" w:rsidP="002A15A2"/>
    <w:p w14:paraId="48BB1F4A" w14:textId="63859B7E" w:rsidR="00D40798" w:rsidRDefault="00D40798" w:rsidP="00D407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sidR="00944AEF">
        <w:rPr>
          <w:color w:val="000000"/>
        </w:rPr>
        <w:t xml:space="preserve">Table 1 </w:t>
      </w:r>
      <w:r w:rsidR="00EA6BDB">
        <w:rPr>
          <w:color w:val="000000"/>
        </w:rPr>
        <w:t>(</w:t>
      </w:r>
      <w:r w:rsidR="00944AEF">
        <w:rPr>
          <w:color w:val="000000"/>
        </w:rPr>
        <w:t>below) summarizes all r</w:t>
      </w:r>
      <w:r w:rsidR="00F778D9">
        <w:rPr>
          <w:color w:val="000000"/>
        </w:rPr>
        <w:t>espondent</w:t>
      </w:r>
      <w:r>
        <w:rPr>
          <w:color w:val="000000"/>
        </w:rPr>
        <w:t xml:space="preserve"> </w:t>
      </w:r>
      <w:r w:rsidR="00944AEF">
        <w:rPr>
          <w:color w:val="000000"/>
        </w:rPr>
        <w:t>burden estimates. Tables 1</w:t>
      </w:r>
      <w:r w:rsidR="00D94FD4">
        <w:rPr>
          <w:color w:val="000000"/>
        </w:rPr>
        <w:t xml:space="preserve"> and 3 are </w:t>
      </w:r>
      <w:r w:rsidR="00944AEF">
        <w:rPr>
          <w:color w:val="000000"/>
        </w:rPr>
        <w:t xml:space="preserve">also </w:t>
      </w:r>
      <w:r w:rsidRPr="00C352BA">
        <w:rPr>
          <w:color w:val="000000"/>
        </w:rPr>
        <w:t>included in the Excel file that accom</w:t>
      </w:r>
      <w:r>
        <w:rPr>
          <w:color w:val="000000"/>
        </w:rPr>
        <w:t>panies this supporting statement.</w:t>
      </w:r>
    </w:p>
    <w:p w14:paraId="08630A25" w14:textId="1CAE9A83" w:rsidR="0024575D" w:rsidRDefault="0024575D">
      <w:r>
        <w:br w:type="page"/>
      </w:r>
    </w:p>
    <w:p w14:paraId="1DEABD81" w14:textId="48EEB358" w:rsidR="001C3F4F" w:rsidRDefault="00944AEF" w:rsidP="001C3F4F">
      <w:r>
        <w:br w:type="page"/>
      </w:r>
      <w:r w:rsidR="001C3F4F" w:rsidRPr="001C3F4F">
        <w:rPr>
          <w:noProof/>
        </w:rPr>
        <w:drawing>
          <wp:anchor distT="0" distB="0" distL="114300" distR="114300" simplePos="0" relativeHeight="251658240" behindDoc="0" locked="0" layoutInCell="1" allowOverlap="1" wp14:anchorId="65842E9B" wp14:editId="673408A6">
            <wp:simplePos x="0" y="0"/>
            <wp:positionH relativeFrom="column">
              <wp:posOffset>0</wp:posOffset>
            </wp:positionH>
            <wp:positionV relativeFrom="paragraph">
              <wp:posOffset>1788459</wp:posOffset>
            </wp:positionV>
            <wp:extent cx="8121463" cy="4540885"/>
            <wp:effectExtent l="0" t="1790700" r="0" b="176466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8121463" cy="4540885"/>
                    </a:xfrm>
                    <a:prstGeom prst="rect">
                      <a:avLst/>
                    </a:prstGeom>
                    <a:noFill/>
                    <a:ln>
                      <a:noFill/>
                    </a:ln>
                  </pic:spPr>
                </pic:pic>
              </a:graphicData>
            </a:graphic>
          </wp:anchor>
        </w:drawing>
      </w:r>
    </w:p>
    <w:p w14:paraId="3FC0F569" w14:textId="77777777" w:rsidR="0024575D" w:rsidRDefault="0024575D" w:rsidP="00B224A4">
      <w:pPr>
        <w:pStyle w:val="Heading2"/>
        <w:rPr>
          <w:u w:val="none"/>
        </w:rPr>
      </w:pPr>
    </w:p>
    <w:p w14:paraId="64CBDDFC" w14:textId="54CFB789" w:rsidR="000800E8" w:rsidRPr="002A15A2" w:rsidRDefault="009050F9" w:rsidP="00B224A4">
      <w:pPr>
        <w:pStyle w:val="Heading2"/>
      </w:pPr>
      <w:r w:rsidRPr="00A53CC1">
        <w:rPr>
          <w:u w:val="none"/>
        </w:rPr>
        <w:fldChar w:fldCharType="begin"/>
      </w:r>
      <w:r w:rsidR="000800E8" w:rsidRPr="00A53CC1">
        <w:rPr>
          <w:u w:val="none"/>
        </w:rPr>
        <w:instrText xml:space="preserve"> SEQ CHAPTER \h \r 1</w:instrText>
      </w:r>
      <w:r w:rsidRPr="00A53CC1">
        <w:rPr>
          <w:u w:val="none"/>
        </w:rPr>
        <w:fldChar w:fldCharType="end"/>
      </w:r>
      <w:r w:rsidR="000800E8" w:rsidRPr="00A53CC1">
        <w:rPr>
          <w:u w:val="none"/>
        </w:rPr>
        <w:t xml:space="preserve">6(b) </w:t>
      </w:r>
      <w:r w:rsidR="0015370D" w:rsidRPr="00A53CC1">
        <w:rPr>
          <w:u w:val="none"/>
        </w:rPr>
        <w:tab/>
      </w:r>
      <w:r w:rsidR="000800E8" w:rsidRPr="00B224A4">
        <w:t>Estimating Respondent Costs</w:t>
      </w:r>
    </w:p>
    <w:p w14:paraId="7C100374" w14:textId="77777777" w:rsidR="000800E8" w:rsidRDefault="000800E8" w:rsidP="002A15A2"/>
    <w:p w14:paraId="0D618376" w14:textId="77777777" w:rsidR="00C51E80" w:rsidRPr="009B431C" w:rsidRDefault="00C51E80" w:rsidP="009B431C">
      <w:pPr>
        <w:tabs>
          <w:tab w:val="left" w:pos="1080"/>
        </w:tabs>
        <w:ind w:left="360"/>
      </w:pPr>
      <w:r w:rsidRPr="009B431C">
        <w:t>(i)</w:t>
      </w:r>
      <w:r w:rsidRPr="009B431C">
        <w:tab/>
      </w:r>
      <w:r w:rsidRPr="00A53CC1">
        <w:rPr>
          <w:u w:val="single"/>
        </w:rPr>
        <w:t>Estimating Labor Costs</w:t>
      </w:r>
    </w:p>
    <w:p w14:paraId="70FD0554" w14:textId="77777777" w:rsidR="00C51E80" w:rsidRPr="002A15A2" w:rsidRDefault="00C51E80" w:rsidP="002A15A2"/>
    <w:p w14:paraId="35C261F3" w14:textId="0D25C9BA" w:rsidR="00933BB8" w:rsidRDefault="00933BB8" w:rsidP="00933B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t>To estimate labor costs, EPA used the Bureau of Labor Statistics' (BLS) National Industry-specific Occup</w:t>
      </w:r>
      <w:r w:rsidR="00B41942">
        <w:rPr>
          <w:color w:val="000000"/>
        </w:rPr>
        <w:t>ational Wage Estimates (May 2016</w:t>
      </w:r>
      <w:r>
        <w:rPr>
          <w:color w:val="000000"/>
        </w:rPr>
        <w:t xml:space="preserve">) for the Engine and Turbines Industry under Standard Industrial Classification (SIC) code 351 </w:t>
      </w:r>
      <w:r w:rsidR="000829AA">
        <w:rPr>
          <w:color w:val="000000"/>
        </w:rPr>
        <w:t>and increased by a factor of 2.1</w:t>
      </w:r>
      <w:r>
        <w:rPr>
          <w:color w:val="000000"/>
        </w:rPr>
        <w:t xml:space="preserve"> to account for</w:t>
      </w:r>
      <w:r w:rsidR="00927427">
        <w:rPr>
          <w:color w:val="000000"/>
        </w:rPr>
        <w:t xml:space="preserve"> benefits and overhead.  </w:t>
      </w:r>
      <w:r w:rsidR="00B62020">
        <w:t xml:space="preserve">This information can be found at:  </w:t>
      </w:r>
      <w:hyperlink r:id="rId11" w:history="1">
        <w:r w:rsidR="00B62020" w:rsidRPr="00FD4423">
          <w:rPr>
            <w:rStyle w:val="Hyperlink"/>
          </w:rPr>
          <w:t>http://www.bls.gov/oes/current/naics4_333600.htm</w:t>
        </w:r>
      </w:hyperlink>
      <w:r w:rsidR="00B62020">
        <w:t xml:space="preserve">. </w:t>
      </w:r>
      <w:r w:rsidR="00927427">
        <w:rPr>
          <w:color w:val="000000"/>
        </w:rPr>
        <w:t>Mean</w:t>
      </w:r>
      <w:r>
        <w:rPr>
          <w:color w:val="000000"/>
        </w:rPr>
        <w:t xml:space="preserve"> hourly rates were used for this estimate and are listed below.</w:t>
      </w:r>
    </w:p>
    <w:p w14:paraId="7D34799F" w14:textId="77777777" w:rsidR="00C352BA" w:rsidRDefault="00C352BA" w:rsidP="00A972C4">
      <w:pPr>
        <w:jc w:val="center"/>
        <w:rPr>
          <w:b/>
        </w:rPr>
      </w:pPr>
    </w:p>
    <w:p w14:paraId="612ABA80" w14:textId="26E6555F" w:rsidR="00A972C4" w:rsidRPr="00A972C4" w:rsidRDefault="009050F9" w:rsidP="00A972C4">
      <w:pPr>
        <w:jc w:val="center"/>
        <w:rPr>
          <w:b/>
        </w:rPr>
      </w:pPr>
      <w:r w:rsidRPr="00A972C4">
        <w:rPr>
          <w:b/>
        </w:rPr>
        <w:fldChar w:fldCharType="begin"/>
      </w:r>
      <w:r w:rsidR="00A972C4" w:rsidRPr="00A972C4">
        <w:rPr>
          <w:b/>
        </w:rPr>
        <w:instrText xml:space="preserve"> SEQ CHAPTER \h \r 1</w:instrText>
      </w:r>
      <w:r w:rsidRPr="00A972C4">
        <w:rPr>
          <w:b/>
        </w:rPr>
        <w:fldChar w:fldCharType="end"/>
      </w:r>
      <w:r w:rsidR="00A972C4" w:rsidRPr="00A972C4">
        <w:rPr>
          <w:b/>
        </w:rPr>
        <w:t xml:space="preserve">Table </w:t>
      </w:r>
      <w:r w:rsidR="00944AEF">
        <w:rPr>
          <w:b/>
        </w:rPr>
        <w:t>2</w:t>
      </w:r>
    </w:p>
    <w:p w14:paraId="3F41B683" w14:textId="77777777" w:rsidR="00A972C4" w:rsidRDefault="00A972C4" w:rsidP="00A972C4">
      <w:pPr>
        <w:jc w:val="center"/>
        <w:rPr>
          <w:b/>
        </w:rPr>
      </w:pPr>
      <w:r w:rsidRPr="00A972C4">
        <w:rPr>
          <w:b/>
        </w:rPr>
        <w:t>Labor Costs Estimates</w:t>
      </w:r>
    </w:p>
    <w:tbl>
      <w:tblPr>
        <w:tblW w:w="8640" w:type="dxa"/>
        <w:jc w:val="center"/>
        <w:tblLayout w:type="fixed"/>
        <w:tblCellMar>
          <w:top w:w="72" w:type="dxa"/>
          <w:left w:w="72" w:type="dxa"/>
          <w:bottom w:w="72" w:type="dxa"/>
          <w:right w:w="72" w:type="dxa"/>
        </w:tblCellMar>
        <w:tblLook w:val="0000" w:firstRow="0" w:lastRow="0" w:firstColumn="0" w:lastColumn="0" w:noHBand="0" w:noVBand="0"/>
      </w:tblPr>
      <w:tblGrid>
        <w:gridCol w:w="3560"/>
        <w:gridCol w:w="1664"/>
        <w:gridCol w:w="1746"/>
        <w:gridCol w:w="1670"/>
      </w:tblGrid>
      <w:tr w:rsidR="0052107B" w14:paraId="6EC40071" w14:textId="77777777" w:rsidTr="006B54AB">
        <w:trPr>
          <w:cantSplit/>
          <w:trHeight w:val="345"/>
          <w:jc w:val="center"/>
        </w:trPr>
        <w:tc>
          <w:tcPr>
            <w:tcW w:w="3560" w:type="dxa"/>
            <w:tcBorders>
              <w:top w:val="single" w:sz="6" w:space="0" w:color="000000"/>
              <w:left w:val="single" w:sz="6" w:space="0" w:color="000000"/>
              <w:bottom w:val="single" w:sz="6" w:space="0" w:color="000000"/>
              <w:right w:val="nil"/>
            </w:tcBorders>
            <w:shd w:val="clear" w:color="auto" w:fill="0070C0"/>
          </w:tcPr>
          <w:p w14:paraId="57039CA6" w14:textId="77777777" w:rsidR="0052107B" w:rsidRPr="006B54AB" w:rsidRDefault="0052107B" w:rsidP="009251A9">
            <w:pPr>
              <w:jc w:val="center"/>
              <w:rPr>
                <w:color w:val="FFFFFF" w:themeColor="background1"/>
                <w:sz w:val="20"/>
                <w:szCs w:val="20"/>
              </w:rPr>
            </w:pPr>
            <w:r w:rsidRPr="006B54AB">
              <w:rPr>
                <w:color w:val="FFFFFF" w:themeColor="background1"/>
                <w:sz w:val="20"/>
                <w:szCs w:val="20"/>
              </w:rPr>
              <w:t>Occupation</w:t>
            </w:r>
          </w:p>
        </w:tc>
        <w:tc>
          <w:tcPr>
            <w:tcW w:w="1664" w:type="dxa"/>
            <w:tcBorders>
              <w:top w:val="single" w:sz="6" w:space="0" w:color="000000"/>
              <w:left w:val="single" w:sz="6" w:space="0" w:color="000000"/>
              <w:bottom w:val="single" w:sz="6" w:space="0" w:color="000000"/>
              <w:right w:val="nil"/>
            </w:tcBorders>
            <w:shd w:val="clear" w:color="auto" w:fill="0070C0"/>
          </w:tcPr>
          <w:p w14:paraId="409D7D12" w14:textId="77777777" w:rsidR="0052107B" w:rsidRPr="006B54AB" w:rsidRDefault="0052107B">
            <w:pPr>
              <w:jc w:val="center"/>
              <w:rPr>
                <w:color w:val="FFFFFF" w:themeColor="background1"/>
                <w:sz w:val="20"/>
                <w:szCs w:val="20"/>
              </w:rPr>
            </w:pPr>
            <w:r w:rsidRPr="006B54AB">
              <w:rPr>
                <w:color w:val="FFFFFF" w:themeColor="background1"/>
                <w:sz w:val="20"/>
                <w:szCs w:val="20"/>
              </w:rPr>
              <w:t>SOC Code Number</w:t>
            </w:r>
          </w:p>
        </w:tc>
        <w:tc>
          <w:tcPr>
            <w:tcW w:w="1746" w:type="dxa"/>
            <w:tcBorders>
              <w:top w:val="single" w:sz="6" w:space="0" w:color="000000"/>
              <w:left w:val="single" w:sz="6" w:space="0" w:color="000000"/>
              <w:bottom w:val="single" w:sz="6" w:space="0" w:color="000000"/>
              <w:right w:val="nil"/>
            </w:tcBorders>
            <w:shd w:val="clear" w:color="auto" w:fill="0070C0"/>
          </w:tcPr>
          <w:p w14:paraId="74D40389" w14:textId="77777777" w:rsidR="0052107B" w:rsidRPr="006B54AB" w:rsidRDefault="0052107B">
            <w:pPr>
              <w:jc w:val="center"/>
              <w:rPr>
                <w:color w:val="FFFFFF" w:themeColor="background1"/>
                <w:sz w:val="20"/>
                <w:szCs w:val="20"/>
              </w:rPr>
            </w:pPr>
            <w:r w:rsidRPr="006B54AB">
              <w:rPr>
                <w:color w:val="FFFFFF" w:themeColor="background1"/>
                <w:sz w:val="20"/>
                <w:szCs w:val="20"/>
              </w:rPr>
              <w:t>Mean Hourly Rate (BLS)</w:t>
            </w:r>
          </w:p>
        </w:tc>
        <w:tc>
          <w:tcPr>
            <w:tcW w:w="1670" w:type="dxa"/>
            <w:tcBorders>
              <w:top w:val="single" w:sz="6" w:space="0" w:color="000000"/>
              <w:left w:val="single" w:sz="6" w:space="0" w:color="000000"/>
              <w:bottom w:val="single" w:sz="6" w:space="0" w:color="000000"/>
              <w:right w:val="single" w:sz="6" w:space="0" w:color="000000"/>
            </w:tcBorders>
            <w:shd w:val="clear" w:color="auto" w:fill="0070C0"/>
          </w:tcPr>
          <w:p w14:paraId="0498A379" w14:textId="04694676" w:rsidR="0052107B" w:rsidRPr="006B54AB" w:rsidRDefault="000829AA">
            <w:pPr>
              <w:jc w:val="center"/>
              <w:rPr>
                <w:color w:val="FFFFFF" w:themeColor="background1"/>
                <w:sz w:val="20"/>
                <w:szCs w:val="20"/>
              </w:rPr>
            </w:pPr>
            <w:r w:rsidRPr="006B54AB">
              <w:rPr>
                <w:color w:val="FFFFFF" w:themeColor="background1"/>
                <w:sz w:val="20"/>
                <w:szCs w:val="20"/>
              </w:rPr>
              <w:t>Rate Increased by a Factor of 2.1</w:t>
            </w:r>
          </w:p>
        </w:tc>
      </w:tr>
      <w:tr w:rsidR="00DE6CA8" w14:paraId="39643508" w14:textId="77777777" w:rsidTr="00C16F42">
        <w:trPr>
          <w:cantSplit/>
          <w:trHeight w:val="345"/>
          <w:jc w:val="center"/>
        </w:trPr>
        <w:tc>
          <w:tcPr>
            <w:tcW w:w="3560" w:type="dxa"/>
            <w:tcBorders>
              <w:top w:val="single" w:sz="6" w:space="0" w:color="000000"/>
              <w:left w:val="single" w:sz="6" w:space="0" w:color="000000"/>
              <w:bottom w:val="single" w:sz="6" w:space="0" w:color="000000"/>
              <w:right w:val="nil"/>
            </w:tcBorders>
            <w:shd w:val="clear" w:color="auto" w:fill="auto"/>
          </w:tcPr>
          <w:p w14:paraId="7051E4B0" w14:textId="41C34649" w:rsidR="00DE6CA8" w:rsidRPr="009251A9" w:rsidRDefault="00DE6CA8" w:rsidP="00DE6CA8">
            <w:pPr>
              <w:rPr>
                <w:sz w:val="20"/>
                <w:szCs w:val="20"/>
              </w:rPr>
            </w:pPr>
            <w:r>
              <w:rPr>
                <w:sz w:val="20"/>
                <w:szCs w:val="20"/>
              </w:rPr>
              <w:t xml:space="preserve">Mechanical </w:t>
            </w:r>
            <w:r w:rsidRPr="009251A9">
              <w:rPr>
                <w:sz w:val="20"/>
                <w:szCs w:val="20"/>
              </w:rPr>
              <w:t>Engineers</w:t>
            </w:r>
          </w:p>
        </w:tc>
        <w:tc>
          <w:tcPr>
            <w:tcW w:w="1664" w:type="dxa"/>
            <w:tcBorders>
              <w:top w:val="single" w:sz="6" w:space="0" w:color="000000"/>
              <w:left w:val="single" w:sz="6" w:space="0" w:color="000000"/>
              <w:bottom w:val="single" w:sz="6" w:space="0" w:color="000000"/>
              <w:right w:val="nil"/>
            </w:tcBorders>
            <w:shd w:val="clear" w:color="auto" w:fill="auto"/>
          </w:tcPr>
          <w:p w14:paraId="10BF14AC" w14:textId="77777777" w:rsidR="00DE6CA8" w:rsidRPr="009251A9" w:rsidRDefault="00DE6CA8" w:rsidP="00DE6CA8">
            <w:pPr>
              <w:jc w:val="center"/>
              <w:rPr>
                <w:sz w:val="20"/>
                <w:szCs w:val="20"/>
              </w:rPr>
            </w:pPr>
            <w:r w:rsidRPr="009251A9">
              <w:rPr>
                <w:sz w:val="20"/>
                <w:szCs w:val="20"/>
              </w:rPr>
              <w:t>17-2141</w:t>
            </w:r>
          </w:p>
        </w:tc>
        <w:tc>
          <w:tcPr>
            <w:tcW w:w="1746" w:type="dxa"/>
            <w:tcBorders>
              <w:top w:val="single" w:sz="6" w:space="0" w:color="000000"/>
              <w:left w:val="single" w:sz="6" w:space="0" w:color="000000"/>
              <w:bottom w:val="single" w:sz="6" w:space="0" w:color="000000"/>
              <w:right w:val="nil"/>
            </w:tcBorders>
            <w:shd w:val="clear" w:color="auto" w:fill="auto"/>
          </w:tcPr>
          <w:p w14:paraId="0D88D125" w14:textId="7BE7B21F" w:rsidR="00DE6CA8" w:rsidRPr="00D40798" w:rsidRDefault="00DE6CA8" w:rsidP="00DE6C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Pr>
                <w:color w:val="000000"/>
                <w:sz w:val="20"/>
                <w:szCs w:val="20"/>
              </w:rPr>
              <w:t>$41.91</w:t>
            </w:r>
            <w:r w:rsidRPr="00D40798">
              <w:rPr>
                <w:color w:val="000000"/>
                <w:sz w:val="20"/>
                <w:szCs w:val="20"/>
              </w:rPr>
              <w:t xml:space="preserve"> </w:t>
            </w:r>
          </w:p>
        </w:tc>
        <w:tc>
          <w:tcPr>
            <w:tcW w:w="1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CC36EE" w14:textId="70BECE04" w:rsidR="00DE6CA8" w:rsidRPr="00D40798" w:rsidRDefault="00DE6CA8" w:rsidP="00DE6C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Pr>
                <w:color w:val="000000"/>
                <w:sz w:val="20"/>
                <w:szCs w:val="20"/>
              </w:rPr>
              <w:t xml:space="preserve">$88.01 </w:t>
            </w:r>
          </w:p>
        </w:tc>
      </w:tr>
      <w:tr w:rsidR="00DE6CA8" w14:paraId="197398E7" w14:textId="77777777" w:rsidTr="00C16F42">
        <w:trPr>
          <w:cantSplit/>
          <w:trHeight w:val="345"/>
          <w:jc w:val="center"/>
        </w:trPr>
        <w:tc>
          <w:tcPr>
            <w:tcW w:w="3560" w:type="dxa"/>
            <w:tcBorders>
              <w:top w:val="single" w:sz="6" w:space="0" w:color="000000"/>
              <w:left w:val="single" w:sz="6" w:space="0" w:color="000000"/>
              <w:bottom w:val="single" w:sz="6" w:space="0" w:color="000000"/>
              <w:right w:val="nil"/>
            </w:tcBorders>
            <w:shd w:val="clear" w:color="auto" w:fill="auto"/>
          </w:tcPr>
          <w:p w14:paraId="54535550" w14:textId="77777777" w:rsidR="00DE6CA8" w:rsidRPr="009251A9" w:rsidRDefault="00DE6CA8" w:rsidP="00DE6CA8">
            <w:pPr>
              <w:rPr>
                <w:sz w:val="20"/>
                <w:szCs w:val="20"/>
              </w:rPr>
            </w:pPr>
            <w:r w:rsidRPr="009251A9">
              <w:rPr>
                <w:sz w:val="20"/>
                <w:szCs w:val="20"/>
              </w:rPr>
              <w:t>Engineering Managers</w:t>
            </w:r>
          </w:p>
        </w:tc>
        <w:tc>
          <w:tcPr>
            <w:tcW w:w="1664" w:type="dxa"/>
            <w:tcBorders>
              <w:top w:val="single" w:sz="6" w:space="0" w:color="000000"/>
              <w:left w:val="single" w:sz="6" w:space="0" w:color="000000"/>
              <w:bottom w:val="single" w:sz="6" w:space="0" w:color="000000"/>
              <w:right w:val="nil"/>
            </w:tcBorders>
            <w:shd w:val="clear" w:color="auto" w:fill="auto"/>
          </w:tcPr>
          <w:p w14:paraId="1BFCBD00" w14:textId="77777777" w:rsidR="00DE6CA8" w:rsidRPr="009251A9" w:rsidRDefault="00DE6CA8" w:rsidP="00DE6CA8">
            <w:pPr>
              <w:jc w:val="center"/>
              <w:rPr>
                <w:sz w:val="20"/>
                <w:szCs w:val="20"/>
              </w:rPr>
            </w:pPr>
            <w:r w:rsidRPr="009251A9">
              <w:rPr>
                <w:sz w:val="20"/>
                <w:szCs w:val="20"/>
              </w:rPr>
              <w:t xml:space="preserve"> 11-9041</w:t>
            </w:r>
          </w:p>
        </w:tc>
        <w:tc>
          <w:tcPr>
            <w:tcW w:w="1746" w:type="dxa"/>
            <w:tcBorders>
              <w:top w:val="single" w:sz="6" w:space="0" w:color="000000"/>
              <w:left w:val="single" w:sz="6" w:space="0" w:color="000000"/>
              <w:bottom w:val="single" w:sz="6" w:space="0" w:color="000000"/>
              <w:right w:val="nil"/>
            </w:tcBorders>
            <w:shd w:val="clear" w:color="auto" w:fill="auto"/>
          </w:tcPr>
          <w:p w14:paraId="49EB61CC" w14:textId="5814CF91" w:rsidR="00DE6CA8" w:rsidRPr="00D40798" w:rsidRDefault="00DE6CA8" w:rsidP="00DE6C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Pr>
                <w:color w:val="000000"/>
                <w:sz w:val="20"/>
                <w:szCs w:val="20"/>
              </w:rPr>
              <w:t>$63.29</w:t>
            </w:r>
          </w:p>
        </w:tc>
        <w:tc>
          <w:tcPr>
            <w:tcW w:w="1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139CCF" w14:textId="0642B95B" w:rsidR="00DE6CA8" w:rsidRPr="00D40798" w:rsidRDefault="00DE6CA8" w:rsidP="00DE6C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Pr>
                <w:color w:val="000000"/>
                <w:sz w:val="20"/>
                <w:szCs w:val="20"/>
              </w:rPr>
              <w:t xml:space="preserve">$132.91 </w:t>
            </w:r>
          </w:p>
        </w:tc>
      </w:tr>
      <w:tr w:rsidR="00DE6CA8" w14:paraId="2793D741" w14:textId="77777777" w:rsidTr="00C16F42">
        <w:trPr>
          <w:cantSplit/>
          <w:trHeight w:val="345"/>
          <w:jc w:val="center"/>
        </w:trPr>
        <w:tc>
          <w:tcPr>
            <w:tcW w:w="3560" w:type="dxa"/>
            <w:tcBorders>
              <w:top w:val="single" w:sz="6" w:space="0" w:color="000000"/>
              <w:left w:val="single" w:sz="6" w:space="0" w:color="000000"/>
              <w:bottom w:val="single" w:sz="6" w:space="0" w:color="000000"/>
              <w:right w:val="nil"/>
            </w:tcBorders>
            <w:shd w:val="clear" w:color="auto" w:fill="auto"/>
          </w:tcPr>
          <w:p w14:paraId="02BD9862" w14:textId="77777777" w:rsidR="00DE6CA8" w:rsidRPr="009251A9" w:rsidRDefault="00DE6CA8" w:rsidP="00DE6CA8">
            <w:pPr>
              <w:rPr>
                <w:sz w:val="20"/>
                <w:szCs w:val="20"/>
              </w:rPr>
            </w:pPr>
            <w:r w:rsidRPr="009251A9">
              <w:rPr>
                <w:sz w:val="20"/>
                <w:szCs w:val="20"/>
              </w:rPr>
              <w:t>Lawyers</w:t>
            </w:r>
          </w:p>
        </w:tc>
        <w:tc>
          <w:tcPr>
            <w:tcW w:w="1664" w:type="dxa"/>
            <w:tcBorders>
              <w:top w:val="single" w:sz="6" w:space="0" w:color="000000"/>
              <w:left w:val="single" w:sz="6" w:space="0" w:color="000000"/>
              <w:bottom w:val="single" w:sz="6" w:space="0" w:color="000000"/>
              <w:right w:val="nil"/>
            </w:tcBorders>
            <w:shd w:val="clear" w:color="auto" w:fill="auto"/>
          </w:tcPr>
          <w:p w14:paraId="3E8B9F80" w14:textId="77777777" w:rsidR="00DE6CA8" w:rsidRPr="009251A9" w:rsidRDefault="00DE6CA8" w:rsidP="00DE6CA8">
            <w:pPr>
              <w:jc w:val="center"/>
              <w:rPr>
                <w:sz w:val="20"/>
                <w:szCs w:val="20"/>
              </w:rPr>
            </w:pPr>
            <w:r w:rsidRPr="009251A9">
              <w:rPr>
                <w:sz w:val="20"/>
                <w:szCs w:val="20"/>
              </w:rPr>
              <w:t>23-1011</w:t>
            </w:r>
          </w:p>
        </w:tc>
        <w:tc>
          <w:tcPr>
            <w:tcW w:w="1746" w:type="dxa"/>
            <w:tcBorders>
              <w:top w:val="single" w:sz="6" w:space="0" w:color="000000"/>
              <w:left w:val="single" w:sz="6" w:space="0" w:color="000000"/>
              <w:bottom w:val="single" w:sz="6" w:space="0" w:color="000000"/>
              <w:right w:val="nil"/>
            </w:tcBorders>
            <w:shd w:val="clear" w:color="auto" w:fill="auto"/>
          </w:tcPr>
          <w:p w14:paraId="0D72B850" w14:textId="12CDDAB2" w:rsidR="00DE6CA8" w:rsidRPr="00D40798" w:rsidRDefault="00DE6CA8" w:rsidP="00DE6C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Pr>
                <w:color w:val="000000"/>
                <w:sz w:val="20"/>
                <w:szCs w:val="20"/>
              </w:rPr>
              <w:t>$80.22</w:t>
            </w:r>
          </w:p>
        </w:tc>
        <w:tc>
          <w:tcPr>
            <w:tcW w:w="1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159222" w14:textId="10AB35BB" w:rsidR="00DE6CA8" w:rsidRPr="00D40798" w:rsidRDefault="00DE6CA8" w:rsidP="00DE6C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Pr>
                <w:color w:val="000000"/>
                <w:sz w:val="20"/>
                <w:szCs w:val="20"/>
              </w:rPr>
              <w:t xml:space="preserve">$168.46 </w:t>
            </w:r>
          </w:p>
        </w:tc>
      </w:tr>
      <w:tr w:rsidR="00DE6CA8" w14:paraId="1BEF917F" w14:textId="77777777" w:rsidTr="00C16F42">
        <w:trPr>
          <w:cantSplit/>
          <w:trHeight w:val="345"/>
          <w:jc w:val="center"/>
        </w:trPr>
        <w:tc>
          <w:tcPr>
            <w:tcW w:w="3560" w:type="dxa"/>
            <w:tcBorders>
              <w:top w:val="single" w:sz="6" w:space="0" w:color="000000"/>
              <w:left w:val="single" w:sz="6" w:space="0" w:color="000000"/>
              <w:bottom w:val="single" w:sz="6" w:space="0" w:color="000000"/>
              <w:right w:val="nil"/>
            </w:tcBorders>
            <w:shd w:val="clear" w:color="auto" w:fill="auto"/>
          </w:tcPr>
          <w:p w14:paraId="6DB5953A" w14:textId="77777777" w:rsidR="00DE6CA8" w:rsidRPr="009251A9" w:rsidRDefault="00DE6CA8" w:rsidP="00DE6CA8">
            <w:pPr>
              <w:rPr>
                <w:sz w:val="20"/>
                <w:szCs w:val="20"/>
              </w:rPr>
            </w:pPr>
            <w:r w:rsidRPr="009251A9">
              <w:rPr>
                <w:sz w:val="20"/>
                <w:szCs w:val="20"/>
              </w:rPr>
              <w:t>Secretaries, Except Legal, Medical and Executive</w:t>
            </w:r>
          </w:p>
        </w:tc>
        <w:tc>
          <w:tcPr>
            <w:tcW w:w="1664" w:type="dxa"/>
            <w:tcBorders>
              <w:top w:val="single" w:sz="6" w:space="0" w:color="000000"/>
              <w:left w:val="single" w:sz="6" w:space="0" w:color="000000"/>
              <w:bottom w:val="single" w:sz="6" w:space="0" w:color="000000"/>
              <w:right w:val="nil"/>
            </w:tcBorders>
            <w:shd w:val="clear" w:color="auto" w:fill="auto"/>
          </w:tcPr>
          <w:p w14:paraId="6A2AD03F" w14:textId="4D841EF1" w:rsidR="00DE6CA8" w:rsidRPr="009251A9" w:rsidRDefault="00DE6CA8" w:rsidP="00726A49">
            <w:pPr>
              <w:jc w:val="center"/>
              <w:rPr>
                <w:sz w:val="20"/>
                <w:szCs w:val="20"/>
              </w:rPr>
            </w:pPr>
            <w:r w:rsidRPr="009251A9">
              <w:rPr>
                <w:sz w:val="20"/>
                <w:szCs w:val="20"/>
              </w:rPr>
              <w:t>43-6014</w:t>
            </w:r>
          </w:p>
        </w:tc>
        <w:tc>
          <w:tcPr>
            <w:tcW w:w="1746" w:type="dxa"/>
            <w:tcBorders>
              <w:top w:val="single" w:sz="6" w:space="0" w:color="000000"/>
              <w:left w:val="single" w:sz="6" w:space="0" w:color="000000"/>
              <w:bottom w:val="single" w:sz="6" w:space="0" w:color="000000"/>
              <w:right w:val="nil"/>
            </w:tcBorders>
            <w:shd w:val="clear" w:color="auto" w:fill="auto"/>
          </w:tcPr>
          <w:p w14:paraId="0783FC99" w14:textId="63DFC9D2" w:rsidR="00DE6CA8" w:rsidRPr="00D40798" w:rsidRDefault="00DE6CA8" w:rsidP="00DE6C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D40798">
              <w:rPr>
                <w:color w:val="000000"/>
                <w:sz w:val="20"/>
                <w:szCs w:val="20"/>
              </w:rPr>
              <w:t>$</w:t>
            </w:r>
            <w:r>
              <w:rPr>
                <w:color w:val="000000"/>
                <w:sz w:val="20"/>
                <w:szCs w:val="20"/>
              </w:rPr>
              <w:t>19.23</w:t>
            </w:r>
            <w:r w:rsidRPr="00D40798">
              <w:rPr>
                <w:color w:val="000000"/>
                <w:sz w:val="20"/>
                <w:szCs w:val="20"/>
              </w:rPr>
              <w:t xml:space="preserve"> </w:t>
            </w:r>
          </w:p>
        </w:tc>
        <w:tc>
          <w:tcPr>
            <w:tcW w:w="1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7E28C9" w14:textId="465C0C22" w:rsidR="00DE6CA8" w:rsidRPr="00D40798" w:rsidRDefault="00DE6CA8" w:rsidP="00726A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Pr>
                <w:color w:val="000000"/>
                <w:sz w:val="20"/>
                <w:szCs w:val="20"/>
              </w:rPr>
              <w:t>$40.38</w:t>
            </w:r>
          </w:p>
        </w:tc>
      </w:tr>
    </w:tbl>
    <w:p w14:paraId="50AD6CF5" w14:textId="77777777" w:rsidR="00D85014" w:rsidRDefault="00D85014" w:rsidP="002A15A2"/>
    <w:p w14:paraId="2839D935" w14:textId="77777777" w:rsidR="000C7B26" w:rsidRPr="009B431C" w:rsidRDefault="009050F9" w:rsidP="009B431C">
      <w:pPr>
        <w:tabs>
          <w:tab w:val="left" w:pos="1080"/>
        </w:tabs>
        <w:ind w:left="360"/>
      </w:pPr>
      <w:r w:rsidRPr="009B431C">
        <w:fldChar w:fldCharType="begin"/>
      </w:r>
      <w:r w:rsidR="000C7B26" w:rsidRPr="009B431C">
        <w:instrText xml:space="preserve"> SEQ CHAPTER \h \r 1</w:instrText>
      </w:r>
      <w:r w:rsidRPr="009B431C">
        <w:fldChar w:fldCharType="end"/>
      </w:r>
      <w:r w:rsidR="000C7B26" w:rsidRPr="009B431C">
        <w:t xml:space="preserve">(ii) </w:t>
      </w:r>
      <w:r w:rsidR="000C7B26" w:rsidRPr="009B431C">
        <w:tab/>
      </w:r>
      <w:r w:rsidR="000C7B26" w:rsidRPr="00A53CC1">
        <w:rPr>
          <w:u w:val="single"/>
        </w:rPr>
        <w:t>Estimating Capital and Operations and Maintenance Costs</w:t>
      </w:r>
    </w:p>
    <w:p w14:paraId="4E4E96CD" w14:textId="77777777" w:rsidR="000C7B26" w:rsidRPr="000C7B26" w:rsidRDefault="000C7B26" w:rsidP="000C7B26">
      <w:pPr>
        <w:pStyle w:val="Clear"/>
      </w:pPr>
    </w:p>
    <w:p w14:paraId="37FC1A6E" w14:textId="1292F696" w:rsidR="000C7B26" w:rsidRPr="000C7B26" w:rsidRDefault="00933BB8" w:rsidP="00933BB8">
      <w:pPr>
        <w:pStyle w:val="Clear"/>
        <w:ind w:firstLine="360"/>
      </w:pPr>
      <w:r w:rsidRPr="00933BB8">
        <w:rPr>
          <w:lang w:val="en-US"/>
        </w:rPr>
        <w:t xml:space="preserve">Operation and Maintenance </w:t>
      </w:r>
      <w:r w:rsidR="00916746">
        <w:rPr>
          <w:lang w:val="en-US"/>
        </w:rPr>
        <w:t>(O&amp;M) costs are listed in Table</w:t>
      </w:r>
      <w:r w:rsidRPr="00933BB8">
        <w:rPr>
          <w:lang w:val="en-US"/>
        </w:rPr>
        <w:t xml:space="preserve"> </w:t>
      </w:r>
      <w:r w:rsidR="00C352BA">
        <w:rPr>
          <w:lang w:val="en-US"/>
        </w:rPr>
        <w:t>2</w:t>
      </w:r>
      <w:r w:rsidRPr="00933BB8">
        <w:rPr>
          <w:lang w:val="en-US"/>
        </w:rPr>
        <w:t xml:space="preserve">. Wherever possible, estimates where developed using current costs.  For others, EPA used the Bureau of Labor Statistic’s Consumer Price Index Inflation Calculator, which can be found at </w:t>
      </w:r>
      <w:hyperlink r:id="rId12" w:history="1">
        <w:r w:rsidRPr="00933BB8">
          <w:rPr>
            <w:rStyle w:val="Hyperlink"/>
            <w:lang w:val="en-US"/>
          </w:rPr>
          <w:t>http://www.bls.gov/data/inflation_calculator.htm</w:t>
        </w:r>
      </w:hyperlink>
      <w:r w:rsidRPr="00933BB8">
        <w:rPr>
          <w:lang w:val="en-US"/>
        </w:rPr>
        <w:t xml:space="preserve">. </w:t>
      </w:r>
      <w:r>
        <w:rPr>
          <w:lang w:val="en-US"/>
        </w:rPr>
        <w:t xml:space="preserve"> </w:t>
      </w:r>
      <w:r w:rsidR="000C7B26" w:rsidRPr="000C7B26">
        <w:t xml:space="preserve">O&amp;M Costs associated with this information collection include </w:t>
      </w:r>
      <w:r w:rsidR="00E66FB1">
        <w:t xml:space="preserve">electronic </w:t>
      </w:r>
      <w:r w:rsidR="00916746">
        <w:t xml:space="preserve">data sharing and storage, photocopying </w:t>
      </w:r>
      <w:r w:rsidR="000C7B26" w:rsidRPr="000C7B26">
        <w:t xml:space="preserve">and phone calls.  </w:t>
      </w:r>
      <w:r w:rsidR="0098610D">
        <w:t>CDs</w:t>
      </w:r>
      <w:r w:rsidR="000C7B26" w:rsidRPr="000C7B26">
        <w:t xml:space="preserve"> are used by manufacturers to submit data electronically and to keep records.</w:t>
      </w:r>
    </w:p>
    <w:p w14:paraId="5D8EAD46" w14:textId="77777777" w:rsidR="000C7B26" w:rsidRPr="000C7B26" w:rsidRDefault="000C7B26" w:rsidP="000C7B26">
      <w:pPr>
        <w:pStyle w:val="Clear"/>
      </w:pPr>
    </w:p>
    <w:p w14:paraId="459A42ED" w14:textId="77777777" w:rsidR="000C7B26" w:rsidRPr="000C7B26" w:rsidRDefault="00134D74" w:rsidP="000C7B26">
      <w:pPr>
        <w:pStyle w:val="Clear"/>
        <w:ind w:firstLine="720"/>
      </w:pPr>
      <w:r>
        <w:t>There are no capital/</w:t>
      </w:r>
      <w:r w:rsidR="000C7B26" w:rsidRPr="000C7B26">
        <w:t>start-up costs associated with this collection.</w:t>
      </w:r>
    </w:p>
    <w:p w14:paraId="4A065889" w14:textId="77777777" w:rsidR="000C7B26" w:rsidRDefault="000C7B26" w:rsidP="000C7B26">
      <w:pPr>
        <w:pStyle w:val="Clear"/>
      </w:pPr>
    </w:p>
    <w:p w14:paraId="707F62D2" w14:textId="77777777" w:rsidR="00C352BA" w:rsidRPr="000C7B26" w:rsidRDefault="00C352BA" w:rsidP="000C7B26">
      <w:pPr>
        <w:pStyle w:val="Clear"/>
      </w:pPr>
    </w:p>
    <w:p w14:paraId="61FF176F" w14:textId="77777777" w:rsidR="000C7B26" w:rsidRPr="009B431C" w:rsidRDefault="000C7B26" w:rsidP="009B431C">
      <w:pPr>
        <w:tabs>
          <w:tab w:val="left" w:pos="1080"/>
        </w:tabs>
        <w:ind w:left="360"/>
      </w:pPr>
      <w:r w:rsidRPr="009B431C">
        <w:t>(iii)</w:t>
      </w:r>
      <w:r w:rsidRPr="009B431C">
        <w:tab/>
      </w:r>
      <w:r w:rsidRPr="00A53CC1">
        <w:rPr>
          <w:u w:val="single"/>
        </w:rPr>
        <w:t>Capital/Start Up Operations and Maintenance Costs</w:t>
      </w:r>
    </w:p>
    <w:p w14:paraId="1232F4FD" w14:textId="77777777" w:rsidR="000C7B26" w:rsidRPr="000C7B26" w:rsidRDefault="000C7B26" w:rsidP="000C7B26">
      <w:pPr>
        <w:pStyle w:val="Clear"/>
      </w:pPr>
    </w:p>
    <w:p w14:paraId="47ED4475" w14:textId="77777777" w:rsidR="000C7B26" w:rsidRPr="000C7B26" w:rsidRDefault="00134D74" w:rsidP="00DD0022">
      <w:pPr>
        <w:pStyle w:val="Clear"/>
        <w:ind w:firstLine="720"/>
      </w:pPr>
      <w:r>
        <w:t>There are no capital/</w:t>
      </w:r>
      <w:r w:rsidR="000C7B26" w:rsidRPr="000C7B26">
        <w:t>start-up costs associated with the renewal of this ICR.</w:t>
      </w:r>
    </w:p>
    <w:p w14:paraId="74681F55" w14:textId="77777777" w:rsidR="000C7B26" w:rsidRDefault="000C7B26" w:rsidP="000C7B26">
      <w:pPr>
        <w:pStyle w:val="Clear"/>
      </w:pPr>
    </w:p>
    <w:p w14:paraId="5986F01F" w14:textId="77777777" w:rsidR="00C352BA" w:rsidRPr="000C7B26" w:rsidRDefault="00C352BA" w:rsidP="000C7B26">
      <w:pPr>
        <w:pStyle w:val="Clear"/>
      </w:pPr>
    </w:p>
    <w:p w14:paraId="28B6B300" w14:textId="77777777" w:rsidR="000C7B26" w:rsidRPr="00A53CC1" w:rsidRDefault="000C7B26" w:rsidP="009B431C">
      <w:pPr>
        <w:pStyle w:val="Heading2"/>
        <w:tabs>
          <w:tab w:val="left" w:pos="1080"/>
        </w:tabs>
        <w:ind w:left="360"/>
      </w:pPr>
      <w:r w:rsidRPr="00A53CC1">
        <w:rPr>
          <w:u w:val="none"/>
        </w:rPr>
        <w:t>(iv)</w:t>
      </w:r>
      <w:r w:rsidR="0098610D">
        <w:rPr>
          <w:u w:val="none"/>
        </w:rPr>
        <w:tab/>
      </w:r>
      <w:r w:rsidRPr="00A53CC1">
        <w:t>Annualizing capital costs</w:t>
      </w:r>
    </w:p>
    <w:p w14:paraId="03FDC365" w14:textId="77777777" w:rsidR="000C7B26" w:rsidRPr="000C7B26" w:rsidRDefault="000C7B26" w:rsidP="000C7B26">
      <w:pPr>
        <w:pStyle w:val="Clear"/>
      </w:pPr>
    </w:p>
    <w:p w14:paraId="393DBC9A" w14:textId="77777777" w:rsidR="000C7B26" w:rsidRPr="000C7B26" w:rsidRDefault="00134D74" w:rsidP="00DD0022">
      <w:pPr>
        <w:pStyle w:val="Clear"/>
        <w:ind w:firstLine="720"/>
      </w:pPr>
      <w:r>
        <w:t>There are no capital/</w:t>
      </w:r>
      <w:r w:rsidR="000C7B26" w:rsidRPr="000C7B26">
        <w:t xml:space="preserve">start-up costs associated with this information collection. </w:t>
      </w:r>
    </w:p>
    <w:p w14:paraId="107941A8" w14:textId="77777777" w:rsidR="000C7B26" w:rsidRDefault="000C7B26" w:rsidP="002A15A2"/>
    <w:p w14:paraId="16D8781D" w14:textId="77777777" w:rsidR="0098610D" w:rsidRPr="002A15A2" w:rsidRDefault="0098610D" w:rsidP="002A15A2"/>
    <w:p w14:paraId="0984BF37" w14:textId="77777777" w:rsidR="000800E8" w:rsidRPr="002A15A2" w:rsidRDefault="009050F9" w:rsidP="00B224A4">
      <w:pPr>
        <w:pStyle w:val="Heading2"/>
      </w:pPr>
      <w:r w:rsidRPr="00A53CC1">
        <w:rPr>
          <w:u w:val="none"/>
        </w:rPr>
        <w:fldChar w:fldCharType="begin"/>
      </w:r>
      <w:r w:rsidR="000800E8" w:rsidRPr="00A53CC1">
        <w:rPr>
          <w:u w:val="none"/>
        </w:rPr>
        <w:instrText xml:space="preserve"> SEQ CHAPTER \h \r 1</w:instrText>
      </w:r>
      <w:r w:rsidRPr="00A53CC1">
        <w:rPr>
          <w:u w:val="none"/>
        </w:rPr>
        <w:fldChar w:fldCharType="end"/>
      </w:r>
      <w:r w:rsidR="000800E8" w:rsidRPr="00A53CC1">
        <w:rPr>
          <w:u w:val="none"/>
        </w:rPr>
        <w:t xml:space="preserve">6(c) </w:t>
      </w:r>
      <w:r w:rsidR="0015370D" w:rsidRPr="00A53CC1">
        <w:rPr>
          <w:u w:val="none"/>
        </w:rPr>
        <w:tab/>
      </w:r>
      <w:r w:rsidR="000800E8" w:rsidRPr="00B224A4">
        <w:t>Estimating Agency Burden</w:t>
      </w:r>
      <w:r w:rsidR="000800E8" w:rsidRPr="002A15A2">
        <w:t xml:space="preserve">  </w:t>
      </w:r>
    </w:p>
    <w:p w14:paraId="44A849D1" w14:textId="77777777" w:rsidR="000800E8" w:rsidRDefault="000800E8" w:rsidP="002A15A2"/>
    <w:p w14:paraId="0724B08B" w14:textId="77777777" w:rsidR="00671865" w:rsidRDefault="00671865" w:rsidP="00671865">
      <w:pPr>
        <w:ind w:firstLine="720"/>
        <w:rPr>
          <w:lang w:val="en-CA"/>
        </w:rPr>
      </w:pPr>
      <w:r>
        <w:rPr>
          <w:lang w:val="en-CA"/>
        </w:rPr>
        <w:t>EPA contracts out the processing of DIRs and VERRs. The Contractor answers questions from manufacturers regarding how to prepare and submit reports, reviews reports for completeness, uploads them into a database, and identifies those that need special follow up.  EPA compliance staff follow up with manufacturers in matters that require regulatory interpretation and enforce the requirements, as needed.</w:t>
      </w:r>
    </w:p>
    <w:p w14:paraId="25958144" w14:textId="77777777" w:rsidR="00671865" w:rsidRDefault="00671865" w:rsidP="00671865">
      <w:pPr>
        <w:ind w:firstLine="720"/>
        <w:rPr>
          <w:lang w:val="en-CA"/>
        </w:rPr>
      </w:pPr>
    </w:p>
    <w:p w14:paraId="738CCD17" w14:textId="3953A902" w:rsidR="00614AAD" w:rsidRDefault="00E83BC4" w:rsidP="00C10163">
      <w:pPr>
        <w:keepNext/>
        <w:keepLines/>
      </w:pPr>
      <w:r>
        <w:tab/>
      </w:r>
      <w:r w:rsidR="009050F9" w:rsidRPr="00E83BC4">
        <w:fldChar w:fldCharType="begin"/>
      </w:r>
      <w:r w:rsidRPr="00E83BC4">
        <w:instrText xml:space="preserve"> SEQ CHAPTER \h \r 1</w:instrText>
      </w:r>
      <w:r w:rsidR="009050F9" w:rsidRPr="00E83BC4">
        <w:fldChar w:fldCharType="end"/>
      </w:r>
      <w:r w:rsidRPr="00E83BC4">
        <w:t>Please refer to Table</w:t>
      </w:r>
      <w:r>
        <w:t xml:space="preserve"> 3</w:t>
      </w:r>
      <w:r w:rsidRPr="00E83BC4">
        <w:t xml:space="preserve"> </w:t>
      </w:r>
      <w:r w:rsidR="00E64E3A">
        <w:t>below f</w:t>
      </w:r>
      <w:r w:rsidRPr="00E83BC4">
        <w:t>or detail</w:t>
      </w:r>
      <w:r>
        <w:t>ed calculations</w:t>
      </w:r>
      <w:r w:rsidRPr="00E83BC4">
        <w:t>.</w:t>
      </w:r>
      <w:r w:rsidR="00F778D9">
        <w:t xml:space="preserve"> This table is also included in the Excel file that accompanies this collection request.</w:t>
      </w:r>
      <w:r w:rsidR="00C10163">
        <w:t xml:space="preserve">  L</w:t>
      </w:r>
      <w:r w:rsidR="00614AAD" w:rsidRPr="00614AAD">
        <w:t>abor costs are</w:t>
      </w:r>
      <w:r w:rsidR="00C10163">
        <w:t xml:space="preserve"> calculated using the</w:t>
      </w:r>
      <w:r w:rsidR="00614AAD" w:rsidRPr="00614AAD">
        <w:t xml:space="preserve"> hourly wage rates obtained from the Office of Personnel Management and adjusted by a factor of 1.6 to account for benefits and overhead.</w:t>
      </w:r>
      <w:r w:rsidR="00D94FD4">
        <w:t xml:space="preserve"> Since the most recently available industry labor rates are those of 2016 [see section 6(b)(i)], EPA has also used 2016 government labor rates for comparison purposes.</w:t>
      </w:r>
    </w:p>
    <w:p w14:paraId="41D89F76" w14:textId="5BF5A7FA" w:rsidR="00497947" w:rsidRDefault="00497947" w:rsidP="00C10163">
      <w:pPr>
        <w:keepNext/>
        <w:keepLines/>
      </w:pPr>
    </w:p>
    <w:p w14:paraId="7BA4DED1" w14:textId="77777777" w:rsidR="00E64E3A" w:rsidRDefault="00E64E3A" w:rsidP="00C10163">
      <w:pPr>
        <w:keepNext/>
        <w:keepLines/>
      </w:pPr>
    </w:p>
    <w:p w14:paraId="79956C9E" w14:textId="5414DD31" w:rsidR="00E64E3A" w:rsidRDefault="006B54AB" w:rsidP="00C10163">
      <w:pPr>
        <w:keepNext/>
        <w:keepLines/>
      </w:pPr>
      <w:r w:rsidRPr="006B54AB">
        <w:rPr>
          <w:noProof/>
        </w:rPr>
        <w:drawing>
          <wp:inline distT="0" distB="0" distL="0" distR="0" wp14:anchorId="2072F35F" wp14:editId="32923C53">
            <wp:extent cx="5524500" cy="4549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0" cy="4549140"/>
                    </a:xfrm>
                    <a:prstGeom prst="rect">
                      <a:avLst/>
                    </a:prstGeom>
                    <a:noFill/>
                    <a:ln>
                      <a:noFill/>
                    </a:ln>
                  </pic:spPr>
                </pic:pic>
              </a:graphicData>
            </a:graphic>
          </wp:inline>
        </w:drawing>
      </w:r>
    </w:p>
    <w:p w14:paraId="7474E04F" w14:textId="77777777" w:rsidR="0086672B" w:rsidRDefault="0086672B" w:rsidP="00B13CF4">
      <w:pPr>
        <w:ind w:firstLine="720"/>
      </w:pPr>
    </w:p>
    <w:p w14:paraId="42CE1ABB" w14:textId="77777777" w:rsidR="00927427" w:rsidRDefault="00927427" w:rsidP="00C10163">
      <w:pPr>
        <w:ind w:firstLine="720"/>
        <w:rPr>
          <w:lang w:val="en-CA"/>
        </w:rPr>
      </w:pPr>
    </w:p>
    <w:p w14:paraId="77E43E4A" w14:textId="77777777" w:rsidR="00927427" w:rsidRPr="004427D6" w:rsidRDefault="00927427" w:rsidP="00C10163">
      <w:pPr>
        <w:ind w:firstLine="720"/>
        <w:rPr>
          <w:sz w:val="18"/>
          <w:szCs w:val="18"/>
        </w:rPr>
      </w:pPr>
    </w:p>
    <w:p w14:paraId="0A368C3B" w14:textId="77777777" w:rsidR="000800E8" w:rsidRPr="002A15A2" w:rsidRDefault="009050F9" w:rsidP="00B224A4">
      <w:pPr>
        <w:pStyle w:val="Heading2"/>
      </w:pPr>
      <w:r w:rsidRPr="00A53CC1">
        <w:rPr>
          <w:u w:val="none"/>
        </w:rPr>
        <w:fldChar w:fldCharType="begin"/>
      </w:r>
      <w:r w:rsidR="000800E8" w:rsidRPr="00A53CC1">
        <w:rPr>
          <w:u w:val="none"/>
        </w:rPr>
        <w:instrText xml:space="preserve"> SEQ CHAPTER \h \r 1</w:instrText>
      </w:r>
      <w:r w:rsidRPr="00A53CC1">
        <w:rPr>
          <w:u w:val="none"/>
        </w:rPr>
        <w:fldChar w:fldCharType="end"/>
      </w:r>
      <w:r w:rsidR="000800E8" w:rsidRPr="00A53CC1">
        <w:rPr>
          <w:u w:val="none"/>
        </w:rPr>
        <w:t>6(d)</w:t>
      </w:r>
      <w:r w:rsidR="000800E8" w:rsidRPr="00A53CC1">
        <w:rPr>
          <w:u w:val="none"/>
        </w:rPr>
        <w:tab/>
      </w:r>
      <w:r w:rsidR="000800E8" w:rsidRPr="0015370D">
        <w:t xml:space="preserve">Estimating the Respondent Universe and Total Burden and </w:t>
      </w:r>
      <w:r w:rsidR="000800E8" w:rsidRPr="0015370D">
        <w:tab/>
        <w:t>Costs</w:t>
      </w:r>
    </w:p>
    <w:p w14:paraId="69AE63E9" w14:textId="77777777" w:rsidR="000800E8" w:rsidRPr="002A15A2" w:rsidRDefault="000800E8" w:rsidP="002A15A2"/>
    <w:p w14:paraId="623BCF7D" w14:textId="7320514C" w:rsidR="00D837A1" w:rsidRPr="00D837A1" w:rsidRDefault="00C10163" w:rsidP="008E3F1D">
      <w:pPr>
        <w:pStyle w:val="Clear"/>
        <w:ind w:firstLine="720"/>
      </w:pPr>
      <w:r>
        <w:t>Engine m</w:t>
      </w:r>
      <w:r w:rsidR="00D94FD4">
        <w:t>anufacturers need to submit defect-related reports</w:t>
      </w:r>
      <w:r w:rsidR="00D837A1">
        <w:t xml:space="preserve"> only when they learn that a significant number of properly maintain</w:t>
      </w:r>
      <w:r w:rsidR="00E66FB1">
        <w:t>ed</w:t>
      </w:r>
      <w:r w:rsidR="00D837A1">
        <w:t xml:space="preserve"> engines are affected by a particular defect. Therefore, not all manufacturers</w:t>
      </w:r>
      <w:r>
        <w:t xml:space="preserve"> that obtain certificates of conformity with emission regulations</w:t>
      </w:r>
      <w:r w:rsidR="00D837A1">
        <w:t xml:space="preserve"> will respond to this collection every year.</w:t>
      </w:r>
    </w:p>
    <w:p w14:paraId="2B93D331" w14:textId="77777777" w:rsidR="00D837A1" w:rsidRDefault="00D837A1" w:rsidP="008E3F1D">
      <w:pPr>
        <w:pStyle w:val="Clear"/>
        <w:ind w:firstLine="720"/>
        <w:rPr>
          <w:highlight w:val="yellow"/>
        </w:rPr>
      </w:pPr>
    </w:p>
    <w:p w14:paraId="6119BE0A" w14:textId="68D750BC" w:rsidR="008E3F1D" w:rsidRDefault="00D837A1" w:rsidP="008E3F1D">
      <w:pPr>
        <w:pStyle w:val="Clear"/>
        <w:ind w:firstLine="720"/>
      </w:pPr>
      <w:r w:rsidRPr="00D837A1">
        <w:t xml:space="preserve">Based </w:t>
      </w:r>
      <w:r w:rsidR="0099727C">
        <w:t>on response levels during the past three years</w:t>
      </w:r>
      <w:r w:rsidRPr="00D837A1">
        <w:t xml:space="preserve">, </w:t>
      </w:r>
      <w:r w:rsidR="009050F9" w:rsidRPr="00D837A1">
        <w:fldChar w:fldCharType="begin"/>
      </w:r>
      <w:r w:rsidR="008E3F1D" w:rsidRPr="00D837A1">
        <w:instrText xml:space="preserve"> SEQ CHAPTER \h \r 1</w:instrText>
      </w:r>
      <w:r w:rsidR="009050F9" w:rsidRPr="00D837A1">
        <w:fldChar w:fldCharType="end"/>
      </w:r>
      <w:r w:rsidR="008E3F1D" w:rsidRPr="00D837A1">
        <w:t>EPA exp</w:t>
      </w:r>
      <w:r w:rsidR="00E6246A" w:rsidRPr="00D837A1">
        <w:t xml:space="preserve">ects to receive approximately </w:t>
      </w:r>
      <w:r w:rsidR="00E66FB1">
        <w:t>65 reports annually,</w:t>
      </w:r>
      <w:r w:rsidR="00E66FB1" w:rsidRPr="00E66FB1">
        <w:t xml:space="preserve"> </w:t>
      </w:r>
      <w:r w:rsidR="00E66FB1">
        <w:t>(</w:t>
      </w:r>
      <w:r w:rsidR="00927427" w:rsidRPr="00E66FB1">
        <w:t>40</w:t>
      </w:r>
      <w:r w:rsidR="00E6246A" w:rsidRPr="00E66FB1">
        <w:t xml:space="preserve"> DIRs</w:t>
      </w:r>
      <w:r w:rsidR="00927427" w:rsidRPr="00E66FB1">
        <w:t>, 15 VERRs and 10 VERR updates</w:t>
      </w:r>
      <w:r w:rsidR="00E66FB1">
        <w:t>)</w:t>
      </w:r>
      <w:r w:rsidR="00586537">
        <w:t xml:space="preserve"> d</w:t>
      </w:r>
      <w:r w:rsidR="00993DB2" w:rsidRPr="00D837A1">
        <w:t>uring the next three years</w:t>
      </w:r>
      <w:r w:rsidR="00E66FB1">
        <w:t xml:space="preserve">. This is consistent </w:t>
      </w:r>
      <w:r w:rsidR="00586537">
        <w:t>with previous estimates</w:t>
      </w:r>
      <w:r w:rsidR="00E66FB1">
        <w:t xml:space="preserve"> although</w:t>
      </w:r>
      <w:r w:rsidR="00586537">
        <w:t xml:space="preserve"> the number of r</w:t>
      </w:r>
      <w:r w:rsidR="00E66FB1">
        <w:t>espondents has decreased</w:t>
      </w:r>
      <w:r w:rsidR="00586537">
        <w:t xml:space="preserve"> from 40 to 19.</w:t>
      </w:r>
      <w:r w:rsidR="00E6246A" w:rsidRPr="00D837A1">
        <w:t xml:space="preserve"> </w:t>
      </w:r>
      <w:r w:rsidR="00E66FB1">
        <w:t>This yields an average of 3.4</w:t>
      </w:r>
      <w:r w:rsidR="0099727C">
        <w:t xml:space="preserve"> responses per respondent. </w:t>
      </w:r>
    </w:p>
    <w:p w14:paraId="339C6B29" w14:textId="77777777" w:rsidR="008E3F1D" w:rsidRPr="002A15A2" w:rsidRDefault="008E3F1D" w:rsidP="002A15A2"/>
    <w:p w14:paraId="12C7E275" w14:textId="77777777" w:rsidR="00993DB2" w:rsidRDefault="00993DB2" w:rsidP="00B224A4">
      <w:pPr>
        <w:pStyle w:val="Heading2"/>
        <w:rPr>
          <w:u w:val="none"/>
        </w:rPr>
      </w:pPr>
    </w:p>
    <w:p w14:paraId="19475ED3" w14:textId="77777777" w:rsidR="000800E8" w:rsidRPr="002A15A2" w:rsidRDefault="009050F9" w:rsidP="00B224A4">
      <w:pPr>
        <w:pStyle w:val="Heading2"/>
      </w:pPr>
      <w:r w:rsidRPr="00A53CC1">
        <w:rPr>
          <w:u w:val="none"/>
        </w:rPr>
        <w:fldChar w:fldCharType="begin"/>
      </w:r>
      <w:r w:rsidR="000800E8" w:rsidRPr="00A53CC1">
        <w:rPr>
          <w:u w:val="none"/>
        </w:rPr>
        <w:instrText xml:space="preserve"> SEQ CHAPTER \h \r 1</w:instrText>
      </w:r>
      <w:r w:rsidRPr="00A53CC1">
        <w:rPr>
          <w:u w:val="none"/>
        </w:rPr>
        <w:fldChar w:fldCharType="end"/>
      </w:r>
      <w:r w:rsidR="000800E8" w:rsidRPr="00A53CC1">
        <w:rPr>
          <w:u w:val="none"/>
        </w:rPr>
        <w:t xml:space="preserve">6(e) </w:t>
      </w:r>
      <w:r w:rsidR="0015370D" w:rsidRPr="00A53CC1">
        <w:rPr>
          <w:u w:val="none"/>
        </w:rPr>
        <w:tab/>
      </w:r>
      <w:r w:rsidR="000800E8" w:rsidRPr="0015370D">
        <w:t>Bottom Line Burden Hours and Cost Tables</w:t>
      </w:r>
    </w:p>
    <w:p w14:paraId="620D8098" w14:textId="77777777" w:rsidR="007B6FF8" w:rsidRDefault="007B6FF8" w:rsidP="00883AD3">
      <w:pPr>
        <w:pStyle w:val="Cl"/>
      </w:pPr>
    </w:p>
    <w:p w14:paraId="3B0B2D0C" w14:textId="77777777" w:rsidR="00B237E9" w:rsidRPr="00A53CC1" w:rsidRDefault="007B6FF8" w:rsidP="009B431C">
      <w:pPr>
        <w:tabs>
          <w:tab w:val="left" w:pos="1080"/>
        </w:tabs>
        <w:ind w:left="360"/>
        <w:rPr>
          <w:u w:val="single"/>
        </w:rPr>
      </w:pPr>
      <w:r w:rsidRPr="009B431C">
        <w:t>(i)</w:t>
      </w:r>
      <w:r w:rsidR="00B25A00" w:rsidRPr="009B431C">
        <w:tab/>
      </w:r>
      <w:r w:rsidR="009050F9" w:rsidRPr="00A53CC1">
        <w:rPr>
          <w:u w:val="single"/>
        </w:rPr>
        <w:fldChar w:fldCharType="begin"/>
      </w:r>
      <w:r w:rsidR="00B237E9" w:rsidRPr="00A53CC1">
        <w:rPr>
          <w:u w:val="single"/>
        </w:rPr>
        <w:instrText xml:space="preserve"> SEQ CHAPTER \h \r 1</w:instrText>
      </w:r>
      <w:r w:rsidR="009050F9" w:rsidRPr="00A53CC1">
        <w:rPr>
          <w:u w:val="single"/>
        </w:rPr>
        <w:fldChar w:fldCharType="end"/>
      </w:r>
      <w:r w:rsidR="00B237E9" w:rsidRPr="00A53CC1">
        <w:rPr>
          <w:u w:val="single"/>
        </w:rPr>
        <w:t>Respondent Tally</w:t>
      </w:r>
    </w:p>
    <w:p w14:paraId="36CBF96E" w14:textId="77777777" w:rsidR="001967FB" w:rsidRPr="00883AD3" w:rsidRDefault="001967FB" w:rsidP="00883AD3">
      <w:pPr>
        <w:pStyle w:val="Cl"/>
      </w:pPr>
    </w:p>
    <w:p w14:paraId="4A2CC328" w14:textId="70D1E566" w:rsidR="00B237E9" w:rsidRPr="004B0275" w:rsidRDefault="00EF1F4F" w:rsidP="00A20369">
      <w:pPr>
        <w:pStyle w:val="Cl"/>
        <w:numPr>
          <w:ilvl w:val="0"/>
          <w:numId w:val="31"/>
        </w:numPr>
      </w:pPr>
      <w:r w:rsidRPr="004B0275">
        <w:t xml:space="preserve">Number of Respondents:  </w:t>
      </w:r>
      <w:r w:rsidR="00E21511">
        <w:t>2</w:t>
      </w:r>
      <w:r w:rsidR="00944AEF" w:rsidRPr="004B0275">
        <w:t>9</w:t>
      </w:r>
    </w:p>
    <w:p w14:paraId="049DEFFD" w14:textId="00184A60" w:rsidR="00A20369" w:rsidRPr="004B0275" w:rsidRDefault="00A20369" w:rsidP="00A20369">
      <w:pPr>
        <w:pStyle w:val="Cl"/>
        <w:numPr>
          <w:ilvl w:val="0"/>
          <w:numId w:val="31"/>
        </w:numPr>
      </w:pPr>
      <w:r w:rsidRPr="004B0275">
        <w:t xml:space="preserve">Total Hours per Year:  </w:t>
      </w:r>
      <w:r w:rsidR="005A49A7">
        <w:t>9,827</w:t>
      </w:r>
    </w:p>
    <w:p w14:paraId="3A0C64EC" w14:textId="54654DA6" w:rsidR="00A20369" w:rsidRPr="004B0275" w:rsidRDefault="0099727C" w:rsidP="00A20369">
      <w:pPr>
        <w:pStyle w:val="Cl"/>
        <w:numPr>
          <w:ilvl w:val="0"/>
          <w:numId w:val="31"/>
        </w:numPr>
      </w:pPr>
      <w:r w:rsidRPr="004B0275">
        <w:t>Total Labor Cost per Year:  $</w:t>
      </w:r>
      <w:r w:rsidR="00E21511">
        <w:t>930,682</w:t>
      </w:r>
    </w:p>
    <w:p w14:paraId="08888B6D" w14:textId="7CC21633" w:rsidR="00A20369" w:rsidRPr="004B0275" w:rsidRDefault="00A20369" w:rsidP="00A20369">
      <w:pPr>
        <w:pStyle w:val="Cl"/>
        <w:numPr>
          <w:ilvl w:val="0"/>
          <w:numId w:val="31"/>
        </w:numPr>
      </w:pPr>
      <w:r w:rsidRPr="004B0275">
        <w:t>T</w:t>
      </w:r>
      <w:r w:rsidR="006D6C13">
        <w:t xml:space="preserve">otal </w:t>
      </w:r>
      <w:r w:rsidRPr="004B0275">
        <w:t>Capital Costs per Year:  0</w:t>
      </w:r>
    </w:p>
    <w:p w14:paraId="79599854" w14:textId="1C5C9BAD" w:rsidR="00A20369" w:rsidRPr="004B0275" w:rsidRDefault="00A20369" w:rsidP="00A20369">
      <w:pPr>
        <w:pStyle w:val="Cl"/>
        <w:numPr>
          <w:ilvl w:val="0"/>
          <w:numId w:val="31"/>
        </w:numPr>
      </w:pPr>
      <w:r w:rsidRPr="004B0275">
        <w:t>Total O&amp;M Costs per Year:  $</w:t>
      </w:r>
      <w:r w:rsidR="00E21511">
        <w:t>5,475</w:t>
      </w:r>
    </w:p>
    <w:p w14:paraId="7D35D682" w14:textId="630D6938" w:rsidR="00A20369" w:rsidRPr="004B0275" w:rsidRDefault="00A20369" w:rsidP="00A20369">
      <w:pPr>
        <w:pStyle w:val="Cl"/>
        <w:numPr>
          <w:ilvl w:val="0"/>
          <w:numId w:val="31"/>
        </w:numPr>
      </w:pPr>
      <w:r w:rsidRPr="004B0275">
        <w:t xml:space="preserve">Total Costs:  </w:t>
      </w:r>
      <w:r w:rsidR="00E21511" w:rsidRPr="004B0275">
        <w:t>$</w:t>
      </w:r>
      <w:r w:rsidR="00E21511">
        <w:t>936,157</w:t>
      </w:r>
    </w:p>
    <w:p w14:paraId="4B2AF2DE" w14:textId="77777777" w:rsidR="004B0275" w:rsidRPr="004B0275" w:rsidRDefault="004B0275" w:rsidP="004B0275">
      <w:pPr>
        <w:pStyle w:val="Cl"/>
        <w:ind w:left="2160"/>
      </w:pPr>
    </w:p>
    <w:p w14:paraId="15732D25" w14:textId="77777777" w:rsidR="000C2E9E" w:rsidRPr="00DA7CDC" w:rsidRDefault="000C2E9E" w:rsidP="00394F0E">
      <w:pPr>
        <w:pStyle w:val="Cl"/>
        <w:keepNext/>
        <w:keepLines/>
        <w:rPr>
          <w:highlight w:val="yellow"/>
        </w:rPr>
      </w:pPr>
    </w:p>
    <w:p w14:paraId="7E9797EA" w14:textId="77777777" w:rsidR="00A20369" w:rsidRPr="0099727C" w:rsidRDefault="00A20369" w:rsidP="00394F0E">
      <w:pPr>
        <w:pStyle w:val="Cl"/>
        <w:keepNext/>
        <w:keepLines/>
      </w:pPr>
    </w:p>
    <w:p w14:paraId="18ABE40C" w14:textId="77777777" w:rsidR="00B237E9" w:rsidRPr="0099727C" w:rsidRDefault="00A20369" w:rsidP="003B40E4">
      <w:pPr>
        <w:keepNext/>
        <w:keepLines/>
        <w:tabs>
          <w:tab w:val="left" w:pos="1080"/>
        </w:tabs>
        <w:ind w:left="360"/>
      </w:pPr>
      <w:r w:rsidRPr="0099727C">
        <w:t xml:space="preserve"> </w:t>
      </w:r>
      <w:r w:rsidR="00B25A00" w:rsidRPr="0099727C">
        <w:t>(ii)</w:t>
      </w:r>
      <w:r w:rsidR="00B25A00" w:rsidRPr="0099727C">
        <w:tab/>
      </w:r>
      <w:r w:rsidR="009050F9" w:rsidRPr="0099727C">
        <w:rPr>
          <w:u w:val="single"/>
        </w:rPr>
        <w:fldChar w:fldCharType="begin"/>
      </w:r>
      <w:r w:rsidR="00B237E9" w:rsidRPr="0099727C">
        <w:rPr>
          <w:u w:val="single"/>
        </w:rPr>
        <w:instrText xml:space="preserve"> SEQ CHAPTER \h \r 1</w:instrText>
      </w:r>
      <w:r w:rsidR="009050F9" w:rsidRPr="0099727C">
        <w:rPr>
          <w:u w:val="single"/>
        </w:rPr>
        <w:fldChar w:fldCharType="end"/>
      </w:r>
      <w:r w:rsidR="00B237E9" w:rsidRPr="0099727C">
        <w:rPr>
          <w:u w:val="single"/>
        </w:rPr>
        <w:t>The Agency Tally</w:t>
      </w:r>
    </w:p>
    <w:p w14:paraId="1558538A" w14:textId="77777777" w:rsidR="00BB45D5" w:rsidRPr="0099727C" w:rsidRDefault="00BB45D5" w:rsidP="003B40E4">
      <w:pPr>
        <w:keepNext/>
        <w:keepLines/>
      </w:pPr>
    </w:p>
    <w:p w14:paraId="78898AEE" w14:textId="776A75E2" w:rsidR="00A20369" w:rsidRPr="006D6C13" w:rsidRDefault="00A20369" w:rsidP="00A20369">
      <w:pPr>
        <w:pStyle w:val="Cl"/>
        <w:numPr>
          <w:ilvl w:val="0"/>
          <w:numId w:val="31"/>
        </w:numPr>
      </w:pPr>
      <w:r w:rsidRPr="006D6C13">
        <w:t xml:space="preserve">Number of Respondents:  </w:t>
      </w:r>
      <w:r w:rsidR="0008348D">
        <w:t>2</w:t>
      </w:r>
      <w:r w:rsidR="00944AEF" w:rsidRPr="006D6C13">
        <w:t>9</w:t>
      </w:r>
    </w:p>
    <w:p w14:paraId="149C0770" w14:textId="1433000F" w:rsidR="006E693A" w:rsidRPr="006E693A" w:rsidRDefault="00A20369" w:rsidP="006E693A">
      <w:pPr>
        <w:pStyle w:val="Cl"/>
        <w:numPr>
          <w:ilvl w:val="0"/>
          <w:numId w:val="31"/>
        </w:numPr>
      </w:pPr>
      <w:r w:rsidRPr="006E693A">
        <w:t xml:space="preserve">Total Hours per Year:  </w:t>
      </w:r>
      <w:r w:rsidR="006E693A" w:rsidRPr="006E693A">
        <w:t>591</w:t>
      </w:r>
    </w:p>
    <w:p w14:paraId="726B5CCD" w14:textId="0A608D78" w:rsidR="00A20369" w:rsidRPr="006E693A" w:rsidRDefault="00A20369" w:rsidP="00A20369">
      <w:pPr>
        <w:pStyle w:val="Cl"/>
        <w:numPr>
          <w:ilvl w:val="0"/>
          <w:numId w:val="31"/>
        </w:numPr>
      </w:pPr>
      <w:r w:rsidRPr="006E693A">
        <w:t>Total Labor Cost per Year:  $</w:t>
      </w:r>
      <w:r w:rsidR="006E693A" w:rsidRPr="006E693A">
        <w:t>50,155</w:t>
      </w:r>
    </w:p>
    <w:p w14:paraId="1BD41864" w14:textId="3855653D" w:rsidR="00A20369" w:rsidRPr="006E693A" w:rsidRDefault="006D6C13" w:rsidP="00A20369">
      <w:pPr>
        <w:pStyle w:val="Cl"/>
        <w:numPr>
          <w:ilvl w:val="0"/>
          <w:numId w:val="31"/>
        </w:numPr>
      </w:pPr>
      <w:r>
        <w:t xml:space="preserve">Total </w:t>
      </w:r>
      <w:r w:rsidR="00A20369" w:rsidRPr="006E693A">
        <w:t>Capital Costs per Year:  0</w:t>
      </w:r>
    </w:p>
    <w:p w14:paraId="32B867CE" w14:textId="436B4DE9" w:rsidR="00A20369" w:rsidRPr="006E693A" w:rsidRDefault="00A20369" w:rsidP="00A20369">
      <w:pPr>
        <w:pStyle w:val="Cl"/>
        <w:numPr>
          <w:ilvl w:val="0"/>
          <w:numId w:val="31"/>
        </w:numPr>
      </w:pPr>
      <w:r w:rsidRPr="006E693A">
        <w:t xml:space="preserve">Total O&amp;M Costs per Year:  </w:t>
      </w:r>
      <w:r w:rsidR="006E693A" w:rsidRPr="006E693A">
        <w:t>$16,839</w:t>
      </w:r>
    </w:p>
    <w:p w14:paraId="67731B81" w14:textId="5785090F" w:rsidR="00A20369" w:rsidRPr="006E693A" w:rsidRDefault="00A20369" w:rsidP="00A20369">
      <w:pPr>
        <w:pStyle w:val="Cl"/>
        <w:numPr>
          <w:ilvl w:val="0"/>
          <w:numId w:val="31"/>
        </w:numPr>
      </w:pPr>
      <w:r w:rsidRPr="006E693A">
        <w:t>Total Costs:  $</w:t>
      </w:r>
      <w:r w:rsidR="006E693A" w:rsidRPr="006E693A">
        <w:t>66,995</w:t>
      </w:r>
    </w:p>
    <w:p w14:paraId="45F3239E" w14:textId="77777777" w:rsidR="00A20369" w:rsidRDefault="00A20369" w:rsidP="003B40E4">
      <w:pPr>
        <w:keepNext/>
        <w:keepLines/>
      </w:pPr>
    </w:p>
    <w:p w14:paraId="1BAA32A0" w14:textId="77777777" w:rsidR="00F249C9" w:rsidRPr="002A15A2" w:rsidRDefault="00F249C9" w:rsidP="002A15A2"/>
    <w:p w14:paraId="6B64EFE0" w14:textId="77777777" w:rsidR="000800E8" w:rsidRPr="002A15A2" w:rsidRDefault="009050F9" w:rsidP="00B224A4">
      <w:pPr>
        <w:pStyle w:val="Heading2"/>
      </w:pPr>
      <w:r w:rsidRPr="00A53CC1">
        <w:rPr>
          <w:u w:val="none"/>
        </w:rPr>
        <w:fldChar w:fldCharType="begin"/>
      </w:r>
      <w:r w:rsidR="000800E8" w:rsidRPr="00A53CC1">
        <w:rPr>
          <w:u w:val="none"/>
        </w:rPr>
        <w:instrText xml:space="preserve"> SEQ CHAPTER \h \r 1</w:instrText>
      </w:r>
      <w:r w:rsidRPr="00A53CC1">
        <w:rPr>
          <w:u w:val="none"/>
        </w:rPr>
        <w:fldChar w:fldCharType="end"/>
      </w:r>
      <w:r w:rsidR="000800E8" w:rsidRPr="00A53CC1">
        <w:rPr>
          <w:u w:val="none"/>
        </w:rPr>
        <w:t xml:space="preserve">6(f) </w:t>
      </w:r>
      <w:r w:rsidR="0015370D" w:rsidRPr="00A53CC1">
        <w:rPr>
          <w:u w:val="none"/>
        </w:rPr>
        <w:tab/>
      </w:r>
      <w:r w:rsidR="000800E8" w:rsidRPr="0015370D">
        <w:t>Reasons for change in burden</w:t>
      </w:r>
    </w:p>
    <w:p w14:paraId="1A5356B8" w14:textId="77777777" w:rsidR="000800E8" w:rsidRPr="002A15A2" w:rsidRDefault="000800E8" w:rsidP="002A15A2"/>
    <w:p w14:paraId="068390B1" w14:textId="048B1325" w:rsidR="0008348D" w:rsidRDefault="00A20369" w:rsidP="0008348D">
      <w:r>
        <w:tab/>
      </w:r>
      <w:r w:rsidR="0008348D" w:rsidRPr="00BE5E5B">
        <w:rPr>
          <w:color w:val="000000"/>
        </w:rPr>
        <w:t xml:space="preserve">There is a net decrease of </w:t>
      </w:r>
      <w:r w:rsidR="0008348D">
        <w:rPr>
          <w:color w:val="000000"/>
        </w:rPr>
        <w:t>5,258</w:t>
      </w:r>
      <w:r w:rsidR="0008348D" w:rsidRPr="00BE5E5B">
        <w:rPr>
          <w:color w:val="000000"/>
        </w:rPr>
        <w:t xml:space="preserve"> hours in the total estimated burden for ICR </w:t>
      </w:r>
      <w:r w:rsidR="0008348D">
        <w:rPr>
          <w:color w:val="000000"/>
        </w:rPr>
        <w:t>0282.17</w:t>
      </w:r>
      <w:r w:rsidR="0008348D" w:rsidRPr="00BE5E5B">
        <w:rPr>
          <w:color w:val="000000"/>
        </w:rPr>
        <w:t xml:space="preserve"> from the burden currently identified in the OMB Inventory of Approved ICR Burdens of 15,084</w:t>
      </w:r>
      <w:r w:rsidR="0008348D">
        <w:rPr>
          <w:color w:val="000000"/>
        </w:rPr>
        <w:t xml:space="preserve"> for ICR Number 0282.16. This</w:t>
      </w:r>
      <w:r w:rsidR="0008348D" w:rsidRPr="00BE5E5B">
        <w:rPr>
          <w:color w:val="000000"/>
        </w:rPr>
        <w:t xml:space="preserve"> decrease is </w:t>
      </w:r>
      <w:r w:rsidR="0008348D">
        <w:rPr>
          <w:color w:val="000000"/>
        </w:rPr>
        <w:t>large</w:t>
      </w:r>
      <w:r w:rsidR="0008348D" w:rsidRPr="00BE5E5B">
        <w:rPr>
          <w:color w:val="000000"/>
        </w:rPr>
        <w:t>ly due to a correction of a mistake found in the previous calculations. Under ICR</w:t>
      </w:r>
      <w:r w:rsidR="0008348D">
        <w:rPr>
          <w:color w:val="000000"/>
        </w:rPr>
        <w:t xml:space="preserve"> 0282.16</w:t>
      </w:r>
      <w:r w:rsidR="0008348D" w:rsidRPr="00BE5E5B">
        <w:rPr>
          <w:color w:val="000000"/>
        </w:rPr>
        <w:t xml:space="preserve">, EPA estimated that 40 respondents would submit a total of </w:t>
      </w:r>
      <w:r w:rsidR="0008348D" w:rsidRPr="00BE5E5B">
        <w:t>40 DIRs (</w:t>
      </w:r>
      <w:r w:rsidR="0008348D">
        <w:t>see Section 6(d), page 14 of</w:t>
      </w:r>
      <w:r w:rsidR="0008348D" w:rsidRPr="00BE5E5B">
        <w:t xml:space="preserve"> 0282ss16 8_6_2014.docx</w:t>
      </w:r>
      <w:r w:rsidR="0008348D">
        <w:t xml:space="preserve"> which can be retrieved at </w:t>
      </w:r>
      <w:hyperlink r:id="rId14" w:history="1">
        <w:r w:rsidR="0008348D" w:rsidRPr="008E7607">
          <w:rPr>
            <w:rStyle w:val="Hyperlink"/>
          </w:rPr>
          <w:t>https://www.reginfo.gov/public/do/PRAViewDocument?ref_nbr=201310-2060-005</w:t>
        </w:r>
      </w:hyperlink>
      <w:r w:rsidR="0008348D" w:rsidRPr="00BE5E5B">
        <w:t>)</w:t>
      </w:r>
      <w:r w:rsidR="0008348D">
        <w:t>, equal to one</w:t>
      </w:r>
      <w:r w:rsidR="0008348D" w:rsidRPr="00BE5E5B">
        <w:t xml:space="preserve"> DIR per respondent per year. However, the burden table reflects that 40 respondents would submit DIRs 3 times per year (for an example, see cells J9 and M9 in Excel file 0282t16.xlsx) which yields 120 reports per year (40 x 3). Therefore, burden calculations were based on 3 times the amount of reports as it should have.</w:t>
      </w:r>
      <w:r w:rsidR="0008348D">
        <w:t xml:space="preserve"> </w:t>
      </w:r>
      <w:r w:rsidR="0008348D" w:rsidRPr="00BE5E5B">
        <w:t>A similar mistake was made in the calculations related to VERR and VERR updates.</w:t>
      </w:r>
      <w:r w:rsidR="0008348D">
        <w:t xml:space="preserve"> Had the correct frequency of 1.0 been used (in cells J8 through J24), the total estimated burden would have been 6,493 hours per year</w:t>
      </w:r>
      <w:r w:rsidR="00E67260">
        <w:t xml:space="preserve"> or 3,334 hours less than current estimates. </w:t>
      </w:r>
      <w:r w:rsidR="0008348D">
        <w:t>Th</w:t>
      </w:r>
      <w:r w:rsidR="00E67260">
        <w:t>e</w:t>
      </w:r>
      <w:r w:rsidR="0008348D">
        <w:t xml:space="preserve"> difference </w:t>
      </w:r>
      <w:r w:rsidR="00E67260">
        <w:t xml:space="preserve">between the corrected estimate and the new estimate is </w:t>
      </w:r>
      <w:r w:rsidR="0008348D">
        <w:t xml:space="preserve">due to the </w:t>
      </w:r>
      <w:r w:rsidR="00E67260">
        <w:t>increase in the total number of responses (65 vs. 107)</w:t>
      </w:r>
      <w:r w:rsidR="0008348D">
        <w:t xml:space="preserve">. </w:t>
      </w:r>
    </w:p>
    <w:p w14:paraId="7672DA5E" w14:textId="77777777" w:rsidR="0008348D" w:rsidRDefault="0008348D" w:rsidP="00B36BF4"/>
    <w:p w14:paraId="7CC3EE2B" w14:textId="77777777" w:rsidR="00991247" w:rsidRPr="00991247" w:rsidRDefault="00991247" w:rsidP="00B36BF4"/>
    <w:p w14:paraId="501F030C" w14:textId="77777777" w:rsidR="00A20369" w:rsidRDefault="00A20369" w:rsidP="002A15A2"/>
    <w:p w14:paraId="50C4B0C2" w14:textId="77777777" w:rsidR="000800E8" w:rsidRDefault="009050F9" w:rsidP="00B224A4">
      <w:pPr>
        <w:pStyle w:val="Heading2"/>
      </w:pPr>
      <w:r w:rsidRPr="00A53CC1">
        <w:rPr>
          <w:u w:val="none"/>
        </w:rPr>
        <w:fldChar w:fldCharType="begin"/>
      </w:r>
      <w:r w:rsidR="000800E8" w:rsidRPr="00A53CC1">
        <w:rPr>
          <w:u w:val="none"/>
        </w:rPr>
        <w:instrText xml:space="preserve"> SEQ CHAPTER \h \r 1</w:instrText>
      </w:r>
      <w:r w:rsidRPr="00A53CC1">
        <w:rPr>
          <w:u w:val="none"/>
        </w:rPr>
        <w:fldChar w:fldCharType="end"/>
      </w:r>
      <w:r w:rsidR="000800E8" w:rsidRPr="00A53CC1">
        <w:rPr>
          <w:u w:val="none"/>
        </w:rPr>
        <w:t xml:space="preserve">6(g) </w:t>
      </w:r>
      <w:r w:rsidR="0015370D" w:rsidRPr="00A53CC1">
        <w:rPr>
          <w:u w:val="none"/>
        </w:rPr>
        <w:tab/>
      </w:r>
      <w:r w:rsidR="000800E8" w:rsidRPr="0015370D">
        <w:t>Burden Statement</w:t>
      </w:r>
    </w:p>
    <w:p w14:paraId="24BDF4AB" w14:textId="77777777" w:rsidR="00A373AD" w:rsidRDefault="00A373AD" w:rsidP="002A15A2">
      <w:pPr>
        <w:rPr>
          <w:u w:val="single"/>
        </w:rPr>
      </w:pPr>
    </w:p>
    <w:p w14:paraId="26601712" w14:textId="3EF323AD" w:rsidR="00A373AD" w:rsidRPr="00A373AD" w:rsidRDefault="009050F9" w:rsidP="00E67260">
      <w:pPr>
        <w:ind w:firstLine="720"/>
      </w:pPr>
      <w:r w:rsidRPr="002D63DD">
        <w:rPr>
          <w:lang w:val="en-CA"/>
        </w:rPr>
        <w:fldChar w:fldCharType="begin"/>
      </w:r>
      <w:r w:rsidR="00A373AD" w:rsidRPr="002D63DD">
        <w:rPr>
          <w:lang w:val="en-CA"/>
        </w:rPr>
        <w:instrText xml:space="preserve"> SEQ CHAPTER \h \r 1</w:instrText>
      </w:r>
      <w:r w:rsidRPr="002D63DD">
        <w:rPr>
          <w:lang w:val="en-CA"/>
        </w:rPr>
        <w:fldChar w:fldCharType="end"/>
      </w:r>
      <w:r w:rsidR="00A373AD" w:rsidRPr="002D63DD">
        <w:t>The annual public reporting and recordkeeping burden for this collec</w:t>
      </w:r>
      <w:r w:rsidR="002D63DD" w:rsidRPr="002D63DD">
        <w:t xml:space="preserve">tion is estimated to average </w:t>
      </w:r>
      <w:r w:rsidR="00E67260">
        <w:t>92</w:t>
      </w:r>
      <w:r w:rsidR="00A373AD" w:rsidRPr="002D63DD">
        <w:t xml:space="preserve"> hours per respon</w:t>
      </w:r>
      <w:r w:rsidR="00DC1065">
        <w:t>se</w:t>
      </w:r>
      <w:r w:rsidR="00A373AD" w:rsidRPr="002D63DD">
        <w:t>.  Burden means the total time, effort, or financial resources</w:t>
      </w:r>
      <w:r w:rsidR="00A373AD" w:rsidRPr="00A373AD">
        <w:t xml:space="preserve">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716324">
        <w:t>'</w:t>
      </w:r>
      <w:r w:rsidR="00A373AD" w:rsidRPr="00A373AD">
        <w:t>s regulations are listed in 40 CFR pa</w:t>
      </w:r>
      <w:r w:rsidR="00394F0E">
        <w:t>rt 9 and 48 CFR chapter 15.</w:t>
      </w:r>
    </w:p>
    <w:p w14:paraId="4F61C3F0" w14:textId="77777777" w:rsidR="00A373AD" w:rsidRPr="00A373AD" w:rsidRDefault="00A373AD" w:rsidP="00A373AD"/>
    <w:p w14:paraId="74A6A314" w14:textId="4B449563" w:rsidR="003C34D0" w:rsidRPr="005A49A7" w:rsidRDefault="00A373AD">
      <w:pPr>
        <w:rPr>
          <w:bCs/>
        </w:rPr>
      </w:pPr>
      <w:r w:rsidRPr="00A373AD">
        <w:tab/>
        <w:t>To comment on the Agency</w:t>
      </w:r>
      <w:r w:rsidR="00716324">
        <w:t>'</w:t>
      </w:r>
      <w:r w:rsidRPr="00A373AD">
        <w:t xml:space="preserve">s need for this information, the accuracy of the provided burden estimates, and any suggested methods for minimizing respondent burden, including the use of automated collection techniques, EPA has established a public docket for this ICR under Docket ID No. </w:t>
      </w:r>
      <w:r w:rsidR="00FD5803" w:rsidRPr="00C55178">
        <w:rPr>
          <w:bCs/>
        </w:rPr>
        <w:t>EPA-HQ</w:t>
      </w:r>
      <w:r w:rsidR="000E1F54" w:rsidRPr="00C55178">
        <w:rPr>
          <w:bCs/>
        </w:rPr>
        <w:t>-</w:t>
      </w:r>
      <w:r w:rsidR="002D5CDA" w:rsidRPr="00C55178">
        <w:rPr>
          <w:bCs/>
        </w:rPr>
        <w:t>OAR-</w:t>
      </w:r>
      <w:r w:rsidR="00DB3290">
        <w:rPr>
          <w:bCs/>
        </w:rPr>
        <w:t>2013</w:t>
      </w:r>
      <w:r w:rsidR="00FD5803" w:rsidRPr="00C55178">
        <w:rPr>
          <w:bCs/>
        </w:rPr>
        <w:t>-</w:t>
      </w:r>
      <w:r w:rsidR="00DB3290">
        <w:rPr>
          <w:bCs/>
        </w:rPr>
        <w:t>0246</w:t>
      </w:r>
      <w:r w:rsidR="00E42555" w:rsidRPr="00E42555">
        <w:rPr>
          <w:bCs/>
        </w:rPr>
        <w:t xml:space="preserve">, which is available for online viewing at www.regulations.gov, or in person viewing at the </w:t>
      </w:r>
      <w:r w:rsidR="00E42555">
        <w:rPr>
          <w:bCs/>
        </w:rPr>
        <w:t>Air and Radiation Docket</w:t>
      </w:r>
      <w:r w:rsidR="00E42555" w:rsidRPr="00E42555">
        <w:rPr>
          <w:bCs/>
        </w:rPr>
        <w:t xml:space="preserve"> in the</w:t>
      </w:r>
      <w:r w:rsidR="00DC1065">
        <w:rPr>
          <w:bCs/>
        </w:rPr>
        <w:t xml:space="preserve"> EPA Docket Center (EPA/DC), WJC Federal Building West</w:t>
      </w:r>
      <w:r w:rsidR="00E42555">
        <w:rPr>
          <w:bCs/>
        </w:rPr>
        <w:t>, Room 3334</w:t>
      </w:r>
      <w:r w:rsidR="00E42555" w:rsidRPr="00E42555">
        <w:rPr>
          <w:bCs/>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E42555">
        <w:rPr>
          <w:bCs/>
        </w:rPr>
        <w:t>Air and Radiation Docket</w:t>
      </w:r>
      <w:r w:rsidR="00E42555" w:rsidRPr="00E42555">
        <w:rPr>
          <w:bCs/>
        </w:rPr>
        <w:t xml:space="preserve"> is (202) 566-</w:t>
      </w:r>
      <w:r w:rsidR="00E42555">
        <w:rPr>
          <w:bCs/>
        </w:rPr>
        <w:t>1742</w:t>
      </w:r>
      <w:r w:rsidR="00E42555" w:rsidRPr="00E42555">
        <w:rPr>
          <w:bCs/>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A373AD">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A373AD">
            <w:t>725 17th Street, NW</w:t>
          </w:r>
        </w:smartTag>
        <w:r w:rsidRPr="00A373AD">
          <w:t xml:space="preserve">, </w:t>
        </w:r>
        <w:smartTag w:uri="urn:schemas-microsoft-com:office:smarttags" w:element="City">
          <w:r w:rsidRPr="00A373AD">
            <w:t>Washington</w:t>
          </w:r>
        </w:smartTag>
        <w:r w:rsidRPr="00A373AD">
          <w:t xml:space="preserve">, </w:t>
        </w:r>
        <w:smartTag w:uri="urn:schemas-microsoft-com:office:smarttags" w:element="State">
          <w:r w:rsidRPr="00A373AD">
            <w:t>DC</w:t>
          </w:r>
        </w:smartTag>
        <w:r w:rsidRPr="00A373AD">
          <w:t xml:space="preserve"> </w:t>
        </w:r>
        <w:smartTag w:uri="urn:schemas-microsoft-com:office:smarttags" w:element="PostalCode">
          <w:r w:rsidRPr="00A373AD">
            <w:t>20503</w:t>
          </w:r>
        </w:smartTag>
      </w:smartTag>
      <w:r w:rsidRPr="00A373AD">
        <w:t xml:space="preserve">, Attention: </w:t>
      </w:r>
      <w:r w:rsidR="00AC7B76">
        <w:t xml:space="preserve"> </w:t>
      </w:r>
      <w:r w:rsidRPr="00A373AD">
        <w:t xml:space="preserve">Desk Office for EPA.  Please include the EPA Docket ID No. </w:t>
      </w:r>
      <w:r w:rsidR="005A49A7" w:rsidRPr="005A49A7">
        <w:rPr>
          <w:bCs/>
        </w:rPr>
        <w:t>EPA-HQ-</w:t>
      </w:r>
      <w:r w:rsidR="00DB3290">
        <w:rPr>
          <w:bCs/>
        </w:rPr>
        <w:t>OAR-2013-0246</w:t>
      </w:r>
      <w:r w:rsidR="00006E01" w:rsidRPr="00A373AD">
        <w:t xml:space="preserve"> </w:t>
      </w:r>
      <w:r w:rsidR="00C55178">
        <w:t>and OMB control number 2060-0048</w:t>
      </w:r>
      <w:r w:rsidRPr="00A373AD">
        <w:t xml:space="preserve"> in any correspondenc</w:t>
      </w:r>
      <w:r w:rsidR="00907D20">
        <w:t>e</w:t>
      </w:r>
      <w:r w:rsidR="00394F0E">
        <w:t>.</w:t>
      </w:r>
    </w:p>
    <w:sectPr w:rsidR="003C34D0" w:rsidRPr="005A49A7" w:rsidSect="008755B9">
      <w:headerReference w:type="default" r:id="rId15"/>
      <w:footerReference w:type="default" r:id="rId16"/>
      <w:head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F1D76" w14:textId="77777777" w:rsidR="0055426E" w:rsidRDefault="0055426E">
      <w:r>
        <w:separator/>
      </w:r>
    </w:p>
  </w:endnote>
  <w:endnote w:type="continuationSeparator" w:id="0">
    <w:p w14:paraId="598197E8" w14:textId="77777777" w:rsidR="0055426E" w:rsidRDefault="0055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8F274" w14:textId="2BC51653" w:rsidR="00087DA0" w:rsidRDefault="00087DA0" w:rsidP="000A04CE">
    <w:pPr>
      <w:pStyle w:val="Footer"/>
      <w:pBdr>
        <w:top w:val="thinThickSmallGap" w:sz="24" w:space="1" w:color="622423"/>
      </w:pBdr>
      <w:tabs>
        <w:tab w:val="clear" w:pos="4320"/>
        <w:tab w:val="clear" w:pos="8640"/>
        <w:tab w:val="right" w:pos="9360"/>
      </w:tabs>
      <w:rPr>
        <w:rFonts w:ascii="Cambria" w:hAnsi="Cambria"/>
      </w:rPr>
    </w:pPr>
    <w:r>
      <w:rPr>
        <w:rFonts w:ascii="Cambria" w:hAnsi="Cambria"/>
      </w:rPr>
      <w:t>ICR 0282.16; OMB Number 2060-0048</w:t>
    </w:r>
    <w:r>
      <w:rPr>
        <w:rFonts w:ascii="Cambria" w:hAnsi="Cambria"/>
      </w:rPr>
      <w:tab/>
      <w:t xml:space="preserve">Page </w:t>
    </w:r>
    <w:r>
      <w:fldChar w:fldCharType="begin"/>
    </w:r>
    <w:r>
      <w:instrText xml:space="preserve"> PAGE   \* MERGEFORMAT </w:instrText>
    </w:r>
    <w:r>
      <w:fldChar w:fldCharType="separate"/>
    </w:r>
    <w:r w:rsidR="000634FD" w:rsidRPr="000634FD">
      <w:rPr>
        <w:rFonts w:ascii="Cambria" w:hAnsi="Cambria"/>
        <w:noProof/>
      </w:rPr>
      <w:t>2</w:t>
    </w:r>
    <w:r>
      <w:rPr>
        <w:rFonts w:ascii="Cambria" w:hAnsi="Cambria"/>
        <w:noProof/>
      </w:rPr>
      <w:fldChar w:fldCharType="end"/>
    </w:r>
  </w:p>
  <w:p w14:paraId="500A4EF7" w14:textId="77777777" w:rsidR="00087DA0" w:rsidRDefault="00087D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F274E" w14:textId="77777777" w:rsidR="0055426E" w:rsidRDefault="0055426E">
      <w:r>
        <w:separator/>
      </w:r>
    </w:p>
  </w:footnote>
  <w:footnote w:type="continuationSeparator" w:id="0">
    <w:p w14:paraId="6CDD9CB7" w14:textId="77777777" w:rsidR="0055426E" w:rsidRDefault="0055426E">
      <w:r>
        <w:continuationSeparator/>
      </w:r>
    </w:p>
  </w:footnote>
  <w:footnote w:id="1">
    <w:p w14:paraId="0936C810" w14:textId="7046DD26" w:rsidR="00087DA0" w:rsidRDefault="00087DA0">
      <w:pPr>
        <w:pStyle w:val="FootnoteText"/>
      </w:pPr>
      <w:r>
        <w:rPr>
          <w:rStyle w:val="FootnoteReference"/>
        </w:rPr>
        <w:footnoteRef/>
      </w:r>
      <w:r>
        <w:t xml:space="preserve"> For additional information on NR industries, visit </w:t>
      </w:r>
      <w:hyperlink r:id="rId1" w:history="1">
        <w:r w:rsidR="00B207B3" w:rsidRPr="006B7206">
          <w:rPr>
            <w:rStyle w:val="Hyperlink"/>
          </w:rPr>
          <w:t>https://www.epa.gov/air-pollution-transportation</w:t>
        </w:r>
      </w:hyperlink>
      <w:r w:rsidR="00B207B3">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5D2F" w14:textId="77777777" w:rsidR="00087DA0" w:rsidRDefault="00087DA0" w:rsidP="00DF526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5AFE3" w14:textId="77777777" w:rsidR="00087DA0" w:rsidRDefault="00087DA0" w:rsidP="0053553C">
    <w:pPr>
      <w:pStyle w:val="Header"/>
      <w:jc w:val="right"/>
    </w:pPr>
  </w:p>
  <w:p w14:paraId="4E894432" w14:textId="77777777" w:rsidR="00087DA0" w:rsidRDefault="00087DA0" w:rsidP="0053553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71A38E6"/>
    <w:lvl w:ilvl="0">
      <w:numFmt w:val="bullet"/>
      <w:lvlText w:val="*"/>
      <w:lvlJc w:val="left"/>
    </w:lvl>
  </w:abstractNum>
  <w:abstractNum w:abstractNumId="1">
    <w:nsid w:val="02BE51EA"/>
    <w:multiLevelType w:val="hybridMultilevel"/>
    <w:tmpl w:val="A7E800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D46F47"/>
    <w:multiLevelType w:val="multilevel"/>
    <w:tmpl w:val="2392E0D6"/>
    <w:lvl w:ilvl="0">
      <w:start w:val="1"/>
      <w:numFmt w:val="bullet"/>
      <w:lvlText w:val="•"/>
      <w:legacy w:legacy="1" w:legacySpace="0" w:legacyIndent="1"/>
      <w:lvlJc w:val="left"/>
      <w:pPr>
        <w:ind w:left="1" w:hanging="1"/>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BDA56D4"/>
    <w:multiLevelType w:val="multilevel"/>
    <w:tmpl w:val="29863CA0"/>
    <w:lvl w:ilvl="0">
      <w:start w:val="3"/>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101C25A4"/>
    <w:multiLevelType w:val="hybridMultilevel"/>
    <w:tmpl w:val="7BD4F08A"/>
    <w:lvl w:ilvl="0" w:tplc="D89A49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0C4683"/>
    <w:multiLevelType w:val="hybridMultilevel"/>
    <w:tmpl w:val="B76C1F98"/>
    <w:lvl w:ilvl="0" w:tplc="D89A49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D06FA2"/>
    <w:multiLevelType w:val="hybridMultilevel"/>
    <w:tmpl w:val="D8BC45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B32D64"/>
    <w:multiLevelType w:val="hybridMultilevel"/>
    <w:tmpl w:val="324A9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724770"/>
    <w:multiLevelType w:val="hybridMultilevel"/>
    <w:tmpl w:val="28EA1E20"/>
    <w:lvl w:ilvl="0" w:tplc="9658142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036F58"/>
    <w:multiLevelType w:val="hybridMultilevel"/>
    <w:tmpl w:val="C9BCA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4E43E9"/>
    <w:multiLevelType w:val="multilevel"/>
    <w:tmpl w:val="2392E0D6"/>
    <w:lvl w:ilvl="0">
      <w:start w:val="1"/>
      <w:numFmt w:val="bullet"/>
      <w:lvlText w:val="•"/>
      <w:legacy w:legacy="1" w:legacySpace="0" w:legacyIndent="1"/>
      <w:lvlJc w:val="left"/>
      <w:pPr>
        <w:ind w:left="1" w:hanging="1"/>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E6F2CB4"/>
    <w:multiLevelType w:val="hybridMultilevel"/>
    <w:tmpl w:val="62189664"/>
    <w:lvl w:ilvl="0" w:tplc="D89A49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124BBA"/>
    <w:multiLevelType w:val="multilevel"/>
    <w:tmpl w:val="2392E0D6"/>
    <w:lvl w:ilvl="0">
      <w:start w:val="1"/>
      <w:numFmt w:val="bullet"/>
      <w:lvlText w:val="•"/>
      <w:legacy w:legacy="1" w:legacySpace="0" w:legacyIndent="1"/>
      <w:lvlJc w:val="left"/>
      <w:pPr>
        <w:ind w:left="1" w:hanging="1"/>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A9B2C0B"/>
    <w:multiLevelType w:val="hybridMultilevel"/>
    <w:tmpl w:val="CE1EC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4125A4"/>
    <w:multiLevelType w:val="hybridMultilevel"/>
    <w:tmpl w:val="5D644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25814ED"/>
    <w:multiLevelType w:val="multilevel"/>
    <w:tmpl w:val="2392E0D6"/>
    <w:lvl w:ilvl="0">
      <w:start w:val="1"/>
      <w:numFmt w:val="bullet"/>
      <w:lvlText w:val="•"/>
      <w:legacy w:legacy="1" w:legacySpace="0" w:legacyIndent="1"/>
      <w:lvlJc w:val="left"/>
      <w:pPr>
        <w:ind w:left="1" w:hanging="1"/>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2E11CEE"/>
    <w:multiLevelType w:val="hybridMultilevel"/>
    <w:tmpl w:val="75DE2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2C020E"/>
    <w:multiLevelType w:val="hybridMultilevel"/>
    <w:tmpl w:val="2392E0D6"/>
    <w:lvl w:ilvl="0" w:tplc="F71A38E6">
      <w:start w:val="1"/>
      <w:numFmt w:val="bullet"/>
      <w:lvlText w:val="•"/>
      <w:legacy w:legacy="1" w:legacySpace="0" w:legacyIndent="1"/>
      <w:lvlJc w:val="left"/>
      <w:pPr>
        <w:ind w:left="1" w:hanging="1"/>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F67320"/>
    <w:multiLevelType w:val="hybridMultilevel"/>
    <w:tmpl w:val="EB547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810BD5"/>
    <w:multiLevelType w:val="hybridMultilevel"/>
    <w:tmpl w:val="4630FA7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2345DB"/>
    <w:multiLevelType w:val="hybridMultilevel"/>
    <w:tmpl w:val="46BAB216"/>
    <w:lvl w:ilvl="0" w:tplc="D89A49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773AB7"/>
    <w:multiLevelType w:val="hybridMultilevel"/>
    <w:tmpl w:val="6896E36E"/>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A47452B"/>
    <w:multiLevelType w:val="hybridMultilevel"/>
    <w:tmpl w:val="6AD0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7B5D97"/>
    <w:multiLevelType w:val="hybridMultilevel"/>
    <w:tmpl w:val="86E81734"/>
    <w:lvl w:ilvl="0" w:tplc="D89A49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A36C85"/>
    <w:multiLevelType w:val="hybridMultilevel"/>
    <w:tmpl w:val="127A19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48D7589"/>
    <w:multiLevelType w:val="hybridMultilevel"/>
    <w:tmpl w:val="DA2AF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55C6715"/>
    <w:multiLevelType w:val="hybridMultilevel"/>
    <w:tmpl w:val="9DDA28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6E5726"/>
    <w:multiLevelType w:val="hybridMultilevel"/>
    <w:tmpl w:val="1EF0468A"/>
    <w:lvl w:ilvl="0" w:tplc="204A1366">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D263A3D"/>
    <w:multiLevelType w:val="multilevel"/>
    <w:tmpl w:val="0758F4AE"/>
    <w:lvl w:ilvl="0">
      <w:start w:val="1"/>
      <w:numFmt w:val="none"/>
      <w:lvlText w:val="•"/>
      <w:legacy w:legacy="1" w:legacySpace="0" w:legacyIndent="0"/>
      <w:lvlJc w:val="left"/>
      <w:pPr>
        <w:ind w:left="0" w:firstLine="0"/>
      </w:pPr>
      <w:rPr>
        <w:rFonts w:ascii="Courier New" w:hAnsi="Courier New" w:cs="Courier New" w:hint="default"/>
      </w:rPr>
    </w:lvl>
    <w:lvl w:ilvl="1">
      <w:start w:val="1"/>
      <w:numFmt w:val="none"/>
      <w:lvlText w:val="•"/>
      <w:legacy w:legacy="1" w:legacySpace="0" w:legacyIndent="0"/>
      <w:lvlJc w:val="left"/>
      <w:pPr>
        <w:ind w:left="0" w:firstLine="0"/>
      </w:pPr>
      <w:rPr>
        <w:rFonts w:ascii="Courier New" w:hAnsi="Courier New" w:cs="Courier New" w:hint="default"/>
      </w:rPr>
    </w:lvl>
    <w:lvl w:ilvl="2">
      <w:start w:val="1"/>
      <w:numFmt w:val="none"/>
      <w:lvlText w:val="•"/>
      <w:legacy w:legacy="1" w:legacySpace="0" w:legacyIndent="0"/>
      <w:lvlJc w:val="left"/>
      <w:pPr>
        <w:ind w:left="0" w:firstLine="0"/>
      </w:pPr>
      <w:rPr>
        <w:rFonts w:ascii="Courier New" w:hAnsi="Courier New" w:cs="Courier New" w:hint="default"/>
      </w:rPr>
    </w:lvl>
    <w:lvl w:ilvl="3">
      <w:start w:val="1"/>
      <w:numFmt w:val="none"/>
      <w:lvlText w:val="•"/>
      <w:legacy w:legacy="1" w:legacySpace="0" w:legacyIndent="0"/>
      <w:lvlJc w:val="left"/>
      <w:pPr>
        <w:ind w:left="0" w:firstLine="0"/>
      </w:pPr>
      <w:rPr>
        <w:rFonts w:ascii="Courier New" w:hAnsi="Courier New" w:cs="Courier New" w:hint="default"/>
      </w:rPr>
    </w:lvl>
    <w:lvl w:ilvl="4">
      <w:start w:val="1"/>
      <w:numFmt w:val="none"/>
      <w:lvlText w:val="•"/>
      <w:legacy w:legacy="1" w:legacySpace="0" w:legacyIndent="0"/>
      <w:lvlJc w:val="left"/>
      <w:pPr>
        <w:ind w:left="0" w:firstLine="0"/>
      </w:pPr>
      <w:rPr>
        <w:rFonts w:ascii="Courier New" w:hAnsi="Courier New" w:cs="Courier New" w:hint="default"/>
      </w:rPr>
    </w:lvl>
    <w:lvl w:ilvl="5">
      <w:start w:val="1"/>
      <w:numFmt w:val="none"/>
      <w:lvlText w:val="•"/>
      <w:legacy w:legacy="1" w:legacySpace="0" w:legacyIndent="0"/>
      <w:lvlJc w:val="left"/>
      <w:pPr>
        <w:ind w:left="0" w:firstLine="0"/>
      </w:pPr>
      <w:rPr>
        <w:rFonts w:ascii="Courier New" w:hAnsi="Courier New" w:cs="Courier New" w:hint="default"/>
      </w:rPr>
    </w:lvl>
    <w:lvl w:ilvl="6">
      <w:start w:val="1"/>
      <w:numFmt w:val="none"/>
      <w:lvlText w:val="•"/>
      <w:legacy w:legacy="1" w:legacySpace="0" w:legacyIndent="0"/>
      <w:lvlJc w:val="left"/>
      <w:pPr>
        <w:ind w:left="0" w:firstLine="0"/>
      </w:pPr>
      <w:rPr>
        <w:rFonts w:ascii="Courier New" w:hAnsi="Courier New" w:cs="Courier New" w:hint="default"/>
      </w:rPr>
    </w:lvl>
    <w:lvl w:ilvl="7">
      <w:start w:val="1"/>
      <w:numFmt w:val="none"/>
      <w:lvlText w:val="•"/>
      <w:legacy w:legacy="1" w:legacySpace="0" w:legacyIndent="0"/>
      <w:lvlJc w:val="left"/>
      <w:pPr>
        <w:ind w:left="0" w:firstLine="0"/>
      </w:pPr>
      <w:rPr>
        <w:rFonts w:ascii="Courier New" w:hAnsi="Courier New" w:cs="Courier New" w:hint="default"/>
      </w:rPr>
    </w:lvl>
    <w:lvl w:ilvl="8">
      <w:start w:val="1"/>
      <w:numFmt w:val="lowerRoman"/>
      <w:lvlText w:val="%9)"/>
      <w:legacy w:legacy="1" w:legacySpace="0" w:legacyIndent="0"/>
      <w:lvlJc w:val="left"/>
      <w:pPr>
        <w:ind w:left="0" w:firstLine="0"/>
      </w:pPr>
    </w:lvl>
  </w:abstractNum>
  <w:abstractNum w:abstractNumId="29">
    <w:nsid w:val="619D09F4"/>
    <w:multiLevelType w:val="multilevel"/>
    <w:tmpl w:val="29863CA0"/>
    <w:lvl w:ilvl="0">
      <w:start w:val="3"/>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0">
    <w:nsid w:val="66E82218"/>
    <w:multiLevelType w:val="hybridMultilevel"/>
    <w:tmpl w:val="50B4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0203D9"/>
    <w:multiLevelType w:val="hybridMultilevel"/>
    <w:tmpl w:val="0CAC80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86008D0"/>
    <w:multiLevelType w:val="hybridMultilevel"/>
    <w:tmpl w:val="24A88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2740A0"/>
    <w:multiLevelType w:val="hybridMultilevel"/>
    <w:tmpl w:val="E4F2B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507ECB"/>
    <w:multiLevelType w:val="multilevel"/>
    <w:tmpl w:val="0018EF2C"/>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5">
    <w:nsid w:val="699E28F2"/>
    <w:multiLevelType w:val="hybridMultilevel"/>
    <w:tmpl w:val="FF8A1F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9D609AB"/>
    <w:multiLevelType w:val="multilevel"/>
    <w:tmpl w:val="2392E0D6"/>
    <w:lvl w:ilvl="0">
      <w:start w:val="1"/>
      <w:numFmt w:val="bullet"/>
      <w:lvlText w:val="•"/>
      <w:legacy w:legacy="1" w:legacySpace="0" w:legacyIndent="1"/>
      <w:lvlJc w:val="left"/>
      <w:pPr>
        <w:ind w:left="1" w:hanging="1"/>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49C4B56"/>
    <w:multiLevelType w:val="hybridMultilevel"/>
    <w:tmpl w:val="7DDCCF74"/>
    <w:lvl w:ilvl="0" w:tplc="204A1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F206A7"/>
    <w:multiLevelType w:val="hybridMultilevel"/>
    <w:tmpl w:val="B226E294"/>
    <w:lvl w:ilvl="0" w:tplc="D89A49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D4B04AF"/>
    <w:multiLevelType w:val="hybridMultilevel"/>
    <w:tmpl w:val="AD96C94C"/>
    <w:lvl w:ilvl="0" w:tplc="D89A49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719" w:hanging="1"/>
        </w:pPr>
        <w:rPr>
          <w:rFonts w:ascii="Courier New" w:hAnsi="Courier New" w:cs="Courier New" w:hint="default"/>
        </w:rPr>
      </w:lvl>
    </w:lvlOverride>
  </w:num>
  <w:num w:numId="2">
    <w:abstractNumId w:val="0"/>
    <w:lvlOverride w:ilvl="0">
      <w:lvl w:ilvl="0">
        <w:start w:val="1"/>
        <w:numFmt w:val="bullet"/>
        <w:lvlText w:val="•"/>
        <w:legacy w:legacy="1" w:legacySpace="0" w:legacyIndent="1"/>
        <w:lvlJc w:val="left"/>
        <w:pPr>
          <w:ind w:left="1" w:hanging="1"/>
        </w:pPr>
        <w:rPr>
          <w:rFonts w:ascii="Courier New" w:hAnsi="Courier New" w:cs="Courier New" w:hint="default"/>
        </w:rPr>
      </w:lvl>
    </w:lvlOverride>
  </w:num>
  <w:num w:numId="3">
    <w:abstractNumId w:val="17"/>
  </w:num>
  <w:num w:numId="4">
    <w:abstractNumId w:val="15"/>
  </w:num>
  <w:num w:numId="5">
    <w:abstractNumId w:val="39"/>
  </w:num>
  <w:num w:numId="6">
    <w:abstractNumId w:val="36"/>
  </w:num>
  <w:num w:numId="7">
    <w:abstractNumId w:val="5"/>
  </w:num>
  <w:num w:numId="8">
    <w:abstractNumId w:val="12"/>
  </w:num>
  <w:num w:numId="9">
    <w:abstractNumId w:val="23"/>
  </w:num>
  <w:num w:numId="10">
    <w:abstractNumId w:val="2"/>
  </w:num>
  <w:num w:numId="11">
    <w:abstractNumId w:val="20"/>
  </w:num>
  <w:num w:numId="12">
    <w:abstractNumId w:val="10"/>
  </w:num>
  <w:num w:numId="13">
    <w:abstractNumId w:val="4"/>
  </w:num>
  <w:num w:numId="14">
    <w:abstractNumId w:val="34"/>
  </w:num>
  <w:num w:numId="15">
    <w:abstractNumId w:val="29"/>
  </w:num>
  <w:num w:numId="16">
    <w:abstractNumId w:val="3"/>
  </w:num>
  <w:num w:numId="17">
    <w:abstractNumId w:val="28"/>
  </w:num>
  <w:num w:numId="18">
    <w:abstractNumId w:val="11"/>
  </w:num>
  <w:num w:numId="19">
    <w:abstractNumId w:val="8"/>
  </w:num>
  <w:num w:numId="20">
    <w:abstractNumId w:val="38"/>
  </w:num>
  <w:num w:numId="21">
    <w:abstractNumId w:val="31"/>
  </w:num>
  <w:num w:numId="22">
    <w:abstractNumId w:val="24"/>
  </w:num>
  <w:num w:numId="23">
    <w:abstractNumId w:val="26"/>
  </w:num>
  <w:num w:numId="24">
    <w:abstractNumId w:val="30"/>
  </w:num>
  <w:num w:numId="25">
    <w:abstractNumId w:val="32"/>
  </w:num>
  <w:num w:numId="26">
    <w:abstractNumId w:val="18"/>
  </w:num>
  <w:num w:numId="27">
    <w:abstractNumId w:val="33"/>
  </w:num>
  <w:num w:numId="28">
    <w:abstractNumId w:val="35"/>
  </w:num>
  <w:num w:numId="29">
    <w:abstractNumId w:val="16"/>
  </w:num>
  <w:num w:numId="30">
    <w:abstractNumId w:val="9"/>
  </w:num>
  <w:num w:numId="31">
    <w:abstractNumId w:val="1"/>
  </w:num>
  <w:num w:numId="32">
    <w:abstractNumId w:val="13"/>
  </w:num>
  <w:num w:numId="33">
    <w:abstractNumId w:val="6"/>
  </w:num>
  <w:num w:numId="34">
    <w:abstractNumId w:val="7"/>
  </w:num>
  <w:num w:numId="35">
    <w:abstractNumId w:val="25"/>
  </w:num>
  <w:num w:numId="36">
    <w:abstractNumId w:val="22"/>
  </w:num>
  <w:num w:numId="37">
    <w:abstractNumId w:val="14"/>
  </w:num>
  <w:num w:numId="38">
    <w:abstractNumId w:val="37"/>
  </w:num>
  <w:num w:numId="39">
    <w:abstractNumId w:val="27"/>
  </w:num>
  <w:num w:numId="40">
    <w:abstractNumId w:val="19"/>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activeWritingStyle w:appName="MSWord" w:lang="en-CA"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9F7"/>
    <w:rsid w:val="00003639"/>
    <w:rsid w:val="00006E01"/>
    <w:rsid w:val="000104BE"/>
    <w:rsid w:val="00012A1C"/>
    <w:rsid w:val="00014A21"/>
    <w:rsid w:val="00015C61"/>
    <w:rsid w:val="00023252"/>
    <w:rsid w:val="000241E6"/>
    <w:rsid w:val="0003582A"/>
    <w:rsid w:val="00036024"/>
    <w:rsid w:val="00036B0D"/>
    <w:rsid w:val="00040F5D"/>
    <w:rsid w:val="00042F59"/>
    <w:rsid w:val="0004372C"/>
    <w:rsid w:val="000472CB"/>
    <w:rsid w:val="00056C46"/>
    <w:rsid w:val="000634FD"/>
    <w:rsid w:val="00065B75"/>
    <w:rsid w:val="00066074"/>
    <w:rsid w:val="000667D2"/>
    <w:rsid w:val="000800E8"/>
    <w:rsid w:val="000829AA"/>
    <w:rsid w:val="00082E7A"/>
    <w:rsid w:val="0008348D"/>
    <w:rsid w:val="00087DA0"/>
    <w:rsid w:val="00093963"/>
    <w:rsid w:val="000A04CE"/>
    <w:rsid w:val="000A65CD"/>
    <w:rsid w:val="000A7CA3"/>
    <w:rsid w:val="000B0974"/>
    <w:rsid w:val="000B37F7"/>
    <w:rsid w:val="000B4201"/>
    <w:rsid w:val="000B5A37"/>
    <w:rsid w:val="000C2E9E"/>
    <w:rsid w:val="000C47AE"/>
    <w:rsid w:val="000C4B21"/>
    <w:rsid w:val="000C6696"/>
    <w:rsid w:val="000C7B26"/>
    <w:rsid w:val="000D488A"/>
    <w:rsid w:val="000D568D"/>
    <w:rsid w:val="000E1F54"/>
    <w:rsid w:val="000E20D9"/>
    <w:rsid w:val="000E7B95"/>
    <w:rsid w:val="000E7E17"/>
    <w:rsid w:val="000F14F6"/>
    <w:rsid w:val="000F68E3"/>
    <w:rsid w:val="000F7A83"/>
    <w:rsid w:val="001077E8"/>
    <w:rsid w:val="00111ECC"/>
    <w:rsid w:val="00112243"/>
    <w:rsid w:val="00114DFD"/>
    <w:rsid w:val="00117052"/>
    <w:rsid w:val="00125323"/>
    <w:rsid w:val="00126F82"/>
    <w:rsid w:val="00131944"/>
    <w:rsid w:val="00134D74"/>
    <w:rsid w:val="0013535B"/>
    <w:rsid w:val="00136522"/>
    <w:rsid w:val="00137024"/>
    <w:rsid w:val="001420FE"/>
    <w:rsid w:val="00144B56"/>
    <w:rsid w:val="00145EC0"/>
    <w:rsid w:val="001460B8"/>
    <w:rsid w:val="00150E6D"/>
    <w:rsid w:val="0015370D"/>
    <w:rsid w:val="00157BA3"/>
    <w:rsid w:val="00160154"/>
    <w:rsid w:val="00171F9F"/>
    <w:rsid w:val="00172777"/>
    <w:rsid w:val="001735E2"/>
    <w:rsid w:val="001815C2"/>
    <w:rsid w:val="0019199D"/>
    <w:rsid w:val="001967FB"/>
    <w:rsid w:val="001A7472"/>
    <w:rsid w:val="001B4B49"/>
    <w:rsid w:val="001B6288"/>
    <w:rsid w:val="001C3F4F"/>
    <w:rsid w:val="001C6445"/>
    <w:rsid w:val="001C654F"/>
    <w:rsid w:val="001C7428"/>
    <w:rsid w:val="001D3C09"/>
    <w:rsid w:val="001E0371"/>
    <w:rsid w:val="001F1188"/>
    <w:rsid w:val="001F17ED"/>
    <w:rsid w:val="001F5811"/>
    <w:rsid w:val="001F778C"/>
    <w:rsid w:val="0020126B"/>
    <w:rsid w:val="00204922"/>
    <w:rsid w:val="00210C2B"/>
    <w:rsid w:val="00211C54"/>
    <w:rsid w:val="00213A1C"/>
    <w:rsid w:val="00217014"/>
    <w:rsid w:val="00223586"/>
    <w:rsid w:val="002240D0"/>
    <w:rsid w:val="00227F7F"/>
    <w:rsid w:val="002330E3"/>
    <w:rsid w:val="00240DAA"/>
    <w:rsid w:val="002449C2"/>
    <w:rsid w:val="0024546C"/>
    <w:rsid w:val="0024575D"/>
    <w:rsid w:val="00253B90"/>
    <w:rsid w:val="002568C6"/>
    <w:rsid w:val="00270D1A"/>
    <w:rsid w:val="002715C2"/>
    <w:rsid w:val="00276725"/>
    <w:rsid w:val="002822FD"/>
    <w:rsid w:val="00282CA7"/>
    <w:rsid w:val="002877E2"/>
    <w:rsid w:val="00292577"/>
    <w:rsid w:val="0029491B"/>
    <w:rsid w:val="002A15A2"/>
    <w:rsid w:val="002A6481"/>
    <w:rsid w:val="002A7A1F"/>
    <w:rsid w:val="002B1E99"/>
    <w:rsid w:val="002B2F80"/>
    <w:rsid w:val="002B615E"/>
    <w:rsid w:val="002B782B"/>
    <w:rsid w:val="002C1D07"/>
    <w:rsid w:val="002D5CDA"/>
    <w:rsid w:val="002D63DD"/>
    <w:rsid w:val="002D6475"/>
    <w:rsid w:val="002D6CA0"/>
    <w:rsid w:val="002E479D"/>
    <w:rsid w:val="002E58D3"/>
    <w:rsid w:val="0030706A"/>
    <w:rsid w:val="00314A0B"/>
    <w:rsid w:val="003223C2"/>
    <w:rsid w:val="00327072"/>
    <w:rsid w:val="00333014"/>
    <w:rsid w:val="003334EA"/>
    <w:rsid w:val="003355B3"/>
    <w:rsid w:val="00340741"/>
    <w:rsid w:val="003415AA"/>
    <w:rsid w:val="00342367"/>
    <w:rsid w:val="00342F4A"/>
    <w:rsid w:val="00343AE3"/>
    <w:rsid w:val="003452BC"/>
    <w:rsid w:val="00346EB1"/>
    <w:rsid w:val="003653A8"/>
    <w:rsid w:val="003710AD"/>
    <w:rsid w:val="003751E6"/>
    <w:rsid w:val="00376375"/>
    <w:rsid w:val="003766CF"/>
    <w:rsid w:val="00381AD2"/>
    <w:rsid w:val="00384163"/>
    <w:rsid w:val="00384D8B"/>
    <w:rsid w:val="00386EDA"/>
    <w:rsid w:val="00394F0E"/>
    <w:rsid w:val="003A04A7"/>
    <w:rsid w:val="003A1F6D"/>
    <w:rsid w:val="003A2053"/>
    <w:rsid w:val="003B23A3"/>
    <w:rsid w:val="003B2E41"/>
    <w:rsid w:val="003B37D6"/>
    <w:rsid w:val="003B40E4"/>
    <w:rsid w:val="003B52D3"/>
    <w:rsid w:val="003C34D0"/>
    <w:rsid w:val="003C3976"/>
    <w:rsid w:val="003C4C27"/>
    <w:rsid w:val="003E052F"/>
    <w:rsid w:val="003E0CC3"/>
    <w:rsid w:val="003E239F"/>
    <w:rsid w:val="003E3ECB"/>
    <w:rsid w:val="003E43AE"/>
    <w:rsid w:val="003F5BD9"/>
    <w:rsid w:val="0040404F"/>
    <w:rsid w:val="00404CEF"/>
    <w:rsid w:val="00417006"/>
    <w:rsid w:val="00420ECF"/>
    <w:rsid w:val="00421836"/>
    <w:rsid w:val="00431283"/>
    <w:rsid w:val="00432FD2"/>
    <w:rsid w:val="00433AA5"/>
    <w:rsid w:val="00441D9A"/>
    <w:rsid w:val="004427D6"/>
    <w:rsid w:val="00446E73"/>
    <w:rsid w:val="00450758"/>
    <w:rsid w:val="00451438"/>
    <w:rsid w:val="00453882"/>
    <w:rsid w:val="00455EEA"/>
    <w:rsid w:val="004656BB"/>
    <w:rsid w:val="00475E64"/>
    <w:rsid w:val="00496D4D"/>
    <w:rsid w:val="00497947"/>
    <w:rsid w:val="004A459B"/>
    <w:rsid w:val="004A6044"/>
    <w:rsid w:val="004A6181"/>
    <w:rsid w:val="004B0275"/>
    <w:rsid w:val="004B2B9A"/>
    <w:rsid w:val="004B4381"/>
    <w:rsid w:val="004B4711"/>
    <w:rsid w:val="004B7BE8"/>
    <w:rsid w:val="004C2AAA"/>
    <w:rsid w:val="004C5851"/>
    <w:rsid w:val="004D1521"/>
    <w:rsid w:val="004D23F4"/>
    <w:rsid w:val="004E0BAE"/>
    <w:rsid w:val="004E45ED"/>
    <w:rsid w:val="004E67C2"/>
    <w:rsid w:val="004E74E6"/>
    <w:rsid w:val="005075D9"/>
    <w:rsid w:val="005153E6"/>
    <w:rsid w:val="00516267"/>
    <w:rsid w:val="0052107B"/>
    <w:rsid w:val="00526ED6"/>
    <w:rsid w:val="00530224"/>
    <w:rsid w:val="00531E2D"/>
    <w:rsid w:val="0053553C"/>
    <w:rsid w:val="005378A5"/>
    <w:rsid w:val="00546F92"/>
    <w:rsid w:val="00553572"/>
    <w:rsid w:val="0055426E"/>
    <w:rsid w:val="0055681E"/>
    <w:rsid w:val="00556E95"/>
    <w:rsid w:val="00557075"/>
    <w:rsid w:val="00564D4E"/>
    <w:rsid w:val="00570165"/>
    <w:rsid w:val="00570D8D"/>
    <w:rsid w:val="00573F97"/>
    <w:rsid w:val="005756F0"/>
    <w:rsid w:val="00577738"/>
    <w:rsid w:val="00582A82"/>
    <w:rsid w:val="005854BA"/>
    <w:rsid w:val="00586537"/>
    <w:rsid w:val="00593169"/>
    <w:rsid w:val="00593479"/>
    <w:rsid w:val="00595CBD"/>
    <w:rsid w:val="00595D50"/>
    <w:rsid w:val="005A0623"/>
    <w:rsid w:val="005A385C"/>
    <w:rsid w:val="005A49A7"/>
    <w:rsid w:val="005A49C8"/>
    <w:rsid w:val="005A613A"/>
    <w:rsid w:val="005B2634"/>
    <w:rsid w:val="005B4621"/>
    <w:rsid w:val="005C2E95"/>
    <w:rsid w:val="005C4A24"/>
    <w:rsid w:val="005C542D"/>
    <w:rsid w:val="005E31DD"/>
    <w:rsid w:val="005E5630"/>
    <w:rsid w:val="005E59CA"/>
    <w:rsid w:val="005F0CD2"/>
    <w:rsid w:val="005F0E9E"/>
    <w:rsid w:val="005F3C8F"/>
    <w:rsid w:val="005F40EE"/>
    <w:rsid w:val="005F568B"/>
    <w:rsid w:val="005F78FA"/>
    <w:rsid w:val="006030A7"/>
    <w:rsid w:val="00614AAD"/>
    <w:rsid w:val="006163CA"/>
    <w:rsid w:val="006264F1"/>
    <w:rsid w:val="00627248"/>
    <w:rsid w:val="006272F4"/>
    <w:rsid w:val="00634E20"/>
    <w:rsid w:val="00635197"/>
    <w:rsid w:val="006403F3"/>
    <w:rsid w:val="00645EDA"/>
    <w:rsid w:val="0065154F"/>
    <w:rsid w:val="00663D36"/>
    <w:rsid w:val="006664AC"/>
    <w:rsid w:val="00671865"/>
    <w:rsid w:val="00676984"/>
    <w:rsid w:val="00695326"/>
    <w:rsid w:val="006954BF"/>
    <w:rsid w:val="00695AA7"/>
    <w:rsid w:val="006B0B74"/>
    <w:rsid w:val="006B54AB"/>
    <w:rsid w:val="006B6C2C"/>
    <w:rsid w:val="006B6D53"/>
    <w:rsid w:val="006C1584"/>
    <w:rsid w:val="006C170D"/>
    <w:rsid w:val="006C1B77"/>
    <w:rsid w:val="006C1D35"/>
    <w:rsid w:val="006C4B8E"/>
    <w:rsid w:val="006D4028"/>
    <w:rsid w:val="006D6C13"/>
    <w:rsid w:val="006E4820"/>
    <w:rsid w:val="006E693A"/>
    <w:rsid w:val="006F5084"/>
    <w:rsid w:val="007041C4"/>
    <w:rsid w:val="007137EC"/>
    <w:rsid w:val="00715222"/>
    <w:rsid w:val="00716324"/>
    <w:rsid w:val="00721C3A"/>
    <w:rsid w:val="00726A49"/>
    <w:rsid w:val="00731388"/>
    <w:rsid w:val="007314C5"/>
    <w:rsid w:val="00733CAD"/>
    <w:rsid w:val="007376B3"/>
    <w:rsid w:val="007408EC"/>
    <w:rsid w:val="00747C9D"/>
    <w:rsid w:val="007611BD"/>
    <w:rsid w:val="0076167A"/>
    <w:rsid w:val="00774D7B"/>
    <w:rsid w:val="00775B60"/>
    <w:rsid w:val="0078057F"/>
    <w:rsid w:val="0078145E"/>
    <w:rsid w:val="00781869"/>
    <w:rsid w:val="007925D4"/>
    <w:rsid w:val="00796BDA"/>
    <w:rsid w:val="007A62DF"/>
    <w:rsid w:val="007B6FF8"/>
    <w:rsid w:val="007C1175"/>
    <w:rsid w:val="007C26C3"/>
    <w:rsid w:val="007C77B0"/>
    <w:rsid w:val="007D1620"/>
    <w:rsid w:val="007D2A83"/>
    <w:rsid w:val="007D63E6"/>
    <w:rsid w:val="007D6A15"/>
    <w:rsid w:val="007E3408"/>
    <w:rsid w:val="007F0DB8"/>
    <w:rsid w:val="008115BE"/>
    <w:rsid w:val="0081167A"/>
    <w:rsid w:val="00814B41"/>
    <w:rsid w:val="0081513D"/>
    <w:rsid w:val="00821129"/>
    <w:rsid w:val="0082656C"/>
    <w:rsid w:val="00826712"/>
    <w:rsid w:val="00834D75"/>
    <w:rsid w:val="00850E36"/>
    <w:rsid w:val="0085577B"/>
    <w:rsid w:val="00855BDB"/>
    <w:rsid w:val="0086672B"/>
    <w:rsid w:val="00866EA5"/>
    <w:rsid w:val="00871956"/>
    <w:rsid w:val="008755B9"/>
    <w:rsid w:val="00876C81"/>
    <w:rsid w:val="00880670"/>
    <w:rsid w:val="00883AD3"/>
    <w:rsid w:val="00885FBF"/>
    <w:rsid w:val="00892924"/>
    <w:rsid w:val="008A02BC"/>
    <w:rsid w:val="008A15AD"/>
    <w:rsid w:val="008A2347"/>
    <w:rsid w:val="008B443A"/>
    <w:rsid w:val="008B5A97"/>
    <w:rsid w:val="008D113B"/>
    <w:rsid w:val="008D3BE2"/>
    <w:rsid w:val="008D4A9D"/>
    <w:rsid w:val="008E0782"/>
    <w:rsid w:val="008E3F1D"/>
    <w:rsid w:val="008E3F6D"/>
    <w:rsid w:val="008E481C"/>
    <w:rsid w:val="008E52C5"/>
    <w:rsid w:val="008E7531"/>
    <w:rsid w:val="008E782D"/>
    <w:rsid w:val="008F2EE8"/>
    <w:rsid w:val="008F413B"/>
    <w:rsid w:val="009050F9"/>
    <w:rsid w:val="009064AB"/>
    <w:rsid w:val="00907D20"/>
    <w:rsid w:val="00911F4E"/>
    <w:rsid w:val="00913068"/>
    <w:rsid w:val="00916746"/>
    <w:rsid w:val="00921048"/>
    <w:rsid w:val="009251A9"/>
    <w:rsid w:val="00927427"/>
    <w:rsid w:val="00933BB8"/>
    <w:rsid w:val="00940C57"/>
    <w:rsid w:val="00944AEF"/>
    <w:rsid w:val="00944CD6"/>
    <w:rsid w:val="0094641E"/>
    <w:rsid w:val="0095188A"/>
    <w:rsid w:val="00952561"/>
    <w:rsid w:val="0095587F"/>
    <w:rsid w:val="00960E4D"/>
    <w:rsid w:val="00964887"/>
    <w:rsid w:val="00965250"/>
    <w:rsid w:val="009669E2"/>
    <w:rsid w:val="00966FE4"/>
    <w:rsid w:val="009744C4"/>
    <w:rsid w:val="009754DA"/>
    <w:rsid w:val="00981381"/>
    <w:rsid w:val="009822A6"/>
    <w:rsid w:val="009833EB"/>
    <w:rsid w:val="009850CB"/>
    <w:rsid w:val="0098610D"/>
    <w:rsid w:val="00991247"/>
    <w:rsid w:val="00993DB2"/>
    <w:rsid w:val="0099727C"/>
    <w:rsid w:val="009A3D66"/>
    <w:rsid w:val="009A6722"/>
    <w:rsid w:val="009A6769"/>
    <w:rsid w:val="009B0662"/>
    <w:rsid w:val="009B0FF1"/>
    <w:rsid w:val="009B2BC9"/>
    <w:rsid w:val="009B431C"/>
    <w:rsid w:val="009B48C1"/>
    <w:rsid w:val="009B63D3"/>
    <w:rsid w:val="009B7191"/>
    <w:rsid w:val="009B77A4"/>
    <w:rsid w:val="009D171A"/>
    <w:rsid w:val="009D1D6D"/>
    <w:rsid w:val="009D4B69"/>
    <w:rsid w:val="009D4F36"/>
    <w:rsid w:val="009E171A"/>
    <w:rsid w:val="009E2B66"/>
    <w:rsid w:val="009E2D68"/>
    <w:rsid w:val="009E5444"/>
    <w:rsid w:val="009E5F29"/>
    <w:rsid w:val="009F6008"/>
    <w:rsid w:val="00A01C48"/>
    <w:rsid w:val="00A10C02"/>
    <w:rsid w:val="00A20369"/>
    <w:rsid w:val="00A2417F"/>
    <w:rsid w:val="00A2567F"/>
    <w:rsid w:val="00A2786E"/>
    <w:rsid w:val="00A307C5"/>
    <w:rsid w:val="00A36A81"/>
    <w:rsid w:val="00A373AD"/>
    <w:rsid w:val="00A51654"/>
    <w:rsid w:val="00A5351A"/>
    <w:rsid w:val="00A53CC1"/>
    <w:rsid w:val="00A56084"/>
    <w:rsid w:val="00A755EA"/>
    <w:rsid w:val="00A7691E"/>
    <w:rsid w:val="00A803F1"/>
    <w:rsid w:val="00A80A26"/>
    <w:rsid w:val="00A84876"/>
    <w:rsid w:val="00A87267"/>
    <w:rsid w:val="00A90CEC"/>
    <w:rsid w:val="00A92286"/>
    <w:rsid w:val="00A93BEB"/>
    <w:rsid w:val="00A972C4"/>
    <w:rsid w:val="00A9793E"/>
    <w:rsid w:val="00AA54D8"/>
    <w:rsid w:val="00AA7A0C"/>
    <w:rsid w:val="00AB1258"/>
    <w:rsid w:val="00AC6FE9"/>
    <w:rsid w:val="00AC7B76"/>
    <w:rsid w:val="00AD2153"/>
    <w:rsid w:val="00AF1B2A"/>
    <w:rsid w:val="00AF2E94"/>
    <w:rsid w:val="00AF7090"/>
    <w:rsid w:val="00AF7867"/>
    <w:rsid w:val="00B0106C"/>
    <w:rsid w:val="00B02848"/>
    <w:rsid w:val="00B117BF"/>
    <w:rsid w:val="00B13CF4"/>
    <w:rsid w:val="00B207B3"/>
    <w:rsid w:val="00B20F4E"/>
    <w:rsid w:val="00B224A4"/>
    <w:rsid w:val="00B237E9"/>
    <w:rsid w:val="00B25A00"/>
    <w:rsid w:val="00B279A0"/>
    <w:rsid w:val="00B27EBB"/>
    <w:rsid w:val="00B334FD"/>
    <w:rsid w:val="00B34920"/>
    <w:rsid w:val="00B34ADE"/>
    <w:rsid w:val="00B356E0"/>
    <w:rsid w:val="00B36BF4"/>
    <w:rsid w:val="00B40053"/>
    <w:rsid w:val="00B41942"/>
    <w:rsid w:val="00B4376E"/>
    <w:rsid w:val="00B47238"/>
    <w:rsid w:val="00B47B1D"/>
    <w:rsid w:val="00B524CA"/>
    <w:rsid w:val="00B558A5"/>
    <w:rsid w:val="00B62020"/>
    <w:rsid w:val="00B6443E"/>
    <w:rsid w:val="00B82F56"/>
    <w:rsid w:val="00B8526D"/>
    <w:rsid w:val="00B85B7C"/>
    <w:rsid w:val="00B92EC5"/>
    <w:rsid w:val="00B9646F"/>
    <w:rsid w:val="00BB0007"/>
    <w:rsid w:val="00BB45D5"/>
    <w:rsid w:val="00BB5A70"/>
    <w:rsid w:val="00BB7DF0"/>
    <w:rsid w:val="00BC3C76"/>
    <w:rsid w:val="00BD2872"/>
    <w:rsid w:val="00BD486A"/>
    <w:rsid w:val="00BD77EC"/>
    <w:rsid w:val="00BE0038"/>
    <w:rsid w:val="00BE5E5B"/>
    <w:rsid w:val="00BF151A"/>
    <w:rsid w:val="00BF1580"/>
    <w:rsid w:val="00BF5D8B"/>
    <w:rsid w:val="00BF6666"/>
    <w:rsid w:val="00C03A36"/>
    <w:rsid w:val="00C059FC"/>
    <w:rsid w:val="00C10163"/>
    <w:rsid w:val="00C2027A"/>
    <w:rsid w:val="00C20317"/>
    <w:rsid w:val="00C2122E"/>
    <w:rsid w:val="00C352BA"/>
    <w:rsid w:val="00C36B9B"/>
    <w:rsid w:val="00C4014B"/>
    <w:rsid w:val="00C50009"/>
    <w:rsid w:val="00C5022D"/>
    <w:rsid w:val="00C502C3"/>
    <w:rsid w:val="00C51E80"/>
    <w:rsid w:val="00C52192"/>
    <w:rsid w:val="00C522C0"/>
    <w:rsid w:val="00C539E4"/>
    <w:rsid w:val="00C55178"/>
    <w:rsid w:val="00C6160B"/>
    <w:rsid w:val="00C6507E"/>
    <w:rsid w:val="00C71052"/>
    <w:rsid w:val="00C744A9"/>
    <w:rsid w:val="00C77513"/>
    <w:rsid w:val="00C81D38"/>
    <w:rsid w:val="00C8258E"/>
    <w:rsid w:val="00C868C1"/>
    <w:rsid w:val="00C86D18"/>
    <w:rsid w:val="00C91693"/>
    <w:rsid w:val="00CA2AAA"/>
    <w:rsid w:val="00CA5C49"/>
    <w:rsid w:val="00CA62F9"/>
    <w:rsid w:val="00CB39EC"/>
    <w:rsid w:val="00CB3BB7"/>
    <w:rsid w:val="00CB4B59"/>
    <w:rsid w:val="00CB4BBE"/>
    <w:rsid w:val="00CB58DC"/>
    <w:rsid w:val="00CC01BE"/>
    <w:rsid w:val="00CC40D7"/>
    <w:rsid w:val="00CC4A44"/>
    <w:rsid w:val="00CC6FDF"/>
    <w:rsid w:val="00CD0ADE"/>
    <w:rsid w:val="00CE1439"/>
    <w:rsid w:val="00CE62E2"/>
    <w:rsid w:val="00CF31FA"/>
    <w:rsid w:val="00D103B4"/>
    <w:rsid w:val="00D12CE0"/>
    <w:rsid w:val="00D1768A"/>
    <w:rsid w:val="00D17F28"/>
    <w:rsid w:val="00D24257"/>
    <w:rsid w:val="00D2488C"/>
    <w:rsid w:val="00D312B2"/>
    <w:rsid w:val="00D327F8"/>
    <w:rsid w:val="00D36D5C"/>
    <w:rsid w:val="00D36F35"/>
    <w:rsid w:val="00D36F92"/>
    <w:rsid w:val="00D4038B"/>
    <w:rsid w:val="00D40798"/>
    <w:rsid w:val="00D52FF7"/>
    <w:rsid w:val="00D56CD0"/>
    <w:rsid w:val="00D574FE"/>
    <w:rsid w:val="00D66359"/>
    <w:rsid w:val="00D72169"/>
    <w:rsid w:val="00D837A1"/>
    <w:rsid w:val="00D84056"/>
    <w:rsid w:val="00D85014"/>
    <w:rsid w:val="00D9190F"/>
    <w:rsid w:val="00D94FD4"/>
    <w:rsid w:val="00D95D93"/>
    <w:rsid w:val="00D96FC5"/>
    <w:rsid w:val="00DA5206"/>
    <w:rsid w:val="00DA7CDC"/>
    <w:rsid w:val="00DB01D8"/>
    <w:rsid w:val="00DB3290"/>
    <w:rsid w:val="00DB6FC7"/>
    <w:rsid w:val="00DC1065"/>
    <w:rsid w:val="00DC6D51"/>
    <w:rsid w:val="00DD0022"/>
    <w:rsid w:val="00DD0FC3"/>
    <w:rsid w:val="00DD394F"/>
    <w:rsid w:val="00DD59F7"/>
    <w:rsid w:val="00DD648C"/>
    <w:rsid w:val="00DE6CA8"/>
    <w:rsid w:val="00DE74FC"/>
    <w:rsid w:val="00DF1310"/>
    <w:rsid w:val="00DF18FC"/>
    <w:rsid w:val="00DF49E7"/>
    <w:rsid w:val="00DF4A52"/>
    <w:rsid w:val="00DF526E"/>
    <w:rsid w:val="00E07986"/>
    <w:rsid w:val="00E113C1"/>
    <w:rsid w:val="00E11671"/>
    <w:rsid w:val="00E21511"/>
    <w:rsid w:val="00E3107B"/>
    <w:rsid w:val="00E3154D"/>
    <w:rsid w:val="00E327E4"/>
    <w:rsid w:val="00E3673B"/>
    <w:rsid w:val="00E42555"/>
    <w:rsid w:val="00E5050D"/>
    <w:rsid w:val="00E52B90"/>
    <w:rsid w:val="00E52D3D"/>
    <w:rsid w:val="00E543E8"/>
    <w:rsid w:val="00E561DF"/>
    <w:rsid w:val="00E574F5"/>
    <w:rsid w:val="00E60A69"/>
    <w:rsid w:val="00E6246A"/>
    <w:rsid w:val="00E6314D"/>
    <w:rsid w:val="00E64E3A"/>
    <w:rsid w:val="00E65499"/>
    <w:rsid w:val="00E656C8"/>
    <w:rsid w:val="00E66FB1"/>
    <w:rsid w:val="00E67260"/>
    <w:rsid w:val="00E73168"/>
    <w:rsid w:val="00E73B91"/>
    <w:rsid w:val="00E83BC4"/>
    <w:rsid w:val="00E91AB4"/>
    <w:rsid w:val="00E926F7"/>
    <w:rsid w:val="00EA38F3"/>
    <w:rsid w:val="00EA6BDB"/>
    <w:rsid w:val="00EB154A"/>
    <w:rsid w:val="00ED2BAA"/>
    <w:rsid w:val="00ED597D"/>
    <w:rsid w:val="00EE0EB9"/>
    <w:rsid w:val="00EE15B2"/>
    <w:rsid w:val="00EE3D7F"/>
    <w:rsid w:val="00EE6CA0"/>
    <w:rsid w:val="00EF1F4F"/>
    <w:rsid w:val="00EF3361"/>
    <w:rsid w:val="00EF4994"/>
    <w:rsid w:val="00EF604C"/>
    <w:rsid w:val="00F0333F"/>
    <w:rsid w:val="00F15220"/>
    <w:rsid w:val="00F16653"/>
    <w:rsid w:val="00F249C9"/>
    <w:rsid w:val="00F27B92"/>
    <w:rsid w:val="00F3449D"/>
    <w:rsid w:val="00F460CA"/>
    <w:rsid w:val="00F54437"/>
    <w:rsid w:val="00F56E27"/>
    <w:rsid w:val="00F573BE"/>
    <w:rsid w:val="00F61D8C"/>
    <w:rsid w:val="00F64739"/>
    <w:rsid w:val="00F6511C"/>
    <w:rsid w:val="00F65C56"/>
    <w:rsid w:val="00F72F2B"/>
    <w:rsid w:val="00F75A71"/>
    <w:rsid w:val="00F763F7"/>
    <w:rsid w:val="00F76A1F"/>
    <w:rsid w:val="00F778D9"/>
    <w:rsid w:val="00F8490B"/>
    <w:rsid w:val="00F852BC"/>
    <w:rsid w:val="00F859B6"/>
    <w:rsid w:val="00F85DAD"/>
    <w:rsid w:val="00FA0738"/>
    <w:rsid w:val="00FA12F3"/>
    <w:rsid w:val="00FA4C29"/>
    <w:rsid w:val="00FB128C"/>
    <w:rsid w:val="00FC1AF5"/>
    <w:rsid w:val="00FC3FF4"/>
    <w:rsid w:val="00FD05EA"/>
    <w:rsid w:val="00FD5803"/>
    <w:rsid w:val="00FE58C3"/>
    <w:rsid w:val="00FE7415"/>
    <w:rsid w:val="00FF37CD"/>
    <w:rsid w:val="00FF38FD"/>
    <w:rsid w:val="00FF5A54"/>
    <w:rsid w:val="00FF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879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49"/>
    <w:rPr>
      <w:sz w:val="24"/>
      <w:szCs w:val="24"/>
    </w:rPr>
  </w:style>
  <w:style w:type="paragraph" w:styleId="Heading1">
    <w:name w:val="heading 1"/>
    <w:basedOn w:val="Normal"/>
    <w:next w:val="Normal"/>
    <w:link w:val="Heading1Char"/>
    <w:qFormat/>
    <w:rsid w:val="00C50009"/>
    <w:pPr>
      <w:keepNext/>
      <w:outlineLvl w:val="0"/>
    </w:pPr>
    <w:rPr>
      <w:rFonts w:cs="Arial"/>
      <w:b/>
      <w:bCs/>
      <w:kern w:val="32"/>
      <w:szCs w:val="32"/>
      <w:u w:val="single"/>
    </w:rPr>
  </w:style>
  <w:style w:type="paragraph" w:styleId="Heading2">
    <w:name w:val="heading 2"/>
    <w:basedOn w:val="Normal"/>
    <w:next w:val="Normal"/>
    <w:link w:val="Heading2Char"/>
    <w:qFormat/>
    <w:rsid w:val="009B431C"/>
    <w:pPr>
      <w:keepNext/>
      <w:outlineLvl w:val="1"/>
    </w:pPr>
    <w:rPr>
      <w:rFonts w:cs="Arial"/>
      <w:bCs/>
      <w:iCs/>
      <w:szCs w:val="28"/>
      <w:u w:val="single"/>
    </w:rPr>
  </w:style>
  <w:style w:type="paragraph" w:styleId="Heading3">
    <w:name w:val="heading 3"/>
    <w:basedOn w:val="Normal"/>
    <w:next w:val="Normal"/>
    <w:qFormat/>
    <w:rsid w:val="009B431C"/>
    <w:pPr>
      <w:keepNext/>
      <w:ind w:left="72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D59F7"/>
    <w:rPr>
      <w:b/>
      <w:bCs/>
    </w:rPr>
  </w:style>
  <w:style w:type="paragraph" w:styleId="NormalWeb">
    <w:name w:val="Normal (Web)"/>
    <w:basedOn w:val="Normal"/>
    <w:rsid w:val="009B0662"/>
    <w:pPr>
      <w:spacing w:before="100" w:beforeAutospacing="1" w:after="100" w:afterAutospacing="1"/>
    </w:pPr>
    <w:rPr>
      <w:color w:val="000000"/>
    </w:rPr>
  </w:style>
  <w:style w:type="paragraph" w:customStyle="1" w:styleId="Level1">
    <w:name w:val="Level 1"/>
    <w:rsid w:val="00A90CEC"/>
    <w:pPr>
      <w:autoSpaceDE w:val="0"/>
      <w:autoSpaceDN w:val="0"/>
      <w:adjustRightInd w:val="0"/>
      <w:ind w:left="720"/>
    </w:pPr>
    <w:rPr>
      <w:sz w:val="24"/>
      <w:szCs w:val="24"/>
    </w:rPr>
  </w:style>
  <w:style w:type="paragraph" w:customStyle="1" w:styleId="Cl">
    <w:name w:val="Cl"/>
    <w:basedOn w:val="Normal"/>
    <w:rsid w:val="007A62DF"/>
  </w:style>
  <w:style w:type="paragraph" w:customStyle="1" w:styleId="Clear">
    <w:name w:val="Clear"/>
    <w:basedOn w:val="Cl"/>
    <w:rsid w:val="002D6475"/>
    <w:rPr>
      <w:lang w:val="en-CA"/>
    </w:rPr>
  </w:style>
  <w:style w:type="paragraph" w:styleId="Header">
    <w:name w:val="header"/>
    <w:basedOn w:val="Normal"/>
    <w:rsid w:val="00DF526E"/>
    <w:pPr>
      <w:tabs>
        <w:tab w:val="center" w:pos="4320"/>
        <w:tab w:val="right" w:pos="8640"/>
      </w:tabs>
    </w:pPr>
  </w:style>
  <w:style w:type="paragraph" w:styleId="Footer">
    <w:name w:val="footer"/>
    <w:basedOn w:val="Normal"/>
    <w:link w:val="FooterChar"/>
    <w:uiPriority w:val="99"/>
    <w:rsid w:val="00DF526E"/>
    <w:pPr>
      <w:tabs>
        <w:tab w:val="center" w:pos="4320"/>
        <w:tab w:val="right" w:pos="8640"/>
      </w:tabs>
    </w:pPr>
  </w:style>
  <w:style w:type="character" w:styleId="PageNumber">
    <w:name w:val="page number"/>
    <w:basedOn w:val="DefaultParagraphFont"/>
    <w:rsid w:val="00AC6FE9"/>
  </w:style>
  <w:style w:type="character" w:styleId="CommentReference">
    <w:name w:val="annotation reference"/>
    <w:basedOn w:val="DefaultParagraphFont"/>
    <w:semiHidden/>
    <w:rsid w:val="006264F1"/>
    <w:rPr>
      <w:sz w:val="16"/>
      <w:szCs w:val="16"/>
    </w:rPr>
  </w:style>
  <w:style w:type="paragraph" w:styleId="CommentText">
    <w:name w:val="annotation text"/>
    <w:basedOn w:val="Normal"/>
    <w:semiHidden/>
    <w:rsid w:val="006264F1"/>
    <w:rPr>
      <w:sz w:val="20"/>
      <w:szCs w:val="20"/>
    </w:rPr>
  </w:style>
  <w:style w:type="paragraph" w:styleId="CommentSubject">
    <w:name w:val="annotation subject"/>
    <w:basedOn w:val="CommentText"/>
    <w:next w:val="CommentText"/>
    <w:semiHidden/>
    <w:rsid w:val="006264F1"/>
    <w:rPr>
      <w:b/>
      <w:bCs/>
    </w:rPr>
  </w:style>
  <w:style w:type="paragraph" w:styleId="BalloonText">
    <w:name w:val="Balloon Text"/>
    <w:basedOn w:val="Normal"/>
    <w:semiHidden/>
    <w:rsid w:val="006264F1"/>
    <w:rPr>
      <w:rFonts w:ascii="Tahoma" w:hAnsi="Tahoma" w:cs="Tahoma"/>
      <w:sz w:val="16"/>
      <w:szCs w:val="16"/>
    </w:rPr>
  </w:style>
  <w:style w:type="character" w:styleId="Hyperlink">
    <w:name w:val="Hyperlink"/>
    <w:basedOn w:val="DefaultParagraphFont"/>
    <w:rsid w:val="006264F1"/>
    <w:rPr>
      <w:color w:val="0000FF"/>
      <w:u w:val="single"/>
    </w:rPr>
  </w:style>
  <w:style w:type="table" w:styleId="TableGrid">
    <w:name w:val="Table Grid"/>
    <w:basedOn w:val="TableNormal"/>
    <w:rsid w:val="00761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old">
    <w:name w:val="Style Heading 1 + Bold"/>
    <w:basedOn w:val="Heading1"/>
    <w:link w:val="StyleHeading1BoldChar"/>
    <w:rsid w:val="009B431C"/>
    <w:rPr>
      <w:b w:val="0"/>
    </w:rPr>
  </w:style>
  <w:style w:type="character" w:customStyle="1" w:styleId="Heading2Char">
    <w:name w:val="Heading 2 Char"/>
    <w:basedOn w:val="DefaultParagraphFont"/>
    <w:link w:val="Heading2"/>
    <w:rsid w:val="009B431C"/>
    <w:rPr>
      <w:rFonts w:cs="Arial"/>
      <w:bCs/>
      <w:iCs/>
      <w:sz w:val="24"/>
      <w:szCs w:val="28"/>
      <w:u w:val="single"/>
      <w:lang w:val="en-US" w:eastAsia="en-US" w:bidi="ar-SA"/>
    </w:rPr>
  </w:style>
  <w:style w:type="character" w:customStyle="1" w:styleId="Heading1Char">
    <w:name w:val="Heading 1 Char"/>
    <w:basedOn w:val="DefaultParagraphFont"/>
    <w:link w:val="Heading1"/>
    <w:rsid w:val="00C50009"/>
    <w:rPr>
      <w:rFonts w:cs="Arial"/>
      <w:b/>
      <w:bCs/>
      <w:kern w:val="32"/>
      <w:sz w:val="24"/>
      <w:szCs w:val="32"/>
      <w:u w:val="single"/>
      <w:lang w:val="en-US" w:eastAsia="en-US" w:bidi="ar-SA"/>
    </w:rPr>
  </w:style>
  <w:style w:type="character" w:customStyle="1" w:styleId="StyleHeading1BoldChar">
    <w:name w:val="Style Heading 1 + Bold Char"/>
    <w:basedOn w:val="Heading1Char"/>
    <w:link w:val="StyleHeading1Bold"/>
    <w:rsid w:val="009B431C"/>
    <w:rPr>
      <w:rFonts w:cs="Arial"/>
      <w:b/>
      <w:bCs/>
      <w:kern w:val="32"/>
      <w:sz w:val="24"/>
      <w:szCs w:val="32"/>
      <w:u w:val="single"/>
      <w:lang w:val="en-US" w:eastAsia="en-US" w:bidi="ar-SA"/>
    </w:rPr>
  </w:style>
  <w:style w:type="paragraph" w:customStyle="1" w:styleId="StyleHeading3Bold">
    <w:name w:val="Style Heading 3 + Bold"/>
    <w:basedOn w:val="Heading3"/>
    <w:rsid w:val="009B431C"/>
  </w:style>
  <w:style w:type="paragraph" w:customStyle="1" w:styleId="StyleHeading1Nounderline">
    <w:name w:val="Style Heading 1 + No underline"/>
    <w:basedOn w:val="Heading1"/>
    <w:link w:val="StyleHeading1NounderlineChar"/>
    <w:rsid w:val="00C50009"/>
    <w:rPr>
      <w:bCs w:val="0"/>
      <w:u w:val="none"/>
    </w:rPr>
  </w:style>
  <w:style w:type="character" w:customStyle="1" w:styleId="StyleHeading1NounderlineChar">
    <w:name w:val="Style Heading 1 + No underline Char"/>
    <w:basedOn w:val="Heading1Char"/>
    <w:link w:val="StyleHeading1Nounderline"/>
    <w:rsid w:val="00C50009"/>
    <w:rPr>
      <w:rFonts w:cs="Arial"/>
      <w:b/>
      <w:bCs/>
      <w:kern w:val="32"/>
      <w:sz w:val="24"/>
      <w:szCs w:val="32"/>
      <w:u w:val="single"/>
      <w:lang w:val="en-US" w:eastAsia="en-US" w:bidi="ar-SA"/>
    </w:rPr>
  </w:style>
  <w:style w:type="paragraph" w:styleId="DocumentMap">
    <w:name w:val="Document Map"/>
    <w:basedOn w:val="Normal"/>
    <w:semiHidden/>
    <w:rsid w:val="00FF63F9"/>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0A04CE"/>
    <w:rPr>
      <w:sz w:val="24"/>
      <w:szCs w:val="24"/>
    </w:rPr>
  </w:style>
  <w:style w:type="character" w:styleId="Emphasis">
    <w:name w:val="Emphasis"/>
    <w:basedOn w:val="DefaultParagraphFont"/>
    <w:qFormat/>
    <w:rsid w:val="00EF4994"/>
    <w:rPr>
      <w:i/>
      <w:iCs/>
    </w:rPr>
  </w:style>
  <w:style w:type="character" w:customStyle="1" w:styleId="WPHyperlink">
    <w:name w:val="WP_Hyperlink"/>
    <w:basedOn w:val="DefaultParagraphFont"/>
    <w:rsid w:val="00253B90"/>
    <w:rPr>
      <w:color w:val="0000FF"/>
      <w:u w:val="single"/>
    </w:rPr>
  </w:style>
  <w:style w:type="paragraph" w:styleId="FootnoteText">
    <w:name w:val="footnote text"/>
    <w:basedOn w:val="Normal"/>
    <w:link w:val="FootnoteTextChar"/>
    <w:rsid w:val="00595D50"/>
    <w:rPr>
      <w:sz w:val="20"/>
      <w:szCs w:val="20"/>
    </w:rPr>
  </w:style>
  <w:style w:type="character" w:customStyle="1" w:styleId="FootnoteTextChar">
    <w:name w:val="Footnote Text Char"/>
    <w:basedOn w:val="DefaultParagraphFont"/>
    <w:link w:val="FootnoteText"/>
    <w:rsid w:val="00595D50"/>
  </w:style>
  <w:style w:type="character" w:styleId="FootnoteReference">
    <w:name w:val="footnote reference"/>
    <w:basedOn w:val="DefaultParagraphFont"/>
    <w:rsid w:val="00595D50"/>
    <w:rPr>
      <w:vertAlign w:val="superscript"/>
    </w:rPr>
  </w:style>
  <w:style w:type="character" w:styleId="FollowedHyperlink">
    <w:name w:val="FollowedHyperlink"/>
    <w:basedOn w:val="DefaultParagraphFont"/>
    <w:semiHidden/>
    <w:unhideWhenUsed/>
    <w:rsid w:val="00B620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49"/>
    <w:rPr>
      <w:sz w:val="24"/>
      <w:szCs w:val="24"/>
    </w:rPr>
  </w:style>
  <w:style w:type="paragraph" w:styleId="Heading1">
    <w:name w:val="heading 1"/>
    <w:basedOn w:val="Normal"/>
    <w:next w:val="Normal"/>
    <w:link w:val="Heading1Char"/>
    <w:qFormat/>
    <w:rsid w:val="00C50009"/>
    <w:pPr>
      <w:keepNext/>
      <w:outlineLvl w:val="0"/>
    </w:pPr>
    <w:rPr>
      <w:rFonts w:cs="Arial"/>
      <w:b/>
      <w:bCs/>
      <w:kern w:val="32"/>
      <w:szCs w:val="32"/>
      <w:u w:val="single"/>
    </w:rPr>
  </w:style>
  <w:style w:type="paragraph" w:styleId="Heading2">
    <w:name w:val="heading 2"/>
    <w:basedOn w:val="Normal"/>
    <w:next w:val="Normal"/>
    <w:link w:val="Heading2Char"/>
    <w:qFormat/>
    <w:rsid w:val="009B431C"/>
    <w:pPr>
      <w:keepNext/>
      <w:outlineLvl w:val="1"/>
    </w:pPr>
    <w:rPr>
      <w:rFonts w:cs="Arial"/>
      <w:bCs/>
      <w:iCs/>
      <w:szCs w:val="28"/>
      <w:u w:val="single"/>
    </w:rPr>
  </w:style>
  <w:style w:type="paragraph" w:styleId="Heading3">
    <w:name w:val="heading 3"/>
    <w:basedOn w:val="Normal"/>
    <w:next w:val="Normal"/>
    <w:qFormat/>
    <w:rsid w:val="009B431C"/>
    <w:pPr>
      <w:keepNext/>
      <w:ind w:left="72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D59F7"/>
    <w:rPr>
      <w:b/>
      <w:bCs/>
    </w:rPr>
  </w:style>
  <w:style w:type="paragraph" w:styleId="NormalWeb">
    <w:name w:val="Normal (Web)"/>
    <w:basedOn w:val="Normal"/>
    <w:rsid w:val="009B0662"/>
    <w:pPr>
      <w:spacing w:before="100" w:beforeAutospacing="1" w:after="100" w:afterAutospacing="1"/>
    </w:pPr>
    <w:rPr>
      <w:color w:val="000000"/>
    </w:rPr>
  </w:style>
  <w:style w:type="paragraph" w:customStyle="1" w:styleId="Level1">
    <w:name w:val="Level 1"/>
    <w:rsid w:val="00A90CEC"/>
    <w:pPr>
      <w:autoSpaceDE w:val="0"/>
      <w:autoSpaceDN w:val="0"/>
      <w:adjustRightInd w:val="0"/>
      <w:ind w:left="720"/>
    </w:pPr>
    <w:rPr>
      <w:sz w:val="24"/>
      <w:szCs w:val="24"/>
    </w:rPr>
  </w:style>
  <w:style w:type="paragraph" w:customStyle="1" w:styleId="Cl">
    <w:name w:val="Cl"/>
    <w:basedOn w:val="Normal"/>
    <w:rsid w:val="007A62DF"/>
  </w:style>
  <w:style w:type="paragraph" w:customStyle="1" w:styleId="Clear">
    <w:name w:val="Clear"/>
    <w:basedOn w:val="Cl"/>
    <w:rsid w:val="002D6475"/>
    <w:rPr>
      <w:lang w:val="en-CA"/>
    </w:rPr>
  </w:style>
  <w:style w:type="paragraph" w:styleId="Header">
    <w:name w:val="header"/>
    <w:basedOn w:val="Normal"/>
    <w:rsid w:val="00DF526E"/>
    <w:pPr>
      <w:tabs>
        <w:tab w:val="center" w:pos="4320"/>
        <w:tab w:val="right" w:pos="8640"/>
      </w:tabs>
    </w:pPr>
  </w:style>
  <w:style w:type="paragraph" w:styleId="Footer">
    <w:name w:val="footer"/>
    <w:basedOn w:val="Normal"/>
    <w:link w:val="FooterChar"/>
    <w:uiPriority w:val="99"/>
    <w:rsid w:val="00DF526E"/>
    <w:pPr>
      <w:tabs>
        <w:tab w:val="center" w:pos="4320"/>
        <w:tab w:val="right" w:pos="8640"/>
      </w:tabs>
    </w:pPr>
  </w:style>
  <w:style w:type="character" w:styleId="PageNumber">
    <w:name w:val="page number"/>
    <w:basedOn w:val="DefaultParagraphFont"/>
    <w:rsid w:val="00AC6FE9"/>
  </w:style>
  <w:style w:type="character" w:styleId="CommentReference">
    <w:name w:val="annotation reference"/>
    <w:basedOn w:val="DefaultParagraphFont"/>
    <w:semiHidden/>
    <w:rsid w:val="006264F1"/>
    <w:rPr>
      <w:sz w:val="16"/>
      <w:szCs w:val="16"/>
    </w:rPr>
  </w:style>
  <w:style w:type="paragraph" w:styleId="CommentText">
    <w:name w:val="annotation text"/>
    <w:basedOn w:val="Normal"/>
    <w:semiHidden/>
    <w:rsid w:val="006264F1"/>
    <w:rPr>
      <w:sz w:val="20"/>
      <w:szCs w:val="20"/>
    </w:rPr>
  </w:style>
  <w:style w:type="paragraph" w:styleId="CommentSubject">
    <w:name w:val="annotation subject"/>
    <w:basedOn w:val="CommentText"/>
    <w:next w:val="CommentText"/>
    <w:semiHidden/>
    <w:rsid w:val="006264F1"/>
    <w:rPr>
      <w:b/>
      <w:bCs/>
    </w:rPr>
  </w:style>
  <w:style w:type="paragraph" w:styleId="BalloonText">
    <w:name w:val="Balloon Text"/>
    <w:basedOn w:val="Normal"/>
    <w:semiHidden/>
    <w:rsid w:val="006264F1"/>
    <w:rPr>
      <w:rFonts w:ascii="Tahoma" w:hAnsi="Tahoma" w:cs="Tahoma"/>
      <w:sz w:val="16"/>
      <w:szCs w:val="16"/>
    </w:rPr>
  </w:style>
  <w:style w:type="character" w:styleId="Hyperlink">
    <w:name w:val="Hyperlink"/>
    <w:basedOn w:val="DefaultParagraphFont"/>
    <w:rsid w:val="006264F1"/>
    <w:rPr>
      <w:color w:val="0000FF"/>
      <w:u w:val="single"/>
    </w:rPr>
  </w:style>
  <w:style w:type="table" w:styleId="TableGrid">
    <w:name w:val="Table Grid"/>
    <w:basedOn w:val="TableNormal"/>
    <w:rsid w:val="00761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old">
    <w:name w:val="Style Heading 1 + Bold"/>
    <w:basedOn w:val="Heading1"/>
    <w:link w:val="StyleHeading1BoldChar"/>
    <w:rsid w:val="009B431C"/>
    <w:rPr>
      <w:b w:val="0"/>
    </w:rPr>
  </w:style>
  <w:style w:type="character" w:customStyle="1" w:styleId="Heading2Char">
    <w:name w:val="Heading 2 Char"/>
    <w:basedOn w:val="DefaultParagraphFont"/>
    <w:link w:val="Heading2"/>
    <w:rsid w:val="009B431C"/>
    <w:rPr>
      <w:rFonts w:cs="Arial"/>
      <w:bCs/>
      <w:iCs/>
      <w:sz w:val="24"/>
      <w:szCs w:val="28"/>
      <w:u w:val="single"/>
      <w:lang w:val="en-US" w:eastAsia="en-US" w:bidi="ar-SA"/>
    </w:rPr>
  </w:style>
  <w:style w:type="character" w:customStyle="1" w:styleId="Heading1Char">
    <w:name w:val="Heading 1 Char"/>
    <w:basedOn w:val="DefaultParagraphFont"/>
    <w:link w:val="Heading1"/>
    <w:rsid w:val="00C50009"/>
    <w:rPr>
      <w:rFonts w:cs="Arial"/>
      <w:b/>
      <w:bCs/>
      <w:kern w:val="32"/>
      <w:sz w:val="24"/>
      <w:szCs w:val="32"/>
      <w:u w:val="single"/>
      <w:lang w:val="en-US" w:eastAsia="en-US" w:bidi="ar-SA"/>
    </w:rPr>
  </w:style>
  <w:style w:type="character" w:customStyle="1" w:styleId="StyleHeading1BoldChar">
    <w:name w:val="Style Heading 1 + Bold Char"/>
    <w:basedOn w:val="Heading1Char"/>
    <w:link w:val="StyleHeading1Bold"/>
    <w:rsid w:val="009B431C"/>
    <w:rPr>
      <w:rFonts w:cs="Arial"/>
      <w:b/>
      <w:bCs/>
      <w:kern w:val="32"/>
      <w:sz w:val="24"/>
      <w:szCs w:val="32"/>
      <w:u w:val="single"/>
      <w:lang w:val="en-US" w:eastAsia="en-US" w:bidi="ar-SA"/>
    </w:rPr>
  </w:style>
  <w:style w:type="paragraph" w:customStyle="1" w:styleId="StyleHeading3Bold">
    <w:name w:val="Style Heading 3 + Bold"/>
    <w:basedOn w:val="Heading3"/>
    <w:rsid w:val="009B431C"/>
  </w:style>
  <w:style w:type="paragraph" w:customStyle="1" w:styleId="StyleHeading1Nounderline">
    <w:name w:val="Style Heading 1 + No underline"/>
    <w:basedOn w:val="Heading1"/>
    <w:link w:val="StyleHeading1NounderlineChar"/>
    <w:rsid w:val="00C50009"/>
    <w:rPr>
      <w:bCs w:val="0"/>
      <w:u w:val="none"/>
    </w:rPr>
  </w:style>
  <w:style w:type="character" w:customStyle="1" w:styleId="StyleHeading1NounderlineChar">
    <w:name w:val="Style Heading 1 + No underline Char"/>
    <w:basedOn w:val="Heading1Char"/>
    <w:link w:val="StyleHeading1Nounderline"/>
    <w:rsid w:val="00C50009"/>
    <w:rPr>
      <w:rFonts w:cs="Arial"/>
      <w:b/>
      <w:bCs/>
      <w:kern w:val="32"/>
      <w:sz w:val="24"/>
      <w:szCs w:val="32"/>
      <w:u w:val="single"/>
      <w:lang w:val="en-US" w:eastAsia="en-US" w:bidi="ar-SA"/>
    </w:rPr>
  </w:style>
  <w:style w:type="paragraph" w:styleId="DocumentMap">
    <w:name w:val="Document Map"/>
    <w:basedOn w:val="Normal"/>
    <w:semiHidden/>
    <w:rsid w:val="00FF63F9"/>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0A04CE"/>
    <w:rPr>
      <w:sz w:val="24"/>
      <w:szCs w:val="24"/>
    </w:rPr>
  </w:style>
  <w:style w:type="character" w:styleId="Emphasis">
    <w:name w:val="Emphasis"/>
    <w:basedOn w:val="DefaultParagraphFont"/>
    <w:qFormat/>
    <w:rsid w:val="00EF4994"/>
    <w:rPr>
      <w:i/>
      <w:iCs/>
    </w:rPr>
  </w:style>
  <w:style w:type="character" w:customStyle="1" w:styleId="WPHyperlink">
    <w:name w:val="WP_Hyperlink"/>
    <w:basedOn w:val="DefaultParagraphFont"/>
    <w:rsid w:val="00253B90"/>
    <w:rPr>
      <w:color w:val="0000FF"/>
      <w:u w:val="single"/>
    </w:rPr>
  </w:style>
  <w:style w:type="paragraph" w:styleId="FootnoteText">
    <w:name w:val="footnote text"/>
    <w:basedOn w:val="Normal"/>
    <w:link w:val="FootnoteTextChar"/>
    <w:rsid w:val="00595D50"/>
    <w:rPr>
      <w:sz w:val="20"/>
      <w:szCs w:val="20"/>
    </w:rPr>
  </w:style>
  <w:style w:type="character" w:customStyle="1" w:styleId="FootnoteTextChar">
    <w:name w:val="Footnote Text Char"/>
    <w:basedOn w:val="DefaultParagraphFont"/>
    <w:link w:val="FootnoteText"/>
    <w:rsid w:val="00595D50"/>
  </w:style>
  <w:style w:type="character" w:styleId="FootnoteReference">
    <w:name w:val="footnote reference"/>
    <w:basedOn w:val="DefaultParagraphFont"/>
    <w:rsid w:val="00595D50"/>
    <w:rPr>
      <w:vertAlign w:val="superscript"/>
    </w:rPr>
  </w:style>
  <w:style w:type="character" w:styleId="FollowedHyperlink">
    <w:name w:val="FollowedHyperlink"/>
    <w:basedOn w:val="DefaultParagraphFont"/>
    <w:semiHidden/>
    <w:unhideWhenUsed/>
    <w:rsid w:val="00B620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4160">
      <w:bodyDiv w:val="1"/>
      <w:marLeft w:val="0"/>
      <w:marRight w:val="0"/>
      <w:marTop w:val="0"/>
      <w:marBottom w:val="0"/>
      <w:divBdr>
        <w:top w:val="none" w:sz="0" w:space="0" w:color="auto"/>
        <w:left w:val="none" w:sz="0" w:space="0" w:color="auto"/>
        <w:bottom w:val="none" w:sz="0" w:space="0" w:color="auto"/>
        <w:right w:val="none" w:sz="0" w:space="0" w:color="auto"/>
      </w:divBdr>
    </w:div>
    <w:div w:id="56975457">
      <w:bodyDiv w:val="1"/>
      <w:marLeft w:val="0"/>
      <w:marRight w:val="0"/>
      <w:marTop w:val="0"/>
      <w:marBottom w:val="0"/>
      <w:divBdr>
        <w:top w:val="none" w:sz="0" w:space="0" w:color="auto"/>
        <w:left w:val="none" w:sz="0" w:space="0" w:color="auto"/>
        <w:bottom w:val="none" w:sz="0" w:space="0" w:color="auto"/>
        <w:right w:val="none" w:sz="0" w:space="0" w:color="auto"/>
      </w:divBdr>
    </w:div>
    <w:div w:id="65997239">
      <w:bodyDiv w:val="1"/>
      <w:marLeft w:val="0"/>
      <w:marRight w:val="0"/>
      <w:marTop w:val="0"/>
      <w:marBottom w:val="0"/>
      <w:divBdr>
        <w:top w:val="none" w:sz="0" w:space="0" w:color="auto"/>
        <w:left w:val="none" w:sz="0" w:space="0" w:color="auto"/>
        <w:bottom w:val="none" w:sz="0" w:space="0" w:color="auto"/>
        <w:right w:val="none" w:sz="0" w:space="0" w:color="auto"/>
      </w:divBdr>
    </w:div>
    <w:div w:id="78141952">
      <w:bodyDiv w:val="1"/>
      <w:marLeft w:val="0"/>
      <w:marRight w:val="0"/>
      <w:marTop w:val="0"/>
      <w:marBottom w:val="0"/>
      <w:divBdr>
        <w:top w:val="none" w:sz="0" w:space="0" w:color="auto"/>
        <w:left w:val="none" w:sz="0" w:space="0" w:color="auto"/>
        <w:bottom w:val="none" w:sz="0" w:space="0" w:color="auto"/>
        <w:right w:val="none" w:sz="0" w:space="0" w:color="auto"/>
      </w:divBdr>
    </w:div>
    <w:div w:id="280503970">
      <w:bodyDiv w:val="1"/>
      <w:marLeft w:val="0"/>
      <w:marRight w:val="0"/>
      <w:marTop w:val="0"/>
      <w:marBottom w:val="0"/>
      <w:divBdr>
        <w:top w:val="none" w:sz="0" w:space="0" w:color="auto"/>
        <w:left w:val="none" w:sz="0" w:space="0" w:color="auto"/>
        <w:bottom w:val="none" w:sz="0" w:space="0" w:color="auto"/>
        <w:right w:val="none" w:sz="0" w:space="0" w:color="auto"/>
      </w:divBdr>
      <w:divsChild>
        <w:div w:id="1922640799">
          <w:marLeft w:val="0"/>
          <w:marRight w:val="0"/>
          <w:marTop w:val="0"/>
          <w:marBottom w:val="0"/>
          <w:divBdr>
            <w:top w:val="none" w:sz="0" w:space="0" w:color="auto"/>
            <w:left w:val="none" w:sz="0" w:space="0" w:color="auto"/>
            <w:bottom w:val="none" w:sz="0" w:space="0" w:color="auto"/>
            <w:right w:val="none" w:sz="0" w:space="0" w:color="auto"/>
          </w:divBdr>
          <w:divsChild>
            <w:div w:id="1797404509">
              <w:marLeft w:val="0"/>
              <w:marRight w:val="0"/>
              <w:marTop w:val="0"/>
              <w:marBottom w:val="0"/>
              <w:divBdr>
                <w:top w:val="single" w:sz="6" w:space="0" w:color="999999"/>
                <w:left w:val="single" w:sz="6" w:space="0" w:color="999999"/>
                <w:bottom w:val="none" w:sz="0" w:space="0" w:color="auto"/>
                <w:right w:val="single" w:sz="6" w:space="0" w:color="999999"/>
              </w:divBdr>
              <w:divsChild>
                <w:div w:id="1754668397">
                  <w:marLeft w:val="0"/>
                  <w:marRight w:val="0"/>
                  <w:marTop w:val="0"/>
                  <w:marBottom w:val="0"/>
                  <w:divBdr>
                    <w:top w:val="single" w:sz="6" w:space="3" w:color="666666"/>
                    <w:left w:val="single" w:sz="6" w:space="0" w:color="666666"/>
                    <w:bottom w:val="none" w:sz="0" w:space="0" w:color="auto"/>
                    <w:right w:val="single" w:sz="6" w:space="0" w:color="666666"/>
                  </w:divBdr>
                  <w:divsChild>
                    <w:div w:id="1154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656812">
      <w:bodyDiv w:val="1"/>
      <w:marLeft w:val="0"/>
      <w:marRight w:val="0"/>
      <w:marTop w:val="0"/>
      <w:marBottom w:val="0"/>
      <w:divBdr>
        <w:top w:val="none" w:sz="0" w:space="0" w:color="auto"/>
        <w:left w:val="none" w:sz="0" w:space="0" w:color="auto"/>
        <w:bottom w:val="none" w:sz="0" w:space="0" w:color="auto"/>
        <w:right w:val="none" w:sz="0" w:space="0" w:color="auto"/>
      </w:divBdr>
    </w:div>
    <w:div w:id="490298843">
      <w:bodyDiv w:val="1"/>
      <w:marLeft w:val="0"/>
      <w:marRight w:val="0"/>
      <w:marTop w:val="0"/>
      <w:marBottom w:val="0"/>
      <w:divBdr>
        <w:top w:val="none" w:sz="0" w:space="0" w:color="auto"/>
        <w:left w:val="none" w:sz="0" w:space="0" w:color="auto"/>
        <w:bottom w:val="none" w:sz="0" w:space="0" w:color="auto"/>
        <w:right w:val="none" w:sz="0" w:space="0" w:color="auto"/>
      </w:divBdr>
    </w:div>
    <w:div w:id="537742984">
      <w:bodyDiv w:val="1"/>
      <w:marLeft w:val="0"/>
      <w:marRight w:val="0"/>
      <w:marTop w:val="0"/>
      <w:marBottom w:val="0"/>
      <w:divBdr>
        <w:top w:val="none" w:sz="0" w:space="0" w:color="auto"/>
        <w:left w:val="none" w:sz="0" w:space="0" w:color="auto"/>
        <w:bottom w:val="none" w:sz="0" w:space="0" w:color="auto"/>
        <w:right w:val="none" w:sz="0" w:space="0" w:color="auto"/>
      </w:divBdr>
    </w:div>
    <w:div w:id="619995140">
      <w:bodyDiv w:val="1"/>
      <w:marLeft w:val="0"/>
      <w:marRight w:val="0"/>
      <w:marTop w:val="0"/>
      <w:marBottom w:val="0"/>
      <w:divBdr>
        <w:top w:val="none" w:sz="0" w:space="0" w:color="auto"/>
        <w:left w:val="none" w:sz="0" w:space="0" w:color="auto"/>
        <w:bottom w:val="none" w:sz="0" w:space="0" w:color="auto"/>
        <w:right w:val="none" w:sz="0" w:space="0" w:color="auto"/>
      </w:divBdr>
    </w:div>
    <w:div w:id="680476978">
      <w:bodyDiv w:val="1"/>
      <w:marLeft w:val="0"/>
      <w:marRight w:val="0"/>
      <w:marTop w:val="0"/>
      <w:marBottom w:val="0"/>
      <w:divBdr>
        <w:top w:val="none" w:sz="0" w:space="0" w:color="auto"/>
        <w:left w:val="none" w:sz="0" w:space="0" w:color="auto"/>
        <w:bottom w:val="none" w:sz="0" w:space="0" w:color="auto"/>
        <w:right w:val="none" w:sz="0" w:space="0" w:color="auto"/>
      </w:divBdr>
    </w:div>
    <w:div w:id="687951673">
      <w:bodyDiv w:val="1"/>
      <w:marLeft w:val="0"/>
      <w:marRight w:val="0"/>
      <w:marTop w:val="0"/>
      <w:marBottom w:val="0"/>
      <w:divBdr>
        <w:top w:val="none" w:sz="0" w:space="0" w:color="auto"/>
        <w:left w:val="none" w:sz="0" w:space="0" w:color="auto"/>
        <w:bottom w:val="none" w:sz="0" w:space="0" w:color="auto"/>
        <w:right w:val="none" w:sz="0" w:space="0" w:color="auto"/>
      </w:divBdr>
    </w:div>
    <w:div w:id="763182505">
      <w:bodyDiv w:val="1"/>
      <w:marLeft w:val="0"/>
      <w:marRight w:val="0"/>
      <w:marTop w:val="0"/>
      <w:marBottom w:val="0"/>
      <w:divBdr>
        <w:top w:val="none" w:sz="0" w:space="0" w:color="auto"/>
        <w:left w:val="none" w:sz="0" w:space="0" w:color="auto"/>
        <w:bottom w:val="none" w:sz="0" w:space="0" w:color="auto"/>
        <w:right w:val="none" w:sz="0" w:space="0" w:color="auto"/>
      </w:divBdr>
    </w:div>
    <w:div w:id="1185748889">
      <w:bodyDiv w:val="1"/>
      <w:marLeft w:val="0"/>
      <w:marRight w:val="0"/>
      <w:marTop w:val="0"/>
      <w:marBottom w:val="0"/>
      <w:divBdr>
        <w:top w:val="none" w:sz="0" w:space="0" w:color="auto"/>
        <w:left w:val="none" w:sz="0" w:space="0" w:color="auto"/>
        <w:bottom w:val="none" w:sz="0" w:space="0" w:color="auto"/>
        <w:right w:val="none" w:sz="0" w:space="0" w:color="auto"/>
      </w:divBdr>
    </w:div>
    <w:div w:id="1195001873">
      <w:bodyDiv w:val="1"/>
      <w:marLeft w:val="0"/>
      <w:marRight w:val="0"/>
      <w:marTop w:val="0"/>
      <w:marBottom w:val="0"/>
      <w:divBdr>
        <w:top w:val="none" w:sz="0" w:space="0" w:color="auto"/>
        <w:left w:val="none" w:sz="0" w:space="0" w:color="auto"/>
        <w:bottom w:val="none" w:sz="0" w:space="0" w:color="auto"/>
        <w:right w:val="none" w:sz="0" w:space="0" w:color="auto"/>
      </w:divBdr>
    </w:div>
    <w:div w:id="1197933761">
      <w:bodyDiv w:val="1"/>
      <w:marLeft w:val="0"/>
      <w:marRight w:val="0"/>
      <w:marTop w:val="30"/>
      <w:marBottom w:val="750"/>
      <w:divBdr>
        <w:top w:val="none" w:sz="0" w:space="0" w:color="auto"/>
        <w:left w:val="none" w:sz="0" w:space="0" w:color="auto"/>
        <w:bottom w:val="none" w:sz="0" w:space="0" w:color="auto"/>
        <w:right w:val="none" w:sz="0" w:space="0" w:color="auto"/>
      </w:divBdr>
      <w:divsChild>
        <w:div w:id="677850676">
          <w:marLeft w:val="0"/>
          <w:marRight w:val="0"/>
          <w:marTop w:val="0"/>
          <w:marBottom w:val="0"/>
          <w:divBdr>
            <w:top w:val="none" w:sz="0" w:space="0" w:color="auto"/>
            <w:left w:val="none" w:sz="0" w:space="0" w:color="auto"/>
            <w:bottom w:val="none" w:sz="0" w:space="0" w:color="auto"/>
            <w:right w:val="none" w:sz="0" w:space="0" w:color="auto"/>
          </w:divBdr>
          <w:divsChild>
            <w:div w:id="582959554">
              <w:marLeft w:val="0"/>
              <w:marRight w:val="0"/>
              <w:marTop w:val="0"/>
              <w:marBottom w:val="0"/>
              <w:divBdr>
                <w:top w:val="none" w:sz="0" w:space="0" w:color="auto"/>
                <w:left w:val="none" w:sz="0" w:space="0" w:color="auto"/>
                <w:bottom w:val="none" w:sz="0" w:space="0" w:color="auto"/>
                <w:right w:val="none" w:sz="0" w:space="0" w:color="auto"/>
              </w:divBdr>
            </w:div>
            <w:div w:id="1206679514">
              <w:marLeft w:val="0"/>
              <w:marRight w:val="0"/>
              <w:marTop w:val="0"/>
              <w:marBottom w:val="0"/>
              <w:divBdr>
                <w:top w:val="none" w:sz="0" w:space="0" w:color="auto"/>
                <w:left w:val="none" w:sz="0" w:space="0" w:color="auto"/>
                <w:bottom w:val="none" w:sz="0" w:space="0" w:color="auto"/>
                <w:right w:val="none" w:sz="0" w:space="0" w:color="auto"/>
              </w:divBdr>
            </w:div>
            <w:div w:id="187721784">
              <w:marLeft w:val="0"/>
              <w:marRight w:val="0"/>
              <w:marTop w:val="0"/>
              <w:marBottom w:val="0"/>
              <w:divBdr>
                <w:top w:val="none" w:sz="0" w:space="0" w:color="auto"/>
                <w:left w:val="none" w:sz="0" w:space="0" w:color="auto"/>
                <w:bottom w:val="none" w:sz="0" w:space="0" w:color="auto"/>
                <w:right w:val="none" w:sz="0" w:space="0" w:color="auto"/>
              </w:divBdr>
            </w:div>
            <w:div w:id="1302341276">
              <w:marLeft w:val="0"/>
              <w:marRight w:val="0"/>
              <w:marTop w:val="0"/>
              <w:marBottom w:val="0"/>
              <w:divBdr>
                <w:top w:val="none" w:sz="0" w:space="0" w:color="auto"/>
                <w:left w:val="none" w:sz="0" w:space="0" w:color="auto"/>
                <w:bottom w:val="none" w:sz="0" w:space="0" w:color="auto"/>
                <w:right w:val="none" w:sz="0" w:space="0" w:color="auto"/>
              </w:divBdr>
            </w:div>
            <w:div w:id="1350136261">
              <w:marLeft w:val="0"/>
              <w:marRight w:val="0"/>
              <w:marTop w:val="0"/>
              <w:marBottom w:val="0"/>
              <w:divBdr>
                <w:top w:val="none" w:sz="0" w:space="0" w:color="auto"/>
                <w:left w:val="none" w:sz="0" w:space="0" w:color="auto"/>
                <w:bottom w:val="none" w:sz="0" w:space="0" w:color="auto"/>
                <w:right w:val="none" w:sz="0" w:space="0" w:color="auto"/>
              </w:divBdr>
            </w:div>
            <w:div w:id="1289125172">
              <w:marLeft w:val="0"/>
              <w:marRight w:val="0"/>
              <w:marTop w:val="0"/>
              <w:marBottom w:val="0"/>
              <w:divBdr>
                <w:top w:val="none" w:sz="0" w:space="0" w:color="auto"/>
                <w:left w:val="none" w:sz="0" w:space="0" w:color="auto"/>
                <w:bottom w:val="none" w:sz="0" w:space="0" w:color="auto"/>
                <w:right w:val="none" w:sz="0" w:space="0" w:color="auto"/>
              </w:divBdr>
            </w:div>
            <w:div w:id="1469711674">
              <w:marLeft w:val="0"/>
              <w:marRight w:val="0"/>
              <w:marTop w:val="0"/>
              <w:marBottom w:val="0"/>
              <w:divBdr>
                <w:top w:val="none" w:sz="0" w:space="0" w:color="auto"/>
                <w:left w:val="none" w:sz="0" w:space="0" w:color="auto"/>
                <w:bottom w:val="none" w:sz="0" w:space="0" w:color="auto"/>
                <w:right w:val="none" w:sz="0" w:space="0" w:color="auto"/>
              </w:divBdr>
            </w:div>
            <w:div w:id="2019502354">
              <w:marLeft w:val="0"/>
              <w:marRight w:val="0"/>
              <w:marTop w:val="0"/>
              <w:marBottom w:val="0"/>
              <w:divBdr>
                <w:top w:val="none" w:sz="0" w:space="0" w:color="auto"/>
                <w:left w:val="none" w:sz="0" w:space="0" w:color="auto"/>
                <w:bottom w:val="none" w:sz="0" w:space="0" w:color="auto"/>
                <w:right w:val="none" w:sz="0" w:space="0" w:color="auto"/>
              </w:divBdr>
            </w:div>
            <w:div w:id="1051078671">
              <w:marLeft w:val="0"/>
              <w:marRight w:val="0"/>
              <w:marTop w:val="0"/>
              <w:marBottom w:val="0"/>
              <w:divBdr>
                <w:top w:val="none" w:sz="0" w:space="0" w:color="auto"/>
                <w:left w:val="none" w:sz="0" w:space="0" w:color="auto"/>
                <w:bottom w:val="none" w:sz="0" w:space="0" w:color="auto"/>
                <w:right w:val="none" w:sz="0" w:space="0" w:color="auto"/>
              </w:divBdr>
            </w:div>
            <w:div w:id="1323311301">
              <w:marLeft w:val="0"/>
              <w:marRight w:val="0"/>
              <w:marTop w:val="0"/>
              <w:marBottom w:val="0"/>
              <w:divBdr>
                <w:top w:val="none" w:sz="0" w:space="0" w:color="auto"/>
                <w:left w:val="none" w:sz="0" w:space="0" w:color="auto"/>
                <w:bottom w:val="none" w:sz="0" w:space="0" w:color="auto"/>
                <w:right w:val="none" w:sz="0" w:space="0" w:color="auto"/>
              </w:divBdr>
            </w:div>
            <w:div w:id="847867144">
              <w:marLeft w:val="0"/>
              <w:marRight w:val="0"/>
              <w:marTop w:val="0"/>
              <w:marBottom w:val="0"/>
              <w:divBdr>
                <w:top w:val="none" w:sz="0" w:space="0" w:color="auto"/>
                <w:left w:val="none" w:sz="0" w:space="0" w:color="auto"/>
                <w:bottom w:val="none" w:sz="0" w:space="0" w:color="auto"/>
                <w:right w:val="none" w:sz="0" w:space="0" w:color="auto"/>
              </w:divBdr>
            </w:div>
            <w:div w:id="2130589760">
              <w:marLeft w:val="0"/>
              <w:marRight w:val="0"/>
              <w:marTop w:val="0"/>
              <w:marBottom w:val="0"/>
              <w:divBdr>
                <w:top w:val="none" w:sz="0" w:space="0" w:color="auto"/>
                <w:left w:val="none" w:sz="0" w:space="0" w:color="auto"/>
                <w:bottom w:val="none" w:sz="0" w:space="0" w:color="auto"/>
                <w:right w:val="none" w:sz="0" w:space="0" w:color="auto"/>
              </w:divBdr>
            </w:div>
            <w:div w:id="412820307">
              <w:marLeft w:val="0"/>
              <w:marRight w:val="0"/>
              <w:marTop w:val="0"/>
              <w:marBottom w:val="0"/>
              <w:divBdr>
                <w:top w:val="none" w:sz="0" w:space="0" w:color="auto"/>
                <w:left w:val="none" w:sz="0" w:space="0" w:color="auto"/>
                <w:bottom w:val="none" w:sz="0" w:space="0" w:color="auto"/>
                <w:right w:val="none" w:sz="0" w:space="0" w:color="auto"/>
              </w:divBdr>
            </w:div>
            <w:div w:id="1129858333">
              <w:marLeft w:val="0"/>
              <w:marRight w:val="0"/>
              <w:marTop w:val="0"/>
              <w:marBottom w:val="0"/>
              <w:divBdr>
                <w:top w:val="none" w:sz="0" w:space="0" w:color="auto"/>
                <w:left w:val="none" w:sz="0" w:space="0" w:color="auto"/>
                <w:bottom w:val="none" w:sz="0" w:space="0" w:color="auto"/>
                <w:right w:val="none" w:sz="0" w:space="0" w:color="auto"/>
              </w:divBdr>
            </w:div>
            <w:div w:id="2091416203">
              <w:marLeft w:val="0"/>
              <w:marRight w:val="0"/>
              <w:marTop w:val="0"/>
              <w:marBottom w:val="0"/>
              <w:divBdr>
                <w:top w:val="none" w:sz="0" w:space="0" w:color="auto"/>
                <w:left w:val="none" w:sz="0" w:space="0" w:color="auto"/>
                <w:bottom w:val="none" w:sz="0" w:space="0" w:color="auto"/>
                <w:right w:val="none" w:sz="0" w:space="0" w:color="auto"/>
              </w:divBdr>
            </w:div>
            <w:div w:id="1198085378">
              <w:marLeft w:val="0"/>
              <w:marRight w:val="0"/>
              <w:marTop w:val="0"/>
              <w:marBottom w:val="0"/>
              <w:divBdr>
                <w:top w:val="none" w:sz="0" w:space="0" w:color="auto"/>
                <w:left w:val="none" w:sz="0" w:space="0" w:color="auto"/>
                <w:bottom w:val="none" w:sz="0" w:space="0" w:color="auto"/>
                <w:right w:val="none" w:sz="0" w:space="0" w:color="auto"/>
              </w:divBdr>
            </w:div>
            <w:div w:id="16122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8540">
      <w:bodyDiv w:val="1"/>
      <w:marLeft w:val="0"/>
      <w:marRight w:val="0"/>
      <w:marTop w:val="0"/>
      <w:marBottom w:val="0"/>
      <w:divBdr>
        <w:top w:val="none" w:sz="0" w:space="0" w:color="auto"/>
        <w:left w:val="none" w:sz="0" w:space="0" w:color="auto"/>
        <w:bottom w:val="none" w:sz="0" w:space="0" w:color="auto"/>
        <w:right w:val="none" w:sz="0" w:space="0" w:color="auto"/>
      </w:divBdr>
    </w:div>
    <w:div w:id="1559317615">
      <w:bodyDiv w:val="1"/>
      <w:marLeft w:val="0"/>
      <w:marRight w:val="0"/>
      <w:marTop w:val="0"/>
      <w:marBottom w:val="0"/>
      <w:divBdr>
        <w:top w:val="none" w:sz="0" w:space="0" w:color="auto"/>
        <w:left w:val="none" w:sz="0" w:space="0" w:color="auto"/>
        <w:bottom w:val="none" w:sz="0" w:space="0" w:color="auto"/>
        <w:right w:val="none" w:sz="0" w:space="0" w:color="auto"/>
      </w:divBdr>
    </w:div>
    <w:div w:id="1583874413">
      <w:bodyDiv w:val="1"/>
      <w:marLeft w:val="0"/>
      <w:marRight w:val="0"/>
      <w:marTop w:val="0"/>
      <w:marBottom w:val="0"/>
      <w:divBdr>
        <w:top w:val="none" w:sz="0" w:space="0" w:color="auto"/>
        <w:left w:val="none" w:sz="0" w:space="0" w:color="auto"/>
        <w:bottom w:val="none" w:sz="0" w:space="0" w:color="auto"/>
        <w:right w:val="none" w:sz="0" w:space="0" w:color="auto"/>
      </w:divBdr>
    </w:div>
    <w:div w:id="1762988351">
      <w:bodyDiv w:val="1"/>
      <w:marLeft w:val="0"/>
      <w:marRight w:val="0"/>
      <w:marTop w:val="0"/>
      <w:marBottom w:val="0"/>
      <w:divBdr>
        <w:top w:val="none" w:sz="0" w:space="0" w:color="auto"/>
        <w:left w:val="none" w:sz="0" w:space="0" w:color="auto"/>
        <w:bottom w:val="none" w:sz="0" w:space="0" w:color="auto"/>
        <w:right w:val="none" w:sz="0" w:space="0" w:color="auto"/>
      </w:divBdr>
    </w:div>
    <w:div w:id="1814563684">
      <w:bodyDiv w:val="1"/>
      <w:marLeft w:val="0"/>
      <w:marRight w:val="0"/>
      <w:marTop w:val="0"/>
      <w:marBottom w:val="0"/>
      <w:divBdr>
        <w:top w:val="none" w:sz="0" w:space="0" w:color="auto"/>
        <w:left w:val="none" w:sz="0" w:space="0" w:color="auto"/>
        <w:bottom w:val="none" w:sz="0" w:space="0" w:color="auto"/>
        <w:right w:val="none" w:sz="0" w:space="0" w:color="auto"/>
      </w:divBdr>
    </w:div>
    <w:div w:id="1973247089">
      <w:bodyDiv w:val="1"/>
      <w:marLeft w:val="0"/>
      <w:marRight w:val="0"/>
      <w:marTop w:val="0"/>
      <w:marBottom w:val="0"/>
      <w:divBdr>
        <w:top w:val="none" w:sz="0" w:space="0" w:color="auto"/>
        <w:left w:val="none" w:sz="0" w:space="0" w:color="auto"/>
        <w:bottom w:val="none" w:sz="0" w:space="0" w:color="auto"/>
        <w:right w:val="none" w:sz="0" w:space="0" w:color="auto"/>
      </w:divBdr>
    </w:div>
    <w:div w:id="207777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vehicle-and-engine-certification/report-forms-and-guidance-defects-and-recalls-under-40-cfr-part-85" TargetMode="External"/><Relationship Id="rId13" Type="http://schemas.openxmlformats.org/officeDocument/2006/relationships/image" Target="media/image2.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data/inflation_calculator.ht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naics4_333600.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pa.gov/vehicle-and-engine-certification/how-register-verify-system" TargetMode="External"/><Relationship Id="rId14" Type="http://schemas.openxmlformats.org/officeDocument/2006/relationships/hyperlink" Target="https://www.reginfo.gov/public/do/PRAViewDocument?ref_nbr=201310-2060-0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air-pollution-transpor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4752</Words>
  <Characters>27092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PQA</Company>
  <LinksUpToDate>false</LinksUpToDate>
  <CharactersWithSpaces>31781</CharactersWithSpaces>
  <SharedDoc>false</SharedDoc>
  <HLinks>
    <vt:vector size="30" baseType="variant">
      <vt:variant>
        <vt:i4>4128789</vt:i4>
      </vt:variant>
      <vt:variant>
        <vt:i4>45</vt:i4>
      </vt:variant>
      <vt:variant>
        <vt:i4>0</vt:i4>
      </vt:variant>
      <vt:variant>
        <vt:i4>5</vt:i4>
      </vt:variant>
      <vt:variant>
        <vt:lpwstr>http://www.bls.gov/data/inflation_calculator.htm</vt:lpwstr>
      </vt:variant>
      <vt:variant>
        <vt:lpwstr/>
      </vt:variant>
      <vt:variant>
        <vt:i4>1835010</vt:i4>
      </vt:variant>
      <vt:variant>
        <vt:i4>32</vt:i4>
      </vt:variant>
      <vt:variant>
        <vt:i4>0</vt:i4>
      </vt:variant>
      <vt:variant>
        <vt:i4>5</vt:i4>
      </vt:variant>
      <vt:variant>
        <vt:lpwstr>http://epa.gov/otaq/verify/basicinfo.htm</vt:lpwstr>
      </vt:variant>
      <vt:variant>
        <vt:lpwstr/>
      </vt:variant>
      <vt:variant>
        <vt:i4>3080196</vt:i4>
      </vt:variant>
      <vt:variant>
        <vt:i4>15</vt:i4>
      </vt:variant>
      <vt:variant>
        <vt:i4>0</vt:i4>
      </vt:variant>
      <vt:variant>
        <vt:i4>5</vt:i4>
      </vt:variant>
      <vt:variant>
        <vt:lpwstr>mailto:jean-michel.desaulniers@brp.com</vt:lpwstr>
      </vt:variant>
      <vt:variant>
        <vt:lpwstr/>
      </vt:variant>
      <vt:variant>
        <vt:i4>2949130</vt:i4>
      </vt:variant>
      <vt:variant>
        <vt:i4>12</vt:i4>
      </vt:variant>
      <vt:variant>
        <vt:i4>0</vt:i4>
      </vt:variant>
      <vt:variant>
        <vt:i4>5</vt:i4>
      </vt:variant>
      <vt:variant>
        <vt:lpwstr>mailto:dnelson@arcticcatinc.com</vt:lpwstr>
      </vt:variant>
      <vt:variant>
        <vt:lpwstr/>
      </vt:variant>
      <vt:variant>
        <vt:i4>3473515</vt:i4>
      </vt:variant>
      <vt:variant>
        <vt:i4>0</vt:i4>
      </vt:variant>
      <vt:variant>
        <vt:i4>0</vt:i4>
      </vt:variant>
      <vt:variant>
        <vt:i4>5</vt:i4>
      </vt:variant>
      <vt:variant>
        <vt:lpwstr>http://epa.gov/nonroad/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PQA</dc:creator>
  <cp:lastModifiedBy>SYSTEM</cp:lastModifiedBy>
  <cp:revision>2</cp:revision>
  <cp:lastPrinted>2010-06-09T22:51:00Z</cp:lastPrinted>
  <dcterms:created xsi:type="dcterms:W3CDTF">2017-08-28T17:15:00Z</dcterms:created>
  <dcterms:modified xsi:type="dcterms:W3CDTF">2017-08-28T17:15:00Z</dcterms:modified>
</cp:coreProperties>
</file>