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BD9BE" w14:textId="77777777" w:rsidR="009C7F55" w:rsidRPr="00F1537F" w:rsidRDefault="009C7F55" w:rsidP="007445A8">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p>
    <w:p w14:paraId="168D51AD" w14:textId="77777777" w:rsidR="009C7F55" w:rsidRPr="00F1537F" w:rsidRDefault="009C7F55" w:rsidP="007445A8">
      <w:pPr>
        <w:spacing w:after="0" w:line="240" w:lineRule="auto"/>
        <w:jc w:val="center"/>
        <w:rPr>
          <w:rFonts w:ascii="Times New Roman" w:hAnsi="Times New Roman"/>
          <w:sz w:val="24"/>
          <w:szCs w:val="24"/>
        </w:rPr>
      </w:pPr>
      <w:r w:rsidRPr="00F1537F">
        <w:rPr>
          <w:rFonts w:ascii="Times New Roman" w:hAnsi="Times New Roman"/>
          <w:b/>
          <w:sz w:val="24"/>
          <w:szCs w:val="24"/>
        </w:rPr>
        <w:t>FERC-505</w:t>
      </w:r>
      <w:r w:rsidR="00F0627E" w:rsidRPr="00F1537F">
        <w:rPr>
          <w:rStyle w:val="FootnoteReference"/>
          <w:rFonts w:ascii="Times New Roman" w:hAnsi="Times New Roman"/>
          <w:b/>
          <w:sz w:val="24"/>
          <w:szCs w:val="24"/>
          <w:vertAlign w:val="superscript"/>
        </w:rPr>
        <w:footnoteReference w:id="1"/>
      </w:r>
      <w:r w:rsidR="00F0627E" w:rsidRPr="00F1537F">
        <w:rPr>
          <w:rFonts w:ascii="Times New Roman" w:hAnsi="Times New Roman"/>
          <w:b/>
          <w:sz w:val="24"/>
          <w:szCs w:val="24"/>
        </w:rPr>
        <w:t xml:space="preserve"> </w:t>
      </w:r>
      <w:r w:rsidRPr="00F1537F">
        <w:rPr>
          <w:rFonts w:ascii="Times New Roman" w:hAnsi="Times New Roman"/>
          <w:b/>
          <w:sz w:val="24"/>
          <w:szCs w:val="24"/>
        </w:rPr>
        <w:t xml:space="preserve"> (Small Hydropower Projects and Conduit Facilities including License/Relicense, Exemption, and Qualifying Conduit Facility Determination)</w:t>
      </w:r>
      <w:r w:rsidRPr="00F1537F">
        <w:rPr>
          <w:rFonts w:ascii="Times New Roman" w:hAnsi="Times New Roman"/>
          <w:sz w:val="24"/>
          <w:szCs w:val="24"/>
        </w:rPr>
        <w:t xml:space="preserve"> </w:t>
      </w:r>
    </w:p>
    <w:p w14:paraId="468312DE" w14:textId="77777777" w:rsidR="009C7F55" w:rsidRPr="00F1537F" w:rsidRDefault="009C7F55" w:rsidP="007445A8">
      <w:pPr>
        <w:spacing w:after="0" w:line="240" w:lineRule="auto"/>
        <w:jc w:val="center"/>
        <w:rPr>
          <w:rFonts w:ascii="Times New Roman" w:eastAsiaTheme="minorHAnsi" w:hAnsi="Times New Roman"/>
          <w:sz w:val="24"/>
          <w:szCs w:val="24"/>
        </w:rPr>
      </w:pPr>
      <w:r w:rsidRPr="00F1537F">
        <w:rPr>
          <w:rFonts w:ascii="Times New Roman" w:hAnsi="Times New Roman"/>
          <w:sz w:val="24"/>
          <w:szCs w:val="24"/>
        </w:rPr>
        <w:t>(Three-year approval for extension requested)</w:t>
      </w:r>
    </w:p>
    <w:p w14:paraId="2D77B141" w14:textId="77777777" w:rsidR="001263E8" w:rsidRPr="00F1537F" w:rsidRDefault="001263E8" w:rsidP="007445A8">
      <w:pPr>
        <w:spacing w:line="240" w:lineRule="auto"/>
        <w:rPr>
          <w:rFonts w:ascii="Times New Roman" w:hAnsi="Times New Roman"/>
          <w:b/>
          <w:sz w:val="24"/>
          <w:szCs w:val="24"/>
        </w:rPr>
      </w:pPr>
    </w:p>
    <w:p w14:paraId="63D7E5F3" w14:textId="77777777" w:rsidR="009C7F55" w:rsidRPr="00F1537F" w:rsidRDefault="009C7F55" w:rsidP="007445A8">
      <w:pPr>
        <w:spacing w:line="240" w:lineRule="auto"/>
        <w:rPr>
          <w:rFonts w:ascii="Times New Roman" w:hAnsi="Times New Roman"/>
          <w:sz w:val="24"/>
          <w:szCs w:val="24"/>
        </w:rPr>
      </w:pPr>
      <w:r w:rsidRPr="00F1537F">
        <w:rPr>
          <w:rFonts w:ascii="Times New Roman" w:hAnsi="Times New Roman"/>
          <w:sz w:val="24"/>
          <w:szCs w:val="24"/>
        </w:rPr>
        <w:t xml:space="preserve">The Federal Energy Regulatory Commission (FERC or Commission) requests the Office of Management and Budget (OMB) extend its approval of the </w:t>
      </w:r>
      <w:r w:rsidRPr="00F1537F">
        <w:rPr>
          <w:rFonts w:ascii="Times New Roman" w:hAnsi="Times New Roman"/>
          <w:b/>
          <w:sz w:val="24"/>
          <w:szCs w:val="24"/>
        </w:rPr>
        <w:t>FERC-505, Small Hydropower Projects and Conduit Facilities including License/Relicense, Exemption, and Qualifying Conduit Facility Determination</w:t>
      </w:r>
      <w:r w:rsidRPr="00F1537F">
        <w:rPr>
          <w:rFonts w:ascii="Times New Roman" w:hAnsi="Times New Roman"/>
          <w:sz w:val="24"/>
          <w:szCs w:val="24"/>
        </w:rPr>
        <w:t>, for an additional three years</w:t>
      </w:r>
      <w:r w:rsidR="00883041" w:rsidRPr="00F1537F">
        <w:rPr>
          <w:rFonts w:ascii="Times New Roman" w:hAnsi="Times New Roman"/>
          <w:sz w:val="24"/>
          <w:szCs w:val="24"/>
        </w:rPr>
        <w:t>.</w:t>
      </w:r>
      <w:r w:rsidR="00974AFC" w:rsidRPr="00F1537F">
        <w:rPr>
          <w:rFonts w:ascii="Times New Roman" w:hAnsi="Times New Roman"/>
          <w:sz w:val="24"/>
          <w:szCs w:val="24"/>
        </w:rPr>
        <w:t xml:space="preserve"> The reporting requirements have not changed for this information collection. </w:t>
      </w:r>
    </w:p>
    <w:p w14:paraId="6C9D8539" w14:textId="77777777" w:rsidR="009C7F55" w:rsidRPr="00F1537F" w:rsidRDefault="009C7F55" w:rsidP="007445A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 xml:space="preserve">CIRCUMSTANCES THAT MAKE THE COLLECTION OF INFORMATION NECESSARY </w:t>
      </w:r>
    </w:p>
    <w:p w14:paraId="720CD5C3" w14:textId="77777777" w:rsidR="009C7F55" w:rsidRPr="00F1537F" w:rsidRDefault="009C7F55" w:rsidP="007445A8">
      <w:pPr>
        <w:spacing w:after="0" w:line="240" w:lineRule="auto"/>
        <w:jc w:val="center"/>
        <w:rPr>
          <w:rFonts w:ascii="Times New Roman" w:hAnsi="Times New Roman"/>
          <w:b/>
          <w:sz w:val="24"/>
          <w:szCs w:val="24"/>
        </w:rPr>
      </w:pPr>
    </w:p>
    <w:p w14:paraId="717195FE" w14:textId="77777777" w:rsidR="007E0D8A" w:rsidRPr="00F1537F" w:rsidRDefault="007E0D8A" w:rsidP="007445A8">
      <w:pPr>
        <w:spacing w:after="0" w:line="240" w:lineRule="auto"/>
        <w:rPr>
          <w:rFonts w:ascii="Times New Roman" w:hAnsi="Times New Roman"/>
          <w:sz w:val="24"/>
          <w:szCs w:val="24"/>
        </w:rPr>
      </w:pPr>
      <w:r w:rsidRPr="00F1537F">
        <w:rPr>
          <w:rFonts w:ascii="Times New Roman" w:hAnsi="Times New Roman"/>
          <w:sz w:val="24"/>
          <w:szCs w:val="24"/>
        </w:rPr>
        <w:t>The Commission regulates nonfederal hydropower projects on navigable waters and federal lands pursuant to the Federal Power Act (FPA).</w:t>
      </w:r>
      <w:r w:rsidRPr="00F1537F">
        <w:rPr>
          <w:rStyle w:val="FootnoteReference"/>
          <w:rFonts w:ascii="Times New Roman" w:hAnsi="Times New Roman"/>
          <w:b/>
          <w:sz w:val="24"/>
          <w:szCs w:val="24"/>
          <w:vertAlign w:val="superscript"/>
        </w:rPr>
        <w:footnoteReference w:id="2"/>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2D9430BA" w14:textId="77777777" w:rsidR="007E0D8A" w:rsidRPr="00F1537F" w:rsidRDefault="007E0D8A" w:rsidP="007445A8">
      <w:pPr>
        <w:spacing w:after="0" w:line="240" w:lineRule="auto"/>
        <w:rPr>
          <w:rFonts w:ascii="Times New Roman" w:hAnsi="Times New Roman"/>
          <w:sz w:val="24"/>
          <w:szCs w:val="24"/>
        </w:rPr>
      </w:pPr>
    </w:p>
    <w:p w14:paraId="291E285D" w14:textId="77777777" w:rsidR="00F0627E" w:rsidRPr="00F1537F" w:rsidRDefault="00F0627E" w:rsidP="007445A8">
      <w:pPr>
        <w:tabs>
          <w:tab w:val="left" w:pos="720"/>
        </w:tabs>
        <w:spacing w:line="240" w:lineRule="auto"/>
        <w:rPr>
          <w:rFonts w:ascii="Times New Roman" w:hAnsi="Times New Roman"/>
          <w:sz w:val="24"/>
          <w:szCs w:val="24"/>
        </w:rPr>
      </w:pPr>
      <w:r w:rsidRPr="00F1537F">
        <w:rPr>
          <w:rFonts w:ascii="Times New Roman" w:hAnsi="Times New Roman"/>
          <w:sz w:val="24"/>
          <w:szCs w:val="24"/>
        </w:rPr>
        <w:t>16 U</w:t>
      </w:r>
      <w:r w:rsidR="004C3C5F" w:rsidRPr="00F1537F">
        <w:rPr>
          <w:rFonts w:ascii="Times New Roman" w:hAnsi="Times New Roman"/>
          <w:sz w:val="24"/>
          <w:szCs w:val="24"/>
        </w:rPr>
        <w:t>.</w:t>
      </w:r>
      <w:r w:rsidRPr="00F1537F">
        <w:rPr>
          <w:rFonts w:ascii="Times New Roman" w:hAnsi="Times New Roman"/>
          <w:sz w:val="24"/>
          <w:szCs w:val="24"/>
        </w:rPr>
        <w:t>S</w:t>
      </w:r>
      <w:r w:rsidR="004C3C5F" w:rsidRPr="00F1537F">
        <w:rPr>
          <w:rFonts w:ascii="Times New Roman" w:hAnsi="Times New Roman"/>
          <w:sz w:val="24"/>
          <w:szCs w:val="24"/>
        </w:rPr>
        <w:t>.</w:t>
      </w:r>
      <w:r w:rsidRPr="00F1537F">
        <w:rPr>
          <w:rFonts w:ascii="Times New Roman" w:hAnsi="Times New Roman"/>
          <w:sz w:val="24"/>
          <w:szCs w:val="24"/>
        </w:rPr>
        <w:t>C</w:t>
      </w:r>
      <w:r w:rsidR="004C3C5F" w:rsidRPr="00F1537F">
        <w:rPr>
          <w:rFonts w:ascii="Times New Roman" w:hAnsi="Times New Roman"/>
          <w:sz w:val="24"/>
          <w:szCs w:val="24"/>
        </w:rPr>
        <w:t>.</w:t>
      </w:r>
      <w:r w:rsidRPr="00F1537F">
        <w:rPr>
          <w:rFonts w:ascii="Times New Roman" w:hAnsi="Times New Roman"/>
          <w:sz w:val="24"/>
          <w:szCs w:val="24"/>
        </w:rPr>
        <w:t xml:space="preserve"> 797(e) authorizes the Commission to i</w:t>
      </w:r>
      <w:r w:rsidRPr="00F1537F">
        <w:rPr>
          <w:rFonts w:ascii="Times New Roman" w:hAnsi="Times New Roman"/>
          <w:color w:val="000000"/>
          <w:sz w:val="24"/>
          <w:szCs w:val="24"/>
        </w:rPr>
        <w:t>ssue licenses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  The Electric Consumers Protection Act (ECPA)</w:t>
      </w:r>
      <w:r w:rsidRPr="00F1537F">
        <w:rPr>
          <w:rStyle w:val="FootnoteReference"/>
          <w:rFonts w:ascii="Times New Roman" w:hAnsi="Times New Roman"/>
          <w:b/>
          <w:color w:val="000000"/>
          <w:sz w:val="24"/>
          <w:szCs w:val="24"/>
          <w:vertAlign w:val="superscript"/>
        </w:rPr>
        <w:footnoteReference w:id="3"/>
      </w:r>
      <w:r w:rsidRPr="00F1537F">
        <w:rPr>
          <w:rFonts w:ascii="Times New Roman" w:hAnsi="Times New Roman"/>
          <w:color w:val="000000"/>
          <w:sz w:val="24"/>
          <w:szCs w:val="24"/>
        </w:rPr>
        <w:t xml:space="preserve"> amended </w:t>
      </w:r>
      <w:r w:rsidR="003E6B4D" w:rsidRPr="00F1537F">
        <w:rPr>
          <w:rFonts w:ascii="Times New Roman" w:hAnsi="Times New Roman"/>
          <w:color w:val="000000"/>
          <w:sz w:val="24"/>
          <w:szCs w:val="24"/>
        </w:rPr>
        <w:t xml:space="preserve">and expanded </w:t>
      </w:r>
      <w:r w:rsidRPr="00F1537F">
        <w:rPr>
          <w:rFonts w:ascii="Times New Roman" w:hAnsi="Times New Roman"/>
          <w:color w:val="000000"/>
          <w:sz w:val="24"/>
          <w:szCs w:val="24"/>
        </w:rPr>
        <w:t xml:space="preserve">the FPA </w:t>
      </w:r>
      <w:r w:rsidR="003E6B4D" w:rsidRPr="00F1537F">
        <w:rPr>
          <w:rFonts w:ascii="Times New Roman" w:hAnsi="Times New Roman"/>
          <w:color w:val="000000"/>
          <w:sz w:val="24"/>
          <w:szCs w:val="24"/>
        </w:rPr>
        <w:t xml:space="preserve">by adding the following at the end thereof: “In deciding whether to issue any license under this Part, for any project, the Commission, in addition to the power and development purposes for which licenses are issued, shall give equal consideration to the purposes of energy conservation, the protection, mitigation of damage to, and enhancement of, fish and wildlife (including related spawning grounds and habitat), the protection of recreational opportunities, and the preservation of other aspects of environmental quality.” </w:t>
      </w:r>
    </w:p>
    <w:p w14:paraId="04FF34A2" w14:textId="77777777" w:rsidR="00F0627E" w:rsidRPr="00F1537F" w:rsidRDefault="00F0627E" w:rsidP="007445A8">
      <w:pPr>
        <w:spacing w:line="240" w:lineRule="auto"/>
        <w:rPr>
          <w:rFonts w:ascii="Times New Roman" w:hAnsi="Times New Roman"/>
          <w:sz w:val="24"/>
          <w:szCs w:val="24"/>
        </w:rPr>
      </w:pPr>
      <w:r w:rsidRPr="00F1537F">
        <w:rPr>
          <w:rFonts w:ascii="Times New Roman" w:hAnsi="Times New Roman"/>
          <w:sz w:val="24"/>
          <w:szCs w:val="24"/>
        </w:rPr>
        <w:t>Section 4(e) of the FPA requires the Commission to give equal consideration to preserving energy conservation, the protection, mitigation of damage to, and enhancement of, fish and wildlife, the protection of recreational opportunities, and the preservation of other aspects of environmental quality when approving licenses.  Also, section 10(a) of the FPA stipulates conditions upon which hydroelectric licenses are issued.</w:t>
      </w:r>
      <w:r w:rsidR="004C3C5F" w:rsidRPr="00F1537F">
        <w:rPr>
          <w:rStyle w:val="FootnoteReference"/>
          <w:rFonts w:ascii="Times New Roman" w:hAnsi="Times New Roman"/>
          <w:b/>
          <w:sz w:val="24"/>
          <w:szCs w:val="24"/>
          <w:vertAlign w:val="superscript"/>
        </w:rPr>
        <w:footnoteReference w:id="4"/>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4D92CAD8"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FERC-505 is an application for a small hydropower project license or relicense, exemption, or determination of a qualifying conduit hydropower facility. </w:t>
      </w:r>
    </w:p>
    <w:p w14:paraId="137CAFD1" w14:textId="77777777" w:rsidR="00471F97" w:rsidRPr="00F1537F" w:rsidRDefault="00471F97" w:rsidP="007445A8">
      <w:pPr>
        <w:spacing w:after="0" w:line="240" w:lineRule="auto"/>
        <w:rPr>
          <w:rFonts w:ascii="Times New Roman" w:hAnsi="Times New Roman"/>
          <w:sz w:val="24"/>
          <w:szCs w:val="24"/>
        </w:rPr>
      </w:pPr>
    </w:p>
    <w:p w14:paraId="31719541" w14:textId="77777777" w:rsidR="00471F97" w:rsidRPr="00F1537F" w:rsidRDefault="00471F97" w:rsidP="007445A8">
      <w:pPr>
        <w:spacing w:after="0" w:line="240" w:lineRule="auto"/>
        <w:rPr>
          <w:rFonts w:ascii="Times New Roman" w:hAnsi="Times New Roman"/>
          <w:i/>
          <w:sz w:val="24"/>
          <w:szCs w:val="24"/>
        </w:rPr>
      </w:pPr>
      <w:r w:rsidRPr="00F1537F">
        <w:rPr>
          <w:rFonts w:ascii="Times New Roman" w:hAnsi="Times New Roman"/>
          <w:i/>
          <w:sz w:val="24"/>
          <w:szCs w:val="24"/>
        </w:rPr>
        <w:lastRenderedPageBreak/>
        <w:t xml:space="preserve">Small Hydropower Project License </w:t>
      </w:r>
    </w:p>
    <w:p w14:paraId="6D77BE85" w14:textId="77777777" w:rsidR="00471F97" w:rsidRPr="00F1537F" w:rsidRDefault="00471F97" w:rsidP="007445A8">
      <w:pPr>
        <w:spacing w:after="0" w:line="240" w:lineRule="auto"/>
        <w:rPr>
          <w:rFonts w:ascii="Times New Roman" w:hAnsi="Times New Roman"/>
          <w:sz w:val="24"/>
          <w:szCs w:val="24"/>
        </w:rPr>
      </w:pPr>
    </w:p>
    <w:p w14:paraId="25D4E15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Small hydropower projects are minor water power projects and major water power projects that have an installed capacity of</w:t>
      </w:r>
      <w:r w:rsidR="0059069E" w:rsidRPr="00F1537F">
        <w:rPr>
          <w:rFonts w:ascii="Times New Roman" w:hAnsi="Times New Roman"/>
          <w:sz w:val="24"/>
          <w:szCs w:val="24"/>
        </w:rPr>
        <w:t xml:space="preserve"> </w:t>
      </w:r>
      <w:r w:rsidRPr="00F1537F">
        <w:rPr>
          <w:rFonts w:ascii="Times New Roman" w:hAnsi="Times New Roman"/>
          <w:sz w:val="24"/>
          <w:szCs w:val="24"/>
        </w:rPr>
        <w:t>5 megawatts (MW) or less.</w:t>
      </w:r>
      <w:r w:rsidRPr="00F1537F">
        <w:rPr>
          <w:rStyle w:val="FootnoteReference"/>
          <w:rFonts w:ascii="Times New Roman" w:hAnsi="Times New Roman"/>
          <w:b/>
          <w:sz w:val="24"/>
          <w:szCs w:val="24"/>
          <w:vertAlign w:val="superscript"/>
        </w:rPr>
        <w:footnoteReference w:id="5"/>
      </w:r>
      <w:r w:rsidRPr="00F1537F">
        <w:rPr>
          <w:rFonts w:ascii="Times New Roman" w:hAnsi="Times New Roman"/>
          <w:b/>
          <w:sz w:val="24"/>
          <w:szCs w:val="24"/>
        </w:rPr>
        <w:t xml:space="preserve"> </w:t>
      </w:r>
      <w:r w:rsidRPr="00F1537F">
        <w:rPr>
          <w:rFonts w:ascii="Times New Roman" w:hAnsi="Times New Roman"/>
          <w:sz w:val="24"/>
          <w:szCs w:val="24"/>
        </w:rPr>
        <w:t xml:space="preserve"> Small hydropower projects have distinct filing requirements as outlined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 xml:space="preserve"> 4.61.    </w:t>
      </w:r>
    </w:p>
    <w:p w14:paraId="72D5852B" w14:textId="77777777" w:rsidR="00471F97" w:rsidRPr="00F1537F" w:rsidRDefault="00471F97" w:rsidP="007445A8">
      <w:pPr>
        <w:spacing w:after="0" w:line="240" w:lineRule="auto"/>
        <w:rPr>
          <w:rFonts w:ascii="Times New Roman" w:hAnsi="Times New Roman"/>
          <w:sz w:val="24"/>
          <w:szCs w:val="24"/>
        </w:rPr>
      </w:pPr>
    </w:p>
    <w:p w14:paraId="0462B62A"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issues licenses for hydropower projects for up to 50 years.  Pursuant to section 4(e) of the FPA, when making licensing decisions the Commission must give equal consideration to preserving energy conservation; the protection, mitigation of damage to, and enhancement of fish and wildlife; the protection of recreational opportunities; and the preservation of other aspects of environmental quality when approving licenses.  In addition, under the comprehensive development standard of section 10(a) of the FPA, the Commission must consider all aspects of the public interest in using a waterway and consider a project’s consistency with federal and state comprehensive plans for improving or developing waterways.   </w:t>
      </w:r>
    </w:p>
    <w:p w14:paraId="59F32054" w14:textId="77777777" w:rsidR="00471F97" w:rsidRPr="00F1537F" w:rsidRDefault="00471F97" w:rsidP="007445A8">
      <w:pPr>
        <w:spacing w:after="0" w:line="240" w:lineRule="auto"/>
        <w:rPr>
          <w:rFonts w:ascii="Times New Roman" w:hAnsi="Times New Roman"/>
          <w:sz w:val="24"/>
          <w:szCs w:val="24"/>
        </w:rPr>
      </w:pPr>
    </w:p>
    <w:p w14:paraId="5F2C23C2" w14:textId="77777777" w:rsidR="00471F97" w:rsidRPr="00F1537F" w:rsidRDefault="00471F97" w:rsidP="007445A8">
      <w:pPr>
        <w:spacing w:after="0" w:line="240" w:lineRule="auto"/>
        <w:rPr>
          <w:rFonts w:ascii="Times New Roman" w:hAnsi="Times New Roman"/>
          <w:i/>
          <w:sz w:val="24"/>
          <w:szCs w:val="24"/>
        </w:rPr>
      </w:pPr>
      <w:r w:rsidRPr="00F1537F">
        <w:rPr>
          <w:rFonts w:ascii="Times New Roman" w:hAnsi="Times New Roman"/>
          <w:i/>
          <w:sz w:val="24"/>
          <w:szCs w:val="24"/>
        </w:rPr>
        <w:t>Exemptions from Licensing</w:t>
      </w:r>
    </w:p>
    <w:p w14:paraId="3B64C33C" w14:textId="77777777" w:rsidR="00471F97" w:rsidRPr="00F1537F" w:rsidRDefault="00471F97" w:rsidP="007445A8">
      <w:pPr>
        <w:spacing w:after="0" w:line="240" w:lineRule="auto"/>
        <w:rPr>
          <w:rFonts w:ascii="Times New Roman" w:hAnsi="Times New Roman"/>
          <w:sz w:val="24"/>
          <w:szCs w:val="24"/>
        </w:rPr>
      </w:pPr>
    </w:p>
    <w:p w14:paraId="23A2B502"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A small hydroelectric project may be eligible for an exemption.  An exemption is not a form of deregulation; it is a statutory provision that allows an applicant to be exempt from some or all of Part I of the FPA, including the comprehensive development standard of FPA Section 10(a)(1).  There are two types of FERC exemptions:  (1) small conduit exemptions; and (2) small hydroelectric power project exemptions.  </w:t>
      </w:r>
    </w:p>
    <w:p w14:paraId="3406C9E5" w14:textId="77777777" w:rsidR="00471F97" w:rsidRPr="00F1537F" w:rsidRDefault="00471F97" w:rsidP="007445A8">
      <w:pPr>
        <w:spacing w:after="0" w:line="240" w:lineRule="auto"/>
        <w:rPr>
          <w:rFonts w:ascii="Times New Roman" w:hAnsi="Times New Roman"/>
          <w:sz w:val="24"/>
          <w:szCs w:val="24"/>
        </w:rPr>
      </w:pPr>
    </w:p>
    <w:p w14:paraId="037C2A91"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small conduit exemption, as defined in section 30 of the FPA,</w:t>
      </w:r>
      <w:r w:rsidRPr="00F1537F">
        <w:rPr>
          <w:rStyle w:val="FootnoteReference"/>
          <w:rFonts w:ascii="Times New Roman" w:hAnsi="Times New Roman"/>
          <w:b/>
          <w:sz w:val="24"/>
          <w:szCs w:val="24"/>
          <w:vertAlign w:val="superscript"/>
        </w:rPr>
        <w:footnoteReference w:id="6"/>
      </w:r>
      <w:r w:rsidRPr="00F1537F">
        <w:rPr>
          <w:rFonts w:ascii="Times New Roman" w:hAnsi="Times New Roman"/>
          <w:b/>
          <w:sz w:val="24"/>
          <w:szCs w:val="24"/>
        </w:rPr>
        <w:t xml:space="preserve"> </w:t>
      </w:r>
      <w:r w:rsidRPr="00F1537F">
        <w:rPr>
          <w:rFonts w:ascii="Times New Roman" w:hAnsi="Times New Roman"/>
          <w:sz w:val="24"/>
          <w:szCs w:val="24"/>
        </w:rPr>
        <w:t xml:space="preserve">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  </w:t>
      </w:r>
    </w:p>
    <w:p w14:paraId="4D799E05" w14:textId="77777777" w:rsidR="00471F97" w:rsidRPr="00F1537F" w:rsidRDefault="00471F97" w:rsidP="007445A8">
      <w:pPr>
        <w:spacing w:after="0" w:line="240" w:lineRule="auto"/>
        <w:rPr>
          <w:rFonts w:ascii="Times New Roman" w:hAnsi="Times New Roman"/>
          <w:sz w:val="24"/>
          <w:szCs w:val="24"/>
        </w:rPr>
      </w:pPr>
    </w:p>
    <w:p w14:paraId="4DAFF923"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10-MW exemption, as defined in the Public Utilities Regulatory Policies Act of 1978 (PURPA),</w:t>
      </w:r>
      <w:r w:rsidRPr="00F1537F">
        <w:rPr>
          <w:rStyle w:val="FootnoteReference"/>
          <w:rFonts w:ascii="Times New Roman" w:hAnsi="Times New Roman"/>
          <w:b/>
          <w:sz w:val="24"/>
          <w:szCs w:val="24"/>
          <w:vertAlign w:val="superscript"/>
        </w:rPr>
        <w:footnoteReference w:id="7"/>
      </w:r>
      <w:r w:rsidRPr="00F1537F">
        <w:rPr>
          <w:rFonts w:ascii="Times New Roman" w:hAnsi="Times New Roman"/>
          <w:sz w:val="24"/>
          <w:szCs w:val="24"/>
        </w:rPr>
        <w:t xml:space="preserve"> is a project that utilizes for electric generation the water potential of either an existing non-federal dam or a natural water feature (e.g., natural lake, water fall, gradient of a stream, etc.) without the need for a dam or man-made impoundment.  For both types of exemptions, the applicant must possess all real property rights at the time of filing unless the project is located on federal land.  </w:t>
      </w:r>
    </w:p>
    <w:p w14:paraId="72F58CF4" w14:textId="77777777" w:rsidR="00471F97" w:rsidRPr="00F1537F" w:rsidRDefault="00471F97" w:rsidP="007445A8">
      <w:pPr>
        <w:spacing w:after="0" w:line="240" w:lineRule="auto"/>
        <w:rPr>
          <w:rFonts w:ascii="Times New Roman" w:hAnsi="Times New Roman"/>
          <w:sz w:val="24"/>
          <w:szCs w:val="24"/>
        </w:rPr>
      </w:pPr>
    </w:p>
    <w:p w14:paraId="512D534B" w14:textId="77777777" w:rsidR="00471F97" w:rsidRPr="00F1537F" w:rsidRDefault="00471F97" w:rsidP="007445A8">
      <w:pPr>
        <w:spacing w:after="0" w:line="240" w:lineRule="auto"/>
        <w:rPr>
          <w:rFonts w:ascii="Times New Roman" w:hAnsi="Times New Roman"/>
          <w:i/>
          <w:sz w:val="24"/>
          <w:szCs w:val="24"/>
        </w:rPr>
      </w:pPr>
      <w:r w:rsidRPr="00F1537F">
        <w:rPr>
          <w:rFonts w:ascii="Times New Roman" w:hAnsi="Times New Roman"/>
          <w:i/>
          <w:sz w:val="24"/>
          <w:szCs w:val="24"/>
        </w:rPr>
        <w:t>Qualifying Conduit Hydropower Facilities</w:t>
      </w:r>
    </w:p>
    <w:p w14:paraId="52E13864" w14:textId="77777777" w:rsidR="00471F97" w:rsidRPr="00F1537F" w:rsidRDefault="00471F97" w:rsidP="007445A8">
      <w:pPr>
        <w:spacing w:after="0" w:line="240" w:lineRule="auto"/>
        <w:rPr>
          <w:rFonts w:ascii="Times New Roman" w:hAnsi="Times New Roman"/>
          <w:sz w:val="24"/>
          <w:szCs w:val="24"/>
        </w:rPr>
      </w:pPr>
    </w:p>
    <w:p w14:paraId="253D2D7F"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The Hydropower Efficiency Act created a subset of small conduit exemptions, called “qualifying conduit hydropower facilities,” which are not required to be licensed under Part I of the FPA.  A qualifying conduit hydropower facility is a facility that meets the following qualifying criteria:</w:t>
      </w:r>
    </w:p>
    <w:p w14:paraId="37071A75" w14:textId="77777777" w:rsidR="004C3C5F" w:rsidRPr="00F1537F" w:rsidRDefault="004C3C5F" w:rsidP="007445A8">
      <w:pPr>
        <w:spacing w:after="0" w:line="240" w:lineRule="auto"/>
        <w:rPr>
          <w:rFonts w:ascii="Times New Roman" w:hAnsi="Times New Roman"/>
          <w:sz w:val="24"/>
          <w:szCs w:val="24"/>
        </w:rPr>
      </w:pPr>
    </w:p>
    <w:p w14:paraId="268ED29F"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(1) the facility would be constructed, operated, or maintained for the generation of electric power using only the hydroelectric potential of a non-federally owned conduit, without the need for a dam or impoundment; </w:t>
      </w:r>
    </w:p>
    <w:p w14:paraId="5032E89D"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(2) the facility would have a total installed capacity that does not exceed 5 MW; and </w:t>
      </w:r>
    </w:p>
    <w:p w14:paraId="4C12BA7B" w14:textId="77777777" w:rsidR="00C532EB"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(3) the facility is not licensed under, or exempted from, the license requirements in Part I of the FPA on or before the date of enactment of the Hydropower Efficiency Act (i.e., August 9, 2013).  </w:t>
      </w:r>
    </w:p>
    <w:p w14:paraId="0588ECA9" w14:textId="77777777" w:rsidR="007445A8" w:rsidRPr="00F1537F" w:rsidRDefault="007445A8" w:rsidP="007445A8">
      <w:pPr>
        <w:spacing w:after="0" w:line="240" w:lineRule="auto"/>
        <w:ind w:left="720" w:hanging="360"/>
        <w:rPr>
          <w:rFonts w:ascii="Times New Roman" w:hAnsi="Times New Roman"/>
          <w:sz w:val="24"/>
          <w:szCs w:val="24"/>
        </w:rPr>
      </w:pPr>
    </w:p>
    <w:p w14:paraId="70EBB90D"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To obtain a determination that a project is a qualifying conduit hydropower facility, an entity must file with the Commission a notice of its intent to construct the facility that demonstrates the facility meets the qualifying criteria.</w:t>
      </w:r>
    </w:p>
    <w:p w14:paraId="1E2727A1" w14:textId="77777777" w:rsidR="00471F97" w:rsidRPr="00F1537F" w:rsidRDefault="00471F97" w:rsidP="007445A8">
      <w:pPr>
        <w:spacing w:after="0" w:line="240" w:lineRule="auto"/>
        <w:rPr>
          <w:rFonts w:ascii="Times New Roman" w:hAnsi="Times New Roman"/>
          <w:sz w:val="24"/>
          <w:szCs w:val="24"/>
        </w:rPr>
      </w:pPr>
    </w:p>
    <w:p w14:paraId="5F28015C" w14:textId="77777777" w:rsidR="00471F97" w:rsidRPr="00F1537F" w:rsidRDefault="00471F97" w:rsidP="007445A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1CC91744" w14:textId="77777777" w:rsidR="007445A8" w:rsidRDefault="007445A8" w:rsidP="007445A8">
      <w:pPr>
        <w:spacing w:after="0" w:line="240" w:lineRule="auto"/>
        <w:rPr>
          <w:rFonts w:ascii="Times New Roman" w:hAnsi="Times New Roman"/>
          <w:sz w:val="24"/>
          <w:szCs w:val="24"/>
        </w:rPr>
      </w:pPr>
    </w:p>
    <w:p w14:paraId="698E544E"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FERC-505 applications are used by Commission staff to determine the broad impact of the license/relicense or exemption proposal or determine whether a qualifying conduit hydropower facility meets the qualifying criteria.  An application must include certain information so stakeholders and the Commission can understand the proposed project, identify any environmental issues, identify any information needs or studies, and provide meaningful comments and recommendations on the proposed project.</w:t>
      </w:r>
    </w:p>
    <w:p w14:paraId="144534EA" w14:textId="77777777" w:rsidR="00471F97" w:rsidRPr="00F1537F" w:rsidRDefault="00471F97" w:rsidP="007445A8">
      <w:pPr>
        <w:spacing w:after="0" w:line="240" w:lineRule="auto"/>
        <w:rPr>
          <w:rFonts w:ascii="Times New Roman" w:hAnsi="Times New Roman"/>
          <w:sz w:val="24"/>
          <w:szCs w:val="24"/>
        </w:rPr>
      </w:pPr>
    </w:p>
    <w:p w14:paraId="3E0BC329"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Federal agencies with responsibilities under the FPA and other statutes, states, Indian tribes, and other participants have opportunities to request additional studies and provide comments and recommendations.  Federal agencies with mandatory conditioning authority also provide their conditions.  The Commission staff may ask for additional information that it needs for its environmental analysis.  All of this information is considered in the Commission staff's environmental review under the National Energy Policy Act (NEPA).  </w:t>
      </w:r>
    </w:p>
    <w:p w14:paraId="644AC0AD" w14:textId="77777777" w:rsidR="00471F97" w:rsidRPr="00F1537F" w:rsidRDefault="00471F97" w:rsidP="007445A8">
      <w:pPr>
        <w:spacing w:after="0" w:line="240" w:lineRule="auto"/>
        <w:rPr>
          <w:rFonts w:ascii="Times New Roman" w:hAnsi="Times New Roman"/>
          <w:sz w:val="24"/>
          <w:szCs w:val="24"/>
        </w:rPr>
      </w:pPr>
    </w:p>
    <w:p w14:paraId="22CEA350"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Submission of the data is necessary to fulfill the requirements of the FPA in order for the Commission to make the required finding that a proposal is economically, technically, and environmentally sound, and is best adapted to a comprehensive plan for improving and developing a waterway or waterways</w:t>
      </w:r>
      <w:r w:rsidR="00395E45">
        <w:rPr>
          <w:rFonts w:ascii="Times New Roman" w:hAnsi="Times New Roman"/>
          <w:sz w:val="24"/>
          <w:szCs w:val="24"/>
        </w:rPr>
        <w:t>.</w:t>
      </w:r>
    </w:p>
    <w:p w14:paraId="6C5BEE34" w14:textId="77777777" w:rsidR="00471F97" w:rsidRPr="00F1537F" w:rsidRDefault="00471F97" w:rsidP="007445A8">
      <w:pPr>
        <w:spacing w:after="0" w:line="240" w:lineRule="auto"/>
        <w:rPr>
          <w:rFonts w:ascii="Times New Roman" w:hAnsi="Times New Roman"/>
          <w:sz w:val="24"/>
          <w:szCs w:val="24"/>
        </w:rPr>
      </w:pPr>
    </w:p>
    <w:p w14:paraId="1DCE3F4C" w14:textId="77777777" w:rsidR="00471F97" w:rsidRPr="00F1537F" w:rsidRDefault="00471F97" w:rsidP="007445A8">
      <w:pPr>
        <w:spacing w:after="0" w:line="240" w:lineRule="auto"/>
        <w:rPr>
          <w:rFonts w:ascii="Times New Roman" w:hAnsi="Times New Roman"/>
          <w:i/>
          <w:sz w:val="24"/>
          <w:szCs w:val="24"/>
        </w:rPr>
      </w:pPr>
      <w:r w:rsidRPr="00F1537F">
        <w:rPr>
          <w:rFonts w:ascii="Times New Roman" w:hAnsi="Times New Roman"/>
          <w:i/>
          <w:sz w:val="24"/>
          <w:szCs w:val="24"/>
        </w:rPr>
        <w:t>Small Hydropower Project Licenses and Exemptions from Licensing</w:t>
      </w:r>
    </w:p>
    <w:p w14:paraId="0C5F0A93" w14:textId="77777777" w:rsidR="00471F97" w:rsidRPr="00F1537F" w:rsidRDefault="00471F97" w:rsidP="007445A8">
      <w:pPr>
        <w:spacing w:after="0" w:line="240" w:lineRule="auto"/>
        <w:rPr>
          <w:rFonts w:ascii="Times New Roman" w:hAnsi="Times New Roman"/>
          <w:sz w:val="24"/>
          <w:szCs w:val="24"/>
        </w:rPr>
      </w:pPr>
    </w:p>
    <w:p w14:paraId="3525533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Applicants can apply for licenses using one of three different options:  </w:t>
      </w:r>
    </w:p>
    <w:p w14:paraId="73F62617" w14:textId="77777777" w:rsidR="004C3C5F" w:rsidRPr="00F1537F" w:rsidRDefault="004C3C5F" w:rsidP="007445A8">
      <w:pPr>
        <w:spacing w:after="0" w:line="240" w:lineRule="auto"/>
        <w:rPr>
          <w:rFonts w:ascii="Times New Roman" w:hAnsi="Times New Roman"/>
          <w:sz w:val="24"/>
          <w:szCs w:val="24"/>
        </w:rPr>
      </w:pPr>
    </w:p>
    <w:p w14:paraId="45203AA3" w14:textId="77777777" w:rsidR="00471F97" w:rsidRPr="00F1537F" w:rsidRDefault="00471F97" w:rsidP="007445A8">
      <w:pPr>
        <w:spacing w:after="0" w:line="240" w:lineRule="auto"/>
        <w:ind w:firstLine="360"/>
        <w:rPr>
          <w:rFonts w:ascii="Times New Roman" w:hAnsi="Times New Roman"/>
          <w:sz w:val="24"/>
          <w:szCs w:val="24"/>
        </w:rPr>
      </w:pPr>
      <w:r w:rsidRPr="00F1537F">
        <w:rPr>
          <w:rFonts w:ascii="Times New Roman" w:hAnsi="Times New Roman"/>
          <w:sz w:val="24"/>
          <w:szCs w:val="24"/>
        </w:rPr>
        <w:t xml:space="preserve">(1) the traditional license process, </w:t>
      </w:r>
    </w:p>
    <w:p w14:paraId="007669D8" w14:textId="77777777" w:rsidR="00471F97" w:rsidRPr="00F1537F" w:rsidRDefault="00471F97" w:rsidP="007445A8">
      <w:pPr>
        <w:spacing w:after="0" w:line="240" w:lineRule="auto"/>
        <w:ind w:firstLine="360"/>
        <w:rPr>
          <w:rFonts w:ascii="Times New Roman" w:hAnsi="Times New Roman"/>
          <w:sz w:val="24"/>
          <w:szCs w:val="24"/>
        </w:rPr>
      </w:pPr>
      <w:r w:rsidRPr="00F1537F">
        <w:rPr>
          <w:rFonts w:ascii="Times New Roman" w:hAnsi="Times New Roman"/>
          <w:sz w:val="24"/>
          <w:szCs w:val="24"/>
        </w:rPr>
        <w:t xml:space="preserve">(2) alternative license process, </w:t>
      </w:r>
    </w:p>
    <w:p w14:paraId="59C722CA" w14:textId="77777777" w:rsidR="00471F97" w:rsidRPr="00F1537F" w:rsidRDefault="00471F97" w:rsidP="007445A8">
      <w:pPr>
        <w:spacing w:after="0" w:line="240" w:lineRule="auto"/>
        <w:ind w:firstLine="360"/>
        <w:rPr>
          <w:rFonts w:ascii="Times New Roman" w:hAnsi="Times New Roman"/>
          <w:sz w:val="24"/>
          <w:szCs w:val="24"/>
        </w:rPr>
      </w:pPr>
      <w:r w:rsidRPr="00F1537F">
        <w:rPr>
          <w:rFonts w:ascii="Times New Roman" w:hAnsi="Times New Roman"/>
          <w:sz w:val="24"/>
          <w:szCs w:val="24"/>
        </w:rPr>
        <w:t>(3) or integrated license process (ILP).  The ILP is the default process and enables potential licenses to conduct pre-filing consultation and the Commission’s scoping process concurrently rather than sequentially.</w:t>
      </w:r>
    </w:p>
    <w:p w14:paraId="478E7660" w14:textId="77777777" w:rsidR="00471F97" w:rsidRPr="00F1537F" w:rsidRDefault="00471F97" w:rsidP="007445A8">
      <w:pPr>
        <w:spacing w:after="0" w:line="240" w:lineRule="auto"/>
        <w:rPr>
          <w:rFonts w:ascii="Times New Roman" w:hAnsi="Times New Roman"/>
          <w:sz w:val="24"/>
          <w:szCs w:val="24"/>
        </w:rPr>
      </w:pPr>
    </w:p>
    <w:p w14:paraId="3F6021C2" w14:textId="77777777" w:rsidR="00471F97" w:rsidRPr="00F1537F" w:rsidRDefault="00471F97" w:rsidP="007445A8">
      <w:pPr>
        <w:numPr>
          <w:ilvl w:val="0"/>
          <w:numId w:val="6"/>
        </w:numPr>
        <w:spacing w:after="0" w:line="240" w:lineRule="auto"/>
        <w:rPr>
          <w:rFonts w:ascii="Times New Roman" w:hAnsi="Times New Roman"/>
          <w:sz w:val="24"/>
          <w:szCs w:val="24"/>
        </w:rPr>
      </w:pPr>
      <w:r w:rsidRPr="00F1537F">
        <w:rPr>
          <w:rFonts w:ascii="Times New Roman" w:hAnsi="Times New Roman"/>
          <w:sz w:val="24"/>
          <w:szCs w:val="24"/>
        </w:rPr>
        <w:t>The application for a small hydropower license, per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 xml:space="preserve"> 4.61(b), includes the following information:</w:t>
      </w:r>
    </w:p>
    <w:p w14:paraId="65FBE3FE" w14:textId="77777777" w:rsidR="00471F97" w:rsidRPr="00F1537F" w:rsidRDefault="00471F97" w:rsidP="007445A8">
      <w:pPr>
        <w:numPr>
          <w:ilvl w:val="0"/>
          <w:numId w:val="5"/>
        </w:numPr>
        <w:tabs>
          <w:tab w:val="left" w:pos="1080"/>
        </w:tabs>
        <w:spacing w:after="0" w:line="240" w:lineRule="auto"/>
        <w:rPr>
          <w:rFonts w:ascii="Times New Roman" w:hAnsi="Times New Roman"/>
          <w:sz w:val="24"/>
          <w:szCs w:val="24"/>
        </w:rPr>
      </w:pPr>
      <w:r w:rsidRPr="00F1537F">
        <w:rPr>
          <w:rFonts w:ascii="Times New Roman" w:hAnsi="Times New Roman"/>
          <w:sz w:val="24"/>
          <w:szCs w:val="24"/>
        </w:rPr>
        <w:t>An initial statement</w:t>
      </w:r>
    </w:p>
    <w:p w14:paraId="0B668349" w14:textId="77777777" w:rsidR="00471F97" w:rsidRPr="00F1537F" w:rsidRDefault="00471F97" w:rsidP="007445A8">
      <w:pPr>
        <w:numPr>
          <w:ilvl w:val="0"/>
          <w:numId w:val="5"/>
        </w:numPr>
        <w:tabs>
          <w:tab w:val="left" w:pos="1080"/>
        </w:tabs>
        <w:spacing w:after="0" w:line="240" w:lineRule="auto"/>
        <w:rPr>
          <w:rFonts w:ascii="Times New Roman" w:hAnsi="Times New Roman"/>
          <w:sz w:val="24"/>
          <w:szCs w:val="24"/>
        </w:rPr>
      </w:pPr>
      <w:r w:rsidRPr="00F1537F">
        <w:rPr>
          <w:rFonts w:ascii="Times New Roman" w:hAnsi="Times New Roman"/>
          <w:sz w:val="24"/>
          <w:szCs w:val="24"/>
        </w:rPr>
        <w:t>Exhibit A:  a description of the proposed hydroelectric facilities and the proposed mode of operation</w:t>
      </w:r>
    </w:p>
    <w:p w14:paraId="76C72C3B" w14:textId="77777777" w:rsidR="00471F97" w:rsidRPr="00F1537F" w:rsidRDefault="00471F97" w:rsidP="007445A8">
      <w:pPr>
        <w:numPr>
          <w:ilvl w:val="0"/>
          <w:numId w:val="5"/>
        </w:numPr>
        <w:tabs>
          <w:tab w:val="left" w:pos="1080"/>
        </w:tabs>
        <w:spacing w:after="0" w:line="240" w:lineRule="auto"/>
        <w:rPr>
          <w:rFonts w:ascii="Times New Roman" w:hAnsi="Times New Roman"/>
          <w:sz w:val="24"/>
          <w:szCs w:val="24"/>
        </w:rPr>
      </w:pPr>
      <w:r w:rsidRPr="00F1537F">
        <w:rPr>
          <w:rFonts w:ascii="Times New Roman" w:hAnsi="Times New Roman"/>
          <w:sz w:val="24"/>
          <w:szCs w:val="24"/>
        </w:rPr>
        <w:t>Exhibit E:  an environmental report</w:t>
      </w:r>
    </w:p>
    <w:p w14:paraId="51F8D3C9" w14:textId="77777777" w:rsidR="00471F97" w:rsidRPr="00F1537F" w:rsidRDefault="00471F97" w:rsidP="007445A8">
      <w:pPr>
        <w:numPr>
          <w:ilvl w:val="0"/>
          <w:numId w:val="5"/>
        </w:numPr>
        <w:tabs>
          <w:tab w:val="left" w:pos="1080"/>
        </w:tabs>
        <w:spacing w:after="0" w:line="240" w:lineRule="auto"/>
        <w:rPr>
          <w:rFonts w:ascii="Times New Roman" w:hAnsi="Times New Roman"/>
          <w:sz w:val="24"/>
          <w:szCs w:val="24"/>
        </w:rPr>
      </w:pPr>
      <w:r w:rsidRPr="00F1537F">
        <w:rPr>
          <w:rFonts w:ascii="Times New Roman" w:hAnsi="Times New Roman"/>
          <w:sz w:val="24"/>
          <w:szCs w:val="24"/>
        </w:rPr>
        <w:t>Exhibit F:  drawings of the hydroelectric structures and equipment</w:t>
      </w:r>
    </w:p>
    <w:p w14:paraId="51E1A5B4" w14:textId="77777777" w:rsidR="00471F97" w:rsidRPr="00F1537F" w:rsidRDefault="00471F97" w:rsidP="007445A8">
      <w:pPr>
        <w:numPr>
          <w:ilvl w:val="0"/>
          <w:numId w:val="5"/>
        </w:numPr>
        <w:tabs>
          <w:tab w:val="left" w:pos="1080"/>
        </w:tabs>
        <w:spacing w:after="0" w:line="240" w:lineRule="auto"/>
        <w:rPr>
          <w:rFonts w:ascii="Times New Roman" w:hAnsi="Times New Roman"/>
          <w:sz w:val="24"/>
          <w:szCs w:val="24"/>
        </w:rPr>
      </w:pPr>
      <w:r w:rsidRPr="00F1537F">
        <w:rPr>
          <w:rFonts w:ascii="Times New Roman" w:hAnsi="Times New Roman"/>
          <w:sz w:val="24"/>
          <w:szCs w:val="24"/>
        </w:rPr>
        <w:t>Exhibit G:  a map of the project and boundary</w:t>
      </w:r>
    </w:p>
    <w:p w14:paraId="589EC281" w14:textId="77777777" w:rsidR="00471F97" w:rsidRPr="00F1537F" w:rsidRDefault="00471F97" w:rsidP="007445A8">
      <w:pPr>
        <w:numPr>
          <w:ilvl w:val="0"/>
          <w:numId w:val="5"/>
        </w:numPr>
        <w:tabs>
          <w:tab w:val="left" w:pos="1080"/>
        </w:tabs>
        <w:spacing w:after="0" w:line="240" w:lineRule="auto"/>
        <w:rPr>
          <w:rFonts w:ascii="Times New Roman" w:hAnsi="Times New Roman"/>
          <w:sz w:val="24"/>
          <w:szCs w:val="24"/>
        </w:rPr>
      </w:pPr>
      <w:r w:rsidRPr="00F1537F">
        <w:rPr>
          <w:rFonts w:ascii="Times New Roman" w:hAnsi="Times New Roman"/>
          <w:sz w:val="24"/>
          <w:szCs w:val="24"/>
        </w:rPr>
        <w:t>Explanation of how and why the project would, or would not, or should not comply with any relevant comprehensive plan, as defined in 18 C</w:t>
      </w:r>
      <w:r w:rsidR="00480D2F" w:rsidRPr="00F1537F">
        <w:rPr>
          <w:rFonts w:ascii="Times New Roman" w:hAnsi="Times New Roman"/>
          <w:sz w:val="24"/>
          <w:szCs w:val="24"/>
        </w:rPr>
        <w:t>.</w:t>
      </w:r>
      <w:r w:rsidRPr="00F1537F">
        <w:rPr>
          <w:rFonts w:ascii="Times New Roman" w:hAnsi="Times New Roman"/>
          <w:sz w:val="24"/>
          <w:szCs w:val="24"/>
        </w:rPr>
        <w:t>F</w:t>
      </w:r>
      <w:r w:rsidR="00480D2F" w:rsidRPr="00F1537F">
        <w:rPr>
          <w:rFonts w:ascii="Times New Roman" w:hAnsi="Times New Roman"/>
          <w:sz w:val="24"/>
          <w:szCs w:val="24"/>
        </w:rPr>
        <w:t>.</w:t>
      </w:r>
      <w:r w:rsidRPr="00F1537F">
        <w:rPr>
          <w:rFonts w:ascii="Times New Roman" w:hAnsi="Times New Roman"/>
          <w:sz w:val="24"/>
          <w:szCs w:val="24"/>
        </w:rPr>
        <w:t>R</w:t>
      </w:r>
      <w:r w:rsidR="00480D2F" w:rsidRPr="00F1537F">
        <w:rPr>
          <w:rFonts w:ascii="Times New Roman" w:hAnsi="Times New Roman"/>
          <w:sz w:val="24"/>
          <w:szCs w:val="24"/>
        </w:rPr>
        <w:t>.</w:t>
      </w:r>
      <w:r w:rsidRPr="00F1537F">
        <w:rPr>
          <w:rFonts w:ascii="Times New Roman" w:hAnsi="Times New Roman"/>
          <w:sz w:val="24"/>
          <w:szCs w:val="24"/>
        </w:rPr>
        <w:t xml:space="preserve"> 2.19</w:t>
      </w:r>
    </w:p>
    <w:p w14:paraId="5D98C014" w14:textId="77777777" w:rsidR="00471F97" w:rsidRPr="00F1537F" w:rsidRDefault="00471F97" w:rsidP="007445A8">
      <w:pPr>
        <w:numPr>
          <w:ilvl w:val="0"/>
          <w:numId w:val="5"/>
        </w:numPr>
        <w:tabs>
          <w:tab w:val="left" w:pos="1080"/>
        </w:tabs>
        <w:spacing w:after="0" w:line="240" w:lineRule="auto"/>
        <w:rPr>
          <w:rFonts w:ascii="Times New Roman" w:hAnsi="Times New Roman"/>
          <w:sz w:val="24"/>
          <w:szCs w:val="24"/>
        </w:rPr>
      </w:pPr>
      <w:r w:rsidRPr="00F1537F">
        <w:rPr>
          <w:rFonts w:ascii="Times New Roman" w:hAnsi="Times New Roman"/>
          <w:sz w:val="24"/>
          <w:szCs w:val="24"/>
        </w:rPr>
        <w:t>A verification statement</w:t>
      </w:r>
    </w:p>
    <w:p w14:paraId="480DAAB6" w14:textId="77777777" w:rsidR="00471F97" w:rsidRPr="00F1537F" w:rsidRDefault="00471F97" w:rsidP="007445A8">
      <w:pPr>
        <w:spacing w:after="0" w:line="240" w:lineRule="auto"/>
        <w:rPr>
          <w:rFonts w:ascii="Times New Roman" w:hAnsi="Times New Roman"/>
          <w:sz w:val="24"/>
          <w:szCs w:val="24"/>
        </w:rPr>
      </w:pPr>
    </w:p>
    <w:p w14:paraId="4F5AF417" w14:textId="77777777" w:rsidR="00471F97" w:rsidRDefault="00471F97" w:rsidP="007445A8">
      <w:pPr>
        <w:numPr>
          <w:ilvl w:val="0"/>
          <w:numId w:val="6"/>
        </w:numPr>
        <w:spacing w:after="0" w:line="240" w:lineRule="auto"/>
        <w:rPr>
          <w:rFonts w:ascii="Times New Roman" w:hAnsi="Times New Roman"/>
          <w:sz w:val="24"/>
          <w:szCs w:val="24"/>
        </w:rPr>
      </w:pPr>
      <w:r w:rsidRPr="00F1537F">
        <w:rPr>
          <w:rFonts w:ascii="Times New Roman" w:hAnsi="Times New Roman"/>
          <w:sz w:val="24"/>
          <w:szCs w:val="24"/>
        </w:rPr>
        <w:t>An application for a 10-MW exemption, per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 xml:space="preserve"> 4.107(b), includes the following information:</w:t>
      </w:r>
    </w:p>
    <w:p w14:paraId="6F52E660" w14:textId="77777777" w:rsidR="00782DCD" w:rsidRPr="00F1537F" w:rsidRDefault="00782DCD" w:rsidP="00782DCD">
      <w:pPr>
        <w:spacing w:after="0" w:line="240" w:lineRule="auto"/>
        <w:ind w:left="720"/>
        <w:rPr>
          <w:rFonts w:ascii="Times New Roman" w:hAnsi="Times New Roman"/>
          <w:sz w:val="24"/>
          <w:szCs w:val="24"/>
        </w:rPr>
      </w:pPr>
    </w:p>
    <w:p w14:paraId="5A5CF0C7" w14:textId="77777777" w:rsidR="00471F97" w:rsidRPr="00F1537F" w:rsidRDefault="00471F97" w:rsidP="007445A8">
      <w:pPr>
        <w:numPr>
          <w:ilvl w:val="0"/>
          <w:numId w:val="4"/>
        </w:numPr>
        <w:tabs>
          <w:tab w:val="left" w:pos="1080"/>
        </w:tabs>
        <w:spacing w:after="0" w:line="240" w:lineRule="auto"/>
        <w:ind w:left="1080"/>
        <w:rPr>
          <w:rFonts w:ascii="Times New Roman" w:hAnsi="Times New Roman"/>
          <w:sz w:val="24"/>
          <w:szCs w:val="24"/>
        </w:rPr>
      </w:pPr>
      <w:r w:rsidRPr="00F1537F">
        <w:rPr>
          <w:rFonts w:ascii="Times New Roman" w:hAnsi="Times New Roman"/>
          <w:sz w:val="24"/>
          <w:szCs w:val="24"/>
        </w:rPr>
        <w:t>An introductory statement</w:t>
      </w:r>
    </w:p>
    <w:p w14:paraId="3A8DDE88" w14:textId="77777777" w:rsidR="00471F97" w:rsidRPr="00F1537F" w:rsidRDefault="00471F97" w:rsidP="007445A8">
      <w:pPr>
        <w:numPr>
          <w:ilvl w:val="0"/>
          <w:numId w:val="4"/>
        </w:numPr>
        <w:tabs>
          <w:tab w:val="left" w:pos="1080"/>
        </w:tabs>
        <w:spacing w:after="0" w:line="240" w:lineRule="auto"/>
        <w:ind w:left="1080"/>
        <w:rPr>
          <w:rFonts w:ascii="Times New Roman" w:hAnsi="Times New Roman"/>
          <w:sz w:val="24"/>
          <w:szCs w:val="24"/>
        </w:rPr>
      </w:pPr>
      <w:r w:rsidRPr="00F1537F">
        <w:rPr>
          <w:rFonts w:ascii="Times New Roman" w:hAnsi="Times New Roman"/>
          <w:sz w:val="24"/>
          <w:szCs w:val="24"/>
        </w:rPr>
        <w:t>Exhibit A:  a description of the 10-MW hydroelectric facilities and the proposed mode of operation</w:t>
      </w:r>
    </w:p>
    <w:p w14:paraId="6F9ED1E2" w14:textId="77777777" w:rsidR="00471F97" w:rsidRPr="00F1537F" w:rsidRDefault="00471F97" w:rsidP="007445A8">
      <w:pPr>
        <w:numPr>
          <w:ilvl w:val="0"/>
          <w:numId w:val="4"/>
        </w:numPr>
        <w:tabs>
          <w:tab w:val="left" w:pos="1080"/>
        </w:tabs>
        <w:spacing w:after="0" w:line="240" w:lineRule="auto"/>
        <w:ind w:left="1080"/>
        <w:rPr>
          <w:rFonts w:ascii="Times New Roman" w:hAnsi="Times New Roman"/>
          <w:sz w:val="24"/>
          <w:szCs w:val="24"/>
        </w:rPr>
      </w:pPr>
      <w:r w:rsidRPr="00F1537F">
        <w:rPr>
          <w:rFonts w:ascii="Times New Roman" w:hAnsi="Times New Roman"/>
          <w:sz w:val="24"/>
          <w:szCs w:val="24"/>
        </w:rPr>
        <w:t>Exhibit E:  an environmental report</w:t>
      </w:r>
    </w:p>
    <w:p w14:paraId="3AE6BA12" w14:textId="77777777" w:rsidR="00471F97" w:rsidRPr="00F1537F" w:rsidRDefault="00471F97" w:rsidP="007445A8">
      <w:pPr>
        <w:numPr>
          <w:ilvl w:val="0"/>
          <w:numId w:val="4"/>
        </w:numPr>
        <w:tabs>
          <w:tab w:val="left" w:pos="1080"/>
        </w:tabs>
        <w:spacing w:after="0" w:line="240" w:lineRule="auto"/>
        <w:ind w:left="1080"/>
        <w:rPr>
          <w:rFonts w:ascii="Times New Roman" w:hAnsi="Times New Roman"/>
          <w:sz w:val="24"/>
          <w:szCs w:val="24"/>
        </w:rPr>
      </w:pPr>
      <w:r w:rsidRPr="00F1537F">
        <w:rPr>
          <w:rFonts w:ascii="Times New Roman" w:hAnsi="Times New Roman"/>
          <w:sz w:val="24"/>
          <w:szCs w:val="24"/>
        </w:rPr>
        <w:t>Exhibit F:  drawings of the hydroelectric structures and equipment</w:t>
      </w:r>
    </w:p>
    <w:p w14:paraId="407D1ED4" w14:textId="77777777" w:rsidR="00471F97" w:rsidRPr="00F1537F" w:rsidRDefault="00471F97" w:rsidP="007445A8">
      <w:pPr>
        <w:numPr>
          <w:ilvl w:val="0"/>
          <w:numId w:val="4"/>
        </w:numPr>
        <w:tabs>
          <w:tab w:val="left" w:pos="1080"/>
        </w:tabs>
        <w:spacing w:after="0" w:line="240" w:lineRule="auto"/>
        <w:ind w:left="1080"/>
        <w:rPr>
          <w:rFonts w:ascii="Times New Roman" w:hAnsi="Times New Roman"/>
          <w:sz w:val="24"/>
          <w:szCs w:val="24"/>
        </w:rPr>
      </w:pPr>
      <w:r w:rsidRPr="00F1537F">
        <w:rPr>
          <w:rFonts w:ascii="Times New Roman" w:hAnsi="Times New Roman"/>
          <w:sz w:val="24"/>
          <w:szCs w:val="24"/>
        </w:rPr>
        <w:t>Exhibit G:  a map of the project and boundary</w:t>
      </w:r>
    </w:p>
    <w:p w14:paraId="1B148023" w14:textId="77777777" w:rsidR="00471F97" w:rsidRPr="00F1537F" w:rsidRDefault="00471F97" w:rsidP="007445A8">
      <w:pPr>
        <w:numPr>
          <w:ilvl w:val="0"/>
          <w:numId w:val="4"/>
        </w:numPr>
        <w:tabs>
          <w:tab w:val="left" w:pos="1080"/>
        </w:tabs>
        <w:spacing w:after="0" w:line="240" w:lineRule="auto"/>
        <w:ind w:left="1080"/>
        <w:rPr>
          <w:rFonts w:ascii="Times New Roman" w:hAnsi="Times New Roman"/>
          <w:sz w:val="24"/>
          <w:szCs w:val="24"/>
        </w:rPr>
      </w:pPr>
      <w:r w:rsidRPr="00F1537F">
        <w:rPr>
          <w:rFonts w:ascii="Times New Roman" w:hAnsi="Times New Roman"/>
          <w:sz w:val="24"/>
          <w:szCs w:val="24"/>
        </w:rPr>
        <w:t>A verification statement</w:t>
      </w:r>
    </w:p>
    <w:p w14:paraId="7C847F60" w14:textId="77777777" w:rsidR="00471F97" w:rsidRPr="00F1537F" w:rsidRDefault="00471F97" w:rsidP="007445A8">
      <w:pPr>
        <w:spacing w:after="0" w:line="240" w:lineRule="auto"/>
        <w:rPr>
          <w:rFonts w:ascii="Times New Roman" w:hAnsi="Times New Roman"/>
          <w:sz w:val="24"/>
          <w:szCs w:val="24"/>
        </w:rPr>
      </w:pPr>
    </w:p>
    <w:p w14:paraId="02177CB7" w14:textId="77777777" w:rsidR="00471F97" w:rsidRPr="00F1537F" w:rsidRDefault="00471F97" w:rsidP="007445A8">
      <w:pPr>
        <w:numPr>
          <w:ilvl w:val="0"/>
          <w:numId w:val="6"/>
        </w:numPr>
        <w:spacing w:after="0" w:line="240" w:lineRule="auto"/>
        <w:rPr>
          <w:rFonts w:ascii="Times New Roman" w:hAnsi="Times New Roman"/>
          <w:sz w:val="24"/>
          <w:szCs w:val="24"/>
        </w:rPr>
      </w:pPr>
      <w:r w:rsidRPr="00F1537F">
        <w:rPr>
          <w:rFonts w:ascii="Times New Roman" w:hAnsi="Times New Roman"/>
          <w:sz w:val="24"/>
          <w:szCs w:val="24"/>
        </w:rPr>
        <w:t>An application for a small conduit exemption,</w:t>
      </w:r>
      <w:r w:rsidRPr="00F1537F">
        <w:rPr>
          <w:rFonts w:ascii="Times New Roman" w:hAnsi="Times New Roman"/>
          <w:sz w:val="24"/>
          <w:szCs w:val="24"/>
          <w:vertAlign w:val="superscript"/>
        </w:rPr>
        <w:t xml:space="preserve"> </w:t>
      </w:r>
      <w:bookmarkStart w:id="1" w:name="_Ref406676969"/>
      <w:r w:rsidRPr="00F1537F">
        <w:rPr>
          <w:rFonts w:ascii="Times New Roman" w:hAnsi="Times New Roman"/>
          <w:b/>
          <w:sz w:val="24"/>
          <w:szCs w:val="24"/>
          <w:vertAlign w:val="superscript"/>
        </w:rPr>
        <w:footnoteReference w:id="8"/>
      </w:r>
      <w:bookmarkEnd w:id="1"/>
      <w:r w:rsidRPr="00F1537F">
        <w:rPr>
          <w:rFonts w:ascii="Times New Roman" w:hAnsi="Times New Roman"/>
          <w:sz w:val="24"/>
          <w:szCs w:val="24"/>
        </w:rPr>
        <w:t xml:space="preserve"> per 18 C</w:t>
      </w:r>
      <w:r w:rsidR="00480D2F" w:rsidRPr="00F1537F">
        <w:rPr>
          <w:rFonts w:ascii="Times New Roman" w:hAnsi="Times New Roman"/>
          <w:sz w:val="24"/>
          <w:szCs w:val="24"/>
        </w:rPr>
        <w:t>.</w:t>
      </w:r>
      <w:r w:rsidRPr="00F1537F">
        <w:rPr>
          <w:rFonts w:ascii="Times New Roman" w:hAnsi="Times New Roman"/>
          <w:sz w:val="24"/>
          <w:szCs w:val="24"/>
        </w:rPr>
        <w:t>F</w:t>
      </w:r>
      <w:r w:rsidR="00480D2F" w:rsidRPr="00F1537F">
        <w:rPr>
          <w:rFonts w:ascii="Times New Roman" w:hAnsi="Times New Roman"/>
          <w:sz w:val="24"/>
          <w:szCs w:val="24"/>
        </w:rPr>
        <w:t>.</w:t>
      </w:r>
      <w:r w:rsidRPr="00F1537F">
        <w:rPr>
          <w:rFonts w:ascii="Times New Roman" w:hAnsi="Times New Roman"/>
          <w:sz w:val="24"/>
          <w:szCs w:val="24"/>
        </w:rPr>
        <w:t>R</w:t>
      </w:r>
      <w:r w:rsidR="00480D2F" w:rsidRPr="00F1537F">
        <w:rPr>
          <w:rFonts w:ascii="Times New Roman" w:hAnsi="Times New Roman"/>
          <w:sz w:val="24"/>
          <w:szCs w:val="24"/>
        </w:rPr>
        <w:t>.</w:t>
      </w:r>
      <w:r w:rsidRPr="00F1537F">
        <w:rPr>
          <w:rFonts w:ascii="Times New Roman" w:hAnsi="Times New Roman"/>
          <w:sz w:val="24"/>
          <w:szCs w:val="24"/>
        </w:rPr>
        <w:t xml:space="preserve"> 4.92, includes the following information:</w:t>
      </w:r>
    </w:p>
    <w:p w14:paraId="5A182F40" w14:textId="77777777" w:rsidR="004C3C5F" w:rsidRPr="00F1537F" w:rsidRDefault="004C3C5F" w:rsidP="007445A8">
      <w:pPr>
        <w:spacing w:after="0" w:line="240" w:lineRule="auto"/>
        <w:ind w:left="720"/>
        <w:rPr>
          <w:rFonts w:ascii="Times New Roman" w:hAnsi="Times New Roman"/>
          <w:sz w:val="24"/>
          <w:szCs w:val="24"/>
        </w:rPr>
      </w:pPr>
    </w:p>
    <w:p w14:paraId="6CD9A1FC" w14:textId="77777777" w:rsidR="00471F97" w:rsidRPr="00F1537F" w:rsidRDefault="00471F97" w:rsidP="007445A8">
      <w:pPr>
        <w:numPr>
          <w:ilvl w:val="0"/>
          <w:numId w:val="3"/>
        </w:numPr>
        <w:spacing w:after="0" w:line="240" w:lineRule="auto"/>
        <w:ind w:left="1080"/>
        <w:rPr>
          <w:rFonts w:ascii="Times New Roman" w:hAnsi="Times New Roman"/>
          <w:sz w:val="24"/>
          <w:szCs w:val="24"/>
        </w:rPr>
      </w:pPr>
      <w:r w:rsidRPr="00F1537F">
        <w:rPr>
          <w:rFonts w:ascii="Times New Roman" w:hAnsi="Times New Roman"/>
          <w:sz w:val="24"/>
          <w:szCs w:val="24"/>
        </w:rPr>
        <w:t>An introductory statement</w:t>
      </w:r>
    </w:p>
    <w:p w14:paraId="74283B6D" w14:textId="77777777" w:rsidR="00471F97" w:rsidRPr="00F1537F" w:rsidRDefault="00471F97" w:rsidP="007445A8">
      <w:pPr>
        <w:numPr>
          <w:ilvl w:val="0"/>
          <w:numId w:val="3"/>
        </w:numPr>
        <w:spacing w:after="0" w:line="240" w:lineRule="auto"/>
        <w:ind w:left="1080"/>
        <w:rPr>
          <w:rFonts w:ascii="Times New Roman" w:hAnsi="Times New Roman"/>
          <w:sz w:val="24"/>
          <w:szCs w:val="24"/>
        </w:rPr>
      </w:pPr>
      <w:r w:rsidRPr="00F1537F">
        <w:rPr>
          <w:rFonts w:ascii="Times New Roman" w:hAnsi="Times New Roman"/>
          <w:sz w:val="24"/>
          <w:szCs w:val="24"/>
        </w:rPr>
        <w:t>Exhibit A:  a description of the small conduit hydroelectric facilities and the proposed mode of operation</w:t>
      </w:r>
    </w:p>
    <w:p w14:paraId="467CC09B" w14:textId="77777777" w:rsidR="00471F97" w:rsidRPr="00F1537F" w:rsidRDefault="00471F97" w:rsidP="007445A8">
      <w:pPr>
        <w:numPr>
          <w:ilvl w:val="0"/>
          <w:numId w:val="3"/>
        </w:numPr>
        <w:spacing w:after="0" w:line="240" w:lineRule="auto"/>
        <w:ind w:left="1080"/>
        <w:rPr>
          <w:rFonts w:ascii="Times New Roman" w:hAnsi="Times New Roman"/>
          <w:sz w:val="24"/>
          <w:szCs w:val="24"/>
        </w:rPr>
      </w:pPr>
      <w:r w:rsidRPr="00F1537F">
        <w:rPr>
          <w:rFonts w:ascii="Times New Roman" w:hAnsi="Times New Roman"/>
          <w:sz w:val="24"/>
          <w:szCs w:val="24"/>
        </w:rPr>
        <w:t>Exhibit E:  an environmental report</w:t>
      </w:r>
    </w:p>
    <w:p w14:paraId="3AF5C576" w14:textId="77777777" w:rsidR="00471F97" w:rsidRPr="00F1537F" w:rsidRDefault="00471F97" w:rsidP="007445A8">
      <w:pPr>
        <w:numPr>
          <w:ilvl w:val="0"/>
          <w:numId w:val="3"/>
        </w:numPr>
        <w:spacing w:after="0" w:line="240" w:lineRule="auto"/>
        <w:ind w:left="1080"/>
        <w:rPr>
          <w:rFonts w:ascii="Times New Roman" w:hAnsi="Times New Roman"/>
          <w:sz w:val="24"/>
          <w:szCs w:val="24"/>
        </w:rPr>
      </w:pPr>
      <w:r w:rsidRPr="00F1537F">
        <w:rPr>
          <w:rFonts w:ascii="Times New Roman" w:hAnsi="Times New Roman"/>
          <w:sz w:val="24"/>
          <w:szCs w:val="24"/>
        </w:rPr>
        <w:t>Exhibit F:  drawings of the hydroelectric structures and equipment</w:t>
      </w:r>
    </w:p>
    <w:p w14:paraId="01A520D4" w14:textId="77777777" w:rsidR="00471F97" w:rsidRPr="00F1537F" w:rsidRDefault="00471F97" w:rsidP="007445A8">
      <w:pPr>
        <w:numPr>
          <w:ilvl w:val="0"/>
          <w:numId w:val="3"/>
        </w:numPr>
        <w:spacing w:after="0" w:line="240" w:lineRule="auto"/>
        <w:ind w:left="1080"/>
        <w:rPr>
          <w:rFonts w:ascii="Times New Roman" w:hAnsi="Times New Roman"/>
          <w:sz w:val="24"/>
          <w:szCs w:val="24"/>
        </w:rPr>
      </w:pPr>
      <w:r w:rsidRPr="00F1537F">
        <w:rPr>
          <w:rFonts w:ascii="Times New Roman" w:hAnsi="Times New Roman"/>
          <w:sz w:val="24"/>
          <w:szCs w:val="24"/>
        </w:rPr>
        <w:t>Exhibit G:  a map of the project and boundary</w:t>
      </w:r>
    </w:p>
    <w:p w14:paraId="36E91A24" w14:textId="77777777" w:rsidR="00D36922" w:rsidRPr="00F1537F" w:rsidRDefault="00D36922" w:rsidP="007445A8">
      <w:pPr>
        <w:numPr>
          <w:ilvl w:val="0"/>
          <w:numId w:val="3"/>
        </w:numPr>
        <w:spacing w:after="0" w:line="240" w:lineRule="auto"/>
        <w:ind w:left="1080"/>
        <w:rPr>
          <w:rFonts w:ascii="Times New Roman" w:hAnsi="Times New Roman"/>
          <w:sz w:val="24"/>
          <w:szCs w:val="24"/>
        </w:rPr>
      </w:pPr>
      <w:r w:rsidRPr="00F1537F">
        <w:rPr>
          <w:rFonts w:ascii="Times New Roman" w:hAnsi="Times New Roman"/>
          <w:sz w:val="24"/>
          <w:szCs w:val="24"/>
        </w:rPr>
        <w:t>Documentary evidence showing that the applicant has the real property interests</w:t>
      </w:r>
    </w:p>
    <w:p w14:paraId="279CA89A" w14:textId="77777777" w:rsidR="00471F97" w:rsidRPr="00F1537F" w:rsidRDefault="00471F97" w:rsidP="007445A8">
      <w:pPr>
        <w:numPr>
          <w:ilvl w:val="0"/>
          <w:numId w:val="3"/>
        </w:numPr>
        <w:spacing w:after="0" w:line="240" w:lineRule="auto"/>
        <w:ind w:left="1080"/>
        <w:rPr>
          <w:rFonts w:ascii="Times New Roman" w:hAnsi="Times New Roman"/>
          <w:sz w:val="24"/>
          <w:szCs w:val="24"/>
        </w:rPr>
      </w:pPr>
      <w:r w:rsidRPr="00F1537F">
        <w:rPr>
          <w:rFonts w:ascii="Times New Roman" w:hAnsi="Times New Roman"/>
          <w:sz w:val="24"/>
          <w:szCs w:val="24"/>
        </w:rPr>
        <w:t>A verification statement</w:t>
      </w:r>
    </w:p>
    <w:p w14:paraId="3FFCF2DD" w14:textId="77777777" w:rsidR="00471F97" w:rsidRPr="00F1537F" w:rsidRDefault="00471F97" w:rsidP="007445A8">
      <w:pPr>
        <w:spacing w:after="0" w:line="240" w:lineRule="auto"/>
        <w:rPr>
          <w:rFonts w:ascii="Times New Roman" w:hAnsi="Times New Roman"/>
          <w:sz w:val="24"/>
          <w:szCs w:val="24"/>
        </w:rPr>
      </w:pPr>
    </w:p>
    <w:p w14:paraId="65FDD6BC" w14:textId="77777777" w:rsidR="00471F97" w:rsidRPr="00F1537F" w:rsidRDefault="00471F97" w:rsidP="007445A8">
      <w:pPr>
        <w:spacing w:after="0" w:line="240" w:lineRule="auto"/>
        <w:rPr>
          <w:rFonts w:ascii="Times New Roman" w:hAnsi="Times New Roman"/>
          <w:i/>
          <w:sz w:val="24"/>
          <w:szCs w:val="24"/>
        </w:rPr>
      </w:pPr>
      <w:r w:rsidRPr="00F1537F">
        <w:rPr>
          <w:rFonts w:ascii="Times New Roman" w:hAnsi="Times New Roman"/>
          <w:i/>
          <w:sz w:val="24"/>
          <w:szCs w:val="24"/>
        </w:rPr>
        <w:t>Qualifying Conduit Hydropower Facilities</w:t>
      </w:r>
    </w:p>
    <w:p w14:paraId="5623CAF4" w14:textId="77777777" w:rsidR="00471F97" w:rsidRPr="00F1537F" w:rsidRDefault="00471F97" w:rsidP="007445A8">
      <w:pPr>
        <w:spacing w:after="0" w:line="240" w:lineRule="auto"/>
        <w:rPr>
          <w:rFonts w:ascii="Times New Roman" w:hAnsi="Times New Roman"/>
          <w:i/>
          <w:sz w:val="24"/>
          <w:szCs w:val="24"/>
        </w:rPr>
      </w:pPr>
    </w:p>
    <w:p w14:paraId="362DD89E" w14:textId="77777777" w:rsidR="00471F97" w:rsidRPr="00F1537F" w:rsidRDefault="00471F97" w:rsidP="007445A8">
      <w:pPr>
        <w:spacing w:after="0" w:line="240" w:lineRule="auto"/>
        <w:rPr>
          <w:rFonts w:ascii="Times New Roman" w:hAnsi="Times New Roman"/>
          <w:sz w:val="24"/>
          <w:szCs w:val="24"/>
          <w:vertAlign w:val="superscript"/>
        </w:rPr>
      </w:pPr>
      <w:r w:rsidRPr="00F1537F">
        <w:rPr>
          <w:rFonts w:ascii="Times New Roman" w:hAnsi="Times New Roman"/>
          <w:sz w:val="24"/>
          <w:szCs w:val="24"/>
        </w:rPr>
        <w:t>A notice of intent to construct a qualifying conduit hydropower facility, per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 xml:space="preserve"> 4.401, includes the following information:</w:t>
      </w:r>
      <w:r w:rsidRPr="00F1537F" w:rsidDel="007320FE">
        <w:rPr>
          <w:rFonts w:ascii="Times New Roman" w:hAnsi="Times New Roman"/>
          <w:sz w:val="24"/>
          <w:szCs w:val="24"/>
          <w:vertAlign w:val="superscript"/>
        </w:rPr>
        <w:t xml:space="preserve"> </w:t>
      </w:r>
      <w:r w:rsidRPr="00F1537F">
        <w:rPr>
          <w:rStyle w:val="FootnoteReference"/>
          <w:rFonts w:ascii="Times New Roman" w:hAnsi="Times New Roman"/>
          <w:b/>
          <w:sz w:val="24"/>
          <w:szCs w:val="24"/>
          <w:vertAlign w:val="superscript"/>
        </w:rPr>
        <w:footnoteReference w:id="9"/>
      </w:r>
    </w:p>
    <w:p w14:paraId="17DC0768" w14:textId="77777777" w:rsidR="004C3C5F" w:rsidRPr="00F1537F" w:rsidRDefault="004C3C5F" w:rsidP="007445A8">
      <w:pPr>
        <w:spacing w:after="0" w:line="240" w:lineRule="auto"/>
        <w:rPr>
          <w:rFonts w:ascii="Times New Roman" w:hAnsi="Times New Roman"/>
          <w:sz w:val="24"/>
          <w:szCs w:val="24"/>
        </w:rPr>
      </w:pPr>
    </w:p>
    <w:p w14:paraId="6F14EABC" w14:textId="77777777" w:rsidR="00471F97" w:rsidRPr="00F1537F" w:rsidRDefault="00471F97" w:rsidP="007445A8">
      <w:pPr>
        <w:numPr>
          <w:ilvl w:val="0"/>
          <w:numId w:val="2"/>
        </w:numPr>
        <w:spacing w:after="0" w:line="240" w:lineRule="auto"/>
        <w:ind w:left="1080"/>
        <w:rPr>
          <w:rFonts w:ascii="Times New Roman" w:hAnsi="Times New Roman"/>
          <w:sz w:val="24"/>
          <w:szCs w:val="24"/>
        </w:rPr>
      </w:pPr>
      <w:r w:rsidRPr="00F1537F">
        <w:rPr>
          <w:rFonts w:ascii="Times New Roman" w:hAnsi="Times New Roman"/>
          <w:sz w:val="24"/>
          <w:szCs w:val="24"/>
        </w:rPr>
        <w:t>An introductory statement</w:t>
      </w:r>
    </w:p>
    <w:p w14:paraId="107E12DB" w14:textId="77777777" w:rsidR="00471F97" w:rsidRPr="00F1537F" w:rsidRDefault="00471F97" w:rsidP="007445A8">
      <w:pPr>
        <w:numPr>
          <w:ilvl w:val="0"/>
          <w:numId w:val="2"/>
        </w:numPr>
        <w:spacing w:after="0" w:line="240" w:lineRule="auto"/>
        <w:ind w:left="1080"/>
        <w:rPr>
          <w:rFonts w:ascii="Times New Roman" w:hAnsi="Times New Roman"/>
          <w:sz w:val="24"/>
          <w:szCs w:val="24"/>
        </w:rPr>
      </w:pPr>
      <w:r w:rsidRPr="00F1537F">
        <w:rPr>
          <w:rFonts w:ascii="Times New Roman" w:hAnsi="Times New Roman"/>
          <w:sz w:val="24"/>
          <w:szCs w:val="24"/>
        </w:rPr>
        <w:t>A statement that the proposed facility will use the hydroelectric potential of a non-federally owned conduit</w:t>
      </w:r>
    </w:p>
    <w:p w14:paraId="4FA6060B" w14:textId="77777777" w:rsidR="00471F97" w:rsidRPr="00F1537F" w:rsidRDefault="00471F97" w:rsidP="007445A8">
      <w:pPr>
        <w:numPr>
          <w:ilvl w:val="0"/>
          <w:numId w:val="2"/>
        </w:numPr>
        <w:spacing w:after="0" w:line="240" w:lineRule="auto"/>
        <w:ind w:left="1080"/>
        <w:rPr>
          <w:rFonts w:ascii="Times New Roman" w:hAnsi="Times New Roman"/>
          <w:sz w:val="24"/>
          <w:szCs w:val="24"/>
        </w:rPr>
      </w:pPr>
      <w:r w:rsidRPr="00F1537F">
        <w:rPr>
          <w:rFonts w:ascii="Times New Roman" w:hAnsi="Times New Roman"/>
          <w:sz w:val="24"/>
          <w:szCs w:val="24"/>
        </w:rPr>
        <w:t>A statement that the proposed facility has not been licensed or exempted from the licensing requirements of Part I of the FPA on or before August 9, 2013</w:t>
      </w:r>
    </w:p>
    <w:p w14:paraId="2F42AD76" w14:textId="77777777" w:rsidR="00471F97" w:rsidRPr="00F1537F" w:rsidRDefault="00471F97" w:rsidP="007445A8">
      <w:pPr>
        <w:numPr>
          <w:ilvl w:val="0"/>
          <w:numId w:val="2"/>
        </w:numPr>
        <w:spacing w:after="0" w:line="240" w:lineRule="auto"/>
        <w:ind w:left="1080"/>
        <w:rPr>
          <w:rFonts w:ascii="Times New Roman" w:hAnsi="Times New Roman"/>
          <w:sz w:val="24"/>
          <w:szCs w:val="24"/>
        </w:rPr>
      </w:pPr>
      <w:r w:rsidRPr="00F1537F">
        <w:rPr>
          <w:rFonts w:ascii="Times New Roman" w:hAnsi="Times New Roman"/>
          <w:sz w:val="24"/>
          <w:szCs w:val="24"/>
        </w:rPr>
        <w:t>A description of the proposed facility</w:t>
      </w:r>
    </w:p>
    <w:p w14:paraId="2C055D10" w14:textId="77777777" w:rsidR="00471F97" w:rsidRPr="00F1537F" w:rsidRDefault="00471F97" w:rsidP="007445A8">
      <w:pPr>
        <w:numPr>
          <w:ilvl w:val="0"/>
          <w:numId w:val="2"/>
        </w:numPr>
        <w:spacing w:after="0" w:line="240" w:lineRule="auto"/>
        <w:ind w:left="1080"/>
        <w:rPr>
          <w:rFonts w:ascii="Times New Roman" w:hAnsi="Times New Roman"/>
          <w:sz w:val="24"/>
          <w:szCs w:val="24"/>
        </w:rPr>
      </w:pPr>
      <w:r w:rsidRPr="00F1537F">
        <w:rPr>
          <w:rFonts w:ascii="Times New Roman" w:hAnsi="Times New Roman"/>
          <w:sz w:val="24"/>
          <w:szCs w:val="24"/>
        </w:rPr>
        <w:t>Drawings of the proposed facility</w:t>
      </w:r>
    </w:p>
    <w:p w14:paraId="64CFF671" w14:textId="77777777" w:rsidR="00471F97" w:rsidRPr="00F1537F" w:rsidRDefault="00471F97" w:rsidP="007445A8">
      <w:pPr>
        <w:numPr>
          <w:ilvl w:val="0"/>
          <w:numId w:val="2"/>
        </w:numPr>
        <w:spacing w:after="0" w:line="240" w:lineRule="auto"/>
        <w:ind w:left="1080"/>
        <w:rPr>
          <w:rFonts w:ascii="Times New Roman" w:hAnsi="Times New Roman"/>
          <w:sz w:val="24"/>
          <w:szCs w:val="24"/>
        </w:rPr>
      </w:pPr>
      <w:r w:rsidRPr="00F1537F">
        <w:rPr>
          <w:rFonts w:ascii="Times New Roman" w:hAnsi="Times New Roman"/>
          <w:sz w:val="24"/>
          <w:szCs w:val="24"/>
        </w:rPr>
        <w:t>If applicable, the preliminary permit project number</w:t>
      </w:r>
    </w:p>
    <w:p w14:paraId="192E3FC5" w14:textId="77777777" w:rsidR="00471F97" w:rsidRPr="00F1537F" w:rsidRDefault="00471F97" w:rsidP="007445A8">
      <w:pPr>
        <w:numPr>
          <w:ilvl w:val="0"/>
          <w:numId w:val="2"/>
        </w:numPr>
        <w:spacing w:after="0" w:line="240" w:lineRule="auto"/>
        <w:ind w:left="1080"/>
        <w:rPr>
          <w:rFonts w:ascii="Times New Roman" w:hAnsi="Times New Roman"/>
          <w:sz w:val="24"/>
          <w:szCs w:val="24"/>
        </w:rPr>
      </w:pPr>
      <w:r w:rsidRPr="00F1537F">
        <w:rPr>
          <w:rFonts w:ascii="Times New Roman" w:hAnsi="Times New Roman"/>
          <w:sz w:val="24"/>
          <w:szCs w:val="24"/>
        </w:rPr>
        <w:t>A verification statement</w:t>
      </w:r>
    </w:p>
    <w:p w14:paraId="1E511F91" w14:textId="77777777" w:rsidR="004C3C5F" w:rsidRPr="00F1537F" w:rsidRDefault="004C3C5F" w:rsidP="007445A8">
      <w:pPr>
        <w:spacing w:after="0" w:line="240" w:lineRule="auto"/>
        <w:ind w:left="1080"/>
        <w:rPr>
          <w:rFonts w:ascii="Times New Roman" w:hAnsi="Times New Roman"/>
          <w:sz w:val="24"/>
          <w:szCs w:val="24"/>
        </w:rPr>
      </w:pPr>
    </w:p>
    <w:p w14:paraId="2934BD9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Commission staff uses the information to determine if the proposed facility meets the qualifying criteria discussed above.   </w:t>
      </w:r>
    </w:p>
    <w:p w14:paraId="675A215F" w14:textId="77777777" w:rsidR="00471F97" w:rsidRPr="00F1537F" w:rsidRDefault="00471F97" w:rsidP="007445A8">
      <w:pPr>
        <w:spacing w:line="240" w:lineRule="auto"/>
        <w:rPr>
          <w:rFonts w:ascii="Times New Roman" w:hAnsi="Times New Roman"/>
          <w:sz w:val="24"/>
          <w:szCs w:val="24"/>
        </w:rPr>
      </w:pPr>
    </w:p>
    <w:p w14:paraId="07BF1959" w14:textId="77777777" w:rsidR="00471F97" w:rsidRPr="00F1537F" w:rsidRDefault="00471F97" w:rsidP="007445A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493C2B05" w14:textId="77777777" w:rsidR="00471F97" w:rsidRPr="00F1537F" w:rsidRDefault="00471F97" w:rsidP="007445A8">
      <w:pPr>
        <w:spacing w:after="0" w:line="240" w:lineRule="auto"/>
        <w:rPr>
          <w:rFonts w:ascii="Times New Roman" w:hAnsi="Times New Roman"/>
          <w:sz w:val="24"/>
          <w:szCs w:val="24"/>
        </w:rPr>
      </w:pPr>
    </w:p>
    <w:p w14:paraId="244B47CB"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FERC continually considers the use of improved information technology to reduce burden in the filing requirements for submission of information.</w:t>
      </w:r>
    </w:p>
    <w:p w14:paraId="770DFC94" w14:textId="77777777" w:rsidR="00F0627E" w:rsidRPr="00F1537F" w:rsidRDefault="00F0627E" w:rsidP="007445A8">
      <w:pPr>
        <w:tabs>
          <w:tab w:val="left" w:pos="2508"/>
        </w:tabs>
        <w:spacing w:after="0" w:line="240" w:lineRule="auto"/>
        <w:rPr>
          <w:rFonts w:ascii="Times New Roman" w:hAnsi="Times New Roman"/>
          <w:sz w:val="24"/>
          <w:szCs w:val="24"/>
        </w:rPr>
      </w:pPr>
      <w:r w:rsidRPr="00F1537F">
        <w:rPr>
          <w:rFonts w:ascii="Times New Roman" w:hAnsi="Times New Roman"/>
          <w:sz w:val="24"/>
          <w:szCs w:val="24"/>
        </w:rPr>
        <w:tab/>
      </w:r>
    </w:p>
    <w:p w14:paraId="6E9F9EB1" w14:textId="77777777" w:rsidR="00471F97" w:rsidRPr="00F1537F" w:rsidRDefault="00F0627E" w:rsidP="007445A8">
      <w:pPr>
        <w:spacing w:line="240" w:lineRule="auto"/>
        <w:rPr>
          <w:rFonts w:ascii="Times New Roman" w:hAnsi="Times New Roman"/>
          <w:sz w:val="24"/>
          <w:szCs w:val="24"/>
        </w:rPr>
      </w:pPr>
      <w:r w:rsidRPr="00F1537F">
        <w:rPr>
          <w:rFonts w:ascii="Times New Roman" w:hAnsi="Times New Roman"/>
          <w:sz w:val="24"/>
          <w:szCs w:val="24"/>
        </w:rPr>
        <w:t>The Commission allows eFiling for the FERC-505 application.</w:t>
      </w:r>
    </w:p>
    <w:p w14:paraId="7C97DFE9" w14:textId="77777777" w:rsidR="00F0627E" w:rsidRPr="00F1537F" w:rsidRDefault="00F0627E" w:rsidP="007445A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6975F856" w14:textId="77777777" w:rsidR="00F0627E" w:rsidRPr="00F1537F" w:rsidRDefault="00F0627E" w:rsidP="007445A8">
      <w:pPr>
        <w:spacing w:after="0" w:line="240" w:lineRule="auto"/>
        <w:rPr>
          <w:rFonts w:ascii="Times New Roman" w:hAnsi="Times New Roman"/>
          <w:sz w:val="24"/>
          <w:szCs w:val="24"/>
        </w:rPr>
      </w:pPr>
    </w:p>
    <w:p w14:paraId="6DC4DD79" w14:textId="77777777" w:rsidR="00F0627E" w:rsidRPr="00F1537F" w:rsidRDefault="00107DA8"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r w:rsidR="00F0627E" w:rsidRPr="00F1537F">
        <w:rPr>
          <w:rFonts w:ascii="Times New Roman" w:hAnsi="Times New Roman"/>
          <w:sz w:val="24"/>
          <w:szCs w:val="24"/>
        </w:rPr>
        <w:t>No similar information is available; these are case-specific applications for a benefit (e.g., license or permit) and are unique to the applicant and the site for which the filing is made.</w:t>
      </w:r>
    </w:p>
    <w:p w14:paraId="347149D1" w14:textId="77777777" w:rsidR="00F0627E" w:rsidRPr="00F1537F" w:rsidRDefault="00F0627E" w:rsidP="007445A8">
      <w:pPr>
        <w:spacing w:after="0" w:line="240" w:lineRule="auto"/>
        <w:rPr>
          <w:rFonts w:ascii="Times New Roman" w:hAnsi="Times New Roman"/>
          <w:sz w:val="24"/>
          <w:szCs w:val="24"/>
        </w:rPr>
      </w:pPr>
    </w:p>
    <w:p w14:paraId="7929AF43" w14:textId="77777777" w:rsidR="00F0627E" w:rsidRPr="00F1537F" w:rsidRDefault="00F0627E" w:rsidP="007445A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4F35A376" w14:textId="77777777" w:rsidR="00F0627E" w:rsidRPr="00F1537F" w:rsidRDefault="00F0627E" w:rsidP="007445A8">
      <w:pPr>
        <w:spacing w:after="0" w:line="240" w:lineRule="auto"/>
        <w:rPr>
          <w:rFonts w:ascii="Times New Roman" w:hAnsi="Times New Roman"/>
          <w:sz w:val="24"/>
          <w:szCs w:val="24"/>
        </w:rPr>
      </w:pPr>
    </w:p>
    <w:p w14:paraId="57CCC51A"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The FERC-505 reporting requirements are the basic filing requirements pertaining to all applications for a small hydropower project license/relicense, exemption, or determination of a qualifying conduit hydropower facility.  The Commission sets forth distinct filing requirements for small hydropower projects.  Small entities have streamlined filing requirements.  The Commission is able to expedite the process for small, low-impact hydropower projects in the following ways:</w:t>
      </w:r>
    </w:p>
    <w:p w14:paraId="65B24B1D"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waive some pre-filing consultation requirements (with resource agency cooperation); </w:t>
      </w:r>
    </w:p>
    <w:p w14:paraId="03F87B1E"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combine environmental scoping with pre-filing consultation; </w:t>
      </w:r>
    </w:p>
    <w:p w14:paraId="6E97F0BB"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combine public noticing requirements; </w:t>
      </w:r>
    </w:p>
    <w:p w14:paraId="55FB3709"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shorten comment periods; </w:t>
      </w:r>
    </w:p>
    <w:p w14:paraId="217B2CE9"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coordinate with resource agencies to obtain their final terms and conditions before we issue an environmental assessment, instead of the customary preliminary and final versions; </w:t>
      </w:r>
    </w:p>
    <w:p w14:paraId="0D76BBEB"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use a single environmental document (</w:t>
      </w:r>
      <w:r w:rsidR="00084A7F" w:rsidRPr="00F1537F">
        <w:rPr>
          <w:rFonts w:ascii="Times New Roman" w:eastAsia="Times New Roman" w:hAnsi="Times New Roman"/>
          <w:sz w:val="24"/>
          <w:szCs w:val="24"/>
        </w:rPr>
        <w:t xml:space="preserve">as </w:t>
      </w:r>
      <w:r w:rsidRPr="00F1537F">
        <w:rPr>
          <w:rFonts w:ascii="Times New Roman" w:eastAsia="Times New Roman" w:hAnsi="Times New Roman"/>
          <w:sz w:val="24"/>
          <w:szCs w:val="24"/>
        </w:rPr>
        <w:t xml:space="preserve">opposed to using draft and final documents); and </w:t>
      </w:r>
    </w:p>
    <w:p w14:paraId="1F13CE9C"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issue the order on the same day as the environmental assessment.</w:t>
      </w:r>
    </w:p>
    <w:p w14:paraId="55E9FEE7" w14:textId="77777777" w:rsidR="00F0627E" w:rsidRPr="00F1537F" w:rsidRDefault="00F0627E" w:rsidP="007445A8">
      <w:p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In addition, the Commission reduces the reporting requirements for the duration of small, low-impact hydropower projects.  Exemptions are granted in perpetuity, and qualifying conduit hydropower facilities may operate without Commission oversight. </w:t>
      </w:r>
    </w:p>
    <w:p w14:paraId="0CE4C1A8" w14:textId="77777777" w:rsidR="00F0627E" w:rsidRPr="00F1537F" w:rsidRDefault="00F0627E" w:rsidP="007445A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3EE6066D" w14:textId="77777777" w:rsidR="00F0627E" w:rsidRPr="00F1537F" w:rsidRDefault="00F0627E" w:rsidP="007445A8">
      <w:pPr>
        <w:spacing w:after="0" w:line="240" w:lineRule="auto"/>
        <w:rPr>
          <w:rFonts w:ascii="Times New Roman" w:hAnsi="Times New Roman"/>
          <w:sz w:val="24"/>
          <w:szCs w:val="24"/>
        </w:rPr>
      </w:pPr>
    </w:p>
    <w:p w14:paraId="19914683"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If the information were not collected, the Commission would not be able to fulfill the requirements of the FPA in ensuring that a project proposal is economically and technically sound (to include requirements to improve and develop waterways).  Additionally, the Commission would be unable to ensure environmental concerns were being properly documented and mitigated during approval of any application.</w:t>
      </w:r>
    </w:p>
    <w:p w14:paraId="754ACAEE" w14:textId="77777777" w:rsidR="00F0627E" w:rsidRPr="00F1537F" w:rsidRDefault="00F0627E" w:rsidP="007445A8">
      <w:pPr>
        <w:spacing w:after="0" w:line="240" w:lineRule="auto"/>
        <w:rPr>
          <w:rFonts w:ascii="Times New Roman" w:hAnsi="Times New Roman"/>
          <w:sz w:val="24"/>
          <w:szCs w:val="24"/>
        </w:rPr>
      </w:pPr>
    </w:p>
    <w:p w14:paraId="51580745" w14:textId="77777777" w:rsidR="00F0627E" w:rsidRPr="00F1537F" w:rsidRDefault="00F0627E" w:rsidP="007445A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391BB0D1" w14:textId="77777777" w:rsidR="00F0627E" w:rsidRPr="00F1537F" w:rsidRDefault="00F0627E" w:rsidP="007445A8">
      <w:pPr>
        <w:spacing w:after="0" w:line="240" w:lineRule="auto"/>
        <w:rPr>
          <w:rFonts w:ascii="Times New Roman" w:hAnsi="Times New Roman"/>
          <w:sz w:val="24"/>
          <w:szCs w:val="24"/>
        </w:rPr>
      </w:pPr>
    </w:p>
    <w:p w14:paraId="765B1817" w14:textId="77777777" w:rsidR="00F0627E" w:rsidRPr="00F1537F" w:rsidRDefault="00F0627E" w:rsidP="007445A8">
      <w:pPr>
        <w:spacing w:after="0" w:line="240" w:lineRule="auto"/>
        <w:rPr>
          <w:rFonts w:ascii="Times New Roman" w:hAnsi="Times New Roman"/>
          <w:b/>
          <w:sz w:val="24"/>
          <w:szCs w:val="24"/>
        </w:rPr>
      </w:pPr>
      <w:r w:rsidRPr="00F1537F">
        <w:rPr>
          <w:rFonts w:ascii="Times New Roman" w:hAnsi="Times New Roman"/>
          <w:sz w:val="24"/>
          <w:szCs w:val="24"/>
        </w:rPr>
        <w:t>There are no special circumstances related to this information collection.</w:t>
      </w:r>
    </w:p>
    <w:p w14:paraId="1FB82637" w14:textId="77777777" w:rsidR="00F0627E" w:rsidRPr="00F1537F" w:rsidRDefault="00F0627E" w:rsidP="007445A8">
      <w:pPr>
        <w:spacing w:after="0" w:line="240" w:lineRule="auto"/>
        <w:rPr>
          <w:rFonts w:ascii="Times New Roman" w:hAnsi="Times New Roman"/>
          <w:sz w:val="24"/>
          <w:szCs w:val="24"/>
        </w:rPr>
      </w:pPr>
    </w:p>
    <w:p w14:paraId="769EC932" w14:textId="77777777" w:rsidR="00F0627E" w:rsidRPr="00F1537F" w:rsidRDefault="00F0627E" w:rsidP="007445A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44996C5D" w14:textId="77777777" w:rsidR="00F0627E" w:rsidRPr="00F1537F" w:rsidRDefault="00F0627E" w:rsidP="007445A8">
      <w:pPr>
        <w:spacing w:after="0" w:line="240" w:lineRule="auto"/>
        <w:rPr>
          <w:rFonts w:ascii="Times New Roman" w:hAnsi="Times New Roman"/>
          <w:sz w:val="24"/>
          <w:szCs w:val="24"/>
        </w:rPr>
      </w:pPr>
    </w:p>
    <w:p w14:paraId="4CDF0686" w14:textId="77777777" w:rsidR="00590632" w:rsidRPr="00F1537F" w:rsidRDefault="00590632" w:rsidP="007445A8">
      <w:pPr>
        <w:spacing w:line="240" w:lineRule="auto"/>
        <w:rPr>
          <w:rFonts w:ascii="Times New Roman" w:hAnsi="Times New Roman"/>
          <w:sz w:val="24"/>
          <w:szCs w:val="24"/>
        </w:rPr>
      </w:pPr>
      <w:r w:rsidRPr="00F1537F">
        <w:rPr>
          <w:rFonts w:ascii="Times New Roman" w:hAnsi="Times New Roman"/>
          <w:sz w:val="24"/>
          <w:szCs w:val="24"/>
        </w:rPr>
        <w:t>In accordance with OMB requirements, the Commission published a 60-day notice</w:t>
      </w:r>
      <w:r w:rsidRPr="00F60F4E">
        <w:rPr>
          <w:rFonts w:ascii="Times New Roman" w:hAnsi="Times New Roman"/>
          <w:b/>
          <w:sz w:val="24"/>
          <w:szCs w:val="24"/>
          <w:vertAlign w:val="superscript"/>
        </w:rPr>
        <w:footnoteReference w:id="10"/>
      </w:r>
      <w:r w:rsidRPr="00F1537F">
        <w:rPr>
          <w:rFonts w:ascii="Times New Roman" w:hAnsi="Times New Roman"/>
          <w:sz w:val="24"/>
          <w:szCs w:val="24"/>
        </w:rPr>
        <w:t xml:space="preserve"> and a 30-day notice</w:t>
      </w:r>
      <w:r w:rsidRPr="00F60F4E">
        <w:rPr>
          <w:rFonts w:ascii="Times New Roman" w:hAnsi="Times New Roman"/>
          <w:b/>
          <w:sz w:val="24"/>
          <w:szCs w:val="24"/>
          <w:vertAlign w:val="superscript"/>
        </w:rPr>
        <w:footnoteReference w:id="11"/>
      </w:r>
      <w:r w:rsidRPr="00F60F4E">
        <w:rPr>
          <w:rFonts w:ascii="Times New Roman" w:hAnsi="Times New Roman"/>
          <w:b/>
          <w:sz w:val="24"/>
          <w:szCs w:val="24"/>
        </w:rPr>
        <w:t xml:space="preserve"> </w:t>
      </w:r>
      <w:r w:rsidRPr="00F1537F">
        <w:rPr>
          <w:rFonts w:ascii="Times New Roman" w:hAnsi="Times New Roman"/>
          <w:sz w:val="24"/>
          <w:szCs w:val="24"/>
        </w:rPr>
        <w:t xml:space="preserve">to the public regarding this information collection on </w:t>
      </w:r>
      <w:r w:rsidR="00395E45">
        <w:rPr>
          <w:rFonts w:ascii="Times New Roman" w:hAnsi="Times New Roman"/>
          <w:sz w:val="24"/>
          <w:szCs w:val="24"/>
        </w:rPr>
        <w:t xml:space="preserve">October 4, </w:t>
      </w:r>
      <w:r w:rsidRPr="00F1537F">
        <w:rPr>
          <w:rFonts w:ascii="Times New Roman" w:hAnsi="Times New Roman"/>
          <w:sz w:val="24"/>
          <w:szCs w:val="24"/>
        </w:rPr>
        <w:t xml:space="preserve">2017 and </w:t>
      </w:r>
      <w:r w:rsidR="00395E45">
        <w:rPr>
          <w:rFonts w:ascii="Times New Roman" w:hAnsi="Times New Roman"/>
          <w:sz w:val="24"/>
          <w:szCs w:val="24"/>
        </w:rPr>
        <w:t xml:space="preserve">December 26, </w:t>
      </w:r>
      <w:r w:rsidRPr="00F1537F">
        <w:rPr>
          <w:rFonts w:ascii="Times New Roman" w:hAnsi="Times New Roman"/>
          <w:sz w:val="24"/>
          <w:szCs w:val="24"/>
        </w:rPr>
        <w:t>2017</w:t>
      </w:r>
      <w:r w:rsidR="00395E45">
        <w:rPr>
          <w:rFonts w:ascii="Times New Roman" w:hAnsi="Times New Roman"/>
          <w:sz w:val="24"/>
          <w:szCs w:val="24"/>
        </w:rPr>
        <w:t>,</w:t>
      </w:r>
      <w:r w:rsidRPr="00F1537F">
        <w:rPr>
          <w:rFonts w:ascii="Times New Roman" w:hAnsi="Times New Roman"/>
          <w:sz w:val="24"/>
          <w:szCs w:val="24"/>
        </w:rPr>
        <w:t xml:space="preserve"> respectively.  Within the public notices, the Commission noted that it would be requesting a three-year extension of the public reporting burden.  </w:t>
      </w:r>
    </w:p>
    <w:p w14:paraId="230A1B3F" w14:textId="77777777" w:rsidR="00590632" w:rsidRPr="00F1537F" w:rsidRDefault="00590632" w:rsidP="007445A8">
      <w:pPr>
        <w:pStyle w:val="ListParagraph"/>
        <w:spacing w:after="0" w:line="240" w:lineRule="auto"/>
        <w:ind w:left="0"/>
        <w:rPr>
          <w:rFonts w:ascii="Times New Roman" w:hAnsi="Times New Roman"/>
          <w:sz w:val="24"/>
          <w:szCs w:val="24"/>
        </w:rPr>
      </w:pPr>
      <w:r w:rsidRPr="00F1537F">
        <w:rPr>
          <w:rFonts w:ascii="Times New Roman" w:hAnsi="Times New Roman"/>
          <w:sz w:val="24"/>
          <w:szCs w:val="24"/>
        </w:rPr>
        <w:t>The Commission received no comments in response to either of these notices.</w:t>
      </w:r>
    </w:p>
    <w:p w14:paraId="55C40E30" w14:textId="77777777" w:rsidR="00590632" w:rsidRPr="00F1537F" w:rsidRDefault="00590632" w:rsidP="007445A8">
      <w:pPr>
        <w:pStyle w:val="ListParagraph"/>
        <w:spacing w:after="0" w:line="240" w:lineRule="auto"/>
        <w:ind w:left="0"/>
        <w:rPr>
          <w:rFonts w:ascii="Times New Roman" w:hAnsi="Times New Roman"/>
          <w:b/>
          <w:sz w:val="24"/>
          <w:szCs w:val="24"/>
        </w:rPr>
      </w:pPr>
    </w:p>
    <w:p w14:paraId="5D611A28" w14:textId="77777777" w:rsidR="00F0627E" w:rsidRPr="00F1537F" w:rsidRDefault="00F0627E" w:rsidP="007445A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EXPLAIN ANY PAYMENT OR GIFTS TO RESPONDENTS</w:t>
      </w:r>
    </w:p>
    <w:p w14:paraId="71355EC0" w14:textId="77777777" w:rsidR="00F0627E" w:rsidRPr="00F1537F" w:rsidRDefault="00F0627E" w:rsidP="007445A8">
      <w:pPr>
        <w:spacing w:after="0" w:line="240" w:lineRule="auto"/>
        <w:rPr>
          <w:rFonts w:ascii="Times New Roman" w:hAnsi="Times New Roman"/>
          <w:sz w:val="24"/>
          <w:szCs w:val="24"/>
        </w:rPr>
      </w:pPr>
    </w:p>
    <w:p w14:paraId="2780CD02"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134596E1" w14:textId="77777777" w:rsidR="00F0627E" w:rsidRPr="00F1537F" w:rsidRDefault="00F0627E" w:rsidP="007445A8">
      <w:pPr>
        <w:spacing w:after="0" w:line="240" w:lineRule="auto"/>
        <w:rPr>
          <w:rFonts w:ascii="Times New Roman" w:hAnsi="Times New Roman"/>
          <w:sz w:val="24"/>
          <w:szCs w:val="24"/>
        </w:rPr>
      </w:pPr>
    </w:p>
    <w:p w14:paraId="6FB9DE59" w14:textId="77777777" w:rsidR="00F0627E" w:rsidRPr="00F1537F" w:rsidRDefault="00F0627E" w:rsidP="007445A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4893E768" w14:textId="77777777" w:rsidR="00F0627E" w:rsidRPr="00F1537F" w:rsidRDefault="00F0627E" w:rsidP="007445A8">
      <w:pPr>
        <w:spacing w:after="0" w:line="240" w:lineRule="auto"/>
        <w:rPr>
          <w:rFonts w:ascii="Times New Roman" w:hAnsi="Times New Roman"/>
          <w:sz w:val="24"/>
          <w:szCs w:val="24"/>
        </w:rPr>
      </w:pPr>
    </w:p>
    <w:p w14:paraId="6D2149FC"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2"/>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31203425" w14:textId="77777777" w:rsidR="00F0627E" w:rsidRPr="00F1537F" w:rsidRDefault="00F0627E" w:rsidP="007445A8">
      <w:pPr>
        <w:spacing w:after="0" w:line="240" w:lineRule="auto"/>
        <w:rPr>
          <w:rFonts w:ascii="Times New Roman" w:hAnsi="Times New Roman"/>
          <w:sz w:val="24"/>
          <w:szCs w:val="24"/>
        </w:rPr>
      </w:pPr>
    </w:p>
    <w:p w14:paraId="3B7D42FD" w14:textId="77777777" w:rsidR="00F0627E" w:rsidRPr="00F1537F" w:rsidRDefault="00F0627E" w:rsidP="007445A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4F7FABB1" w14:textId="77777777" w:rsidR="00F0627E" w:rsidRPr="00F1537F" w:rsidRDefault="00F0627E" w:rsidP="007445A8">
      <w:pPr>
        <w:spacing w:after="0" w:line="240" w:lineRule="auto"/>
        <w:rPr>
          <w:rFonts w:ascii="Times New Roman" w:hAnsi="Times New Roman"/>
          <w:sz w:val="24"/>
          <w:szCs w:val="24"/>
        </w:rPr>
      </w:pPr>
    </w:p>
    <w:p w14:paraId="6FEA7F96"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122D98FA" w14:textId="77777777" w:rsidR="00F0627E" w:rsidRPr="00F1537F" w:rsidRDefault="00F0627E" w:rsidP="007445A8">
      <w:pPr>
        <w:spacing w:after="0" w:line="240" w:lineRule="auto"/>
        <w:rPr>
          <w:rFonts w:ascii="Times New Roman" w:hAnsi="Times New Roman"/>
          <w:sz w:val="24"/>
          <w:szCs w:val="24"/>
        </w:rPr>
      </w:pPr>
    </w:p>
    <w:p w14:paraId="7A526F7B" w14:textId="77777777" w:rsidR="00F0627E" w:rsidRPr="00F1537F" w:rsidRDefault="00F0627E" w:rsidP="007445A8">
      <w:pPr>
        <w:pStyle w:val="ListParagraph"/>
        <w:numPr>
          <w:ilvl w:val="0"/>
          <w:numId w:val="1"/>
        </w:numPr>
        <w:spacing w:after="0" w:line="240" w:lineRule="auto"/>
        <w:ind w:left="0" w:firstLine="0"/>
        <w:rPr>
          <w:rFonts w:ascii="Times New Roman" w:hAnsi="Times New Roman"/>
          <w:sz w:val="24"/>
          <w:szCs w:val="24"/>
        </w:rPr>
      </w:pPr>
      <w:r w:rsidRPr="00F1537F">
        <w:rPr>
          <w:rFonts w:ascii="Times New Roman" w:hAnsi="Times New Roman"/>
          <w:b/>
          <w:sz w:val="24"/>
          <w:szCs w:val="24"/>
        </w:rPr>
        <w:t>ESTIMATED BURDEN OF COLLECTION OF INFORMATION</w:t>
      </w:r>
    </w:p>
    <w:p w14:paraId="478BB885" w14:textId="77777777" w:rsidR="00200CB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 xml:space="preserve">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200CB5" w:rsidRPr="00F1537F" w14:paraId="6FB56A83" w14:textId="77777777" w:rsidTr="00E350A3">
        <w:trPr>
          <w:cantSplit/>
        </w:trPr>
        <w:tc>
          <w:tcPr>
            <w:tcW w:w="5000" w:type="pct"/>
            <w:gridSpan w:val="7"/>
            <w:tcBorders>
              <w:bottom w:val="single" w:sz="4" w:space="0" w:color="auto"/>
            </w:tcBorders>
            <w:shd w:val="clear" w:color="auto" w:fill="D9D9D9"/>
          </w:tcPr>
          <w:p w14:paraId="5632A374"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FERC-505 (</w:t>
            </w:r>
            <w:r w:rsidRPr="00F1537F">
              <w:rPr>
                <w:rFonts w:ascii="Times New Roman" w:eastAsia="Times New Roman" w:hAnsi="Times New Roman"/>
                <w:b/>
                <w:sz w:val="24"/>
                <w:szCs w:val="24"/>
              </w:rPr>
              <w:t>Small Hydropower Projects and Conduit Facilities including License/Relicense, Exemption, and Qualifying Conduit Facility Determination</w:t>
            </w:r>
            <w:r w:rsidRPr="00F1537F">
              <w:rPr>
                <w:rFonts w:ascii="Times New Roman" w:hAnsi="Times New Roman"/>
                <w:b/>
                <w:sz w:val="24"/>
                <w:szCs w:val="24"/>
              </w:rPr>
              <w:t>)</w:t>
            </w:r>
          </w:p>
        </w:tc>
      </w:tr>
      <w:tr w:rsidR="00200CB5" w:rsidRPr="00F1537F" w14:paraId="2973F449" w14:textId="77777777" w:rsidTr="00E350A3">
        <w:trPr>
          <w:cantSplit/>
        </w:trPr>
        <w:tc>
          <w:tcPr>
            <w:tcW w:w="878" w:type="pct"/>
            <w:shd w:val="clear" w:color="auto" w:fill="D9D9D9"/>
          </w:tcPr>
          <w:p w14:paraId="1DC40779" w14:textId="77777777" w:rsidR="00200CB5" w:rsidRPr="00F1537F" w:rsidRDefault="00200CB5" w:rsidP="007445A8">
            <w:pPr>
              <w:spacing w:after="0" w:line="240" w:lineRule="auto"/>
              <w:jc w:val="center"/>
              <w:rPr>
                <w:rFonts w:ascii="Times New Roman" w:hAnsi="Times New Roman"/>
                <w:b/>
                <w:sz w:val="24"/>
                <w:szCs w:val="24"/>
              </w:rPr>
            </w:pPr>
          </w:p>
        </w:tc>
        <w:tc>
          <w:tcPr>
            <w:tcW w:w="746" w:type="pct"/>
            <w:shd w:val="clear" w:color="auto" w:fill="D9D9D9"/>
            <w:vAlign w:val="bottom"/>
          </w:tcPr>
          <w:p w14:paraId="045F6562"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Number of Respondents</w:t>
            </w:r>
            <w:r w:rsidRPr="00F1537F">
              <w:rPr>
                <w:rFonts w:ascii="Times New Roman" w:hAnsi="Times New Roman"/>
                <w:b/>
                <w:sz w:val="24"/>
                <w:szCs w:val="24"/>
              </w:rPr>
              <w:br/>
              <w:t>(1)</w:t>
            </w:r>
          </w:p>
        </w:tc>
        <w:tc>
          <w:tcPr>
            <w:tcW w:w="746" w:type="pct"/>
            <w:shd w:val="clear" w:color="auto" w:fill="D9D9D9"/>
            <w:vAlign w:val="bottom"/>
          </w:tcPr>
          <w:p w14:paraId="5AC10B76"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Annual Number of Responses per Respondent</w:t>
            </w:r>
          </w:p>
          <w:p w14:paraId="3AE183D0"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(2)</w:t>
            </w:r>
          </w:p>
        </w:tc>
        <w:tc>
          <w:tcPr>
            <w:tcW w:w="703" w:type="pct"/>
            <w:shd w:val="clear" w:color="auto" w:fill="D9D9D9"/>
            <w:vAlign w:val="bottom"/>
          </w:tcPr>
          <w:p w14:paraId="788A8326"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Total Number of Responses (1)*(2)=(3)</w:t>
            </w:r>
          </w:p>
        </w:tc>
        <w:tc>
          <w:tcPr>
            <w:tcW w:w="654" w:type="pct"/>
            <w:shd w:val="clear" w:color="auto" w:fill="D9D9D9"/>
            <w:vAlign w:val="bottom"/>
          </w:tcPr>
          <w:p w14:paraId="74D638AB"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Average Burden</w:t>
            </w:r>
            <w:r w:rsidR="003D08BB" w:rsidRPr="00F1537F">
              <w:rPr>
                <w:rStyle w:val="FootnoteReference"/>
                <w:rFonts w:ascii="Times New Roman" w:hAnsi="Times New Roman"/>
                <w:b/>
                <w:sz w:val="24"/>
                <w:szCs w:val="24"/>
                <w:vertAlign w:val="superscript"/>
              </w:rPr>
              <w:footnoteReference w:id="13"/>
            </w:r>
            <w:r w:rsidRPr="00F1537F">
              <w:rPr>
                <w:rFonts w:ascii="Times New Roman" w:hAnsi="Times New Roman"/>
                <w:b/>
                <w:sz w:val="24"/>
                <w:szCs w:val="24"/>
              </w:rPr>
              <w:t xml:space="preserve"> &amp; Cost Per Response</w:t>
            </w:r>
          </w:p>
          <w:p w14:paraId="5948FFAA"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(4)</w:t>
            </w:r>
          </w:p>
        </w:tc>
        <w:tc>
          <w:tcPr>
            <w:tcW w:w="657" w:type="pct"/>
            <w:shd w:val="clear" w:color="auto" w:fill="D9D9D9"/>
            <w:vAlign w:val="bottom"/>
          </w:tcPr>
          <w:p w14:paraId="60850D39"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Total Annual Burden &amp; Total Annual Cost</w:t>
            </w:r>
          </w:p>
          <w:p w14:paraId="6B593632"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(3)*(4)=(5)</w:t>
            </w:r>
          </w:p>
        </w:tc>
        <w:tc>
          <w:tcPr>
            <w:tcW w:w="616" w:type="pct"/>
            <w:shd w:val="clear" w:color="auto" w:fill="D9D9D9"/>
            <w:vAlign w:val="bottom"/>
          </w:tcPr>
          <w:p w14:paraId="58810AFB"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Cost per Respondent</w:t>
            </w:r>
          </w:p>
          <w:p w14:paraId="698F31E6"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 xml:space="preserve"> ($)</w:t>
            </w:r>
          </w:p>
          <w:p w14:paraId="357A21EB" w14:textId="77777777" w:rsidR="00200CB5" w:rsidRPr="00F1537F" w:rsidRDefault="00200CB5"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(5)÷(1)</w:t>
            </w:r>
          </w:p>
        </w:tc>
      </w:tr>
      <w:tr w:rsidR="00200CB5" w:rsidRPr="00F1537F" w14:paraId="793F8E34" w14:textId="77777777" w:rsidTr="00E350A3">
        <w:trPr>
          <w:cantSplit/>
        </w:trPr>
        <w:tc>
          <w:tcPr>
            <w:tcW w:w="878" w:type="pct"/>
          </w:tcPr>
          <w:p w14:paraId="606F6C09" w14:textId="77777777" w:rsidR="00200CB5" w:rsidRPr="00F1537F" w:rsidRDefault="00200CB5" w:rsidP="007445A8">
            <w:pPr>
              <w:spacing w:after="0" w:line="240" w:lineRule="auto"/>
              <w:rPr>
                <w:rFonts w:ascii="Times New Roman" w:hAnsi="Times New Roman"/>
                <w:sz w:val="24"/>
                <w:szCs w:val="24"/>
              </w:rPr>
            </w:pPr>
            <w:r w:rsidRPr="00F1537F">
              <w:rPr>
                <w:rFonts w:ascii="Times New Roman" w:hAnsi="Times New Roman"/>
                <w:sz w:val="24"/>
                <w:szCs w:val="24"/>
              </w:rPr>
              <w:t>FERC-505</w:t>
            </w:r>
          </w:p>
        </w:tc>
        <w:tc>
          <w:tcPr>
            <w:tcW w:w="746" w:type="pct"/>
          </w:tcPr>
          <w:p w14:paraId="2D90751B" w14:textId="77777777" w:rsidR="00200CB5" w:rsidRPr="00F60F4E" w:rsidRDefault="00AB42C6" w:rsidP="007445A8">
            <w:pPr>
              <w:spacing w:after="0" w:line="240" w:lineRule="auto"/>
              <w:jc w:val="right"/>
              <w:rPr>
                <w:rFonts w:ascii="Times New Roman" w:hAnsi="Times New Roman"/>
                <w:sz w:val="24"/>
                <w:szCs w:val="24"/>
              </w:rPr>
            </w:pPr>
            <w:r w:rsidRPr="00F60F4E">
              <w:rPr>
                <w:rFonts w:ascii="Times New Roman" w:hAnsi="Times New Roman"/>
                <w:sz w:val="24"/>
                <w:szCs w:val="24"/>
              </w:rPr>
              <w:t>33</w:t>
            </w:r>
          </w:p>
        </w:tc>
        <w:tc>
          <w:tcPr>
            <w:tcW w:w="746" w:type="pct"/>
          </w:tcPr>
          <w:p w14:paraId="19E94C80" w14:textId="77777777" w:rsidR="00200CB5" w:rsidRPr="00F60F4E" w:rsidRDefault="00200CB5" w:rsidP="007445A8">
            <w:pPr>
              <w:spacing w:after="0" w:line="240" w:lineRule="auto"/>
              <w:jc w:val="right"/>
              <w:rPr>
                <w:rFonts w:ascii="Times New Roman" w:hAnsi="Times New Roman"/>
                <w:sz w:val="24"/>
                <w:szCs w:val="24"/>
              </w:rPr>
            </w:pPr>
            <w:r w:rsidRPr="00F60F4E">
              <w:rPr>
                <w:rFonts w:ascii="Times New Roman" w:hAnsi="Times New Roman"/>
                <w:sz w:val="24"/>
                <w:szCs w:val="24"/>
              </w:rPr>
              <w:t>1</w:t>
            </w:r>
          </w:p>
        </w:tc>
        <w:tc>
          <w:tcPr>
            <w:tcW w:w="703" w:type="pct"/>
          </w:tcPr>
          <w:p w14:paraId="26288D1D" w14:textId="77777777" w:rsidR="00200CB5" w:rsidRPr="00F60F4E" w:rsidRDefault="00AB42C6" w:rsidP="007445A8">
            <w:pPr>
              <w:spacing w:after="0" w:line="240" w:lineRule="auto"/>
              <w:jc w:val="right"/>
              <w:rPr>
                <w:rFonts w:ascii="Times New Roman" w:hAnsi="Times New Roman"/>
                <w:sz w:val="24"/>
                <w:szCs w:val="24"/>
              </w:rPr>
            </w:pPr>
            <w:r w:rsidRPr="00F60F4E">
              <w:rPr>
                <w:rFonts w:ascii="Times New Roman" w:hAnsi="Times New Roman"/>
                <w:sz w:val="24"/>
                <w:szCs w:val="24"/>
              </w:rPr>
              <w:t>33</w:t>
            </w:r>
          </w:p>
        </w:tc>
        <w:tc>
          <w:tcPr>
            <w:tcW w:w="654" w:type="pct"/>
          </w:tcPr>
          <w:p w14:paraId="7CBA575D" w14:textId="77777777" w:rsidR="00200CB5" w:rsidRPr="00F60F4E" w:rsidRDefault="0026269A" w:rsidP="007445A8">
            <w:pPr>
              <w:spacing w:after="0" w:line="240" w:lineRule="auto"/>
              <w:jc w:val="right"/>
              <w:rPr>
                <w:rFonts w:ascii="Times New Roman" w:hAnsi="Times New Roman"/>
                <w:sz w:val="24"/>
                <w:szCs w:val="24"/>
              </w:rPr>
            </w:pPr>
            <w:r w:rsidRPr="00F60F4E">
              <w:rPr>
                <w:rFonts w:ascii="Times New Roman" w:hAnsi="Times New Roman"/>
                <w:sz w:val="24"/>
                <w:szCs w:val="24"/>
              </w:rPr>
              <w:t>737</w:t>
            </w:r>
            <w:r w:rsidR="00AB42C6" w:rsidRPr="00F60F4E">
              <w:rPr>
                <w:rFonts w:ascii="Times New Roman" w:hAnsi="Times New Roman"/>
                <w:sz w:val="24"/>
                <w:szCs w:val="24"/>
              </w:rPr>
              <w:t xml:space="preserve"> hours</w:t>
            </w:r>
            <w:r w:rsidR="00F60F4E">
              <w:rPr>
                <w:rFonts w:ascii="Times New Roman" w:hAnsi="Times New Roman"/>
                <w:sz w:val="24"/>
                <w:szCs w:val="24"/>
              </w:rPr>
              <w:t>,</w:t>
            </w:r>
            <w:r w:rsidRPr="00F60F4E">
              <w:rPr>
                <w:rFonts w:ascii="Times New Roman" w:hAnsi="Times New Roman"/>
                <w:sz w:val="24"/>
                <w:szCs w:val="24"/>
              </w:rPr>
              <w:t xml:space="preserve"> </w:t>
            </w:r>
            <w:r w:rsidR="00AB42C6" w:rsidRPr="00F60F4E">
              <w:rPr>
                <w:rFonts w:ascii="Times New Roman" w:hAnsi="Times New Roman"/>
                <w:sz w:val="24"/>
                <w:szCs w:val="24"/>
              </w:rPr>
              <w:br/>
              <w:t>$</w:t>
            </w:r>
            <w:r w:rsidRPr="00F60F4E">
              <w:rPr>
                <w:rFonts w:ascii="Times New Roman" w:hAnsi="Times New Roman"/>
                <w:sz w:val="24"/>
                <w:szCs w:val="24"/>
              </w:rPr>
              <w:t>56,381</w:t>
            </w:r>
          </w:p>
        </w:tc>
        <w:tc>
          <w:tcPr>
            <w:tcW w:w="657" w:type="pct"/>
          </w:tcPr>
          <w:p w14:paraId="13B69614" w14:textId="77777777" w:rsidR="00200CB5" w:rsidRPr="00F60F4E" w:rsidRDefault="0026269A" w:rsidP="007445A8">
            <w:pPr>
              <w:spacing w:after="0" w:line="240" w:lineRule="auto"/>
              <w:jc w:val="right"/>
              <w:rPr>
                <w:rFonts w:ascii="Times New Roman" w:hAnsi="Times New Roman"/>
                <w:sz w:val="24"/>
                <w:szCs w:val="24"/>
              </w:rPr>
            </w:pPr>
            <w:r w:rsidRPr="00F60F4E">
              <w:rPr>
                <w:rFonts w:ascii="Times New Roman" w:hAnsi="Times New Roman"/>
                <w:sz w:val="24"/>
                <w:szCs w:val="24"/>
              </w:rPr>
              <w:t>24,321 hours</w:t>
            </w:r>
            <w:r w:rsidR="00F60F4E">
              <w:rPr>
                <w:rFonts w:ascii="Times New Roman" w:hAnsi="Times New Roman"/>
                <w:sz w:val="24"/>
                <w:szCs w:val="24"/>
              </w:rPr>
              <w:t>,</w:t>
            </w:r>
            <w:r w:rsidRPr="00F60F4E">
              <w:rPr>
                <w:rFonts w:ascii="Times New Roman" w:hAnsi="Times New Roman"/>
                <w:sz w:val="24"/>
                <w:szCs w:val="24"/>
              </w:rPr>
              <w:t xml:space="preserve"> </w:t>
            </w:r>
            <w:r w:rsidR="00AB42C6" w:rsidRPr="00F60F4E">
              <w:rPr>
                <w:rFonts w:ascii="Times New Roman" w:hAnsi="Times New Roman"/>
                <w:sz w:val="24"/>
                <w:szCs w:val="24"/>
              </w:rPr>
              <w:t>$</w:t>
            </w:r>
            <w:r w:rsidRPr="00F60F4E">
              <w:rPr>
                <w:rFonts w:ascii="Times New Roman" w:hAnsi="Times New Roman"/>
                <w:sz w:val="24"/>
                <w:szCs w:val="24"/>
              </w:rPr>
              <w:t>1,860,573</w:t>
            </w:r>
          </w:p>
        </w:tc>
        <w:tc>
          <w:tcPr>
            <w:tcW w:w="616" w:type="pct"/>
          </w:tcPr>
          <w:p w14:paraId="5EA84A84" w14:textId="77777777" w:rsidR="00200CB5" w:rsidRPr="00F60F4E" w:rsidRDefault="0026269A" w:rsidP="007445A8">
            <w:pPr>
              <w:spacing w:after="0" w:line="240" w:lineRule="auto"/>
              <w:jc w:val="right"/>
              <w:rPr>
                <w:rFonts w:ascii="Times New Roman" w:hAnsi="Times New Roman"/>
                <w:sz w:val="24"/>
                <w:szCs w:val="24"/>
              </w:rPr>
            </w:pPr>
            <w:r w:rsidRPr="00F60F4E">
              <w:rPr>
                <w:rFonts w:ascii="Times New Roman" w:hAnsi="Times New Roman"/>
                <w:sz w:val="24"/>
                <w:szCs w:val="24"/>
              </w:rPr>
              <w:t>$56,381</w:t>
            </w:r>
          </w:p>
        </w:tc>
      </w:tr>
    </w:tbl>
    <w:p w14:paraId="163F6272" w14:textId="77777777" w:rsidR="00F0627E" w:rsidRPr="00F1537F" w:rsidRDefault="00F0627E" w:rsidP="007445A8">
      <w:pPr>
        <w:spacing w:after="0" w:line="240" w:lineRule="auto"/>
        <w:rPr>
          <w:rFonts w:ascii="Times New Roman" w:hAnsi="Times New Roman"/>
          <w:sz w:val="24"/>
          <w:szCs w:val="24"/>
        </w:rPr>
      </w:pPr>
    </w:p>
    <w:p w14:paraId="18B06524" w14:textId="77777777" w:rsidR="00974AFC" w:rsidRPr="00F1537F" w:rsidRDefault="00974AFC" w:rsidP="007445A8">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4224D29F" w14:textId="77777777" w:rsidR="00974AFC" w:rsidRPr="00F1537F" w:rsidRDefault="00974AFC" w:rsidP="007445A8">
      <w:pPr>
        <w:spacing w:after="0" w:line="240" w:lineRule="auto"/>
        <w:rPr>
          <w:rFonts w:ascii="Times New Roman" w:hAnsi="Times New Roman"/>
          <w:sz w:val="24"/>
          <w:szCs w:val="24"/>
        </w:rPr>
      </w:pPr>
    </w:p>
    <w:p w14:paraId="19B0EE9D"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eastAsia="Times New Roman" w:hAnsi="Times New Roman"/>
          <w:sz w:val="24"/>
          <w:szCs w:val="24"/>
        </w:rPr>
        <w:t xml:space="preserve"> </w:t>
      </w:r>
      <w:r w:rsidRPr="00F1537F">
        <w:rPr>
          <w:rFonts w:ascii="Times New Roman" w:hAnsi="Times New Roman"/>
          <w:sz w:val="24"/>
          <w:szCs w:val="24"/>
        </w:rPr>
        <w:t>There are no start-up or other non-labor costs.</w:t>
      </w:r>
    </w:p>
    <w:p w14:paraId="33BEB023" w14:textId="77777777" w:rsidR="004A36E5" w:rsidRPr="00F1537F" w:rsidRDefault="004A36E5" w:rsidP="007445A8">
      <w:pPr>
        <w:spacing w:after="0" w:line="240" w:lineRule="auto"/>
        <w:rPr>
          <w:rFonts w:ascii="Times New Roman" w:hAnsi="Times New Roman"/>
          <w:sz w:val="24"/>
          <w:szCs w:val="24"/>
        </w:rPr>
      </w:pPr>
    </w:p>
    <w:p w14:paraId="357803E9"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Total Capital and Start-up cost: $0</w:t>
      </w:r>
    </w:p>
    <w:p w14:paraId="583AC946"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Total Operation, Maintenance, and Purchase of Services: $0</w:t>
      </w:r>
    </w:p>
    <w:p w14:paraId="62487525" w14:textId="77777777" w:rsidR="004A36E5" w:rsidRPr="00F1537F" w:rsidRDefault="004A36E5" w:rsidP="007445A8">
      <w:pPr>
        <w:spacing w:after="0" w:line="240" w:lineRule="auto"/>
        <w:rPr>
          <w:rFonts w:ascii="Times New Roman" w:hAnsi="Times New Roman"/>
          <w:sz w:val="24"/>
          <w:szCs w:val="24"/>
        </w:rPr>
      </w:pPr>
    </w:p>
    <w:p w14:paraId="10C2E9CE"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All of the costs in th</w:t>
      </w:r>
      <w:r w:rsidR="00974AFC" w:rsidRPr="00F1537F">
        <w:rPr>
          <w:rFonts w:ascii="Times New Roman" w:hAnsi="Times New Roman"/>
          <w:sz w:val="24"/>
          <w:szCs w:val="24"/>
        </w:rPr>
        <w:t>e</w:t>
      </w:r>
      <w:r w:rsidR="009C7060" w:rsidRPr="00F1537F">
        <w:rPr>
          <w:rFonts w:ascii="Times New Roman" w:hAnsi="Times New Roman"/>
          <w:sz w:val="24"/>
          <w:szCs w:val="24"/>
        </w:rPr>
        <w:t xml:space="preserve"> information collection </w:t>
      </w:r>
      <w:r w:rsidRPr="00F1537F">
        <w:rPr>
          <w:rFonts w:ascii="Times New Roman" w:hAnsi="Times New Roman"/>
          <w:sz w:val="24"/>
          <w:szCs w:val="24"/>
        </w:rPr>
        <w:t xml:space="preserve">are associated with burden hours (labor) and </w:t>
      </w:r>
      <w:r w:rsidR="009C7060" w:rsidRPr="00F1537F">
        <w:rPr>
          <w:rFonts w:ascii="Times New Roman" w:hAnsi="Times New Roman"/>
          <w:sz w:val="24"/>
          <w:szCs w:val="24"/>
        </w:rPr>
        <w:t>accounted for</w:t>
      </w:r>
      <w:r w:rsidRPr="00F1537F">
        <w:rPr>
          <w:rFonts w:ascii="Times New Roman" w:hAnsi="Times New Roman"/>
          <w:sz w:val="24"/>
          <w:szCs w:val="24"/>
        </w:rPr>
        <w:t xml:space="preserve"> in Questions #12 and #15.</w:t>
      </w:r>
    </w:p>
    <w:p w14:paraId="209043C1" w14:textId="77777777" w:rsidR="00F0627E" w:rsidRPr="00F1537F" w:rsidRDefault="00F0627E" w:rsidP="007445A8">
      <w:pPr>
        <w:spacing w:after="0" w:line="240" w:lineRule="auto"/>
        <w:rPr>
          <w:rFonts w:ascii="Times New Roman" w:hAnsi="Times New Roman"/>
          <w:sz w:val="24"/>
          <w:szCs w:val="24"/>
        </w:rPr>
      </w:pPr>
    </w:p>
    <w:p w14:paraId="5983F444" w14:textId="77777777" w:rsidR="00F0627E" w:rsidRPr="00F1537F" w:rsidRDefault="00F0627E" w:rsidP="007445A8">
      <w:pPr>
        <w:spacing w:after="0" w:line="240" w:lineRule="auto"/>
        <w:rPr>
          <w:rFonts w:ascii="Times New Roman" w:hAnsi="Times New Roman"/>
          <w:sz w:val="24"/>
          <w:szCs w:val="24"/>
        </w:rPr>
      </w:pPr>
    </w:p>
    <w:p w14:paraId="363EB48A" w14:textId="77777777" w:rsidR="00F0627E" w:rsidRPr="00F1537F" w:rsidRDefault="00974AFC" w:rsidP="007445A8">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 xml:space="preserve"> </w:t>
      </w:r>
      <w:r w:rsidRPr="00F1537F">
        <w:rPr>
          <w:rFonts w:ascii="Times New Roman" w:hAnsi="Times New Roman"/>
          <w:b/>
          <w:sz w:val="24"/>
          <w:szCs w:val="24"/>
        </w:rPr>
        <w:t xml:space="preserve"> </w:t>
      </w:r>
      <w:r w:rsidR="00BF3095" w:rsidRPr="00F1537F">
        <w:rPr>
          <w:rFonts w:ascii="Times New Roman" w:hAnsi="Times New Roman"/>
          <w:b/>
          <w:sz w:val="24"/>
          <w:szCs w:val="24"/>
        </w:rPr>
        <w:t>ESTIMATED ANNUALIZED COST TO FEDERAL GOVERNMENT</w:t>
      </w:r>
      <w:r w:rsidRPr="00F1537F">
        <w:rPr>
          <w:rFonts w:ascii="Times New Roman" w:hAnsi="Times New Roman"/>
          <w:b/>
          <w:sz w:val="24"/>
          <w:szCs w:val="24"/>
        </w:rPr>
        <w:t xml:space="preserve">   </w:t>
      </w:r>
    </w:p>
    <w:p w14:paraId="1EA0D1D3" w14:textId="77777777" w:rsidR="00BF3095" w:rsidRPr="00F1537F" w:rsidRDefault="00BF3095" w:rsidP="007445A8">
      <w:pPr>
        <w:pStyle w:val="ListParagraph"/>
        <w:spacing w:after="0" w:line="240" w:lineRule="auto"/>
        <w:ind w:left="0"/>
        <w:rPr>
          <w:rFonts w:ascii="Times New Roman" w:hAnsi="Times New Roman"/>
          <w:sz w:val="24"/>
          <w:szCs w:val="24"/>
        </w:rPr>
      </w:pPr>
    </w:p>
    <w:p w14:paraId="1A9E4E44"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 for FERC-505 is:</w:t>
      </w:r>
      <w:r w:rsidRPr="00F1537F">
        <w:rPr>
          <w:rFonts w:ascii="Times New Roman" w:hAnsi="Times New Roman"/>
          <w:sz w:val="24"/>
          <w:szCs w:val="24"/>
        </w:rPr>
        <w:t xml:space="preserve"> </w:t>
      </w:r>
    </w:p>
    <w:p w14:paraId="462D4C89" w14:textId="77777777" w:rsidR="00F20B97" w:rsidRPr="00F1537F" w:rsidRDefault="00F20B97" w:rsidP="007445A8">
      <w:pPr>
        <w:spacing w:after="0" w:line="240" w:lineRule="auto"/>
        <w:rPr>
          <w:rFonts w:ascii="Times New Roman" w:hAnsi="Times New Roman"/>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595"/>
        <w:gridCol w:w="3250"/>
        <w:gridCol w:w="3420"/>
      </w:tblGrid>
      <w:tr w:rsidR="00F60F4E" w:rsidRPr="00F1537F" w14:paraId="22576DA9" w14:textId="77777777" w:rsidTr="007445A8">
        <w:tc>
          <w:tcPr>
            <w:tcW w:w="2595" w:type="dxa"/>
            <w:shd w:val="clear" w:color="auto" w:fill="FFFFFF"/>
          </w:tcPr>
          <w:p w14:paraId="52DE08B2" w14:textId="77777777" w:rsidR="00F60F4E" w:rsidRPr="00F1537F" w:rsidRDefault="00F60F4E" w:rsidP="007445A8">
            <w:pPr>
              <w:spacing w:after="0" w:line="240" w:lineRule="auto"/>
              <w:jc w:val="center"/>
              <w:rPr>
                <w:rFonts w:ascii="Times New Roman" w:hAnsi="Times New Roman"/>
                <w:sz w:val="24"/>
                <w:szCs w:val="24"/>
              </w:rPr>
            </w:pPr>
            <w:r w:rsidRPr="00F1537F">
              <w:rPr>
                <w:rFonts w:ascii="Times New Roman" w:hAnsi="Times New Roman"/>
                <w:b/>
                <w:sz w:val="24"/>
                <w:szCs w:val="24"/>
              </w:rPr>
              <w:t>FERC-505</w:t>
            </w:r>
          </w:p>
        </w:tc>
        <w:tc>
          <w:tcPr>
            <w:tcW w:w="3250" w:type="dxa"/>
            <w:shd w:val="clear" w:color="auto" w:fill="D9D9D9"/>
          </w:tcPr>
          <w:p w14:paraId="2B008835" w14:textId="77777777" w:rsidR="00F60F4E" w:rsidRPr="00F1537F" w:rsidRDefault="00F60F4E" w:rsidP="007445A8">
            <w:pPr>
              <w:spacing w:after="0" w:line="240" w:lineRule="auto"/>
              <w:rPr>
                <w:rFonts w:ascii="Times New Roman" w:hAnsi="Times New Roman"/>
                <w:b/>
                <w:sz w:val="24"/>
                <w:szCs w:val="24"/>
              </w:rPr>
            </w:pPr>
            <w:r w:rsidRPr="00F1537F">
              <w:rPr>
                <w:rFonts w:ascii="Times New Roman" w:hAnsi="Times New Roman"/>
                <w:b/>
                <w:sz w:val="24"/>
                <w:szCs w:val="24"/>
              </w:rPr>
              <w:t>Number of Employees (FTEs)</w:t>
            </w:r>
          </w:p>
        </w:tc>
        <w:tc>
          <w:tcPr>
            <w:tcW w:w="3420" w:type="dxa"/>
            <w:shd w:val="clear" w:color="auto" w:fill="D9D9D9"/>
          </w:tcPr>
          <w:p w14:paraId="4E76102D" w14:textId="77777777" w:rsidR="00F60F4E" w:rsidRPr="00F1537F" w:rsidRDefault="00F60F4E" w:rsidP="007445A8">
            <w:pPr>
              <w:spacing w:after="0" w:line="240" w:lineRule="auto"/>
              <w:rPr>
                <w:rFonts w:ascii="Times New Roman" w:hAnsi="Times New Roman"/>
                <w:b/>
                <w:sz w:val="24"/>
                <w:szCs w:val="24"/>
              </w:rPr>
            </w:pPr>
            <w:r w:rsidRPr="00F1537F">
              <w:rPr>
                <w:rFonts w:ascii="Times New Roman" w:hAnsi="Times New Roman"/>
                <w:b/>
                <w:sz w:val="24"/>
                <w:szCs w:val="24"/>
              </w:rPr>
              <w:t>Estimated Annual Federal Cost (rounded)</w:t>
            </w:r>
          </w:p>
        </w:tc>
      </w:tr>
      <w:tr w:rsidR="00F60F4E" w:rsidRPr="00F1537F" w14:paraId="567917E5" w14:textId="77777777" w:rsidTr="007445A8">
        <w:tc>
          <w:tcPr>
            <w:tcW w:w="2595" w:type="dxa"/>
            <w:shd w:val="clear" w:color="auto" w:fill="FFFFFF"/>
            <w:vAlign w:val="bottom"/>
          </w:tcPr>
          <w:p w14:paraId="0F16A1AC" w14:textId="77777777" w:rsidR="00F60F4E" w:rsidRPr="006B48FF" w:rsidRDefault="00F60F4E" w:rsidP="007445A8">
            <w:pPr>
              <w:spacing w:after="0" w:line="240" w:lineRule="auto"/>
              <w:rPr>
                <w:rFonts w:ascii="Times New Roman" w:hAnsi="Times New Roman"/>
                <w:sz w:val="24"/>
                <w:szCs w:val="24"/>
              </w:rPr>
            </w:pPr>
            <w:r w:rsidRPr="006B48FF">
              <w:rPr>
                <w:rFonts w:ascii="Times New Roman" w:hAnsi="Times New Roman"/>
                <w:sz w:val="24"/>
                <w:szCs w:val="24"/>
              </w:rPr>
              <w:t>Analysis and Processing of filings</w:t>
            </w:r>
            <w:r w:rsidRPr="006B48FF">
              <w:rPr>
                <w:rFonts w:ascii="Times New Roman" w:hAnsi="Times New Roman"/>
                <w:b/>
                <w:sz w:val="24"/>
                <w:szCs w:val="24"/>
                <w:vertAlign w:val="superscript"/>
              </w:rPr>
              <w:footnoteReference w:id="14"/>
            </w:r>
          </w:p>
        </w:tc>
        <w:tc>
          <w:tcPr>
            <w:tcW w:w="3250" w:type="dxa"/>
            <w:shd w:val="clear" w:color="auto" w:fill="FFFFFF"/>
            <w:vAlign w:val="center"/>
          </w:tcPr>
          <w:p w14:paraId="7244FC94" w14:textId="77777777" w:rsidR="00F60F4E" w:rsidRPr="006B48FF" w:rsidRDefault="006B48FF" w:rsidP="007445A8">
            <w:pPr>
              <w:spacing w:after="0" w:line="240" w:lineRule="auto"/>
              <w:jc w:val="right"/>
              <w:rPr>
                <w:rFonts w:ascii="Times New Roman" w:hAnsi="Times New Roman"/>
                <w:sz w:val="24"/>
                <w:szCs w:val="24"/>
              </w:rPr>
            </w:pPr>
            <w:r>
              <w:rPr>
                <w:rFonts w:ascii="Times New Roman" w:hAnsi="Times New Roman"/>
                <w:sz w:val="24"/>
                <w:szCs w:val="24"/>
              </w:rPr>
              <w:t>8.5</w:t>
            </w:r>
          </w:p>
        </w:tc>
        <w:tc>
          <w:tcPr>
            <w:tcW w:w="3420" w:type="dxa"/>
            <w:shd w:val="clear" w:color="auto" w:fill="FFFFFF"/>
            <w:vAlign w:val="center"/>
          </w:tcPr>
          <w:p w14:paraId="5B9AA357" w14:textId="77777777" w:rsidR="00F60F4E" w:rsidRPr="006B48FF" w:rsidRDefault="00F60F4E" w:rsidP="006B48FF">
            <w:pPr>
              <w:spacing w:after="0" w:line="240" w:lineRule="auto"/>
              <w:jc w:val="right"/>
              <w:rPr>
                <w:rFonts w:ascii="Times New Roman" w:hAnsi="Times New Roman"/>
                <w:sz w:val="24"/>
                <w:szCs w:val="24"/>
              </w:rPr>
            </w:pPr>
            <w:r w:rsidRPr="006B48FF">
              <w:rPr>
                <w:rFonts w:ascii="Times New Roman" w:hAnsi="Times New Roman"/>
                <w:sz w:val="24"/>
                <w:szCs w:val="24"/>
              </w:rPr>
              <w:t>$</w:t>
            </w:r>
            <w:r w:rsidR="006B48FF">
              <w:rPr>
                <w:rFonts w:ascii="Times New Roman" w:hAnsi="Times New Roman"/>
                <w:sz w:val="24"/>
                <w:szCs w:val="24"/>
              </w:rPr>
              <w:t>1,349,408</w:t>
            </w:r>
          </w:p>
        </w:tc>
      </w:tr>
      <w:tr w:rsidR="00F60F4E" w:rsidRPr="00F1537F" w14:paraId="48BD092B" w14:textId="77777777" w:rsidTr="007445A8">
        <w:tc>
          <w:tcPr>
            <w:tcW w:w="2595" w:type="dxa"/>
            <w:shd w:val="clear" w:color="auto" w:fill="FFFFFF"/>
            <w:vAlign w:val="bottom"/>
          </w:tcPr>
          <w:p w14:paraId="7E969D7B" w14:textId="77777777" w:rsidR="00F60F4E" w:rsidRPr="00F1537F" w:rsidRDefault="00F60F4E" w:rsidP="007445A8">
            <w:pPr>
              <w:spacing w:line="240" w:lineRule="auto"/>
              <w:rPr>
                <w:rFonts w:ascii="Times New Roman" w:hAnsi="Times New Roman"/>
                <w:sz w:val="24"/>
                <w:szCs w:val="24"/>
              </w:rPr>
            </w:pPr>
            <w:r w:rsidRPr="00F1537F">
              <w:rPr>
                <w:rFonts w:ascii="Times New Roman" w:hAnsi="Times New Roman"/>
                <w:sz w:val="24"/>
                <w:szCs w:val="24"/>
              </w:rPr>
              <w:t>PRA</w:t>
            </w:r>
            <w:r w:rsidRPr="00F1537F">
              <w:rPr>
                <w:rFonts w:ascii="Times New Roman" w:hAnsi="Times New Roman"/>
                <w:b/>
                <w:sz w:val="24"/>
                <w:szCs w:val="24"/>
                <w:vertAlign w:val="superscript"/>
              </w:rPr>
              <w:footnoteReference w:id="15"/>
            </w:r>
            <w:r w:rsidRPr="00F1537F">
              <w:rPr>
                <w:rFonts w:ascii="Times New Roman" w:hAnsi="Times New Roman"/>
                <w:sz w:val="24"/>
                <w:szCs w:val="24"/>
              </w:rPr>
              <w:t xml:space="preserve"> Administrative Cost</w:t>
            </w:r>
            <w:r w:rsidRPr="00F1537F">
              <w:rPr>
                <w:rFonts w:ascii="Times New Roman" w:hAnsi="Times New Roman"/>
                <w:b/>
                <w:sz w:val="24"/>
                <w:szCs w:val="24"/>
                <w:vertAlign w:val="superscript"/>
              </w:rPr>
              <w:footnoteReference w:id="16"/>
            </w:r>
            <w:r w:rsidRPr="00F1537F">
              <w:rPr>
                <w:rFonts w:ascii="Times New Roman" w:hAnsi="Times New Roman"/>
                <w:b/>
                <w:sz w:val="24"/>
                <w:szCs w:val="24"/>
              </w:rPr>
              <w:t xml:space="preserve"> </w:t>
            </w:r>
          </w:p>
        </w:tc>
        <w:tc>
          <w:tcPr>
            <w:tcW w:w="3250" w:type="dxa"/>
            <w:shd w:val="clear" w:color="auto" w:fill="FFFFFF"/>
            <w:vAlign w:val="center"/>
          </w:tcPr>
          <w:p w14:paraId="73246A19" w14:textId="77777777" w:rsidR="00F60F4E" w:rsidRPr="00F60F4E" w:rsidRDefault="00F60F4E" w:rsidP="007445A8">
            <w:pPr>
              <w:spacing w:after="0" w:line="240" w:lineRule="auto"/>
              <w:jc w:val="right"/>
              <w:rPr>
                <w:rFonts w:ascii="Times New Roman" w:hAnsi="Times New Roman"/>
                <w:sz w:val="24"/>
                <w:szCs w:val="24"/>
              </w:rPr>
            </w:pPr>
          </w:p>
        </w:tc>
        <w:tc>
          <w:tcPr>
            <w:tcW w:w="3420" w:type="dxa"/>
            <w:shd w:val="clear" w:color="auto" w:fill="FFFFFF"/>
            <w:vAlign w:val="center"/>
          </w:tcPr>
          <w:p w14:paraId="57072902" w14:textId="77777777" w:rsidR="00F60F4E" w:rsidRPr="00F60F4E" w:rsidRDefault="00F60F4E" w:rsidP="007445A8">
            <w:pPr>
              <w:spacing w:after="0" w:line="240" w:lineRule="auto"/>
              <w:jc w:val="right"/>
              <w:rPr>
                <w:rFonts w:ascii="Times New Roman" w:hAnsi="Times New Roman"/>
                <w:sz w:val="24"/>
                <w:szCs w:val="24"/>
              </w:rPr>
            </w:pPr>
            <w:r w:rsidRPr="00F60F4E">
              <w:rPr>
                <w:rFonts w:ascii="Times New Roman" w:hAnsi="Times New Roman"/>
                <w:sz w:val="24"/>
                <w:szCs w:val="24"/>
              </w:rPr>
              <w:t>$5,723</w:t>
            </w:r>
          </w:p>
        </w:tc>
      </w:tr>
      <w:tr w:rsidR="00F60F4E" w:rsidRPr="00F1537F" w14:paraId="10D72B46" w14:textId="77777777" w:rsidTr="007445A8">
        <w:tc>
          <w:tcPr>
            <w:tcW w:w="2595" w:type="dxa"/>
            <w:shd w:val="clear" w:color="auto" w:fill="FFFFFF"/>
            <w:vAlign w:val="bottom"/>
          </w:tcPr>
          <w:p w14:paraId="17158F7D" w14:textId="77777777" w:rsidR="00F60F4E" w:rsidRPr="00F1537F" w:rsidRDefault="00F60F4E" w:rsidP="007445A8">
            <w:pPr>
              <w:spacing w:after="0" w:line="240" w:lineRule="auto"/>
              <w:rPr>
                <w:rFonts w:ascii="Times New Roman" w:hAnsi="Times New Roman"/>
                <w:b/>
                <w:sz w:val="24"/>
                <w:szCs w:val="24"/>
              </w:rPr>
            </w:pPr>
            <w:r w:rsidRPr="00F1537F">
              <w:rPr>
                <w:rFonts w:ascii="Times New Roman" w:hAnsi="Times New Roman"/>
                <w:b/>
                <w:sz w:val="24"/>
                <w:szCs w:val="24"/>
              </w:rPr>
              <w:t>FERC-505 Total</w:t>
            </w:r>
          </w:p>
        </w:tc>
        <w:tc>
          <w:tcPr>
            <w:tcW w:w="3250" w:type="dxa"/>
            <w:shd w:val="clear" w:color="auto" w:fill="FFFFFF"/>
            <w:vAlign w:val="center"/>
          </w:tcPr>
          <w:p w14:paraId="312E7239" w14:textId="77777777" w:rsidR="00F60F4E" w:rsidRPr="00F60F4E" w:rsidRDefault="00F60F4E" w:rsidP="007445A8">
            <w:pPr>
              <w:spacing w:after="0" w:line="240" w:lineRule="auto"/>
              <w:jc w:val="right"/>
              <w:rPr>
                <w:rFonts w:ascii="Times New Roman" w:hAnsi="Times New Roman"/>
                <w:sz w:val="24"/>
                <w:szCs w:val="24"/>
              </w:rPr>
            </w:pPr>
          </w:p>
        </w:tc>
        <w:tc>
          <w:tcPr>
            <w:tcW w:w="3420" w:type="dxa"/>
            <w:shd w:val="clear" w:color="auto" w:fill="FFFFFF"/>
            <w:vAlign w:val="center"/>
          </w:tcPr>
          <w:p w14:paraId="5DE0B6F1" w14:textId="77777777" w:rsidR="00F60F4E" w:rsidRPr="00F60F4E" w:rsidRDefault="00F60F4E" w:rsidP="006B48FF">
            <w:pPr>
              <w:spacing w:after="0" w:line="240" w:lineRule="auto"/>
              <w:jc w:val="right"/>
              <w:rPr>
                <w:rFonts w:ascii="Times New Roman" w:hAnsi="Times New Roman"/>
                <w:sz w:val="24"/>
                <w:szCs w:val="24"/>
              </w:rPr>
            </w:pPr>
            <w:r w:rsidRPr="00F60F4E">
              <w:rPr>
                <w:rFonts w:ascii="Times New Roman" w:hAnsi="Times New Roman"/>
                <w:sz w:val="24"/>
                <w:szCs w:val="24"/>
              </w:rPr>
              <w:t>$</w:t>
            </w:r>
            <w:r w:rsidR="006B48FF">
              <w:rPr>
                <w:rFonts w:ascii="Times New Roman" w:hAnsi="Times New Roman"/>
                <w:sz w:val="24"/>
                <w:szCs w:val="24"/>
              </w:rPr>
              <w:t>1,355,132</w:t>
            </w:r>
          </w:p>
        </w:tc>
      </w:tr>
    </w:tbl>
    <w:p w14:paraId="29A3C93D" w14:textId="77777777" w:rsidR="00F20B97" w:rsidRPr="00F1537F" w:rsidRDefault="00F20B97" w:rsidP="007445A8">
      <w:pPr>
        <w:spacing w:after="0" w:line="240" w:lineRule="auto"/>
        <w:rPr>
          <w:rFonts w:ascii="Times New Roman" w:hAnsi="Times New Roman"/>
          <w:sz w:val="24"/>
          <w:szCs w:val="24"/>
        </w:rPr>
      </w:pPr>
    </w:p>
    <w:p w14:paraId="0B6BF477" w14:textId="77777777" w:rsidR="00F20B97"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15. REASONS FOR CHANGES IN BURDEN INCLUDING THE NEED FOR ANY INCREASE</w:t>
      </w:r>
    </w:p>
    <w:p w14:paraId="478E41C3" w14:textId="77777777" w:rsidR="00F20B97" w:rsidRPr="00F1537F" w:rsidRDefault="00F20B97" w:rsidP="007445A8">
      <w:pPr>
        <w:spacing w:after="0" w:line="240" w:lineRule="auto"/>
        <w:rPr>
          <w:rFonts w:ascii="Times New Roman" w:hAnsi="Times New Roman"/>
          <w:sz w:val="24"/>
          <w:szCs w:val="24"/>
        </w:rPr>
      </w:pPr>
    </w:p>
    <w:p w14:paraId="377DA916" w14:textId="77777777" w:rsidR="00413C13" w:rsidRPr="00413C13" w:rsidRDefault="00221430" w:rsidP="00413C13">
      <w:pPr>
        <w:rPr>
          <w:rFonts w:ascii="Times New Roman" w:hAnsi="Times New Roman"/>
          <w:sz w:val="24"/>
          <w:szCs w:val="24"/>
        </w:rPr>
      </w:pPr>
      <w:r w:rsidRPr="00F1537F">
        <w:rPr>
          <w:rFonts w:ascii="Times New Roman" w:hAnsi="Times New Roman"/>
          <w:sz w:val="24"/>
          <w:szCs w:val="24"/>
        </w:rPr>
        <w:t xml:space="preserve">The total annual burden for </w:t>
      </w:r>
      <w:r w:rsidR="00F958BA" w:rsidRPr="00F1537F">
        <w:rPr>
          <w:rFonts w:ascii="Times New Roman" w:hAnsi="Times New Roman"/>
          <w:sz w:val="24"/>
          <w:szCs w:val="24"/>
        </w:rPr>
        <w:t>FERC-505</w:t>
      </w:r>
      <w:r w:rsidRPr="00F1537F">
        <w:rPr>
          <w:rFonts w:ascii="Times New Roman" w:hAnsi="Times New Roman"/>
          <w:sz w:val="24"/>
          <w:szCs w:val="24"/>
        </w:rPr>
        <w:t xml:space="preserve"> information collection </w:t>
      </w:r>
      <w:r w:rsidR="00AC66B6">
        <w:rPr>
          <w:rFonts w:ascii="Times New Roman" w:hAnsi="Times New Roman"/>
          <w:sz w:val="24"/>
          <w:szCs w:val="24"/>
        </w:rPr>
        <w:t>increased by 5</w:t>
      </w:r>
      <w:r w:rsidRPr="00F1537F">
        <w:rPr>
          <w:rFonts w:ascii="Times New Roman" w:hAnsi="Times New Roman"/>
          <w:sz w:val="24"/>
          <w:szCs w:val="24"/>
        </w:rPr>
        <w:t xml:space="preserve"> responses </w:t>
      </w:r>
      <w:r w:rsidR="0026269A">
        <w:rPr>
          <w:rFonts w:ascii="Times New Roman" w:hAnsi="Times New Roman"/>
          <w:sz w:val="24"/>
          <w:szCs w:val="24"/>
        </w:rPr>
        <w:t>but decreased by 35,018</w:t>
      </w:r>
      <w:r w:rsidR="00C47938" w:rsidRPr="00F1537F">
        <w:rPr>
          <w:rFonts w:ascii="Times New Roman" w:hAnsi="Times New Roman"/>
          <w:sz w:val="24"/>
          <w:szCs w:val="24"/>
        </w:rPr>
        <w:t xml:space="preserve"> hours from previously approved burden</w:t>
      </w:r>
      <w:r w:rsidR="00AC60DF" w:rsidRPr="007445A8">
        <w:rPr>
          <w:rFonts w:ascii="Times New Roman" w:hAnsi="Times New Roman"/>
          <w:sz w:val="24"/>
          <w:szCs w:val="24"/>
        </w:rPr>
        <w:t xml:space="preserve">. </w:t>
      </w:r>
      <w:r w:rsidR="00C47938" w:rsidRPr="007445A8">
        <w:rPr>
          <w:rFonts w:ascii="Times New Roman" w:hAnsi="Times New Roman"/>
          <w:sz w:val="24"/>
          <w:szCs w:val="24"/>
        </w:rPr>
        <w:t xml:space="preserve">The </w:t>
      </w:r>
      <w:r w:rsidR="000D1D54" w:rsidRPr="007445A8">
        <w:rPr>
          <w:rFonts w:ascii="Times New Roman" w:hAnsi="Times New Roman"/>
          <w:sz w:val="24"/>
          <w:szCs w:val="24"/>
        </w:rPr>
        <w:t xml:space="preserve">increase in the number of responses and the </w:t>
      </w:r>
      <w:r w:rsidR="0026269A" w:rsidRPr="007445A8">
        <w:rPr>
          <w:rFonts w:ascii="Times New Roman" w:hAnsi="Times New Roman"/>
          <w:sz w:val="24"/>
          <w:szCs w:val="24"/>
        </w:rPr>
        <w:t xml:space="preserve">decrease in </w:t>
      </w:r>
      <w:r w:rsidR="000D1D54" w:rsidRPr="007445A8">
        <w:rPr>
          <w:rFonts w:ascii="Times New Roman" w:hAnsi="Times New Roman"/>
          <w:sz w:val="24"/>
          <w:szCs w:val="24"/>
        </w:rPr>
        <w:t xml:space="preserve">total </w:t>
      </w:r>
      <w:r w:rsidR="0026269A" w:rsidRPr="007445A8">
        <w:rPr>
          <w:rFonts w:ascii="Times New Roman" w:hAnsi="Times New Roman"/>
          <w:sz w:val="24"/>
          <w:szCs w:val="24"/>
        </w:rPr>
        <w:t>hours</w:t>
      </w:r>
      <w:r w:rsidR="00C47938" w:rsidRPr="007445A8">
        <w:rPr>
          <w:rFonts w:ascii="Times New Roman" w:hAnsi="Times New Roman"/>
          <w:sz w:val="24"/>
          <w:szCs w:val="24"/>
        </w:rPr>
        <w:t xml:space="preserve"> is </w:t>
      </w:r>
      <w:r w:rsidR="0026269A" w:rsidRPr="007445A8">
        <w:rPr>
          <w:rFonts w:ascii="Times New Roman" w:hAnsi="Times New Roman"/>
          <w:sz w:val="24"/>
          <w:szCs w:val="24"/>
        </w:rPr>
        <w:t>related</w:t>
      </w:r>
      <w:r w:rsidR="00C47938" w:rsidRPr="007445A8">
        <w:rPr>
          <w:rFonts w:ascii="Times New Roman" w:hAnsi="Times New Roman"/>
          <w:sz w:val="24"/>
          <w:szCs w:val="24"/>
        </w:rPr>
        <w:t xml:space="preserve"> to </w:t>
      </w:r>
      <w:r w:rsidR="00AC66B6" w:rsidRPr="007445A8">
        <w:rPr>
          <w:rFonts w:ascii="Times New Roman" w:hAnsi="Times New Roman"/>
          <w:sz w:val="24"/>
          <w:szCs w:val="24"/>
        </w:rPr>
        <w:t>Congress</w:t>
      </w:r>
      <w:r w:rsidR="0026269A" w:rsidRPr="007445A8">
        <w:rPr>
          <w:rFonts w:ascii="Times New Roman" w:hAnsi="Times New Roman"/>
          <w:sz w:val="24"/>
          <w:szCs w:val="24"/>
        </w:rPr>
        <w:t>’</w:t>
      </w:r>
      <w:r w:rsidR="00AC66B6" w:rsidRPr="007445A8">
        <w:rPr>
          <w:rFonts w:ascii="Times New Roman" w:hAnsi="Times New Roman"/>
          <w:sz w:val="24"/>
          <w:szCs w:val="24"/>
        </w:rPr>
        <w:t xml:space="preserve"> enact</w:t>
      </w:r>
      <w:r w:rsidR="0026269A" w:rsidRPr="007445A8">
        <w:rPr>
          <w:rFonts w:ascii="Times New Roman" w:hAnsi="Times New Roman"/>
          <w:sz w:val="24"/>
          <w:szCs w:val="24"/>
        </w:rPr>
        <w:t>ment of</w:t>
      </w:r>
      <w:r w:rsidR="00AC66B6" w:rsidRPr="007445A8">
        <w:rPr>
          <w:rFonts w:ascii="Times New Roman" w:hAnsi="Times New Roman"/>
          <w:sz w:val="24"/>
          <w:szCs w:val="24"/>
        </w:rPr>
        <w:t xml:space="preserve"> the Hydropower Regulatory Efficiency Act in August 2013</w:t>
      </w:r>
      <w:r w:rsidR="000D1D54" w:rsidRPr="007445A8">
        <w:rPr>
          <w:rFonts w:ascii="Times New Roman" w:hAnsi="Times New Roman"/>
          <w:sz w:val="24"/>
          <w:szCs w:val="24"/>
        </w:rPr>
        <w:t>,</w:t>
      </w:r>
      <w:r w:rsidR="00AC66B6" w:rsidRPr="007445A8">
        <w:rPr>
          <w:rFonts w:ascii="Times New Roman" w:hAnsi="Times New Roman"/>
          <w:sz w:val="24"/>
          <w:szCs w:val="24"/>
        </w:rPr>
        <w:t xml:space="preserve"> which in part</w:t>
      </w:r>
      <w:r w:rsidR="000D1D54" w:rsidRPr="007445A8">
        <w:rPr>
          <w:rFonts w:ascii="Times New Roman" w:hAnsi="Times New Roman"/>
          <w:sz w:val="24"/>
          <w:szCs w:val="24"/>
        </w:rPr>
        <w:t>,</w:t>
      </w:r>
      <w:r w:rsidR="00AC66B6" w:rsidRPr="007445A8">
        <w:rPr>
          <w:rFonts w:ascii="Times New Roman" w:hAnsi="Times New Roman"/>
          <w:sz w:val="24"/>
          <w:szCs w:val="24"/>
        </w:rPr>
        <w:t xml:space="preserve"> authorized the Commission to </w:t>
      </w:r>
      <w:r w:rsidR="000D1D54" w:rsidRPr="007445A8">
        <w:rPr>
          <w:rFonts w:ascii="Times New Roman" w:hAnsi="Times New Roman"/>
          <w:sz w:val="24"/>
          <w:szCs w:val="24"/>
        </w:rPr>
        <w:t>issue</w:t>
      </w:r>
      <w:r w:rsidR="00AC66B6" w:rsidRPr="007445A8">
        <w:rPr>
          <w:rFonts w:ascii="Times New Roman" w:hAnsi="Times New Roman"/>
          <w:sz w:val="24"/>
          <w:szCs w:val="24"/>
        </w:rPr>
        <w:t xml:space="preserve"> qualifying conduit exemptions. </w:t>
      </w:r>
      <w:r w:rsidR="00C740BC" w:rsidRPr="007445A8">
        <w:rPr>
          <w:rFonts w:ascii="Times New Roman" w:hAnsi="Times New Roman"/>
          <w:sz w:val="24"/>
          <w:szCs w:val="24"/>
        </w:rPr>
        <w:t xml:space="preserve">The 28 previous responses </w:t>
      </w:r>
      <w:r w:rsidR="000D1D54" w:rsidRPr="007445A8">
        <w:rPr>
          <w:rFonts w:ascii="Times New Roman" w:hAnsi="Times New Roman"/>
          <w:sz w:val="24"/>
          <w:szCs w:val="24"/>
        </w:rPr>
        <w:t xml:space="preserve">that were requested and approved did not </w:t>
      </w:r>
      <w:r w:rsidR="00C740BC" w:rsidRPr="007445A8">
        <w:rPr>
          <w:rFonts w:ascii="Times New Roman" w:hAnsi="Times New Roman"/>
          <w:sz w:val="24"/>
          <w:szCs w:val="24"/>
        </w:rPr>
        <w:t xml:space="preserve">include qualifying </w:t>
      </w:r>
      <w:r w:rsidR="000D1D54" w:rsidRPr="007445A8">
        <w:rPr>
          <w:rFonts w:ascii="Times New Roman" w:hAnsi="Times New Roman"/>
          <w:sz w:val="24"/>
          <w:szCs w:val="24"/>
        </w:rPr>
        <w:t xml:space="preserve">conduit </w:t>
      </w:r>
      <w:r w:rsidR="00C740BC" w:rsidRPr="007445A8">
        <w:rPr>
          <w:rFonts w:ascii="Times New Roman" w:hAnsi="Times New Roman"/>
          <w:sz w:val="24"/>
          <w:szCs w:val="24"/>
        </w:rPr>
        <w:t>exemption applications</w:t>
      </w:r>
      <w:r w:rsidR="0026269A" w:rsidRPr="007445A8">
        <w:rPr>
          <w:rFonts w:ascii="Times New Roman" w:hAnsi="Times New Roman"/>
          <w:sz w:val="24"/>
          <w:szCs w:val="24"/>
        </w:rPr>
        <w:t xml:space="preserve">, </w:t>
      </w:r>
      <w:r w:rsidR="000D1D54" w:rsidRPr="007445A8">
        <w:rPr>
          <w:rFonts w:ascii="Times New Roman" w:hAnsi="Times New Roman"/>
          <w:sz w:val="24"/>
          <w:szCs w:val="24"/>
        </w:rPr>
        <w:t>which at the time, did not exist</w:t>
      </w:r>
      <w:r w:rsidR="00C740BC" w:rsidRPr="007445A8">
        <w:rPr>
          <w:rFonts w:ascii="Times New Roman" w:hAnsi="Times New Roman"/>
          <w:sz w:val="24"/>
          <w:szCs w:val="24"/>
        </w:rPr>
        <w:t>.</w:t>
      </w:r>
      <w:r w:rsidR="000D1D54" w:rsidRPr="007445A8">
        <w:rPr>
          <w:rFonts w:ascii="Times New Roman" w:hAnsi="Times New Roman"/>
          <w:sz w:val="24"/>
          <w:szCs w:val="24"/>
        </w:rPr>
        <w:t xml:space="preserve">  Qualifying conduit exemption applications are much less burdensome to prepare than the other applications reported.  </w:t>
      </w:r>
      <w:r w:rsidR="00413C13" w:rsidRPr="00413C13">
        <w:rPr>
          <w:rFonts w:ascii="Times New Roman" w:hAnsi="Times New Roman"/>
          <w:sz w:val="24"/>
          <w:szCs w:val="24"/>
        </w:rPr>
        <w:t>Upon reviewing the report over the last few months, we calculated the amount of burden per response to be 2,120 hours.  That amount of time sounds reasonable to FERC  – our regulations show that it takes 2-3 years for a developer to navigate the pre-filing consultation process and prepare a standard license or exemption application.</w:t>
      </w:r>
    </w:p>
    <w:p w14:paraId="6ACC8343" w14:textId="77777777" w:rsidR="00413C13" w:rsidRPr="00413C13" w:rsidRDefault="00413C13" w:rsidP="00413C13">
      <w:pPr>
        <w:rPr>
          <w:rFonts w:ascii="Times New Roman" w:hAnsi="Times New Roman"/>
          <w:sz w:val="24"/>
          <w:szCs w:val="24"/>
        </w:rPr>
      </w:pPr>
      <w:r w:rsidRPr="00413C13">
        <w:rPr>
          <w:rFonts w:ascii="Times New Roman" w:hAnsi="Times New Roman"/>
          <w:sz w:val="24"/>
          <w:szCs w:val="24"/>
        </w:rPr>
        <w:t>In 2013, it appears to me that the reported “response” was either preparation of license application, preparation of small hydro exemption application, or preparation of a conduit exemption application.  It looks like we estimated 28 “responses” in 2013 based on the number of applications we were receiving per year at that time.  When you multiply 28 responses times 2,120 hours per response, you get 59,339 hours of burden reported in 2013.</w:t>
      </w:r>
    </w:p>
    <w:p w14:paraId="42D48C1D" w14:textId="77777777" w:rsidR="00413C13" w:rsidRPr="00413C13" w:rsidRDefault="00413C13" w:rsidP="00413C13">
      <w:pPr>
        <w:rPr>
          <w:rFonts w:ascii="Times New Roman" w:hAnsi="Times New Roman"/>
          <w:sz w:val="24"/>
          <w:szCs w:val="24"/>
        </w:rPr>
      </w:pPr>
      <w:r w:rsidRPr="00413C13">
        <w:rPr>
          <w:rFonts w:ascii="Times New Roman" w:hAnsi="Times New Roman"/>
          <w:sz w:val="24"/>
          <w:szCs w:val="24"/>
        </w:rPr>
        <w:t>In 2018, a “response” is all the small hydropower application types covered in 2013, plus something new - preparation of a “qualifying conduit exemption application.”  Congress authorized us to approve such an application in August 2013.  What appears to be happening today is that more respondents are pursuing a “qualifying conduit exemption” than the other small hydropower authorizations that were available prior to August 2013,</w:t>
      </w:r>
      <w:r>
        <w:rPr>
          <w:rFonts w:ascii="Times New Roman" w:hAnsi="Times New Roman"/>
          <w:sz w:val="24"/>
          <w:szCs w:val="24"/>
        </w:rPr>
        <w:t xml:space="preserve"> </w:t>
      </w:r>
      <w:r w:rsidRPr="00413C13">
        <w:rPr>
          <w:rFonts w:ascii="Times New Roman" w:hAnsi="Times New Roman"/>
          <w:sz w:val="24"/>
          <w:szCs w:val="24"/>
        </w:rPr>
        <w:t>that again, can take 2-3 years to complete.  This is no surprise to us, because Congress precisely authorized the “qualifying conduit exemption” to reduce the burden on hydropower developers.  It takes nowhere near 2,120 hours for a person to prepare a “qualifying conduit exemption” application.  Rather, we estimate it only takes about 46 hours of a developer’s time.  In other words, FERC estimated that a developer can essentially prepare the application in 1 week.  Therefore, it makes no sense to FERC to apply the 2,120-hour burden representing 2-3 years of work to the qualifying conduit exemption applications which can be prepared in a week or two (i.e., 46 hours).</w:t>
      </w:r>
    </w:p>
    <w:p w14:paraId="6F10083A" w14:textId="77777777" w:rsidR="00C47938" w:rsidRPr="00F1537F" w:rsidRDefault="00413C13" w:rsidP="00413C13">
      <w:pPr>
        <w:rPr>
          <w:rFonts w:ascii="Times New Roman" w:hAnsi="Times New Roman"/>
          <w:sz w:val="24"/>
          <w:szCs w:val="24"/>
        </w:rPr>
      </w:pPr>
      <w:r w:rsidRPr="00413C13">
        <w:rPr>
          <w:rFonts w:ascii="Times New Roman" w:hAnsi="Times New Roman"/>
          <w:sz w:val="24"/>
          <w:szCs w:val="24"/>
        </w:rPr>
        <w:t>Our solution to properly portray the burden that exists today for our small hydropower applications was to come up with a weighted average burden to account for the drastically reduced burden of preparing a “qualifying conduit exemption” application.  We did it like this.  We estimate going forward in 2018 that there will be 11 small hydropower license, small hydropower exemption, and conduit exemption applications combined – this is based on the number of filings of such applications over the last 3-5 years.  We estimated 22 qualifying conduit exemption applications again, based on what developers have actually filed over the last 3-5 years.  11+22=33 total responses to report in 2018.  It’s just a best estimate.  It could be more, or it could be less.  The weighted average burden for the 33 responses is as follows:</w:t>
      </w:r>
      <w:r>
        <w:rPr>
          <w:rFonts w:ascii="Times New Roman" w:hAnsi="Times New Roman"/>
          <w:sz w:val="24"/>
          <w:szCs w:val="24"/>
        </w:rPr>
        <w:t xml:space="preserve"> </w:t>
      </w:r>
      <w:r w:rsidRPr="00413C13">
        <w:rPr>
          <w:rFonts w:ascii="Times New Roman" w:hAnsi="Times New Roman"/>
          <w:sz w:val="24"/>
          <w:szCs w:val="24"/>
        </w:rPr>
        <w:t xml:space="preserve">[(11/33) x 2,120 hours] + [(22/33) x 46 hours] = 737.33 hours. 737 hours times 33 responses = 24,321 hours of burden to report in 2018. This is precisely why we reported a “59 percent” less burden this time around.  The “market” conditions didn’t change the burden – the August 2013 law did.  FERC concludes, of the 33 responses currently requested, 22 are attributed to the much less burdensome qualifying exemption applications.  Therefore, although the number of responses slightly increased, the total burden decreased.  </w:t>
      </w:r>
    </w:p>
    <w:p w14:paraId="55189527" w14:textId="77777777" w:rsidR="00F0627E" w:rsidRPr="00F1537F" w:rsidRDefault="00C47938"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reporting requirements are not changing for FERC-505 information collection.  There is no change in the average burden per response for FERC-505 information collection. </w:t>
      </w:r>
    </w:p>
    <w:p w14:paraId="2B1ECB37" w14:textId="77777777" w:rsidR="00974AFC" w:rsidRPr="00F1537F" w:rsidRDefault="00974AFC" w:rsidP="007445A8">
      <w:pPr>
        <w:spacing w:after="0" w:line="240" w:lineRule="auto"/>
        <w:rPr>
          <w:rFonts w:ascii="Times New Roman" w:hAnsi="Times New Roman"/>
          <w:i/>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F0627E" w:rsidRPr="00F1537F" w14:paraId="24E61340" w14:textId="77777777" w:rsidTr="00E350A3">
        <w:trPr>
          <w:trHeight w:val="870"/>
        </w:trPr>
        <w:tc>
          <w:tcPr>
            <w:tcW w:w="2679" w:type="dxa"/>
            <w:shd w:val="clear" w:color="auto" w:fill="D9D9D9"/>
            <w:vAlign w:val="bottom"/>
          </w:tcPr>
          <w:p w14:paraId="5766D2D9"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FERC-505</w:t>
            </w:r>
          </w:p>
        </w:tc>
        <w:tc>
          <w:tcPr>
            <w:tcW w:w="1461" w:type="dxa"/>
            <w:shd w:val="clear" w:color="auto" w:fill="D9D9D9"/>
            <w:vAlign w:val="bottom"/>
          </w:tcPr>
          <w:p w14:paraId="1EB3AED1"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6E46558D"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1B4CE2F5"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6FAB97A9"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F0627E" w:rsidRPr="00F1537F" w14:paraId="01DD72A1" w14:textId="77777777" w:rsidTr="00E350A3">
        <w:trPr>
          <w:trHeight w:val="746"/>
        </w:trPr>
        <w:tc>
          <w:tcPr>
            <w:tcW w:w="2679" w:type="dxa"/>
            <w:shd w:val="clear" w:color="auto" w:fill="auto"/>
            <w:vAlign w:val="bottom"/>
          </w:tcPr>
          <w:p w14:paraId="297D449C"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45BDDDA7" w14:textId="77777777" w:rsidR="00F0627E" w:rsidRPr="007445A8" w:rsidRDefault="00AC66B6" w:rsidP="007445A8">
            <w:pPr>
              <w:spacing w:after="0" w:line="240" w:lineRule="auto"/>
              <w:jc w:val="right"/>
              <w:rPr>
                <w:rFonts w:ascii="Times New Roman" w:hAnsi="Times New Roman"/>
                <w:sz w:val="24"/>
                <w:szCs w:val="24"/>
              </w:rPr>
            </w:pPr>
            <w:r w:rsidRPr="007445A8">
              <w:rPr>
                <w:rFonts w:ascii="Times New Roman" w:hAnsi="Times New Roman"/>
                <w:sz w:val="24"/>
                <w:szCs w:val="24"/>
              </w:rPr>
              <w:t>33</w:t>
            </w:r>
          </w:p>
        </w:tc>
        <w:tc>
          <w:tcPr>
            <w:tcW w:w="1620" w:type="dxa"/>
            <w:shd w:val="clear" w:color="auto" w:fill="auto"/>
            <w:vAlign w:val="bottom"/>
          </w:tcPr>
          <w:p w14:paraId="1FED265D" w14:textId="77777777" w:rsidR="00F0627E" w:rsidRPr="007445A8" w:rsidRDefault="00AC60DF" w:rsidP="007445A8">
            <w:pPr>
              <w:spacing w:after="0" w:line="240" w:lineRule="auto"/>
              <w:jc w:val="right"/>
              <w:rPr>
                <w:rFonts w:ascii="Times New Roman" w:hAnsi="Times New Roman"/>
                <w:sz w:val="24"/>
                <w:szCs w:val="24"/>
              </w:rPr>
            </w:pPr>
            <w:r w:rsidRPr="007445A8">
              <w:rPr>
                <w:rFonts w:ascii="Times New Roman" w:hAnsi="Times New Roman"/>
                <w:sz w:val="24"/>
                <w:szCs w:val="24"/>
              </w:rPr>
              <w:t>28</w:t>
            </w:r>
          </w:p>
        </w:tc>
        <w:tc>
          <w:tcPr>
            <w:tcW w:w="1800" w:type="dxa"/>
            <w:shd w:val="clear" w:color="auto" w:fill="auto"/>
            <w:vAlign w:val="bottom"/>
          </w:tcPr>
          <w:p w14:paraId="67E57754" w14:textId="77777777" w:rsidR="00F0627E" w:rsidRPr="007445A8" w:rsidRDefault="00AC66B6" w:rsidP="007445A8">
            <w:pPr>
              <w:spacing w:after="0" w:line="240" w:lineRule="auto"/>
              <w:jc w:val="right"/>
              <w:rPr>
                <w:rFonts w:ascii="Times New Roman" w:hAnsi="Times New Roman"/>
                <w:sz w:val="24"/>
                <w:szCs w:val="24"/>
              </w:rPr>
            </w:pPr>
            <w:r w:rsidRPr="007445A8">
              <w:rPr>
                <w:rFonts w:ascii="Times New Roman" w:hAnsi="Times New Roman"/>
                <w:sz w:val="24"/>
                <w:szCs w:val="24"/>
              </w:rPr>
              <w:t>+5</w:t>
            </w:r>
          </w:p>
        </w:tc>
        <w:tc>
          <w:tcPr>
            <w:tcW w:w="1800" w:type="dxa"/>
            <w:shd w:val="clear" w:color="auto" w:fill="auto"/>
            <w:vAlign w:val="bottom"/>
          </w:tcPr>
          <w:p w14:paraId="691FBE89" w14:textId="77777777" w:rsidR="00F0627E" w:rsidRPr="00F1537F" w:rsidRDefault="006377D8" w:rsidP="007445A8">
            <w:pPr>
              <w:spacing w:after="0" w:line="240" w:lineRule="auto"/>
              <w:jc w:val="right"/>
              <w:rPr>
                <w:rFonts w:ascii="Times New Roman" w:hAnsi="Times New Roman"/>
                <w:sz w:val="24"/>
                <w:szCs w:val="24"/>
              </w:rPr>
            </w:pPr>
            <w:r w:rsidRPr="00F1537F">
              <w:rPr>
                <w:rFonts w:ascii="Times New Roman" w:hAnsi="Times New Roman"/>
                <w:sz w:val="24"/>
                <w:szCs w:val="24"/>
              </w:rPr>
              <w:t>0</w:t>
            </w:r>
          </w:p>
        </w:tc>
      </w:tr>
      <w:tr w:rsidR="00F0627E" w:rsidRPr="00F1537F" w14:paraId="60AB1F29" w14:textId="77777777" w:rsidTr="00E350A3">
        <w:trPr>
          <w:trHeight w:val="602"/>
        </w:trPr>
        <w:tc>
          <w:tcPr>
            <w:tcW w:w="2679" w:type="dxa"/>
            <w:shd w:val="clear" w:color="auto" w:fill="auto"/>
            <w:vAlign w:val="bottom"/>
          </w:tcPr>
          <w:p w14:paraId="27832A56"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6DFBE049" w14:textId="77777777" w:rsidR="00F0627E" w:rsidRPr="007445A8" w:rsidRDefault="0026269A" w:rsidP="007445A8">
            <w:pPr>
              <w:spacing w:after="0" w:line="240" w:lineRule="auto"/>
              <w:jc w:val="right"/>
              <w:rPr>
                <w:rFonts w:ascii="Times New Roman" w:hAnsi="Times New Roman"/>
                <w:sz w:val="24"/>
                <w:szCs w:val="24"/>
              </w:rPr>
            </w:pPr>
            <w:r w:rsidRPr="007445A8">
              <w:rPr>
                <w:rFonts w:ascii="Times New Roman" w:hAnsi="Times New Roman"/>
                <w:sz w:val="24"/>
                <w:szCs w:val="24"/>
              </w:rPr>
              <w:t>24,321</w:t>
            </w:r>
          </w:p>
        </w:tc>
        <w:tc>
          <w:tcPr>
            <w:tcW w:w="1620" w:type="dxa"/>
            <w:shd w:val="clear" w:color="auto" w:fill="auto"/>
            <w:vAlign w:val="bottom"/>
          </w:tcPr>
          <w:p w14:paraId="72D84674" w14:textId="77777777" w:rsidR="00F0627E" w:rsidRPr="007445A8" w:rsidRDefault="00AC60DF" w:rsidP="007445A8">
            <w:pPr>
              <w:spacing w:after="0" w:line="240" w:lineRule="auto"/>
              <w:jc w:val="right"/>
              <w:rPr>
                <w:rFonts w:ascii="Times New Roman" w:hAnsi="Times New Roman"/>
                <w:b/>
                <w:sz w:val="24"/>
                <w:szCs w:val="24"/>
              </w:rPr>
            </w:pPr>
            <w:r w:rsidRPr="007445A8">
              <w:rPr>
                <w:rFonts w:ascii="Times New Roman" w:hAnsi="Times New Roman"/>
                <w:sz w:val="24"/>
                <w:szCs w:val="24"/>
              </w:rPr>
              <w:t>59,339</w:t>
            </w:r>
          </w:p>
        </w:tc>
        <w:tc>
          <w:tcPr>
            <w:tcW w:w="1800" w:type="dxa"/>
            <w:shd w:val="clear" w:color="auto" w:fill="auto"/>
            <w:vAlign w:val="bottom"/>
          </w:tcPr>
          <w:p w14:paraId="6E13CCBE" w14:textId="77777777" w:rsidR="00F0627E" w:rsidRPr="007445A8" w:rsidRDefault="0026269A" w:rsidP="007445A8">
            <w:pPr>
              <w:spacing w:after="0" w:line="240" w:lineRule="auto"/>
              <w:jc w:val="right"/>
              <w:rPr>
                <w:rFonts w:ascii="Times New Roman" w:hAnsi="Times New Roman"/>
                <w:sz w:val="24"/>
                <w:szCs w:val="24"/>
              </w:rPr>
            </w:pPr>
            <w:r w:rsidRPr="007445A8">
              <w:rPr>
                <w:rFonts w:ascii="Times New Roman" w:hAnsi="Times New Roman"/>
                <w:sz w:val="24"/>
                <w:szCs w:val="24"/>
              </w:rPr>
              <w:t>-35,018</w:t>
            </w:r>
          </w:p>
        </w:tc>
        <w:tc>
          <w:tcPr>
            <w:tcW w:w="1800" w:type="dxa"/>
            <w:shd w:val="clear" w:color="auto" w:fill="auto"/>
            <w:vAlign w:val="bottom"/>
          </w:tcPr>
          <w:p w14:paraId="08A297ED" w14:textId="77777777" w:rsidR="00F0627E" w:rsidRPr="00F1537F" w:rsidRDefault="00AC60DF" w:rsidP="007445A8">
            <w:pPr>
              <w:spacing w:after="0" w:line="240" w:lineRule="auto"/>
              <w:jc w:val="right"/>
              <w:rPr>
                <w:rFonts w:ascii="Times New Roman" w:hAnsi="Times New Roman"/>
                <w:sz w:val="24"/>
                <w:szCs w:val="24"/>
              </w:rPr>
            </w:pPr>
            <w:r w:rsidRPr="00F1537F">
              <w:rPr>
                <w:rFonts w:ascii="Times New Roman" w:hAnsi="Times New Roman"/>
                <w:sz w:val="24"/>
                <w:szCs w:val="24"/>
              </w:rPr>
              <w:t>0</w:t>
            </w:r>
          </w:p>
        </w:tc>
      </w:tr>
      <w:tr w:rsidR="00F0627E" w:rsidRPr="00F1537F" w14:paraId="2B9C628D" w14:textId="77777777" w:rsidTr="00E350A3">
        <w:trPr>
          <w:trHeight w:val="467"/>
        </w:trPr>
        <w:tc>
          <w:tcPr>
            <w:tcW w:w="2679" w:type="dxa"/>
            <w:shd w:val="clear" w:color="auto" w:fill="auto"/>
            <w:vAlign w:val="bottom"/>
          </w:tcPr>
          <w:p w14:paraId="1FD74D5A"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21BF26ED"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3D451289"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1DE4F3B4"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73660360"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297D8B9F" w14:textId="77777777" w:rsidR="00471F97" w:rsidRPr="00F1537F" w:rsidRDefault="00471F97" w:rsidP="007445A8">
      <w:pPr>
        <w:spacing w:line="240" w:lineRule="auto"/>
        <w:rPr>
          <w:rFonts w:ascii="Times New Roman" w:hAnsi="Times New Roman"/>
          <w:sz w:val="24"/>
          <w:szCs w:val="24"/>
        </w:rPr>
      </w:pPr>
    </w:p>
    <w:p w14:paraId="506228C7"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60C34836" w14:textId="77777777" w:rsidR="00F0627E" w:rsidRPr="00F1537F" w:rsidRDefault="00F0627E" w:rsidP="007445A8">
      <w:pPr>
        <w:spacing w:after="0" w:line="240" w:lineRule="auto"/>
        <w:rPr>
          <w:rFonts w:ascii="Times New Roman" w:hAnsi="Times New Roman"/>
          <w:sz w:val="24"/>
          <w:szCs w:val="24"/>
        </w:rPr>
      </w:pPr>
    </w:p>
    <w:p w14:paraId="3EB62B5D" w14:textId="77777777" w:rsidR="001D289D" w:rsidRPr="00F1537F" w:rsidRDefault="001D289D" w:rsidP="007445A8">
      <w:pPr>
        <w:spacing w:after="0" w:line="240" w:lineRule="auto"/>
        <w:rPr>
          <w:rFonts w:ascii="Times New Roman" w:hAnsi="Times New Roman"/>
          <w:sz w:val="24"/>
          <w:szCs w:val="24"/>
        </w:rPr>
      </w:pPr>
      <w:r w:rsidRPr="00F1537F">
        <w:rPr>
          <w:rFonts w:ascii="Times New Roman" w:hAnsi="Times New Roman"/>
          <w:sz w:val="24"/>
          <w:szCs w:val="24"/>
        </w:rPr>
        <w:t>There is no publication of data associated with FERC-</w:t>
      </w:r>
      <w:r w:rsidR="000201FB" w:rsidRPr="00F1537F">
        <w:rPr>
          <w:rFonts w:ascii="Times New Roman" w:hAnsi="Times New Roman"/>
          <w:sz w:val="24"/>
          <w:szCs w:val="24"/>
        </w:rPr>
        <w:t>505</w:t>
      </w:r>
      <w:r w:rsidRPr="00F1537F">
        <w:rPr>
          <w:rFonts w:ascii="Times New Roman" w:hAnsi="Times New Roman"/>
          <w:sz w:val="24"/>
          <w:szCs w:val="24"/>
        </w:rPr>
        <w:t xml:space="preserve"> collection of information. </w:t>
      </w:r>
    </w:p>
    <w:p w14:paraId="6DAA7044" w14:textId="77777777" w:rsidR="00F0627E" w:rsidRPr="00F1537F" w:rsidRDefault="00F0627E" w:rsidP="007445A8">
      <w:pPr>
        <w:spacing w:after="0" w:line="240" w:lineRule="auto"/>
        <w:rPr>
          <w:rFonts w:ascii="Times New Roman" w:hAnsi="Times New Roman"/>
          <w:sz w:val="24"/>
          <w:szCs w:val="24"/>
        </w:rPr>
      </w:pPr>
    </w:p>
    <w:p w14:paraId="3EA1C69B" w14:textId="77777777" w:rsidR="00F20B97" w:rsidRPr="00F1537F" w:rsidRDefault="00F20B97" w:rsidP="007445A8">
      <w:pPr>
        <w:spacing w:after="0" w:line="240" w:lineRule="auto"/>
        <w:rPr>
          <w:rFonts w:ascii="Times New Roman" w:hAnsi="Times New Roman"/>
          <w:sz w:val="24"/>
          <w:szCs w:val="24"/>
        </w:rPr>
      </w:pPr>
    </w:p>
    <w:p w14:paraId="5F4D0358"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28863B69" w14:textId="77777777" w:rsidR="00F0627E" w:rsidRPr="00F1537F" w:rsidRDefault="00F0627E" w:rsidP="007445A8">
      <w:pPr>
        <w:spacing w:after="0" w:line="240" w:lineRule="auto"/>
        <w:rPr>
          <w:rFonts w:ascii="Times New Roman" w:hAnsi="Times New Roman"/>
          <w:sz w:val="24"/>
          <w:szCs w:val="24"/>
        </w:rPr>
      </w:pPr>
    </w:p>
    <w:p w14:paraId="40A1E8F6" w14:textId="77777777" w:rsidR="00027DC9" w:rsidRPr="00F1537F" w:rsidRDefault="001D289D" w:rsidP="007445A8">
      <w:pPr>
        <w:spacing w:after="0" w:line="240" w:lineRule="auto"/>
        <w:rPr>
          <w:rFonts w:ascii="Times New Roman" w:hAnsi="Times New Roman"/>
          <w:sz w:val="24"/>
          <w:szCs w:val="24"/>
        </w:rPr>
      </w:pPr>
      <w:r w:rsidRPr="00F1537F">
        <w:rPr>
          <w:rFonts w:ascii="Times New Roman" w:eastAsia="Times New Roman" w:hAnsi="Times New Roman"/>
          <w:sz w:val="24"/>
          <w:szCs w:val="24"/>
        </w:rPr>
        <w:t xml:space="preserve"> </w:t>
      </w:r>
      <w:r w:rsidRPr="00F1537F">
        <w:rPr>
          <w:rFonts w:ascii="Times New Roman" w:hAnsi="Times New Roman"/>
          <w:sz w:val="24"/>
          <w:szCs w:val="24"/>
        </w:rPr>
        <w:t xml:space="preserve">The expiration dates are posted on ferc.gov at </w:t>
      </w:r>
      <w:hyperlink r:id="rId14"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p>
    <w:p w14:paraId="1E72F997" w14:textId="77777777" w:rsidR="00027DC9" w:rsidRPr="00F1537F" w:rsidRDefault="00027DC9" w:rsidP="007445A8">
      <w:pPr>
        <w:spacing w:after="0" w:line="240" w:lineRule="auto"/>
        <w:rPr>
          <w:rFonts w:ascii="Times New Roman" w:hAnsi="Times New Roman"/>
          <w:sz w:val="24"/>
          <w:szCs w:val="24"/>
        </w:rPr>
      </w:pPr>
    </w:p>
    <w:p w14:paraId="3BDDCFA0"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477308B0" w14:textId="77777777" w:rsidR="001D289D" w:rsidRPr="00F1537F" w:rsidRDefault="001D289D" w:rsidP="007445A8">
      <w:pPr>
        <w:spacing w:after="0" w:line="240" w:lineRule="auto"/>
        <w:rPr>
          <w:rFonts w:ascii="Times New Roman" w:hAnsi="Times New Roman"/>
          <w:b/>
          <w:sz w:val="24"/>
          <w:szCs w:val="24"/>
        </w:rPr>
      </w:pPr>
    </w:p>
    <w:p w14:paraId="2321206E" w14:textId="77777777" w:rsidR="00F0627E" w:rsidRPr="00F1537F" w:rsidRDefault="001D289D" w:rsidP="007445A8">
      <w:pPr>
        <w:spacing w:after="160" w:line="240" w:lineRule="auto"/>
        <w:rPr>
          <w:rFonts w:ascii="Times New Roman" w:hAnsi="Times New Roman"/>
          <w:sz w:val="24"/>
          <w:szCs w:val="24"/>
        </w:rPr>
      </w:pPr>
      <w:r w:rsidRPr="00F1537F">
        <w:rPr>
          <w:rFonts w:ascii="Times New Roman" w:hAnsi="Times New Roman"/>
          <w:sz w:val="24"/>
          <w:szCs w:val="24"/>
        </w:rPr>
        <w:t xml:space="preserve"> There are no exception for FERC-505. </w:t>
      </w:r>
      <w:r w:rsidR="00F0627E" w:rsidRPr="00F1537F">
        <w:rPr>
          <w:rFonts w:ascii="Times New Roman" w:hAnsi="Times New Roman"/>
          <w:sz w:val="24"/>
          <w:szCs w:val="24"/>
        </w:rPr>
        <w:br w:type="page"/>
      </w:r>
    </w:p>
    <w:p w14:paraId="48E5E34B" w14:textId="77777777" w:rsidR="00F0627E" w:rsidRPr="00F1537F" w:rsidRDefault="00F0627E" w:rsidP="007445A8">
      <w:pPr>
        <w:spacing w:after="0" w:line="240" w:lineRule="auto"/>
        <w:jc w:val="center"/>
        <w:rPr>
          <w:rFonts w:ascii="Times New Roman" w:hAnsi="Times New Roman"/>
          <w:sz w:val="24"/>
          <w:szCs w:val="24"/>
        </w:rPr>
      </w:pPr>
      <w:r w:rsidRPr="00F1537F">
        <w:rPr>
          <w:rFonts w:ascii="Times New Roman" w:eastAsia="Times New Roman" w:hAnsi="Times New Roman"/>
          <w:b/>
          <w:sz w:val="24"/>
          <w:szCs w:val="24"/>
        </w:rPr>
        <w:t>Attachment A</w:t>
      </w:r>
    </w:p>
    <w:p w14:paraId="364D8B17" w14:textId="77777777" w:rsidR="00F0627E"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FERC-505 has information collection requirements described in the following sections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w:t>
      </w:r>
    </w:p>
    <w:p w14:paraId="57DDB8D6" w14:textId="77777777" w:rsidR="00CB2F25" w:rsidRPr="00F1537F" w:rsidRDefault="00CB2F25" w:rsidP="007445A8">
      <w:pPr>
        <w:spacing w:after="0" w:line="240" w:lineRule="auto"/>
        <w:rPr>
          <w:rFonts w:ascii="Times New Roman" w:hAnsi="Times New Roman"/>
          <w:sz w:val="24"/>
          <w:szCs w:val="24"/>
        </w:rPr>
      </w:pPr>
    </w:p>
    <w:p w14:paraId="7008CE8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2.19</w:t>
      </w:r>
    </w:p>
    <w:p w14:paraId="1CE7A9E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4.32</w:t>
      </w:r>
    </w:p>
    <w:p w14:paraId="7E6E81E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4.35</w:t>
      </w:r>
    </w:p>
    <w:p w14:paraId="707A331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4.36 (b) and (c)</w:t>
      </w:r>
    </w:p>
    <w:p w14:paraId="1B07C25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4.61</w:t>
      </w:r>
    </w:p>
    <w:p w14:paraId="13B85A1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4.71</w:t>
      </w:r>
    </w:p>
    <w:p w14:paraId="22657C0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4.93</w:t>
      </w:r>
    </w:p>
    <w:p w14:paraId="2A52DCB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4.107</w:t>
      </w:r>
    </w:p>
    <w:p w14:paraId="47E98A8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4.108</w:t>
      </w:r>
    </w:p>
    <w:p w14:paraId="6575470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4.201</w:t>
      </w:r>
    </w:p>
    <w:p w14:paraId="5F32780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4.202</w:t>
      </w:r>
    </w:p>
    <w:p w14:paraId="2E34D13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4.400</w:t>
      </w:r>
    </w:p>
    <w:p w14:paraId="3B4ABE7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4.401</w:t>
      </w:r>
    </w:p>
    <w:p w14:paraId="3D79976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Part 5</w:t>
      </w:r>
    </w:p>
    <w:p w14:paraId="7CB1F86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8.1</w:t>
      </w:r>
    </w:p>
    <w:p w14:paraId="5294354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8.2</w:t>
      </w:r>
    </w:p>
    <w:p w14:paraId="1ACDC4B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w:t>
      </w:r>
    </w:p>
    <w:p w14:paraId="63011A2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16.6</w:t>
      </w:r>
    </w:p>
    <w:p w14:paraId="3C54B99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16.7</w:t>
      </w:r>
    </w:p>
    <w:p w14:paraId="19616A0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16.8</w:t>
      </w:r>
    </w:p>
    <w:p w14:paraId="492DEFB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16.9</w:t>
      </w:r>
    </w:p>
    <w:p w14:paraId="02519FB7"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16.10</w:t>
      </w:r>
    </w:p>
    <w:p w14:paraId="1068E25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16.11</w:t>
      </w:r>
    </w:p>
    <w:p w14:paraId="22C0A3B7"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16.12</w:t>
      </w:r>
    </w:p>
    <w:p w14:paraId="5355681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16.14</w:t>
      </w:r>
    </w:p>
    <w:p w14:paraId="0E88091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16.19</w:t>
      </w:r>
    </w:p>
    <w:p w14:paraId="13D06D3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16.20</w:t>
      </w:r>
    </w:p>
    <w:p w14:paraId="3DFA14D2"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16.22</w:t>
      </w:r>
    </w:p>
    <w:p w14:paraId="3DFD873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292.203</w:t>
      </w:r>
    </w:p>
    <w:p w14:paraId="42393B6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292.208</w:t>
      </w:r>
    </w:p>
    <w:p w14:paraId="28A8798B" w14:textId="77777777" w:rsidR="00F0627E" w:rsidRPr="00F1537F" w:rsidRDefault="00F0627E" w:rsidP="007445A8">
      <w:pPr>
        <w:spacing w:after="0" w:line="240" w:lineRule="auto"/>
        <w:rPr>
          <w:rFonts w:ascii="Times New Roman" w:hAnsi="Times New Roman"/>
          <w:sz w:val="24"/>
          <w:szCs w:val="24"/>
        </w:rPr>
      </w:pPr>
    </w:p>
    <w:p w14:paraId="624B99E4" w14:textId="77777777" w:rsidR="00471F97" w:rsidRPr="00F1537F" w:rsidRDefault="00471F97" w:rsidP="007445A8">
      <w:pPr>
        <w:spacing w:line="240" w:lineRule="auto"/>
        <w:rPr>
          <w:rFonts w:ascii="Times New Roman" w:hAnsi="Times New Roman"/>
          <w:sz w:val="24"/>
          <w:szCs w:val="24"/>
        </w:rPr>
      </w:pPr>
    </w:p>
    <w:sectPr w:rsidR="00471F97" w:rsidRPr="00F1537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ED0B0" w14:textId="77777777" w:rsidR="00A06841" w:rsidRDefault="00A06841" w:rsidP="009C7F55">
      <w:pPr>
        <w:spacing w:after="0" w:line="240" w:lineRule="auto"/>
      </w:pPr>
      <w:r>
        <w:separator/>
      </w:r>
    </w:p>
  </w:endnote>
  <w:endnote w:type="continuationSeparator" w:id="0">
    <w:p w14:paraId="27B49524" w14:textId="77777777" w:rsidR="00A06841" w:rsidRDefault="00A06841" w:rsidP="009C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41E551C7" w14:textId="77777777" w:rsidR="00471F97" w:rsidRDefault="00471F97">
        <w:pPr>
          <w:pStyle w:val="Footer"/>
          <w:jc w:val="right"/>
        </w:pPr>
        <w:r>
          <w:fldChar w:fldCharType="begin"/>
        </w:r>
        <w:r>
          <w:instrText xml:space="preserve"> PAGE   \* MERGEFORMAT </w:instrText>
        </w:r>
        <w:r>
          <w:fldChar w:fldCharType="separate"/>
        </w:r>
        <w:r w:rsidR="00BD1E81">
          <w:rPr>
            <w:noProof/>
          </w:rPr>
          <w:t>1</w:t>
        </w:r>
        <w:r>
          <w:rPr>
            <w:noProof/>
          </w:rPr>
          <w:fldChar w:fldCharType="end"/>
        </w:r>
      </w:p>
    </w:sdtContent>
  </w:sdt>
  <w:p w14:paraId="157F27E5" w14:textId="77777777" w:rsidR="00471F97" w:rsidRDefault="00471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E505D" w14:textId="77777777" w:rsidR="00A06841" w:rsidRDefault="00A06841" w:rsidP="009C7F55">
      <w:pPr>
        <w:spacing w:after="0" w:line="240" w:lineRule="auto"/>
      </w:pPr>
      <w:r>
        <w:separator/>
      </w:r>
    </w:p>
  </w:footnote>
  <w:footnote w:type="continuationSeparator" w:id="0">
    <w:p w14:paraId="6AA7FADD" w14:textId="77777777" w:rsidR="00A06841" w:rsidRDefault="00A06841" w:rsidP="009C7F55">
      <w:pPr>
        <w:spacing w:after="0" w:line="240" w:lineRule="auto"/>
      </w:pPr>
      <w:r>
        <w:continuationSeparator/>
      </w:r>
    </w:p>
  </w:footnote>
  <w:footnote w:id="1">
    <w:p w14:paraId="660B0135" w14:textId="77777777" w:rsidR="00F0627E" w:rsidRPr="00F1537F" w:rsidRDefault="00F0627E" w:rsidP="00F0627E">
      <w:pPr>
        <w:pStyle w:val="FootnoteText"/>
        <w:rPr>
          <w:sz w:val="24"/>
          <w:szCs w:val="24"/>
        </w:rPr>
      </w:pPr>
      <w:r w:rsidRPr="00A27B71">
        <w:rPr>
          <w:rStyle w:val="FootnoteReference"/>
          <w:b/>
          <w:sz w:val="26"/>
          <w:szCs w:val="26"/>
          <w:vertAlign w:val="superscript"/>
        </w:rPr>
        <w:footnoteRef/>
      </w:r>
      <w:r w:rsidRPr="00F20B97">
        <w:rPr>
          <w:sz w:val="26"/>
          <w:szCs w:val="26"/>
        </w:rPr>
        <w:t xml:space="preserve"> </w:t>
      </w:r>
      <w:r w:rsidRPr="00F1537F">
        <w:rPr>
          <w:sz w:val="24"/>
          <w:szCs w:val="24"/>
        </w:rPr>
        <w:t>Information collection requirements for FERC-505 are listed in Attachment A.</w:t>
      </w:r>
    </w:p>
  </w:footnote>
  <w:footnote w:id="2">
    <w:p w14:paraId="4F3A3D26" w14:textId="77777777" w:rsidR="007E0D8A" w:rsidRPr="00F1537F" w:rsidRDefault="007E0D8A" w:rsidP="007E0D8A">
      <w:pPr>
        <w:pStyle w:val="FootnoteText"/>
        <w:rPr>
          <w:sz w:val="24"/>
          <w:szCs w:val="24"/>
        </w:rPr>
      </w:pPr>
      <w:r w:rsidRPr="00F1537F">
        <w:rPr>
          <w:rStyle w:val="FootnoteReference"/>
          <w:b/>
          <w:sz w:val="24"/>
          <w:szCs w:val="24"/>
          <w:vertAlign w:val="superscript"/>
        </w:rPr>
        <w:footnoteRef/>
      </w:r>
      <w:r w:rsidRPr="00F1537F">
        <w:rPr>
          <w:sz w:val="24"/>
          <w:szCs w:val="24"/>
        </w:rPr>
        <w:t xml:space="preserve"> 16 U.S.C. §§791a-825r (2012).</w:t>
      </w:r>
    </w:p>
  </w:footnote>
  <w:footnote w:id="3">
    <w:p w14:paraId="0848AE0E" w14:textId="77777777" w:rsidR="00F0627E" w:rsidRPr="00F1537F" w:rsidRDefault="00F0627E" w:rsidP="00F0627E">
      <w:pPr>
        <w:pStyle w:val="FootnoteText"/>
        <w:rPr>
          <w:sz w:val="24"/>
          <w:szCs w:val="24"/>
        </w:rPr>
      </w:pPr>
      <w:r w:rsidRPr="00F1537F">
        <w:rPr>
          <w:rStyle w:val="FootnoteReference"/>
          <w:b/>
          <w:sz w:val="24"/>
          <w:szCs w:val="24"/>
          <w:vertAlign w:val="superscript"/>
        </w:rPr>
        <w:footnoteRef/>
      </w:r>
      <w:r w:rsidRPr="00F1537F">
        <w:rPr>
          <w:sz w:val="24"/>
          <w:szCs w:val="24"/>
        </w:rPr>
        <w:t xml:space="preserve"> Public Law 99-495, 100 Stat. 1243 (10/16/1986)</w:t>
      </w:r>
    </w:p>
  </w:footnote>
  <w:footnote w:id="4">
    <w:p w14:paraId="6749FAFE" w14:textId="77777777" w:rsidR="004C3C5F" w:rsidRPr="00F1537F" w:rsidRDefault="004C3C5F" w:rsidP="004C3C5F">
      <w:pPr>
        <w:pStyle w:val="FootnoteText"/>
        <w:tabs>
          <w:tab w:val="left" w:pos="2760"/>
        </w:tabs>
        <w:rPr>
          <w:sz w:val="24"/>
          <w:szCs w:val="24"/>
        </w:rPr>
      </w:pPr>
      <w:r w:rsidRPr="00F1537F">
        <w:rPr>
          <w:rStyle w:val="FootnoteReference"/>
          <w:b/>
          <w:sz w:val="24"/>
          <w:szCs w:val="24"/>
          <w:vertAlign w:val="superscript"/>
        </w:rPr>
        <w:footnoteRef/>
      </w:r>
      <w:r w:rsidRPr="00F1537F">
        <w:rPr>
          <w:sz w:val="24"/>
          <w:szCs w:val="24"/>
        </w:rPr>
        <w:t xml:space="preserve"> 16 USC 797(e)</w:t>
      </w:r>
      <w:r w:rsidRPr="00F1537F">
        <w:rPr>
          <w:sz w:val="24"/>
          <w:szCs w:val="24"/>
        </w:rPr>
        <w:tab/>
      </w:r>
    </w:p>
  </w:footnote>
  <w:footnote w:id="5">
    <w:p w14:paraId="1C2ECD0C" w14:textId="77777777" w:rsidR="00471F97" w:rsidRPr="00F1537F" w:rsidRDefault="00471F97" w:rsidP="00471F97">
      <w:pPr>
        <w:pStyle w:val="FootnoteText"/>
        <w:rPr>
          <w:sz w:val="24"/>
          <w:szCs w:val="24"/>
        </w:rPr>
      </w:pPr>
      <w:r w:rsidRPr="00F1537F">
        <w:rPr>
          <w:rStyle w:val="FootnoteReference"/>
          <w:b/>
          <w:sz w:val="24"/>
          <w:szCs w:val="24"/>
          <w:vertAlign w:val="superscript"/>
        </w:rPr>
        <w:footnoteRef/>
      </w:r>
      <w:r w:rsidRPr="00F1537F">
        <w:rPr>
          <w:sz w:val="24"/>
          <w:szCs w:val="24"/>
        </w:rPr>
        <w:t xml:space="preserve"> Minor water power projects are those that have a total installed capacity of 1.5 megawatts (MW) or less.  Major water power projects have a total installed capacity of greater than 1.5 MW.   </w:t>
      </w:r>
    </w:p>
  </w:footnote>
  <w:footnote w:id="6">
    <w:p w14:paraId="4A7D18FB" w14:textId="77777777" w:rsidR="00471F97" w:rsidRPr="00F1537F" w:rsidRDefault="00471F97" w:rsidP="00471F97">
      <w:pPr>
        <w:pStyle w:val="FootnoteText"/>
        <w:rPr>
          <w:sz w:val="24"/>
          <w:szCs w:val="24"/>
        </w:rPr>
      </w:pPr>
      <w:r w:rsidRPr="00F1537F">
        <w:rPr>
          <w:rStyle w:val="FootnoteReference"/>
          <w:b/>
          <w:sz w:val="24"/>
          <w:szCs w:val="24"/>
          <w:vertAlign w:val="superscript"/>
        </w:rPr>
        <w:footnoteRef/>
      </w:r>
      <w:r w:rsidRPr="00F1537F">
        <w:rPr>
          <w:sz w:val="24"/>
          <w:szCs w:val="24"/>
        </w:rPr>
        <w:t xml:space="preserve"> 16 U.S.C. 823a (2012), amended by, Hydropower Regulatory Efficiency Act of</w:t>
      </w:r>
    </w:p>
    <w:p w14:paraId="3C3423EF" w14:textId="77777777" w:rsidR="00471F97" w:rsidRPr="00F1537F" w:rsidRDefault="00471F97" w:rsidP="00471F97">
      <w:pPr>
        <w:pStyle w:val="FootnoteText"/>
        <w:rPr>
          <w:sz w:val="24"/>
          <w:szCs w:val="24"/>
        </w:rPr>
      </w:pPr>
      <w:r w:rsidRPr="00F1537F">
        <w:rPr>
          <w:sz w:val="24"/>
          <w:szCs w:val="24"/>
        </w:rPr>
        <w:t>2013, Pub. L. No. 113-23, 4, 127 Stat. 493 (2013).</w:t>
      </w:r>
    </w:p>
  </w:footnote>
  <w:footnote w:id="7">
    <w:p w14:paraId="37535DFE" w14:textId="77777777" w:rsidR="00471F97" w:rsidRPr="00F1537F" w:rsidRDefault="00471F97" w:rsidP="00471F97">
      <w:pPr>
        <w:pStyle w:val="FootnoteText"/>
        <w:rPr>
          <w:sz w:val="24"/>
          <w:szCs w:val="24"/>
        </w:rPr>
      </w:pPr>
      <w:r w:rsidRPr="00F1537F">
        <w:rPr>
          <w:rStyle w:val="FootnoteReference"/>
          <w:b/>
          <w:sz w:val="24"/>
          <w:szCs w:val="24"/>
          <w:vertAlign w:val="superscript"/>
        </w:rPr>
        <w:footnoteRef/>
      </w:r>
      <w:r w:rsidRPr="00F1537F">
        <w:rPr>
          <w:sz w:val="24"/>
          <w:szCs w:val="24"/>
        </w:rPr>
        <w:t xml:space="preserve"> 16 U.S.C. 2708 (2012).</w:t>
      </w:r>
    </w:p>
  </w:footnote>
  <w:footnote w:id="8">
    <w:p w14:paraId="1449AEC5" w14:textId="77777777" w:rsidR="00471F97" w:rsidRPr="00F1537F" w:rsidRDefault="00471F97" w:rsidP="00471F97">
      <w:pPr>
        <w:pStyle w:val="FootnoteText"/>
        <w:rPr>
          <w:sz w:val="24"/>
          <w:szCs w:val="24"/>
        </w:rPr>
      </w:pPr>
      <w:r w:rsidRPr="00F1537F">
        <w:rPr>
          <w:rStyle w:val="FootnoteReference"/>
          <w:b/>
          <w:sz w:val="24"/>
          <w:szCs w:val="24"/>
          <w:vertAlign w:val="superscript"/>
        </w:rPr>
        <w:footnoteRef/>
      </w:r>
      <w:r w:rsidRPr="00F1537F">
        <w:rPr>
          <w:sz w:val="24"/>
          <w:szCs w:val="24"/>
          <w:vertAlign w:val="superscript"/>
        </w:rPr>
        <w:t xml:space="preserve"> </w:t>
      </w:r>
      <w:r w:rsidRPr="00F1537F">
        <w:rPr>
          <w:sz w:val="24"/>
          <w:szCs w:val="24"/>
        </w:rPr>
        <w:t>Conduit exemptions are categorically exempt from NEPA.</w:t>
      </w:r>
    </w:p>
  </w:footnote>
  <w:footnote w:id="9">
    <w:p w14:paraId="69C278B5" w14:textId="77777777" w:rsidR="00471F97" w:rsidRPr="00F1537F" w:rsidRDefault="00471F97" w:rsidP="00471F97">
      <w:pPr>
        <w:pStyle w:val="FootnoteText"/>
        <w:rPr>
          <w:sz w:val="24"/>
          <w:szCs w:val="24"/>
        </w:rPr>
      </w:pPr>
      <w:r w:rsidRPr="00F1537F">
        <w:rPr>
          <w:rStyle w:val="FootnoteReference"/>
          <w:b/>
          <w:sz w:val="24"/>
          <w:szCs w:val="24"/>
          <w:vertAlign w:val="superscript"/>
        </w:rPr>
        <w:footnoteRef/>
      </w:r>
      <w:r w:rsidRPr="00F1537F">
        <w:rPr>
          <w:sz w:val="24"/>
          <w:szCs w:val="24"/>
        </w:rPr>
        <w:t xml:space="preserve"> The Commission does not perform environmental reviews of qualifying conduits.</w:t>
      </w:r>
    </w:p>
  </w:footnote>
  <w:footnote w:id="10">
    <w:p w14:paraId="649D99FC" w14:textId="77777777" w:rsidR="00590632" w:rsidRPr="00F1537F" w:rsidRDefault="00590632" w:rsidP="00590632">
      <w:pPr>
        <w:pStyle w:val="FootnoteText"/>
        <w:rPr>
          <w:sz w:val="24"/>
          <w:szCs w:val="24"/>
        </w:rPr>
      </w:pPr>
      <w:r w:rsidRPr="007445A8">
        <w:rPr>
          <w:rStyle w:val="FootnoteReference"/>
          <w:b/>
          <w:sz w:val="24"/>
          <w:szCs w:val="24"/>
          <w:vertAlign w:val="superscript"/>
        </w:rPr>
        <w:footnoteRef/>
      </w:r>
      <w:r w:rsidRPr="00F1537F">
        <w:rPr>
          <w:sz w:val="24"/>
          <w:szCs w:val="24"/>
        </w:rPr>
        <w:t xml:space="preserve"> 82 FR 46231, 10/4/2017</w:t>
      </w:r>
    </w:p>
  </w:footnote>
  <w:footnote w:id="11">
    <w:p w14:paraId="0D293769" w14:textId="77777777" w:rsidR="00590632" w:rsidRPr="00590632" w:rsidRDefault="00590632" w:rsidP="00590632">
      <w:pPr>
        <w:pStyle w:val="FootnoteText"/>
        <w:rPr>
          <w:sz w:val="24"/>
          <w:szCs w:val="24"/>
        </w:rPr>
      </w:pPr>
      <w:r w:rsidRPr="007445A8">
        <w:rPr>
          <w:rStyle w:val="FootnoteReference"/>
          <w:b/>
          <w:sz w:val="24"/>
          <w:szCs w:val="24"/>
          <w:vertAlign w:val="superscript"/>
        </w:rPr>
        <w:footnoteRef/>
      </w:r>
      <w:r w:rsidRPr="00F1537F">
        <w:rPr>
          <w:sz w:val="24"/>
          <w:szCs w:val="24"/>
        </w:rPr>
        <w:t xml:space="preserve"> 82 FR 60978, 12/26/2017</w:t>
      </w:r>
    </w:p>
  </w:footnote>
  <w:footnote w:id="12">
    <w:p w14:paraId="013F68FA" w14:textId="77777777" w:rsidR="00F0627E" w:rsidRPr="00F1537F" w:rsidRDefault="00F0627E" w:rsidP="00F0627E">
      <w:pPr>
        <w:pStyle w:val="FootnoteText"/>
        <w:rPr>
          <w:sz w:val="24"/>
          <w:szCs w:val="24"/>
        </w:rPr>
      </w:pPr>
      <w:r w:rsidRPr="00F1537F">
        <w:rPr>
          <w:rStyle w:val="FootnoteReference"/>
          <w:b/>
          <w:sz w:val="24"/>
          <w:szCs w:val="24"/>
          <w:vertAlign w:val="superscript"/>
        </w:rPr>
        <w:footnoteRef/>
      </w:r>
      <w:r w:rsidRPr="00F1537F">
        <w:rPr>
          <w:sz w:val="24"/>
          <w:szCs w:val="24"/>
        </w:rPr>
        <w:t xml:space="preserve"> 18 C</w:t>
      </w:r>
      <w:r w:rsidR="004C3C5F" w:rsidRPr="00F1537F">
        <w:rPr>
          <w:sz w:val="24"/>
          <w:szCs w:val="24"/>
        </w:rPr>
        <w:t>.</w:t>
      </w:r>
      <w:r w:rsidRPr="00F1537F">
        <w:rPr>
          <w:sz w:val="24"/>
          <w:szCs w:val="24"/>
        </w:rPr>
        <w:t>F</w:t>
      </w:r>
      <w:r w:rsidR="004C3C5F" w:rsidRPr="00F1537F">
        <w:rPr>
          <w:sz w:val="24"/>
          <w:szCs w:val="24"/>
        </w:rPr>
        <w:t>.</w:t>
      </w:r>
      <w:r w:rsidRPr="00F1537F">
        <w:rPr>
          <w:sz w:val="24"/>
          <w:szCs w:val="24"/>
        </w:rPr>
        <w:t>R</w:t>
      </w:r>
      <w:r w:rsidR="004C3C5F" w:rsidRPr="00F1537F">
        <w:rPr>
          <w:sz w:val="24"/>
          <w:szCs w:val="24"/>
        </w:rPr>
        <w:t>.</w:t>
      </w:r>
      <w:r w:rsidRPr="00F1537F">
        <w:rPr>
          <w:sz w:val="24"/>
          <w:szCs w:val="24"/>
        </w:rPr>
        <w:t xml:space="preserve"> 388.112</w:t>
      </w:r>
    </w:p>
  </w:footnote>
  <w:footnote w:id="13">
    <w:p w14:paraId="78AAEA47" w14:textId="77777777" w:rsidR="003D08BB" w:rsidRPr="00F1537F" w:rsidRDefault="003D08BB">
      <w:pPr>
        <w:pStyle w:val="FootnoteText"/>
        <w:rPr>
          <w:sz w:val="24"/>
          <w:szCs w:val="24"/>
          <w:vertAlign w:val="superscript"/>
        </w:rPr>
      </w:pPr>
      <w:r w:rsidRPr="00F1537F">
        <w:rPr>
          <w:rStyle w:val="FootnoteReference"/>
          <w:b/>
          <w:sz w:val="24"/>
          <w:szCs w:val="24"/>
          <w:vertAlign w:val="superscript"/>
        </w:rPr>
        <w:footnoteRef/>
      </w:r>
      <w:r w:rsidRPr="00F1537F">
        <w:rPr>
          <w:sz w:val="24"/>
          <w:szCs w:val="24"/>
        </w:rPr>
        <w:t xml:space="preserve"> </w:t>
      </w:r>
      <w:r w:rsidR="00BD7A22" w:rsidRPr="00F1537F">
        <w:rPr>
          <w:sz w:val="24"/>
          <w:szCs w:val="24"/>
        </w:rPr>
        <w:t>Burden is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14">
    <w:p w14:paraId="4FEA8D1F" w14:textId="77777777" w:rsidR="00F60F4E" w:rsidRPr="00F1537F" w:rsidRDefault="00F60F4E" w:rsidP="00F0627E">
      <w:pPr>
        <w:pStyle w:val="FootnoteText"/>
        <w:rPr>
          <w:sz w:val="24"/>
          <w:szCs w:val="24"/>
        </w:rPr>
      </w:pPr>
      <w:r w:rsidRPr="00F1537F">
        <w:rPr>
          <w:rStyle w:val="FootnoteReference"/>
          <w:b/>
          <w:sz w:val="24"/>
          <w:szCs w:val="24"/>
          <w:vertAlign w:val="superscript"/>
        </w:rPr>
        <w:footnoteRef/>
      </w:r>
      <w:r w:rsidRPr="00F1537F">
        <w:rPr>
          <w:sz w:val="24"/>
          <w:szCs w:val="24"/>
        </w:rPr>
        <w:t xml:space="preserve"> The “Estimated Annual Federal Cost” uses the FERC’s 2017 average annual salary plus benefits of one FERC FTE (full-time equivalent) is $158,754 (or $76.50 per hour).</w:t>
      </w:r>
      <w:r w:rsidR="008143EC" w:rsidRPr="008143EC">
        <w:t xml:space="preserve"> </w:t>
      </w:r>
      <w:r w:rsidR="008143EC" w:rsidRPr="008143EC">
        <w:rPr>
          <w:sz w:val="24"/>
          <w:szCs w:val="24"/>
        </w:rPr>
        <w:t>Salary is approximately 76.3% of the $158,754; benefits comprise approximately 23.7%.</w:t>
      </w:r>
    </w:p>
  </w:footnote>
  <w:footnote w:id="15">
    <w:p w14:paraId="7434AFDB" w14:textId="77777777" w:rsidR="00F60F4E" w:rsidRPr="00F1537F" w:rsidRDefault="00F60F4E" w:rsidP="00F0627E">
      <w:pPr>
        <w:pStyle w:val="FootnoteText"/>
        <w:rPr>
          <w:sz w:val="24"/>
          <w:szCs w:val="24"/>
        </w:rPr>
      </w:pPr>
      <w:r w:rsidRPr="00F1537F">
        <w:rPr>
          <w:rStyle w:val="FootnoteReference"/>
          <w:b/>
          <w:sz w:val="24"/>
          <w:szCs w:val="24"/>
          <w:vertAlign w:val="superscript"/>
        </w:rPr>
        <w:footnoteRef/>
      </w:r>
      <w:r w:rsidRPr="00F1537F">
        <w:rPr>
          <w:sz w:val="24"/>
          <w:szCs w:val="24"/>
        </w:rPr>
        <w:t xml:space="preserve"> Paperwork Reduction Act of 1995, 44 U.S.C. 3501-3520 (2012).</w:t>
      </w:r>
    </w:p>
  </w:footnote>
  <w:footnote w:id="16">
    <w:p w14:paraId="244B5D58" w14:textId="77777777" w:rsidR="00F60F4E" w:rsidRPr="00F1537F" w:rsidRDefault="00F60F4E" w:rsidP="00F0627E">
      <w:pPr>
        <w:pStyle w:val="FootnoteText"/>
        <w:rPr>
          <w:sz w:val="24"/>
          <w:szCs w:val="24"/>
        </w:rPr>
      </w:pPr>
      <w:r w:rsidRPr="00F1537F">
        <w:rPr>
          <w:rStyle w:val="FootnoteReference"/>
          <w:b/>
          <w:sz w:val="24"/>
          <w:szCs w:val="24"/>
          <w:vertAlign w:val="superscript"/>
        </w:rPr>
        <w:footnoteRef/>
      </w:r>
      <w:r w:rsidRPr="00F1537F">
        <w:rPr>
          <w:sz w:val="24"/>
          <w:szCs w:val="24"/>
        </w:rPr>
        <w:t xml:space="preserve"> The Paperwork Reduction Act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D1D0F" w14:textId="77777777" w:rsidR="00471F97" w:rsidRDefault="00471F97">
    <w:pPr>
      <w:pStyle w:val="Header"/>
    </w:pPr>
    <w:r>
      <w:t>FERC-505 (OMB Control No.: 1902-0115)</w:t>
    </w:r>
  </w:p>
  <w:p w14:paraId="7FA096D2" w14:textId="77777777" w:rsidR="00D66E7C" w:rsidRDefault="008143EC">
    <w:pPr>
      <w:pStyle w:val="Header"/>
    </w:pPr>
    <w:r>
      <w:t>(u</w:t>
    </w:r>
    <w:r w:rsidR="00D66E7C">
      <w:t>pdated</w:t>
    </w:r>
    <w:r>
      <w:t xml:space="preserve"> 4/10</w:t>
    </w:r>
    <w:r w:rsidR="00D66E7C">
      <w:t>/2018</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11"/>
  </w:num>
  <w:num w:numId="5">
    <w:abstractNumId w:val="2"/>
  </w:num>
  <w:num w:numId="6">
    <w:abstractNumId w:val="12"/>
  </w:num>
  <w:num w:numId="7">
    <w:abstractNumId w:val="3"/>
  </w:num>
  <w:num w:numId="8">
    <w:abstractNumId w:val="0"/>
  </w:num>
  <w:num w:numId="9">
    <w:abstractNumId w:val="6"/>
  </w:num>
  <w:num w:numId="10">
    <w:abstractNumId w:val="4"/>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201FB"/>
    <w:rsid w:val="00027DC9"/>
    <w:rsid w:val="000762E1"/>
    <w:rsid w:val="00084A7F"/>
    <w:rsid w:val="000930CB"/>
    <w:rsid w:val="000B51EA"/>
    <w:rsid w:val="000D1D54"/>
    <w:rsid w:val="000F1377"/>
    <w:rsid w:val="0010332E"/>
    <w:rsid w:val="001072E3"/>
    <w:rsid w:val="00107DA8"/>
    <w:rsid w:val="00116CF2"/>
    <w:rsid w:val="001263E8"/>
    <w:rsid w:val="0013718A"/>
    <w:rsid w:val="00163942"/>
    <w:rsid w:val="001A450A"/>
    <w:rsid w:val="001D289D"/>
    <w:rsid w:val="001E55A1"/>
    <w:rsid w:val="00200CB5"/>
    <w:rsid w:val="002213AA"/>
    <w:rsid w:val="00221430"/>
    <w:rsid w:val="00227F0E"/>
    <w:rsid w:val="00233478"/>
    <w:rsid w:val="0026269A"/>
    <w:rsid w:val="002F641C"/>
    <w:rsid w:val="00395E45"/>
    <w:rsid w:val="003A23FA"/>
    <w:rsid w:val="003D08BB"/>
    <w:rsid w:val="003E6B4D"/>
    <w:rsid w:val="00413C13"/>
    <w:rsid w:val="00414464"/>
    <w:rsid w:val="00471F97"/>
    <w:rsid w:val="00480D2F"/>
    <w:rsid w:val="004A36E5"/>
    <w:rsid w:val="004B7E8E"/>
    <w:rsid w:val="004C3C5F"/>
    <w:rsid w:val="004E2A6E"/>
    <w:rsid w:val="004F4BCE"/>
    <w:rsid w:val="00515F5E"/>
    <w:rsid w:val="005513D0"/>
    <w:rsid w:val="00590632"/>
    <w:rsid w:val="0059069E"/>
    <w:rsid w:val="005A33F0"/>
    <w:rsid w:val="005C5DAB"/>
    <w:rsid w:val="005E77C1"/>
    <w:rsid w:val="005F1EFB"/>
    <w:rsid w:val="00600BD2"/>
    <w:rsid w:val="006377D8"/>
    <w:rsid w:val="006B48FF"/>
    <w:rsid w:val="006E1DFD"/>
    <w:rsid w:val="00736C27"/>
    <w:rsid w:val="007445A8"/>
    <w:rsid w:val="00782DCD"/>
    <w:rsid w:val="007B529B"/>
    <w:rsid w:val="007E0D8A"/>
    <w:rsid w:val="007F1D30"/>
    <w:rsid w:val="008143EC"/>
    <w:rsid w:val="00820173"/>
    <w:rsid w:val="00883041"/>
    <w:rsid w:val="008C6BC7"/>
    <w:rsid w:val="00932D78"/>
    <w:rsid w:val="00973E82"/>
    <w:rsid w:val="00974AFC"/>
    <w:rsid w:val="009A1489"/>
    <w:rsid w:val="009C7060"/>
    <w:rsid w:val="009C7F55"/>
    <w:rsid w:val="00A06841"/>
    <w:rsid w:val="00A27B71"/>
    <w:rsid w:val="00AB3680"/>
    <w:rsid w:val="00AB42C6"/>
    <w:rsid w:val="00AC60DF"/>
    <w:rsid w:val="00AC66B6"/>
    <w:rsid w:val="00AF2AA1"/>
    <w:rsid w:val="00AF3755"/>
    <w:rsid w:val="00AF7046"/>
    <w:rsid w:val="00B05CEF"/>
    <w:rsid w:val="00BA0479"/>
    <w:rsid w:val="00BA7959"/>
    <w:rsid w:val="00BD1E81"/>
    <w:rsid w:val="00BD7A22"/>
    <w:rsid w:val="00BE264B"/>
    <w:rsid w:val="00BF3095"/>
    <w:rsid w:val="00C47938"/>
    <w:rsid w:val="00C532EB"/>
    <w:rsid w:val="00C740BC"/>
    <w:rsid w:val="00CA6D90"/>
    <w:rsid w:val="00CA7B4A"/>
    <w:rsid w:val="00CB2F25"/>
    <w:rsid w:val="00D36922"/>
    <w:rsid w:val="00D52E91"/>
    <w:rsid w:val="00D62D87"/>
    <w:rsid w:val="00D66E7C"/>
    <w:rsid w:val="00DE2213"/>
    <w:rsid w:val="00DE45F5"/>
    <w:rsid w:val="00E25E23"/>
    <w:rsid w:val="00E41507"/>
    <w:rsid w:val="00E83743"/>
    <w:rsid w:val="00EB1F54"/>
    <w:rsid w:val="00F0627E"/>
    <w:rsid w:val="00F1537F"/>
    <w:rsid w:val="00F20B97"/>
    <w:rsid w:val="00F22C78"/>
    <w:rsid w:val="00F24965"/>
    <w:rsid w:val="00F33D5A"/>
    <w:rsid w:val="00F35B01"/>
    <w:rsid w:val="00F60F4E"/>
    <w:rsid w:val="00F958BA"/>
    <w:rsid w:val="00F97AD7"/>
    <w:rsid w:val="00FE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505</_x0031__x002e__x0020_Collection_x0020_Number>
    <Date xmlns="d6eefc7d-9817-4fa6-84d5-3bc009be21b8">2018-04-10T00:00:00-04:00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IC17-15</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679B-9990-4A52-AA42-16EB34D5C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ED7EE-9C12-4451-90E6-78FC3BEDFA35}">
  <ds:schemaRefs>
    <ds:schemaRef ds:uri="http://schemas.microsoft.com/office/2006/metadata/customXsn"/>
  </ds:schemaRefs>
</ds:datastoreItem>
</file>

<file path=customXml/itemProps3.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4.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5.xml><?xml version="1.0" encoding="utf-8"?>
<ds:datastoreItem xmlns:ds="http://schemas.openxmlformats.org/officeDocument/2006/customXml" ds:itemID="{9DF57017-6D35-4700-942D-9BCDC1A55FC4}">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d6eefc7d-9817-4fa6-84d5-3bc009be21b8"/>
    <ds:schemaRef ds:uri="http://purl.org/dc/terms/"/>
    <ds:schemaRef ds:uri="http://purl.org/dc/dcmitype/"/>
    <ds:schemaRef ds:uri="http://schemas.microsoft.com/office/infopath/2007/PartnerControls"/>
    <ds:schemaRef ds:uri="http://purl.org/dc/elements/1.1/"/>
  </ds:schemaRefs>
</ds:datastoreItem>
</file>

<file path=customXml/itemProps6.xml><?xml version="1.0" encoding="utf-8"?>
<ds:datastoreItem xmlns:ds="http://schemas.openxmlformats.org/officeDocument/2006/customXml" ds:itemID="{504F0585-8F95-4FCD-A89A-1FEC9E98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2018-01-23T15:21:00Z</cp:lastPrinted>
  <dcterms:created xsi:type="dcterms:W3CDTF">2018-04-10T18:17:00Z</dcterms:created>
  <dcterms:modified xsi:type="dcterms:W3CDTF">2018-04-10T18:17:00Z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