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E9476" w14:textId="77777777" w:rsidR="00B05BEF" w:rsidRPr="000C3582" w:rsidRDefault="00B05BEF" w:rsidP="00B05BEF">
      <w:pPr>
        <w:jc w:val="center"/>
        <w:rPr>
          <w:sz w:val="24"/>
        </w:rPr>
      </w:pPr>
      <w:bookmarkStart w:id="0" w:name="_GoBack"/>
      <w:bookmarkEnd w:id="0"/>
      <w:r w:rsidRPr="000C3582">
        <w:rPr>
          <w:sz w:val="24"/>
        </w:rPr>
        <w:t>UNITED STATES OF AMERICA</w:t>
      </w:r>
    </w:p>
    <w:p w14:paraId="7E422883" w14:textId="77777777" w:rsidR="00B05BEF" w:rsidRPr="000C3582" w:rsidRDefault="00B05BEF" w:rsidP="00B05BEF">
      <w:pPr>
        <w:jc w:val="center"/>
        <w:rPr>
          <w:sz w:val="24"/>
        </w:rPr>
      </w:pPr>
      <w:r w:rsidRPr="000C3582">
        <w:rPr>
          <w:sz w:val="24"/>
        </w:rPr>
        <w:t>FEDERAL ENERGY REGULATORY COMMISSION</w:t>
      </w:r>
    </w:p>
    <w:p w14:paraId="4B192BE4" w14:textId="77777777" w:rsidR="00B05BEF" w:rsidRPr="000C3582" w:rsidRDefault="00B05BEF" w:rsidP="00B05BEF">
      <w:pPr>
        <w:rPr>
          <w:sz w:val="24"/>
        </w:rPr>
      </w:pPr>
    </w:p>
    <w:p w14:paraId="1FB59EE0" w14:textId="77777777" w:rsidR="00B05BEF" w:rsidRPr="000C3582" w:rsidRDefault="00B05BEF" w:rsidP="00B05BEF">
      <w:pPr>
        <w:jc w:val="center"/>
        <w:rPr>
          <w:sz w:val="24"/>
        </w:rPr>
      </w:pPr>
      <w:r w:rsidRPr="000C3582">
        <w:rPr>
          <w:sz w:val="24"/>
        </w:rPr>
        <w:t>[Docket No. IC17-</w:t>
      </w:r>
      <w:r w:rsidR="006A56A8" w:rsidRPr="000C3582">
        <w:rPr>
          <w:sz w:val="24"/>
        </w:rPr>
        <w:t>15</w:t>
      </w:r>
      <w:r w:rsidRPr="000C3582">
        <w:rPr>
          <w:sz w:val="24"/>
        </w:rPr>
        <w:t>-000]</w:t>
      </w:r>
    </w:p>
    <w:p w14:paraId="159CB113" w14:textId="77777777" w:rsidR="00B05BEF" w:rsidRPr="000C3582" w:rsidRDefault="00B05BEF" w:rsidP="00B05BEF">
      <w:pPr>
        <w:rPr>
          <w:sz w:val="24"/>
        </w:rPr>
      </w:pPr>
    </w:p>
    <w:p w14:paraId="3741D422" w14:textId="77777777" w:rsidR="00B05BEF" w:rsidRPr="000C3582" w:rsidRDefault="00B05BEF" w:rsidP="00B05BEF">
      <w:pPr>
        <w:jc w:val="center"/>
        <w:rPr>
          <w:sz w:val="24"/>
        </w:rPr>
      </w:pPr>
      <w:r w:rsidRPr="000C3582">
        <w:rPr>
          <w:sz w:val="24"/>
        </w:rPr>
        <w:t xml:space="preserve">COMMISSION INFORMATION COLLECTION ACTIVITIES </w:t>
      </w:r>
    </w:p>
    <w:p w14:paraId="7373F8F6" w14:textId="77777777" w:rsidR="00B05BEF" w:rsidRPr="000C3582" w:rsidRDefault="00B05BEF" w:rsidP="00B05BEF">
      <w:pPr>
        <w:jc w:val="center"/>
        <w:rPr>
          <w:sz w:val="24"/>
        </w:rPr>
      </w:pPr>
      <w:r w:rsidRPr="000C3582">
        <w:rPr>
          <w:sz w:val="24"/>
        </w:rPr>
        <w:t xml:space="preserve">(FERC-505 </w:t>
      </w:r>
      <w:r w:rsidR="00995829" w:rsidRPr="000C3582">
        <w:rPr>
          <w:sz w:val="24"/>
        </w:rPr>
        <w:t>and FERC-</w:t>
      </w:r>
      <w:r w:rsidRPr="000C3582">
        <w:rPr>
          <w:sz w:val="24"/>
        </w:rPr>
        <w:t>512);</w:t>
      </w:r>
    </w:p>
    <w:p w14:paraId="4322E2B0" w14:textId="77777777" w:rsidR="00B05BEF" w:rsidRPr="000C3582" w:rsidRDefault="00995829" w:rsidP="00B05BEF">
      <w:pPr>
        <w:jc w:val="center"/>
        <w:rPr>
          <w:sz w:val="24"/>
        </w:rPr>
      </w:pPr>
      <w:r w:rsidRPr="000C3582">
        <w:rPr>
          <w:sz w:val="24"/>
        </w:rPr>
        <w:t xml:space="preserve">CONSOLIDATED </w:t>
      </w:r>
      <w:r w:rsidR="00B05BEF" w:rsidRPr="000C3582">
        <w:rPr>
          <w:sz w:val="24"/>
        </w:rPr>
        <w:t>COMMENT REQUEST; EXTENSION</w:t>
      </w:r>
    </w:p>
    <w:p w14:paraId="2C5F5461" w14:textId="77777777" w:rsidR="00B05BEF" w:rsidRPr="000C3582" w:rsidRDefault="00B05BEF" w:rsidP="00B05BEF">
      <w:pPr>
        <w:rPr>
          <w:sz w:val="24"/>
        </w:rPr>
      </w:pPr>
    </w:p>
    <w:p w14:paraId="64338E3E" w14:textId="4F11F1F4" w:rsidR="00B05BEF" w:rsidRDefault="0028260E" w:rsidP="0028260E">
      <w:pPr>
        <w:jc w:val="center"/>
      </w:pPr>
      <w:r w:rsidRPr="0028260E">
        <w:t>(September 28, 2017)</w:t>
      </w:r>
    </w:p>
    <w:p w14:paraId="7E7BF095" w14:textId="77777777" w:rsidR="0028260E" w:rsidRPr="0028260E" w:rsidRDefault="0028260E" w:rsidP="0028260E"/>
    <w:p w14:paraId="28E4D81C" w14:textId="77777777" w:rsidR="00B05BEF" w:rsidRPr="000C3582" w:rsidRDefault="00B05BEF" w:rsidP="00B05BEF">
      <w:pPr>
        <w:rPr>
          <w:sz w:val="24"/>
        </w:rPr>
      </w:pPr>
      <w:r w:rsidRPr="000C3582">
        <w:rPr>
          <w:b/>
          <w:sz w:val="24"/>
        </w:rPr>
        <w:t>AGENCY:</w:t>
      </w:r>
      <w:r w:rsidRPr="000C3582">
        <w:rPr>
          <w:sz w:val="24"/>
        </w:rPr>
        <w:t xml:space="preserve">  Federal Energy Regulatory Commission.</w:t>
      </w:r>
    </w:p>
    <w:p w14:paraId="6E43801D" w14:textId="77777777" w:rsidR="00B05BEF" w:rsidRPr="000C3582" w:rsidRDefault="00B05BEF" w:rsidP="00B05BEF">
      <w:pPr>
        <w:rPr>
          <w:sz w:val="24"/>
        </w:rPr>
      </w:pPr>
    </w:p>
    <w:p w14:paraId="2E96BF7D" w14:textId="77777777" w:rsidR="00B05BEF" w:rsidRPr="000C3582" w:rsidRDefault="00B05BEF" w:rsidP="00B05BEF">
      <w:pPr>
        <w:spacing w:line="480" w:lineRule="auto"/>
        <w:rPr>
          <w:sz w:val="24"/>
        </w:rPr>
      </w:pPr>
      <w:r w:rsidRPr="000C3582">
        <w:rPr>
          <w:b/>
          <w:sz w:val="24"/>
        </w:rPr>
        <w:t>ACTION:</w:t>
      </w:r>
      <w:r w:rsidR="00995829" w:rsidRPr="000C3582">
        <w:rPr>
          <w:sz w:val="24"/>
        </w:rPr>
        <w:t xml:space="preserve">  Notice of </w:t>
      </w:r>
      <w:r w:rsidRPr="000C3582">
        <w:rPr>
          <w:sz w:val="24"/>
        </w:rPr>
        <w:t>information collection</w:t>
      </w:r>
      <w:r w:rsidR="00995829" w:rsidRPr="000C3582">
        <w:rPr>
          <w:sz w:val="24"/>
        </w:rPr>
        <w:t>s</w:t>
      </w:r>
      <w:r w:rsidRPr="000C3582">
        <w:rPr>
          <w:sz w:val="24"/>
        </w:rPr>
        <w:t xml:space="preserve"> and request for comments.</w:t>
      </w:r>
    </w:p>
    <w:p w14:paraId="683CE810" w14:textId="23DF537A" w:rsidR="00B05BEF" w:rsidRPr="000C3582" w:rsidRDefault="00B05BEF" w:rsidP="00B05BEF">
      <w:pPr>
        <w:spacing w:line="480" w:lineRule="auto"/>
        <w:rPr>
          <w:sz w:val="24"/>
        </w:rPr>
      </w:pPr>
      <w:r w:rsidRPr="000C3582">
        <w:rPr>
          <w:b/>
          <w:sz w:val="24"/>
        </w:rPr>
        <w:t>SUMMARY:</w:t>
      </w:r>
      <w:r w:rsidRPr="000C3582">
        <w:rPr>
          <w:sz w:val="24"/>
        </w:rPr>
        <w:t xml:space="preserve">  In compliance with the requirements of the Paperwork Reduction Act of 1995, 44 USC 3506(c)(2)(A), the Federal Energy Regulatory Commission (Commission or FERC) is soliciting public comment on </w:t>
      </w:r>
      <w:r w:rsidR="003700A2" w:rsidRPr="000C3582">
        <w:rPr>
          <w:sz w:val="24"/>
        </w:rPr>
        <w:t xml:space="preserve">the requirements and burden of </w:t>
      </w:r>
      <w:r w:rsidRPr="000C3582">
        <w:rPr>
          <w:sz w:val="24"/>
        </w:rPr>
        <w:t>information collection, FERC-505 (</w:t>
      </w:r>
      <w:r w:rsidR="009C4D80" w:rsidRPr="000C3582">
        <w:rPr>
          <w:sz w:val="24"/>
        </w:rPr>
        <w:t>Small Hydropower Projects and Conduit Facilities including License/Relicense, Exemption and Qualifying Conduit Facility Determination</w:t>
      </w:r>
      <w:r w:rsidRPr="000C3582">
        <w:rPr>
          <w:color w:val="000000"/>
          <w:sz w:val="24"/>
        </w:rPr>
        <w:t>)</w:t>
      </w:r>
      <w:r w:rsidR="009C4D80" w:rsidRPr="000C3582">
        <w:rPr>
          <w:color w:val="000000"/>
          <w:sz w:val="24"/>
        </w:rPr>
        <w:t xml:space="preserve"> and FERC- 512 (Preliminary Permit)</w:t>
      </w:r>
      <w:r w:rsidRPr="000C3582">
        <w:rPr>
          <w:color w:val="000000"/>
          <w:sz w:val="24"/>
        </w:rPr>
        <w:t xml:space="preserve"> </w:t>
      </w:r>
      <w:r w:rsidRPr="000C3582">
        <w:rPr>
          <w:sz w:val="24"/>
        </w:rPr>
        <w:t xml:space="preserve">which will be submitted to the Office of Management and Budget (OMB) for a review of the information collection requirements. </w:t>
      </w:r>
    </w:p>
    <w:p w14:paraId="039F9CDC" w14:textId="77777777" w:rsidR="00B05BEF" w:rsidRPr="000C3582" w:rsidRDefault="00B05BEF" w:rsidP="00B05BEF">
      <w:pPr>
        <w:spacing w:line="480" w:lineRule="auto"/>
        <w:rPr>
          <w:sz w:val="24"/>
        </w:rPr>
      </w:pPr>
      <w:r w:rsidRPr="000C3582">
        <w:rPr>
          <w:b/>
          <w:sz w:val="24"/>
        </w:rPr>
        <w:t>DATES:</w:t>
      </w:r>
      <w:r w:rsidRPr="000C3582">
        <w:rPr>
          <w:sz w:val="24"/>
        </w:rPr>
        <w:t xml:space="preserve">  Comments on the collection of information are due</w:t>
      </w:r>
      <w:r w:rsidRPr="000C3582">
        <w:rPr>
          <w:b/>
          <w:sz w:val="24"/>
        </w:rPr>
        <w:t xml:space="preserve"> [Insert date that is 60 days after publication in the Federal Register].</w:t>
      </w:r>
      <w:r w:rsidRPr="000C3582">
        <w:rPr>
          <w:sz w:val="24"/>
        </w:rPr>
        <w:t xml:space="preserve"> </w:t>
      </w:r>
    </w:p>
    <w:p w14:paraId="1D515EBE" w14:textId="77777777" w:rsidR="00B05BEF" w:rsidRPr="000C3582" w:rsidRDefault="00B05BEF" w:rsidP="00B05BEF">
      <w:pPr>
        <w:rPr>
          <w:sz w:val="24"/>
        </w:rPr>
      </w:pPr>
      <w:r w:rsidRPr="000C3582">
        <w:rPr>
          <w:b/>
          <w:sz w:val="24"/>
        </w:rPr>
        <w:t>ADDRESSES:</w:t>
      </w:r>
      <w:r w:rsidRPr="000C3582">
        <w:rPr>
          <w:sz w:val="24"/>
        </w:rPr>
        <w:t xml:space="preserve">  You may submit comments identified by Docket No. IC17-</w:t>
      </w:r>
      <w:r w:rsidR="006A56A8" w:rsidRPr="000C3582">
        <w:rPr>
          <w:sz w:val="24"/>
        </w:rPr>
        <w:t>15</w:t>
      </w:r>
      <w:r w:rsidRPr="000C3582">
        <w:rPr>
          <w:sz w:val="24"/>
        </w:rPr>
        <w:t xml:space="preserve">-000 by </w:t>
      </w:r>
    </w:p>
    <w:p w14:paraId="55AC690D" w14:textId="77777777" w:rsidR="00B05BEF" w:rsidRPr="000C3582" w:rsidRDefault="00B05BEF" w:rsidP="00B05BEF">
      <w:pPr>
        <w:rPr>
          <w:sz w:val="24"/>
        </w:rPr>
      </w:pPr>
    </w:p>
    <w:p w14:paraId="5247033E" w14:textId="77777777" w:rsidR="00B05BEF" w:rsidRPr="000C3582" w:rsidRDefault="00B05BEF" w:rsidP="00B05BEF">
      <w:pPr>
        <w:rPr>
          <w:sz w:val="24"/>
        </w:rPr>
      </w:pPr>
      <w:r w:rsidRPr="000C3582">
        <w:rPr>
          <w:sz w:val="24"/>
        </w:rPr>
        <w:t>either of the following methods:</w:t>
      </w:r>
    </w:p>
    <w:p w14:paraId="09545478" w14:textId="77777777" w:rsidR="00B05BEF" w:rsidRPr="000C3582" w:rsidRDefault="00B05BEF" w:rsidP="00B05BEF">
      <w:pPr>
        <w:rPr>
          <w:sz w:val="24"/>
        </w:rPr>
      </w:pPr>
    </w:p>
    <w:p w14:paraId="03392523" w14:textId="77777777" w:rsidR="00B05BEF" w:rsidRPr="000C3582" w:rsidRDefault="00B05BEF" w:rsidP="003700A2">
      <w:pPr>
        <w:pStyle w:val="ListParagraph"/>
        <w:numPr>
          <w:ilvl w:val="0"/>
          <w:numId w:val="2"/>
        </w:numPr>
        <w:spacing w:after="160" w:line="480" w:lineRule="auto"/>
        <w:rPr>
          <w:sz w:val="24"/>
        </w:rPr>
      </w:pPr>
      <w:r w:rsidRPr="000C3582">
        <w:rPr>
          <w:sz w:val="24"/>
        </w:rPr>
        <w:t xml:space="preserve">eFiling at Commission’s Web Site: </w:t>
      </w:r>
      <w:hyperlink r:id="rId13" w:history="1">
        <w:r w:rsidRPr="000C3582">
          <w:rPr>
            <w:color w:val="0000FF"/>
            <w:sz w:val="24"/>
            <w:u w:val="single"/>
          </w:rPr>
          <w:t>http://www.ferc.gov/docs-filing/efiling.asp</w:t>
        </w:r>
      </w:hyperlink>
    </w:p>
    <w:p w14:paraId="42526344" w14:textId="77777777" w:rsidR="00B05BEF" w:rsidRDefault="00B05BEF" w:rsidP="003700A2">
      <w:pPr>
        <w:pStyle w:val="ListParagraph"/>
        <w:numPr>
          <w:ilvl w:val="0"/>
          <w:numId w:val="2"/>
        </w:numPr>
        <w:spacing w:after="160" w:line="480" w:lineRule="auto"/>
        <w:rPr>
          <w:sz w:val="24"/>
        </w:rPr>
      </w:pPr>
      <w:r w:rsidRPr="000C3582">
        <w:rPr>
          <w:sz w:val="24"/>
        </w:rPr>
        <w:t>Mail/Hand Delivery/Courier: Federal Energy Regulatory Commission, Secretary of the Commission, 888 First Street, NE, Washington, DC 20426.</w:t>
      </w:r>
    </w:p>
    <w:p w14:paraId="106C50C1" w14:textId="77777777" w:rsidR="00471BF9" w:rsidRPr="00471BF9" w:rsidRDefault="00471BF9" w:rsidP="00471BF9">
      <w:pPr>
        <w:spacing w:after="160" w:line="480" w:lineRule="auto"/>
        <w:rPr>
          <w:sz w:val="24"/>
        </w:rPr>
      </w:pPr>
    </w:p>
    <w:p w14:paraId="6DB70058" w14:textId="77777777" w:rsidR="003700A2" w:rsidRPr="000C3582" w:rsidRDefault="003700A2" w:rsidP="003700A2">
      <w:pPr>
        <w:spacing w:line="480" w:lineRule="auto"/>
        <w:rPr>
          <w:sz w:val="24"/>
        </w:rPr>
      </w:pPr>
      <w:r w:rsidRPr="000C3582">
        <w:rPr>
          <w:sz w:val="24"/>
        </w:rPr>
        <w:lastRenderedPageBreak/>
        <w:t>Please reference the specific collection number and/or title in your comments.</w:t>
      </w:r>
    </w:p>
    <w:p w14:paraId="20951C3E" w14:textId="77777777" w:rsidR="00B05BEF" w:rsidRPr="000C3582" w:rsidRDefault="00B05BEF" w:rsidP="00B05BEF">
      <w:pPr>
        <w:spacing w:line="480" w:lineRule="auto"/>
        <w:rPr>
          <w:sz w:val="24"/>
        </w:rPr>
      </w:pPr>
      <w:r w:rsidRPr="000C3582">
        <w:rPr>
          <w:i/>
          <w:sz w:val="24"/>
        </w:rPr>
        <w:t xml:space="preserve">Instructions: </w:t>
      </w:r>
      <w:r w:rsidRPr="000C3582">
        <w:rPr>
          <w:sz w:val="24"/>
        </w:rPr>
        <w:t xml:space="preserve">All submissions must be formatted and filed in accordance with submission guidelines at: </w:t>
      </w:r>
      <w:hyperlink r:id="rId14" w:history="1">
        <w:r w:rsidRPr="000C3582">
          <w:rPr>
            <w:color w:val="0000FF"/>
            <w:sz w:val="24"/>
            <w:u w:val="single"/>
          </w:rPr>
          <w:t>http://www.ferc.gov/help/submission-guide.asp</w:t>
        </w:r>
      </w:hyperlink>
      <w:r w:rsidRPr="000C3582">
        <w:rPr>
          <w:sz w:val="24"/>
        </w:rPr>
        <w:t>.  For user assistance contact FERC Online Support by e-mail at ferconlinesupport@ferc.gov, or by phone at:  (866) 208-3676 (toll-free), or (202) 502-8659 for TTY.</w:t>
      </w:r>
    </w:p>
    <w:p w14:paraId="13693C23" w14:textId="77777777" w:rsidR="00B05BEF" w:rsidRPr="000C3582" w:rsidRDefault="00B05BEF" w:rsidP="00B05BEF">
      <w:pPr>
        <w:spacing w:line="480" w:lineRule="auto"/>
        <w:rPr>
          <w:sz w:val="24"/>
        </w:rPr>
      </w:pPr>
      <w:r w:rsidRPr="000C3582">
        <w:rPr>
          <w:i/>
          <w:sz w:val="24"/>
        </w:rPr>
        <w:t>Docket:</w:t>
      </w:r>
      <w:r w:rsidRPr="000C3582">
        <w:rPr>
          <w:sz w:val="24"/>
        </w:rPr>
        <w:t xml:space="preserve"> Users interested in receiving automatic notification of activity in this docket or in viewing/downloading comments and issuances in this docket may do so at </w:t>
      </w:r>
      <w:hyperlink r:id="rId15" w:history="1">
        <w:r w:rsidRPr="000C3582">
          <w:rPr>
            <w:color w:val="0000FF"/>
            <w:sz w:val="24"/>
            <w:u w:val="single"/>
          </w:rPr>
          <w:t>http://www.ferc.gov/docs-filing/docs-filing.asp</w:t>
        </w:r>
      </w:hyperlink>
      <w:r w:rsidRPr="000C3582">
        <w:rPr>
          <w:sz w:val="24"/>
        </w:rPr>
        <w:t xml:space="preserve">. </w:t>
      </w:r>
    </w:p>
    <w:p w14:paraId="4734B460" w14:textId="77777777" w:rsidR="00B05BEF" w:rsidRPr="000C3582" w:rsidRDefault="00B05BEF" w:rsidP="00B05BEF">
      <w:pPr>
        <w:spacing w:line="480" w:lineRule="auto"/>
        <w:rPr>
          <w:sz w:val="24"/>
        </w:rPr>
      </w:pPr>
      <w:r w:rsidRPr="000C3582">
        <w:rPr>
          <w:b/>
          <w:sz w:val="24"/>
        </w:rPr>
        <w:t>FOR FURTHER INFORMATION:</w:t>
      </w:r>
      <w:r w:rsidRPr="000C3582">
        <w:rPr>
          <w:sz w:val="24"/>
        </w:rPr>
        <w:t xml:space="preserve">  Ellen Brown may be reached by e-mail at </w:t>
      </w:r>
      <w:hyperlink r:id="rId16" w:history="1">
        <w:r w:rsidRPr="000C3582">
          <w:rPr>
            <w:color w:val="0000FF"/>
            <w:sz w:val="24"/>
            <w:u w:val="single"/>
          </w:rPr>
          <w:t>DataClearance@FERC.gov</w:t>
        </w:r>
      </w:hyperlink>
      <w:r w:rsidRPr="000C3582">
        <w:rPr>
          <w:sz w:val="24"/>
        </w:rPr>
        <w:t>, telephone at (202) 502-8663, and fax at (202) 273-0873.</w:t>
      </w:r>
    </w:p>
    <w:p w14:paraId="4BF8A06A" w14:textId="77777777" w:rsidR="00B05BEF" w:rsidRPr="000C3582" w:rsidRDefault="00B05BEF" w:rsidP="00B05BEF">
      <w:pPr>
        <w:spacing w:line="480" w:lineRule="auto"/>
        <w:rPr>
          <w:sz w:val="24"/>
        </w:rPr>
      </w:pPr>
      <w:r w:rsidRPr="000C3582">
        <w:rPr>
          <w:b/>
          <w:sz w:val="24"/>
        </w:rPr>
        <w:t>SUPPLEMENTARY INFORMATION:</w:t>
      </w:r>
      <w:r w:rsidRPr="000C3582">
        <w:rPr>
          <w:sz w:val="24"/>
        </w:rPr>
        <w:t xml:space="preserve">  </w:t>
      </w:r>
    </w:p>
    <w:p w14:paraId="1C2EDEAC" w14:textId="77777777" w:rsidR="003700A2" w:rsidRPr="000C3582" w:rsidRDefault="003700A2" w:rsidP="003700A2">
      <w:pPr>
        <w:spacing w:line="480" w:lineRule="auto"/>
        <w:rPr>
          <w:sz w:val="24"/>
        </w:rPr>
      </w:pPr>
      <w:r w:rsidRPr="000C3582">
        <w:rPr>
          <w:b/>
          <w:i/>
          <w:sz w:val="24"/>
        </w:rPr>
        <w:t>Type of Request:</w:t>
      </w:r>
      <w:r w:rsidRPr="000C3582">
        <w:rPr>
          <w:sz w:val="24"/>
        </w:rPr>
        <w:t xml:space="preserve"> Three-year approval of the FERC-505 and FERC-512 information collection requirements with no changes to the current reporting requirements. </w:t>
      </w:r>
    </w:p>
    <w:p w14:paraId="4D212FFF" w14:textId="77777777" w:rsidR="003700A2" w:rsidRPr="000C3582" w:rsidRDefault="003700A2" w:rsidP="003700A2">
      <w:pPr>
        <w:spacing w:line="480" w:lineRule="auto"/>
        <w:rPr>
          <w:sz w:val="24"/>
        </w:rPr>
      </w:pPr>
      <w:r w:rsidRPr="000C3582">
        <w:rPr>
          <w:sz w:val="24"/>
        </w:rPr>
        <w:t xml:space="preserve">Please note that each collection is distinct from the next. </w:t>
      </w:r>
    </w:p>
    <w:p w14:paraId="0D3B165E" w14:textId="77777777" w:rsidR="003700A2" w:rsidRPr="000C3582" w:rsidRDefault="003700A2" w:rsidP="003700A2">
      <w:pPr>
        <w:spacing w:line="480" w:lineRule="auto"/>
        <w:rPr>
          <w:sz w:val="24"/>
        </w:rPr>
      </w:pPr>
      <w:r w:rsidRPr="000C3582">
        <w:rPr>
          <w:b/>
          <w:i/>
          <w:sz w:val="24"/>
        </w:rPr>
        <w:t>Comments:</w:t>
      </w:r>
      <w:r w:rsidRPr="000C3582">
        <w:rPr>
          <w:i/>
          <w:sz w:val="24"/>
        </w:rPr>
        <w:t xml:space="preserve">  </w:t>
      </w:r>
      <w:r w:rsidRPr="000C3582">
        <w:rPr>
          <w:sz w:val="24"/>
        </w:rPr>
        <w:t>Comments are invited on:  (1) whether the collections of information are necessary for the proper performance of the functions of the Commission, including whether the information will have practical utility; (2) the accuracy of the agency's estimate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w:t>
      </w:r>
    </w:p>
    <w:p w14:paraId="2ED5C7A0" w14:textId="77777777" w:rsidR="003700A2" w:rsidRPr="000C3582" w:rsidRDefault="003700A2" w:rsidP="00B05BEF">
      <w:pPr>
        <w:spacing w:line="480" w:lineRule="auto"/>
        <w:rPr>
          <w:sz w:val="24"/>
        </w:rPr>
      </w:pPr>
    </w:p>
    <w:p w14:paraId="5A5816CC" w14:textId="2E25B1B2" w:rsidR="009C4D80" w:rsidRPr="000C3582" w:rsidRDefault="00B05BEF" w:rsidP="00B05BEF">
      <w:pPr>
        <w:spacing w:line="480" w:lineRule="auto"/>
        <w:rPr>
          <w:b/>
          <w:sz w:val="24"/>
        </w:rPr>
      </w:pPr>
      <w:r w:rsidRPr="000C3582">
        <w:rPr>
          <w:i/>
          <w:sz w:val="24"/>
        </w:rPr>
        <w:lastRenderedPageBreak/>
        <w:t xml:space="preserve">Title: </w:t>
      </w:r>
      <w:r w:rsidRPr="000C3582">
        <w:rPr>
          <w:sz w:val="24"/>
        </w:rPr>
        <w:t>FERC-</w:t>
      </w:r>
      <w:r w:rsidR="009C4D80" w:rsidRPr="000C3582">
        <w:rPr>
          <w:sz w:val="24"/>
        </w:rPr>
        <w:t>505, Small Hydropower Projects and Conduit Facilities including License/Relicense, Exemption</w:t>
      </w:r>
      <w:r w:rsidR="000C3582">
        <w:rPr>
          <w:sz w:val="24"/>
        </w:rPr>
        <w:t>,</w:t>
      </w:r>
      <w:r w:rsidR="009C4D80" w:rsidRPr="000C3582">
        <w:rPr>
          <w:sz w:val="24"/>
        </w:rPr>
        <w:t xml:space="preserve"> and Qualifying Conduit Facility Determination</w:t>
      </w:r>
    </w:p>
    <w:p w14:paraId="006F6981" w14:textId="77777777" w:rsidR="00B05BEF" w:rsidRPr="000C3582" w:rsidRDefault="00B05BEF" w:rsidP="00B05BEF">
      <w:pPr>
        <w:spacing w:line="480" w:lineRule="auto"/>
        <w:rPr>
          <w:sz w:val="24"/>
        </w:rPr>
      </w:pPr>
      <w:r w:rsidRPr="000C3582">
        <w:rPr>
          <w:i/>
          <w:sz w:val="24"/>
        </w:rPr>
        <w:t>OMB Control No.:</w:t>
      </w:r>
      <w:r w:rsidRPr="000C3582">
        <w:rPr>
          <w:sz w:val="24"/>
        </w:rPr>
        <w:t xml:space="preserve"> 1902-</w:t>
      </w:r>
      <w:r w:rsidR="009C4D80" w:rsidRPr="000C3582">
        <w:rPr>
          <w:sz w:val="24"/>
        </w:rPr>
        <w:t xml:space="preserve">0115 </w:t>
      </w:r>
    </w:p>
    <w:p w14:paraId="4D2F21BA" w14:textId="77777777" w:rsidR="00B05BEF" w:rsidRPr="000C3582" w:rsidRDefault="00F10AF9" w:rsidP="00F10AF9">
      <w:pPr>
        <w:spacing w:line="480" w:lineRule="auto"/>
        <w:rPr>
          <w:sz w:val="24"/>
        </w:rPr>
      </w:pPr>
      <w:r w:rsidRPr="000C3582">
        <w:rPr>
          <w:i/>
          <w:sz w:val="24"/>
        </w:rPr>
        <w:t xml:space="preserve">Abstract: </w:t>
      </w:r>
      <w:r w:rsidR="00B05BEF" w:rsidRPr="000C3582">
        <w:rPr>
          <w:sz w:val="24"/>
        </w:rPr>
        <w:t xml:space="preserve">The Hydropower Efficiency Act amended statutory provisions pertaining to preliminary permits and to projects that are exempt from certain licensing requirements under the Federal Power Act (FPA) in order to reduce cost and regulatory burden, and in turn, promote hydropower development.  Specifically, the Hydropower Efficiency Act gave the Commission authority to extend a preliminary permit once for not more than two additional years without requiring the permittee to apply for a successive preliminary permit.  The Hydropower Efficiency Act also expanded the number of projects that may qualify for exemptions from certain licensing requirements under the FPA (i.e., small conduit hydroelectric facilities or small hydroelectric power projects), and allowed other projects to qualify to operate without Commission oversight (i.e., qualifying conduit hydropower facilities).  While the Commission-approved revised regulations formally implement the Hydropower Efficiency Act, the Commission has complied with the Act since its enactment.    </w:t>
      </w:r>
    </w:p>
    <w:p w14:paraId="242DA853" w14:textId="77777777" w:rsidR="00F10AF9" w:rsidRPr="000C3582" w:rsidRDefault="00F10AF9" w:rsidP="00F10AF9">
      <w:pPr>
        <w:spacing w:line="480" w:lineRule="auto"/>
        <w:rPr>
          <w:i/>
          <w:sz w:val="24"/>
        </w:rPr>
      </w:pPr>
      <w:r w:rsidRPr="000C3582">
        <w:rPr>
          <w:i/>
          <w:sz w:val="24"/>
        </w:rPr>
        <w:t xml:space="preserve">Type of Respondents: </w:t>
      </w:r>
      <w:r w:rsidRPr="000C3582">
        <w:rPr>
          <w:color w:val="000000"/>
          <w:sz w:val="24"/>
        </w:rPr>
        <w:t>Businesses or other for-profit and not-for-profit institutions</w:t>
      </w:r>
    </w:p>
    <w:p w14:paraId="069F4F99" w14:textId="77777777" w:rsidR="007655A5" w:rsidRPr="000C3582" w:rsidRDefault="007655A5" w:rsidP="007655A5">
      <w:pPr>
        <w:spacing w:line="480" w:lineRule="auto"/>
        <w:rPr>
          <w:sz w:val="24"/>
        </w:rPr>
      </w:pPr>
      <w:r w:rsidRPr="000C3582">
        <w:rPr>
          <w:i/>
          <w:sz w:val="24"/>
        </w:rPr>
        <w:t xml:space="preserve">Estimate of Annual Burden: </w:t>
      </w:r>
      <w:r w:rsidRPr="000C3582">
        <w:rPr>
          <w:sz w:val="24"/>
        </w:rP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7655A5" w:rsidRPr="000C3582" w14:paraId="022936CE" w14:textId="77777777" w:rsidTr="00AA1D1D">
        <w:trPr>
          <w:cantSplit/>
        </w:trPr>
        <w:tc>
          <w:tcPr>
            <w:tcW w:w="5000" w:type="pct"/>
            <w:gridSpan w:val="7"/>
            <w:tcBorders>
              <w:bottom w:val="single" w:sz="4" w:space="0" w:color="auto"/>
            </w:tcBorders>
            <w:shd w:val="clear" w:color="auto" w:fill="D9D9D9"/>
          </w:tcPr>
          <w:p w14:paraId="28BD5316" w14:textId="4C903E4E" w:rsidR="007655A5" w:rsidRPr="000C3582" w:rsidRDefault="007655A5" w:rsidP="007655A5">
            <w:pPr>
              <w:jc w:val="center"/>
              <w:rPr>
                <w:rFonts w:eastAsia="Calibri"/>
                <w:b/>
                <w:sz w:val="20"/>
                <w:szCs w:val="20"/>
              </w:rPr>
            </w:pPr>
            <w:r w:rsidRPr="000C3582">
              <w:rPr>
                <w:rFonts w:eastAsia="Calibri"/>
                <w:b/>
                <w:sz w:val="20"/>
                <w:szCs w:val="20"/>
              </w:rPr>
              <w:t>FERC-505 (</w:t>
            </w:r>
            <w:r w:rsidR="009F3636" w:rsidRPr="000C3582">
              <w:rPr>
                <w:b/>
                <w:sz w:val="20"/>
                <w:szCs w:val="20"/>
              </w:rPr>
              <w:t>Small Hydropower Projects and Conduit Facilities including License/Relicense, Exemption</w:t>
            </w:r>
            <w:r w:rsidR="000C3582">
              <w:rPr>
                <w:b/>
                <w:sz w:val="20"/>
                <w:szCs w:val="20"/>
              </w:rPr>
              <w:t>,</w:t>
            </w:r>
            <w:r w:rsidR="009F3636" w:rsidRPr="000C3582">
              <w:rPr>
                <w:b/>
                <w:sz w:val="20"/>
                <w:szCs w:val="20"/>
              </w:rPr>
              <w:t xml:space="preserve"> and Qualifying Conduit Facility Determination</w:t>
            </w:r>
            <w:r w:rsidRPr="000C3582">
              <w:rPr>
                <w:rFonts w:eastAsia="Calibri"/>
                <w:b/>
                <w:sz w:val="20"/>
                <w:szCs w:val="20"/>
              </w:rPr>
              <w:t>)</w:t>
            </w:r>
          </w:p>
        </w:tc>
      </w:tr>
      <w:tr w:rsidR="007655A5" w:rsidRPr="000C3582" w14:paraId="10942100" w14:textId="77777777" w:rsidTr="00AA1D1D">
        <w:trPr>
          <w:cantSplit/>
        </w:trPr>
        <w:tc>
          <w:tcPr>
            <w:tcW w:w="878" w:type="pct"/>
            <w:shd w:val="clear" w:color="auto" w:fill="D9D9D9"/>
          </w:tcPr>
          <w:p w14:paraId="02283F14" w14:textId="77777777" w:rsidR="007655A5" w:rsidRPr="000C3582" w:rsidRDefault="007655A5" w:rsidP="00AA1D1D">
            <w:pPr>
              <w:jc w:val="center"/>
              <w:rPr>
                <w:rFonts w:eastAsia="Calibri"/>
                <w:b/>
                <w:sz w:val="20"/>
                <w:szCs w:val="20"/>
              </w:rPr>
            </w:pPr>
          </w:p>
        </w:tc>
        <w:tc>
          <w:tcPr>
            <w:tcW w:w="746" w:type="pct"/>
            <w:shd w:val="clear" w:color="auto" w:fill="D9D9D9"/>
            <w:vAlign w:val="bottom"/>
          </w:tcPr>
          <w:p w14:paraId="5D088542" w14:textId="77777777" w:rsidR="007655A5" w:rsidRPr="000C3582" w:rsidRDefault="007655A5" w:rsidP="00AA1D1D">
            <w:pPr>
              <w:jc w:val="center"/>
              <w:rPr>
                <w:rFonts w:eastAsia="Calibri"/>
                <w:b/>
                <w:sz w:val="20"/>
                <w:szCs w:val="20"/>
              </w:rPr>
            </w:pPr>
            <w:r w:rsidRPr="000C3582">
              <w:rPr>
                <w:rFonts w:eastAsia="Calibri"/>
                <w:b/>
                <w:sz w:val="20"/>
                <w:szCs w:val="20"/>
              </w:rPr>
              <w:t>Number of Respondents</w:t>
            </w:r>
            <w:r w:rsidRPr="000C3582">
              <w:rPr>
                <w:rFonts w:eastAsia="Calibri"/>
                <w:b/>
                <w:sz w:val="20"/>
                <w:szCs w:val="20"/>
              </w:rPr>
              <w:br/>
              <w:t>(1)</w:t>
            </w:r>
          </w:p>
        </w:tc>
        <w:tc>
          <w:tcPr>
            <w:tcW w:w="746" w:type="pct"/>
            <w:shd w:val="clear" w:color="auto" w:fill="D9D9D9"/>
            <w:vAlign w:val="bottom"/>
          </w:tcPr>
          <w:p w14:paraId="2AED1F26" w14:textId="77777777" w:rsidR="007655A5" w:rsidRPr="000C3582" w:rsidRDefault="007655A5" w:rsidP="00AA1D1D">
            <w:pPr>
              <w:jc w:val="center"/>
              <w:rPr>
                <w:rFonts w:eastAsia="Calibri"/>
                <w:b/>
                <w:sz w:val="20"/>
                <w:szCs w:val="20"/>
              </w:rPr>
            </w:pPr>
            <w:r w:rsidRPr="000C3582">
              <w:rPr>
                <w:rFonts w:eastAsia="Calibri"/>
                <w:b/>
                <w:sz w:val="20"/>
                <w:szCs w:val="20"/>
              </w:rPr>
              <w:t>Annual Number of Responses per Respondent</w:t>
            </w:r>
          </w:p>
          <w:p w14:paraId="65D0AF66" w14:textId="77777777" w:rsidR="007655A5" w:rsidRPr="000C3582" w:rsidRDefault="007655A5" w:rsidP="00AA1D1D">
            <w:pPr>
              <w:jc w:val="center"/>
              <w:rPr>
                <w:rFonts w:eastAsia="Calibri"/>
                <w:b/>
                <w:sz w:val="20"/>
                <w:szCs w:val="20"/>
              </w:rPr>
            </w:pPr>
            <w:r w:rsidRPr="000C3582">
              <w:rPr>
                <w:rFonts w:eastAsia="Calibri"/>
                <w:b/>
                <w:sz w:val="20"/>
                <w:szCs w:val="20"/>
              </w:rPr>
              <w:t>(2)</w:t>
            </w:r>
          </w:p>
        </w:tc>
        <w:tc>
          <w:tcPr>
            <w:tcW w:w="703" w:type="pct"/>
            <w:shd w:val="clear" w:color="auto" w:fill="D9D9D9"/>
            <w:vAlign w:val="bottom"/>
          </w:tcPr>
          <w:p w14:paraId="11E5B78C" w14:textId="77777777" w:rsidR="007655A5" w:rsidRPr="000C3582" w:rsidRDefault="007655A5" w:rsidP="00AA1D1D">
            <w:pPr>
              <w:jc w:val="center"/>
              <w:rPr>
                <w:rFonts w:eastAsia="Calibri"/>
                <w:b/>
                <w:sz w:val="20"/>
                <w:szCs w:val="20"/>
              </w:rPr>
            </w:pPr>
            <w:r w:rsidRPr="000C3582">
              <w:rPr>
                <w:rFonts w:eastAsia="Calibri"/>
                <w:b/>
                <w:sz w:val="20"/>
                <w:szCs w:val="20"/>
              </w:rPr>
              <w:t>Total Number of Responses (1)*(2)=(3)</w:t>
            </w:r>
          </w:p>
        </w:tc>
        <w:tc>
          <w:tcPr>
            <w:tcW w:w="654" w:type="pct"/>
            <w:shd w:val="clear" w:color="auto" w:fill="D9D9D9"/>
            <w:vAlign w:val="bottom"/>
          </w:tcPr>
          <w:p w14:paraId="34BF2105" w14:textId="77777777" w:rsidR="007655A5" w:rsidRPr="000C3582" w:rsidRDefault="007655A5" w:rsidP="00AA1D1D">
            <w:pPr>
              <w:jc w:val="center"/>
              <w:rPr>
                <w:rFonts w:eastAsia="Calibri"/>
                <w:b/>
                <w:sz w:val="20"/>
                <w:szCs w:val="20"/>
              </w:rPr>
            </w:pPr>
            <w:r w:rsidRPr="000C3582">
              <w:rPr>
                <w:rFonts w:eastAsia="Calibri"/>
                <w:b/>
                <w:sz w:val="20"/>
                <w:szCs w:val="20"/>
              </w:rPr>
              <w:t>Average Burden &amp; Cost Per Response</w:t>
            </w:r>
            <w:r w:rsidR="00050D34" w:rsidRPr="000C3582">
              <w:rPr>
                <w:rStyle w:val="FootnoteReference"/>
                <w:sz w:val="20"/>
                <w:szCs w:val="20"/>
              </w:rPr>
              <w:t>2</w:t>
            </w:r>
          </w:p>
          <w:p w14:paraId="23628845" w14:textId="77777777" w:rsidR="007655A5" w:rsidRPr="000C3582" w:rsidRDefault="007655A5" w:rsidP="00AA1D1D">
            <w:pPr>
              <w:jc w:val="center"/>
              <w:rPr>
                <w:rFonts w:eastAsia="Calibri"/>
                <w:b/>
                <w:sz w:val="20"/>
                <w:szCs w:val="20"/>
              </w:rPr>
            </w:pPr>
            <w:r w:rsidRPr="000C3582">
              <w:rPr>
                <w:rFonts w:eastAsia="Calibri"/>
                <w:b/>
                <w:sz w:val="20"/>
                <w:szCs w:val="20"/>
              </w:rPr>
              <w:t>(4)</w:t>
            </w:r>
          </w:p>
        </w:tc>
        <w:tc>
          <w:tcPr>
            <w:tcW w:w="657" w:type="pct"/>
            <w:shd w:val="clear" w:color="auto" w:fill="D9D9D9"/>
            <w:vAlign w:val="bottom"/>
          </w:tcPr>
          <w:p w14:paraId="16129589" w14:textId="77777777" w:rsidR="007655A5" w:rsidRPr="000C3582" w:rsidRDefault="007655A5" w:rsidP="00AA1D1D">
            <w:pPr>
              <w:jc w:val="center"/>
              <w:rPr>
                <w:rFonts w:eastAsia="Calibri"/>
                <w:b/>
                <w:sz w:val="20"/>
                <w:szCs w:val="20"/>
              </w:rPr>
            </w:pPr>
            <w:r w:rsidRPr="000C3582">
              <w:rPr>
                <w:rFonts w:eastAsia="Calibri"/>
                <w:b/>
                <w:sz w:val="20"/>
                <w:szCs w:val="20"/>
              </w:rPr>
              <w:t>Total Annual Burden &amp; Total Annual Cost</w:t>
            </w:r>
          </w:p>
          <w:p w14:paraId="61FF73C5" w14:textId="77777777" w:rsidR="007655A5" w:rsidRPr="000C3582" w:rsidRDefault="007655A5" w:rsidP="00AA1D1D">
            <w:pPr>
              <w:jc w:val="center"/>
              <w:rPr>
                <w:rFonts w:eastAsia="Calibri"/>
                <w:b/>
                <w:sz w:val="20"/>
                <w:szCs w:val="20"/>
              </w:rPr>
            </w:pPr>
            <w:r w:rsidRPr="000C3582">
              <w:rPr>
                <w:rFonts w:eastAsia="Calibri"/>
                <w:b/>
                <w:sz w:val="20"/>
                <w:szCs w:val="20"/>
              </w:rPr>
              <w:t>(3)*(4)=(5)</w:t>
            </w:r>
          </w:p>
        </w:tc>
        <w:tc>
          <w:tcPr>
            <w:tcW w:w="616" w:type="pct"/>
            <w:shd w:val="clear" w:color="auto" w:fill="D9D9D9"/>
            <w:vAlign w:val="bottom"/>
          </w:tcPr>
          <w:p w14:paraId="200945F4" w14:textId="77777777" w:rsidR="007655A5" w:rsidRPr="000C3582" w:rsidRDefault="007655A5" w:rsidP="00AA1D1D">
            <w:pPr>
              <w:jc w:val="center"/>
              <w:rPr>
                <w:rFonts w:eastAsia="Calibri"/>
                <w:b/>
                <w:sz w:val="20"/>
                <w:szCs w:val="20"/>
              </w:rPr>
            </w:pPr>
            <w:r w:rsidRPr="000C3582">
              <w:rPr>
                <w:rFonts w:eastAsia="Calibri"/>
                <w:b/>
                <w:sz w:val="20"/>
                <w:szCs w:val="20"/>
              </w:rPr>
              <w:t>Cost per Respondent</w:t>
            </w:r>
          </w:p>
          <w:p w14:paraId="1ECD5F02" w14:textId="77777777" w:rsidR="007655A5" w:rsidRPr="000C3582" w:rsidRDefault="007655A5" w:rsidP="00AA1D1D">
            <w:pPr>
              <w:jc w:val="center"/>
              <w:rPr>
                <w:rFonts w:eastAsia="Calibri"/>
                <w:b/>
                <w:sz w:val="20"/>
                <w:szCs w:val="20"/>
              </w:rPr>
            </w:pPr>
            <w:r w:rsidRPr="000C3582">
              <w:rPr>
                <w:rFonts w:eastAsia="Calibri"/>
                <w:b/>
                <w:sz w:val="20"/>
                <w:szCs w:val="20"/>
              </w:rPr>
              <w:t xml:space="preserve"> ($)</w:t>
            </w:r>
          </w:p>
          <w:p w14:paraId="47C2A080" w14:textId="77777777" w:rsidR="007655A5" w:rsidRPr="000C3582" w:rsidRDefault="007655A5" w:rsidP="00AA1D1D">
            <w:pPr>
              <w:jc w:val="center"/>
              <w:rPr>
                <w:rFonts w:eastAsia="Calibri"/>
                <w:b/>
                <w:sz w:val="20"/>
                <w:szCs w:val="20"/>
              </w:rPr>
            </w:pPr>
            <w:r w:rsidRPr="000C3582">
              <w:rPr>
                <w:rFonts w:eastAsia="Calibri"/>
                <w:b/>
                <w:sz w:val="20"/>
                <w:szCs w:val="20"/>
              </w:rPr>
              <w:t>(5)÷(1)</w:t>
            </w:r>
          </w:p>
        </w:tc>
      </w:tr>
      <w:tr w:rsidR="007655A5" w:rsidRPr="000C3582" w14:paraId="268476B0" w14:textId="77777777" w:rsidTr="000C3582">
        <w:trPr>
          <w:cantSplit/>
        </w:trPr>
        <w:tc>
          <w:tcPr>
            <w:tcW w:w="878" w:type="pct"/>
          </w:tcPr>
          <w:p w14:paraId="1DC2AFF4" w14:textId="77777777" w:rsidR="007655A5" w:rsidRPr="000C3582" w:rsidRDefault="007655A5" w:rsidP="007655A5">
            <w:pPr>
              <w:rPr>
                <w:rFonts w:eastAsia="Calibri"/>
                <w:sz w:val="20"/>
                <w:szCs w:val="20"/>
              </w:rPr>
            </w:pPr>
            <w:r w:rsidRPr="000C3582">
              <w:rPr>
                <w:rFonts w:eastAsia="Calibri"/>
                <w:sz w:val="20"/>
                <w:szCs w:val="20"/>
              </w:rPr>
              <w:t>FERC-505</w:t>
            </w:r>
          </w:p>
        </w:tc>
        <w:tc>
          <w:tcPr>
            <w:tcW w:w="746" w:type="pct"/>
          </w:tcPr>
          <w:p w14:paraId="7914496D" w14:textId="668B9896" w:rsidR="007655A5" w:rsidRPr="000C3582" w:rsidRDefault="008E2B28" w:rsidP="000C3582">
            <w:pPr>
              <w:jc w:val="right"/>
              <w:rPr>
                <w:rFonts w:eastAsia="Calibri"/>
                <w:sz w:val="20"/>
                <w:szCs w:val="20"/>
              </w:rPr>
            </w:pPr>
            <w:r w:rsidRPr="000C3582">
              <w:rPr>
                <w:rFonts w:eastAsia="Calibri"/>
                <w:sz w:val="20"/>
                <w:szCs w:val="20"/>
              </w:rPr>
              <w:t>16</w:t>
            </w:r>
          </w:p>
        </w:tc>
        <w:tc>
          <w:tcPr>
            <w:tcW w:w="746" w:type="pct"/>
          </w:tcPr>
          <w:p w14:paraId="1A51CC91" w14:textId="77777777" w:rsidR="007655A5" w:rsidRPr="000C3582" w:rsidRDefault="007655A5" w:rsidP="000C3582">
            <w:pPr>
              <w:jc w:val="right"/>
              <w:rPr>
                <w:rFonts w:eastAsia="Calibri"/>
                <w:sz w:val="20"/>
                <w:szCs w:val="20"/>
              </w:rPr>
            </w:pPr>
            <w:r w:rsidRPr="000C3582">
              <w:rPr>
                <w:rFonts w:eastAsia="Calibri"/>
                <w:sz w:val="20"/>
                <w:szCs w:val="20"/>
              </w:rPr>
              <w:t>1</w:t>
            </w:r>
          </w:p>
        </w:tc>
        <w:tc>
          <w:tcPr>
            <w:tcW w:w="703" w:type="pct"/>
          </w:tcPr>
          <w:p w14:paraId="4F2194CA" w14:textId="77777777" w:rsidR="007655A5" w:rsidRPr="000C3582" w:rsidRDefault="008E2B28" w:rsidP="000C3582">
            <w:pPr>
              <w:jc w:val="right"/>
              <w:rPr>
                <w:rFonts w:eastAsia="Calibri"/>
                <w:sz w:val="20"/>
                <w:szCs w:val="20"/>
              </w:rPr>
            </w:pPr>
            <w:r w:rsidRPr="000C3582">
              <w:rPr>
                <w:rFonts w:eastAsia="Calibri"/>
                <w:sz w:val="20"/>
                <w:szCs w:val="20"/>
              </w:rPr>
              <w:t>16</w:t>
            </w:r>
          </w:p>
        </w:tc>
        <w:tc>
          <w:tcPr>
            <w:tcW w:w="654" w:type="pct"/>
          </w:tcPr>
          <w:p w14:paraId="5655F979" w14:textId="77777777" w:rsidR="007655A5" w:rsidRPr="000C3582" w:rsidRDefault="0003251E" w:rsidP="000C3582">
            <w:pPr>
              <w:jc w:val="right"/>
              <w:rPr>
                <w:rFonts w:eastAsia="Calibri"/>
                <w:sz w:val="20"/>
                <w:szCs w:val="20"/>
              </w:rPr>
            </w:pPr>
            <w:r w:rsidRPr="000C3582">
              <w:rPr>
                <w:rFonts w:eastAsia="Calibri"/>
                <w:sz w:val="20"/>
                <w:szCs w:val="20"/>
              </w:rPr>
              <w:t xml:space="preserve">273 </w:t>
            </w:r>
            <w:r w:rsidR="007655A5" w:rsidRPr="000C3582">
              <w:rPr>
                <w:rFonts w:eastAsia="Calibri"/>
                <w:sz w:val="20"/>
                <w:szCs w:val="20"/>
              </w:rPr>
              <w:t>hrs.;</w:t>
            </w:r>
          </w:p>
          <w:p w14:paraId="3B508CF8" w14:textId="24E7F787" w:rsidR="007655A5" w:rsidRPr="000C3582" w:rsidRDefault="009F3636" w:rsidP="000C3582">
            <w:pPr>
              <w:jc w:val="right"/>
              <w:rPr>
                <w:rFonts w:eastAsia="Calibri"/>
                <w:sz w:val="20"/>
                <w:szCs w:val="20"/>
              </w:rPr>
            </w:pPr>
            <w:r w:rsidRPr="000C3582">
              <w:rPr>
                <w:rFonts w:eastAsia="Calibri"/>
                <w:sz w:val="20"/>
                <w:szCs w:val="20"/>
              </w:rPr>
              <w:t>$</w:t>
            </w:r>
            <w:r w:rsidR="0003251E" w:rsidRPr="000C3582">
              <w:rPr>
                <w:rFonts w:eastAsia="Calibri"/>
                <w:sz w:val="20"/>
                <w:szCs w:val="20"/>
              </w:rPr>
              <w:t>20,884.5</w:t>
            </w:r>
            <w:r w:rsidR="000C3582" w:rsidRPr="000C3582">
              <w:rPr>
                <w:rFonts w:eastAsia="Calibri"/>
                <w:sz w:val="20"/>
                <w:szCs w:val="20"/>
              </w:rPr>
              <w:t>0</w:t>
            </w:r>
          </w:p>
        </w:tc>
        <w:tc>
          <w:tcPr>
            <w:tcW w:w="657" w:type="pct"/>
          </w:tcPr>
          <w:p w14:paraId="1C3CE328" w14:textId="3D75B40F" w:rsidR="007655A5" w:rsidRPr="000C3582" w:rsidRDefault="0003251E" w:rsidP="000C3582">
            <w:pPr>
              <w:jc w:val="right"/>
              <w:rPr>
                <w:rFonts w:eastAsia="Calibri"/>
                <w:sz w:val="20"/>
                <w:szCs w:val="20"/>
              </w:rPr>
            </w:pPr>
            <w:r w:rsidRPr="000C3582">
              <w:rPr>
                <w:rFonts w:eastAsia="Calibri"/>
                <w:sz w:val="20"/>
                <w:szCs w:val="20"/>
              </w:rPr>
              <w:t>4</w:t>
            </w:r>
            <w:r w:rsidR="000C3582" w:rsidRPr="000C3582">
              <w:rPr>
                <w:rFonts w:eastAsia="Calibri"/>
                <w:sz w:val="20"/>
                <w:szCs w:val="20"/>
              </w:rPr>
              <w:t>,</w:t>
            </w:r>
            <w:r w:rsidRPr="000C3582">
              <w:rPr>
                <w:rFonts w:eastAsia="Calibri"/>
                <w:sz w:val="20"/>
                <w:szCs w:val="20"/>
              </w:rPr>
              <w:t xml:space="preserve">368 </w:t>
            </w:r>
            <w:r w:rsidR="007655A5" w:rsidRPr="000C3582">
              <w:rPr>
                <w:rFonts w:eastAsia="Calibri"/>
                <w:sz w:val="20"/>
                <w:szCs w:val="20"/>
              </w:rPr>
              <w:t>hrs.;</w:t>
            </w:r>
          </w:p>
          <w:p w14:paraId="66E33FEF" w14:textId="2A6F0943" w:rsidR="007655A5" w:rsidRPr="000C3582" w:rsidRDefault="0003251E" w:rsidP="000C3582">
            <w:pPr>
              <w:jc w:val="right"/>
              <w:rPr>
                <w:rFonts w:eastAsia="Calibri"/>
                <w:sz w:val="20"/>
                <w:szCs w:val="20"/>
              </w:rPr>
            </w:pPr>
            <w:r w:rsidRPr="000C3582">
              <w:rPr>
                <w:rFonts w:eastAsia="Calibri"/>
                <w:sz w:val="20"/>
                <w:szCs w:val="20"/>
              </w:rPr>
              <w:t>$334,152</w:t>
            </w:r>
          </w:p>
        </w:tc>
        <w:tc>
          <w:tcPr>
            <w:tcW w:w="616" w:type="pct"/>
          </w:tcPr>
          <w:p w14:paraId="461ECBFD" w14:textId="720FB9DA" w:rsidR="007655A5" w:rsidRPr="000C3582" w:rsidRDefault="0003251E" w:rsidP="000C3582">
            <w:pPr>
              <w:jc w:val="right"/>
              <w:rPr>
                <w:rFonts w:eastAsia="Calibri"/>
                <w:sz w:val="20"/>
                <w:szCs w:val="20"/>
              </w:rPr>
            </w:pPr>
            <w:r w:rsidRPr="000C3582">
              <w:rPr>
                <w:rFonts w:eastAsia="Calibri"/>
                <w:sz w:val="20"/>
                <w:szCs w:val="20"/>
              </w:rPr>
              <w:t>$20</w:t>
            </w:r>
            <w:r w:rsidR="009C61CE" w:rsidRPr="000C3582">
              <w:rPr>
                <w:rFonts w:eastAsia="Calibri"/>
                <w:sz w:val="20"/>
                <w:szCs w:val="20"/>
              </w:rPr>
              <w:t>,</w:t>
            </w:r>
            <w:r w:rsidRPr="000C3582">
              <w:rPr>
                <w:rFonts w:eastAsia="Calibri"/>
                <w:sz w:val="20"/>
                <w:szCs w:val="20"/>
              </w:rPr>
              <w:t>884.5</w:t>
            </w:r>
            <w:r w:rsidR="000C3582" w:rsidRPr="000C3582">
              <w:rPr>
                <w:rFonts w:eastAsia="Calibri"/>
                <w:sz w:val="20"/>
                <w:szCs w:val="20"/>
              </w:rPr>
              <w:t>0</w:t>
            </w:r>
          </w:p>
        </w:tc>
      </w:tr>
    </w:tbl>
    <w:p w14:paraId="42CA063E" w14:textId="77777777" w:rsidR="007655A5" w:rsidRPr="000C3582" w:rsidRDefault="007655A5" w:rsidP="007655A5">
      <w:pPr>
        <w:spacing w:line="480" w:lineRule="auto"/>
        <w:ind w:firstLine="720"/>
        <w:rPr>
          <w:sz w:val="24"/>
        </w:rPr>
      </w:pPr>
    </w:p>
    <w:p w14:paraId="5B5E5D3A" w14:textId="77777777" w:rsidR="003700A2" w:rsidRPr="000C3582" w:rsidRDefault="003700A2" w:rsidP="003700A2">
      <w:pPr>
        <w:spacing w:line="480" w:lineRule="auto"/>
        <w:rPr>
          <w:b/>
          <w:color w:val="000000"/>
          <w:sz w:val="24"/>
        </w:rPr>
      </w:pPr>
      <w:r w:rsidRPr="000C3582">
        <w:rPr>
          <w:i/>
          <w:sz w:val="24"/>
        </w:rPr>
        <w:t>Title:</w:t>
      </w:r>
      <w:r w:rsidRPr="000C3582">
        <w:rPr>
          <w:b/>
          <w:sz w:val="24"/>
        </w:rPr>
        <w:t xml:space="preserve"> </w:t>
      </w:r>
      <w:r w:rsidRPr="000C3582">
        <w:rPr>
          <w:sz w:val="24"/>
        </w:rPr>
        <w:t>FERC-512, Preliminary Permit</w:t>
      </w:r>
      <w:r w:rsidRPr="000C3582">
        <w:rPr>
          <w:b/>
          <w:sz w:val="24"/>
        </w:rPr>
        <w:t xml:space="preserve"> </w:t>
      </w:r>
    </w:p>
    <w:p w14:paraId="4E2B58B4" w14:textId="77777777" w:rsidR="003700A2" w:rsidRPr="000C3582" w:rsidRDefault="003700A2" w:rsidP="003700A2">
      <w:pPr>
        <w:spacing w:line="480" w:lineRule="auto"/>
        <w:rPr>
          <w:sz w:val="24"/>
        </w:rPr>
      </w:pPr>
      <w:r w:rsidRPr="000C3582">
        <w:rPr>
          <w:i/>
          <w:sz w:val="24"/>
        </w:rPr>
        <w:t>OMB Control No.:</w:t>
      </w:r>
      <w:r w:rsidRPr="000C3582">
        <w:rPr>
          <w:sz w:val="24"/>
        </w:rPr>
        <w:t xml:space="preserve"> 1902-0073</w:t>
      </w:r>
    </w:p>
    <w:p w14:paraId="6FF6DB09" w14:textId="77777777" w:rsidR="00F10AF9" w:rsidRPr="000C3582" w:rsidRDefault="00F10AF9" w:rsidP="003700A2">
      <w:pPr>
        <w:spacing w:line="480" w:lineRule="auto"/>
        <w:rPr>
          <w:color w:val="000000"/>
          <w:sz w:val="24"/>
        </w:rPr>
      </w:pPr>
      <w:r w:rsidRPr="000C3582">
        <w:rPr>
          <w:i/>
          <w:sz w:val="24"/>
        </w:rPr>
        <w:t xml:space="preserve">Abstract: </w:t>
      </w:r>
      <w:r w:rsidR="009F3636" w:rsidRPr="000C3582">
        <w:rPr>
          <w:sz w:val="24"/>
        </w:rPr>
        <w:t xml:space="preserve">The information collected under the requirements of FERC-512, is used by the Commission to implement the statutory provisions of the Federal Power Act (FPA) 16 U.S.C.  The purpose of obtaining a preliminary permit is to maintain priority of the application for a license for a hydropower facility while the applicant conducts surveys to prepare maps, plans, specifications and estimates; conducts engineering, economic and environmental feasibility studies; and making financial arrangements.  The conditions under which the priority will be maintained are set forth in each permit. </w:t>
      </w:r>
    </w:p>
    <w:p w14:paraId="6C3DECD1" w14:textId="77777777" w:rsidR="007655A5" w:rsidRPr="000C3582" w:rsidRDefault="007655A5" w:rsidP="003700A2">
      <w:pPr>
        <w:spacing w:line="480" w:lineRule="auto"/>
        <w:rPr>
          <w:i/>
          <w:sz w:val="24"/>
        </w:rPr>
      </w:pPr>
      <w:r w:rsidRPr="000C3582">
        <w:rPr>
          <w:i/>
          <w:color w:val="000000"/>
          <w:sz w:val="24"/>
        </w:rPr>
        <w:t xml:space="preserve">Type of Respondent: </w:t>
      </w:r>
      <w:r w:rsidRPr="000C3582">
        <w:rPr>
          <w:color w:val="000000"/>
          <w:sz w:val="24"/>
        </w:rPr>
        <w:t>Businesses or other for-profit and not-for-profit institutions</w:t>
      </w:r>
    </w:p>
    <w:p w14:paraId="1EB2F435" w14:textId="77777777" w:rsidR="007655A5" w:rsidRPr="000C3582" w:rsidRDefault="00B05BEF" w:rsidP="00B05BEF">
      <w:pPr>
        <w:spacing w:line="480" w:lineRule="auto"/>
        <w:rPr>
          <w:rFonts w:eastAsiaTheme="minorHAnsi"/>
          <w:sz w:val="24"/>
        </w:rPr>
      </w:pPr>
      <w:r w:rsidRPr="000C3582">
        <w:rPr>
          <w:i/>
          <w:sz w:val="24"/>
        </w:rPr>
        <w:t>Estimate of Annual Burden</w:t>
      </w:r>
      <w:r w:rsidRPr="000C3582">
        <w:rPr>
          <w:rStyle w:val="FootnoteReference"/>
          <w:i/>
          <w:sz w:val="24"/>
          <w:szCs w:val="24"/>
        </w:rPr>
        <w:footnoteReference w:id="1"/>
      </w:r>
      <w:r w:rsidRPr="000C3582">
        <w:rPr>
          <w:i/>
          <w:sz w:val="24"/>
        </w:rPr>
        <w:t xml:space="preserve">: </w:t>
      </w:r>
      <w:r w:rsidR="007655A5" w:rsidRPr="000C3582">
        <w:rPr>
          <w:sz w:val="24"/>
        </w:rP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7655A5" w:rsidRPr="000C3582" w14:paraId="464FC37C" w14:textId="77777777" w:rsidTr="00AA1D1D">
        <w:trPr>
          <w:cantSplit/>
        </w:trPr>
        <w:tc>
          <w:tcPr>
            <w:tcW w:w="5000" w:type="pct"/>
            <w:gridSpan w:val="7"/>
            <w:tcBorders>
              <w:bottom w:val="single" w:sz="4" w:space="0" w:color="auto"/>
            </w:tcBorders>
            <w:shd w:val="clear" w:color="auto" w:fill="D9D9D9"/>
          </w:tcPr>
          <w:p w14:paraId="524F467B" w14:textId="432C855F" w:rsidR="007655A5" w:rsidRPr="000C3582" w:rsidRDefault="007655A5" w:rsidP="007655A5">
            <w:pPr>
              <w:jc w:val="center"/>
              <w:rPr>
                <w:rFonts w:eastAsia="Calibri"/>
                <w:b/>
                <w:sz w:val="20"/>
                <w:szCs w:val="20"/>
              </w:rPr>
            </w:pPr>
            <w:r w:rsidRPr="000C3582">
              <w:rPr>
                <w:rFonts w:eastAsia="Calibri"/>
                <w:b/>
                <w:sz w:val="20"/>
                <w:szCs w:val="20"/>
              </w:rPr>
              <w:t>FERC-512</w:t>
            </w:r>
            <w:r w:rsidR="009F3636" w:rsidRPr="000C3582">
              <w:rPr>
                <w:rFonts w:eastAsia="Calibri"/>
                <w:b/>
                <w:sz w:val="20"/>
                <w:szCs w:val="20"/>
              </w:rPr>
              <w:t xml:space="preserve"> (</w:t>
            </w:r>
            <w:r w:rsidR="009F3636" w:rsidRPr="000C3582">
              <w:rPr>
                <w:b/>
                <w:sz w:val="20"/>
                <w:szCs w:val="20"/>
              </w:rPr>
              <w:t>Preliminary Permit)</w:t>
            </w:r>
          </w:p>
        </w:tc>
      </w:tr>
      <w:tr w:rsidR="007655A5" w:rsidRPr="000C3582" w14:paraId="19347210" w14:textId="77777777" w:rsidTr="00AA1D1D">
        <w:trPr>
          <w:cantSplit/>
        </w:trPr>
        <w:tc>
          <w:tcPr>
            <w:tcW w:w="878" w:type="pct"/>
            <w:shd w:val="clear" w:color="auto" w:fill="D9D9D9"/>
          </w:tcPr>
          <w:p w14:paraId="7D0B4DFA" w14:textId="77777777" w:rsidR="007655A5" w:rsidRPr="000C3582" w:rsidRDefault="007655A5" w:rsidP="00AA1D1D">
            <w:pPr>
              <w:jc w:val="center"/>
              <w:rPr>
                <w:rFonts w:eastAsia="Calibri"/>
                <w:b/>
                <w:sz w:val="20"/>
                <w:szCs w:val="20"/>
              </w:rPr>
            </w:pPr>
          </w:p>
        </w:tc>
        <w:tc>
          <w:tcPr>
            <w:tcW w:w="746" w:type="pct"/>
            <w:shd w:val="clear" w:color="auto" w:fill="D9D9D9"/>
            <w:vAlign w:val="bottom"/>
          </w:tcPr>
          <w:p w14:paraId="35BB592C" w14:textId="77777777" w:rsidR="007655A5" w:rsidRPr="000C3582" w:rsidRDefault="007655A5" w:rsidP="00AA1D1D">
            <w:pPr>
              <w:jc w:val="center"/>
              <w:rPr>
                <w:rFonts w:eastAsia="Calibri"/>
                <w:b/>
                <w:sz w:val="20"/>
                <w:szCs w:val="20"/>
              </w:rPr>
            </w:pPr>
            <w:r w:rsidRPr="000C3582">
              <w:rPr>
                <w:rFonts w:eastAsia="Calibri"/>
                <w:b/>
                <w:sz w:val="20"/>
                <w:szCs w:val="20"/>
              </w:rPr>
              <w:t>Number of Respondents</w:t>
            </w:r>
            <w:r w:rsidRPr="000C3582">
              <w:rPr>
                <w:rFonts w:eastAsia="Calibri"/>
                <w:b/>
                <w:sz w:val="20"/>
                <w:szCs w:val="20"/>
              </w:rPr>
              <w:br/>
              <w:t>(1)</w:t>
            </w:r>
          </w:p>
        </w:tc>
        <w:tc>
          <w:tcPr>
            <w:tcW w:w="746" w:type="pct"/>
            <w:shd w:val="clear" w:color="auto" w:fill="D9D9D9"/>
            <w:vAlign w:val="bottom"/>
          </w:tcPr>
          <w:p w14:paraId="6F58AF71" w14:textId="77777777" w:rsidR="007655A5" w:rsidRPr="000C3582" w:rsidRDefault="007655A5" w:rsidP="00AA1D1D">
            <w:pPr>
              <w:jc w:val="center"/>
              <w:rPr>
                <w:rFonts w:eastAsia="Calibri"/>
                <w:b/>
                <w:sz w:val="20"/>
                <w:szCs w:val="20"/>
              </w:rPr>
            </w:pPr>
            <w:r w:rsidRPr="000C3582">
              <w:rPr>
                <w:rFonts w:eastAsia="Calibri"/>
                <w:b/>
                <w:sz w:val="20"/>
                <w:szCs w:val="20"/>
              </w:rPr>
              <w:t>Annual Number of Responses per Respondent</w:t>
            </w:r>
          </w:p>
          <w:p w14:paraId="384F86AD" w14:textId="77777777" w:rsidR="007655A5" w:rsidRPr="000C3582" w:rsidRDefault="007655A5" w:rsidP="00AA1D1D">
            <w:pPr>
              <w:jc w:val="center"/>
              <w:rPr>
                <w:rFonts w:eastAsia="Calibri"/>
                <w:b/>
                <w:sz w:val="20"/>
                <w:szCs w:val="20"/>
              </w:rPr>
            </w:pPr>
            <w:r w:rsidRPr="000C3582">
              <w:rPr>
                <w:rFonts w:eastAsia="Calibri"/>
                <w:b/>
                <w:sz w:val="20"/>
                <w:szCs w:val="20"/>
              </w:rPr>
              <w:t>(2)</w:t>
            </w:r>
          </w:p>
        </w:tc>
        <w:tc>
          <w:tcPr>
            <w:tcW w:w="703" w:type="pct"/>
            <w:shd w:val="clear" w:color="auto" w:fill="D9D9D9"/>
            <w:vAlign w:val="bottom"/>
          </w:tcPr>
          <w:p w14:paraId="5DEE61CE" w14:textId="77777777" w:rsidR="007655A5" w:rsidRPr="000C3582" w:rsidRDefault="007655A5" w:rsidP="00AA1D1D">
            <w:pPr>
              <w:jc w:val="center"/>
              <w:rPr>
                <w:rFonts w:eastAsia="Calibri"/>
                <w:b/>
                <w:sz w:val="20"/>
                <w:szCs w:val="20"/>
              </w:rPr>
            </w:pPr>
            <w:r w:rsidRPr="000C3582">
              <w:rPr>
                <w:rFonts w:eastAsia="Calibri"/>
                <w:b/>
                <w:sz w:val="20"/>
                <w:szCs w:val="20"/>
              </w:rPr>
              <w:t>Total Number of Responses (1)*(2)=(3)</w:t>
            </w:r>
          </w:p>
        </w:tc>
        <w:tc>
          <w:tcPr>
            <w:tcW w:w="654" w:type="pct"/>
            <w:shd w:val="clear" w:color="auto" w:fill="D9D9D9"/>
            <w:vAlign w:val="bottom"/>
          </w:tcPr>
          <w:p w14:paraId="1D2AF634" w14:textId="77777777" w:rsidR="007655A5" w:rsidRPr="000C3582" w:rsidRDefault="007655A5" w:rsidP="00AA1D1D">
            <w:pPr>
              <w:jc w:val="center"/>
              <w:rPr>
                <w:rFonts w:eastAsia="Calibri"/>
                <w:b/>
                <w:sz w:val="20"/>
                <w:szCs w:val="20"/>
              </w:rPr>
            </w:pPr>
            <w:r w:rsidRPr="000C3582">
              <w:rPr>
                <w:rFonts w:eastAsia="Calibri"/>
                <w:b/>
                <w:sz w:val="20"/>
                <w:szCs w:val="20"/>
              </w:rPr>
              <w:t>Average Burden &amp; Cost Per Response</w:t>
            </w:r>
            <w:r w:rsidRPr="000C3582">
              <w:rPr>
                <w:rFonts w:eastAsia="Calibri"/>
                <w:b/>
                <w:sz w:val="20"/>
                <w:szCs w:val="20"/>
                <w:vertAlign w:val="superscript"/>
              </w:rPr>
              <w:fldChar w:fldCharType="begin"/>
            </w:r>
            <w:r w:rsidRPr="000C3582">
              <w:rPr>
                <w:rFonts w:eastAsia="Calibri"/>
                <w:b/>
                <w:sz w:val="20"/>
                <w:szCs w:val="20"/>
                <w:vertAlign w:val="superscript"/>
              </w:rPr>
              <w:instrText xml:space="preserve"> NOTEREF _Ref477435767 \h </w:instrText>
            </w:r>
            <w:r w:rsidR="009F3636" w:rsidRPr="000C3582">
              <w:rPr>
                <w:rFonts w:eastAsia="Calibri"/>
                <w:b/>
                <w:sz w:val="20"/>
                <w:szCs w:val="20"/>
                <w:vertAlign w:val="superscript"/>
              </w:rPr>
              <w:instrText xml:space="preserve"> \* MERGEFORMAT </w:instrText>
            </w:r>
            <w:r w:rsidRPr="000C3582">
              <w:rPr>
                <w:rFonts w:eastAsia="Calibri"/>
                <w:b/>
                <w:sz w:val="20"/>
                <w:szCs w:val="20"/>
                <w:vertAlign w:val="superscript"/>
              </w:rPr>
            </w:r>
            <w:r w:rsidRPr="000C3582">
              <w:rPr>
                <w:rFonts w:eastAsia="Calibri"/>
                <w:b/>
                <w:sz w:val="20"/>
                <w:szCs w:val="20"/>
                <w:vertAlign w:val="superscript"/>
              </w:rPr>
              <w:fldChar w:fldCharType="separate"/>
            </w:r>
            <w:r w:rsidRPr="000C3582">
              <w:rPr>
                <w:rFonts w:eastAsia="Calibri"/>
                <w:b/>
                <w:sz w:val="20"/>
                <w:szCs w:val="20"/>
                <w:vertAlign w:val="superscript"/>
              </w:rPr>
              <w:t>2</w:t>
            </w:r>
            <w:r w:rsidRPr="000C3582">
              <w:rPr>
                <w:rFonts w:eastAsia="Calibri"/>
                <w:b/>
                <w:sz w:val="20"/>
                <w:szCs w:val="20"/>
                <w:vertAlign w:val="superscript"/>
              </w:rPr>
              <w:fldChar w:fldCharType="end"/>
            </w:r>
          </w:p>
          <w:p w14:paraId="1433DE9E" w14:textId="77777777" w:rsidR="007655A5" w:rsidRPr="000C3582" w:rsidRDefault="007655A5" w:rsidP="00AA1D1D">
            <w:pPr>
              <w:jc w:val="center"/>
              <w:rPr>
                <w:rFonts w:eastAsia="Calibri"/>
                <w:b/>
                <w:sz w:val="20"/>
                <w:szCs w:val="20"/>
              </w:rPr>
            </w:pPr>
            <w:r w:rsidRPr="000C3582">
              <w:rPr>
                <w:rFonts w:eastAsia="Calibri"/>
                <w:b/>
                <w:sz w:val="20"/>
                <w:szCs w:val="20"/>
              </w:rPr>
              <w:t>(4)</w:t>
            </w:r>
          </w:p>
        </w:tc>
        <w:tc>
          <w:tcPr>
            <w:tcW w:w="657" w:type="pct"/>
            <w:shd w:val="clear" w:color="auto" w:fill="D9D9D9"/>
            <w:vAlign w:val="bottom"/>
          </w:tcPr>
          <w:p w14:paraId="24F00FF1" w14:textId="77777777" w:rsidR="007655A5" w:rsidRPr="000C3582" w:rsidRDefault="007655A5" w:rsidP="00AA1D1D">
            <w:pPr>
              <w:jc w:val="center"/>
              <w:rPr>
                <w:rFonts w:eastAsia="Calibri"/>
                <w:b/>
                <w:sz w:val="20"/>
                <w:szCs w:val="20"/>
              </w:rPr>
            </w:pPr>
            <w:r w:rsidRPr="000C3582">
              <w:rPr>
                <w:rFonts w:eastAsia="Calibri"/>
                <w:b/>
                <w:sz w:val="20"/>
                <w:szCs w:val="20"/>
              </w:rPr>
              <w:t>Total Annual Burden &amp; Total Annual Cost</w:t>
            </w:r>
          </w:p>
          <w:p w14:paraId="28A06166" w14:textId="77777777" w:rsidR="007655A5" w:rsidRPr="000C3582" w:rsidRDefault="007655A5" w:rsidP="00AA1D1D">
            <w:pPr>
              <w:jc w:val="center"/>
              <w:rPr>
                <w:rFonts w:eastAsia="Calibri"/>
                <w:b/>
                <w:sz w:val="20"/>
                <w:szCs w:val="20"/>
              </w:rPr>
            </w:pPr>
            <w:r w:rsidRPr="000C3582">
              <w:rPr>
                <w:rFonts w:eastAsia="Calibri"/>
                <w:b/>
                <w:sz w:val="20"/>
                <w:szCs w:val="20"/>
              </w:rPr>
              <w:t>(3)*(4)=(5)</w:t>
            </w:r>
          </w:p>
        </w:tc>
        <w:tc>
          <w:tcPr>
            <w:tcW w:w="616" w:type="pct"/>
            <w:shd w:val="clear" w:color="auto" w:fill="D9D9D9"/>
            <w:vAlign w:val="bottom"/>
          </w:tcPr>
          <w:p w14:paraId="2BC55F85" w14:textId="77777777" w:rsidR="007655A5" w:rsidRPr="000C3582" w:rsidRDefault="007655A5" w:rsidP="00AA1D1D">
            <w:pPr>
              <w:jc w:val="center"/>
              <w:rPr>
                <w:rFonts w:eastAsia="Calibri"/>
                <w:b/>
                <w:sz w:val="20"/>
                <w:szCs w:val="20"/>
              </w:rPr>
            </w:pPr>
            <w:r w:rsidRPr="000C3582">
              <w:rPr>
                <w:rFonts w:eastAsia="Calibri"/>
                <w:b/>
                <w:sz w:val="20"/>
                <w:szCs w:val="20"/>
              </w:rPr>
              <w:t>Cost per Respondent</w:t>
            </w:r>
          </w:p>
          <w:p w14:paraId="4DEE4682" w14:textId="77777777" w:rsidR="007655A5" w:rsidRPr="000C3582" w:rsidRDefault="007655A5" w:rsidP="00AA1D1D">
            <w:pPr>
              <w:jc w:val="center"/>
              <w:rPr>
                <w:rFonts w:eastAsia="Calibri"/>
                <w:b/>
                <w:sz w:val="20"/>
                <w:szCs w:val="20"/>
              </w:rPr>
            </w:pPr>
            <w:r w:rsidRPr="000C3582">
              <w:rPr>
                <w:rFonts w:eastAsia="Calibri"/>
                <w:b/>
                <w:sz w:val="20"/>
                <w:szCs w:val="20"/>
              </w:rPr>
              <w:t xml:space="preserve"> ($)</w:t>
            </w:r>
          </w:p>
          <w:p w14:paraId="4913D739" w14:textId="77777777" w:rsidR="007655A5" w:rsidRPr="000C3582" w:rsidRDefault="007655A5" w:rsidP="00AA1D1D">
            <w:pPr>
              <w:jc w:val="center"/>
              <w:rPr>
                <w:rFonts w:eastAsia="Calibri"/>
                <w:b/>
                <w:sz w:val="20"/>
                <w:szCs w:val="20"/>
              </w:rPr>
            </w:pPr>
            <w:r w:rsidRPr="000C3582">
              <w:rPr>
                <w:rFonts w:eastAsia="Calibri"/>
                <w:b/>
                <w:sz w:val="20"/>
                <w:szCs w:val="20"/>
              </w:rPr>
              <w:t>(5)÷(1)</w:t>
            </w:r>
          </w:p>
        </w:tc>
      </w:tr>
      <w:tr w:rsidR="007655A5" w:rsidRPr="000C3582" w14:paraId="5FFFFFC2" w14:textId="77777777" w:rsidTr="000C3582">
        <w:trPr>
          <w:cantSplit/>
        </w:trPr>
        <w:tc>
          <w:tcPr>
            <w:tcW w:w="878" w:type="pct"/>
          </w:tcPr>
          <w:p w14:paraId="0C0886D0" w14:textId="77777777" w:rsidR="007655A5" w:rsidRPr="000C3582" w:rsidRDefault="007655A5" w:rsidP="007655A5">
            <w:pPr>
              <w:rPr>
                <w:rFonts w:eastAsia="Calibri"/>
                <w:sz w:val="20"/>
                <w:szCs w:val="20"/>
              </w:rPr>
            </w:pPr>
            <w:r w:rsidRPr="000C3582">
              <w:rPr>
                <w:rFonts w:eastAsia="Calibri"/>
                <w:sz w:val="20"/>
                <w:szCs w:val="20"/>
              </w:rPr>
              <w:t>FERC-512</w:t>
            </w:r>
          </w:p>
        </w:tc>
        <w:tc>
          <w:tcPr>
            <w:tcW w:w="746" w:type="pct"/>
          </w:tcPr>
          <w:p w14:paraId="3E28997A" w14:textId="77777777" w:rsidR="007655A5" w:rsidRPr="000C3582" w:rsidRDefault="00BD048F" w:rsidP="000C3582">
            <w:pPr>
              <w:jc w:val="right"/>
              <w:rPr>
                <w:rFonts w:eastAsia="Calibri"/>
                <w:sz w:val="20"/>
                <w:szCs w:val="20"/>
              </w:rPr>
            </w:pPr>
            <w:r w:rsidRPr="000C3582">
              <w:rPr>
                <w:rFonts w:eastAsia="Calibri"/>
                <w:sz w:val="20"/>
                <w:szCs w:val="20"/>
              </w:rPr>
              <w:t>50</w:t>
            </w:r>
          </w:p>
        </w:tc>
        <w:tc>
          <w:tcPr>
            <w:tcW w:w="746" w:type="pct"/>
          </w:tcPr>
          <w:p w14:paraId="3694B4D6" w14:textId="77777777" w:rsidR="007655A5" w:rsidRPr="000C3582" w:rsidRDefault="007655A5" w:rsidP="000C3582">
            <w:pPr>
              <w:jc w:val="right"/>
              <w:rPr>
                <w:rFonts w:eastAsia="Calibri"/>
                <w:sz w:val="20"/>
                <w:szCs w:val="20"/>
              </w:rPr>
            </w:pPr>
            <w:r w:rsidRPr="000C3582">
              <w:rPr>
                <w:rFonts w:eastAsia="Calibri"/>
                <w:sz w:val="20"/>
                <w:szCs w:val="20"/>
              </w:rPr>
              <w:t>1</w:t>
            </w:r>
          </w:p>
        </w:tc>
        <w:tc>
          <w:tcPr>
            <w:tcW w:w="703" w:type="pct"/>
          </w:tcPr>
          <w:p w14:paraId="01EA5594" w14:textId="77777777" w:rsidR="007655A5" w:rsidRPr="000C3582" w:rsidRDefault="00BD048F" w:rsidP="000C3582">
            <w:pPr>
              <w:jc w:val="right"/>
              <w:rPr>
                <w:rFonts w:eastAsia="Calibri"/>
                <w:sz w:val="20"/>
                <w:szCs w:val="20"/>
              </w:rPr>
            </w:pPr>
            <w:r w:rsidRPr="000C3582">
              <w:rPr>
                <w:rFonts w:eastAsia="Calibri"/>
                <w:sz w:val="20"/>
                <w:szCs w:val="20"/>
              </w:rPr>
              <w:t>50</w:t>
            </w:r>
          </w:p>
        </w:tc>
        <w:tc>
          <w:tcPr>
            <w:tcW w:w="654" w:type="pct"/>
          </w:tcPr>
          <w:p w14:paraId="15E1CE75" w14:textId="4F5EA34A" w:rsidR="007655A5" w:rsidRPr="000C3582" w:rsidRDefault="009C61CE" w:rsidP="000C3582">
            <w:pPr>
              <w:jc w:val="right"/>
              <w:rPr>
                <w:rFonts w:eastAsia="Calibri"/>
                <w:sz w:val="20"/>
                <w:szCs w:val="20"/>
              </w:rPr>
            </w:pPr>
            <w:r w:rsidRPr="000C3582">
              <w:rPr>
                <w:rFonts w:eastAsia="Calibri"/>
                <w:sz w:val="20"/>
                <w:szCs w:val="20"/>
              </w:rPr>
              <w:t>24</w:t>
            </w:r>
            <w:r w:rsidR="007655A5" w:rsidRPr="000C3582">
              <w:rPr>
                <w:rFonts w:eastAsia="Calibri"/>
                <w:sz w:val="20"/>
                <w:szCs w:val="20"/>
              </w:rPr>
              <w:t xml:space="preserve"> hrs.;</w:t>
            </w:r>
          </w:p>
          <w:p w14:paraId="12BA211F" w14:textId="2F1B4634" w:rsidR="007655A5" w:rsidRPr="000C3582" w:rsidRDefault="007655A5" w:rsidP="000C3582">
            <w:pPr>
              <w:jc w:val="right"/>
              <w:rPr>
                <w:rFonts w:eastAsia="Calibri"/>
                <w:sz w:val="20"/>
                <w:szCs w:val="20"/>
                <w:highlight w:val="yellow"/>
              </w:rPr>
            </w:pPr>
            <w:r w:rsidRPr="000C3582">
              <w:rPr>
                <w:rFonts w:eastAsia="Calibri"/>
                <w:sz w:val="20"/>
                <w:szCs w:val="20"/>
              </w:rPr>
              <w:t>$</w:t>
            </w:r>
            <w:r w:rsidR="009C61CE" w:rsidRPr="000C3582">
              <w:rPr>
                <w:rFonts w:eastAsia="Calibri"/>
                <w:sz w:val="20"/>
                <w:szCs w:val="20"/>
              </w:rPr>
              <w:t>1,836</w:t>
            </w:r>
          </w:p>
        </w:tc>
        <w:tc>
          <w:tcPr>
            <w:tcW w:w="657" w:type="pct"/>
          </w:tcPr>
          <w:p w14:paraId="099558BD" w14:textId="50BD38CA" w:rsidR="007655A5" w:rsidRPr="000C3582" w:rsidRDefault="009C61CE" w:rsidP="000C3582">
            <w:pPr>
              <w:jc w:val="right"/>
              <w:rPr>
                <w:rFonts w:eastAsia="Calibri"/>
                <w:sz w:val="20"/>
                <w:szCs w:val="20"/>
              </w:rPr>
            </w:pPr>
            <w:r w:rsidRPr="000C3582">
              <w:rPr>
                <w:rFonts w:eastAsia="Calibri"/>
                <w:sz w:val="20"/>
                <w:szCs w:val="20"/>
              </w:rPr>
              <w:t>1,200</w:t>
            </w:r>
            <w:r w:rsidR="008958DC" w:rsidRPr="000C3582">
              <w:rPr>
                <w:rFonts w:eastAsia="Calibri"/>
                <w:sz w:val="20"/>
                <w:szCs w:val="20"/>
              </w:rPr>
              <w:t xml:space="preserve"> </w:t>
            </w:r>
            <w:r w:rsidR="007655A5" w:rsidRPr="000C3582">
              <w:rPr>
                <w:rFonts w:eastAsia="Calibri"/>
                <w:sz w:val="20"/>
                <w:szCs w:val="20"/>
              </w:rPr>
              <w:t>hrs.;</w:t>
            </w:r>
          </w:p>
          <w:p w14:paraId="417A0029" w14:textId="019A5A9A" w:rsidR="007655A5" w:rsidRPr="000C3582" w:rsidRDefault="009C61CE" w:rsidP="000C3582">
            <w:pPr>
              <w:jc w:val="right"/>
              <w:rPr>
                <w:rFonts w:eastAsia="Calibri"/>
                <w:sz w:val="20"/>
                <w:szCs w:val="20"/>
              </w:rPr>
            </w:pPr>
            <w:r w:rsidRPr="000C3582">
              <w:rPr>
                <w:rFonts w:eastAsia="Calibri"/>
                <w:sz w:val="20"/>
                <w:szCs w:val="20"/>
              </w:rPr>
              <w:t>$91,800</w:t>
            </w:r>
          </w:p>
        </w:tc>
        <w:tc>
          <w:tcPr>
            <w:tcW w:w="616" w:type="pct"/>
          </w:tcPr>
          <w:p w14:paraId="3BC71867" w14:textId="1B8070A5" w:rsidR="007655A5" w:rsidRPr="000C3582" w:rsidRDefault="007655A5" w:rsidP="000C3582">
            <w:pPr>
              <w:jc w:val="right"/>
              <w:rPr>
                <w:rFonts w:eastAsia="Calibri"/>
                <w:sz w:val="20"/>
                <w:szCs w:val="20"/>
              </w:rPr>
            </w:pPr>
            <w:r w:rsidRPr="000C3582">
              <w:rPr>
                <w:rFonts w:eastAsia="Calibri"/>
                <w:sz w:val="20"/>
                <w:szCs w:val="20"/>
              </w:rPr>
              <w:t xml:space="preserve"> </w:t>
            </w:r>
            <w:r w:rsidR="009C61CE" w:rsidRPr="000C3582">
              <w:rPr>
                <w:rFonts w:eastAsia="Calibri"/>
                <w:sz w:val="20"/>
                <w:szCs w:val="20"/>
              </w:rPr>
              <w:t>$1,836</w:t>
            </w:r>
          </w:p>
        </w:tc>
      </w:tr>
    </w:tbl>
    <w:p w14:paraId="55A8E50D" w14:textId="780750B6" w:rsidR="00B05BEF" w:rsidRPr="000C3582" w:rsidRDefault="00B05BEF" w:rsidP="00B05BEF">
      <w:pPr>
        <w:rPr>
          <w:sz w:val="24"/>
        </w:rPr>
      </w:pPr>
    </w:p>
    <w:p w14:paraId="29247E20" w14:textId="77777777" w:rsidR="000C3582" w:rsidRDefault="000C3582" w:rsidP="000C3582">
      <w:pPr>
        <w:jc w:val="center"/>
        <w:rPr>
          <w:sz w:val="24"/>
        </w:rPr>
      </w:pPr>
    </w:p>
    <w:p w14:paraId="4B67F8EA" w14:textId="77777777" w:rsidR="00B05BEF" w:rsidRPr="000C3582" w:rsidRDefault="00B05BEF" w:rsidP="000C3582">
      <w:pPr>
        <w:ind w:firstLine="2174"/>
        <w:jc w:val="center"/>
        <w:rPr>
          <w:sz w:val="24"/>
        </w:rPr>
      </w:pPr>
      <w:r w:rsidRPr="000C3582">
        <w:rPr>
          <w:sz w:val="24"/>
        </w:rPr>
        <w:t>Kimberly D. Bose,</w:t>
      </w:r>
    </w:p>
    <w:p w14:paraId="7E8242EA" w14:textId="41DE6B19" w:rsidR="0013208B" w:rsidRPr="000C3582" w:rsidRDefault="00B05BEF" w:rsidP="0028260E">
      <w:pPr>
        <w:ind w:firstLine="2174"/>
        <w:jc w:val="center"/>
        <w:rPr>
          <w:sz w:val="24"/>
          <w:vertAlign w:val="superscript"/>
        </w:rPr>
      </w:pPr>
      <w:r w:rsidRPr="000C3582">
        <w:rPr>
          <w:sz w:val="24"/>
        </w:rPr>
        <w:t>Secretary.</w:t>
      </w:r>
    </w:p>
    <w:sectPr w:rsidR="0013208B" w:rsidRPr="000C3582" w:rsidSect="00190EB5">
      <w:headerReference w:type="even" r:id="rId17"/>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993B9" w14:textId="77777777" w:rsidR="009D3345" w:rsidRDefault="009D3345" w:rsidP="00B05BEF">
      <w:r>
        <w:separator/>
      </w:r>
    </w:p>
  </w:endnote>
  <w:endnote w:type="continuationSeparator" w:id="0">
    <w:p w14:paraId="624B8D0E" w14:textId="77777777" w:rsidR="009D3345" w:rsidRDefault="009D3345" w:rsidP="00B0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63BDD" w14:textId="77777777" w:rsidR="009D3345" w:rsidRDefault="009D3345" w:rsidP="00B05BEF">
      <w:r>
        <w:separator/>
      </w:r>
    </w:p>
  </w:footnote>
  <w:footnote w:type="continuationSeparator" w:id="0">
    <w:p w14:paraId="2B02A4C7" w14:textId="77777777" w:rsidR="009D3345" w:rsidRDefault="009D3345" w:rsidP="00B05BEF">
      <w:r>
        <w:continuationSeparator/>
      </w:r>
    </w:p>
  </w:footnote>
  <w:footnote w:id="1">
    <w:p w14:paraId="157FD02A" w14:textId="77777777" w:rsidR="00B05BEF" w:rsidRPr="0028260E" w:rsidRDefault="00B05BEF" w:rsidP="009C61CE">
      <w:pPr>
        <w:pStyle w:val="FootnoteText"/>
        <w:rPr>
          <w:sz w:val="26"/>
          <w:szCs w:val="26"/>
        </w:rPr>
      </w:pPr>
      <w:r w:rsidRPr="0028260E">
        <w:rPr>
          <w:rStyle w:val="FootnoteReference"/>
          <w:b w:val="0"/>
          <w:vertAlign w:val="baseline"/>
        </w:rPr>
        <w:footnoteRef/>
      </w:r>
      <w:r w:rsidRPr="0028260E">
        <w:rPr>
          <w:b/>
          <w:sz w:val="26"/>
          <w:szCs w:val="26"/>
        </w:rPr>
        <w:t xml:space="preserve"> </w:t>
      </w:r>
      <w:r w:rsidR="009C4D80" w:rsidRPr="0028260E">
        <w:rPr>
          <w:sz w:val="26"/>
          <w:szCs w:val="26"/>
        </w:rPr>
        <w:t>Bu</w:t>
      </w:r>
      <w:r w:rsidRPr="0028260E">
        <w:rPr>
          <w:sz w:val="26"/>
          <w:szCs w:val="26"/>
        </w:rPr>
        <w:t xml:space="preserve">rden </w:t>
      </w:r>
      <w:r w:rsidR="009C4D80" w:rsidRPr="0028260E">
        <w:rPr>
          <w:sz w:val="26"/>
          <w:szCs w:val="26"/>
        </w:rPr>
        <w:t>i</w:t>
      </w:r>
      <w:r w:rsidRPr="0028260E">
        <w:rPr>
          <w:sz w:val="26"/>
          <w:szCs w:val="26"/>
        </w:rPr>
        <w:t>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p w14:paraId="63619BD8" w14:textId="660712B8" w:rsidR="00050D34" w:rsidRPr="0028260E" w:rsidRDefault="00050D34" w:rsidP="009C61CE">
      <w:pPr>
        <w:pStyle w:val="FootnoteText"/>
        <w:rPr>
          <w:rFonts w:asciiTheme="minorHAnsi" w:eastAsiaTheme="minorHAnsi" w:hAnsiTheme="minorHAnsi" w:cstheme="minorBidi"/>
          <w:sz w:val="26"/>
          <w:szCs w:val="26"/>
        </w:rPr>
      </w:pPr>
      <w:r w:rsidRPr="0028260E">
        <w:rPr>
          <w:sz w:val="26"/>
          <w:szCs w:val="26"/>
        </w:rPr>
        <w:t xml:space="preserve">2 </w:t>
      </w:r>
      <w:r w:rsidRPr="0028260E">
        <w:rPr>
          <w:rFonts w:eastAsiaTheme="minorHAnsi"/>
          <w:sz w:val="26"/>
          <w:szCs w:val="26"/>
        </w:rPr>
        <w:t>Subject matter experts found that industry employment costs closely resemble FERC’s</w:t>
      </w:r>
      <w:r w:rsidR="009C61CE" w:rsidRPr="0028260E">
        <w:rPr>
          <w:rFonts w:eastAsiaTheme="minorHAnsi"/>
          <w:sz w:val="26"/>
          <w:szCs w:val="26"/>
        </w:rPr>
        <w:t xml:space="preserve"> wage average wage figure</w:t>
      </w:r>
      <w:r w:rsidRPr="0028260E">
        <w:rPr>
          <w:rFonts w:eastAsiaTheme="minorHAnsi"/>
          <w:sz w:val="26"/>
          <w:szCs w:val="26"/>
        </w:rPr>
        <w:t>.</w:t>
      </w:r>
      <w:r w:rsidRPr="0028260E">
        <w:rPr>
          <w:rFonts w:asciiTheme="minorHAnsi" w:eastAsiaTheme="minorHAnsi" w:hAnsiTheme="minorHAnsi" w:cstheme="minorBidi"/>
          <w:sz w:val="26"/>
          <w:szCs w:val="26"/>
        </w:rPr>
        <w:t xml:space="preserve">  </w:t>
      </w:r>
      <w:r w:rsidRPr="0028260E">
        <w:rPr>
          <w:rFonts w:eastAsiaTheme="minorHAnsi"/>
          <w:sz w:val="26"/>
          <w:szCs w:val="26"/>
        </w:rPr>
        <w:t>FERC’s 2017 average annual salary plus benefits per FTE (full-time equivalent) is $158,754 (or $76.50 per hour).</w:t>
      </w:r>
    </w:p>
    <w:p w14:paraId="32A49D56" w14:textId="77777777" w:rsidR="00050D34" w:rsidRPr="009C61CE" w:rsidRDefault="00050D34" w:rsidP="009C61CE">
      <w:pPr>
        <w:pStyle w:val="FootnoteText"/>
        <w:rPr>
          <w:sz w:val="20"/>
        </w:rPr>
      </w:pPr>
    </w:p>
    <w:p w14:paraId="7034CD59" w14:textId="77777777" w:rsidR="00050D34" w:rsidRPr="009C61CE" w:rsidRDefault="00050D34" w:rsidP="009C61CE">
      <w:pPr>
        <w:pStyle w:val="FootnoteText"/>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35AE2" w14:textId="77777777" w:rsidR="0057111C" w:rsidRDefault="00241846"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0127D6C" w14:textId="77777777" w:rsidR="0057111C" w:rsidRDefault="00D2705F"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689992"/>
      <w:docPartObj>
        <w:docPartGallery w:val="Page Numbers (Top of Page)"/>
        <w:docPartUnique/>
      </w:docPartObj>
    </w:sdtPr>
    <w:sdtEndPr>
      <w:rPr>
        <w:noProof/>
      </w:rPr>
    </w:sdtEndPr>
    <w:sdtContent>
      <w:p w14:paraId="64CC0B1B" w14:textId="066503F8" w:rsidR="0028260E" w:rsidRDefault="0028260E" w:rsidP="0028260E">
        <w:pPr>
          <w:pStyle w:val="Header"/>
        </w:pPr>
        <w:r w:rsidRPr="000C3582">
          <w:rPr>
            <w:sz w:val="24"/>
          </w:rPr>
          <w:t>Docket No. IC17-15-000</w:t>
        </w:r>
        <w:r>
          <w:rPr>
            <w:sz w:val="24"/>
          </w:rPr>
          <w:tab/>
        </w:r>
        <w:r>
          <w:fldChar w:fldCharType="begin"/>
        </w:r>
        <w:r>
          <w:instrText xml:space="preserve"> PAGE   \* MERGEFORMAT </w:instrText>
        </w:r>
        <w:r>
          <w:fldChar w:fldCharType="separate"/>
        </w:r>
        <w:r w:rsidR="00D2705F">
          <w:rPr>
            <w:noProof/>
          </w:rPr>
          <w:t>2</w:t>
        </w:r>
        <w:r>
          <w:rPr>
            <w:noProof/>
          </w:rPr>
          <w:fldChar w:fldCharType="end"/>
        </w:r>
      </w:p>
    </w:sdtContent>
  </w:sdt>
  <w:p w14:paraId="1BD6138B" w14:textId="0458FC19" w:rsidR="0057111C" w:rsidRDefault="00D2705F" w:rsidP="0096632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33A6"/>
    <w:multiLevelType w:val="hybridMultilevel"/>
    <w:tmpl w:val="2A9CF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9007D1"/>
    <w:multiLevelType w:val="hybridMultilevel"/>
    <w:tmpl w:val="1BF2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tplc="DE32E332">
      <w:start w:val="1"/>
      <w:numFmt w:val="bullet"/>
      <w:lvlText w:val=""/>
      <w:lvlJc w:val="left"/>
      <w:pPr>
        <w:tabs>
          <w:tab w:val="num" w:pos="2220"/>
        </w:tabs>
        <w:ind w:left="2220" w:hanging="360"/>
      </w:pPr>
      <w:rPr>
        <w:rFonts w:ascii="Symbol" w:hAnsi="Symbol" w:hint="default"/>
        <w:color w:val="auto"/>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BEF"/>
    <w:rsid w:val="0003251E"/>
    <w:rsid w:val="00050D34"/>
    <w:rsid w:val="000C3582"/>
    <w:rsid w:val="0013208B"/>
    <w:rsid w:val="00144947"/>
    <w:rsid w:val="00241846"/>
    <w:rsid w:val="0028260E"/>
    <w:rsid w:val="003700A2"/>
    <w:rsid w:val="00455279"/>
    <w:rsid w:val="00471BF9"/>
    <w:rsid w:val="00501F17"/>
    <w:rsid w:val="00506ED0"/>
    <w:rsid w:val="0051783A"/>
    <w:rsid w:val="00520489"/>
    <w:rsid w:val="006A56A8"/>
    <w:rsid w:val="007655A5"/>
    <w:rsid w:val="007A571B"/>
    <w:rsid w:val="007F065D"/>
    <w:rsid w:val="008958DC"/>
    <w:rsid w:val="008E2B28"/>
    <w:rsid w:val="00995829"/>
    <w:rsid w:val="00995BE9"/>
    <w:rsid w:val="009C4D80"/>
    <w:rsid w:val="009C61CE"/>
    <w:rsid w:val="009D3345"/>
    <w:rsid w:val="009E7577"/>
    <w:rsid w:val="009F3636"/>
    <w:rsid w:val="00B00813"/>
    <w:rsid w:val="00B05BEF"/>
    <w:rsid w:val="00B17F3F"/>
    <w:rsid w:val="00B27A3C"/>
    <w:rsid w:val="00BD048F"/>
    <w:rsid w:val="00C30557"/>
    <w:rsid w:val="00C66A6F"/>
    <w:rsid w:val="00CB61CF"/>
    <w:rsid w:val="00D04501"/>
    <w:rsid w:val="00D2705F"/>
    <w:rsid w:val="00D9091A"/>
    <w:rsid w:val="00E8782D"/>
    <w:rsid w:val="00F10AF9"/>
    <w:rsid w:val="00FA2F01"/>
    <w:rsid w:val="00FA56EB"/>
    <w:rsid w:val="00FB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BEF"/>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iPriority w:val="99"/>
    <w:rsid w:val="00B05BEF"/>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 Char1,ft"/>
    <w:basedOn w:val="Normal"/>
    <w:link w:val="FootnoteTextChar2"/>
    <w:uiPriority w:val="99"/>
    <w:rsid w:val="00B05BEF"/>
    <w:rPr>
      <w:sz w:val="22"/>
      <w:szCs w:val="20"/>
    </w:rPr>
  </w:style>
  <w:style w:type="character" w:customStyle="1" w:styleId="FootnoteTextChar">
    <w:name w:val="Footnote Text Char"/>
    <w:basedOn w:val="DefaultParagraphFont"/>
    <w:uiPriority w:val="99"/>
    <w:semiHidden/>
    <w:rsid w:val="00B05BEF"/>
    <w:rPr>
      <w:rFonts w:ascii="Times New Roman" w:eastAsia="Times New Roman" w:hAnsi="Times New Roman" w:cs="Times New Roman"/>
      <w:sz w:val="20"/>
      <w:szCs w:val="20"/>
    </w:rPr>
  </w:style>
  <w:style w:type="paragraph" w:styleId="Header">
    <w:name w:val="header"/>
    <w:basedOn w:val="Normal"/>
    <w:link w:val="HeaderChar"/>
    <w:uiPriority w:val="99"/>
    <w:rsid w:val="00B05BEF"/>
    <w:pPr>
      <w:tabs>
        <w:tab w:val="center" w:pos="4320"/>
        <w:tab w:val="right" w:pos="8640"/>
      </w:tabs>
    </w:pPr>
  </w:style>
  <w:style w:type="character" w:customStyle="1" w:styleId="HeaderChar">
    <w:name w:val="Header Char"/>
    <w:basedOn w:val="DefaultParagraphFont"/>
    <w:link w:val="Header"/>
    <w:uiPriority w:val="99"/>
    <w:rsid w:val="00B05BEF"/>
    <w:rPr>
      <w:rFonts w:ascii="Times New Roman" w:eastAsia="Times New Roman" w:hAnsi="Times New Roman" w:cs="Times New Roman"/>
      <w:sz w:val="26"/>
      <w:szCs w:val="24"/>
    </w:rPr>
  </w:style>
  <w:style w:type="character" w:styleId="PageNumber">
    <w:name w:val="page number"/>
    <w:basedOn w:val="DefaultParagraphFont"/>
    <w:rsid w:val="00B05BEF"/>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 Char1 Char"/>
    <w:basedOn w:val="DefaultParagraphFont"/>
    <w:link w:val="FootnoteText"/>
    <w:uiPriority w:val="99"/>
    <w:rsid w:val="00B05BEF"/>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B05BEF"/>
    <w:rPr>
      <w:sz w:val="16"/>
      <w:szCs w:val="16"/>
    </w:rPr>
  </w:style>
  <w:style w:type="paragraph" w:styleId="CommentText">
    <w:name w:val="annotation text"/>
    <w:basedOn w:val="Normal"/>
    <w:link w:val="CommentTextChar"/>
    <w:uiPriority w:val="99"/>
    <w:semiHidden/>
    <w:unhideWhenUsed/>
    <w:rsid w:val="00B05BEF"/>
    <w:rPr>
      <w:sz w:val="20"/>
      <w:szCs w:val="20"/>
    </w:rPr>
  </w:style>
  <w:style w:type="character" w:customStyle="1" w:styleId="CommentTextChar">
    <w:name w:val="Comment Text Char"/>
    <w:basedOn w:val="DefaultParagraphFont"/>
    <w:link w:val="CommentText"/>
    <w:uiPriority w:val="99"/>
    <w:semiHidden/>
    <w:rsid w:val="00B05B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05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BE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C4D80"/>
    <w:rPr>
      <w:b/>
      <w:bCs/>
    </w:rPr>
  </w:style>
  <w:style w:type="character" w:customStyle="1" w:styleId="CommentSubjectChar">
    <w:name w:val="Comment Subject Char"/>
    <w:basedOn w:val="CommentTextChar"/>
    <w:link w:val="CommentSubject"/>
    <w:uiPriority w:val="99"/>
    <w:semiHidden/>
    <w:rsid w:val="009C4D80"/>
    <w:rPr>
      <w:rFonts w:ascii="Times New Roman" w:eastAsia="Times New Roman" w:hAnsi="Times New Roman" w:cs="Times New Roman"/>
      <w:b/>
      <w:bCs/>
      <w:sz w:val="20"/>
      <w:szCs w:val="20"/>
    </w:rPr>
  </w:style>
  <w:style w:type="paragraph" w:styleId="ListParagraph">
    <w:name w:val="List Paragraph"/>
    <w:basedOn w:val="Normal"/>
    <w:uiPriority w:val="34"/>
    <w:qFormat/>
    <w:rsid w:val="003700A2"/>
    <w:pPr>
      <w:ind w:left="720"/>
      <w:contextualSpacing/>
    </w:pPr>
  </w:style>
  <w:style w:type="character" w:styleId="Hyperlink">
    <w:name w:val="Hyperlink"/>
    <w:uiPriority w:val="99"/>
    <w:rsid w:val="00050D34"/>
    <w:rPr>
      <w:color w:val="0000FF"/>
      <w:u w:val="single"/>
    </w:rPr>
  </w:style>
  <w:style w:type="paragraph" w:styleId="Footer">
    <w:name w:val="footer"/>
    <w:basedOn w:val="Normal"/>
    <w:link w:val="FooterChar"/>
    <w:uiPriority w:val="99"/>
    <w:unhideWhenUsed/>
    <w:rsid w:val="0028260E"/>
    <w:pPr>
      <w:tabs>
        <w:tab w:val="center" w:pos="4680"/>
        <w:tab w:val="right" w:pos="9360"/>
      </w:tabs>
    </w:pPr>
  </w:style>
  <w:style w:type="character" w:customStyle="1" w:styleId="FooterChar">
    <w:name w:val="Footer Char"/>
    <w:basedOn w:val="DefaultParagraphFont"/>
    <w:link w:val="Footer"/>
    <w:uiPriority w:val="99"/>
    <w:rsid w:val="0028260E"/>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BEF"/>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iPriority w:val="99"/>
    <w:rsid w:val="00B05BEF"/>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 Char1,ft"/>
    <w:basedOn w:val="Normal"/>
    <w:link w:val="FootnoteTextChar2"/>
    <w:uiPriority w:val="99"/>
    <w:rsid w:val="00B05BEF"/>
    <w:rPr>
      <w:sz w:val="22"/>
      <w:szCs w:val="20"/>
    </w:rPr>
  </w:style>
  <w:style w:type="character" w:customStyle="1" w:styleId="FootnoteTextChar">
    <w:name w:val="Footnote Text Char"/>
    <w:basedOn w:val="DefaultParagraphFont"/>
    <w:uiPriority w:val="99"/>
    <w:semiHidden/>
    <w:rsid w:val="00B05BEF"/>
    <w:rPr>
      <w:rFonts w:ascii="Times New Roman" w:eastAsia="Times New Roman" w:hAnsi="Times New Roman" w:cs="Times New Roman"/>
      <w:sz w:val="20"/>
      <w:szCs w:val="20"/>
    </w:rPr>
  </w:style>
  <w:style w:type="paragraph" w:styleId="Header">
    <w:name w:val="header"/>
    <w:basedOn w:val="Normal"/>
    <w:link w:val="HeaderChar"/>
    <w:uiPriority w:val="99"/>
    <w:rsid w:val="00B05BEF"/>
    <w:pPr>
      <w:tabs>
        <w:tab w:val="center" w:pos="4320"/>
        <w:tab w:val="right" w:pos="8640"/>
      </w:tabs>
    </w:pPr>
  </w:style>
  <w:style w:type="character" w:customStyle="1" w:styleId="HeaderChar">
    <w:name w:val="Header Char"/>
    <w:basedOn w:val="DefaultParagraphFont"/>
    <w:link w:val="Header"/>
    <w:uiPriority w:val="99"/>
    <w:rsid w:val="00B05BEF"/>
    <w:rPr>
      <w:rFonts w:ascii="Times New Roman" w:eastAsia="Times New Roman" w:hAnsi="Times New Roman" w:cs="Times New Roman"/>
      <w:sz w:val="26"/>
      <w:szCs w:val="24"/>
    </w:rPr>
  </w:style>
  <w:style w:type="character" w:styleId="PageNumber">
    <w:name w:val="page number"/>
    <w:basedOn w:val="DefaultParagraphFont"/>
    <w:rsid w:val="00B05BEF"/>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 Char1 Char"/>
    <w:basedOn w:val="DefaultParagraphFont"/>
    <w:link w:val="FootnoteText"/>
    <w:uiPriority w:val="99"/>
    <w:rsid w:val="00B05BEF"/>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B05BEF"/>
    <w:rPr>
      <w:sz w:val="16"/>
      <w:szCs w:val="16"/>
    </w:rPr>
  </w:style>
  <w:style w:type="paragraph" w:styleId="CommentText">
    <w:name w:val="annotation text"/>
    <w:basedOn w:val="Normal"/>
    <w:link w:val="CommentTextChar"/>
    <w:uiPriority w:val="99"/>
    <w:semiHidden/>
    <w:unhideWhenUsed/>
    <w:rsid w:val="00B05BEF"/>
    <w:rPr>
      <w:sz w:val="20"/>
      <w:szCs w:val="20"/>
    </w:rPr>
  </w:style>
  <w:style w:type="character" w:customStyle="1" w:styleId="CommentTextChar">
    <w:name w:val="Comment Text Char"/>
    <w:basedOn w:val="DefaultParagraphFont"/>
    <w:link w:val="CommentText"/>
    <w:uiPriority w:val="99"/>
    <w:semiHidden/>
    <w:rsid w:val="00B05B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05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BE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C4D80"/>
    <w:rPr>
      <w:b/>
      <w:bCs/>
    </w:rPr>
  </w:style>
  <w:style w:type="character" w:customStyle="1" w:styleId="CommentSubjectChar">
    <w:name w:val="Comment Subject Char"/>
    <w:basedOn w:val="CommentTextChar"/>
    <w:link w:val="CommentSubject"/>
    <w:uiPriority w:val="99"/>
    <w:semiHidden/>
    <w:rsid w:val="009C4D80"/>
    <w:rPr>
      <w:rFonts w:ascii="Times New Roman" w:eastAsia="Times New Roman" w:hAnsi="Times New Roman" w:cs="Times New Roman"/>
      <w:b/>
      <w:bCs/>
      <w:sz w:val="20"/>
      <w:szCs w:val="20"/>
    </w:rPr>
  </w:style>
  <w:style w:type="paragraph" w:styleId="ListParagraph">
    <w:name w:val="List Paragraph"/>
    <w:basedOn w:val="Normal"/>
    <w:uiPriority w:val="34"/>
    <w:qFormat/>
    <w:rsid w:val="003700A2"/>
    <w:pPr>
      <w:ind w:left="720"/>
      <w:contextualSpacing/>
    </w:pPr>
  </w:style>
  <w:style w:type="character" w:styleId="Hyperlink">
    <w:name w:val="Hyperlink"/>
    <w:uiPriority w:val="99"/>
    <w:rsid w:val="00050D34"/>
    <w:rPr>
      <w:color w:val="0000FF"/>
      <w:u w:val="single"/>
    </w:rPr>
  </w:style>
  <w:style w:type="paragraph" w:styleId="Footer">
    <w:name w:val="footer"/>
    <w:basedOn w:val="Normal"/>
    <w:link w:val="FooterChar"/>
    <w:uiPriority w:val="99"/>
    <w:unhideWhenUsed/>
    <w:rsid w:val="0028260E"/>
    <w:pPr>
      <w:tabs>
        <w:tab w:val="center" w:pos="4680"/>
        <w:tab w:val="right" w:pos="9360"/>
      </w:tabs>
    </w:pPr>
  </w:style>
  <w:style w:type="character" w:customStyle="1" w:styleId="FooterChar">
    <w:name w:val="Footer Char"/>
    <w:basedOn w:val="DefaultParagraphFont"/>
    <w:link w:val="Footer"/>
    <w:uiPriority w:val="99"/>
    <w:rsid w:val="0028260E"/>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61BEC-0669-4968-827E-68EE65091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59E4B-814F-48CB-8AD7-5DC507CD0B1C}">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8DFC81FC-C425-4147-B058-A45CD13D2D48}">
  <ds:schemaRefs>
    <ds:schemaRef ds:uri="http://schemas.microsoft.com/sharepoint/v3/contenttype/forms"/>
  </ds:schemaRefs>
</ds:datastoreItem>
</file>

<file path=customXml/itemProps4.xml><?xml version="1.0" encoding="utf-8"?>
<ds:datastoreItem xmlns:ds="http://schemas.openxmlformats.org/officeDocument/2006/customXml" ds:itemID="{C42692E9-E1E7-4678-8D19-0EE9341CE6A9}">
  <ds:schemaRefs>
    <ds:schemaRef ds:uri="Microsoft.SharePoint.Taxonomy.ContentTypeSync"/>
  </ds:schemaRefs>
</ds:datastoreItem>
</file>

<file path=customXml/itemProps5.xml><?xml version="1.0" encoding="utf-8"?>
<ds:datastoreItem xmlns:ds="http://schemas.openxmlformats.org/officeDocument/2006/customXml" ds:itemID="{DFAA21D4-5997-4BF0-B2A3-C1AC130E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2017-09-29T18:12:00Z</dcterms:created>
  <dcterms:modified xsi:type="dcterms:W3CDTF">2017-09-29T18:12:00Z</dcterms:modified>
  <cp:category/>
  <dc:identifier/>
  <cp:contentStatus/>
  <cp:version/>
</cp:coreProperties>
</file>