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D321F9" w:rsidRPr="00D321F9" w:rsidTr="00807A9E">
        <w:trPr>
          <w:cantSplit/>
          <w:trHeight w:val="12116"/>
        </w:trPr>
        <w:tc>
          <w:tcPr>
            <w:tcW w:w="2500" w:type="pct"/>
          </w:tcPr>
          <w:p w:rsidR="00807A9E" w:rsidRPr="00D321F9" w:rsidRDefault="001D2832" w:rsidP="00BF09B6">
            <w:pPr>
              <w:spacing w:line="240" w:lineRule="auto"/>
              <w:jc w:val="center"/>
              <w:rPr>
                <w:rFonts w:ascii="Times New Roman" w:eastAsia="Arial Unicode MS" w:hAnsi="Times New Roman"/>
                <w:b/>
                <w:noProof/>
                <w:sz w:val="48"/>
                <w:szCs w:val="48"/>
              </w:rPr>
            </w:pPr>
            <w:bookmarkStart w:id="0" w:name="_GoBack"/>
            <w:bookmarkEnd w:id="0"/>
            <w:r>
              <w:rPr>
                <w:rFonts w:ascii="Times New Roman" w:eastAsia="Arial Unicode MS" w:hAnsi="Times New Roman"/>
                <w:b/>
                <w:noProof/>
                <w:color w:val="000000" w:themeColor="text1"/>
                <w:sz w:val="48"/>
                <w:szCs w:val="48"/>
              </w:rPr>
              <w:t xml:space="preserve">2017-18 </w:t>
            </w: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 xml:space="preserve">al Teacher and Principal Survey </w:t>
            </w:r>
            <w:r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rsidR="00807A9E" w:rsidRPr="00D321F9" w:rsidRDefault="00807A9E" w:rsidP="007F1D78">
            <w:pPr>
              <w:spacing w:line="240" w:lineRule="auto"/>
              <w:jc w:val="center"/>
              <w:rPr>
                <w:rFonts w:ascii="Times New Roman" w:hAnsi="Times New Roman"/>
                <w:b/>
                <w:sz w:val="40"/>
                <w:szCs w:val="40"/>
              </w:rPr>
            </w:pPr>
          </w:p>
          <w:p w:rsidR="00807A9E" w:rsidRPr="00D321F9" w:rsidRDefault="00807A9E" w:rsidP="007F1D78">
            <w:pPr>
              <w:spacing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hAnsi="Times New Roman"/>
                <w:szCs w:val="22"/>
              </w:rPr>
            </w:pPr>
            <w:r w:rsidRPr="00D321F9">
              <w:rPr>
                <w:rFonts w:ascii="Times New Roman" w:hAnsi="Times New Roman"/>
                <w:b/>
                <w:sz w:val="32"/>
                <w:szCs w:val="32"/>
              </w:rPr>
              <w:t>OMB# 1850-0598 v.</w:t>
            </w:r>
            <w:r w:rsidR="0048425F">
              <w:rPr>
                <w:rFonts w:ascii="Times New Roman" w:hAnsi="Times New Roman"/>
                <w:b/>
                <w:sz w:val="32"/>
                <w:szCs w:val="32"/>
              </w:rPr>
              <w:t>20</w:t>
            </w:r>
          </w:p>
          <w:p w:rsidR="00807A9E" w:rsidRPr="00D321F9" w:rsidRDefault="00807A9E" w:rsidP="007F1D78">
            <w:pPr>
              <w:spacing w:after="840" w:line="240" w:lineRule="auto"/>
              <w:jc w:val="center"/>
              <w:rPr>
                <w:rFonts w:ascii="Times New Roman" w:hAnsi="Times New Roman"/>
                <w:b/>
              </w:rPr>
            </w:pPr>
          </w:p>
          <w:p w:rsidR="00807A9E" w:rsidRPr="00D321F9" w:rsidRDefault="00807A9E" w:rsidP="007F1D7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807A9E" w:rsidRPr="00D321F9" w:rsidRDefault="00807A9E" w:rsidP="007F1D7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rsidR="00807A9E" w:rsidRPr="00D321F9" w:rsidRDefault="00807A9E" w:rsidP="007F1D78">
            <w:pPr>
              <w:spacing w:after="480" w:line="240" w:lineRule="auto"/>
              <w:jc w:val="center"/>
              <w:rPr>
                <w:rFonts w:ascii="Times New Roman" w:hAnsi="Times New Roman"/>
                <w:b/>
              </w:rPr>
            </w:pPr>
          </w:p>
          <w:p w:rsidR="00807A9E" w:rsidRPr="00D321F9" w:rsidRDefault="00807A9E" w:rsidP="007F1D78">
            <w:pPr>
              <w:spacing w:after="480" w:line="240" w:lineRule="auto"/>
              <w:jc w:val="center"/>
              <w:rPr>
                <w:rFonts w:ascii="Times New Roman" w:hAnsi="Times New Roman"/>
                <w:b/>
              </w:rPr>
            </w:pP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B57EC9">
              <w:rPr>
                <w:rFonts w:ascii="Times New Roman" w:hAnsi="Times New Roman"/>
                <w:b/>
                <w:sz w:val="32"/>
                <w:szCs w:val="32"/>
              </w:rPr>
              <w:t xml:space="preserve"> (NCES)</w:t>
            </w: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807A9E" w:rsidRDefault="00807A9E" w:rsidP="007F1D78">
            <w:pPr>
              <w:spacing w:before="80" w:after="840" w:line="240" w:lineRule="auto"/>
              <w:jc w:val="center"/>
              <w:rPr>
                <w:rFonts w:ascii="Times New Roman" w:hAnsi="Times New Roman"/>
                <w:b/>
                <w:sz w:val="32"/>
                <w:szCs w:val="32"/>
              </w:rPr>
            </w:pPr>
          </w:p>
          <w:p w:rsidR="00B57EC9" w:rsidRPr="00D321F9" w:rsidRDefault="00B57EC9" w:rsidP="007F1D78">
            <w:pPr>
              <w:spacing w:before="80" w:after="840" w:line="240" w:lineRule="auto"/>
              <w:jc w:val="center"/>
              <w:rPr>
                <w:rFonts w:ascii="Times New Roman" w:hAnsi="Times New Roman"/>
                <w:b/>
                <w:sz w:val="32"/>
                <w:szCs w:val="32"/>
              </w:rPr>
            </w:pPr>
          </w:p>
          <w:p w:rsidR="00AF48AA" w:rsidRDefault="00841D6D" w:rsidP="00B57EC9">
            <w:pPr>
              <w:spacing w:after="120" w:line="240" w:lineRule="auto"/>
              <w:jc w:val="center"/>
              <w:rPr>
                <w:rFonts w:ascii="Times New Roman" w:hAnsi="Times New Roman"/>
                <w:b/>
                <w:sz w:val="32"/>
                <w:szCs w:val="32"/>
              </w:rPr>
            </w:pPr>
            <w:r w:rsidRPr="00D321F9">
              <w:rPr>
                <w:rFonts w:ascii="Times New Roman" w:hAnsi="Times New Roman"/>
                <w:b/>
                <w:sz w:val="32"/>
                <w:szCs w:val="32"/>
              </w:rPr>
              <w:t>January 2017</w:t>
            </w:r>
          </w:p>
          <w:p w:rsidR="00F44181" w:rsidRPr="00546B50" w:rsidRDefault="00367A86" w:rsidP="00546B50">
            <w:pPr>
              <w:spacing w:after="12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902D78">
              <w:rPr>
                <w:rFonts w:ascii="Times New Roman" w:hAnsi="Times New Roman"/>
                <w:b/>
                <w:color w:val="000000" w:themeColor="text1"/>
                <w:sz w:val="32"/>
                <w:szCs w:val="32"/>
              </w:rPr>
              <w:t>August</w:t>
            </w:r>
            <w:r w:rsidR="0051703E">
              <w:rPr>
                <w:rFonts w:ascii="Times New Roman" w:hAnsi="Times New Roman"/>
                <w:b/>
                <w:color w:val="000000" w:themeColor="text1"/>
                <w:sz w:val="32"/>
                <w:szCs w:val="32"/>
              </w:rPr>
              <w:t xml:space="preserve"> </w:t>
            </w:r>
            <w:r w:rsidR="00F44181">
              <w:rPr>
                <w:rFonts w:ascii="Times New Roman" w:hAnsi="Times New Roman"/>
                <w:b/>
                <w:sz w:val="32"/>
                <w:szCs w:val="32"/>
              </w:rPr>
              <w:t>2017</w:t>
            </w:r>
          </w:p>
          <w:p w:rsidR="00902D78" w:rsidRPr="00D321F9" w:rsidRDefault="00902D78" w:rsidP="00B57EC9">
            <w:pPr>
              <w:spacing w:after="120"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eastAsia="Arial Unicode MS" w:hAnsi="Times New Roman"/>
                <w:b/>
                <w:noProof/>
                <w:sz w:val="36"/>
                <w:szCs w:val="36"/>
              </w:rPr>
            </w:pPr>
          </w:p>
        </w:tc>
        <w:tc>
          <w:tcPr>
            <w:tcW w:w="2500" w:type="pct"/>
          </w:tcPr>
          <w:p w:rsidR="00807A9E" w:rsidRPr="00D321F9" w:rsidRDefault="00807A9E" w:rsidP="007F1D78">
            <w:pPr>
              <w:spacing w:before="80" w:after="840" w:line="240" w:lineRule="auto"/>
              <w:jc w:val="center"/>
              <w:rPr>
                <w:rFonts w:ascii="Times New Roman" w:hAnsi="Times New Roman"/>
                <w:b/>
                <w:sz w:val="36"/>
                <w:szCs w:val="36"/>
              </w:rPr>
            </w:pPr>
          </w:p>
          <w:p w:rsidR="00807A9E" w:rsidRPr="00D321F9" w:rsidRDefault="00807A9E" w:rsidP="007F1D78">
            <w:pPr>
              <w:spacing w:line="240" w:lineRule="auto"/>
              <w:jc w:val="center"/>
              <w:rPr>
                <w:rFonts w:ascii="Times New Roman" w:eastAsia="Arial Unicode MS" w:hAnsi="Times New Roman"/>
                <w:b/>
                <w:noProof/>
                <w:szCs w:val="24"/>
              </w:rPr>
            </w:pPr>
            <w:r w:rsidRPr="00D321F9">
              <w:rPr>
                <w:rFonts w:ascii="Times New Roman" w:hAnsi="Times New Roman"/>
                <w:b/>
                <w:sz w:val="36"/>
                <w:szCs w:val="36"/>
              </w:rPr>
              <w:t>July 2016</w:t>
            </w:r>
          </w:p>
        </w:tc>
      </w:tr>
    </w:tbl>
    <w:p w:rsidR="00696D05" w:rsidRPr="00D321F9" w:rsidRDefault="00696D05" w:rsidP="007F1D78">
      <w:pPr>
        <w:pStyle w:val="TC-TableofContentsHeading"/>
        <w:spacing w:line="240" w:lineRule="auto"/>
        <w:rPr>
          <w:rFonts w:ascii="Times New Roman" w:hAnsi="Times New Roman"/>
          <w:color w:val="auto"/>
          <w:sz w:val="24"/>
          <w:szCs w:val="24"/>
        </w:rPr>
        <w:sectPr w:rsidR="00696D05" w:rsidRPr="00D321F9" w:rsidSect="002B42F2">
          <w:footerReference w:type="default" r:id="rId12"/>
          <w:pgSz w:w="12240" w:h="15840" w:code="1"/>
          <w:pgMar w:top="2592" w:right="576" w:bottom="432" w:left="662" w:header="720" w:footer="288" w:gutter="0"/>
          <w:cols w:space="720"/>
          <w:titlePg/>
          <w:docGrid w:linePitch="326"/>
        </w:sectPr>
      </w:pPr>
    </w:p>
    <w:p w:rsidR="007215B4"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rsidR="007215B4" w:rsidRDefault="007215B4" w:rsidP="007F1D78">
      <w:pPr>
        <w:pStyle w:val="TC-TableofContentsHeading"/>
        <w:spacing w:after="360" w:line="240" w:lineRule="auto"/>
        <w:ind w:left="0"/>
        <w:rPr>
          <w:rFonts w:ascii="Times New Roman" w:hAnsi="Times New Roman"/>
          <w:color w:val="auto"/>
          <w:sz w:val="24"/>
          <w:szCs w:val="24"/>
        </w:rPr>
      </w:pPr>
    </w:p>
    <w:p w:rsidR="00972145" w:rsidRPr="00D321F9"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r w:rsidRPr="00D321F9">
        <w:rPr>
          <w:rFonts w:ascii="Times New Roman" w:hAnsi="Times New Roman"/>
          <w:color w:val="auto"/>
          <w:sz w:val="24"/>
          <w:szCs w:val="24"/>
        </w:rPr>
        <w:t>Table of Contents</w:t>
      </w:r>
      <w:bookmarkEnd w:id="1"/>
      <w:bookmarkEnd w:id="2"/>
      <w:bookmarkEnd w:id="3"/>
      <w:bookmarkEnd w:id="4"/>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rsidR="00097EB2" w:rsidRDefault="00097EB2">
          <w:pPr>
            <w:pStyle w:val="TOCHeading"/>
          </w:pPr>
          <w:r>
            <w:t>Contents</w:t>
          </w:r>
        </w:p>
        <w:p w:rsidR="00097EB2" w:rsidRDefault="00097EB2" w:rsidP="00097EB2">
          <w:pPr>
            <w:pStyle w:val="TOC1"/>
            <w:rPr>
              <w:rFonts w:asciiTheme="minorHAnsi" w:hAnsiTheme="minorHAnsi" w:cstheme="minorBidi"/>
              <w:noProof/>
              <w:sz w:val="22"/>
              <w:szCs w:val="22"/>
            </w:rPr>
          </w:pPr>
          <w:r>
            <w:fldChar w:fldCharType="begin"/>
          </w:r>
          <w:r>
            <w:instrText xml:space="preserve"> TOC \o "1-3" \h \z \u </w:instrText>
          </w:r>
          <w:r>
            <w:fldChar w:fldCharType="separate"/>
          </w:r>
        </w:p>
        <w:p w:rsidR="00097EB2" w:rsidRDefault="00116EE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2" w:history="1">
            <w:r w:rsidR="00097EB2" w:rsidRPr="001E150D">
              <w:rPr>
                <w:rStyle w:val="Hyperlink"/>
                <w:rFonts w:ascii="Times New Roman" w:hAnsi="Times New Roman"/>
                <w:noProof/>
              </w:rPr>
              <w:t>B.1</w:t>
            </w:r>
            <w:r w:rsidR="00097EB2">
              <w:rPr>
                <w:rFonts w:asciiTheme="minorHAnsi" w:hAnsiTheme="minorHAnsi" w:cstheme="minorBidi"/>
                <w:noProof/>
                <w:sz w:val="22"/>
                <w:szCs w:val="22"/>
              </w:rPr>
              <w:tab/>
            </w:r>
            <w:r w:rsidR="00097EB2" w:rsidRPr="001E150D">
              <w:rPr>
                <w:rStyle w:val="Hyperlink"/>
                <w:rFonts w:ascii="Times New Roman" w:hAnsi="Times New Roman"/>
                <w:noProof/>
              </w:rPr>
              <w:t>Universe, Sample Design, and Estimation</w:t>
            </w:r>
            <w:r w:rsidR="00097EB2">
              <w:rPr>
                <w:noProof/>
                <w:webHidden/>
              </w:rPr>
              <w:tab/>
            </w:r>
            <w:r w:rsidR="00097EB2">
              <w:rPr>
                <w:noProof/>
                <w:webHidden/>
              </w:rPr>
              <w:fldChar w:fldCharType="begin"/>
            </w:r>
            <w:r w:rsidR="00097EB2">
              <w:rPr>
                <w:noProof/>
                <w:webHidden/>
              </w:rPr>
              <w:instrText xml:space="preserve"> PAGEREF _Toc481483732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3" w:history="1">
            <w:r w:rsidR="00097EB2" w:rsidRPr="001E150D">
              <w:rPr>
                <w:rStyle w:val="Hyperlink"/>
                <w:rFonts w:ascii="Times New Roman" w:hAnsi="Times New Roman"/>
                <w:noProof/>
              </w:rPr>
              <w:t>B.1.1</w:t>
            </w:r>
            <w:r w:rsidR="00097EB2">
              <w:rPr>
                <w:rFonts w:asciiTheme="minorHAnsi" w:hAnsiTheme="minorHAnsi" w:cstheme="minorBidi"/>
                <w:noProof/>
                <w:sz w:val="22"/>
              </w:rPr>
              <w:tab/>
            </w:r>
            <w:r w:rsidR="00097EB2" w:rsidRPr="001E150D">
              <w:rPr>
                <w:rStyle w:val="Hyperlink"/>
                <w:rFonts w:ascii="Times New Roman" w:hAnsi="Times New Roman"/>
                <w:noProof/>
              </w:rPr>
              <w:t>Universe and Sample Design: Respondent Universe</w:t>
            </w:r>
            <w:r w:rsidR="00097EB2">
              <w:rPr>
                <w:noProof/>
                <w:webHidden/>
              </w:rPr>
              <w:tab/>
            </w:r>
            <w:r w:rsidR="00097EB2">
              <w:rPr>
                <w:noProof/>
                <w:webHidden/>
              </w:rPr>
              <w:fldChar w:fldCharType="begin"/>
            </w:r>
            <w:r w:rsidR="00097EB2">
              <w:rPr>
                <w:noProof/>
                <w:webHidden/>
              </w:rPr>
              <w:instrText xml:space="preserve"> PAGEREF _Toc481483733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4" w:history="1">
            <w:r w:rsidR="00097EB2" w:rsidRPr="001E150D">
              <w:rPr>
                <w:rStyle w:val="Hyperlink"/>
                <w:rFonts w:ascii="Times New Roman" w:hAnsi="Times New Roman"/>
                <w:noProof/>
              </w:rPr>
              <w:t>B.1.1.1</w:t>
            </w:r>
            <w:r w:rsidR="00097EB2">
              <w:rPr>
                <w:rFonts w:asciiTheme="minorHAnsi" w:hAnsiTheme="minorHAnsi" w:cstheme="minorBidi"/>
                <w:noProof/>
                <w:sz w:val="22"/>
                <w:szCs w:val="22"/>
              </w:rPr>
              <w:tab/>
            </w:r>
            <w:r w:rsidR="00097EB2" w:rsidRPr="001E150D">
              <w:rPr>
                <w:rStyle w:val="Hyperlink"/>
                <w:rFonts w:ascii="Times New Roman" w:hAnsi="Times New Roman"/>
                <w:noProof/>
              </w:rPr>
              <w:t>Schools</w:t>
            </w:r>
            <w:r w:rsidR="00097EB2">
              <w:rPr>
                <w:noProof/>
                <w:webHidden/>
              </w:rPr>
              <w:tab/>
            </w:r>
            <w:r w:rsidR="00097EB2">
              <w:rPr>
                <w:noProof/>
                <w:webHidden/>
              </w:rPr>
              <w:fldChar w:fldCharType="begin"/>
            </w:r>
            <w:r w:rsidR="00097EB2">
              <w:rPr>
                <w:noProof/>
                <w:webHidden/>
              </w:rPr>
              <w:instrText xml:space="preserve"> PAGEREF _Toc481483734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5" w:history="1">
            <w:r w:rsidR="00097EB2" w:rsidRPr="001E150D">
              <w:rPr>
                <w:rStyle w:val="Hyperlink"/>
                <w:rFonts w:ascii="Times New Roman" w:hAnsi="Times New Roman"/>
                <w:noProof/>
              </w:rPr>
              <w:t>B.1.1.2</w:t>
            </w:r>
            <w:r w:rsidR="00097EB2">
              <w:rPr>
                <w:rFonts w:asciiTheme="minorHAnsi" w:hAnsiTheme="minorHAnsi" w:cstheme="minorBidi"/>
                <w:noProof/>
                <w:sz w:val="22"/>
                <w:szCs w:val="22"/>
              </w:rPr>
              <w:tab/>
            </w:r>
            <w:r w:rsidR="00097EB2" w:rsidRPr="001E150D">
              <w:rPr>
                <w:rStyle w:val="Hyperlink"/>
                <w:rFonts w:ascii="Times New Roman" w:hAnsi="Times New Roman"/>
                <w:noProof/>
              </w:rPr>
              <w:t>Teachers</w:t>
            </w:r>
            <w:r w:rsidR="00097EB2">
              <w:rPr>
                <w:noProof/>
                <w:webHidden/>
              </w:rPr>
              <w:tab/>
            </w:r>
            <w:r w:rsidR="00097EB2">
              <w:rPr>
                <w:noProof/>
                <w:webHidden/>
              </w:rPr>
              <w:fldChar w:fldCharType="begin"/>
            </w:r>
            <w:r w:rsidR="00097EB2">
              <w:rPr>
                <w:noProof/>
                <w:webHidden/>
              </w:rPr>
              <w:instrText xml:space="preserve"> PAGEREF _Toc481483735 \h </w:instrText>
            </w:r>
            <w:r w:rsidR="00097EB2">
              <w:rPr>
                <w:noProof/>
                <w:webHidden/>
              </w:rPr>
            </w:r>
            <w:r w:rsidR="00097EB2">
              <w:rPr>
                <w:noProof/>
                <w:webHidden/>
              </w:rPr>
              <w:fldChar w:fldCharType="separate"/>
            </w:r>
            <w:r w:rsidR="00E85585">
              <w:rPr>
                <w:noProof/>
                <w:webHidden/>
              </w:rPr>
              <w:t>2</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6" w:history="1">
            <w:r w:rsidR="00097EB2" w:rsidRPr="001E150D">
              <w:rPr>
                <w:rStyle w:val="Hyperlink"/>
                <w:rFonts w:ascii="Times New Roman" w:hAnsi="Times New Roman"/>
                <w:noProof/>
              </w:rPr>
              <w:t>B.1.2</w:t>
            </w:r>
            <w:r w:rsidR="00097EB2">
              <w:rPr>
                <w:rFonts w:asciiTheme="minorHAnsi" w:hAnsiTheme="minorHAnsi" w:cstheme="minorBidi"/>
                <w:noProof/>
                <w:sz w:val="22"/>
              </w:rPr>
              <w:tab/>
            </w:r>
            <w:r w:rsidR="00097EB2" w:rsidRPr="001E150D">
              <w:rPr>
                <w:rStyle w:val="Hyperlink"/>
                <w:rFonts w:ascii="Times New Roman" w:hAnsi="Times New Roman"/>
                <w:noProof/>
              </w:rPr>
              <w:t>Precision Requirements and Sample Sizes</w:t>
            </w:r>
            <w:r w:rsidR="00097EB2">
              <w:rPr>
                <w:noProof/>
                <w:webHidden/>
              </w:rPr>
              <w:tab/>
            </w:r>
            <w:r w:rsidR="00097EB2">
              <w:rPr>
                <w:noProof/>
                <w:webHidden/>
              </w:rPr>
              <w:fldChar w:fldCharType="begin"/>
            </w:r>
            <w:r w:rsidR="00097EB2">
              <w:rPr>
                <w:noProof/>
                <w:webHidden/>
              </w:rPr>
              <w:instrText xml:space="preserve"> PAGEREF _Toc481483736 \h </w:instrText>
            </w:r>
            <w:r w:rsidR="00097EB2">
              <w:rPr>
                <w:noProof/>
                <w:webHidden/>
              </w:rPr>
            </w:r>
            <w:r w:rsidR="00097EB2">
              <w:rPr>
                <w:noProof/>
                <w:webHidden/>
              </w:rPr>
              <w:fldChar w:fldCharType="separate"/>
            </w:r>
            <w:r w:rsidR="00E85585">
              <w:rPr>
                <w:noProof/>
                <w:webHidden/>
              </w:rPr>
              <w:t>2</w:t>
            </w:r>
            <w:r w:rsidR="00097EB2">
              <w:rPr>
                <w:noProof/>
                <w:webHidden/>
              </w:rPr>
              <w:fldChar w:fldCharType="end"/>
            </w:r>
          </w:hyperlink>
        </w:p>
        <w:p w:rsidR="00097EB2" w:rsidRDefault="00116EE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7" w:history="1">
            <w:r w:rsidR="00097EB2" w:rsidRPr="001E150D">
              <w:rPr>
                <w:rStyle w:val="Hyperlink"/>
                <w:rFonts w:ascii="Times New Roman" w:hAnsi="Times New Roman"/>
                <w:noProof/>
              </w:rPr>
              <w:t>B.2</w:t>
            </w:r>
            <w:r w:rsidR="00097EB2">
              <w:rPr>
                <w:rFonts w:asciiTheme="minorHAnsi" w:hAnsiTheme="minorHAnsi" w:cstheme="minorBidi"/>
                <w:noProof/>
                <w:sz w:val="22"/>
                <w:szCs w:val="22"/>
              </w:rPr>
              <w:tab/>
            </w:r>
            <w:r w:rsidR="00097EB2" w:rsidRPr="001E150D">
              <w:rPr>
                <w:rStyle w:val="Hyperlink"/>
                <w:rFonts w:ascii="Times New Roman" w:hAnsi="Times New Roman"/>
                <w:noProof/>
              </w:rPr>
              <w:t>Procedures for the Collection of Information</w:t>
            </w:r>
            <w:r w:rsidR="00097EB2">
              <w:rPr>
                <w:noProof/>
                <w:webHidden/>
              </w:rPr>
              <w:tab/>
            </w:r>
            <w:r w:rsidR="00097EB2">
              <w:rPr>
                <w:noProof/>
                <w:webHidden/>
              </w:rPr>
              <w:fldChar w:fldCharType="begin"/>
            </w:r>
            <w:r w:rsidR="00097EB2">
              <w:rPr>
                <w:noProof/>
                <w:webHidden/>
              </w:rPr>
              <w:instrText xml:space="preserve"> PAGEREF _Toc481483737 \h </w:instrText>
            </w:r>
            <w:r w:rsidR="00097EB2">
              <w:rPr>
                <w:noProof/>
                <w:webHidden/>
              </w:rPr>
            </w:r>
            <w:r w:rsidR="00097EB2">
              <w:rPr>
                <w:noProof/>
                <w:webHidden/>
              </w:rPr>
              <w:fldChar w:fldCharType="separate"/>
            </w:r>
            <w:r w:rsidR="00E85585">
              <w:rPr>
                <w:noProof/>
                <w:webHidden/>
              </w:rPr>
              <w:t>6</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8" w:history="1">
            <w:r w:rsidR="00097EB2" w:rsidRPr="001E150D">
              <w:rPr>
                <w:rStyle w:val="Hyperlink"/>
                <w:rFonts w:ascii="Times New Roman" w:hAnsi="Times New Roman"/>
                <w:noProof/>
              </w:rPr>
              <w:t>B.2.2</w:t>
            </w:r>
            <w:r w:rsidR="00097EB2">
              <w:rPr>
                <w:rFonts w:asciiTheme="minorHAnsi" w:hAnsiTheme="minorHAnsi" w:cstheme="minorBidi"/>
                <w:noProof/>
                <w:sz w:val="22"/>
              </w:rPr>
              <w:tab/>
            </w:r>
            <w:r w:rsidR="00097EB2" w:rsidRPr="001E150D">
              <w:rPr>
                <w:rStyle w:val="Hyperlink"/>
                <w:rFonts w:ascii="Times New Roman" w:hAnsi="Times New Roman"/>
                <w:noProof/>
              </w:rPr>
              <w:t>School-level Data Collection Procedures</w:t>
            </w:r>
            <w:r w:rsidR="00097EB2">
              <w:rPr>
                <w:noProof/>
                <w:webHidden/>
              </w:rPr>
              <w:tab/>
            </w:r>
            <w:r w:rsidR="00097EB2">
              <w:rPr>
                <w:noProof/>
                <w:webHidden/>
              </w:rPr>
              <w:fldChar w:fldCharType="begin"/>
            </w:r>
            <w:r w:rsidR="00097EB2">
              <w:rPr>
                <w:noProof/>
                <w:webHidden/>
              </w:rPr>
              <w:instrText xml:space="preserve"> PAGEREF _Toc481483738 \h </w:instrText>
            </w:r>
            <w:r w:rsidR="00097EB2">
              <w:rPr>
                <w:noProof/>
                <w:webHidden/>
              </w:rPr>
            </w:r>
            <w:r w:rsidR="00097EB2">
              <w:rPr>
                <w:noProof/>
                <w:webHidden/>
              </w:rPr>
              <w:fldChar w:fldCharType="separate"/>
            </w:r>
            <w:r w:rsidR="00E85585">
              <w:rPr>
                <w:noProof/>
                <w:webHidden/>
              </w:rPr>
              <w:t>8</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9" w:history="1">
            <w:r w:rsidR="00097EB2" w:rsidRPr="001E150D">
              <w:rPr>
                <w:rStyle w:val="Hyperlink"/>
                <w:rFonts w:ascii="Times New Roman" w:hAnsi="Times New Roman"/>
                <w:noProof/>
              </w:rPr>
              <w:t>B.2.2.1</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Priority Schools</w:t>
            </w:r>
            <w:r w:rsidR="00097EB2">
              <w:rPr>
                <w:noProof/>
                <w:webHidden/>
              </w:rPr>
              <w:tab/>
            </w:r>
            <w:r w:rsidR="00097EB2">
              <w:rPr>
                <w:noProof/>
                <w:webHidden/>
              </w:rPr>
              <w:fldChar w:fldCharType="begin"/>
            </w:r>
            <w:r w:rsidR="00097EB2">
              <w:rPr>
                <w:noProof/>
                <w:webHidden/>
              </w:rPr>
              <w:instrText xml:space="preserve"> PAGEREF _Toc481483739 \h </w:instrText>
            </w:r>
            <w:r w:rsidR="00097EB2">
              <w:rPr>
                <w:noProof/>
                <w:webHidden/>
              </w:rPr>
            </w:r>
            <w:r w:rsidR="00097EB2">
              <w:rPr>
                <w:noProof/>
                <w:webHidden/>
              </w:rPr>
              <w:fldChar w:fldCharType="separate"/>
            </w:r>
            <w:r w:rsidR="00E85585">
              <w:rPr>
                <w:noProof/>
                <w:webHidden/>
              </w:rPr>
              <w:t>10</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0" w:history="1">
            <w:r w:rsidR="00097EB2" w:rsidRPr="001E150D">
              <w:rPr>
                <w:rStyle w:val="Hyperlink"/>
                <w:rFonts w:ascii="Times New Roman" w:hAnsi="Times New Roman"/>
                <w:noProof/>
              </w:rPr>
              <w:t>B.2.2.2</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Non-priority Schools</w:t>
            </w:r>
            <w:r w:rsidR="00097EB2">
              <w:rPr>
                <w:noProof/>
                <w:webHidden/>
              </w:rPr>
              <w:tab/>
            </w:r>
            <w:r w:rsidR="00097EB2">
              <w:rPr>
                <w:noProof/>
                <w:webHidden/>
              </w:rPr>
              <w:fldChar w:fldCharType="begin"/>
            </w:r>
            <w:r w:rsidR="00097EB2">
              <w:rPr>
                <w:noProof/>
                <w:webHidden/>
              </w:rPr>
              <w:instrText xml:space="preserve"> PAGEREF _Toc481483740 \h </w:instrText>
            </w:r>
            <w:r w:rsidR="00097EB2">
              <w:rPr>
                <w:noProof/>
                <w:webHidden/>
              </w:rPr>
            </w:r>
            <w:r w:rsidR="00097EB2">
              <w:rPr>
                <w:noProof/>
                <w:webHidden/>
              </w:rPr>
              <w:fldChar w:fldCharType="separate"/>
            </w:r>
            <w:r w:rsidR="00E85585">
              <w:rPr>
                <w:noProof/>
                <w:webHidden/>
              </w:rPr>
              <w:t>10</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1" w:history="1">
            <w:r w:rsidR="00097EB2" w:rsidRPr="001E150D">
              <w:rPr>
                <w:rStyle w:val="Hyperlink"/>
                <w:rFonts w:ascii="Times New Roman" w:hAnsi="Times New Roman"/>
                <w:noProof/>
              </w:rPr>
              <w:t>B.2.3</w:t>
            </w:r>
            <w:r w:rsidR="00097EB2">
              <w:rPr>
                <w:rFonts w:asciiTheme="minorHAnsi" w:hAnsiTheme="minorHAnsi" w:cstheme="minorBidi"/>
                <w:noProof/>
                <w:sz w:val="22"/>
              </w:rPr>
              <w:tab/>
            </w:r>
            <w:r w:rsidR="00097EB2" w:rsidRPr="001E150D">
              <w:rPr>
                <w:rStyle w:val="Hyperlink"/>
                <w:rFonts w:ascii="Times New Roman" w:hAnsi="Times New Roman"/>
                <w:noProof/>
              </w:rPr>
              <w:t xml:space="preserve"> Teacher Data Collection</w:t>
            </w:r>
            <w:r w:rsidR="00097EB2">
              <w:rPr>
                <w:noProof/>
                <w:webHidden/>
              </w:rPr>
              <w:tab/>
            </w:r>
            <w:r w:rsidR="00097EB2">
              <w:rPr>
                <w:noProof/>
                <w:webHidden/>
              </w:rPr>
              <w:fldChar w:fldCharType="begin"/>
            </w:r>
            <w:r w:rsidR="00097EB2">
              <w:rPr>
                <w:noProof/>
                <w:webHidden/>
              </w:rPr>
              <w:instrText xml:space="preserve"> PAGEREF _Toc481483741 \h </w:instrText>
            </w:r>
            <w:r w:rsidR="00097EB2">
              <w:rPr>
                <w:noProof/>
                <w:webHidden/>
              </w:rPr>
            </w:r>
            <w:r w:rsidR="00097EB2">
              <w:rPr>
                <w:noProof/>
                <w:webHidden/>
              </w:rPr>
              <w:fldChar w:fldCharType="separate"/>
            </w:r>
            <w:r w:rsidR="00E85585">
              <w:rPr>
                <w:noProof/>
                <w:webHidden/>
              </w:rPr>
              <w:t>11</w:t>
            </w:r>
            <w:r w:rsidR="00097EB2">
              <w:rPr>
                <w:noProof/>
                <w:webHidden/>
              </w:rPr>
              <w:fldChar w:fldCharType="end"/>
            </w:r>
          </w:hyperlink>
        </w:p>
        <w:p w:rsidR="00097EB2" w:rsidRDefault="00116EE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2" w:history="1">
            <w:r w:rsidR="00097EB2" w:rsidRPr="001E150D">
              <w:rPr>
                <w:rStyle w:val="Hyperlink"/>
                <w:rFonts w:ascii="Times New Roman" w:hAnsi="Times New Roman"/>
                <w:noProof/>
              </w:rPr>
              <w:t>B.3</w:t>
            </w:r>
            <w:r w:rsidR="00097EB2">
              <w:rPr>
                <w:rFonts w:asciiTheme="minorHAnsi" w:hAnsiTheme="minorHAnsi" w:cstheme="minorBidi"/>
                <w:noProof/>
                <w:sz w:val="22"/>
                <w:szCs w:val="22"/>
              </w:rPr>
              <w:tab/>
            </w:r>
            <w:r w:rsidR="00097EB2" w:rsidRPr="001E150D">
              <w:rPr>
                <w:rStyle w:val="Hyperlink"/>
                <w:rFonts w:ascii="Times New Roman" w:hAnsi="Times New Roman"/>
                <w:noProof/>
              </w:rPr>
              <w:t>Methods to Secure Cooperation, Maximize Response Rates, and Deal with Nonresponse</w:t>
            </w:r>
            <w:r w:rsidR="00097EB2">
              <w:rPr>
                <w:noProof/>
                <w:webHidden/>
              </w:rPr>
              <w:tab/>
            </w:r>
            <w:r w:rsidR="00097EB2">
              <w:rPr>
                <w:noProof/>
                <w:webHidden/>
              </w:rPr>
              <w:fldChar w:fldCharType="begin"/>
            </w:r>
            <w:r w:rsidR="00097EB2">
              <w:rPr>
                <w:noProof/>
                <w:webHidden/>
              </w:rPr>
              <w:instrText xml:space="preserve"> PAGEREF _Toc481483742 \h </w:instrText>
            </w:r>
            <w:r w:rsidR="00097EB2">
              <w:rPr>
                <w:noProof/>
                <w:webHidden/>
              </w:rPr>
            </w:r>
            <w:r w:rsidR="00097EB2">
              <w:rPr>
                <w:noProof/>
                <w:webHidden/>
              </w:rPr>
              <w:fldChar w:fldCharType="separate"/>
            </w:r>
            <w:r w:rsidR="00E85585">
              <w:rPr>
                <w:noProof/>
                <w:webHidden/>
              </w:rPr>
              <w:t>12</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3" w:history="1">
            <w:r w:rsidR="00097EB2" w:rsidRPr="001E150D">
              <w:rPr>
                <w:rStyle w:val="Hyperlink"/>
                <w:rFonts w:ascii="Times New Roman" w:hAnsi="Times New Roman"/>
                <w:noProof/>
              </w:rPr>
              <w:t>B.3.1</w:t>
            </w:r>
            <w:r w:rsidR="00097EB2">
              <w:rPr>
                <w:rFonts w:asciiTheme="minorHAnsi" w:hAnsiTheme="minorHAnsi" w:cstheme="minorBidi"/>
                <w:noProof/>
                <w:sz w:val="22"/>
              </w:rPr>
              <w:tab/>
            </w:r>
            <w:r w:rsidR="00097EB2" w:rsidRPr="001E150D">
              <w:rPr>
                <w:rStyle w:val="Hyperlink"/>
                <w:rFonts w:ascii="Times New Roman" w:hAnsi="Times New Roman"/>
                <w:noProof/>
              </w:rPr>
              <w:t>Methods to Secure Cooperation and Maximize Response Rates</w:t>
            </w:r>
            <w:r w:rsidR="00097EB2">
              <w:rPr>
                <w:noProof/>
                <w:webHidden/>
              </w:rPr>
              <w:tab/>
            </w:r>
            <w:r w:rsidR="00097EB2">
              <w:rPr>
                <w:noProof/>
                <w:webHidden/>
              </w:rPr>
              <w:fldChar w:fldCharType="begin"/>
            </w:r>
            <w:r w:rsidR="00097EB2">
              <w:rPr>
                <w:noProof/>
                <w:webHidden/>
              </w:rPr>
              <w:instrText xml:space="preserve"> PAGEREF _Toc481483743 \h </w:instrText>
            </w:r>
            <w:r w:rsidR="00097EB2">
              <w:rPr>
                <w:noProof/>
                <w:webHidden/>
              </w:rPr>
            </w:r>
            <w:r w:rsidR="00097EB2">
              <w:rPr>
                <w:noProof/>
                <w:webHidden/>
              </w:rPr>
              <w:fldChar w:fldCharType="separate"/>
            </w:r>
            <w:r w:rsidR="00E85585">
              <w:rPr>
                <w:noProof/>
                <w:webHidden/>
              </w:rPr>
              <w:t>12</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4" w:history="1">
            <w:r w:rsidR="00097EB2" w:rsidRPr="001E150D">
              <w:rPr>
                <w:rStyle w:val="Hyperlink"/>
                <w:rFonts w:ascii="Times New Roman" w:hAnsi="Times New Roman"/>
                <w:noProof/>
              </w:rPr>
              <w:t>B.3.2</w:t>
            </w:r>
            <w:r w:rsidR="00097EB2">
              <w:rPr>
                <w:rFonts w:asciiTheme="minorHAnsi" w:hAnsiTheme="minorHAnsi" w:cstheme="minorBidi"/>
                <w:noProof/>
                <w:sz w:val="22"/>
              </w:rPr>
              <w:tab/>
            </w:r>
            <w:r w:rsidR="00097EB2" w:rsidRPr="001E150D">
              <w:rPr>
                <w:rStyle w:val="Hyperlink"/>
                <w:rFonts w:ascii="Times New Roman" w:hAnsi="Times New Roman"/>
                <w:noProof/>
              </w:rPr>
              <w:t>Methods to Minimize Nonresponse</w:t>
            </w:r>
            <w:r w:rsidR="00097EB2">
              <w:rPr>
                <w:noProof/>
                <w:webHidden/>
              </w:rPr>
              <w:tab/>
            </w:r>
            <w:r w:rsidR="00097EB2">
              <w:rPr>
                <w:noProof/>
                <w:webHidden/>
              </w:rPr>
              <w:fldChar w:fldCharType="begin"/>
            </w:r>
            <w:r w:rsidR="00097EB2">
              <w:rPr>
                <w:noProof/>
                <w:webHidden/>
              </w:rPr>
              <w:instrText xml:space="preserve"> PAGEREF _Toc481483744 \h </w:instrText>
            </w:r>
            <w:r w:rsidR="00097EB2">
              <w:rPr>
                <w:noProof/>
                <w:webHidden/>
              </w:rPr>
            </w:r>
            <w:r w:rsidR="00097EB2">
              <w:rPr>
                <w:noProof/>
                <w:webHidden/>
              </w:rPr>
              <w:fldChar w:fldCharType="separate"/>
            </w:r>
            <w:r w:rsidR="00E85585">
              <w:rPr>
                <w:noProof/>
                <w:webHidden/>
              </w:rPr>
              <w:t>13</w:t>
            </w:r>
            <w:r w:rsidR="00097EB2">
              <w:rPr>
                <w:noProof/>
                <w:webHidden/>
              </w:rPr>
              <w:fldChar w:fldCharType="end"/>
            </w:r>
          </w:hyperlink>
        </w:p>
        <w:p w:rsidR="00097EB2" w:rsidRDefault="00116EE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5" w:history="1">
            <w:r w:rsidR="00097EB2" w:rsidRPr="001E150D">
              <w:rPr>
                <w:rStyle w:val="Hyperlink"/>
                <w:rFonts w:ascii="Times New Roman" w:hAnsi="Times New Roman"/>
                <w:noProof/>
              </w:rPr>
              <w:t>B.4</w:t>
            </w:r>
            <w:r w:rsidR="00097EB2">
              <w:rPr>
                <w:rFonts w:asciiTheme="minorHAnsi" w:hAnsiTheme="minorHAnsi" w:cstheme="minorBidi"/>
                <w:noProof/>
                <w:sz w:val="22"/>
                <w:szCs w:val="22"/>
              </w:rPr>
              <w:tab/>
            </w:r>
            <w:r w:rsidR="00097EB2" w:rsidRPr="001E150D">
              <w:rPr>
                <w:rStyle w:val="Hyperlink"/>
                <w:rFonts w:ascii="Times New Roman" w:hAnsi="Times New Roman"/>
                <w:noProof/>
              </w:rPr>
              <w:t>Tests of Methods and Procedures</w:t>
            </w:r>
            <w:r w:rsidR="00097EB2">
              <w:rPr>
                <w:noProof/>
                <w:webHidden/>
              </w:rPr>
              <w:tab/>
            </w:r>
            <w:r w:rsidR="00097EB2">
              <w:rPr>
                <w:noProof/>
                <w:webHidden/>
              </w:rPr>
              <w:fldChar w:fldCharType="begin"/>
            </w:r>
            <w:r w:rsidR="00097EB2">
              <w:rPr>
                <w:noProof/>
                <w:webHidden/>
              </w:rPr>
              <w:instrText xml:space="preserve"> PAGEREF _Toc481483745 \h </w:instrText>
            </w:r>
            <w:r w:rsidR="00097EB2">
              <w:rPr>
                <w:noProof/>
                <w:webHidden/>
              </w:rPr>
            </w:r>
            <w:r w:rsidR="00097EB2">
              <w:rPr>
                <w:noProof/>
                <w:webHidden/>
              </w:rPr>
              <w:fldChar w:fldCharType="separate"/>
            </w:r>
            <w:r w:rsidR="00E85585">
              <w:rPr>
                <w:noProof/>
                <w:webHidden/>
              </w:rPr>
              <w:t>16</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6" w:history="1">
            <w:r w:rsidR="00097EB2" w:rsidRPr="001E150D">
              <w:rPr>
                <w:rStyle w:val="Hyperlink"/>
                <w:rFonts w:ascii="Times New Roman" w:hAnsi="Times New Roman"/>
                <w:noProof/>
              </w:rPr>
              <w:t>B.4.1</w:t>
            </w:r>
            <w:r w:rsidR="00097EB2">
              <w:rPr>
                <w:rFonts w:asciiTheme="minorHAnsi" w:hAnsiTheme="minorHAnsi" w:cstheme="minorBidi"/>
                <w:noProof/>
                <w:sz w:val="22"/>
              </w:rPr>
              <w:tab/>
            </w:r>
            <w:r w:rsidR="00097EB2" w:rsidRPr="001E150D">
              <w:rPr>
                <w:rStyle w:val="Hyperlink"/>
                <w:rFonts w:ascii="Times New Roman" w:hAnsi="Times New Roman"/>
                <w:noProof/>
              </w:rPr>
              <w:t>Tests Influencing the Design of NTPS 2017-18</w:t>
            </w:r>
            <w:r w:rsidR="00097EB2">
              <w:rPr>
                <w:noProof/>
                <w:webHidden/>
              </w:rPr>
              <w:tab/>
            </w:r>
            <w:r w:rsidR="00097EB2">
              <w:rPr>
                <w:noProof/>
                <w:webHidden/>
              </w:rPr>
              <w:fldChar w:fldCharType="begin"/>
            </w:r>
            <w:r w:rsidR="00097EB2">
              <w:rPr>
                <w:noProof/>
                <w:webHidden/>
              </w:rPr>
              <w:instrText xml:space="preserve"> PAGEREF _Toc481483746 \h </w:instrText>
            </w:r>
            <w:r w:rsidR="00097EB2">
              <w:rPr>
                <w:noProof/>
                <w:webHidden/>
              </w:rPr>
            </w:r>
            <w:r w:rsidR="00097EB2">
              <w:rPr>
                <w:noProof/>
                <w:webHidden/>
              </w:rPr>
              <w:fldChar w:fldCharType="separate"/>
            </w:r>
            <w:r w:rsidR="00E85585">
              <w:rPr>
                <w:noProof/>
                <w:webHidden/>
              </w:rPr>
              <w:t>16</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7" w:history="1">
            <w:r w:rsidR="00097EB2" w:rsidRPr="001E150D">
              <w:rPr>
                <w:rStyle w:val="Hyperlink"/>
                <w:rFonts w:ascii="Times New Roman" w:hAnsi="Times New Roman"/>
                <w:noProof/>
              </w:rPr>
              <w:t>B.4.2</w:t>
            </w:r>
            <w:r w:rsidR="00097EB2">
              <w:rPr>
                <w:rFonts w:asciiTheme="minorHAnsi" w:hAnsiTheme="minorHAnsi" w:cstheme="minorBidi"/>
                <w:noProof/>
                <w:sz w:val="22"/>
              </w:rPr>
              <w:tab/>
            </w:r>
            <w:r w:rsidR="00097EB2" w:rsidRPr="001E150D">
              <w:rPr>
                <w:rStyle w:val="Hyperlink"/>
                <w:rFonts w:ascii="Times New Roman" w:hAnsi="Times New Roman"/>
                <w:noProof/>
              </w:rPr>
              <w:t>Tests Included in the Design of NTPS 2017-18</w:t>
            </w:r>
            <w:r w:rsidR="00097EB2">
              <w:rPr>
                <w:noProof/>
                <w:webHidden/>
              </w:rPr>
              <w:tab/>
            </w:r>
            <w:r w:rsidR="00097EB2">
              <w:rPr>
                <w:noProof/>
                <w:webHidden/>
              </w:rPr>
              <w:fldChar w:fldCharType="begin"/>
            </w:r>
            <w:r w:rsidR="00097EB2">
              <w:rPr>
                <w:noProof/>
                <w:webHidden/>
              </w:rPr>
              <w:instrText xml:space="preserve"> PAGEREF _Toc481483747 \h </w:instrText>
            </w:r>
            <w:r w:rsidR="00097EB2">
              <w:rPr>
                <w:noProof/>
                <w:webHidden/>
              </w:rPr>
            </w:r>
            <w:r w:rsidR="00097EB2">
              <w:rPr>
                <w:noProof/>
                <w:webHidden/>
              </w:rPr>
              <w:fldChar w:fldCharType="separate"/>
            </w:r>
            <w:r w:rsidR="00E85585">
              <w:rPr>
                <w:noProof/>
                <w:webHidden/>
              </w:rPr>
              <w:t>19</w:t>
            </w:r>
            <w:r w:rsidR="00097EB2">
              <w:rPr>
                <w:noProof/>
                <w:webHidden/>
              </w:rPr>
              <w:fldChar w:fldCharType="end"/>
            </w:r>
          </w:hyperlink>
        </w:p>
        <w:p w:rsidR="00097EB2" w:rsidRDefault="00116EE7"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8" w:history="1">
            <w:r w:rsidR="00097EB2" w:rsidRPr="001E150D">
              <w:rPr>
                <w:rStyle w:val="Hyperlink"/>
                <w:rFonts w:ascii="Times New Roman" w:hAnsi="Times New Roman"/>
                <w:noProof/>
              </w:rPr>
              <w:t>B.4.3 NTPS 2017-18 Private School Test</w:t>
            </w:r>
            <w:r w:rsidR="00097EB2">
              <w:rPr>
                <w:noProof/>
                <w:webHidden/>
              </w:rPr>
              <w:tab/>
            </w:r>
            <w:r w:rsidR="00097EB2">
              <w:rPr>
                <w:noProof/>
                <w:webHidden/>
              </w:rPr>
              <w:fldChar w:fldCharType="begin"/>
            </w:r>
            <w:r w:rsidR="00097EB2">
              <w:rPr>
                <w:noProof/>
                <w:webHidden/>
              </w:rPr>
              <w:instrText xml:space="preserve"> PAGEREF _Toc481483748 \h </w:instrText>
            </w:r>
            <w:r w:rsidR="00097EB2">
              <w:rPr>
                <w:noProof/>
                <w:webHidden/>
              </w:rPr>
            </w:r>
            <w:r w:rsidR="00097EB2">
              <w:rPr>
                <w:noProof/>
                <w:webHidden/>
              </w:rPr>
              <w:fldChar w:fldCharType="separate"/>
            </w:r>
            <w:r w:rsidR="00E85585">
              <w:rPr>
                <w:noProof/>
                <w:webHidden/>
              </w:rPr>
              <w:t>23</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9" w:history="1">
            <w:r w:rsidR="00097EB2" w:rsidRPr="001E150D">
              <w:rPr>
                <w:rStyle w:val="Hyperlink"/>
                <w:rFonts w:ascii="Times New Roman" w:hAnsi="Times New Roman"/>
                <w:noProof/>
              </w:rPr>
              <w:t>B.4.3.1 Universe and Sample Design</w:t>
            </w:r>
            <w:r w:rsidR="00097EB2">
              <w:rPr>
                <w:noProof/>
                <w:webHidden/>
              </w:rPr>
              <w:tab/>
            </w:r>
            <w:r w:rsidR="00097EB2">
              <w:rPr>
                <w:noProof/>
                <w:webHidden/>
              </w:rPr>
              <w:fldChar w:fldCharType="begin"/>
            </w:r>
            <w:r w:rsidR="00097EB2">
              <w:rPr>
                <w:noProof/>
                <w:webHidden/>
              </w:rPr>
              <w:instrText xml:space="preserve"> PAGEREF _Toc481483749 \h </w:instrText>
            </w:r>
            <w:r w:rsidR="00097EB2">
              <w:rPr>
                <w:noProof/>
                <w:webHidden/>
              </w:rPr>
            </w:r>
            <w:r w:rsidR="00097EB2">
              <w:rPr>
                <w:noProof/>
                <w:webHidden/>
              </w:rPr>
              <w:fldChar w:fldCharType="separate"/>
            </w:r>
            <w:r w:rsidR="00E85585">
              <w:rPr>
                <w:noProof/>
                <w:webHidden/>
              </w:rPr>
              <w:t>24</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1" w:history="1">
            <w:r w:rsidR="00097EB2" w:rsidRPr="001E150D">
              <w:rPr>
                <w:rStyle w:val="Hyperlink"/>
                <w:rFonts w:ascii="Times New Roman" w:hAnsi="Times New Roman"/>
                <w:noProof/>
              </w:rPr>
              <w:t>B.4.3.2 Precision Requirements and Sample Sizes</w:t>
            </w:r>
            <w:r w:rsidR="00097EB2">
              <w:rPr>
                <w:noProof/>
                <w:webHidden/>
              </w:rPr>
              <w:tab/>
            </w:r>
            <w:r w:rsidR="00097EB2">
              <w:rPr>
                <w:noProof/>
                <w:webHidden/>
              </w:rPr>
              <w:fldChar w:fldCharType="begin"/>
            </w:r>
            <w:r w:rsidR="00097EB2">
              <w:rPr>
                <w:noProof/>
                <w:webHidden/>
              </w:rPr>
              <w:instrText xml:space="preserve"> PAGEREF _Toc481483751 \h </w:instrText>
            </w:r>
            <w:r w:rsidR="00097EB2">
              <w:rPr>
                <w:noProof/>
                <w:webHidden/>
              </w:rPr>
            </w:r>
            <w:r w:rsidR="00097EB2">
              <w:rPr>
                <w:noProof/>
                <w:webHidden/>
              </w:rPr>
              <w:fldChar w:fldCharType="separate"/>
            </w:r>
            <w:r w:rsidR="00E85585">
              <w:rPr>
                <w:noProof/>
                <w:webHidden/>
              </w:rPr>
              <w:t>24</w:t>
            </w:r>
            <w:r w:rsidR="00097EB2">
              <w:rPr>
                <w:noProof/>
                <w:webHidden/>
              </w:rPr>
              <w:fldChar w:fldCharType="end"/>
            </w:r>
          </w:hyperlink>
        </w:p>
        <w:p w:rsidR="00097EB2" w:rsidRDefault="00116EE7"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2" w:history="1">
            <w:r w:rsidR="00097EB2" w:rsidRPr="001E150D">
              <w:rPr>
                <w:rStyle w:val="Hyperlink"/>
                <w:rFonts w:ascii="Times New Roman" w:hAnsi="Times New Roman"/>
                <w:noProof/>
              </w:rPr>
              <w:t>B.4.3.3 Private School Test Study Design</w:t>
            </w:r>
            <w:r w:rsidR="00097EB2">
              <w:rPr>
                <w:noProof/>
                <w:webHidden/>
              </w:rPr>
              <w:tab/>
            </w:r>
            <w:r w:rsidR="00097EB2">
              <w:rPr>
                <w:noProof/>
                <w:webHidden/>
              </w:rPr>
              <w:fldChar w:fldCharType="begin"/>
            </w:r>
            <w:r w:rsidR="00097EB2">
              <w:rPr>
                <w:noProof/>
                <w:webHidden/>
              </w:rPr>
              <w:instrText xml:space="preserve"> PAGEREF _Toc481483752 \h </w:instrText>
            </w:r>
            <w:r w:rsidR="00097EB2">
              <w:rPr>
                <w:noProof/>
                <w:webHidden/>
              </w:rPr>
            </w:r>
            <w:r w:rsidR="00097EB2">
              <w:rPr>
                <w:noProof/>
                <w:webHidden/>
              </w:rPr>
              <w:fldChar w:fldCharType="separate"/>
            </w:r>
            <w:r w:rsidR="00E85585">
              <w:rPr>
                <w:noProof/>
                <w:webHidden/>
              </w:rPr>
              <w:t>25</w:t>
            </w:r>
            <w:r w:rsidR="00097EB2">
              <w:rPr>
                <w:noProof/>
                <w:webHidden/>
              </w:rPr>
              <w:fldChar w:fldCharType="end"/>
            </w:r>
          </w:hyperlink>
        </w:p>
        <w:p w:rsidR="00097EB2" w:rsidRDefault="00116EE7"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54" w:history="1">
            <w:r w:rsidR="00097EB2" w:rsidRPr="001E150D">
              <w:rPr>
                <w:rStyle w:val="Hyperlink"/>
                <w:rFonts w:ascii="Times New Roman" w:hAnsi="Times New Roman"/>
                <w:noProof/>
              </w:rPr>
              <w:t>B.5</w:t>
            </w:r>
            <w:r w:rsidR="00097EB2">
              <w:rPr>
                <w:rFonts w:asciiTheme="minorHAnsi" w:hAnsiTheme="minorHAnsi" w:cstheme="minorBidi"/>
                <w:noProof/>
                <w:sz w:val="22"/>
                <w:szCs w:val="22"/>
              </w:rPr>
              <w:tab/>
            </w:r>
            <w:r w:rsidR="00097EB2" w:rsidRPr="001E150D">
              <w:rPr>
                <w:rStyle w:val="Hyperlink"/>
                <w:rFonts w:ascii="Times New Roman" w:hAnsi="Times New Roman"/>
                <w:noProof/>
              </w:rPr>
              <w:t>Individuals Responsible for Study Design and Performance</w:t>
            </w:r>
            <w:r w:rsidR="00097EB2">
              <w:rPr>
                <w:noProof/>
                <w:webHidden/>
              </w:rPr>
              <w:tab/>
            </w:r>
            <w:r w:rsidR="00097EB2">
              <w:rPr>
                <w:noProof/>
                <w:webHidden/>
              </w:rPr>
              <w:fldChar w:fldCharType="begin"/>
            </w:r>
            <w:r w:rsidR="00097EB2">
              <w:rPr>
                <w:noProof/>
                <w:webHidden/>
              </w:rPr>
              <w:instrText xml:space="preserve"> PAGEREF _Toc481483754 \h </w:instrText>
            </w:r>
            <w:r w:rsidR="00097EB2">
              <w:rPr>
                <w:noProof/>
                <w:webHidden/>
              </w:rPr>
            </w:r>
            <w:r w:rsidR="00097EB2">
              <w:rPr>
                <w:noProof/>
                <w:webHidden/>
              </w:rPr>
              <w:fldChar w:fldCharType="separate"/>
            </w:r>
            <w:r w:rsidR="00E85585">
              <w:rPr>
                <w:noProof/>
                <w:webHidden/>
              </w:rPr>
              <w:t>28</w:t>
            </w:r>
            <w:r w:rsidR="00097EB2">
              <w:rPr>
                <w:noProof/>
                <w:webHidden/>
              </w:rPr>
              <w:fldChar w:fldCharType="end"/>
            </w:r>
          </w:hyperlink>
        </w:p>
        <w:p w:rsidR="00097EB2" w:rsidRDefault="00097EB2">
          <w:r>
            <w:rPr>
              <w:b/>
              <w:bCs/>
              <w:noProof/>
            </w:rPr>
            <w:fldChar w:fldCharType="end"/>
          </w:r>
        </w:p>
      </w:sdtContent>
    </w:sdt>
    <w:p w:rsidR="002565A7" w:rsidRPr="00D321F9"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2B42F2">
          <w:headerReference w:type="default" r:id="rId13"/>
          <w:footerReference w:type="default" r:id="rId14"/>
          <w:headerReference w:type="first" r:id="rId15"/>
          <w:footerReference w:type="first" r:id="rId16"/>
          <w:pgSz w:w="12240" w:h="15840" w:code="1"/>
          <w:pgMar w:top="864" w:right="1008" w:bottom="720" w:left="1008" w:header="432" w:footer="288" w:gutter="0"/>
          <w:pgNumType w:fmt="lowerRoman" w:start="3"/>
          <w:cols w:space="720"/>
          <w:titlePg/>
          <w:docGrid w:linePitch="360"/>
        </w:sectPr>
      </w:pPr>
    </w:p>
    <w:p w:rsidR="00FF3AA2" w:rsidRPr="00D321F9"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5" w:name="_Toc391625744"/>
      <w:bookmarkStart w:id="6" w:name="_Toc420609064"/>
      <w:bookmarkStart w:id="7" w:name="_Toc455154246"/>
      <w:bookmarkStart w:id="8" w:name="_Toc455496439"/>
      <w:bookmarkStart w:id="9" w:name="_Toc468187450"/>
      <w:bookmarkStart w:id="10" w:name="_Toc481483731"/>
      <w:r w:rsidRPr="00D321F9">
        <w:rPr>
          <w:rFonts w:ascii="Times New Roman" w:hAnsi="Times New Roman"/>
          <w:color w:val="auto"/>
          <w:sz w:val="22"/>
          <w:szCs w:val="22"/>
        </w:rPr>
        <w:t>Part B</w:t>
      </w:r>
      <w:r w:rsidRPr="00D321F9">
        <w:rPr>
          <w:rFonts w:ascii="Times New Roman" w:hAnsi="Times New Roman"/>
          <w:color w:val="auto"/>
          <w:sz w:val="22"/>
          <w:szCs w:val="22"/>
        </w:rPr>
        <w:tab/>
        <w:t>Collection of Information Employing Statistical Method</w:t>
      </w:r>
      <w:bookmarkStart w:id="11" w:name="_Toc455153277"/>
      <w:bookmarkStart w:id="12" w:name="_Toc391625745"/>
      <w:bookmarkStart w:id="13" w:name="_Toc392706703"/>
      <w:bookmarkStart w:id="14" w:name="_Toc420609065"/>
      <w:bookmarkEnd w:id="5"/>
      <w:bookmarkEnd w:id="6"/>
      <w:bookmarkEnd w:id="7"/>
      <w:bookmarkEnd w:id="8"/>
      <w:r w:rsidR="00261F3B" w:rsidRPr="00D321F9">
        <w:rPr>
          <w:rFonts w:ascii="Times New Roman" w:hAnsi="Times New Roman"/>
          <w:color w:val="auto"/>
          <w:sz w:val="22"/>
          <w:szCs w:val="22"/>
        </w:rPr>
        <w:t>s</w:t>
      </w:r>
      <w:bookmarkEnd w:id="9"/>
      <w:bookmarkEnd w:id="10"/>
    </w:p>
    <w:p w:rsidR="00FF3AA2" w:rsidRPr="00D321F9" w:rsidRDefault="002B42F2" w:rsidP="002105A7">
      <w:pPr>
        <w:pStyle w:val="L1-FlLSp12"/>
        <w:spacing w:after="120" w:line="240" w:lineRule="auto"/>
        <w:rPr>
          <w:rFonts w:ascii="Times New Roman" w:hAnsi="Times New Roman"/>
          <w:szCs w:val="24"/>
        </w:rPr>
      </w:pPr>
      <w:r w:rsidRPr="002B42F2">
        <w:rPr>
          <w:rFonts w:ascii="Times New Roman" w:hAnsi="Times New Roman"/>
          <w:szCs w:val="24"/>
        </w:rPr>
        <w:t xml:space="preserve">This request is to conduct NTPS 2017-18, including all of its recruitment and data collection activities. Because of the overlap in time, this request also carries over the burden and materials for the </w:t>
      </w:r>
      <w:r w:rsidR="002105A7">
        <w:rPr>
          <w:rFonts w:ascii="Times New Roman" w:hAnsi="Times New Roman"/>
          <w:szCs w:val="24"/>
        </w:rPr>
        <w:t>approved preliminary activities</w:t>
      </w:r>
      <w:r w:rsidRPr="002B42F2">
        <w:rPr>
          <w:rFonts w:ascii="Times New Roman" w:hAnsi="Times New Roman"/>
          <w:szCs w:val="24"/>
        </w:rPr>
        <w:t>.</w:t>
      </w:r>
      <w:r w:rsidR="002105A7">
        <w:rPr>
          <w:rFonts w:ascii="Times New Roman" w:hAnsi="Times New Roman"/>
          <w:szCs w:val="24"/>
        </w:rPr>
        <w:t xml:space="preserve"> </w:t>
      </w:r>
      <w:bookmarkStart w:id="15" w:name="_Toc455153278"/>
      <w:bookmarkEnd w:id="11"/>
      <w:r w:rsidR="00D51E00" w:rsidRPr="00D321F9">
        <w:rPr>
          <w:rFonts w:ascii="Times New Roman" w:hAnsi="Times New Roman"/>
          <w:szCs w:val="24"/>
        </w:rPr>
        <w:t xml:space="preserve">Section B.1 </w:t>
      </w:r>
      <w:r w:rsidR="002105A7">
        <w:rPr>
          <w:rFonts w:ascii="Times New Roman" w:hAnsi="Times New Roman"/>
          <w:szCs w:val="24"/>
        </w:rPr>
        <w:t xml:space="preserve">of this document </w:t>
      </w:r>
      <w:r w:rsidR="00D51E00" w:rsidRPr="00D321F9">
        <w:rPr>
          <w:rFonts w:ascii="Times New Roman" w:hAnsi="Times New Roman"/>
          <w:szCs w:val="24"/>
        </w:rPr>
        <w:t>describes the universe, sample design, and estimation details for NTPS 2017</w:t>
      </w:r>
      <w:r w:rsidR="007F5C54">
        <w:rPr>
          <w:rFonts w:ascii="Times New Roman" w:hAnsi="Times New Roman"/>
          <w:szCs w:val="24"/>
        </w:rPr>
        <w:t>-1</w:t>
      </w:r>
      <w:r w:rsidR="00D51E00" w:rsidRPr="00D321F9">
        <w:rPr>
          <w:rFonts w:ascii="Times New Roman" w:hAnsi="Times New Roman"/>
          <w:szCs w:val="24"/>
        </w:rPr>
        <w:t>8.</w:t>
      </w:r>
      <w:r w:rsidR="00A7388D" w:rsidRPr="00D321F9">
        <w:rPr>
          <w:rFonts w:ascii="Times New Roman" w:hAnsi="Times New Roman"/>
          <w:szCs w:val="24"/>
        </w:rPr>
        <w:t xml:space="preserve"> Section B.2 describes the data collection procedures for </w:t>
      </w:r>
      <w:r w:rsidR="00721738" w:rsidRPr="00D321F9">
        <w:rPr>
          <w:rFonts w:ascii="Times New Roman" w:hAnsi="Times New Roman"/>
          <w:szCs w:val="24"/>
        </w:rPr>
        <w:t>NTPS 2017</w:t>
      </w:r>
      <w:r w:rsidR="007F5C54">
        <w:rPr>
          <w:rFonts w:ascii="Times New Roman" w:hAnsi="Times New Roman"/>
          <w:szCs w:val="24"/>
        </w:rPr>
        <w:t>-1</w:t>
      </w:r>
      <w:r w:rsidR="00721738" w:rsidRPr="00D321F9">
        <w:rPr>
          <w:rFonts w:ascii="Times New Roman" w:hAnsi="Times New Roman"/>
          <w:szCs w:val="24"/>
        </w:rPr>
        <w:t xml:space="preserve">8, including the </w:t>
      </w:r>
      <w:r w:rsidR="00A7388D" w:rsidRPr="00D321F9">
        <w:rPr>
          <w:rFonts w:ascii="Times New Roman" w:hAnsi="Times New Roman"/>
          <w:szCs w:val="24"/>
        </w:rPr>
        <w:t>preliminary field activities</w:t>
      </w:r>
      <w:r w:rsidR="00721738" w:rsidRPr="00D321F9">
        <w:rPr>
          <w:rFonts w:ascii="Times New Roman" w:hAnsi="Times New Roman"/>
          <w:szCs w:val="24"/>
        </w:rPr>
        <w:t xml:space="preserve"> </w:t>
      </w:r>
      <w:r w:rsidR="007F5C54">
        <w:rPr>
          <w:rFonts w:ascii="Times New Roman" w:hAnsi="Times New Roman"/>
          <w:szCs w:val="24"/>
        </w:rPr>
        <w:t>approved</w:t>
      </w:r>
      <w:r w:rsidR="00721738" w:rsidRPr="00D321F9">
        <w:rPr>
          <w:rFonts w:ascii="Times New Roman" w:hAnsi="Times New Roman"/>
          <w:szCs w:val="24"/>
        </w:rPr>
        <w:t xml:space="preserve"> in an earlier submission</w:t>
      </w:r>
      <w:r w:rsidR="00A7388D" w:rsidRPr="00D321F9">
        <w:rPr>
          <w:rFonts w:ascii="Times New Roman" w:hAnsi="Times New Roman"/>
          <w:szCs w:val="24"/>
        </w:rPr>
        <w:t>. Section B.3 discusses methods to secure cooperation and mitigate nonresponse. In particular, it describes methods used to improve response rates in NTPS 2015</w:t>
      </w:r>
      <w:r w:rsidR="007F5C54">
        <w:rPr>
          <w:rFonts w:ascii="Times New Roman" w:hAnsi="Times New Roman"/>
          <w:szCs w:val="24"/>
        </w:rPr>
        <w:t>-1</w:t>
      </w:r>
      <w:r w:rsidR="00A7388D" w:rsidRPr="00D321F9">
        <w:rPr>
          <w:rFonts w:ascii="Times New Roman" w:hAnsi="Times New Roman"/>
          <w:szCs w:val="24"/>
        </w:rPr>
        <w:t>6 and how those methods will be used in NTPS 2017</w:t>
      </w:r>
      <w:r w:rsidR="007F5C54">
        <w:rPr>
          <w:rFonts w:ascii="Times New Roman" w:hAnsi="Times New Roman"/>
          <w:szCs w:val="24"/>
        </w:rPr>
        <w:t>-1</w:t>
      </w:r>
      <w:r w:rsidR="00A7388D" w:rsidRPr="00D321F9">
        <w:rPr>
          <w:rFonts w:ascii="Times New Roman" w:hAnsi="Times New Roman"/>
          <w:szCs w:val="24"/>
        </w:rPr>
        <w:t xml:space="preserve">8. </w:t>
      </w:r>
      <w:r w:rsidR="00CF1626" w:rsidRPr="00D321F9">
        <w:rPr>
          <w:rFonts w:ascii="Times New Roman" w:hAnsi="Times New Roman"/>
          <w:szCs w:val="24"/>
        </w:rPr>
        <w:t xml:space="preserve">Section B.4 describes recent developments in a long history of tests of methods and procedures to improve data quality. </w:t>
      </w:r>
      <w:r w:rsidR="001A1BB8" w:rsidRPr="00D321F9">
        <w:rPr>
          <w:rFonts w:ascii="Times New Roman" w:hAnsi="Times New Roman"/>
          <w:szCs w:val="24"/>
        </w:rPr>
        <w:t xml:space="preserve">It also includes a description of a test to include private schools in NTPS. </w:t>
      </w:r>
      <w:r w:rsidR="00CF1626" w:rsidRPr="00D321F9">
        <w:rPr>
          <w:rFonts w:ascii="Times New Roman" w:hAnsi="Times New Roman"/>
          <w:szCs w:val="24"/>
        </w:rPr>
        <w:t>Section B.5 lists the names and phone numbers of those involved in the</w:t>
      </w:r>
      <w:r w:rsidR="004F6DF4" w:rsidRPr="00D321F9">
        <w:rPr>
          <w:rFonts w:ascii="Times New Roman" w:hAnsi="Times New Roman"/>
          <w:szCs w:val="24"/>
        </w:rPr>
        <w:t xml:space="preserve"> design of the study and the</w:t>
      </w:r>
      <w:r w:rsidR="00CF1626" w:rsidRPr="00D321F9">
        <w:rPr>
          <w:rFonts w:ascii="Times New Roman" w:hAnsi="Times New Roman"/>
          <w:szCs w:val="24"/>
        </w:rPr>
        <w:t xml:space="preserve"> development of these materials.</w:t>
      </w:r>
      <w:bookmarkEnd w:id="15"/>
    </w:p>
    <w:p w:rsidR="00C8143E" w:rsidRPr="00D321F9" w:rsidRDefault="00F153D0" w:rsidP="002B42F2">
      <w:pPr>
        <w:pStyle w:val="Heading1"/>
        <w:spacing w:after="120" w:line="240" w:lineRule="auto"/>
        <w:jc w:val="left"/>
        <w:rPr>
          <w:rFonts w:ascii="Times New Roman" w:hAnsi="Times New Roman"/>
          <w:color w:val="auto"/>
          <w:sz w:val="24"/>
          <w:szCs w:val="24"/>
        </w:rPr>
      </w:pPr>
      <w:bookmarkStart w:id="16" w:name="_Toc455154247"/>
      <w:bookmarkStart w:id="17" w:name="_Toc455496440"/>
      <w:bookmarkStart w:id="18" w:name="_Toc468187451"/>
      <w:bookmarkStart w:id="19" w:name="_Toc481483732"/>
      <w:r w:rsidRPr="00D321F9">
        <w:rPr>
          <w:rFonts w:ascii="Times New Roman" w:hAnsi="Times New Roman"/>
          <w:color w:val="auto"/>
          <w:sz w:val="24"/>
          <w:szCs w:val="24"/>
        </w:rPr>
        <w:t>B.1</w:t>
      </w:r>
      <w:r w:rsidRPr="00D321F9">
        <w:rPr>
          <w:rFonts w:ascii="Times New Roman" w:hAnsi="Times New Roman"/>
          <w:color w:val="auto"/>
          <w:sz w:val="24"/>
          <w:szCs w:val="24"/>
        </w:rPr>
        <w:tab/>
        <w:t>Universe, Sample Design, and Estimation</w:t>
      </w:r>
      <w:bookmarkEnd w:id="12"/>
      <w:bookmarkEnd w:id="13"/>
      <w:bookmarkEnd w:id="14"/>
      <w:bookmarkEnd w:id="16"/>
      <w:bookmarkEnd w:id="17"/>
      <w:bookmarkEnd w:id="18"/>
      <w:bookmarkEnd w:id="19"/>
    </w:p>
    <w:p w:rsidR="0014296C" w:rsidRPr="00D321F9" w:rsidRDefault="00F153D0" w:rsidP="002B42F2">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rsidR="00523FF5" w:rsidRPr="00D321F9" w:rsidRDefault="00F153D0" w:rsidP="002B42F2">
      <w:pPr>
        <w:pStyle w:val="Heading2"/>
        <w:spacing w:after="120" w:line="240" w:lineRule="auto"/>
        <w:rPr>
          <w:rFonts w:ascii="Times New Roman" w:hAnsi="Times New Roman"/>
          <w:color w:val="auto"/>
          <w:sz w:val="24"/>
          <w:szCs w:val="24"/>
        </w:rPr>
      </w:pPr>
      <w:bookmarkStart w:id="20" w:name="_Toc391625746"/>
      <w:bookmarkStart w:id="21" w:name="_Toc392706704"/>
      <w:bookmarkStart w:id="22" w:name="_Toc420609066"/>
      <w:bookmarkStart w:id="23" w:name="_Toc455154248"/>
      <w:bookmarkStart w:id="24" w:name="_Toc455496441"/>
      <w:bookmarkStart w:id="25" w:name="_Toc468187452"/>
      <w:bookmarkStart w:id="26" w:name="_Toc481483733"/>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7" w:name="_Toc412576693"/>
      <w:bookmarkEnd w:id="20"/>
      <w:bookmarkEnd w:id="21"/>
      <w:bookmarkEnd w:id="22"/>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3"/>
      <w:bookmarkEnd w:id="24"/>
      <w:bookmarkEnd w:id="25"/>
      <w:bookmarkEnd w:id="26"/>
      <w:bookmarkEnd w:id="27"/>
    </w:p>
    <w:p w:rsidR="00523FF5" w:rsidRPr="00D321F9" w:rsidRDefault="005D0569" w:rsidP="002B42F2">
      <w:pPr>
        <w:pStyle w:val="Heading3"/>
        <w:spacing w:after="120" w:line="240" w:lineRule="auto"/>
        <w:rPr>
          <w:rFonts w:ascii="Times New Roman" w:hAnsi="Times New Roman"/>
          <w:color w:val="auto"/>
          <w:sz w:val="24"/>
          <w:szCs w:val="24"/>
        </w:rPr>
      </w:pPr>
      <w:bookmarkStart w:id="28" w:name="_Toc412576694"/>
      <w:bookmarkStart w:id="29" w:name="_Toc468187453"/>
      <w:bookmarkStart w:id="30" w:name="_Toc481483734"/>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8"/>
      <w:bookmarkEnd w:id="29"/>
      <w:bookmarkEnd w:id="30"/>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respondent universe for NTPS 2017</w:t>
      </w:r>
      <w:r w:rsidR="007F5C54">
        <w:rPr>
          <w:rFonts w:ascii="Times New Roman" w:hAnsi="Times New Roman"/>
          <w:szCs w:val="24"/>
        </w:rPr>
        <w:t>-1</w:t>
      </w:r>
      <w:r w:rsidRPr="00D321F9">
        <w:rPr>
          <w:rFonts w:ascii="Times New Roman" w:hAnsi="Times New Roman"/>
          <w:szCs w:val="24"/>
        </w:rPr>
        <w:t>8 data collection consists of approximately 94,000 public schools and 25,000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NCES’ 2015</w:t>
      </w:r>
      <w:r w:rsidR="007F5C54">
        <w:rPr>
          <w:rFonts w:ascii="Times New Roman" w:hAnsi="Times New Roman"/>
          <w:szCs w:val="24"/>
        </w:rPr>
        <w:t>-1</w:t>
      </w:r>
      <w:r w:rsidRPr="00D321F9">
        <w:rPr>
          <w:rFonts w:ascii="Times New Roman" w:hAnsi="Times New Roman"/>
          <w:szCs w:val="24"/>
        </w:rPr>
        <w:t>6 Common Core of Data (CCD)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2012</w:t>
      </w:r>
      <w:r w:rsidR="007F5C54">
        <w:rPr>
          <w:rFonts w:ascii="Times New Roman" w:hAnsi="Times New Roman"/>
          <w:szCs w:val="24"/>
        </w:rPr>
        <w:t>-1</w:t>
      </w:r>
      <w:r w:rsidRPr="00D321F9">
        <w:rPr>
          <w:rFonts w:ascii="Times New Roman" w:hAnsi="Times New Roman"/>
          <w:szCs w:val="24"/>
        </w:rPr>
        <w:t>3 CCD by urbanicity and school level. The CCD for 2015</w:t>
      </w:r>
      <w:r w:rsidR="007F5C54">
        <w:rPr>
          <w:rFonts w:ascii="Times New Roman" w:hAnsi="Times New Roman"/>
          <w:szCs w:val="24"/>
        </w:rPr>
        <w:t>-1</w:t>
      </w:r>
      <w:r w:rsidRPr="00D321F9">
        <w:rPr>
          <w:rFonts w:ascii="Times New Roman" w:hAnsi="Times New Roman"/>
          <w:szCs w:val="24"/>
        </w:rPr>
        <w:t xml:space="preserve">6 is not </w:t>
      </w:r>
      <w:r w:rsidR="0043733F" w:rsidRPr="00D321F9">
        <w:rPr>
          <w:rFonts w:ascii="Times New Roman" w:hAnsi="Times New Roman"/>
          <w:szCs w:val="24"/>
        </w:rPr>
        <w:t xml:space="preserve">yet </w:t>
      </w:r>
      <w:r w:rsidRPr="00D321F9">
        <w:rPr>
          <w:rFonts w:ascii="Times New Roman" w:hAnsi="Times New Roman"/>
          <w:szCs w:val="24"/>
        </w:rPr>
        <w:t>available at the time of submitting this package.</w:t>
      </w:r>
    </w:p>
    <w:p w:rsidR="00BA615D" w:rsidRPr="00D321F9" w:rsidRDefault="00BA615D" w:rsidP="007F1D78">
      <w:pPr>
        <w:tabs>
          <w:tab w:val="left" w:pos="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1.</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48"/>
        <w:gridCol w:w="1772"/>
        <w:gridCol w:w="1792"/>
        <w:gridCol w:w="1792"/>
        <w:gridCol w:w="1896"/>
      </w:tblGrid>
      <w:tr w:rsidR="00D321F9" w:rsidRPr="00D321F9" w:rsidTr="00175C20">
        <w:trPr>
          <w:trHeight w:val="144"/>
        </w:trPr>
        <w:tc>
          <w:tcPr>
            <w:tcW w:w="5000" w:type="pct"/>
            <w:gridSpan w:val="6"/>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71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Primary</w:t>
            </w:r>
          </w:p>
        </w:tc>
        <w:tc>
          <w:tcPr>
            <w:tcW w:w="81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Middle</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High</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87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15,308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3,699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5,407</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1,727</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26,141</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17,933</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5,136</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5,901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1,220</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30,190</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6,138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2,340</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3,481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876</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12,835</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12,221</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3,189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6,014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3,538</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24,962</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51,600</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14,364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20,803</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7,361</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94,128</w:t>
            </w:r>
          </w:p>
        </w:tc>
      </w:tr>
    </w:tbl>
    <w:p w:rsidR="00BA615D" w:rsidRDefault="000666F6" w:rsidP="007F1D78">
      <w:pPr>
        <w:spacing w:line="240" w:lineRule="auto"/>
        <w:rPr>
          <w:rFonts w:ascii="Times New Roman" w:hAnsi="Times New Roman"/>
          <w:sz w:val="22"/>
          <w:szCs w:val="22"/>
        </w:rPr>
      </w:pPr>
      <w:r>
        <w:rPr>
          <w:rFonts w:ascii="Times New Roman" w:hAnsi="Times New Roman"/>
          <w:sz w:val="22"/>
          <w:szCs w:val="22"/>
        </w:rPr>
        <w:t>SOURCE: 2012-13</w:t>
      </w:r>
      <w:r w:rsidR="00BA615D" w:rsidRPr="00D321F9">
        <w:rPr>
          <w:rFonts w:ascii="Times New Roman" w:hAnsi="Times New Roman"/>
          <w:sz w:val="22"/>
          <w:szCs w:val="22"/>
        </w:rPr>
        <w:t xml:space="preserve"> CCD.</w:t>
      </w:r>
    </w:p>
    <w:p w:rsidR="002105A7" w:rsidRDefault="002105A7" w:rsidP="007F1D78">
      <w:pPr>
        <w:spacing w:line="240" w:lineRule="auto"/>
        <w:rPr>
          <w:rFonts w:ascii="Times New Roman" w:hAnsi="Times New Roman"/>
          <w:sz w:val="22"/>
          <w:szCs w:val="22"/>
        </w:rPr>
      </w:pPr>
    </w:p>
    <w:p w:rsidR="002105A7" w:rsidRPr="00D321F9" w:rsidRDefault="002105A7" w:rsidP="002105A7">
      <w:pPr>
        <w:pStyle w:val="L1-FlLSp12"/>
        <w:spacing w:after="120" w:line="240" w:lineRule="auto"/>
        <w:rPr>
          <w:rFonts w:ascii="Times New Roman" w:hAnsi="Times New Roman"/>
          <w:szCs w:val="24"/>
        </w:rPr>
      </w:pPr>
      <w:r w:rsidRPr="00D321F9">
        <w:rPr>
          <w:rFonts w:ascii="Times New Roman" w:hAnsi="Times New Roman"/>
          <w:szCs w:val="24"/>
        </w:rPr>
        <w:t>The private school test frame is drawn from the 2015-16 Private School Survey (PSS) frame. Preschools and schools with kindergarten as the highest grade are excluded. Table 2 presents the number of private schools on the 2015</w:t>
      </w:r>
      <w:r>
        <w:rPr>
          <w:rFonts w:ascii="Times New Roman" w:hAnsi="Times New Roman"/>
          <w:szCs w:val="24"/>
        </w:rPr>
        <w:t>-1</w:t>
      </w:r>
      <w:r w:rsidRPr="00D321F9">
        <w:rPr>
          <w:rFonts w:ascii="Times New Roman" w:hAnsi="Times New Roman"/>
          <w:szCs w:val="24"/>
        </w:rPr>
        <w:t>6 PSS by urbanicity and school level.</w:t>
      </w:r>
    </w:p>
    <w:p w:rsidR="002105A7" w:rsidRPr="00D321F9" w:rsidRDefault="002105A7" w:rsidP="002105A7">
      <w:pPr>
        <w:spacing w:after="120" w:line="240" w:lineRule="auto"/>
        <w:rPr>
          <w:rFonts w:ascii="Times New Roman" w:eastAsia="Calibri" w:hAnsi="Times New Roman"/>
          <w:szCs w:val="24"/>
        </w:rPr>
      </w:pPr>
      <w:r w:rsidRPr="00D321F9">
        <w:rPr>
          <w:rFonts w:ascii="Times New Roman" w:eastAsia="Calibri" w:hAnsi="Times New Roman"/>
          <w:szCs w:val="24"/>
        </w:rPr>
        <w:t>Details of the first-stage sample design of schools are provided in section 2.</w:t>
      </w:r>
    </w:p>
    <w:p w:rsidR="00BA615D" w:rsidRPr="00D321F9" w:rsidRDefault="00BA615D" w:rsidP="002105A7">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2.</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 xml:space="preserve">for the proposed private school test sample, based on </w:t>
      </w:r>
      <w:r w:rsidR="004E700C" w:rsidRPr="00D321F9">
        <w:rPr>
          <w:rFonts w:ascii="Times New Roman" w:eastAsia="Calibri" w:hAnsi="Times New Roman"/>
          <w:b/>
          <w:bCs/>
          <w:szCs w:val="24"/>
        </w:rPr>
        <w:t>the 2015-16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50"/>
        <w:gridCol w:w="2142"/>
        <w:gridCol w:w="2142"/>
        <w:gridCol w:w="2266"/>
      </w:tblGrid>
      <w:tr w:rsidR="00D321F9" w:rsidRPr="00D321F9" w:rsidTr="00175C20">
        <w:trPr>
          <w:trHeight w:val="144"/>
        </w:trPr>
        <w:tc>
          <w:tcPr>
            <w:tcW w:w="5000" w:type="pct"/>
            <w:gridSpan w:val="5"/>
            <w:shd w:val="clear" w:color="auto" w:fill="auto"/>
            <w:vAlign w:val="bottom"/>
          </w:tcPr>
          <w:p w:rsidR="00BA615D" w:rsidRPr="00D321F9" w:rsidRDefault="00BA615D" w:rsidP="002105A7">
            <w:pPr>
              <w:keepNext/>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85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Elementary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Secondary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104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4,975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1,121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2,702</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8,798</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5,005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2,938</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8,814</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1,315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766</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2,226</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2,735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472</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1,939</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5,146</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14,030</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2,609</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8,345</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24,984</w:t>
            </w:r>
          </w:p>
        </w:tc>
      </w:tr>
    </w:tbl>
    <w:p w:rsidR="009139C9"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SOURCE: 2015-16 PSS</w:t>
      </w:r>
      <w:bookmarkStart w:id="31" w:name="_Toc468187454"/>
      <w:bookmarkStart w:id="32" w:name="_Toc412576696"/>
    </w:p>
    <w:p w:rsidR="0043733F" w:rsidRPr="00D321F9" w:rsidRDefault="0043733F" w:rsidP="007F1D78">
      <w:pPr>
        <w:spacing w:line="240" w:lineRule="auto"/>
        <w:rPr>
          <w:rFonts w:ascii="Times New Roman" w:hAnsi="Times New Roman"/>
        </w:rPr>
      </w:pPr>
    </w:p>
    <w:p w:rsidR="005D0569" w:rsidRPr="00D321F9" w:rsidRDefault="008B3BF8" w:rsidP="002B42F2">
      <w:pPr>
        <w:pStyle w:val="Heading3"/>
        <w:spacing w:after="120" w:line="240" w:lineRule="auto"/>
        <w:rPr>
          <w:rFonts w:ascii="Times New Roman" w:hAnsi="Times New Roman"/>
          <w:color w:val="auto"/>
          <w:sz w:val="24"/>
          <w:szCs w:val="24"/>
        </w:rPr>
      </w:pPr>
      <w:bookmarkStart w:id="33" w:name="_Toc481483735"/>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1"/>
      <w:bookmarkEnd w:id="33"/>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rsidR="00F153D0" w:rsidRPr="00D321F9" w:rsidRDefault="00F153D0" w:rsidP="002B42F2">
      <w:pPr>
        <w:pStyle w:val="Heading2"/>
        <w:spacing w:after="120" w:line="240" w:lineRule="auto"/>
        <w:rPr>
          <w:rFonts w:ascii="Times New Roman" w:hAnsi="Times New Roman"/>
          <w:color w:val="auto"/>
          <w:sz w:val="24"/>
          <w:szCs w:val="24"/>
        </w:rPr>
      </w:pPr>
      <w:bookmarkStart w:id="34" w:name="_Toc391625747"/>
      <w:bookmarkStart w:id="35" w:name="_Toc392706705"/>
      <w:bookmarkStart w:id="36" w:name="_Toc420609067"/>
      <w:bookmarkStart w:id="37" w:name="_Toc455154249"/>
      <w:bookmarkStart w:id="38" w:name="_Toc455496442"/>
      <w:bookmarkStart w:id="39" w:name="_Toc468187455"/>
      <w:bookmarkStart w:id="40" w:name="_Toc481483736"/>
      <w:bookmarkEnd w:id="32"/>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4"/>
      <w:bookmarkEnd w:id="35"/>
      <w:bookmarkEnd w:id="36"/>
      <w:bookmarkEnd w:id="37"/>
      <w:bookmarkEnd w:id="38"/>
      <w:bookmarkEnd w:id="39"/>
      <w:bookmarkEnd w:id="40"/>
    </w:p>
    <w:p w:rsidR="007215B4"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This section details the school sample sizes and precision requirements for the NTPS 2017</w:t>
      </w:r>
      <w:r w:rsidR="007F5C54">
        <w:rPr>
          <w:rFonts w:ascii="Times New Roman" w:hAnsi="Times New Roman"/>
          <w:szCs w:val="24"/>
        </w:rPr>
        <w:t>-1</w:t>
      </w:r>
      <w:r w:rsidRPr="00D321F9">
        <w:rPr>
          <w:rFonts w:ascii="Times New Roman" w:hAnsi="Times New Roman"/>
          <w:szCs w:val="24"/>
        </w:rPr>
        <w:t xml:space="preserve">8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public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10,600</w:t>
      </w:r>
      <w:r w:rsidR="00475989" w:rsidRPr="00D321F9">
        <w:rPr>
          <w:rFonts w:ascii="Times New Roman" w:hAnsi="Times New Roman"/>
          <w:szCs w:val="24"/>
        </w:rPr>
        <w:t xml:space="preserve"> schools and school principals </w:t>
      </w:r>
      <w:r w:rsidRPr="00D321F9">
        <w:rPr>
          <w:rFonts w:ascii="Times New Roman" w:hAnsi="Times New Roman"/>
          <w:szCs w:val="24"/>
        </w:rPr>
        <w:t>(9,</w:t>
      </w:r>
      <w:r w:rsidR="005B125A" w:rsidRPr="00D321F9">
        <w:rPr>
          <w:rFonts w:ascii="Times New Roman" w:hAnsi="Times New Roman"/>
          <w:szCs w:val="24"/>
        </w:rPr>
        <w:t>1</w:t>
      </w:r>
      <w:r w:rsidRPr="00D321F9">
        <w:rPr>
          <w:rFonts w:ascii="Times New Roman" w:hAnsi="Times New Roman"/>
          <w:szCs w:val="24"/>
        </w:rPr>
        <w:t>00 traditional public and 1,500 public charter)</w:t>
      </w:r>
      <w:r w:rsidR="00475989" w:rsidRPr="00D321F9">
        <w:rPr>
          <w:rFonts w:ascii="Times New Roman" w:hAnsi="Times New Roman"/>
          <w:szCs w:val="24"/>
        </w:rPr>
        <w:t>, with the goal of at least 6,800 interviews for each</w:t>
      </w:r>
      <w:r w:rsidRPr="00D321F9">
        <w:rPr>
          <w:rFonts w:ascii="Times New Roman" w:hAnsi="Times New Roman"/>
          <w:szCs w:val="24"/>
        </w:rPr>
        <w:t>; and</w:t>
      </w:r>
    </w:p>
    <w:p w:rsidR="00BA615D" w:rsidRPr="00D321F9" w:rsidRDefault="00BA615D"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47,000 teachers (</w:t>
      </w:r>
      <w:r w:rsidR="005B125A" w:rsidRPr="00D321F9">
        <w:rPr>
          <w:rFonts w:ascii="Times New Roman" w:hAnsi="Times New Roman"/>
          <w:szCs w:val="24"/>
        </w:rPr>
        <w:t>42,100</w:t>
      </w:r>
      <w:r w:rsidRPr="00D321F9">
        <w:rPr>
          <w:rFonts w:ascii="Times New Roman" w:hAnsi="Times New Roman"/>
          <w:szCs w:val="24"/>
        </w:rPr>
        <w:t xml:space="preserve"> traditional public and </w:t>
      </w:r>
      <w:r w:rsidR="005B125A" w:rsidRPr="00D321F9">
        <w:rPr>
          <w:rFonts w:ascii="Times New Roman" w:hAnsi="Times New Roman"/>
          <w:szCs w:val="24"/>
        </w:rPr>
        <w:t>4,900</w:t>
      </w:r>
      <w:r w:rsidRPr="00D321F9">
        <w:rPr>
          <w:rFonts w:ascii="Times New Roman" w:hAnsi="Times New Roman"/>
          <w:szCs w:val="24"/>
        </w:rPr>
        <w:t xml:space="preserve"> public charter)</w:t>
      </w:r>
      <w:r w:rsidR="00475989" w:rsidRPr="00D321F9">
        <w:rPr>
          <w:rFonts w:ascii="Times New Roman" w:hAnsi="Times New Roman"/>
          <w:szCs w:val="24"/>
        </w:rPr>
        <w:t>, with the goal of at least 35,000 interviews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private school test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4,000</w:t>
      </w:r>
      <w:r w:rsidR="00475989" w:rsidRPr="00D321F9">
        <w:rPr>
          <w:rFonts w:ascii="Times New Roman" w:hAnsi="Times New Roman"/>
          <w:szCs w:val="24"/>
        </w:rPr>
        <w:t xml:space="preserve"> schools and school principals, </w:t>
      </w:r>
      <w:r w:rsidRPr="00D321F9">
        <w:rPr>
          <w:rFonts w:ascii="Times New Roman" w:hAnsi="Times New Roman"/>
          <w:szCs w:val="24"/>
        </w:rPr>
        <w:t>wi</w:t>
      </w:r>
      <w:r w:rsidR="00475989" w:rsidRPr="00D321F9">
        <w:rPr>
          <w:rFonts w:ascii="Times New Roman" w:hAnsi="Times New Roman"/>
          <w:szCs w:val="24"/>
        </w:rPr>
        <w:t>th the goal of at least 2,300 interviews for each</w:t>
      </w:r>
      <w:r w:rsidRPr="00D321F9">
        <w:rPr>
          <w:rFonts w:ascii="Times New Roman" w:hAnsi="Times New Roman"/>
          <w:szCs w:val="24"/>
        </w:rPr>
        <w:t>; and</w:t>
      </w:r>
    </w:p>
    <w:p w:rsidR="00BA615D" w:rsidRPr="00D321F9" w:rsidRDefault="00475989"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 xml:space="preserve">9,000 teachers, with the </w:t>
      </w:r>
      <w:r w:rsidR="00BA615D" w:rsidRPr="00D321F9">
        <w:rPr>
          <w:rFonts w:ascii="Times New Roman" w:hAnsi="Times New Roman"/>
          <w:szCs w:val="24"/>
        </w:rPr>
        <w:t>goal of</w:t>
      </w:r>
      <w:r w:rsidRPr="00D321F9">
        <w:rPr>
          <w:rFonts w:ascii="Times New Roman" w:hAnsi="Times New Roman"/>
          <w:szCs w:val="24"/>
        </w:rPr>
        <w:t xml:space="preserve"> at least</w:t>
      </w:r>
      <w:r w:rsidR="00BA615D" w:rsidRPr="00D321F9">
        <w:rPr>
          <w:rFonts w:ascii="Times New Roman" w:hAnsi="Times New Roman"/>
          <w:szCs w:val="24"/>
        </w:rPr>
        <w:t xml:space="preserve"> 6,000 inte</w:t>
      </w:r>
      <w:r w:rsidRPr="00D321F9">
        <w:rPr>
          <w:rFonts w:ascii="Times New Roman" w:hAnsi="Times New Roman"/>
          <w:szCs w:val="24"/>
        </w:rPr>
        <w:t>rviews</w:t>
      </w:r>
      <w:r w:rsidR="00BA615D" w:rsidRPr="00D321F9">
        <w:rPr>
          <w:rFonts w:ascii="Times New Roman" w:hAnsi="Times New Roman"/>
          <w:szCs w:val="24"/>
        </w:rPr>
        <w:t>.</w:t>
      </w:r>
    </w:p>
    <w:p w:rsidR="00C535B2" w:rsidRPr="00D321F9" w:rsidRDefault="00C535B2"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rsidR="00BA615D" w:rsidRPr="00D321F9" w:rsidRDefault="00BA615D"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level of precision achieved by NTPS 2015</w:t>
      </w:r>
      <w:r w:rsidR="007F5C54">
        <w:rPr>
          <w:rFonts w:ascii="Times New Roman" w:hAnsi="Times New Roman"/>
          <w:szCs w:val="24"/>
        </w:rPr>
        <w:t>-1</w:t>
      </w:r>
      <w:r w:rsidRPr="00D321F9">
        <w:rPr>
          <w:rFonts w:ascii="Times New Roman" w:hAnsi="Times New Roman"/>
          <w:szCs w:val="24"/>
        </w:rPr>
        <w:t>6 was evaluated to inform the sample design decisions for NTPS 2017</w:t>
      </w:r>
      <w:r w:rsidR="007F5C54">
        <w:rPr>
          <w:rFonts w:ascii="Times New Roman" w:hAnsi="Times New Roman"/>
          <w:szCs w:val="24"/>
        </w:rPr>
        <w:t>-1</w:t>
      </w:r>
      <w:r w:rsidRPr="00D321F9">
        <w:rPr>
          <w:rFonts w:ascii="Times New Roman" w:hAnsi="Times New Roman"/>
          <w:szCs w:val="24"/>
        </w:rPr>
        <w:t>8. In particular, publishability and bias indicators (described in Section B.3.2) were reviewed in order to improve the school sample design for the 2017</w:t>
      </w:r>
      <w:r w:rsidR="007F5C54">
        <w:rPr>
          <w:rFonts w:ascii="Times New Roman" w:hAnsi="Times New Roman"/>
          <w:szCs w:val="24"/>
        </w:rPr>
        <w:t>-1</w:t>
      </w:r>
      <w:r w:rsidRPr="00D321F9">
        <w:rPr>
          <w:rFonts w:ascii="Times New Roman" w:hAnsi="Times New Roman"/>
          <w:szCs w:val="24"/>
        </w:rPr>
        <w:t>8 NTPS. A key change in NTPS 2017</w:t>
      </w:r>
      <w:r w:rsidR="007F5C54">
        <w:rPr>
          <w:rFonts w:ascii="Times New Roman" w:hAnsi="Times New Roman"/>
          <w:szCs w:val="24"/>
        </w:rPr>
        <w:t>-1</w:t>
      </w:r>
      <w:r w:rsidRPr="00D321F9">
        <w:rPr>
          <w:rFonts w:ascii="Times New Roman" w:hAnsi="Times New Roman"/>
          <w:szCs w:val="24"/>
        </w:rPr>
        <w:t>8 from NTPS 2015</w:t>
      </w:r>
      <w:r w:rsidR="007F5C54">
        <w:rPr>
          <w:rFonts w:ascii="Times New Roman" w:hAnsi="Times New Roman"/>
          <w:szCs w:val="24"/>
        </w:rPr>
        <w:t>-1</w:t>
      </w:r>
      <w:r w:rsidRPr="00D321F9">
        <w:rPr>
          <w:rFonts w:ascii="Times New Roman" w:hAnsi="Times New Roman"/>
          <w:szCs w:val="24"/>
        </w:rPr>
        <w:t>6 is the inclusion of additional sample to enable the publication of state estimates. The 2017</w:t>
      </w:r>
      <w:r w:rsidR="007F5C54">
        <w:rPr>
          <w:rFonts w:ascii="Times New Roman" w:hAnsi="Times New Roman"/>
          <w:szCs w:val="24"/>
        </w:rPr>
        <w:t>-1</w:t>
      </w:r>
      <w:r w:rsidRPr="00D321F9">
        <w:rPr>
          <w:rFonts w:ascii="Times New Roman" w:hAnsi="Times New Roman"/>
          <w:szCs w:val="24"/>
        </w:rPr>
        <w:t>8 NTPS oversampling stratification will be based preliminarily on the following domains:</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Charter/Non-charter;</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rsidR="00BA615D" w:rsidRPr="00D321F9" w:rsidRDefault="00BA615D" w:rsidP="002B42F2">
      <w:pPr>
        <w:pStyle w:val="L1-FlLSp12"/>
        <w:numPr>
          <w:ilvl w:val="2"/>
          <w:numId w:val="32"/>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w:t>
      </w:r>
      <w:r w:rsidR="00E80035" w:rsidRPr="00D321F9">
        <w:rPr>
          <w:rFonts w:ascii="Times New Roman" w:hAnsi="Times New Roman"/>
          <w:szCs w:val="24"/>
        </w:rPr>
        <w:t xml:space="preserve">In order to make sure that we don’t fall below the CV 30% minimum with the uncertainties about response and about exact values of design effects, we set </w:t>
      </w:r>
      <w:r w:rsidR="004E31CD">
        <w:rPr>
          <w:rFonts w:ascii="Times New Roman" w:hAnsi="Times New Roman"/>
          <w:szCs w:val="24"/>
        </w:rPr>
        <w:t xml:space="preserve">as </w:t>
      </w:r>
      <w:r w:rsidR="00E80035" w:rsidRPr="00D321F9">
        <w:rPr>
          <w:rFonts w:ascii="Times New Roman" w:hAnsi="Times New Roman"/>
          <w:szCs w:val="24"/>
        </w:rPr>
        <w:t xml:space="preserve">a target a CV of 25% as a lower bound. This corresponds to an expected standard error of 5%. This considerably reduces the chance of falling below the 30% boundary (if we set 30% itself as the target, we </w:t>
      </w:r>
      <w:r w:rsidR="004E31CD">
        <w:rPr>
          <w:rFonts w:ascii="Times New Roman" w:hAnsi="Times New Roman"/>
          <w:szCs w:val="24"/>
        </w:rPr>
        <w:t>would</w:t>
      </w:r>
      <w:r w:rsidR="00E80035" w:rsidRPr="00D321F9">
        <w:rPr>
          <w:rFonts w:ascii="Times New Roman" w:hAnsi="Times New Roman"/>
          <w:szCs w:val="24"/>
        </w:rPr>
        <w:t xml:space="preserve"> be below it one-half of the time). </w:t>
      </w:r>
      <w:r w:rsidRPr="00D321F9">
        <w:rPr>
          <w:rFonts w:ascii="Times New Roman" w:hAnsi="Times New Roman"/>
          <w:szCs w:val="24"/>
        </w:rPr>
        <w:t xml:space="preserve">Our </w:t>
      </w:r>
      <w:r w:rsidR="00E80035" w:rsidRPr="00D321F9">
        <w:rPr>
          <w:rFonts w:ascii="Times New Roman" w:hAnsi="Times New Roman"/>
          <w:szCs w:val="24"/>
        </w:rPr>
        <w:t xml:space="preserve">target </w:t>
      </w:r>
      <w:r w:rsidRPr="00D321F9">
        <w:rPr>
          <w:rFonts w:ascii="Times New Roman" w:hAnsi="Times New Roman"/>
          <w:szCs w:val="24"/>
        </w:rPr>
        <w:t xml:space="preserve">goal </w:t>
      </w:r>
      <w:r w:rsidR="00E80035" w:rsidRPr="00D321F9">
        <w:rPr>
          <w:rFonts w:ascii="Times New Roman" w:hAnsi="Times New Roman"/>
          <w:szCs w:val="24"/>
        </w:rPr>
        <w:t xml:space="preserve">then </w:t>
      </w:r>
      <w:r w:rsidRPr="00D321F9">
        <w:rPr>
          <w:rFonts w:ascii="Times New Roman" w:hAnsi="Times New Roman"/>
          <w:szCs w:val="24"/>
        </w:rPr>
        <w:t xml:space="preserve">for each state is to make sure that the expected standard error is no larger than </w:t>
      </w:r>
      <w:r w:rsidR="00E80035" w:rsidRPr="00D321F9">
        <w:rPr>
          <w:rFonts w:ascii="Times New Roman" w:hAnsi="Times New Roman"/>
          <w:szCs w:val="24"/>
        </w:rPr>
        <w:t>5</w:t>
      </w:r>
      <w:r w:rsidRPr="00D321F9">
        <w:rPr>
          <w:rFonts w:ascii="Times New Roman" w:hAnsi="Times New Roman"/>
          <w:szCs w:val="24"/>
        </w:rPr>
        <w:t xml:space="preserve">% for a population proportion of 20% (a CV of </w:t>
      </w:r>
      <w:r w:rsidR="007C4902" w:rsidRPr="00D321F9">
        <w:rPr>
          <w:rFonts w:ascii="Times New Roman" w:hAnsi="Times New Roman"/>
          <w:szCs w:val="24"/>
        </w:rPr>
        <w:t>25</w:t>
      </w:r>
      <w:r w:rsidRPr="00D321F9">
        <w:rPr>
          <w:rFonts w:ascii="Times New Roman" w:hAnsi="Times New Roman"/>
          <w:szCs w:val="24"/>
        </w:rPr>
        <w:t>%), at both the school and teacher level.</w:t>
      </w:r>
    </w:p>
    <w:p w:rsidR="00BA615D" w:rsidRPr="00D321F9" w:rsidRDefault="00BA615D" w:rsidP="00231D7C">
      <w:pPr>
        <w:pStyle w:val="L1-FlLSp12"/>
        <w:spacing w:after="120" w:line="240" w:lineRule="auto"/>
        <w:rPr>
          <w:rFonts w:ascii="Times New Roman" w:hAnsi="Times New Roman"/>
          <w:szCs w:val="24"/>
        </w:rPr>
      </w:pPr>
      <w:r w:rsidRPr="00D321F9">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BA615D" w:rsidRPr="00D321F9" w:rsidRDefault="00BA615D"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3.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s</w:t>
      </w:r>
      <w:r w:rsidRPr="00D321F9">
        <w:rPr>
          <w:rFonts w:ascii="Times New Roman" w:eastAsia="Calibri" w:hAnsi="Times New Roman"/>
          <w:b/>
          <w:bCs/>
          <w:szCs w:val="24"/>
        </w:rPr>
        <w:t xml:space="preserve">chool-domain expected interviews, standard errors, and design effects with state oversampling to achieve </w:t>
      </w:r>
      <w:r w:rsidR="00A2151A">
        <w:rPr>
          <w:rFonts w:ascii="Times New Roman" w:eastAsia="Calibri" w:hAnsi="Times New Roman"/>
          <w:b/>
          <w:bCs/>
          <w:szCs w:val="24"/>
        </w:rPr>
        <w:t>25</w:t>
      </w:r>
      <w:r w:rsidRPr="00D321F9">
        <w:rPr>
          <w:rFonts w:ascii="Times New Roman" w:eastAsia="Calibri" w:hAnsi="Times New Roman"/>
          <w:b/>
          <w:bCs/>
          <w:szCs w:val="24"/>
        </w:rPr>
        <w:t>% CV or less</w:t>
      </w:r>
    </w:p>
    <w:tbl>
      <w:tblPr>
        <w:tblW w:w="0" w:type="auto"/>
        <w:tblLayout w:type="fixed"/>
        <w:tblLook w:val="04A0" w:firstRow="1" w:lastRow="0" w:firstColumn="1" w:lastColumn="0" w:noHBand="0" w:noVBand="1"/>
      </w:tblPr>
      <w:tblGrid>
        <w:gridCol w:w="3168"/>
        <w:gridCol w:w="1710"/>
        <w:gridCol w:w="2430"/>
        <w:gridCol w:w="1800"/>
        <w:gridCol w:w="1764"/>
      </w:tblGrid>
      <w:tr w:rsidR="00D321F9" w:rsidRPr="00D321F9" w:rsidTr="0017297F">
        <w:tc>
          <w:tcPr>
            <w:tcW w:w="3168"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1.680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1.375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1.658</w:t>
            </w:r>
          </w:p>
        </w:tc>
      </w:tr>
      <w:tr w:rsidR="0017297F" w:rsidRPr="00D321F9" w:rsidTr="0017297F">
        <w:tc>
          <w:tcPr>
            <w:tcW w:w="3168" w:type="dxa"/>
            <w:tcBorders>
              <w:top w:val="single" w:sz="8" w:space="0" w:color="auto"/>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1.431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2.125</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1.814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1.673</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1.581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1.696</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1.775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2.464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1.621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1.377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1.343</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1.255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1.947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1.590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1.574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1.507</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rsidR="0017297F" w:rsidRDefault="0017297F" w:rsidP="0017297F">
            <w:pPr>
              <w:jc w:val="center"/>
            </w:pPr>
            <w:r w:rsidRPr="00DD78A7">
              <w:t>2.603</w:t>
            </w:r>
          </w:p>
        </w:tc>
      </w:tr>
    </w:tbl>
    <w:p w:rsidR="009139C9" w:rsidRPr="00D321F9" w:rsidRDefault="009139C9" w:rsidP="007F1D78">
      <w:pPr>
        <w:pStyle w:val="L1-FlLSp12"/>
        <w:widowControl w:val="0"/>
        <w:spacing w:after="120" w:line="240" w:lineRule="auto"/>
        <w:rPr>
          <w:rFonts w:ascii="Times New Roman" w:hAnsi="Times New Roman"/>
          <w:szCs w:val="24"/>
        </w:rPr>
      </w:pPr>
    </w:p>
    <w:p w:rsidR="009139C9" w:rsidRPr="00D321F9"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4 provides the analogous precision analysis for public school teachers. The expected standard errors were calculated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9139C9" w:rsidRPr="00D321F9" w:rsidRDefault="009139C9" w:rsidP="001C779D">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4.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m</w:t>
      </w:r>
      <w:r w:rsidRPr="00D321F9">
        <w:rPr>
          <w:rFonts w:ascii="Times New Roman" w:eastAsia="Calibri" w:hAnsi="Times New Roman"/>
          <w:b/>
          <w:bCs/>
          <w:szCs w:val="24"/>
        </w:rPr>
        <w:t xml:space="preserve">ajor domain expected teacher interviews, standard errors, and design effects with </w:t>
      </w:r>
      <w:r w:rsidR="00A2151A">
        <w:rPr>
          <w:rFonts w:ascii="Times New Roman" w:eastAsia="Calibri" w:hAnsi="Times New Roman"/>
          <w:b/>
          <w:bCs/>
          <w:szCs w:val="24"/>
        </w:rPr>
        <w:t>state oversampling to achieve 25</w:t>
      </w:r>
      <w:r w:rsidRPr="00D321F9">
        <w:rPr>
          <w:rFonts w:ascii="Times New Roman" w:eastAsia="Calibri" w:hAnsi="Times New Roman"/>
          <w:b/>
          <w:bCs/>
          <w:szCs w:val="24"/>
        </w:rPr>
        <w:t>% CV or less</w:t>
      </w:r>
    </w:p>
    <w:tbl>
      <w:tblPr>
        <w:tblW w:w="0" w:type="auto"/>
        <w:tblLook w:val="04A0" w:firstRow="1" w:lastRow="0" w:firstColumn="1" w:lastColumn="0" w:noHBand="0" w:noVBand="1"/>
      </w:tblPr>
      <w:tblGrid>
        <w:gridCol w:w="2856"/>
        <w:gridCol w:w="2835"/>
        <w:gridCol w:w="2468"/>
        <w:gridCol w:w="1641"/>
        <w:gridCol w:w="1072"/>
      </w:tblGrid>
      <w:tr w:rsidR="00D321F9" w:rsidRPr="00D321F9" w:rsidTr="007215B4">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0.44%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1.24%</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3.25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0.46%</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4.14</w:t>
            </w:r>
          </w:p>
        </w:tc>
      </w:tr>
      <w:tr w:rsidR="00E41FE5" w:rsidRPr="00D321F9" w:rsidTr="002470F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13,507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0.67%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3.80</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6,368</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11,154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4.72</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3,694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1.23%</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3.47</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4.36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11,377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5,126</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1.10%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3.85</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0.90%</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3.99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712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2.49%</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2.75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1,519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1.85%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3.26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9,999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3.73</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9,544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4.22</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4,909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4.38</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8,039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0.98%</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4.81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4.46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6,253</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4.34</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9,287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7,829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4.06</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75C20">
            <w:pPr>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jc w:val="center"/>
            </w:pPr>
            <w:r w:rsidRPr="009E26A9">
              <w:t>3.00%</w:t>
            </w:r>
          </w:p>
        </w:tc>
        <w:tc>
          <w:tcPr>
            <w:tcW w:w="0" w:type="auto"/>
            <w:tcBorders>
              <w:top w:val="nil"/>
              <w:left w:val="nil"/>
              <w:bottom w:val="single" w:sz="8" w:space="0" w:color="auto"/>
              <w:right w:val="nil"/>
            </w:tcBorders>
            <w:shd w:val="clear" w:color="auto" w:fill="auto"/>
            <w:noWrap/>
            <w:hideMark/>
          </w:tcPr>
          <w:p w:rsidR="00E41FE5" w:rsidRDefault="00E41FE5" w:rsidP="00E41FE5">
            <w:pPr>
              <w:jc w:val="center"/>
            </w:pPr>
            <w:r w:rsidRPr="00014240">
              <w:t>4.68</w:t>
            </w:r>
          </w:p>
        </w:tc>
      </w:tr>
    </w:tbl>
    <w:p w:rsidR="002E21B6" w:rsidRPr="00D321F9" w:rsidRDefault="002E21B6" w:rsidP="007F1D78">
      <w:pPr>
        <w:pStyle w:val="L1-FlLSp12"/>
        <w:spacing w:after="120" w:line="240" w:lineRule="auto"/>
        <w:rPr>
          <w:rFonts w:ascii="Times New Roman" w:hAnsi="Times New Roman"/>
          <w:b/>
          <w:bCs/>
          <w:i/>
          <w:iCs/>
          <w:szCs w:val="24"/>
        </w:rPr>
      </w:pPr>
    </w:p>
    <w:p w:rsidR="009139C9" w:rsidRPr="00D321F9" w:rsidRDefault="009139C9"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Private Schools</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To inform the sample design for the NTPS 2017</w:t>
      </w:r>
      <w:r w:rsidR="007F5C54">
        <w:rPr>
          <w:rFonts w:ascii="Times New Roman" w:hAnsi="Times New Roman"/>
          <w:szCs w:val="24"/>
        </w:rPr>
        <w:t>-1</w:t>
      </w:r>
      <w:r w:rsidRPr="00D321F9">
        <w:rPr>
          <w:rFonts w:ascii="Times New Roman" w:hAnsi="Times New Roman"/>
          <w:szCs w:val="24"/>
        </w:rPr>
        <w:t xml:space="preserve">8 Private School </w:t>
      </w:r>
      <w:r w:rsidR="00D4552E" w:rsidRPr="00D321F9">
        <w:rPr>
          <w:rFonts w:ascii="Times New Roman" w:hAnsi="Times New Roman"/>
          <w:szCs w:val="24"/>
        </w:rPr>
        <w:t>Pilot Study</w:t>
      </w:r>
      <w:r w:rsidRPr="00D321F9">
        <w:rPr>
          <w:rFonts w:ascii="Times New Roman" w:hAnsi="Times New Roman"/>
          <w:szCs w:val="24"/>
        </w:rPr>
        <w:t>, NCES evaluated the level of precision achieved by 2011-12 SASS. The precision analysis was based on analysis variables and on proportions to address important characteristics. The following variables were evaluated:</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 xml:space="preserve">School type (Religious – Catholic, Religious – </w:t>
      </w:r>
      <w:r w:rsidR="00D4552E" w:rsidRPr="00D321F9">
        <w:rPr>
          <w:rFonts w:ascii="Times New Roman" w:hAnsi="Times New Roman"/>
          <w:szCs w:val="24"/>
        </w:rPr>
        <w:t>Other</w:t>
      </w:r>
      <w:r w:rsidRPr="00D321F9">
        <w:rPr>
          <w:rFonts w:ascii="Times New Roman" w:hAnsi="Times New Roman"/>
          <w:szCs w:val="24"/>
        </w:rPr>
        <w:t>, Non-Religious);</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Grade Level (Elementary, Secondary, Combined); and</w:t>
      </w:r>
    </w:p>
    <w:p w:rsidR="00F0191A" w:rsidRPr="00D321F9" w:rsidRDefault="00F0191A" w:rsidP="002B42F2">
      <w:pPr>
        <w:pStyle w:val="L1-FlLSp12"/>
        <w:numPr>
          <w:ilvl w:val="0"/>
          <w:numId w:val="34"/>
        </w:numPr>
        <w:tabs>
          <w:tab w:val="clear" w:pos="1152"/>
        </w:tabs>
        <w:spacing w:after="120" w:line="240" w:lineRule="auto"/>
        <w:rPr>
          <w:rFonts w:ascii="Times New Roman" w:hAnsi="Times New Roman"/>
          <w:szCs w:val="24"/>
        </w:rPr>
      </w:pPr>
      <w:r w:rsidRPr="00D321F9">
        <w:rPr>
          <w:rFonts w:ascii="Times New Roman" w:hAnsi="Times New Roman"/>
          <w:szCs w:val="24"/>
        </w:rPr>
        <w:t>Region (Northeast, Midwest, South, West).</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sample design for private schools is broadly consistent with the private school design for SASS, except that the sample size is increased by roughly one-third to achieve the precision goals for the experimental study (see Section B.4). In addition, sampling rates for nonsectarian and secondary schools are set to better equalize the precisions of these domains with the other school type and grade level domains. NCES has also evaluated the sampling plan for the ability to achieve a minimum level of CV. The desired goal was to achieve a CV of less than 30 percent </w:t>
      </w:r>
      <w:r w:rsidR="000F2C09" w:rsidRPr="00D321F9">
        <w:rPr>
          <w:rFonts w:ascii="Times New Roman" w:hAnsi="Times New Roman"/>
          <w:szCs w:val="24"/>
        </w:rPr>
        <w:t>for a population proportion of 20%</w:t>
      </w:r>
      <w:r w:rsidR="000F2C09" w:rsidRPr="00D321F9">
        <w:rPr>
          <w:rFonts w:ascii="Times New Roman" w:hAnsi="Times New Roman"/>
          <w:szCs w:val="24"/>
          <w:lang w:eastAsia="ko-KR"/>
        </w:rPr>
        <w:t xml:space="preserve"> </w:t>
      </w:r>
      <w:r w:rsidRPr="00D321F9">
        <w:rPr>
          <w:rFonts w:ascii="Times New Roman" w:hAnsi="Times New Roman"/>
          <w:szCs w:val="24"/>
        </w:rPr>
        <w:t>in order to meet NCES standards for reporting.</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In order to better equalize precision across major schools domains for private schools from those achieved in SASS 2011</w:t>
      </w:r>
      <w:r w:rsidR="007F5C54">
        <w:rPr>
          <w:rFonts w:ascii="Times New Roman" w:hAnsi="Times New Roman"/>
          <w:szCs w:val="24"/>
        </w:rPr>
        <w:t>-1</w:t>
      </w:r>
      <w:r w:rsidRPr="00D321F9">
        <w:rPr>
          <w:rFonts w:ascii="Times New Roman" w:hAnsi="Times New Roman"/>
          <w:szCs w:val="24"/>
        </w:rPr>
        <w:t>2, NCES plans to oversample as follows: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Secondary schools will be sampled at a rate proportional to 3.33 times the measure of size (as determined by number of FTE teachers);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Non-</w:t>
      </w:r>
      <w:r w:rsidR="00C13B53" w:rsidRPr="00D321F9">
        <w:rPr>
          <w:rFonts w:ascii="Times New Roman" w:hAnsi="Times New Roman"/>
          <w:szCs w:val="24"/>
        </w:rPr>
        <w:t>Religious</w:t>
      </w:r>
      <w:r w:rsidRPr="00D321F9">
        <w:rPr>
          <w:rFonts w:ascii="Times New Roman" w:hAnsi="Times New Roman"/>
          <w:szCs w:val="24"/>
        </w:rPr>
        <w:t xml:space="preserve"> schools will be sampled at a rate proportional to 1.43 times the measure of size (except for secondary non-</w:t>
      </w:r>
      <w:r w:rsidR="00C13B53" w:rsidRPr="00D321F9">
        <w:rPr>
          <w:rFonts w:ascii="Times New Roman" w:hAnsi="Times New Roman"/>
          <w:szCs w:val="24"/>
        </w:rPr>
        <w:t>religious</w:t>
      </w:r>
      <w:r w:rsidRPr="00D321F9">
        <w:rPr>
          <w:rFonts w:ascii="Times New Roman" w:hAnsi="Times New Roman"/>
          <w:szCs w:val="24"/>
        </w:rPr>
        <w:t xml:space="preserve"> schools, which are sampled at the 3.33 rate); and</w:t>
      </w:r>
    </w:p>
    <w:p w:rsidR="00F0191A" w:rsidRPr="00D321F9" w:rsidRDefault="00F0191A" w:rsidP="002B42F2">
      <w:pPr>
        <w:pStyle w:val="L1-FlLSp12"/>
        <w:numPr>
          <w:ilvl w:val="0"/>
          <w:numId w:val="35"/>
        </w:numPr>
        <w:tabs>
          <w:tab w:val="clear" w:pos="1152"/>
        </w:tabs>
        <w:spacing w:after="120" w:line="240" w:lineRule="auto"/>
        <w:rPr>
          <w:rFonts w:ascii="Times New Roman" w:hAnsi="Times New Roman"/>
          <w:szCs w:val="24"/>
        </w:rPr>
      </w:pPr>
      <w:r w:rsidRPr="00D321F9">
        <w:rPr>
          <w:rFonts w:ascii="Times New Roman" w:hAnsi="Times New Roman"/>
          <w:szCs w:val="24"/>
        </w:rPr>
        <w:t>Other strata will be sampled at a rate proportional to 1.0 times the measure of size.</w:t>
      </w:r>
    </w:p>
    <w:p w:rsidR="00B61E5B" w:rsidRPr="00D321F9" w:rsidRDefault="00B61E5B"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2017</w:t>
      </w:r>
      <w:r w:rsidR="007F5C54">
        <w:rPr>
          <w:rFonts w:ascii="Times New Roman" w:hAnsi="Times New Roman"/>
          <w:szCs w:val="24"/>
        </w:rPr>
        <w:t>-1</w:t>
      </w:r>
      <w:r w:rsidRPr="00D321F9">
        <w:rPr>
          <w:rFonts w:ascii="Times New Roman" w:hAnsi="Times New Roman"/>
          <w:szCs w:val="24"/>
        </w:rPr>
        <w:t>8 will be similar to the rate for the 2011-12 SASS,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rsidR="009139C9" w:rsidRPr="00D321F9" w:rsidRDefault="009139C9"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rsidR="002958AB" w:rsidRPr="00D321F9" w:rsidRDefault="002E21B6"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5. School-domain expected interviews, standard errors, and design effects </w:t>
      </w:r>
      <w:r w:rsidR="005117A4" w:rsidRPr="00D321F9">
        <w:rPr>
          <w:rFonts w:ascii="Times New Roman" w:eastAsia="Calibri" w:hAnsi="Times New Roman"/>
          <w:b/>
          <w:bCs/>
          <w:szCs w:val="24"/>
        </w:rPr>
        <w:t>for the NTPS 2017-18 private school pilot study</w:t>
      </w:r>
    </w:p>
    <w:tbl>
      <w:tblPr>
        <w:tblW w:w="0" w:type="auto"/>
        <w:tblLook w:val="04A0" w:firstRow="1" w:lastRow="0" w:firstColumn="1" w:lastColumn="0" w:noHBand="0" w:noVBand="1"/>
      </w:tblPr>
      <w:tblGrid>
        <w:gridCol w:w="1542"/>
        <w:gridCol w:w="1511"/>
        <w:gridCol w:w="4019"/>
        <w:gridCol w:w="2415"/>
        <w:gridCol w:w="1385"/>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2</w:t>
            </w:r>
            <w:r w:rsidRPr="00D321F9">
              <w:rPr>
                <w:rFonts w:ascii="Times New Roman" w:hAnsi="Times New Roman"/>
                <w:lang w:eastAsia="ko-KR"/>
              </w:rPr>
              <w:t>,</w:t>
            </w:r>
            <w:r w:rsidRPr="00D321F9">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r>
      <w:tr w:rsidR="00D321F9" w:rsidRPr="00D321F9" w:rsidTr="00175C20">
        <w:tc>
          <w:tcPr>
            <w:tcW w:w="0" w:type="auto"/>
            <w:tcBorders>
              <w:top w:val="single" w:sz="4" w:space="0" w:color="auto"/>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1.55</w:t>
            </w:r>
          </w:p>
        </w:tc>
      </w:tr>
      <w:tr w:rsidR="00D321F9" w:rsidRPr="00D321F9" w:rsidTr="00175C20">
        <w:tc>
          <w:tcPr>
            <w:tcW w:w="0" w:type="auto"/>
            <w:tcBorders>
              <w:top w:val="nil"/>
              <w:left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1.80%</w:t>
            </w:r>
          </w:p>
        </w:tc>
        <w:tc>
          <w:tcPr>
            <w:tcW w:w="0" w:type="auto"/>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1.57</w:t>
            </w:r>
          </w:p>
        </w:tc>
      </w:tr>
      <w:tr w:rsidR="00D321F9" w:rsidRPr="00D321F9" w:rsidTr="00175C20">
        <w:tc>
          <w:tcPr>
            <w:tcW w:w="0" w:type="auto"/>
            <w:tcBorders>
              <w:top w:val="nil"/>
              <w:left w:val="nil"/>
              <w:bottom w:val="single" w:sz="4" w:space="0" w:color="auto"/>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1.46</w:t>
            </w:r>
          </w:p>
        </w:tc>
      </w:tr>
      <w:tr w:rsidR="00D321F9" w:rsidRPr="00D321F9" w:rsidTr="00175C20">
        <w:tc>
          <w:tcPr>
            <w:tcW w:w="0" w:type="auto"/>
            <w:tcBorders>
              <w:top w:val="single" w:sz="4"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1.34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1.69%</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1.17</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1.72%</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1.45</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2.24%</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1.61</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1.86%</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r>
      <w:tr w:rsidR="00D34CE0" w:rsidRPr="00D321F9" w:rsidTr="00175C20">
        <w:tc>
          <w:tcPr>
            <w:tcW w:w="0" w:type="auto"/>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1.58</w:t>
            </w:r>
          </w:p>
        </w:tc>
      </w:tr>
    </w:tbl>
    <w:p w:rsidR="009139C9" w:rsidRPr="00D321F9" w:rsidRDefault="009139C9" w:rsidP="007F1D78">
      <w:pPr>
        <w:pStyle w:val="L1-FlLSp12"/>
        <w:spacing w:line="240" w:lineRule="auto"/>
        <w:rPr>
          <w:rFonts w:ascii="Times New Roman" w:hAnsi="Times New Roman"/>
          <w:bCs/>
          <w:iCs/>
          <w:sz w:val="22"/>
          <w:szCs w:val="22"/>
        </w:rPr>
      </w:pPr>
    </w:p>
    <w:p w:rsidR="007215B4"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6 provides the analogous precision analysis for </w:t>
      </w:r>
      <w:r w:rsidR="00735D3A" w:rsidRPr="00D321F9">
        <w:rPr>
          <w:rFonts w:ascii="Times New Roman" w:hAnsi="Times New Roman"/>
          <w:szCs w:val="24"/>
        </w:rPr>
        <w:t>private</w:t>
      </w:r>
      <w:r w:rsidRPr="00D321F9">
        <w:rPr>
          <w:rFonts w:ascii="Times New Roman" w:hAnsi="Times New Roman"/>
          <w:szCs w:val="24"/>
        </w:rPr>
        <w:t xml:space="preserve"> school teachers.</w:t>
      </w:r>
    </w:p>
    <w:p w:rsidR="005117A4" w:rsidRPr="00D321F9" w:rsidRDefault="009139C9"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6. Major domain expected teacher interviews, standard errors, and design </w:t>
      </w:r>
      <w:r w:rsidR="005117A4" w:rsidRPr="00D321F9">
        <w:rPr>
          <w:rFonts w:ascii="Times New Roman" w:eastAsia="Calibri" w:hAnsi="Times New Roman"/>
          <w:b/>
          <w:bCs/>
          <w:szCs w:val="24"/>
        </w:rPr>
        <w:t>for the NTPS 2017-18 private school pilot study</w:t>
      </w:r>
    </w:p>
    <w:tbl>
      <w:tblPr>
        <w:tblW w:w="5000" w:type="pct"/>
        <w:tblLook w:val="04A0" w:firstRow="1" w:lastRow="0" w:firstColumn="1" w:lastColumn="0" w:noHBand="0" w:noVBand="1"/>
      </w:tblPr>
      <w:tblGrid>
        <w:gridCol w:w="1729"/>
        <w:gridCol w:w="2922"/>
        <w:gridCol w:w="2922"/>
        <w:gridCol w:w="1703"/>
        <w:gridCol w:w="1596"/>
      </w:tblGrid>
      <w:tr w:rsidR="00D321F9" w:rsidRPr="00D321F9"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w:t>
            </w:r>
            <w:r w:rsidR="00FF6ED2" w:rsidRPr="00D321F9">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0.99%</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3.58</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3.98</w:t>
            </w:r>
          </w:p>
        </w:tc>
      </w:tr>
      <w:tr w:rsidR="00D321F9" w:rsidRPr="00D321F9" w:rsidTr="00583030">
        <w:tc>
          <w:tcPr>
            <w:tcW w:w="795" w:type="pct"/>
            <w:tcBorders>
              <w:top w:val="nil"/>
              <w:left w:val="nil"/>
              <w:bottom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1.72%</w:t>
            </w:r>
          </w:p>
        </w:tc>
        <w:tc>
          <w:tcPr>
            <w:tcW w:w="734" w:type="pct"/>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3.24</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3.40</w:t>
            </w:r>
          </w:p>
        </w:tc>
      </w:tr>
      <w:tr w:rsidR="00D321F9" w:rsidRPr="00D321F9" w:rsidTr="00583030">
        <w:tc>
          <w:tcPr>
            <w:tcW w:w="795" w:type="pct"/>
            <w:tcBorders>
              <w:top w:val="single" w:sz="8"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2.81</w:t>
            </w:r>
          </w:p>
        </w:tc>
      </w:tr>
      <w:tr w:rsidR="00D321F9" w:rsidRPr="00D321F9" w:rsidTr="00583030">
        <w:tc>
          <w:tcPr>
            <w:tcW w:w="795" w:type="pct"/>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1.66%</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3.32</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3.31</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3.84</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2.13%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3.50</w:t>
            </w:r>
          </w:p>
        </w:tc>
      </w:tr>
      <w:tr w:rsidR="00D321F9" w:rsidRPr="00D321F9" w:rsidTr="00583030">
        <w:trPr>
          <w:trHeight w:val="80"/>
        </w:trPr>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1.74%</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3.48</w:t>
            </w:r>
          </w:p>
        </w:tc>
      </w:tr>
      <w:tr w:rsidR="00D34CE0" w:rsidRPr="00D321F9" w:rsidTr="00583030">
        <w:tc>
          <w:tcPr>
            <w:tcW w:w="795"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3.47</w:t>
            </w:r>
          </w:p>
        </w:tc>
      </w:tr>
    </w:tbl>
    <w:p w:rsidR="00735D3A" w:rsidRPr="00D321F9" w:rsidRDefault="00735D3A" w:rsidP="007215B4">
      <w:pPr>
        <w:pStyle w:val="L1-FlLSp12"/>
        <w:spacing w:line="240" w:lineRule="auto"/>
        <w:rPr>
          <w:rFonts w:ascii="Times New Roman" w:hAnsi="Times New Roman"/>
          <w:szCs w:val="24"/>
        </w:rPr>
      </w:pPr>
    </w:p>
    <w:p w:rsidR="00F0191A" w:rsidRPr="00D321F9" w:rsidRDefault="00F0191A" w:rsidP="00175C20">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2017</w:t>
      </w:r>
      <w:r w:rsidR="007F5C54">
        <w:rPr>
          <w:rFonts w:ascii="Times New Roman" w:hAnsi="Times New Roman"/>
          <w:szCs w:val="24"/>
        </w:rPr>
        <w:t>-1</w:t>
      </w:r>
      <w:r w:rsidRPr="00D321F9">
        <w:rPr>
          <w:rFonts w:ascii="Times New Roman" w:hAnsi="Times New Roman"/>
          <w:szCs w:val="24"/>
        </w:rPr>
        <w:t>8 NTPS will have an implicit stratification based on the proposed systematic sampling sort order, which uses a hierarchy of the following domains:</w:t>
      </w:r>
    </w:p>
    <w:p w:rsidR="00F0191A" w:rsidRPr="00D321F9" w:rsidRDefault="00F0191A" w:rsidP="00126079">
      <w:pPr>
        <w:pStyle w:val="ListParagraph"/>
        <w:keepNext/>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State;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Highest grade;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Zip code;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School enrollment;</w:t>
      </w:r>
    </w:p>
    <w:p w:rsidR="007215B4"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PIN number.</w:t>
      </w:r>
    </w:p>
    <w:p w:rsidR="00F0191A"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r w:rsidR="00FF6ED2" w:rsidRPr="00D321F9">
        <w:rPr>
          <w:rFonts w:ascii="Times New Roman" w:hAnsi="Times New Roman"/>
          <w:szCs w:val="24"/>
        </w:rPr>
        <w:t>.</w:t>
      </w:r>
    </w:p>
    <w:p w:rsidR="009139C9" w:rsidRPr="00D321F9" w:rsidRDefault="009139C9" w:rsidP="00175C20">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Principals within All Schools</w:t>
      </w:r>
    </w:p>
    <w:p w:rsidR="009139C9"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Survey Weights</w:t>
      </w:r>
    </w:p>
    <w:p w:rsidR="007F1D78"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Response Rates</w:t>
      </w:r>
    </w:p>
    <w:p w:rsidR="009139C9" w:rsidRPr="00D321F9" w:rsidRDefault="009139C9" w:rsidP="00175C20">
      <w:pPr>
        <w:pStyle w:val="L1-FlLSp12"/>
        <w:spacing w:after="120" w:line="240" w:lineRule="auto"/>
        <w:rPr>
          <w:rFonts w:ascii="Times New Roman" w:hAnsi="Times New Roman"/>
          <w:szCs w:val="24"/>
        </w:rPr>
      </w:pPr>
      <w:r w:rsidRPr="00D321F9">
        <w:rPr>
          <w:rFonts w:ascii="Times New Roman" w:hAnsi="Times New Roman"/>
          <w:szCs w:val="24"/>
        </w:rPr>
        <w:t>We expect the NTPS 2017</w:t>
      </w:r>
      <w:r w:rsidR="007F5C54">
        <w:rPr>
          <w:rFonts w:ascii="Times New Roman" w:hAnsi="Times New Roman"/>
          <w:szCs w:val="24"/>
        </w:rPr>
        <w:t>-1</w:t>
      </w:r>
      <w:r w:rsidRPr="00D321F9">
        <w:rPr>
          <w:rFonts w:ascii="Times New Roman" w:hAnsi="Times New Roman"/>
          <w:szCs w:val="24"/>
        </w:rPr>
        <w:t>8 response rates to ap</w:t>
      </w:r>
      <w:r w:rsidR="00C71C8A" w:rsidRPr="00D321F9">
        <w:rPr>
          <w:rFonts w:ascii="Times New Roman" w:hAnsi="Times New Roman"/>
          <w:szCs w:val="24"/>
        </w:rPr>
        <w:t>proximate those of NTPS 2015</w:t>
      </w:r>
      <w:r w:rsidR="007F5C54">
        <w:rPr>
          <w:rFonts w:ascii="Times New Roman" w:hAnsi="Times New Roman"/>
          <w:szCs w:val="24"/>
        </w:rPr>
        <w:t>-1</w:t>
      </w:r>
      <w:r w:rsidR="00C71C8A" w:rsidRPr="00D321F9">
        <w:rPr>
          <w:rFonts w:ascii="Times New Roman" w:hAnsi="Times New Roman"/>
          <w:szCs w:val="24"/>
        </w:rPr>
        <w:t xml:space="preserve">6 </w:t>
      </w:r>
      <w:r w:rsidR="00463240" w:rsidRPr="00D321F9">
        <w:rPr>
          <w:rFonts w:ascii="Times New Roman" w:hAnsi="Times New Roman"/>
          <w:szCs w:val="24"/>
        </w:rPr>
        <w:t xml:space="preserve">(for public schools) </w:t>
      </w:r>
      <w:r w:rsidRPr="00D321F9">
        <w:rPr>
          <w:rFonts w:ascii="Times New Roman" w:hAnsi="Times New Roman"/>
          <w:szCs w:val="24"/>
        </w:rPr>
        <w:t>and SASS 2011</w:t>
      </w:r>
      <w:r w:rsidR="007F5C54">
        <w:rPr>
          <w:rFonts w:ascii="Times New Roman" w:hAnsi="Times New Roman"/>
          <w:szCs w:val="24"/>
        </w:rPr>
        <w:t>-1</w:t>
      </w:r>
      <w:r w:rsidRPr="00D321F9">
        <w:rPr>
          <w:rFonts w:ascii="Times New Roman" w:hAnsi="Times New Roman"/>
          <w:szCs w:val="24"/>
        </w:rPr>
        <w:t xml:space="preserve">2 (for </w:t>
      </w:r>
      <w:r w:rsidR="00463240" w:rsidRPr="00D321F9">
        <w:rPr>
          <w:rFonts w:ascii="Times New Roman" w:hAnsi="Times New Roman"/>
          <w:szCs w:val="24"/>
        </w:rPr>
        <w:t>private</w:t>
      </w:r>
      <w:r w:rsidRPr="00D321F9">
        <w:rPr>
          <w:rFonts w:ascii="Times New Roman" w:hAnsi="Times New Roman"/>
          <w:szCs w:val="24"/>
        </w:rPr>
        <w:t xml:space="preserve"> schools) or to fall lower given the long-term trend in declining response ra</w:t>
      </w:r>
      <w:r w:rsidR="002B2D4F" w:rsidRPr="00D321F9">
        <w:rPr>
          <w:rFonts w:ascii="Times New Roman" w:hAnsi="Times New Roman"/>
          <w:szCs w:val="24"/>
        </w:rPr>
        <w:t>tes for federal surveys. Table 7</w:t>
      </w:r>
      <w:r w:rsidRPr="00D321F9">
        <w:rPr>
          <w:rFonts w:ascii="Times New Roman" w:hAnsi="Times New Roman"/>
          <w:szCs w:val="24"/>
        </w:rPr>
        <w:t xml:space="preserve"> provides the base-weighted response rates for SASS 2011</w:t>
      </w:r>
      <w:r w:rsidR="007F5C54">
        <w:rPr>
          <w:rFonts w:ascii="Times New Roman" w:hAnsi="Times New Roman"/>
          <w:szCs w:val="24"/>
        </w:rPr>
        <w:t>-1</w:t>
      </w:r>
      <w:r w:rsidRPr="00D321F9">
        <w:rPr>
          <w:rFonts w:ascii="Times New Roman" w:hAnsi="Times New Roman"/>
          <w:szCs w:val="24"/>
        </w:rPr>
        <w:t>2, as the final base-weighted response rates are not yet calculated for NTPS 2015</w:t>
      </w:r>
      <w:r w:rsidR="007F5C54">
        <w:rPr>
          <w:rFonts w:ascii="Times New Roman" w:hAnsi="Times New Roman"/>
          <w:szCs w:val="24"/>
        </w:rPr>
        <w:t>-1</w:t>
      </w:r>
      <w:r w:rsidRPr="00D321F9">
        <w:rPr>
          <w:rFonts w:ascii="Times New Roman" w:hAnsi="Times New Roman"/>
          <w:szCs w:val="24"/>
        </w:rPr>
        <w:t>6.</w:t>
      </w:r>
    </w:p>
    <w:p w:rsidR="009139C9" w:rsidRPr="00D321F9" w:rsidRDefault="009139C9"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7. Base-weighted response rates for SASS 2011</w:t>
      </w:r>
      <w:r w:rsidR="007F5C54">
        <w:rPr>
          <w:rFonts w:ascii="Times New Roman" w:eastAsia="Calibri" w:hAnsi="Times New Roman"/>
          <w:b/>
          <w:bCs/>
          <w:szCs w:val="24"/>
        </w:rPr>
        <w:t>-1</w:t>
      </w:r>
      <w:r w:rsidRPr="00D321F9">
        <w:rPr>
          <w:rFonts w:ascii="Times New Roman" w:eastAsia="Calibri" w:hAnsi="Times New Roman"/>
          <w:b/>
          <w:bCs/>
          <w:szCs w:val="24"/>
        </w:rPr>
        <w:t>2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D321F9" w:rsidRPr="00D321F9" w:rsidTr="009139C9">
        <w:tc>
          <w:tcPr>
            <w:tcW w:w="1576" w:type="pct"/>
            <w:vMerge w:val="restart"/>
            <w:vAlign w:val="bottom"/>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 Type</w:t>
            </w:r>
          </w:p>
        </w:tc>
        <w:tc>
          <w:tcPr>
            <w:tcW w:w="3424" w:type="pct"/>
            <w:gridSpan w:val="3"/>
            <w:vAlign w:val="bottom"/>
          </w:tcPr>
          <w:p w:rsidR="009139C9" w:rsidRPr="00D321F9" w:rsidRDefault="009139C9" w:rsidP="007F1D78">
            <w:pPr>
              <w:pStyle w:val="L1-FlLSp12"/>
              <w:spacing w:line="240" w:lineRule="auto"/>
              <w:jc w:val="center"/>
              <w:rPr>
                <w:rFonts w:ascii="Times New Roman" w:hAnsi="Times New Roman"/>
                <w:b/>
                <w:bCs/>
                <w:sz w:val="20"/>
              </w:rPr>
            </w:pPr>
            <w:r w:rsidRPr="00D321F9">
              <w:rPr>
                <w:rFonts w:ascii="Times New Roman" w:hAnsi="Times New Roman"/>
                <w:b/>
                <w:bCs/>
                <w:sz w:val="20"/>
              </w:rPr>
              <w:t>Unit of Observation</w:t>
            </w:r>
          </w:p>
        </w:tc>
      </w:tr>
      <w:tr w:rsidR="00D321F9" w:rsidRPr="00D321F9" w:rsidTr="009139C9">
        <w:tc>
          <w:tcPr>
            <w:tcW w:w="1576" w:type="pct"/>
            <w:vMerge/>
          </w:tcPr>
          <w:p w:rsidR="009139C9" w:rsidRPr="00D321F9" w:rsidRDefault="009139C9" w:rsidP="007F1D78">
            <w:pPr>
              <w:pStyle w:val="L1-FlLSp12"/>
              <w:spacing w:line="240" w:lineRule="auto"/>
              <w:rPr>
                <w:rFonts w:ascii="Times New Roman" w:hAnsi="Times New Roman"/>
                <w:b/>
                <w:bCs/>
                <w:sz w:val="20"/>
              </w:rPr>
            </w:pPr>
          </w:p>
        </w:tc>
        <w:tc>
          <w:tcPr>
            <w:tcW w:w="1196"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Teacher</w:t>
            </w:r>
          </w:p>
        </w:tc>
        <w:tc>
          <w:tcPr>
            <w:tcW w:w="1141"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Principal</w:t>
            </w:r>
          </w:p>
        </w:tc>
        <w:tc>
          <w:tcPr>
            <w:tcW w:w="1087"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Traditional Public</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77.92%</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72.90%</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72.68%</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Charter</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70.36%</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69.67%</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69.15%</w:t>
            </w:r>
          </w:p>
        </w:tc>
      </w:tr>
      <w:tr w:rsidR="002B2D4F" w:rsidRPr="00D321F9" w:rsidTr="009139C9">
        <w:tc>
          <w:tcPr>
            <w:tcW w:w="1576" w:type="pct"/>
          </w:tcPr>
          <w:p w:rsidR="002B2D4F" w:rsidRPr="00D321F9" w:rsidRDefault="002B2D4F" w:rsidP="007F1D78">
            <w:pPr>
              <w:pStyle w:val="L1-FlLSp12"/>
              <w:spacing w:line="240" w:lineRule="auto"/>
              <w:rPr>
                <w:rFonts w:ascii="Times New Roman" w:hAnsi="Times New Roman"/>
                <w:sz w:val="20"/>
              </w:rPr>
            </w:pPr>
            <w:r w:rsidRPr="00D321F9">
              <w:rPr>
                <w:rFonts w:ascii="Times New Roman" w:hAnsi="Times New Roman"/>
                <w:sz w:val="20"/>
              </w:rPr>
              <w:t>Private</w:t>
            </w:r>
          </w:p>
        </w:tc>
        <w:tc>
          <w:tcPr>
            <w:tcW w:w="1196"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69.9%</w:t>
            </w:r>
          </w:p>
        </w:tc>
        <w:tc>
          <w:tcPr>
            <w:tcW w:w="1141"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64.7%</w:t>
            </w:r>
          </w:p>
        </w:tc>
        <w:tc>
          <w:tcPr>
            <w:tcW w:w="1087"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65.7%</w:t>
            </w:r>
          </w:p>
        </w:tc>
      </w:tr>
    </w:tbl>
    <w:p w:rsidR="009139C9" w:rsidRPr="00D321F9" w:rsidRDefault="009139C9" w:rsidP="007215B4">
      <w:pPr>
        <w:pStyle w:val="L1-FlLSp12"/>
        <w:spacing w:line="240" w:lineRule="auto"/>
        <w:rPr>
          <w:rFonts w:ascii="Times New Roman" w:hAnsi="Times New Roman"/>
          <w:sz w:val="22"/>
          <w:szCs w:val="22"/>
        </w:rPr>
      </w:pPr>
    </w:p>
    <w:p w:rsidR="00C8143E" w:rsidRPr="00D321F9" w:rsidRDefault="00F153D0" w:rsidP="00175C20">
      <w:pPr>
        <w:pStyle w:val="Heading1"/>
        <w:keepNext w:val="0"/>
        <w:spacing w:after="120" w:line="240" w:lineRule="auto"/>
        <w:jc w:val="left"/>
        <w:rPr>
          <w:rFonts w:ascii="Times New Roman" w:hAnsi="Times New Roman"/>
          <w:color w:val="auto"/>
          <w:sz w:val="24"/>
          <w:szCs w:val="24"/>
        </w:rPr>
      </w:pPr>
      <w:bookmarkStart w:id="41" w:name="_Toc391625750"/>
      <w:bookmarkStart w:id="42" w:name="_Toc392706708"/>
      <w:bookmarkStart w:id="43" w:name="_Toc420609070"/>
      <w:bookmarkStart w:id="44" w:name="_Toc455154250"/>
      <w:bookmarkStart w:id="45" w:name="_Toc455496443"/>
      <w:bookmarkStart w:id="46" w:name="_Toc468187456"/>
      <w:bookmarkStart w:id="47" w:name="_Toc481483737"/>
      <w:r w:rsidRPr="00D321F9">
        <w:rPr>
          <w:rFonts w:ascii="Times New Roman" w:hAnsi="Times New Roman"/>
          <w:color w:val="auto"/>
          <w:sz w:val="24"/>
          <w:szCs w:val="24"/>
        </w:rPr>
        <w:t>B.2</w:t>
      </w:r>
      <w:r w:rsidRPr="00D321F9">
        <w:rPr>
          <w:rFonts w:ascii="Times New Roman" w:hAnsi="Times New Roman"/>
          <w:color w:val="auto"/>
          <w:sz w:val="24"/>
          <w:szCs w:val="24"/>
        </w:rPr>
        <w:tab/>
        <w:t>Procedures for the Collection of Information</w:t>
      </w:r>
      <w:bookmarkEnd w:id="41"/>
      <w:bookmarkEnd w:id="42"/>
      <w:bookmarkEnd w:id="43"/>
      <w:bookmarkEnd w:id="44"/>
      <w:bookmarkEnd w:id="45"/>
      <w:bookmarkEnd w:id="46"/>
      <w:bookmarkEnd w:id="47"/>
    </w:p>
    <w:p w:rsidR="007F011C" w:rsidRDefault="007F011C" w:rsidP="0023465F">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Pr="00622089">
        <w:rPr>
          <w:rFonts w:ascii="Times New Roman" w:hAnsi="Times New Roman"/>
          <w:szCs w:val="24"/>
        </w:rPr>
        <w:t xml:space="preserve">the operations for the </w:t>
      </w:r>
      <w:r>
        <w:rPr>
          <w:rFonts w:ascii="Times New Roman" w:hAnsi="Times New Roman"/>
          <w:szCs w:val="24"/>
        </w:rPr>
        <w:t xml:space="preserve">already approved </w:t>
      </w:r>
      <w:r w:rsidRPr="00622089">
        <w:rPr>
          <w:rFonts w:ascii="Times New Roman" w:hAnsi="Times New Roman"/>
          <w:szCs w:val="24"/>
        </w:rPr>
        <w:t>preliminary field activities for NTPS 2017-18</w:t>
      </w:r>
      <w:r>
        <w:rPr>
          <w:rFonts w:ascii="Times New Roman" w:hAnsi="Times New Roman"/>
          <w:szCs w:val="24"/>
        </w:rPr>
        <w:t xml:space="preserve">, with </w:t>
      </w:r>
      <w:r w:rsidRPr="00622089">
        <w:rPr>
          <w:rFonts w:ascii="Times New Roman" w:hAnsi="Times New Roman"/>
          <w:szCs w:val="24"/>
        </w:rPr>
        <w:t>Section B.2.1</w:t>
      </w:r>
      <w:r>
        <w:rPr>
          <w:rFonts w:ascii="Times New Roman" w:hAnsi="Times New Roman"/>
          <w:szCs w:val="24"/>
        </w:rPr>
        <w:t>.1</w:t>
      </w:r>
      <w:r w:rsidRPr="00622089">
        <w:rPr>
          <w:rFonts w:ascii="Times New Roman" w:hAnsi="Times New Roman"/>
          <w:szCs w:val="24"/>
        </w:rPr>
        <w:t xml:space="preserve"> describ</w:t>
      </w:r>
      <w:r>
        <w:rPr>
          <w:rFonts w:ascii="Times New Roman" w:hAnsi="Times New Roman"/>
          <w:szCs w:val="24"/>
        </w:rPr>
        <w:t>ing</w:t>
      </w:r>
      <w:r w:rsidRPr="00622089">
        <w:rPr>
          <w:rFonts w:ascii="Times New Roman" w:hAnsi="Times New Roman"/>
          <w:szCs w:val="24"/>
        </w:rPr>
        <w:t xml:space="preserve"> </w:t>
      </w:r>
      <w:r w:rsidRPr="00204E0B">
        <w:rPr>
          <w:rFonts w:ascii="Times New Roman" w:hAnsi="Times New Roman"/>
          <w:color w:val="000000" w:themeColor="text1"/>
          <w:szCs w:val="24"/>
        </w:rPr>
        <w:t>special districts operation</w:t>
      </w:r>
      <w:r w:rsidRPr="00204E0B">
        <w:rPr>
          <w:rFonts w:ascii="Times New Roman" w:hAnsi="Times New Roman"/>
          <w:szCs w:val="24"/>
        </w:rPr>
        <w:t xml:space="preserve"> and</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1.</w:t>
      </w:r>
      <w:r w:rsidRPr="00622089">
        <w:rPr>
          <w:rFonts w:ascii="Times New Roman" w:hAnsi="Times New Roman"/>
          <w:szCs w:val="24"/>
        </w:rPr>
        <w:t xml:space="preserve">2 </w:t>
      </w:r>
      <w:r w:rsidRPr="00204E0B">
        <w:rPr>
          <w:rFonts w:ascii="Times New Roman" w:hAnsi="Times New Roman"/>
          <w:color w:val="000000" w:themeColor="text1"/>
          <w:szCs w:val="24"/>
        </w:rPr>
        <w:t>the school pre-contact letter</w:t>
      </w:r>
      <w:r>
        <w:rPr>
          <w:rFonts w:ascii="Times New Roman" w:hAnsi="Times New Roman"/>
          <w:color w:val="000000" w:themeColor="text1"/>
          <w:szCs w:val="24"/>
        </w:rPr>
        <w:t xml:space="preserve"> </w:t>
      </w:r>
      <w:r w:rsidR="00B77D05">
        <w:rPr>
          <w:rFonts w:ascii="Times New Roman" w:hAnsi="Times New Roman"/>
          <w:color w:val="000000" w:themeColor="text1"/>
          <w:szCs w:val="24"/>
        </w:rPr>
        <w:t xml:space="preserve">operation </w:t>
      </w:r>
      <w:r>
        <w:rPr>
          <w:rFonts w:ascii="Times New Roman" w:hAnsi="Times New Roman"/>
          <w:szCs w:val="24"/>
        </w:rPr>
        <w:t>(OMB# 1850-0598 v.17)</w:t>
      </w:r>
      <w:r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1 describ</w:t>
      </w:r>
      <w:r>
        <w:rPr>
          <w:rFonts w:ascii="Times New Roman" w:hAnsi="Times New Roman"/>
          <w:szCs w:val="24"/>
        </w:rPr>
        <w:t>ing</w:t>
      </w:r>
      <w:r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Pr="00622089">
        <w:rPr>
          <w:rFonts w:ascii="Times New Roman" w:hAnsi="Times New Roman"/>
          <w:szCs w:val="24"/>
        </w:rPr>
        <w:t>for the Teacher Questionnaire.</w:t>
      </w:r>
    </w:p>
    <w:p w:rsidR="005274CE"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w:t>
      </w:r>
      <w:r>
        <w:rPr>
          <w:rFonts w:ascii="Times New Roman" w:hAnsi="Times New Roman"/>
          <w:b/>
          <w:szCs w:val="24"/>
        </w:rPr>
        <w:tab/>
      </w:r>
      <w:r w:rsidR="0023465F" w:rsidRPr="0023465F">
        <w:rPr>
          <w:rFonts w:ascii="Times New Roman" w:hAnsi="Times New Roman"/>
          <w:b/>
          <w:szCs w:val="24"/>
        </w:rPr>
        <w:t>Preliminary Field Activities</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 xml:space="preserve">B.2.1.1 </w:t>
      </w:r>
      <w:r w:rsidR="0023465F" w:rsidRPr="0023465F">
        <w:rPr>
          <w:rFonts w:ascii="Times New Roman" w:hAnsi="Times New Roman"/>
          <w:b/>
          <w:szCs w:val="24"/>
        </w:rPr>
        <w:t>Special Contact District Operation</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The following are examples of the type of information that will be gathered from each district’s website in order to prepare a research application for submission to this district:</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review schedules and submission deadlines.</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application fees are required, and if so, how much.</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 district sponsor is required.</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an online application is required, and if so, the link to the application if possible.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research topics and/or agenda on which the district is focusing.</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The web link to the main research department or office website.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Research guidelines, instructions, application forms, District Action Plans, Strategic Plan or Goals, if any.</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District research application cover letter;</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Research application (district-specific or generic, as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Study summary;</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FAQ document;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 approval form;</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Participant informed consent form (if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SSOCS/NTPS Project Director’s resume;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Copy of questionnaires; and</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Application fee (if required by the district).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Where applicable, applications will include the draft 2017-18 NTPS questionnaires provided in Appendix B of this submission, and the 2015-16 NTPS questionnaires will be provided to districts that request them. Other information about the study may be required by the district and will be included with the application or provided upon request.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rsidR="0023465F" w:rsidRPr="0023465F" w:rsidRDefault="009D45F7" w:rsidP="0023465F">
      <w:pPr>
        <w:tabs>
          <w:tab w:val="left" w:pos="720"/>
        </w:tabs>
        <w:spacing w:after="120" w:line="240" w:lineRule="auto"/>
        <w:rPr>
          <w:rFonts w:ascii="Times New Roman" w:hAnsi="Times New Roman"/>
          <w:szCs w:val="24"/>
        </w:rPr>
      </w:pPr>
      <w:r w:rsidRPr="009D45F7">
        <w:rPr>
          <w:rFonts w:ascii="Times New Roman" w:hAnsi="Times New Roman"/>
          <w:szCs w:val="24"/>
        </w:rPr>
        <w:t>Some districts charge a fee (~$50-200) to process research application requests, which will be paid as necessary</w:t>
      </w:r>
      <w:r w:rsidR="0023465F" w:rsidRPr="0023465F">
        <w:rPr>
          <w:rFonts w:ascii="Times New Roman" w:hAnsi="Times New Roman"/>
          <w:szCs w:val="24"/>
        </w:rPr>
        <w:t>.</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B.2.1.2</w:t>
      </w:r>
      <w:r>
        <w:rPr>
          <w:rFonts w:ascii="Times New Roman" w:hAnsi="Times New Roman"/>
          <w:b/>
          <w:szCs w:val="24"/>
        </w:rPr>
        <w:tab/>
        <w:t xml:space="preserve"> </w:t>
      </w:r>
      <w:r w:rsidR="0023465F" w:rsidRPr="0023465F">
        <w:rPr>
          <w:rFonts w:ascii="Times New Roman" w:hAnsi="Times New Roman"/>
          <w:b/>
          <w:szCs w:val="24"/>
        </w:rPr>
        <w:t>School Pre-Contact Letters</w:t>
      </w:r>
    </w:p>
    <w:p w:rsidR="0023465F" w:rsidRDefault="0023465F" w:rsidP="00175C20">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p>
    <w:p w:rsidR="0025530B" w:rsidRPr="00D321F9" w:rsidRDefault="0025530B" w:rsidP="00175C20">
      <w:pPr>
        <w:pStyle w:val="Heading2"/>
        <w:keepNext w:val="0"/>
        <w:spacing w:after="120" w:line="240" w:lineRule="auto"/>
        <w:rPr>
          <w:rFonts w:ascii="Times New Roman" w:hAnsi="Times New Roman"/>
          <w:color w:val="auto"/>
          <w:sz w:val="24"/>
          <w:szCs w:val="24"/>
        </w:rPr>
      </w:pPr>
      <w:bookmarkStart w:id="48" w:name="_Toc455496447"/>
      <w:bookmarkStart w:id="49" w:name="_Toc468187457"/>
      <w:bookmarkStart w:id="50" w:name="_Toc481483738"/>
      <w:r w:rsidRPr="00D321F9">
        <w:rPr>
          <w:rFonts w:ascii="Times New Roman" w:hAnsi="Times New Roman"/>
          <w:color w:val="auto"/>
          <w:sz w:val="24"/>
          <w:szCs w:val="24"/>
        </w:rPr>
        <w:t>B.2.</w:t>
      </w:r>
      <w:r w:rsidR="005274CE">
        <w:rPr>
          <w:rFonts w:ascii="Times New Roman" w:hAnsi="Times New Roman"/>
          <w:color w:val="auto"/>
          <w:sz w:val="24"/>
          <w:szCs w:val="24"/>
        </w:rPr>
        <w:t>2</w:t>
      </w:r>
      <w:r w:rsidR="005274CE">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48"/>
      <w:bookmarkEnd w:id="49"/>
      <w:bookmarkEnd w:id="50"/>
    </w:p>
    <w:p w:rsidR="0025530B" w:rsidRPr="00D321F9" w:rsidRDefault="0025530B" w:rsidP="00175C20">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are summarized in Exhibit 1.</w:t>
      </w:r>
    </w:p>
    <w:p w:rsidR="00076AC2" w:rsidRPr="00D321F9" w:rsidRDefault="00076AC2" w:rsidP="00175C20">
      <w:pPr>
        <w:spacing w:after="120" w:line="240" w:lineRule="auto"/>
        <w:rPr>
          <w:rFonts w:ascii="Times New Roman" w:hAnsi="Times New Roman"/>
          <w:szCs w:val="24"/>
        </w:rPr>
      </w:pPr>
      <w:r w:rsidRPr="00D321F9">
        <w:rPr>
          <w:rFonts w:ascii="Times New Roman" w:hAnsi="Times New Roman"/>
          <w:szCs w:val="24"/>
        </w:rPr>
        <w:t xml:space="preserve">In July, all schools will receive an advance letter addressed to the principal at the school address. The letter includes instructions for completing a brief screener interview online using the NTPS </w:t>
      </w:r>
      <w:r w:rsidR="00F5136C" w:rsidRPr="00D321F9">
        <w:rPr>
          <w:rFonts w:ascii="Times New Roman" w:hAnsi="Times New Roman"/>
          <w:szCs w:val="24"/>
        </w:rPr>
        <w:t xml:space="preserve">Respondent </w:t>
      </w:r>
      <w:r w:rsidRPr="00D321F9">
        <w:rPr>
          <w:rFonts w:ascii="Times New Roman" w:hAnsi="Times New Roman"/>
          <w:szCs w:val="24"/>
        </w:rPr>
        <w:t xml:space="preserve">Portal.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will be </w:t>
      </w:r>
      <w:r w:rsidR="00F5136C" w:rsidRPr="00D321F9">
        <w:rPr>
          <w:rFonts w:ascii="Times New Roman" w:hAnsi="Times New Roman"/>
          <w:szCs w:val="24"/>
        </w:rPr>
        <w:t>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the completion of NTPS questionnaires within their school, and materials will be mailed to him or her throughout data collection.</w:t>
      </w:r>
      <w:r w:rsidR="00F5136C" w:rsidRPr="00D321F9">
        <w:rPr>
          <w:rFonts w:ascii="Times New Roman" w:hAnsi="Times New Roman"/>
          <w:szCs w:val="24"/>
        </w:rPr>
        <w:t xml:space="preserve"> Principals who do not self-screen will be contacted by telephone.</w:t>
      </w:r>
      <w:r w:rsidR="00546B50">
        <w:rPr>
          <w:rFonts w:ascii="Times New Roman" w:hAnsi="Times New Roman"/>
          <w:szCs w:val="24"/>
        </w:rPr>
        <w:t xml:space="preserve">  A rem</w:t>
      </w:r>
      <w:r w:rsidR="00A71D93">
        <w:rPr>
          <w:rFonts w:ascii="Times New Roman" w:hAnsi="Times New Roman"/>
          <w:szCs w:val="24"/>
        </w:rPr>
        <w:t>inder email will be sent to non-</w:t>
      </w:r>
      <w:r w:rsidR="00546B50">
        <w:rPr>
          <w:rFonts w:ascii="Times New Roman" w:hAnsi="Times New Roman"/>
          <w:szCs w:val="24"/>
        </w:rPr>
        <w:t>responding school principals in August.</w:t>
      </w:r>
    </w:p>
    <w:p w:rsidR="00922184"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will enter one of two data collection paths. The data collection methodology employed will be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2015-16 NTPS data collection; the same model with updated information will be used for the 2017-18 NTPS data collection. </w:t>
      </w:r>
      <w:r w:rsidRPr="00D321F9">
        <w:rPr>
          <w:rFonts w:ascii="Times New Roman" w:hAnsi="Times New Roman"/>
          <w:szCs w:val="24"/>
        </w:rPr>
        <w:t>Prior to the start of NTPS 2017</w:t>
      </w:r>
      <w:r w:rsidR="007F5C54">
        <w:rPr>
          <w:rFonts w:ascii="Times New Roman" w:hAnsi="Times New Roman"/>
          <w:szCs w:val="24"/>
        </w:rPr>
        <w:t>-1</w:t>
      </w:r>
      <w:r w:rsidRPr="00D321F9">
        <w:rPr>
          <w:rFonts w:ascii="Times New Roman" w:hAnsi="Times New Roman"/>
          <w:szCs w:val="24"/>
        </w:rPr>
        <w:t>8 data collection, a propensity model will be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are 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rsidR="00922184" w:rsidRPr="00EE4D95" w:rsidRDefault="00922184" w:rsidP="00577DD4">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t xml:space="preserve">Exhibit 1: </w:t>
      </w:r>
      <w:r w:rsidRPr="00EE4D95">
        <w:rPr>
          <w:rFonts w:ascii="Times New Roman" w:hAnsi="Times New Roman"/>
          <w:b/>
          <w:bCs/>
          <w:sz w:val="22"/>
          <w:szCs w:val="22"/>
        </w:rPr>
        <w:t>2017-18 National Teacher and Principal Survey – School-Level Data Collection Operations</w:t>
      </w:r>
    </w:p>
    <w:p w:rsidR="00922184" w:rsidRPr="00D321F9" w:rsidRDefault="00211A44" w:rsidP="007215B4">
      <w:pPr>
        <w:spacing w:line="240" w:lineRule="auto"/>
        <w:jc w:val="center"/>
        <w:rPr>
          <w:rFonts w:ascii="Times New Roman" w:hAnsi="Times New Roman"/>
        </w:rPr>
      </w:pPr>
      <w:r>
        <w:rPr>
          <w:rFonts w:ascii="Times New Roman" w:hAnsi="Times New Roman"/>
          <w:noProof/>
        </w:rPr>
        <mc:AlternateContent>
          <mc:Choice Requires="wpg">
            <w:drawing>
              <wp:anchor distT="0" distB="0" distL="114300" distR="114300" simplePos="0" relativeHeight="251660288" behindDoc="0" locked="0" layoutInCell="1" allowOverlap="1" wp14:anchorId="142E7DE7" wp14:editId="56A0C2EF">
                <wp:simplePos x="0" y="0"/>
                <wp:positionH relativeFrom="column">
                  <wp:posOffset>3584050</wp:posOffset>
                </wp:positionH>
                <wp:positionV relativeFrom="paragraph">
                  <wp:posOffset>982345</wp:posOffset>
                </wp:positionV>
                <wp:extent cx="3546283" cy="254000"/>
                <wp:effectExtent l="38100" t="0" r="16510" b="12700"/>
                <wp:wrapNone/>
                <wp:docPr id="4" name="Group 4"/>
                <wp:cNvGraphicFramePr/>
                <a:graphic xmlns:a="http://schemas.openxmlformats.org/drawingml/2006/main">
                  <a:graphicData uri="http://schemas.microsoft.com/office/word/2010/wordprocessingGroup">
                    <wpg:wgp>
                      <wpg:cNvGrpSpPr/>
                      <wpg:grpSpPr>
                        <a:xfrm>
                          <a:off x="0" y="0"/>
                          <a:ext cx="3546283" cy="254000"/>
                          <a:chOff x="0" y="0"/>
                          <a:chExt cx="3546283" cy="254000"/>
                        </a:xfrm>
                      </wpg:grpSpPr>
                      <wps:wsp>
                        <wps:cNvPr id="307" name="Text Box 2"/>
                        <wps:cNvSpPr txBox="1">
                          <a:spLocks noChangeArrowheads="1"/>
                        </wps:cNvSpPr>
                        <wps:spPr bwMode="auto">
                          <a:xfrm>
                            <a:off x="2107096" y="0"/>
                            <a:ext cx="1439187" cy="254000"/>
                          </a:xfrm>
                          <a:prstGeom prst="rect">
                            <a:avLst/>
                          </a:prstGeom>
                          <a:solidFill>
                            <a:srgbClr val="FFFFFF"/>
                          </a:solidFill>
                          <a:ln w="9525">
                            <a:solidFill>
                              <a:srgbClr val="000000"/>
                            </a:solidFill>
                            <a:miter lim="800000"/>
                            <a:headEnd/>
                            <a:tailEnd/>
                          </a:ln>
                        </wps:spPr>
                        <wps:txbx>
                          <w:txbxContent>
                            <w:p w:rsidR="00BA13E7" w:rsidRPr="00211A44" w:rsidRDefault="00BA13E7">
                              <w:pPr>
                                <w:rPr>
                                  <w:sz w:val="18"/>
                                  <w:szCs w:val="18"/>
                                </w:rPr>
                              </w:pPr>
                              <w:r w:rsidRPr="00211A44">
                                <w:rPr>
                                  <w:sz w:val="18"/>
                                  <w:szCs w:val="18"/>
                                </w:rPr>
                                <w:t>Reminder Email (8/22/17)</w:t>
                              </w:r>
                            </w:p>
                          </w:txbxContent>
                        </wps:txbx>
                        <wps:bodyPr rot="0" vert="horz" wrap="square" lIns="91440" tIns="45720" rIns="91440" bIns="45720" anchor="t" anchorCtr="0">
                          <a:noAutofit/>
                        </wps:bodyPr>
                      </wps:wsp>
                      <wps:wsp>
                        <wps:cNvPr id="3" name="Straight Arrow Connector 3"/>
                        <wps:cNvCnPr/>
                        <wps:spPr>
                          <a:xfrm flipH="1" flipV="1">
                            <a:off x="0" y="103367"/>
                            <a:ext cx="2107096" cy="238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6" style="position:absolute;left:0;text-align:left;margin-left:282.2pt;margin-top:77.35pt;width:279.25pt;height:20pt;z-index:251660288" coordsize="3546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">
                <v:shapetype id="_x0000_t202" coordsize="21600,21600" o:spt="202" path="m,l,21600r21600,l21600,xe">
                  <v:stroke joinstyle="miter"/>
                  <v:path gradientshapeok="t" o:connecttype="rect"/>
                </v:shapetype>
                <v:shape id="Text Box 2" o:spid="_x0000_s1027" type="#_x0000_t202" style="position:absolute;left:21070;width:1439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BA13E7" w:rsidRPr="00211A44" w:rsidRDefault="00BA13E7">
                        <w:pPr>
                          <w:rPr>
                            <w:sz w:val="18"/>
                            <w:szCs w:val="18"/>
                          </w:rPr>
                        </w:pPr>
                        <w:r w:rsidRPr="00211A44">
                          <w:rPr>
                            <w:sz w:val="18"/>
                            <w:szCs w:val="18"/>
                          </w:rPr>
                          <w:t>Reminder Email (8/22/17)</w:t>
                        </w: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top:1033;width:21070;height: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TcIAAADaAAAADwAAAGRycy9kb3ducmV2LnhtbESPQWsCMRSE74X+h/AK3mpWxbZsjSKC&#10;oAeRaqvXR/LcXbp5WTZPXf+9KRQ8DjPzDTOZdb5WF2pjFdjAoJ+BIrbBVVwY+N4vXz9ARUF2WAcm&#10;AzeKMJs+P00wd+HKX3TZSaEShGOOBkqRJtc62pI8xn5oiJN3Cq1HSbIttGvxmuC+1sMse9MeK04L&#10;JTa0KMn+7s7ewDmcNvMf9z46DI6ytpWst2THxvReuvknKKFOHuH/9soZGMHflXQD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TcIAAADaAAAADwAAAAAAAAAAAAAA&#10;AAChAgAAZHJzL2Rvd25yZXYueG1sUEsFBgAAAAAEAAQA+QAAAJADAAAAAA==&#10;" strokecolor="#4579b8 [3044]">
                  <v:stroke endarrow="open"/>
                </v:shape>
              </v:group>
            </w:pict>
          </mc:Fallback>
        </mc:AlternateContent>
      </w:r>
      <w:r w:rsidR="00577DD4" w:rsidRPr="00D321F9">
        <w:rPr>
          <w:rFonts w:ascii="Times New Roman" w:hAnsi="Times New Roman"/>
        </w:rPr>
        <w:object w:dxaOrig="11576" w:dyaOrig="19496" w14:anchorId="53A56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pt;height:699.95pt" o:ole="">
            <v:imagedata r:id="rId17" o:title=""/>
          </v:shape>
          <o:OLEObject Type="Embed" ProgID="Visio.Drawing.11" ShapeID="_x0000_i1025" DrawAspect="Content" ObjectID="_1564558863" r:id="rId18"/>
        </w:object>
      </w:r>
      <w:r w:rsidR="00922184" w:rsidRPr="00D321F9">
        <w:rPr>
          <w:rFonts w:ascii="Times New Roman" w:hAnsi="Times New Roman"/>
          <w:szCs w:val="24"/>
        </w:rPr>
        <w:br w:type="page"/>
      </w:r>
    </w:p>
    <w:p w:rsidR="00F5136C" w:rsidRPr="00D321F9" w:rsidRDefault="005274CE" w:rsidP="00175C20">
      <w:pPr>
        <w:pStyle w:val="Heading3"/>
        <w:spacing w:after="120" w:line="240" w:lineRule="auto"/>
        <w:rPr>
          <w:rFonts w:ascii="Times New Roman" w:hAnsi="Times New Roman"/>
          <w:color w:val="auto"/>
          <w:sz w:val="24"/>
          <w:szCs w:val="24"/>
        </w:rPr>
      </w:pPr>
      <w:bookmarkStart w:id="51" w:name="_Toc468187458"/>
      <w:bookmarkStart w:id="52" w:name="_Toc481483739"/>
      <w:r>
        <w:rPr>
          <w:rFonts w:ascii="Times New Roman" w:hAnsi="Times New Roman"/>
          <w:color w:val="auto"/>
          <w:sz w:val="24"/>
          <w:szCs w:val="24"/>
        </w:rPr>
        <w:t>B.2.2.1</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F5136C" w:rsidRPr="00D321F9">
        <w:rPr>
          <w:rFonts w:ascii="Times New Roman" w:hAnsi="Times New Roman"/>
          <w:color w:val="auto"/>
          <w:sz w:val="24"/>
          <w:szCs w:val="24"/>
        </w:rPr>
        <w:t>Priority Schools</w:t>
      </w:r>
      <w:bookmarkEnd w:id="51"/>
      <w:bookmarkEnd w:id="52"/>
    </w:p>
    <w:p w:rsidR="00FF355A"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2017, principals or survey coordinators at priority schools will be mailed a letter, at the school address, informing them that their school may receive a personal visit from Census Bureau staff in the coming weeks. About ten days later, data collection will begin with a personal visit from a Census Bureau Field Representative. The expectation for the personal visit is that the Census Bureau Field Representative will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will be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will only need to verify that the teacher information is complete and accurate. The Field Representative will also distribute sealed letters containing login information for the school and principal questionnaires.</w:t>
      </w:r>
      <w:r w:rsidR="008148D6">
        <w:rPr>
          <w:rFonts w:ascii="Times New Roman" w:hAnsi="Times New Roman"/>
          <w:szCs w:val="24"/>
        </w:rPr>
        <w:t xml:space="preserve"> If the Field Representative notes that the school has shown reluctance or initially refused to participate in the study, the Regional Office of the Field Representative will send out a </w:t>
      </w:r>
      <w:r w:rsidR="00FF355A">
        <w:rPr>
          <w:rFonts w:ascii="Times New Roman" w:hAnsi="Times New Roman"/>
          <w:szCs w:val="24"/>
        </w:rPr>
        <w:t>“</w:t>
      </w:r>
      <w:r w:rsidR="008148D6">
        <w:rPr>
          <w:rFonts w:ascii="Times New Roman" w:hAnsi="Times New Roman"/>
          <w:szCs w:val="24"/>
        </w:rPr>
        <w:t>letter of better understanding</w:t>
      </w:r>
      <w:r w:rsidR="00FF355A">
        <w:rPr>
          <w:rFonts w:ascii="Times New Roman" w:hAnsi="Times New Roman"/>
          <w:szCs w:val="24"/>
        </w:rPr>
        <w:t>”</w:t>
      </w:r>
      <w:r w:rsidR="008148D6">
        <w:rPr>
          <w:rFonts w:ascii="Times New Roman" w:hAnsi="Times New Roman"/>
          <w:szCs w:val="24"/>
        </w:rPr>
        <w:t xml:space="preserve"> to help encourage participation.</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is unsuccessful will receive an initial package </w:t>
      </w:r>
      <w:r w:rsidR="00CE3971" w:rsidRPr="00D321F9">
        <w:rPr>
          <w:rFonts w:ascii="Times New Roman" w:hAnsi="Times New Roman"/>
          <w:szCs w:val="24"/>
        </w:rPr>
        <w:t>in late October 2017</w:t>
      </w:r>
      <w:r w:rsidR="00C175DA" w:rsidRPr="00D321F9">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will be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 xml:space="preserve">package will contain a letter to the survey coordinator or principal and three individual sealed envelopes that contain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will also be used to contact the survey coordinator and principal. </w:t>
      </w:r>
      <w:r w:rsidR="00CE3C5F">
        <w:rPr>
          <w:rFonts w:ascii="Times New Roman" w:hAnsi="Times New Roman"/>
          <w:szCs w:val="24"/>
        </w:rPr>
        <w:t>Additionally, p</w:t>
      </w:r>
      <w:r w:rsidRPr="00D321F9">
        <w:rPr>
          <w:rFonts w:ascii="Times New Roman" w:hAnsi="Times New Roman"/>
          <w:szCs w:val="24"/>
        </w:rPr>
        <w:t xml:space="preserve">rincipals and survey coordinators will be contacted by email around the same time the initial packages are mailed to the sampled schools. </w:t>
      </w:r>
      <w:r w:rsidR="00D0554F" w:rsidRPr="00D321F9">
        <w:rPr>
          <w:rFonts w:ascii="Times New Roman" w:hAnsi="Times New Roman"/>
          <w:szCs w:val="24"/>
        </w:rPr>
        <w:t xml:space="preserve">The emails will </w:t>
      </w:r>
      <w:r w:rsidR="003D6BFF" w:rsidRPr="00D321F9">
        <w:rPr>
          <w:rFonts w:ascii="Times New Roman" w:hAnsi="Times New Roman"/>
          <w:szCs w:val="24"/>
        </w:rPr>
        <w:t xml:space="preserve">include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will be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2017</w:t>
      </w:r>
      <w:r w:rsidRPr="00D321F9">
        <w:rPr>
          <w:rFonts w:ascii="Times New Roman" w:hAnsi="Times New Roman"/>
          <w:szCs w:val="24"/>
        </w:rPr>
        <w:t xml:space="preserve">, a second package will be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will include a reminder letter, a pre-populated paper TLF and </w:t>
      </w:r>
      <w:r w:rsidR="00CE3C5F">
        <w:rPr>
          <w:rFonts w:ascii="Times New Roman" w:hAnsi="Times New Roman"/>
          <w:szCs w:val="24"/>
        </w:rPr>
        <w:t xml:space="preserve">a </w:t>
      </w:r>
      <w:r w:rsidRPr="00D321F9">
        <w:rPr>
          <w:rFonts w:ascii="Times New Roman" w:hAnsi="Times New Roman"/>
          <w:szCs w:val="24"/>
        </w:rPr>
        <w:t>return envelope (if applicable), and/or replacement materials for completing the principal and/or school questionnaires online. Principal and survey coordinator email addresses will be 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2018</w:t>
      </w:r>
      <w:r w:rsidRPr="00D321F9">
        <w:rPr>
          <w:rFonts w:ascii="Times New Roman" w:hAnsi="Times New Roman"/>
          <w:szCs w:val="24"/>
        </w:rPr>
        <w:t xml:space="preserve">, priority schools </w:t>
      </w:r>
      <w:r w:rsidR="00D0554F" w:rsidRPr="00D321F9">
        <w:rPr>
          <w:rFonts w:ascii="Times New Roman" w:hAnsi="Times New Roman"/>
          <w:szCs w:val="24"/>
        </w:rPr>
        <w:t>that have not provided or verified their</w:t>
      </w:r>
      <w:r w:rsidRPr="00D321F9">
        <w:rPr>
          <w:rFonts w:ascii="Times New Roman" w:hAnsi="Times New Roman"/>
          <w:szCs w:val="24"/>
        </w:rPr>
        <w:t xml:space="preserve"> TLF will have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 a third package will be mailed to the survey coordinator or principal at the school address. This package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Beginning in late January 2018, priority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email, and telephone will be made to remind the school to complete their outstanding questionnaire(s).</w:t>
      </w:r>
    </w:p>
    <w:p w:rsidR="00830976" w:rsidRPr="00D321F9" w:rsidRDefault="005274CE" w:rsidP="00175C20">
      <w:pPr>
        <w:pStyle w:val="Heading3"/>
        <w:spacing w:after="120" w:line="240" w:lineRule="auto"/>
        <w:rPr>
          <w:rFonts w:ascii="Times New Roman" w:hAnsi="Times New Roman"/>
          <w:color w:val="auto"/>
          <w:sz w:val="24"/>
          <w:szCs w:val="24"/>
        </w:rPr>
      </w:pPr>
      <w:bookmarkStart w:id="53" w:name="_Toc468187459"/>
      <w:bookmarkStart w:id="54" w:name="_Toc481483740"/>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3"/>
      <w:bookmarkEnd w:id="54"/>
    </w:p>
    <w:p w:rsidR="0025530B" w:rsidRPr="00D321F9" w:rsidRDefault="00EF761B" w:rsidP="00175C20">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Pr="00D321F9">
        <w:rPr>
          <w:rFonts w:ascii="Times New Roman" w:hAnsi="Times New Roman"/>
          <w:szCs w:val="24"/>
        </w:rPr>
        <w:t xml:space="preserve">late </w:t>
      </w:r>
      <w:r w:rsidR="00541925" w:rsidRPr="00D321F9">
        <w:rPr>
          <w:rFonts w:ascii="Times New Roman" w:hAnsi="Times New Roman"/>
          <w:szCs w:val="24"/>
        </w:rPr>
        <w:t xml:space="preserve">September </w:t>
      </w:r>
      <w:r w:rsidR="0025530B" w:rsidRPr="00D321F9">
        <w:rPr>
          <w:rFonts w:ascii="Times New Roman" w:hAnsi="Times New Roman"/>
          <w:szCs w:val="24"/>
        </w:rPr>
        <w:t>201</w:t>
      </w:r>
      <w:r w:rsidR="00541925" w:rsidRPr="00D321F9">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will</w:t>
      </w:r>
      <w:r w:rsidR="0025530B" w:rsidRPr="00D321F9">
        <w:rPr>
          <w:rFonts w:ascii="Times New Roman" w:hAnsi="Times New Roman"/>
          <w:szCs w:val="24"/>
        </w:rPr>
        <w:t xml:space="preserve"> receive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will be 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will contain</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 xml:space="preserve">Principals and survey coordinators will also be contacted by email around the same time the initial packages are mailed to the sampled schools. </w:t>
      </w:r>
      <w:r w:rsidRPr="00D321F9">
        <w:rPr>
          <w:rFonts w:ascii="Times New Roman" w:hAnsi="Times New Roman"/>
          <w:szCs w:val="24"/>
        </w:rPr>
        <w:t>The emails will contain the appropriate hyperlinks and User IDs to complete the NTPS questionnaires online.</w:t>
      </w:r>
    </w:p>
    <w:p w:rsidR="007215B4" w:rsidRDefault="00D049DE" w:rsidP="00175C20">
      <w:pPr>
        <w:tabs>
          <w:tab w:val="left" w:pos="720"/>
        </w:tabs>
        <w:spacing w:after="120" w:line="240" w:lineRule="auto"/>
        <w:rPr>
          <w:rFonts w:ascii="Times New Roman" w:hAnsi="Times New Roman"/>
          <w:szCs w:val="24"/>
        </w:rPr>
      </w:pPr>
      <w:r w:rsidRPr="00D321F9">
        <w:rPr>
          <w:rFonts w:ascii="Times New Roman" w:hAnsi="Times New Roman"/>
          <w:szCs w:val="24"/>
        </w:rPr>
        <w:t>About three weeks later, a second package will be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package </w:t>
      </w:r>
      <w:r w:rsidR="00104794" w:rsidRPr="00D321F9">
        <w:rPr>
          <w:rFonts w:ascii="Times New Roman" w:hAnsi="Times New Roman"/>
          <w:szCs w:val="24"/>
        </w:rPr>
        <w:t xml:space="preserve">will </w:t>
      </w:r>
      <w:r w:rsidRPr="00D321F9">
        <w:rPr>
          <w:rFonts w:ascii="Times New Roman" w:hAnsi="Times New Roman"/>
          <w:szCs w:val="24"/>
        </w:rPr>
        <w:t>includ</w:t>
      </w:r>
      <w:r w:rsidR="00104794" w:rsidRPr="00D321F9">
        <w:rPr>
          <w:rFonts w:ascii="Times New Roman" w:hAnsi="Times New Roman"/>
          <w:szCs w:val="24"/>
        </w:rPr>
        <w:t xml:space="preserve">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will be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rsidR="007215B4" w:rsidRDefault="0025530B" w:rsidP="00577DD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104794" w:rsidRPr="00D321F9">
        <w:rPr>
          <w:rFonts w:ascii="Times New Roman" w:hAnsi="Times New Roman"/>
          <w:szCs w:val="24"/>
        </w:rPr>
        <w:t>2017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have not completed their TLF electronically will be sent to a telephone reminder operation aimed at reminding the survey coordinator or school principal to complete their TLF online. Non-priority schools </w:t>
      </w:r>
      <w:r w:rsidR="00EF761B" w:rsidRPr="00D321F9">
        <w:rPr>
          <w:rFonts w:ascii="Times New Roman" w:hAnsi="Times New Roman"/>
          <w:szCs w:val="24"/>
        </w:rPr>
        <w:t>that have completed their TLF</w:t>
      </w:r>
      <w:r w:rsidR="00104794" w:rsidRPr="00D321F9">
        <w:rPr>
          <w:rFonts w:ascii="Times New Roman" w:hAnsi="Times New Roman"/>
          <w:szCs w:val="24"/>
        </w:rPr>
        <w:t xml:space="preserve"> but </w:t>
      </w:r>
      <w:r w:rsidR="00EF761B" w:rsidRPr="00D321F9">
        <w:rPr>
          <w:rFonts w:ascii="Times New Roman" w:hAnsi="Times New Roman"/>
          <w:szCs w:val="24"/>
        </w:rPr>
        <w:t xml:space="preserve">have not returned either the Principal Questionnaire or School Questionnaire </w:t>
      </w:r>
      <w:r w:rsidR="00104794" w:rsidRPr="00D321F9">
        <w:rPr>
          <w:rFonts w:ascii="Times New Roman" w:hAnsi="Times New Roman"/>
          <w:szCs w:val="24"/>
        </w:rPr>
        <w:t>will receive a reminder letter and email during this time.</w:t>
      </w:r>
    </w:p>
    <w:p w:rsidR="00FE67BA"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2017</w:t>
      </w:r>
      <w:r w:rsidRPr="00D321F9">
        <w:rPr>
          <w:rFonts w:ascii="Times New Roman" w:hAnsi="Times New Roman"/>
          <w:szCs w:val="24"/>
        </w:rPr>
        <w:t>, non-priority schools with outstanding school-level questionnaires will be mailed a third package</w:t>
      </w:r>
      <w:r w:rsidR="00F0338C" w:rsidRPr="00D321F9">
        <w:rPr>
          <w:rFonts w:ascii="Times New Roman" w:hAnsi="Times New Roman"/>
          <w:szCs w:val="24"/>
        </w:rPr>
        <w:t xml:space="preserve">. The package </w:t>
      </w:r>
      <w:r w:rsidRPr="00D321F9">
        <w:rPr>
          <w:rFonts w:ascii="Times New Roman" w:hAnsi="Times New Roman"/>
          <w:szCs w:val="24"/>
        </w:rPr>
        <w:t>will include a reminder letter to the survey coordinator or principal, paper versions of the questionnaires that are still outstanding, and postage-paid return envelopes.</w:t>
      </w:r>
      <w:r w:rsidR="00AC0A1C" w:rsidRPr="00D321F9">
        <w:rPr>
          <w:rFonts w:ascii="Times New Roman" w:hAnsi="Times New Roman"/>
          <w:szCs w:val="24"/>
        </w:rPr>
        <w:t xml:space="preserve"> If the TLF is one of the outstanding questionnaires, the version included in this third mailout will be 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will be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rsidR="00AC0A1C"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2018</w:t>
      </w:r>
      <w:r w:rsidRPr="00D321F9">
        <w:rPr>
          <w:rFonts w:ascii="Times New Roman" w:hAnsi="Times New Roman"/>
          <w:szCs w:val="24"/>
        </w:rPr>
        <w:t xml:space="preserve">, non-priority schools that have not yet completed their TLF </w:t>
      </w:r>
      <w:r w:rsidR="00914910" w:rsidRPr="00D321F9">
        <w:rPr>
          <w:rFonts w:ascii="Times New Roman" w:hAnsi="Times New Roman"/>
          <w:szCs w:val="24"/>
        </w:rPr>
        <w:t xml:space="preserve">will be sent to a Field operation, where sampled schools will receive an in-person visit from a Field Representative. The expectation for the personal visit is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 xml:space="preserve">will verify the school’s TLF, which will be 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it’s available</w:t>
      </w:r>
      <w:r w:rsidR="00914910" w:rsidRPr="00D321F9">
        <w:rPr>
          <w:rFonts w:ascii="Times New Roman" w:hAnsi="Times New Roman"/>
          <w:szCs w:val="24"/>
        </w:rPr>
        <w:t xml:space="preserve">, and distribute paper school and/or principal questionnaires as needed. </w:t>
      </w:r>
      <w:r w:rsidR="00F0338C" w:rsidRPr="00D321F9">
        <w:rPr>
          <w:rFonts w:ascii="Times New Roman" w:hAnsi="Times New Roman"/>
          <w:szCs w:val="24"/>
        </w:rPr>
        <w:t xml:space="preserve">After the Field operation, non-priority schools that have not provided or verified their TLF will have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rsidR="007215B4" w:rsidRDefault="00FF0697"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2018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 have completed their TLF but have not completed their school and/or principal questionnaire will </w:t>
      </w:r>
      <w:r w:rsidRPr="00D321F9">
        <w:rPr>
          <w:rFonts w:ascii="Times New Roman" w:hAnsi="Times New Roman"/>
          <w:szCs w:val="24"/>
        </w:rPr>
        <w:t>be sent a reminder email and contacted by telephone.</w:t>
      </w:r>
    </w:p>
    <w:p w:rsidR="007215B4" w:rsidRDefault="00F0338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 xml:space="preserve">remain after the field </w:t>
      </w:r>
      <w:r w:rsidR="00FF0697" w:rsidRPr="00D321F9">
        <w:rPr>
          <w:rFonts w:ascii="Times New Roman" w:hAnsi="Times New Roman"/>
          <w:szCs w:val="24"/>
        </w:rPr>
        <w:t xml:space="preserve">or telephone </w:t>
      </w:r>
      <w:r w:rsidRPr="00D321F9">
        <w:rPr>
          <w:rFonts w:ascii="Times New Roman" w:hAnsi="Times New Roman"/>
          <w:szCs w:val="24"/>
        </w:rPr>
        <w:t>operation, one more attempt by mail, email, telephone</w:t>
      </w:r>
      <w:r w:rsidR="00FF0697" w:rsidRPr="00D321F9">
        <w:rPr>
          <w:rFonts w:ascii="Times New Roman" w:hAnsi="Times New Roman"/>
          <w:szCs w:val="24"/>
        </w:rPr>
        <w:t>, and in-person visit (if not previously visited)</w:t>
      </w:r>
      <w:r w:rsidRPr="00D321F9">
        <w:rPr>
          <w:rFonts w:ascii="Times New Roman" w:hAnsi="Times New Roman"/>
          <w:szCs w:val="24"/>
        </w:rPr>
        <w:t xml:space="preserve"> will be made to attempt to remind the school to complete their outstanding questionnaire(s).</w:t>
      </w:r>
    </w:p>
    <w:p w:rsidR="00AC0A1C" w:rsidRPr="00D321F9" w:rsidRDefault="005274CE" w:rsidP="00175C20">
      <w:pPr>
        <w:pStyle w:val="Heading2"/>
        <w:spacing w:after="120" w:line="240" w:lineRule="auto"/>
        <w:rPr>
          <w:rFonts w:ascii="Times New Roman" w:hAnsi="Times New Roman"/>
          <w:color w:val="auto"/>
          <w:sz w:val="24"/>
          <w:szCs w:val="24"/>
        </w:rPr>
      </w:pPr>
      <w:bookmarkStart w:id="55" w:name="_Toc468187460"/>
      <w:bookmarkStart w:id="56" w:name="_Toc481483741"/>
      <w:r>
        <w:rPr>
          <w:rFonts w:ascii="Times New Roman" w:hAnsi="Times New Roman"/>
          <w:color w:val="auto"/>
          <w:sz w:val="24"/>
          <w:szCs w:val="24"/>
        </w:rPr>
        <w:t>B.2.3</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AC0A1C" w:rsidRPr="00D321F9">
        <w:rPr>
          <w:rFonts w:ascii="Times New Roman" w:hAnsi="Times New Roman"/>
          <w:color w:val="auto"/>
          <w:sz w:val="24"/>
          <w:szCs w:val="24"/>
        </w:rPr>
        <w:t>Teacher Data Collection</w:t>
      </w:r>
      <w:bookmarkEnd w:id="55"/>
      <w:bookmarkEnd w:id="56"/>
    </w:p>
    <w:p w:rsidR="001A4F34"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will be sampled weekly from completed or verified TLFs throughout data collection. </w:t>
      </w:r>
      <w:r w:rsidR="001631F9" w:rsidRPr="00D321F9">
        <w:rPr>
          <w:rFonts w:ascii="Times New Roman" w:hAnsi="Times New Roman"/>
          <w:szCs w:val="24"/>
        </w:rPr>
        <w:t xml:space="preserve">As teachers are sampled, </w:t>
      </w:r>
      <w:r w:rsidRPr="00D321F9">
        <w:rPr>
          <w:rFonts w:ascii="Times New Roman" w:hAnsi="Times New Roman"/>
          <w:szCs w:val="24"/>
        </w:rPr>
        <w:t>they</w:t>
      </w:r>
      <w:r w:rsidR="001631F9" w:rsidRPr="00D321F9">
        <w:rPr>
          <w:rFonts w:ascii="Times New Roman" w:hAnsi="Times New Roman"/>
          <w:szCs w:val="24"/>
        </w:rPr>
        <w:t xml:space="preserve"> will be mailed an initial teacher package containing a letter</w:t>
      </w:r>
      <w:r w:rsidRPr="00D321F9">
        <w:rPr>
          <w:rFonts w:ascii="Times New Roman" w:hAnsi="Times New Roman"/>
          <w:szCs w:val="24"/>
        </w:rPr>
        <w:t xml:space="preserve"> that introduces the survey, provides the </w:t>
      </w:r>
      <w:r w:rsidR="001631F9" w:rsidRPr="00D321F9">
        <w:rPr>
          <w:rFonts w:ascii="Times New Roman" w:hAnsi="Times New Roman"/>
          <w:szCs w:val="24"/>
        </w:rPr>
        <w:t>login information to complete their survey online</w:t>
      </w:r>
      <w:r w:rsidR="00CF155D" w:rsidRPr="00D321F9">
        <w:rPr>
          <w:rFonts w:ascii="Times New Roman" w:hAnsi="Times New Roman"/>
          <w:szCs w:val="24"/>
        </w:rPr>
        <w:t>.</w:t>
      </w:r>
      <w:r w:rsidR="00C43261" w:rsidRPr="00D321F9">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D321F9">
        <w:rPr>
          <w:rFonts w:ascii="Times New Roman" w:hAnsi="Times New Roman"/>
          <w:szCs w:val="24"/>
        </w:rPr>
        <w:t xml:space="preserve"> </w:t>
      </w:r>
      <w:r w:rsidR="008307E5" w:rsidRPr="00D321F9">
        <w:rPr>
          <w:rFonts w:ascii="Times New Roman" w:hAnsi="Times New Roman"/>
          <w:szCs w:val="24"/>
        </w:rPr>
        <w:t>If</w:t>
      </w:r>
      <w:r w:rsidRPr="00D321F9">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D321F9">
        <w:rPr>
          <w:rFonts w:ascii="Times New Roman" w:hAnsi="Times New Roman"/>
          <w:szCs w:val="24"/>
        </w:rPr>
        <w:t xml:space="preserve">If the school does not have a survey coordinator established, the </w:t>
      </w:r>
      <w:r w:rsidRPr="00D321F9">
        <w:rPr>
          <w:rFonts w:ascii="Times New Roman" w:hAnsi="Times New Roman"/>
          <w:szCs w:val="24"/>
        </w:rPr>
        <w:t xml:space="preserve">teacher packages </w:t>
      </w:r>
      <w:r w:rsidR="001631F9" w:rsidRPr="00D321F9">
        <w:rPr>
          <w:rFonts w:ascii="Times New Roman" w:hAnsi="Times New Roman"/>
          <w:szCs w:val="24"/>
        </w:rPr>
        <w:t xml:space="preserve">will be </w:t>
      </w:r>
      <w:r w:rsidRPr="00D321F9">
        <w:rPr>
          <w:rFonts w:ascii="Times New Roman" w:hAnsi="Times New Roman"/>
          <w:szCs w:val="24"/>
        </w:rPr>
        <w:t xml:space="preserve">mailed individually </w:t>
      </w:r>
      <w:r w:rsidR="001631F9" w:rsidRPr="00D321F9">
        <w:rPr>
          <w:rFonts w:ascii="Times New Roman" w:hAnsi="Times New Roman"/>
          <w:szCs w:val="24"/>
        </w:rPr>
        <w:t>to the sampled teacher</w:t>
      </w:r>
      <w:r w:rsidRPr="00D321F9">
        <w:rPr>
          <w:rFonts w:ascii="Times New Roman" w:hAnsi="Times New Roman"/>
          <w:szCs w:val="24"/>
        </w:rPr>
        <w:t>s</w:t>
      </w:r>
      <w:r w:rsidR="008307E5" w:rsidRPr="00D321F9">
        <w:rPr>
          <w:rFonts w:ascii="Times New Roman" w:hAnsi="Times New Roman"/>
          <w:szCs w:val="24"/>
        </w:rPr>
        <w:t xml:space="preserve"> at the school address in most cases. Exceptions may be made to this for</w:t>
      </w:r>
      <w:r w:rsidR="002D744F" w:rsidRPr="00D321F9">
        <w:rPr>
          <w:rFonts w:ascii="Times New Roman" w:hAnsi="Times New Roman"/>
          <w:szCs w:val="24"/>
        </w:rPr>
        <w:t xml:space="preserve"> late sampled teachers whose materials may be mailed directly to their school’s 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If the school’s teachers were sampled from a vendor or clerical list (</w:t>
      </w:r>
      <w:r w:rsidR="00451E5C">
        <w:rPr>
          <w:rFonts w:ascii="Times New Roman" w:hAnsi="Times New Roman"/>
          <w:szCs w:val="24"/>
        </w:rPr>
        <w:t xml:space="preserve">where </w:t>
      </w:r>
      <w:r w:rsidRPr="00D321F9">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D321F9">
        <w:rPr>
          <w:rFonts w:ascii="Times New Roman" w:hAnsi="Times New Roman"/>
          <w:szCs w:val="24"/>
        </w:rPr>
        <w:t xml:space="preserve">ey coordinator was established. </w:t>
      </w:r>
      <w:r w:rsidR="002D744F" w:rsidRPr="00D321F9">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Pr>
          <w:rFonts w:ascii="Times New Roman" w:hAnsi="Times New Roman"/>
          <w:szCs w:val="24"/>
        </w:rPr>
        <w:t xml:space="preserve">the </w:t>
      </w:r>
      <w:r w:rsidR="002D744F" w:rsidRPr="00D321F9">
        <w:rPr>
          <w:rFonts w:ascii="Times New Roman" w:hAnsi="Times New Roman"/>
          <w:szCs w:val="24"/>
        </w:rPr>
        <w:t>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Teachers with a valid email address will be sent an email containing the hyperlink to the online Teacher Questionnaire and their User ID a few days after their initial mailout.</w:t>
      </w:r>
    </w:p>
    <w:p w:rsidR="002E4370" w:rsidRPr="00D321F9" w:rsidRDefault="001A4F34"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a few days after </w:t>
      </w:r>
      <w:r w:rsidR="002E4370" w:rsidRPr="00D321F9">
        <w:rPr>
          <w:rFonts w:ascii="Times New Roman" w:hAnsi="Times New Roman"/>
          <w:szCs w:val="24"/>
        </w:rPr>
        <w:t xml:space="preserve">the </w:t>
      </w:r>
      <w:r w:rsidRPr="00D321F9">
        <w:rPr>
          <w:rFonts w:ascii="Times New Roman" w:hAnsi="Times New Roman"/>
          <w:szCs w:val="24"/>
        </w:rPr>
        <w:t xml:space="preserve">mailing. The </w:t>
      </w:r>
      <w:r w:rsidR="002E4370" w:rsidRPr="00D321F9">
        <w:rPr>
          <w:rFonts w:ascii="Times New Roman" w:hAnsi="Times New Roman"/>
          <w:szCs w:val="24"/>
        </w:rPr>
        <w:t>first reminder letter will contain</w:t>
      </w:r>
      <w:r w:rsidRPr="00D321F9">
        <w:rPr>
          <w:rFonts w:ascii="Times New Roman" w:hAnsi="Times New Roman"/>
          <w:szCs w:val="24"/>
        </w:rPr>
        <w:t xml:space="preserve"> the login information for the T</w:t>
      </w:r>
      <w:r w:rsidR="002E4370" w:rsidRPr="00D321F9">
        <w:rPr>
          <w:rFonts w:ascii="Times New Roman" w:hAnsi="Times New Roman"/>
          <w:szCs w:val="24"/>
        </w:rPr>
        <w:t>eacher Questionnaire</w:t>
      </w:r>
      <w:r w:rsidRPr="00D321F9">
        <w:rPr>
          <w:rFonts w:ascii="Times New Roman" w:hAnsi="Times New Roman"/>
          <w:szCs w:val="24"/>
        </w:rPr>
        <w:t xml:space="preserve"> (URL and User ID)</w:t>
      </w:r>
      <w:r w:rsidR="002E4370" w:rsidRPr="00D321F9">
        <w:rPr>
          <w:rFonts w:ascii="Times New Roman" w:hAnsi="Times New Roman"/>
          <w:szCs w:val="24"/>
        </w:rPr>
        <w:t xml:space="preserve"> and will be sent to the survey coordinator (if applicable)</w:t>
      </w:r>
      <w:r w:rsidRPr="00D321F9">
        <w:rPr>
          <w:rFonts w:ascii="Times New Roman" w:hAnsi="Times New Roman"/>
          <w:szCs w:val="24"/>
        </w:rPr>
        <w:t xml:space="preserve">. </w:t>
      </w:r>
      <w:r w:rsidR="002E4370" w:rsidRPr="00D321F9">
        <w:rPr>
          <w:rFonts w:ascii="Times New Roman" w:hAnsi="Times New Roman"/>
          <w:szCs w:val="24"/>
        </w:rPr>
        <w:t>The second and third reminder packages will include a</w:t>
      </w:r>
      <w:r w:rsidRPr="00D321F9">
        <w:rPr>
          <w:rFonts w:ascii="Times New Roman" w:hAnsi="Times New Roman"/>
          <w:szCs w:val="24"/>
        </w:rPr>
        <w:t xml:space="preserve"> </w:t>
      </w:r>
      <w:r w:rsidR="002E4370" w:rsidRPr="00D321F9">
        <w:rPr>
          <w:rFonts w:ascii="Times New Roman" w:hAnsi="Times New Roman"/>
          <w:szCs w:val="24"/>
        </w:rPr>
        <w:t xml:space="preserve">letter and a </w:t>
      </w:r>
      <w:r w:rsidRPr="00D321F9">
        <w:rPr>
          <w:rFonts w:ascii="Times New Roman" w:hAnsi="Times New Roman"/>
          <w:szCs w:val="24"/>
        </w:rPr>
        <w:t xml:space="preserve">paper questionnaire </w:t>
      </w:r>
      <w:r w:rsidR="002E4370" w:rsidRPr="00D321F9">
        <w:rPr>
          <w:rFonts w:ascii="Times New Roman" w:hAnsi="Times New Roman"/>
          <w:szCs w:val="24"/>
        </w:rPr>
        <w:t>and will be addressed directly to the sampled teachers at the school address, regardless of whether the school has a survey coordinator established.</w:t>
      </w:r>
    </w:p>
    <w:p w:rsidR="007215B4" w:rsidRDefault="002E4370" w:rsidP="00231D7C">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C175DA" w:rsidRPr="00D321F9">
        <w:rPr>
          <w:rFonts w:ascii="Times New Roman" w:hAnsi="Times New Roman"/>
          <w:szCs w:val="24"/>
        </w:rPr>
        <w:t>2018</w:t>
      </w:r>
      <w:r w:rsidRPr="00D321F9">
        <w:rPr>
          <w:rFonts w:ascii="Times New Roman" w:hAnsi="Times New Roman"/>
          <w:szCs w:val="24"/>
        </w:rPr>
        <w:t xml:space="preserve">, telephone interviewers will contact survey coordinators to ask them to remind their schools’ sampled teachers to complete their questionnaires. </w:t>
      </w:r>
      <w:r w:rsidR="009A0223" w:rsidRPr="00D321F9">
        <w:rPr>
          <w:rFonts w:ascii="Times New Roman" w:hAnsi="Times New Roman"/>
          <w:szCs w:val="24"/>
        </w:rPr>
        <w:t xml:space="preserve">Telephone interviewers and/or Field Representatives will contact nonresponding teachers by phone or </w:t>
      </w:r>
      <w:r w:rsidR="00451E5C">
        <w:rPr>
          <w:rFonts w:ascii="Times New Roman" w:hAnsi="Times New Roman"/>
          <w:szCs w:val="24"/>
        </w:rPr>
        <w:t xml:space="preserve">during an </w:t>
      </w:r>
      <w:r w:rsidR="009A0223" w:rsidRPr="00D321F9">
        <w:rPr>
          <w:rFonts w:ascii="Times New Roman" w:hAnsi="Times New Roman"/>
          <w:szCs w:val="24"/>
        </w:rPr>
        <w:t>in-person visit from late February through May 2018.</w:t>
      </w:r>
    </w:p>
    <w:p w:rsidR="00C8143E" w:rsidRPr="00D321F9"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D321F9">
        <w:rPr>
          <w:rFonts w:ascii="Times New Roman" w:hAnsi="Times New Roman"/>
          <w:color w:val="auto"/>
          <w:sz w:val="24"/>
          <w:szCs w:val="24"/>
        </w:rPr>
        <w:t xml:space="preserve"> </w:t>
      </w:r>
      <w:bookmarkStart w:id="57" w:name="_Toc391625752"/>
      <w:bookmarkStart w:id="58" w:name="_Toc392706710"/>
      <w:bookmarkStart w:id="59" w:name="_Toc420609072"/>
      <w:bookmarkStart w:id="60" w:name="_Toc455154254"/>
      <w:bookmarkStart w:id="61" w:name="_Toc455496450"/>
      <w:bookmarkStart w:id="62" w:name="_Toc468187461"/>
      <w:bookmarkStart w:id="63" w:name="_Toc481483742"/>
      <w:r w:rsidR="00F153D0" w:rsidRPr="00D321F9">
        <w:rPr>
          <w:rFonts w:ascii="Times New Roman" w:hAnsi="Times New Roman"/>
          <w:color w:val="auto"/>
          <w:sz w:val="24"/>
          <w:szCs w:val="24"/>
        </w:rPr>
        <w:t>B.3</w:t>
      </w:r>
      <w:r w:rsidR="00F153D0" w:rsidRPr="00D321F9">
        <w:rPr>
          <w:rFonts w:ascii="Times New Roman" w:hAnsi="Times New Roman"/>
          <w:color w:val="auto"/>
          <w:sz w:val="24"/>
          <w:szCs w:val="24"/>
        </w:rPr>
        <w:tab/>
        <w:t>Methods to Secure Cooperation, Maximize Response Rates, and Deal with Nonresponse</w:t>
      </w:r>
      <w:bookmarkEnd w:id="57"/>
      <w:bookmarkEnd w:id="58"/>
      <w:bookmarkEnd w:id="59"/>
      <w:bookmarkEnd w:id="60"/>
      <w:bookmarkEnd w:id="61"/>
      <w:bookmarkEnd w:id="62"/>
      <w:bookmarkEnd w:id="63"/>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This section describes </w:t>
      </w:r>
      <w:r w:rsidR="00404527" w:rsidRPr="00D321F9">
        <w:rPr>
          <w:rFonts w:ascii="Times New Roman" w:hAnsi="Times New Roman"/>
          <w:szCs w:val="24"/>
        </w:rPr>
        <w:t>the methods that NCES will use to secure cooperation, maximize response</w:t>
      </w:r>
      <w:r w:rsidR="00451E5C">
        <w:rPr>
          <w:rFonts w:ascii="Times New Roman" w:hAnsi="Times New Roman"/>
          <w:szCs w:val="24"/>
        </w:rPr>
        <w:t xml:space="preserve"> rates</w:t>
      </w:r>
      <w:r w:rsidR="00404527" w:rsidRPr="00D321F9">
        <w:rPr>
          <w:rFonts w:ascii="Times New Roman" w:hAnsi="Times New Roman"/>
          <w:szCs w:val="24"/>
        </w:rPr>
        <w:t xml:space="preserve">, and deal with nonresponse for </w:t>
      </w:r>
      <w:r w:rsidR="00586EA4"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404527" w:rsidRPr="00D321F9">
        <w:rPr>
          <w:rFonts w:ascii="Times New Roman" w:hAnsi="Times New Roman"/>
          <w:szCs w:val="24"/>
        </w:rPr>
        <w:t xml:space="preserve">. </w:t>
      </w:r>
      <w:r w:rsidR="00D76A03" w:rsidRPr="00D321F9">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D321F9">
        <w:rPr>
          <w:rFonts w:ascii="Times New Roman" w:hAnsi="Times New Roman"/>
          <w:szCs w:val="24"/>
        </w:rPr>
        <w:t>that will be used to m</w:t>
      </w:r>
      <w:r w:rsidR="009510D0">
        <w:rPr>
          <w:rFonts w:ascii="Times New Roman" w:hAnsi="Times New Roman"/>
          <w:szCs w:val="24"/>
        </w:rPr>
        <w:t>in</w:t>
      </w:r>
      <w:r w:rsidR="001631F9" w:rsidRPr="00D321F9">
        <w:rPr>
          <w:rFonts w:ascii="Times New Roman" w:hAnsi="Times New Roman"/>
          <w:szCs w:val="24"/>
        </w:rPr>
        <w:t xml:space="preserve">imize nonresponse. The design is based on the results from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1631F9" w:rsidRPr="00D321F9">
        <w:rPr>
          <w:rFonts w:ascii="Times New Roman" w:hAnsi="Times New Roman"/>
          <w:szCs w:val="24"/>
        </w:rPr>
        <w:t xml:space="preserve"> NTPS, which employed a number of different contact strategies aimed at boosting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4" w:name="_Toc455154255"/>
      <w:bookmarkStart w:id="65" w:name="_Toc455496451"/>
      <w:bookmarkStart w:id="66" w:name="_Toc468187462"/>
      <w:bookmarkStart w:id="67" w:name="_Toc481483743"/>
      <w:r w:rsidRPr="00D321F9">
        <w:rPr>
          <w:rFonts w:ascii="Times New Roman" w:hAnsi="Times New Roman"/>
          <w:color w:val="auto"/>
          <w:sz w:val="24"/>
          <w:szCs w:val="24"/>
        </w:rPr>
        <w:t>B.3.1</w:t>
      </w:r>
      <w:r w:rsidRPr="00D321F9">
        <w:rPr>
          <w:rFonts w:ascii="Times New Roman" w:hAnsi="Times New Roman"/>
          <w:color w:val="auto"/>
          <w:sz w:val="24"/>
          <w:szCs w:val="24"/>
        </w:rPr>
        <w:tab/>
        <w:t>Methods to Secure Cooperation</w:t>
      </w:r>
      <w:r w:rsidR="00586EA4" w:rsidRPr="00D321F9">
        <w:rPr>
          <w:rFonts w:ascii="Times New Roman" w:hAnsi="Times New Roman"/>
          <w:color w:val="auto"/>
          <w:sz w:val="24"/>
          <w:szCs w:val="24"/>
        </w:rPr>
        <w:t xml:space="preserve"> and Maximize Response Rates</w:t>
      </w:r>
      <w:bookmarkEnd w:id="64"/>
      <w:bookmarkEnd w:id="65"/>
      <w:bookmarkEnd w:id="66"/>
      <w:bookmarkEnd w:id="67"/>
    </w:p>
    <w:p w:rsidR="00586EA4" w:rsidRPr="00D321F9" w:rsidRDefault="00586EA4" w:rsidP="00175C20">
      <w:pPr>
        <w:pStyle w:val="L1-FlLSp12"/>
        <w:spacing w:after="120" w:line="240" w:lineRule="auto"/>
        <w:rPr>
          <w:rFonts w:ascii="Times New Roman" w:hAnsi="Times New Roman"/>
          <w:szCs w:val="24"/>
        </w:rPr>
      </w:pPr>
      <w:r w:rsidRPr="00D321F9">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00586EA4" w:rsidRPr="00D321F9" w:rsidRDefault="00586EA4" w:rsidP="00577DD4">
      <w:pPr>
        <w:pStyle w:val="ListParagraph"/>
        <w:numPr>
          <w:ilvl w:val="0"/>
          <w:numId w:val="20"/>
        </w:numPr>
        <w:tabs>
          <w:tab w:val="left" w:pos="540"/>
        </w:tabs>
        <w:spacing w:after="120" w:line="240" w:lineRule="auto"/>
        <w:ind w:left="450"/>
        <w:rPr>
          <w:rFonts w:ascii="Times New Roman" w:hAnsi="Times New Roman"/>
          <w:szCs w:val="24"/>
        </w:rPr>
      </w:pPr>
      <w:r w:rsidRPr="00D321F9">
        <w:rPr>
          <w:rFonts w:ascii="Times New Roman" w:hAnsi="Times New Roman"/>
          <w:b/>
          <w:i/>
          <w:iCs/>
          <w:szCs w:val="24"/>
        </w:rPr>
        <w:t>Visible support from top-level Federal, State, and local education officials</w:t>
      </w:r>
      <w:r w:rsidRPr="00D321F9">
        <w:rPr>
          <w:rFonts w:ascii="Times New Roman" w:hAnsi="Times New Roman"/>
          <w:b/>
          <w:szCs w:val="24"/>
        </w:rPr>
        <w:t xml:space="preserve">. </w:t>
      </w:r>
      <w:r w:rsidRPr="00D321F9">
        <w:rPr>
          <w:rFonts w:ascii="Times New Roman" w:hAnsi="Times New Roman"/>
          <w:iCs/>
          <w:szCs w:val="24"/>
        </w:rPr>
        <w:t xml:space="preserve">Without the support of high-level officials in the U.S. Department of Education, </w:t>
      </w:r>
      <w:r w:rsidRPr="00D321F9">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Pr>
          <w:rFonts w:ascii="Times New Roman" w:hAnsi="Times New Roman"/>
          <w:szCs w:val="24"/>
        </w:rPr>
        <w:t xml:space="preserve">sampled districts that require prior research applications </w:t>
      </w:r>
      <w:r w:rsidR="009510D0" w:rsidRPr="009510D0">
        <w:rPr>
          <w:rFonts w:ascii="Times New Roman" w:hAnsi="Times New Roman"/>
          <w:szCs w:val="24"/>
        </w:rPr>
        <w:t xml:space="preserve">and </w:t>
      </w:r>
      <w:r w:rsidR="009510D0">
        <w:rPr>
          <w:rFonts w:ascii="Times New Roman" w:hAnsi="Times New Roman"/>
          <w:szCs w:val="24"/>
        </w:rPr>
        <w:t xml:space="preserve">to </w:t>
      </w:r>
      <w:r w:rsidRPr="00D321F9">
        <w:rPr>
          <w:rFonts w:ascii="Times New Roman" w:hAnsi="Times New Roman"/>
          <w:szCs w:val="24"/>
        </w:rPr>
        <w:t>individual survey participants (principals and teachers) to encourage participation.</w:t>
      </w:r>
    </w:p>
    <w:p w:rsidR="00586EA4" w:rsidRPr="00D321F9" w:rsidRDefault="00586EA4" w:rsidP="00577DD4">
      <w:pPr>
        <w:pStyle w:val="ListParagraph"/>
        <w:numPr>
          <w:ilvl w:val="0"/>
          <w:numId w:val="20"/>
        </w:numPr>
        <w:spacing w:after="60" w:line="240" w:lineRule="auto"/>
        <w:ind w:left="450"/>
        <w:rPr>
          <w:rFonts w:ascii="Times New Roman" w:hAnsi="Times New Roman"/>
          <w:szCs w:val="24"/>
        </w:rPr>
      </w:pPr>
      <w:r w:rsidRPr="00D321F9">
        <w:rPr>
          <w:rFonts w:ascii="Times New Roman" w:hAnsi="Times New Roman"/>
          <w:b/>
          <w:i/>
          <w:iCs/>
          <w:szCs w:val="24"/>
        </w:rPr>
        <w:t>Endorsements from key public school groups</w:t>
      </w:r>
      <w:r w:rsidRPr="00D321F9">
        <w:rPr>
          <w:rFonts w:ascii="Times New Roman" w:hAnsi="Times New Roman"/>
          <w:b/>
          <w:szCs w:val="24"/>
        </w:rPr>
        <w:t xml:space="preserve">. </w:t>
      </w:r>
      <w:r w:rsidRPr="00D321F9">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D321F9">
        <w:rPr>
          <w:rFonts w:ascii="Times New Roman" w:hAnsi="Times New Roman"/>
          <w:szCs w:val="24"/>
        </w:rPr>
        <w:t xml:space="preserve">NCES </w:t>
      </w:r>
      <w:r w:rsidR="00C2492A" w:rsidRPr="00D321F9">
        <w:rPr>
          <w:rFonts w:ascii="Times New Roman" w:hAnsi="Times New Roman"/>
          <w:szCs w:val="24"/>
        </w:rPr>
        <w:t>has obtained</w:t>
      </w:r>
      <w:r w:rsidRPr="00D321F9">
        <w:rPr>
          <w:rFonts w:ascii="Times New Roman" w:hAnsi="Times New Roman"/>
          <w:szCs w:val="24"/>
        </w:rPr>
        <w:t xml:space="preserve"> endorsement</w:t>
      </w:r>
      <w:r w:rsidR="00C2492A" w:rsidRPr="00D321F9">
        <w:rPr>
          <w:rFonts w:ascii="Times New Roman" w:hAnsi="Times New Roman"/>
          <w:szCs w:val="24"/>
        </w:rPr>
        <w:t>s</w:t>
      </w:r>
      <w:r w:rsidRPr="00D321F9">
        <w:rPr>
          <w:rFonts w:ascii="Times New Roman" w:hAnsi="Times New Roman"/>
          <w:szCs w:val="24"/>
        </w:rPr>
        <w:t xml:space="preserve"> </w:t>
      </w:r>
      <w:r w:rsidR="00B847A2" w:rsidRPr="00D321F9">
        <w:rPr>
          <w:rFonts w:ascii="Times New Roman" w:hAnsi="Times New Roman"/>
          <w:szCs w:val="24"/>
        </w:rPr>
        <w:t xml:space="preserve">for </w:t>
      </w:r>
      <w:r w:rsidR="00C2492A" w:rsidRPr="00D321F9">
        <w:rPr>
          <w:rFonts w:ascii="Times New Roman" w:hAnsi="Times New Roman"/>
          <w:szCs w:val="24"/>
        </w:rPr>
        <w:t>the 2017</w:t>
      </w:r>
      <w:r w:rsidR="007F5C54">
        <w:rPr>
          <w:rFonts w:ascii="Times New Roman" w:hAnsi="Times New Roman"/>
          <w:szCs w:val="24"/>
        </w:rPr>
        <w:t>-1</w:t>
      </w:r>
      <w:r w:rsidR="00C2492A" w:rsidRPr="00D321F9">
        <w:rPr>
          <w:rFonts w:ascii="Times New Roman" w:hAnsi="Times New Roman"/>
          <w:szCs w:val="24"/>
        </w:rPr>
        <w:t xml:space="preserve">8 </w:t>
      </w:r>
      <w:r w:rsidR="00B847A2" w:rsidRPr="00D321F9">
        <w:rPr>
          <w:rFonts w:ascii="Times New Roman" w:hAnsi="Times New Roman"/>
          <w:szCs w:val="24"/>
        </w:rPr>
        <w:t xml:space="preserve">NTPS </w:t>
      </w:r>
      <w:r w:rsidR="00C2492A" w:rsidRPr="00D321F9">
        <w:rPr>
          <w:rFonts w:ascii="Times New Roman" w:hAnsi="Times New Roman"/>
          <w:szCs w:val="24"/>
        </w:rPr>
        <w:t>from</w:t>
      </w:r>
      <w:r w:rsidRPr="00D321F9">
        <w:rPr>
          <w:rFonts w:ascii="Times New Roman" w:hAnsi="Times New Roman"/>
          <w:szCs w:val="24"/>
        </w:rPr>
        <w:t xml:space="preserve"> the following organizations or agencies: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of American Educators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 xml:space="preserve">Association </w:t>
      </w:r>
      <w:r w:rsidR="00C2492A" w:rsidRPr="00D321F9">
        <w:rPr>
          <w:rFonts w:ascii="Times New Roman" w:hAnsi="Times New Roman"/>
          <w:szCs w:val="24"/>
        </w:rPr>
        <w:t xml:space="preserve">for </w:t>
      </w:r>
      <w:r w:rsidRPr="00D321F9">
        <w:rPr>
          <w:rFonts w:ascii="Times New Roman" w:hAnsi="Times New Roman"/>
          <w:szCs w:val="24"/>
        </w:rPr>
        <w:t>Supervision and Curriculum Development</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Federation of Teachers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for Middle Level Education</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Council of the Great City Schools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National Association of Elementary School Principals</w:t>
      </w:r>
    </w:p>
    <w:p w:rsidR="00586EA4" w:rsidRPr="00D321F9" w:rsidRDefault="00586EA4" w:rsidP="007215B4">
      <w:pPr>
        <w:pStyle w:val="ListParagraph"/>
        <w:spacing w:after="60" w:line="240" w:lineRule="auto"/>
        <w:ind w:left="2160"/>
        <w:rPr>
          <w:rFonts w:ascii="Times New Roman" w:hAnsi="Times New Roman"/>
          <w:szCs w:val="24"/>
        </w:rPr>
      </w:pPr>
      <w:r w:rsidRPr="00D321F9">
        <w:rPr>
          <w:rFonts w:ascii="Times New Roman" w:hAnsi="Times New Roman"/>
          <w:szCs w:val="24"/>
        </w:rPr>
        <w:t>National Association of Secondary School Principals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Librarians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Montessori Society</w:t>
      </w:r>
    </w:p>
    <w:p w:rsidR="00586EA4" w:rsidRPr="00D321F9" w:rsidRDefault="00586EA4"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National Parent Teacher Association</w:t>
      </w:r>
    </w:p>
    <w:p w:rsidR="007215B4" w:rsidRDefault="00586EA4" w:rsidP="00577DD4">
      <w:pPr>
        <w:pStyle w:val="ListParagraph"/>
        <w:numPr>
          <w:ilvl w:val="0"/>
          <w:numId w:val="20"/>
        </w:numPr>
        <w:spacing w:after="120" w:line="240" w:lineRule="auto"/>
        <w:ind w:left="450"/>
        <w:rPr>
          <w:rFonts w:ascii="Times New Roman" w:hAnsi="Times New Roman"/>
          <w:szCs w:val="24"/>
        </w:rPr>
      </w:pPr>
      <w:r w:rsidRPr="00D321F9">
        <w:rPr>
          <w:rFonts w:ascii="Times New Roman" w:hAnsi="Times New Roman"/>
          <w:i/>
          <w:iCs/>
          <w:szCs w:val="24"/>
        </w:rPr>
        <w:t>Stressing the importance of the survey and the respondents' participation</w:t>
      </w:r>
      <w:r w:rsidRPr="00D321F9">
        <w:rPr>
          <w:rFonts w:ascii="Times New Roman" w:hAnsi="Times New Roman"/>
          <w:szCs w:val="24"/>
        </w:rPr>
        <w:t xml:space="preserve">. Official letters will be used to motivate respondents to return surveys. </w:t>
      </w:r>
      <w:r w:rsidR="00D76A03"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D76A03" w:rsidRPr="00D321F9">
        <w:rPr>
          <w:rFonts w:ascii="Times New Roman" w:hAnsi="Times New Roman"/>
          <w:szCs w:val="24"/>
        </w:rPr>
        <w:t xml:space="preserve"> respondent letters will </w:t>
      </w:r>
      <w:r w:rsidR="00682014" w:rsidRPr="00D321F9">
        <w:rPr>
          <w:rFonts w:ascii="Times New Roman" w:hAnsi="Times New Roman"/>
          <w:szCs w:val="24"/>
        </w:rPr>
        <w:t>be</w:t>
      </w:r>
      <w:r w:rsidR="00D76A03" w:rsidRPr="00D321F9">
        <w:rPr>
          <w:rFonts w:ascii="Times New Roman" w:hAnsi="Times New Roman"/>
          <w:szCs w:val="24"/>
        </w:rPr>
        <w:t xml:space="preserve"> sent </w:t>
      </w:r>
      <w:r w:rsidR="00D14608" w:rsidRPr="00D321F9">
        <w:rPr>
          <w:rFonts w:ascii="Times New Roman" w:hAnsi="Times New Roman"/>
          <w:szCs w:val="24"/>
        </w:rPr>
        <w:t xml:space="preserve">by the U.S. Census Bureau and </w:t>
      </w:r>
      <w:r w:rsidR="00D76A03" w:rsidRPr="00D321F9">
        <w:rPr>
          <w:rFonts w:ascii="Times New Roman" w:hAnsi="Times New Roman"/>
          <w:szCs w:val="24"/>
        </w:rPr>
        <w:t>signed by</w:t>
      </w:r>
      <w:r w:rsidRPr="00D321F9">
        <w:rPr>
          <w:rFonts w:ascii="Times New Roman" w:hAnsi="Times New Roman"/>
          <w:szCs w:val="24"/>
        </w:rPr>
        <w:t xml:space="preserve"> the </w:t>
      </w:r>
      <w:r w:rsidR="00F2503B" w:rsidRPr="00D321F9">
        <w:rPr>
          <w:rFonts w:ascii="Times New Roman" w:hAnsi="Times New Roman"/>
          <w:szCs w:val="24"/>
        </w:rPr>
        <w:t xml:space="preserve">NCES </w:t>
      </w:r>
      <w:r w:rsidRPr="00D321F9">
        <w:rPr>
          <w:rFonts w:ascii="Times New Roman" w:hAnsi="Times New Roman"/>
          <w:szCs w:val="24"/>
        </w:rPr>
        <w:t xml:space="preserve">Commissioner </w:t>
      </w:r>
      <w:r w:rsidR="00F2503B" w:rsidRPr="00D321F9">
        <w:rPr>
          <w:rFonts w:ascii="Times New Roman" w:hAnsi="Times New Roman"/>
          <w:szCs w:val="24"/>
        </w:rPr>
        <w:t>and/</w:t>
      </w:r>
      <w:r w:rsidRPr="00D321F9">
        <w:rPr>
          <w:rFonts w:ascii="Times New Roman" w:hAnsi="Times New Roman"/>
          <w:szCs w:val="24"/>
        </w:rPr>
        <w:t xml:space="preserve">or </w:t>
      </w:r>
      <w:r w:rsidR="00CF155D" w:rsidRPr="00D321F9">
        <w:rPr>
          <w:rFonts w:ascii="Times New Roman" w:hAnsi="Times New Roman"/>
          <w:szCs w:val="24"/>
        </w:rPr>
        <w:t xml:space="preserve">the Associate Commissioner of the </w:t>
      </w:r>
      <w:r w:rsidR="00F2503B" w:rsidRPr="00D321F9">
        <w:rPr>
          <w:rFonts w:ascii="Times New Roman" w:hAnsi="Times New Roman"/>
          <w:szCs w:val="24"/>
        </w:rPr>
        <w:t>Sample</w:t>
      </w:r>
      <w:r w:rsidR="00CF155D" w:rsidRPr="00D321F9">
        <w:rPr>
          <w:rFonts w:ascii="Times New Roman" w:hAnsi="Times New Roman"/>
          <w:szCs w:val="24"/>
        </w:rPr>
        <w:t xml:space="preserve"> Survey</w:t>
      </w:r>
      <w:r w:rsidR="00F2503B" w:rsidRPr="00D321F9">
        <w:rPr>
          <w:rFonts w:ascii="Times New Roman" w:hAnsi="Times New Roman"/>
          <w:szCs w:val="24"/>
        </w:rPr>
        <w:t xml:space="preserve"> Division</w:t>
      </w:r>
      <w:r w:rsidR="00CF155D" w:rsidRPr="00D321F9">
        <w:rPr>
          <w:rFonts w:ascii="Times New Roman" w:hAnsi="Times New Roman"/>
          <w:szCs w:val="24"/>
        </w:rPr>
        <w:t xml:space="preserve"> at NCES</w:t>
      </w:r>
      <w:r w:rsidRPr="00D321F9">
        <w:rPr>
          <w:rFonts w:ascii="Times New Roman" w:hAnsi="Times New Roman"/>
          <w:szCs w:val="24"/>
        </w:rPr>
        <w:t xml:space="preserve">. </w:t>
      </w:r>
      <w:r w:rsidR="00682014" w:rsidRPr="00D321F9">
        <w:rPr>
          <w:rFonts w:ascii="Times New Roman" w:hAnsi="Times New Roman"/>
          <w:szCs w:val="24"/>
        </w:rPr>
        <w:t xml:space="preserve">Communications in the form of both letters and emails will be </w:t>
      </w:r>
      <w:r w:rsidR="00D76A03" w:rsidRPr="00D321F9">
        <w:rPr>
          <w:rFonts w:ascii="Times New Roman" w:hAnsi="Times New Roman"/>
          <w:szCs w:val="24"/>
        </w:rPr>
        <w:t>personaliz</w:t>
      </w:r>
      <w:r w:rsidR="00682014" w:rsidRPr="00D321F9">
        <w:rPr>
          <w:rFonts w:ascii="Times New Roman" w:hAnsi="Times New Roman"/>
          <w:szCs w:val="24"/>
        </w:rPr>
        <w:t>ed for the pr</w:t>
      </w:r>
      <w:r w:rsidR="003649E6" w:rsidRPr="00D321F9">
        <w:rPr>
          <w:rFonts w:ascii="Times New Roman" w:hAnsi="Times New Roman"/>
          <w:szCs w:val="24"/>
        </w:rPr>
        <w:t>incipal and survey coordinators, which is expected to have positive effects on the survey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8" w:name="_Toc455154256"/>
      <w:bookmarkStart w:id="69" w:name="_Toc455496452"/>
      <w:bookmarkStart w:id="70" w:name="_Toc468187463"/>
      <w:bookmarkStart w:id="71" w:name="_Toc481483744"/>
      <w:r w:rsidRPr="00D321F9">
        <w:rPr>
          <w:rFonts w:ascii="Times New Roman" w:hAnsi="Times New Roman"/>
          <w:color w:val="auto"/>
          <w:sz w:val="24"/>
          <w:szCs w:val="24"/>
        </w:rPr>
        <w:t>B.3.2</w:t>
      </w:r>
      <w:r w:rsidRPr="00D321F9">
        <w:rPr>
          <w:rFonts w:ascii="Times New Roman" w:hAnsi="Times New Roman"/>
          <w:color w:val="auto"/>
          <w:sz w:val="24"/>
          <w:szCs w:val="24"/>
        </w:rPr>
        <w:tab/>
      </w:r>
      <w:r w:rsidR="00586EA4" w:rsidRPr="00D321F9">
        <w:rPr>
          <w:rFonts w:ascii="Times New Roman" w:hAnsi="Times New Roman"/>
          <w:color w:val="auto"/>
          <w:sz w:val="24"/>
          <w:szCs w:val="24"/>
        </w:rPr>
        <w:t xml:space="preserve">Methods to </w:t>
      </w:r>
      <w:r w:rsidR="009510D0">
        <w:rPr>
          <w:rFonts w:ascii="Times New Roman" w:hAnsi="Times New Roman"/>
          <w:color w:val="auto"/>
          <w:sz w:val="24"/>
          <w:szCs w:val="24"/>
        </w:rPr>
        <w:t>Minimize</w:t>
      </w:r>
      <w:r w:rsidR="00586EA4" w:rsidRPr="00D321F9">
        <w:rPr>
          <w:rFonts w:ascii="Times New Roman" w:hAnsi="Times New Roman"/>
          <w:color w:val="auto"/>
          <w:sz w:val="24"/>
          <w:szCs w:val="24"/>
        </w:rPr>
        <w:t xml:space="preserve"> Nonresponse</w:t>
      </w:r>
      <w:bookmarkEnd w:id="68"/>
      <w:bookmarkEnd w:id="69"/>
      <w:bookmarkEnd w:id="70"/>
      <w:bookmarkEnd w:id="71"/>
    </w:p>
    <w:p w:rsidR="00CE21FA" w:rsidRPr="00D321F9" w:rsidRDefault="00CE21FA" w:rsidP="00231D7C">
      <w:pPr>
        <w:pStyle w:val="L1-FlLSp12"/>
        <w:widowControl w:val="0"/>
        <w:spacing w:after="120" w:line="240" w:lineRule="auto"/>
        <w:rPr>
          <w:rFonts w:ascii="Times New Roman" w:hAnsi="Times New Roman"/>
          <w:szCs w:val="24"/>
        </w:rPr>
      </w:pPr>
      <w:r w:rsidRPr="00D321F9">
        <w:rPr>
          <w:rFonts w:ascii="Times New Roman" w:hAnsi="Times New Roman"/>
          <w:szCs w:val="24"/>
        </w:rPr>
        <w:t>A major challenge in any survey is obtaining high response rates, and this is even more important today when response rates have been falling among federal surveys in general, and in the SASS/NTPS series of studies in particular.</w:t>
      </w:r>
    </w:p>
    <w:p w:rsidR="00CE21FA"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D321F9">
        <w:rPr>
          <w:rFonts w:ascii="Times New Roman" w:hAnsi="Times New Roman"/>
          <w:szCs w:val="24"/>
        </w:rPr>
        <w:t xml:space="preserve">establishing survey </w:t>
      </w:r>
      <w:r w:rsidRPr="00D321F9">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Methods selected to 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will build upon those used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including actions </w:t>
      </w:r>
      <w:r w:rsidR="00F2503B" w:rsidRPr="00D321F9">
        <w:rPr>
          <w:rFonts w:ascii="Times New Roman" w:hAnsi="Times New Roman"/>
          <w:szCs w:val="24"/>
        </w:rPr>
        <w:t xml:space="preserve">that were </w:t>
      </w:r>
      <w:r w:rsidRPr="00D321F9">
        <w:rPr>
          <w:rFonts w:ascii="Times New Roman" w:hAnsi="Times New Roman"/>
          <w:szCs w:val="24"/>
        </w:rPr>
        <w:t xml:space="preserve">taken late in </w:t>
      </w:r>
      <w:r w:rsidR="00104F0E">
        <w:rPr>
          <w:rFonts w:ascii="Times New Roman" w:hAnsi="Times New Roman"/>
          <w:szCs w:val="24"/>
        </w:rPr>
        <w:t>the</w:t>
      </w:r>
      <w:r w:rsidRPr="00D321F9">
        <w:rPr>
          <w:rFonts w:ascii="Times New Roman" w:hAnsi="Times New Roman"/>
          <w:szCs w:val="24"/>
        </w:rPr>
        <w:t xml:space="preserve"> data collection to boost principal and teacher response rates.</w:t>
      </w:r>
    </w:p>
    <w:p w:rsidR="00404527" w:rsidRPr="00D321F9" w:rsidRDefault="00404527" w:rsidP="00175C20">
      <w:pPr>
        <w:spacing w:after="120" w:line="240" w:lineRule="auto"/>
        <w:rPr>
          <w:rFonts w:ascii="Times New Roman" w:hAnsi="Times New Roman"/>
          <w:b/>
          <w:szCs w:val="24"/>
        </w:rPr>
      </w:pPr>
      <w:r w:rsidRPr="00D321F9">
        <w:rPr>
          <w:rFonts w:ascii="Times New Roman" w:hAnsi="Times New Roman"/>
          <w:b/>
          <w:szCs w:val="24"/>
        </w:rPr>
        <w:t>Data Collec</w:t>
      </w:r>
      <w:r w:rsidR="00A71D93">
        <w:rPr>
          <w:rFonts w:ascii="Times New Roman" w:hAnsi="Times New Roman"/>
          <w:b/>
          <w:szCs w:val="24"/>
        </w:rPr>
        <w:t>tion Strategies to Minimize Non-</w:t>
      </w:r>
      <w:r w:rsidRPr="00D321F9">
        <w:rPr>
          <w:rFonts w:ascii="Times New Roman" w:hAnsi="Times New Roman"/>
          <w:b/>
          <w:szCs w:val="24"/>
        </w:rPr>
        <w:t>Response</w:t>
      </w:r>
    </w:p>
    <w:p w:rsidR="00DD2D1F" w:rsidRPr="00D321F9" w:rsidRDefault="00DD2D1F"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Minimize survey burden</w:t>
      </w:r>
      <w:r w:rsidR="004E5B8D" w:rsidRPr="00D321F9">
        <w:rPr>
          <w:rFonts w:ascii="Times New Roman" w:hAnsi="Times New Roman"/>
          <w:b/>
          <w:i/>
          <w:iCs/>
          <w:szCs w:val="24"/>
        </w:rPr>
        <w:t xml:space="preserve"> on</w:t>
      </w:r>
      <w:r w:rsidRPr="00D321F9">
        <w:rPr>
          <w:rFonts w:ascii="Times New Roman" w:hAnsi="Times New Roman"/>
          <w:b/>
          <w:i/>
          <w:iCs/>
          <w:szCs w:val="24"/>
        </w:rPr>
        <w:t xml:space="preserve"> schoo</w:t>
      </w:r>
      <w:r w:rsidR="004E5B8D" w:rsidRPr="00D321F9">
        <w:rPr>
          <w:rFonts w:ascii="Times New Roman" w:hAnsi="Times New Roman"/>
          <w:b/>
          <w:i/>
          <w:iCs/>
          <w:szCs w:val="24"/>
        </w:rPr>
        <w:t>ls</w:t>
      </w:r>
      <w:r w:rsidRPr="00D321F9">
        <w:rPr>
          <w:rFonts w:ascii="Times New Roman" w:hAnsi="Times New Roman"/>
          <w:b/>
          <w:szCs w:val="24"/>
        </w:rPr>
        <w:t>.</w:t>
      </w:r>
      <w:r w:rsidRPr="00D321F9">
        <w:rPr>
          <w:rFonts w:ascii="Times New Roman" w:hAnsi="Times New Roman"/>
          <w:szCs w:val="24"/>
        </w:rPr>
        <w:t xml:space="preserve"> </w:t>
      </w:r>
      <w:r w:rsidR="009D3C8D" w:rsidRPr="00D321F9">
        <w:rPr>
          <w:rFonts w:ascii="Times New Roman" w:hAnsi="Times New Roman"/>
          <w:szCs w:val="24"/>
        </w:rPr>
        <w:t>NTPS</w:t>
      </w:r>
      <w:r w:rsidRPr="00D321F9">
        <w:rPr>
          <w:rFonts w:ascii="Times New Roman" w:hAnsi="Times New Roman"/>
          <w:szCs w:val="24"/>
        </w:rPr>
        <w:t xml:space="preserve"> </w:t>
      </w:r>
      <w:r w:rsidR="009D3C8D" w:rsidRPr="00D321F9">
        <w:rPr>
          <w:rFonts w:ascii="Times New Roman" w:hAnsi="Times New Roman"/>
          <w:szCs w:val="24"/>
        </w:rPr>
        <w:t xml:space="preserve">survey </w:t>
      </w:r>
      <w:r w:rsidRPr="00D321F9">
        <w:rPr>
          <w:rFonts w:ascii="Times New Roman" w:hAnsi="Times New Roman"/>
          <w:szCs w:val="24"/>
        </w:rPr>
        <w:t>procedures are designed to minimize the burden on schools and sampled individuals (principals and teachers)</w:t>
      </w:r>
      <w:r w:rsidR="009D3C8D" w:rsidRPr="00D321F9">
        <w:rPr>
          <w:rFonts w:ascii="Times New Roman" w:hAnsi="Times New Roman"/>
          <w:szCs w:val="24"/>
        </w:rPr>
        <w:t>,</w:t>
      </w:r>
      <w:r w:rsidRPr="00D321F9">
        <w:rPr>
          <w:rFonts w:ascii="Times New Roman" w:hAnsi="Times New Roman"/>
          <w:szCs w:val="24"/>
        </w:rPr>
        <w:t xml:space="preserve"> and the survey instruments have been designed to be completed as quickly and easily as possible.</w:t>
      </w:r>
    </w:p>
    <w:p w:rsidR="00DD2D1F" w:rsidRPr="00D321F9" w:rsidRDefault="00DD2D1F"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Good questionnaire design techniques have been employed to minimize item nonresponse. </w:t>
      </w:r>
      <w:r w:rsidR="009D3C8D" w:rsidRPr="00D321F9">
        <w:rPr>
          <w:rFonts w:ascii="Times New Roman" w:hAnsi="Times New Roman"/>
          <w:szCs w:val="24"/>
        </w:rPr>
        <w:t>Q</w:t>
      </w:r>
      <w:r w:rsidRPr="00D321F9">
        <w:rPr>
          <w:rFonts w:ascii="Times New Roman" w:hAnsi="Times New Roman"/>
          <w:szCs w:val="24"/>
        </w:rPr>
        <w:t xml:space="preserve">uestionnaires from </w:t>
      </w:r>
      <w:r w:rsidR="009D3C8D" w:rsidRPr="00D321F9">
        <w:rPr>
          <w:rFonts w:ascii="Times New Roman" w:hAnsi="Times New Roman"/>
          <w:szCs w:val="24"/>
        </w:rPr>
        <w:t xml:space="preserve">previous rounds of SASS and NTPS </w:t>
      </w:r>
      <w:r w:rsidR="00104F0E">
        <w:rPr>
          <w:rFonts w:ascii="Times New Roman" w:hAnsi="Times New Roman"/>
          <w:szCs w:val="24"/>
        </w:rPr>
        <w:t>were</w:t>
      </w:r>
      <w:r w:rsidRPr="00D321F9">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rsidR="007215B4" w:rsidRDefault="009D3C8D"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A key design feature of </w:t>
      </w:r>
      <w:r w:rsidR="00DD2D1F" w:rsidRPr="00D321F9">
        <w:rPr>
          <w:rFonts w:ascii="Times New Roman" w:hAnsi="Times New Roman"/>
          <w:szCs w:val="24"/>
        </w:rPr>
        <w:t xml:space="preserve">NTPS </w:t>
      </w:r>
      <w:r w:rsidRPr="00D321F9">
        <w:rPr>
          <w:rFonts w:ascii="Times New Roman" w:hAnsi="Times New Roman"/>
          <w:szCs w:val="24"/>
        </w:rPr>
        <w:t xml:space="preserve">is the ability to link to other </w:t>
      </w:r>
      <w:r w:rsidR="00DD2D1F" w:rsidRPr="00D321F9">
        <w:rPr>
          <w:rFonts w:ascii="Times New Roman" w:hAnsi="Times New Roman"/>
          <w:szCs w:val="24"/>
        </w:rPr>
        <w:t>NCES collections such as ED</w:t>
      </w:r>
      <w:r w:rsidR="00E908BF" w:rsidRPr="00E908BF">
        <w:rPr>
          <w:rFonts w:ascii="Times New Roman" w:hAnsi="Times New Roman"/>
          <w:i/>
          <w:szCs w:val="24"/>
        </w:rPr>
        <w:t>F</w:t>
      </w:r>
      <w:r w:rsidR="00DD2D1F" w:rsidRPr="00E908BF">
        <w:rPr>
          <w:rFonts w:ascii="Times New Roman" w:hAnsi="Times New Roman"/>
          <w:i/>
          <w:szCs w:val="24"/>
        </w:rPr>
        <w:t>acts</w:t>
      </w:r>
      <w:r w:rsidR="00DD2D1F" w:rsidRPr="00D321F9">
        <w:rPr>
          <w:rFonts w:ascii="Times New Roman" w:hAnsi="Times New Roman"/>
          <w:szCs w:val="24"/>
        </w:rPr>
        <w:t xml:space="preserve"> and the Civil Rights Data Collection (CRDC)</w:t>
      </w:r>
      <w:r w:rsidRPr="00D321F9">
        <w:rPr>
          <w:rFonts w:ascii="Times New Roman" w:hAnsi="Times New Roman"/>
          <w:szCs w:val="24"/>
        </w:rPr>
        <w:t>. Information from these sources will be incorporated</w:t>
      </w:r>
      <w:r w:rsidR="00DD2D1F" w:rsidRPr="00D321F9">
        <w:rPr>
          <w:rFonts w:ascii="Times New Roman" w:hAnsi="Times New Roman"/>
          <w:szCs w:val="24"/>
        </w:rPr>
        <w:t xml:space="preserve"> into final datasets to allow researchers and policymakers to </w:t>
      </w:r>
      <w:r w:rsidR="004E5B8D" w:rsidRPr="00D321F9">
        <w:rPr>
          <w:rFonts w:ascii="Times New Roman" w:hAnsi="Times New Roman"/>
          <w:szCs w:val="24"/>
        </w:rPr>
        <w:t>analyze</w:t>
      </w:r>
      <w:r w:rsidR="00DD2D1F" w:rsidRPr="00D321F9">
        <w:rPr>
          <w:rFonts w:ascii="Times New Roman" w:hAnsi="Times New Roman"/>
          <w:szCs w:val="24"/>
        </w:rPr>
        <w:t xml:space="preserve"> </w:t>
      </w:r>
      <w:r w:rsidR="004E5B8D" w:rsidRPr="00D321F9">
        <w:rPr>
          <w:rFonts w:ascii="Times New Roman" w:hAnsi="Times New Roman"/>
          <w:szCs w:val="24"/>
        </w:rPr>
        <w:t>those data together</w:t>
      </w:r>
      <w:r w:rsidR="00DD2D1F" w:rsidRPr="00D321F9">
        <w:rPr>
          <w:rFonts w:ascii="Times New Roman" w:hAnsi="Times New Roman"/>
          <w:szCs w:val="24"/>
        </w:rPr>
        <w:t xml:space="preserve">. This will further reduce the need to collect from schools </w:t>
      </w:r>
      <w:r w:rsidR="00E908BF" w:rsidRPr="00D321F9">
        <w:rPr>
          <w:rFonts w:ascii="Times New Roman" w:hAnsi="Times New Roman"/>
          <w:szCs w:val="24"/>
        </w:rPr>
        <w:t xml:space="preserve">data </w:t>
      </w:r>
      <w:r w:rsidR="00DD2D1F" w:rsidRPr="00D321F9">
        <w:rPr>
          <w:rFonts w:ascii="Times New Roman" w:hAnsi="Times New Roman"/>
          <w:szCs w:val="24"/>
        </w:rPr>
        <w:t xml:space="preserve">that have already been collected </w:t>
      </w:r>
      <w:r w:rsidR="004E5B8D" w:rsidRPr="00D321F9">
        <w:rPr>
          <w:rFonts w:ascii="Times New Roman" w:hAnsi="Times New Roman"/>
          <w:szCs w:val="24"/>
        </w:rPr>
        <w:t xml:space="preserve">from state or </w:t>
      </w:r>
      <w:r w:rsidR="00DD2D1F" w:rsidRPr="00D321F9">
        <w:rPr>
          <w:rFonts w:ascii="Times New Roman" w:hAnsi="Times New Roman"/>
          <w:szCs w:val="24"/>
        </w:rPr>
        <w:t>district</w:t>
      </w:r>
      <w:r w:rsidR="004E5B8D" w:rsidRPr="00D321F9">
        <w:rPr>
          <w:rFonts w:ascii="Times New Roman" w:hAnsi="Times New Roman"/>
          <w:szCs w:val="24"/>
        </w:rPr>
        <w:t xml:space="preserve"> </w:t>
      </w:r>
      <w:r w:rsidR="00E908BF">
        <w:rPr>
          <w:rFonts w:ascii="Times New Roman" w:hAnsi="Times New Roman"/>
          <w:szCs w:val="24"/>
        </w:rPr>
        <w:t xml:space="preserve">education </w:t>
      </w:r>
      <w:r w:rsidR="004E5B8D" w:rsidRPr="00D321F9">
        <w:rPr>
          <w:rFonts w:ascii="Times New Roman" w:hAnsi="Times New Roman"/>
          <w:szCs w:val="24"/>
        </w:rPr>
        <w:t>agencies.</w:t>
      </w:r>
    </w:p>
    <w:p w:rsidR="00DD2D1F" w:rsidRPr="00D321F9" w:rsidRDefault="004E5B8D"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Recruit survey</w:t>
      </w:r>
      <w:r w:rsidR="00DD2D1F" w:rsidRPr="00D321F9">
        <w:rPr>
          <w:rFonts w:ascii="Times New Roman" w:hAnsi="Times New Roman"/>
          <w:b/>
          <w:i/>
          <w:iCs/>
          <w:szCs w:val="24"/>
        </w:rPr>
        <w:t xml:space="preserve"> coordinator</w:t>
      </w:r>
      <w:r w:rsidRPr="00D321F9">
        <w:rPr>
          <w:rFonts w:ascii="Times New Roman" w:hAnsi="Times New Roman"/>
          <w:b/>
          <w:i/>
          <w:iCs/>
          <w:szCs w:val="24"/>
        </w:rPr>
        <w:t>s</w:t>
      </w:r>
      <w:r w:rsidR="00DD2D1F" w:rsidRPr="00D321F9">
        <w:rPr>
          <w:rFonts w:ascii="Times New Roman" w:hAnsi="Times New Roman"/>
          <w:b/>
          <w:szCs w:val="24"/>
        </w:rPr>
        <w:t>.</w:t>
      </w:r>
      <w:r w:rsidR="00DD2D1F" w:rsidRPr="00D321F9">
        <w:rPr>
          <w:rFonts w:ascii="Times New Roman" w:hAnsi="Times New Roman"/>
          <w:szCs w:val="24"/>
        </w:rPr>
        <w:t xml:space="preserve"> </w:t>
      </w:r>
      <w:r w:rsidRPr="00D321F9">
        <w:rPr>
          <w:rFonts w:ascii="Times New Roman" w:hAnsi="Times New Roman"/>
          <w:szCs w:val="24"/>
        </w:rPr>
        <w:t>Successive administrations of SASS and NTPS have shown that an important procedure to</w:t>
      </w:r>
      <w:r w:rsidR="00E908BF">
        <w:rPr>
          <w:rFonts w:ascii="Times New Roman" w:hAnsi="Times New Roman"/>
          <w:szCs w:val="24"/>
        </w:rPr>
        <w:t xml:space="preserve"> help</w:t>
      </w:r>
      <w:r w:rsidRPr="00D321F9">
        <w:rPr>
          <w:rFonts w:ascii="Times New Roman" w:hAnsi="Times New Roman"/>
          <w:szCs w:val="24"/>
        </w:rPr>
        <w:t xml:space="preserve"> maximize r</w:t>
      </w:r>
      <w:r w:rsidR="00DD2D1F" w:rsidRPr="00D321F9">
        <w:rPr>
          <w:rFonts w:ascii="Times New Roman" w:hAnsi="Times New Roman"/>
          <w:szCs w:val="24"/>
        </w:rPr>
        <w:t>esponse rates is</w:t>
      </w:r>
      <w:r w:rsidRPr="00D321F9">
        <w:rPr>
          <w:rFonts w:ascii="Times New Roman" w:hAnsi="Times New Roman"/>
          <w:szCs w:val="24"/>
        </w:rPr>
        <w:t xml:space="preserve"> to </w:t>
      </w:r>
      <w:r w:rsidR="00DD2D1F" w:rsidRPr="00D321F9">
        <w:rPr>
          <w:rFonts w:ascii="Times New Roman" w:hAnsi="Times New Roman"/>
          <w:szCs w:val="24"/>
        </w:rPr>
        <w:t xml:space="preserve">establish a school-based "survey coordinator" to serve as a primary point of contact for NTPS staff. The use of a </w:t>
      </w:r>
      <w:r w:rsidRPr="00D321F9">
        <w:rPr>
          <w:rFonts w:ascii="Times New Roman" w:hAnsi="Times New Roman"/>
          <w:szCs w:val="24"/>
        </w:rPr>
        <w:t>survey</w:t>
      </w:r>
      <w:r w:rsidR="00DD2D1F" w:rsidRPr="00D321F9">
        <w:rPr>
          <w:rFonts w:ascii="Times New Roman" w:hAnsi="Times New Roman"/>
          <w:szCs w:val="24"/>
        </w:rPr>
        <w:t xml:space="preserve"> coordinator is expected to help keep response rates high, provide some minimal data quality checks, and simplify the follow-up process by having one point of contact.</w:t>
      </w:r>
    </w:p>
    <w:p w:rsidR="007215B4" w:rsidRDefault="00E908BF"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Tailor non</w:t>
      </w:r>
      <w:r w:rsidR="00DD2D1F" w:rsidRPr="00D321F9">
        <w:rPr>
          <w:rFonts w:ascii="Times New Roman" w:hAnsi="Times New Roman"/>
          <w:b/>
          <w:i/>
          <w:iCs/>
          <w:szCs w:val="24"/>
        </w:rPr>
        <w:t>response follow up strategies</w:t>
      </w:r>
      <w:r w:rsidR="004E5B8D" w:rsidRPr="00D321F9">
        <w:rPr>
          <w:rFonts w:ascii="Times New Roman" w:hAnsi="Times New Roman"/>
          <w:b/>
          <w:i/>
          <w:iCs/>
          <w:szCs w:val="24"/>
        </w:rPr>
        <w:t xml:space="preserve"> in public schools.</w:t>
      </w:r>
      <w:r w:rsidR="004E5B8D" w:rsidRPr="00D321F9">
        <w:rPr>
          <w:rFonts w:ascii="Times New Roman" w:hAnsi="Times New Roman"/>
          <w:i/>
          <w:iCs/>
          <w:szCs w:val="24"/>
        </w:rPr>
        <w:t xml:space="preserve"> </w:t>
      </w:r>
      <w:r w:rsidR="004E5B8D" w:rsidRPr="00D321F9">
        <w:rPr>
          <w:rFonts w:ascii="Times New Roman" w:hAnsi="Times New Roman"/>
          <w:iCs/>
          <w:szCs w:val="24"/>
        </w:rPr>
        <w:t xml:space="preserve">In an effort to maximize response rates and minimize the potential for bias, NCES took a number of steps prior to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4E5B8D" w:rsidRPr="00D321F9">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4E5B8D" w:rsidRPr="00D321F9">
        <w:rPr>
          <w:rFonts w:ascii="Times New Roman" w:hAnsi="Times New Roman"/>
          <w:iCs/>
          <w:szCs w:val="24"/>
        </w:rPr>
        <w:t xml:space="preserve"> SASS data, as described below) and the highest potential impact on estimates.</w:t>
      </w:r>
    </w:p>
    <w:p w:rsidR="00DD2D1F" w:rsidRPr="00D321F9" w:rsidRDefault="004E5B8D"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As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public schools sampled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will b</w:t>
      </w:r>
      <w:r w:rsidR="00DD2D1F" w:rsidRPr="00D321F9">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rsidR="00DD2D1F" w:rsidRPr="00D321F9" w:rsidRDefault="00116EE7" w:rsidP="00175C20">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rsidR="00DD2D1F" w:rsidRPr="00D321F9" w:rsidRDefault="00DD2D1F" w:rsidP="008A162A">
      <w:pPr>
        <w:pStyle w:val="ListParagraph"/>
        <w:spacing w:after="120" w:line="240" w:lineRule="auto"/>
        <w:ind w:left="540"/>
        <w:rPr>
          <w:rFonts w:ascii="Times New Roman" w:hAnsi="Times New Roman"/>
          <w:iCs/>
          <w:szCs w:val="24"/>
        </w:rPr>
      </w:pPr>
      <w:r w:rsidRPr="00D321F9">
        <w:rPr>
          <w:rFonts w:ascii="Times New Roman" w:hAnsi="Times New Roman"/>
          <w:iCs/>
          <w:szCs w:val="24"/>
        </w:rPr>
        <w:t>where:</w:t>
      </w:r>
      <w:r w:rsidRPr="00D321F9">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D321F9">
        <w:rPr>
          <w:rFonts w:ascii="Times New Roman" w:hAnsi="Times New Roman"/>
          <w:iCs/>
          <w:szCs w:val="24"/>
        </w:rPr>
        <w:t xml:space="preserve"> is the final weighted response influence for a school,</w:t>
      </w:r>
    </w:p>
    <w:p w:rsidR="00DD2D1F" w:rsidRPr="00D321F9" w:rsidRDefault="00116EE7" w:rsidP="00E908BF">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D321F9">
        <w:rPr>
          <w:rFonts w:ascii="Times New Roman" w:hAnsi="Times New Roman"/>
          <w:iCs/>
          <w:szCs w:val="24"/>
        </w:rPr>
        <w:t xml:space="preserve"> is the baseweight for a school, and</w:t>
      </w:r>
    </w:p>
    <w:p w:rsidR="00DD2D1F" w:rsidRPr="00E908BF" w:rsidRDefault="00116EE7" w:rsidP="00E908BF">
      <w:pPr>
        <w:pStyle w:val="ListParagraph"/>
        <w:spacing w:after="120" w:line="240" w:lineRule="auto"/>
        <w:ind w:left="1260" w:firstLine="180"/>
        <w:rPr>
          <w:rFonts w:ascii="Cambria Math" w:hAnsi="Cambria Math" w:hint="eastAsia"/>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E908BF">
        <w:rPr>
          <w:rFonts w:ascii="Cambria Math" w:hAnsi="Cambria Math"/>
          <w:iCs/>
          <w:szCs w:val="24"/>
        </w:rPr>
        <w:t xml:space="preserve"> is the estimated response propensity for a school</w:t>
      </w:r>
    </w:p>
    <w:p w:rsidR="00DD2D1F" w:rsidRPr="00D321F9" w:rsidRDefault="00DD2D1F" w:rsidP="00577DD4">
      <w:pPr>
        <w:pStyle w:val="ListParagraph"/>
        <w:widowControl w:val="0"/>
        <w:spacing w:after="120" w:line="240" w:lineRule="auto"/>
        <w:ind w:left="446"/>
        <w:rPr>
          <w:rFonts w:ascii="Times New Roman" w:hAnsi="Times New Roman"/>
          <w:iCs/>
          <w:szCs w:val="24"/>
        </w:rPr>
      </w:pPr>
      <w:r w:rsidRPr="00D321F9">
        <w:rPr>
          <w:rFonts w:ascii="Times New Roman" w:hAnsi="Times New Roman"/>
          <w:iCs/>
          <w:szCs w:val="24"/>
        </w:rPr>
        <w:t xml:space="preserve">As the formula shows, a case with either an extremely high weight or an extremely low response propensity </w:t>
      </w:r>
      <w:r w:rsidR="004B75CF" w:rsidRPr="00D321F9">
        <w:rPr>
          <w:rFonts w:ascii="Times New Roman" w:hAnsi="Times New Roman"/>
          <w:iCs/>
          <w:szCs w:val="24"/>
        </w:rPr>
        <w:t xml:space="preserve">has a </w:t>
      </w:r>
      <w:r w:rsidRPr="00D321F9">
        <w:rPr>
          <w:rFonts w:ascii="Times New Roman" w:hAnsi="Times New Roman"/>
          <w:iCs/>
          <w:szCs w:val="24"/>
        </w:rPr>
        <w:t xml:space="preserve">large response influence, </w:t>
      </w:r>
      <w:r w:rsidR="004B75CF" w:rsidRPr="00D321F9">
        <w:rPr>
          <w:rFonts w:ascii="Times New Roman" w:hAnsi="Times New Roman"/>
          <w:iCs/>
          <w:szCs w:val="24"/>
        </w:rPr>
        <w:t>meaning that their nonresponse will disproportionately affect the nonresponse adjustment cell</w:t>
      </w:r>
      <w:r w:rsidRPr="00D321F9">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D321F9">
        <w:rPr>
          <w:rFonts w:ascii="Times New Roman" w:hAnsi="Times New Roman"/>
          <w:iCs/>
          <w:szCs w:val="24"/>
        </w:rPr>
        <w:t xml:space="preserve">the formula takes </w:t>
      </w:r>
      <w:r w:rsidRPr="00D321F9">
        <w:rPr>
          <w:rFonts w:ascii="Times New Roman" w:hAnsi="Times New Roman"/>
          <w:iCs/>
          <w:szCs w:val="24"/>
        </w:rPr>
        <w:t>the natural log of the base weight</w:t>
      </w:r>
      <w:r w:rsidR="004B75CF" w:rsidRPr="00D321F9">
        <w:rPr>
          <w:rFonts w:ascii="Times New Roman" w:hAnsi="Times New Roman"/>
          <w:iCs/>
          <w:szCs w:val="24"/>
        </w:rPr>
        <w:t>.</w:t>
      </w:r>
    </w:p>
    <w:p w:rsidR="00A61FA5" w:rsidRPr="00D321F9" w:rsidRDefault="004B75CF" w:rsidP="00577DD4">
      <w:pPr>
        <w:pStyle w:val="ListParagraph"/>
        <w:spacing w:after="120" w:line="240" w:lineRule="auto"/>
        <w:ind w:left="450"/>
        <w:rPr>
          <w:rFonts w:ascii="Times New Roman" w:hAnsi="Times New Roman"/>
          <w:szCs w:val="24"/>
        </w:rPr>
      </w:pPr>
      <w:r w:rsidRPr="00D321F9">
        <w:rPr>
          <w:rFonts w:ascii="Times New Roman" w:hAnsi="Times New Roman"/>
          <w:iCs/>
          <w:szCs w:val="24"/>
        </w:rPr>
        <w:t xml:space="preserve">The weighted response propensity model for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DD2D1F" w:rsidRPr="00D321F9">
        <w:rPr>
          <w:rFonts w:ascii="Times New Roman" w:hAnsi="Times New Roman"/>
          <w:iCs/>
          <w:szCs w:val="24"/>
        </w:rPr>
        <w:t xml:space="preserve"> NTPS</w:t>
      </w:r>
      <w:r w:rsidR="0031111B" w:rsidRPr="00D321F9">
        <w:rPr>
          <w:rFonts w:ascii="Times New Roman" w:hAnsi="Times New Roman"/>
          <w:iCs/>
          <w:szCs w:val="24"/>
        </w:rPr>
        <w:t xml:space="preserve"> was developed using data from the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31111B" w:rsidRPr="00D321F9">
        <w:rPr>
          <w:rFonts w:ascii="Times New Roman" w:hAnsi="Times New Roman"/>
          <w:iCs/>
          <w:szCs w:val="24"/>
        </w:rPr>
        <w:t xml:space="preserve"> SASS. </w:t>
      </w:r>
      <w:r w:rsidR="00DD2D1F" w:rsidRPr="00D321F9">
        <w:rPr>
          <w:rFonts w:ascii="Times New Roman" w:hAnsi="Times New Roman"/>
          <w:iCs/>
          <w:szCs w:val="24"/>
        </w:rPr>
        <w:t xml:space="preserve">Specific categories of variables available for evaluation include geography, urbanicity, racial/ethnic makeup, enrollment, grades levels, </w:t>
      </w:r>
      <w:r w:rsidR="00E908BF">
        <w:rPr>
          <w:rFonts w:ascii="Times New Roman" w:hAnsi="Times New Roman"/>
          <w:iCs/>
          <w:szCs w:val="24"/>
        </w:rPr>
        <w:t xml:space="preserve">percent </w:t>
      </w:r>
      <w:r w:rsidR="00DD2D1F" w:rsidRPr="00D321F9">
        <w:rPr>
          <w:rFonts w:ascii="Times New Roman" w:hAnsi="Times New Roman"/>
          <w:iCs/>
          <w:szCs w:val="24"/>
        </w:rPr>
        <w:t xml:space="preserve">free lunch recipiency, and type of school. These variables are available in the SASS </w:t>
      </w:r>
      <w:r w:rsidR="00E17F74" w:rsidRPr="00D321F9">
        <w:rPr>
          <w:rFonts w:ascii="Times New Roman" w:hAnsi="Times New Roman"/>
          <w:iCs/>
          <w:szCs w:val="24"/>
        </w:rPr>
        <w:t>2011</w:t>
      </w:r>
      <w:r w:rsidR="0081704D">
        <w:rPr>
          <w:rFonts w:ascii="Times New Roman" w:hAnsi="Times New Roman"/>
          <w:iCs/>
          <w:szCs w:val="24"/>
        </w:rPr>
        <w:t>-</w:t>
      </w:r>
      <w:r w:rsidR="00E17F74" w:rsidRPr="00D321F9">
        <w:rPr>
          <w:rFonts w:ascii="Times New Roman" w:hAnsi="Times New Roman"/>
          <w:iCs/>
          <w:szCs w:val="24"/>
        </w:rPr>
        <w:t xml:space="preserve">2012 </w:t>
      </w:r>
      <w:r w:rsidR="00DD2D1F" w:rsidRPr="00D321F9">
        <w:rPr>
          <w:rFonts w:ascii="Times New Roman" w:hAnsi="Times New Roman"/>
          <w:iCs/>
          <w:szCs w:val="24"/>
        </w:rPr>
        <w:t xml:space="preserve">and NTPS </w:t>
      </w:r>
      <w:r w:rsidR="00E17F74" w:rsidRPr="00D321F9">
        <w:rPr>
          <w:rFonts w:ascii="Times New Roman" w:hAnsi="Times New Roman"/>
          <w:iCs/>
          <w:szCs w:val="24"/>
        </w:rPr>
        <w:t>2015</w:t>
      </w:r>
      <w:r w:rsidR="00E17F74">
        <w:rPr>
          <w:rFonts w:ascii="Times New Roman" w:hAnsi="Times New Roman"/>
          <w:iCs/>
          <w:szCs w:val="24"/>
        </w:rPr>
        <w:t>-1</w:t>
      </w:r>
      <w:r w:rsidR="00E17F74" w:rsidRPr="00D321F9">
        <w:rPr>
          <w:rFonts w:ascii="Times New Roman" w:hAnsi="Times New Roman"/>
          <w:iCs/>
          <w:szCs w:val="24"/>
        </w:rPr>
        <w:t xml:space="preserve">6 </w:t>
      </w:r>
      <w:r w:rsidR="00DD2D1F" w:rsidRPr="00D321F9">
        <w:rPr>
          <w:rFonts w:ascii="Times New Roman" w:hAnsi="Times New Roman"/>
          <w:iCs/>
          <w:szCs w:val="24"/>
        </w:rPr>
        <w:t xml:space="preserve">sample files, </w:t>
      </w:r>
      <w:r w:rsidR="00577DD4">
        <w:rPr>
          <w:rFonts w:ascii="Times New Roman" w:hAnsi="Times New Roman"/>
          <w:iCs/>
          <w:szCs w:val="24"/>
        </w:rPr>
        <w:t>enabling us to</w:t>
      </w:r>
      <w:r w:rsidR="0031111B" w:rsidRPr="00D321F9">
        <w:rPr>
          <w:rFonts w:ascii="Times New Roman" w:hAnsi="Times New Roman"/>
          <w:iCs/>
          <w:szCs w:val="24"/>
        </w:rPr>
        <w:t xml:space="preserve"> leverag</w:t>
      </w:r>
      <w:r w:rsidR="00577DD4">
        <w:rPr>
          <w:rFonts w:ascii="Times New Roman" w:hAnsi="Times New Roman"/>
          <w:iCs/>
          <w:szCs w:val="24"/>
        </w:rPr>
        <w:t>e</w:t>
      </w:r>
      <w:r w:rsidR="0031111B" w:rsidRPr="00D321F9">
        <w:rPr>
          <w:rFonts w:ascii="Times New Roman" w:hAnsi="Times New Roman"/>
          <w:iCs/>
          <w:szCs w:val="24"/>
        </w:rPr>
        <w:t xml:space="preserve"> </w:t>
      </w:r>
      <w:r w:rsidR="00DD2D1F" w:rsidRPr="00D321F9">
        <w:rPr>
          <w:rFonts w:ascii="Times New Roman" w:hAnsi="Times New Roman"/>
          <w:iCs/>
          <w:szCs w:val="24"/>
        </w:rPr>
        <w:t>past experience in creating the response propensity models.</w:t>
      </w:r>
      <w:r w:rsidR="0031111B" w:rsidRPr="00D321F9">
        <w:rPr>
          <w:rFonts w:ascii="Times New Roman" w:hAnsi="Times New Roman"/>
          <w:iCs/>
          <w:szCs w:val="24"/>
        </w:rPr>
        <w:t xml:space="preserve"> </w:t>
      </w:r>
      <w:r w:rsidR="0023465F">
        <w:rPr>
          <w:rFonts w:ascii="Times New Roman" w:hAnsi="Times New Roman"/>
          <w:iCs/>
          <w:szCs w:val="24"/>
        </w:rPr>
        <w:t>T</w:t>
      </w:r>
      <w:r w:rsidR="0031111B" w:rsidRPr="00D321F9">
        <w:rPr>
          <w:rFonts w:ascii="Times New Roman" w:hAnsi="Times New Roman"/>
          <w:iCs/>
          <w:szCs w:val="24"/>
        </w:rPr>
        <w:t xml:space="preserve">he NTPS </w:t>
      </w:r>
      <w:r w:rsidR="00E908BF" w:rsidRPr="00D321F9">
        <w:rPr>
          <w:rFonts w:ascii="Times New Roman" w:hAnsi="Times New Roman"/>
          <w:iCs/>
          <w:szCs w:val="24"/>
        </w:rPr>
        <w:t>2015</w:t>
      </w:r>
      <w:r w:rsidR="00E908BF">
        <w:rPr>
          <w:rFonts w:ascii="Times New Roman" w:hAnsi="Times New Roman"/>
          <w:iCs/>
          <w:szCs w:val="24"/>
        </w:rPr>
        <w:t>-1</w:t>
      </w:r>
      <w:r w:rsidR="00E908BF" w:rsidRPr="00D321F9">
        <w:rPr>
          <w:rFonts w:ascii="Times New Roman" w:hAnsi="Times New Roman"/>
          <w:iCs/>
          <w:szCs w:val="24"/>
        </w:rPr>
        <w:t xml:space="preserve">6 </w:t>
      </w:r>
      <w:r w:rsidR="0031111B" w:rsidRPr="00D321F9">
        <w:rPr>
          <w:rFonts w:ascii="Times New Roman" w:hAnsi="Times New Roman"/>
          <w:iCs/>
          <w:szCs w:val="24"/>
        </w:rPr>
        <w:t xml:space="preserve">data collection plan employed </w:t>
      </w:r>
      <w:r w:rsidR="00B756CF">
        <w:rPr>
          <w:rFonts w:ascii="Times New Roman" w:hAnsi="Times New Roman"/>
          <w:iCs/>
          <w:szCs w:val="24"/>
        </w:rPr>
        <w:t xml:space="preserve">propensity </w:t>
      </w:r>
      <w:r w:rsidR="0023465F">
        <w:rPr>
          <w:rFonts w:ascii="Times New Roman" w:hAnsi="Times New Roman"/>
          <w:iCs/>
          <w:szCs w:val="24"/>
        </w:rPr>
        <w:t xml:space="preserve">modeling </w:t>
      </w:r>
      <w:r w:rsidR="0031111B" w:rsidRPr="00D321F9">
        <w:rPr>
          <w:rFonts w:ascii="Times New Roman" w:hAnsi="Times New Roman"/>
          <w:iCs/>
          <w:szCs w:val="24"/>
        </w:rPr>
        <w:t>to</w:t>
      </w:r>
      <w:r w:rsidR="0023465F">
        <w:rPr>
          <w:rFonts w:ascii="Times New Roman" w:hAnsi="Times New Roman"/>
          <w:iCs/>
          <w:szCs w:val="24"/>
        </w:rPr>
        <w:t xml:space="preserve"> identify</w:t>
      </w:r>
      <w:r w:rsidR="00B756CF">
        <w:rPr>
          <w:rFonts w:ascii="Times New Roman" w:hAnsi="Times New Roman"/>
          <w:iCs/>
          <w:szCs w:val="24"/>
        </w:rPr>
        <w:t xml:space="preserve"> high</w:t>
      </w:r>
      <w:r w:rsidR="0023465F">
        <w:rPr>
          <w:rFonts w:ascii="Times New Roman" w:hAnsi="Times New Roman"/>
          <w:iCs/>
          <w:szCs w:val="24"/>
        </w:rPr>
        <w:t xml:space="preserve"> priority schools and </w:t>
      </w:r>
      <w:r w:rsidR="00B756CF">
        <w:rPr>
          <w:rFonts w:ascii="Times New Roman" w:hAnsi="Times New Roman"/>
          <w:iCs/>
          <w:szCs w:val="24"/>
        </w:rPr>
        <w:t>modified collection strategies</w:t>
      </w:r>
      <w:r w:rsidR="0023465F" w:rsidRPr="00D321F9">
        <w:rPr>
          <w:rFonts w:ascii="Times New Roman" w:hAnsi="Times New Roman"/>
          <w:iCs/>
          <w:szCs w:val="24"/>
        </w:rPr>
        <w:t xml:space="preserve"> </w:t>
      </w:r>
      <w:r w:rsidR="00B756CF">
        <w:rPr>
          <w:rFonts w:ascii="Times New Roman" w:hAnsi="Times New Roman"/>
          <w:iCs/>
          <w:szCs w:val="24"/>
        </w:rPr>
        <w:t>in order to increase</w:t>
      </w:r>
      <w:r w:rsidR="0031111B" w:rsidRPr="00D321F9">
        <w:rPr>
          <w:rFonts w:ascii="Times New Roman" w:hAnsi="Times New Roman"/>
          <w:iCs/>
          <w:szCs w:val="24"/>
        </w:rPr>
        <w:t xml:space="preserve"> response </w:t>
      </w:r>
      <w:r w:rsidR="0023465F">
        <w:rPr>
          <w:rFonts w:ascii="Times New Roman" w:hAnsi="Times New Roman"/>
          <w:iCs/>
          <w:szCs w:val="24"/>
        </w:rPr>
        <w:t xml:space="preserve">rates </w:t>
      </w:r>
      <w:r w:rsidR="00B756CF">
        <w:rPr>
          <w:rFonts w:ascii="Times New Roman" w:hAnsi="Times New Roman"/>
          <w:iCs/>
          <w:szCs w:val="24"/>
        </w:rPr>
        <w:t>for th</w:t>
      </w:r>
      <w:r w:rsidR="00577DD4">
        <w:rPr>
          <w:rFonts w:ascii="Times New Roman" w:hAnsi="Times New Roman"/>
          <w:iCs/>
          <w:szCs w:val="24"/>
        </w:rPr>
        <w:t>o</w:t>
      </w:r>
      <w:r w:rsidR="00B756CF">
        <w:rPr>
          <w:rFonts w:ascii="Times New Roman" w:hAnsi="Times New Roman"/>
          <w:iCs/>
          <w:szCs w:val="24"/>
        </w:rPr>
        <w:t>se schools. R</w:t>
      </w:r>
      <w:r w:rsidR="0023465F">
        <w:rPr>
          <w:rFonts w:ascii="Times New Roman" w:hAnsi="Times New Roman"/>
          <w:iCs/>
          <w:szCs w:val="24"/>
        </w:rPr>
        <w:t xml:space="preserve">esults from the </w:t>
      </w:r>
      <w:r w:rsidR="0023465F" w:rsidRPr="00D321F9">
        <w:rPr>
          <w:rFonts w:ascii="Times New Roman" w:hAnsi="Times New Roman"/>
          <w:iCs/>
          <w:szCs w:val="24"/>
        </w:rPr>
        <w:t>NTPS 2015</w:t>
      </w:r>
      <w:r w:rsidR="0023465F">
        <w:rPr>
          <w:rFonts w:ascii="Times New Roman" w:hAnsi="Times New Roman"/>
          <w:iCs/>
          <w:szCs w:val="24"/>
        </w:rPr>
        <w:t>-1</w:t>
      </w:r>
      <w:r w:rsidR="0023465F" w:rsidRPr="00D321F9">
        <w:rPr>
          <w:rFonts w:ascii="Times New Roman" w:hAnsi="Times New Roman"/>
          <w:iCs/>
          <w:szCs w:val="24"/>
        </w:rPr>
        <w:t>6 data show</w:t>
      </w:r>
      <w:r w:rsidR="0023465F">
        <w:rPr>
          <w:rFonts w:ascii="Times New Roman" w:hAnsi="Times New Roman"/>
          <w:iCs/>
          <w:szCs w:val="24"/>
        </w:rPr>
        <w:t>ed</w:t>
      </w:r>
      <w:r w:rsidR="0023465F" w:rsidRPr="00D321F9">
        <w:rPr>
          <w:rFonts w:ascii="Times New Roman" w:hAnsi="Times New Roman"/>
          <w:iCs/>
          <w:szCs w:val="24"/>
        </w:rPr>
        <w:t xml:space="preserve"> that the model</w:t>
      </w:r>
      <w:r w:rsidR="00B756CF">
        <w:rPr>
          <w:rFonts w:ascii="Times New Roman" w:hAnsi="Times New Roman"/>
          <w:iCs/>
          <w:szCs w:val="24"/>
        </w:rPr>
        <w:t xml:space="preserve"> and strategies</w:t>
      </w:r>
      <w:r w:rsidR="0023465F" w:rsidRPr="00D321F9">
        <w:rPr>
          <w:rFonts w:ascii="Times New Roman" w:hAnsi="Times New Roman"/>
          <w:iCs/>
          <w:szCs w:val="24"/>
        </w:rPr>
        <w:t xml:space="preserve"> </w:t>
      </w:r>
      <w:r w:rsidR="0023465F">
        <w:rPr>
          <w:rFonts w:ascii="Times New Roman" w:hAnsi="Times New Roman"/>
          <w:iCs/>
          <w:szCs w:val="24"/>
        </w:rPr>
        <w:t xml:space="preserve">used </w:t>
      </w:r>
      <w:r w:rsidR="00B756CF">
        <w:rPr>
          <w:rFonts w:ascii="Times New Roman" w:hAnsi="Times New Roman"/>
          <w:iCs/>
          <w:szCs w:val="24"/>
        </w:rPr>
        <w:t>helped reduce declining response rates</w:t>
      </w:r>
      <w:r w:rsidR="0023465F">
        <w:rPr>
          <w:rFonts w:ascii="Times New Roman" w:hAnsi="Times New Roman"/>
          <w:iCs/>
          <w:szCs w:val="24"/>
        </w:rPr>
        <w:t xml:space="preserve"> </w:t>
      </w:r>
      <w:r w:rsidR="00B756CF">
        <w:rPr>
          <w:rFonts w:ascii="Times New Roman" w:hAnsi="Times New Roman"/>
          <w:iCs/>
          <w:szCs w:val="24"/>
        </w:rPr>
        <w:t>amongst th</w:t>
      </w:r>
      <w:r w:rsidR="00577DD4">
        <w:rPr>
          <w:rFonts w:ascii="Times New Roman" w:hAnsi="Times New Roman"/>
          <w:iCs/>
          <w:szCs w:val="24"/>
        </w:rPr>
        <w:t>o</w:t>
      </w:r>
      <w:r w:rsidR="00B756CF">
        <w:rPr>
          <w:rFonts w:ascii="Times New Roman" w:hAnsi="Times New Roman"/>
          <w:iCs/>
          <w:szCs w:val="24"/>
        </w:rPr>
        <w:t xml:space="preserve">se schools </w:t>
      </w:r>
      <w:r w:rsidR="00577DD4">
        <w:rPr>
          <w:rFonts w:ascii="Times New Roman" w:hAnsi="Times New Roman"/>
          <w:iCs/>
          <w:szCs w:val="24"/>
        </w:rPr>
        <w:t xml:space="preserve">and </w:t>
      </w:r>
      <w:r w:rsidR="00B756CF">
        <w:rPr>
          <w:rFonts w:ascii="Times New Roman" w:hAnsi="Times New Roman"/>
          <w:iCs/>
          <w:szCs w:val="24"/>
        </w:rPr>
        <w:t>thus the same propensity model and similar collection strategies will be used in the 2017-18 NTPS.</w:t>
      </w:r>
    </w:p>
    <w:p w:rsidR="007215B4" w:rsidRDefault="00D815C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The priority flag was assigned at the school level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and the same will be done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During data collection, the priority flag was used to move high priority schools and schools without a </w:t>
      </w:r>
      <w:r w:rsidR="00B5667E" w:rsidRPr="00D321F9">
        <w:rPr>
          <w:rFonts w:ascii="Times New Roman" w:hAnsi="Times New Roman"/>
          <w:iCs/>
          <w:szCs w:val="24"/>
        </w:rPr>
        <w:t xml:space="preserve">survey </w:t>
      </w:r>
      <w:r w:rsidRPr="00D321F9">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rsidR="00D44D3C" w:rsidRPr="00D321F9" w:rsidRDefault="00A14CE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2017</w:t>
      </w:r>
      <w:r w:rsidR="007F5C54">
        <w:rPr>
          <w:rFonts w:ascii="Times New Roman" w:hAnsi="Times New Roman"/>
          <w:iCs/>
          <w:szCs w:val="24"/>
        </w:rPr>
        <w:t>-1</w:t>
      </w:r>
      <w:r w:rsidRPr="00D321F9">
        <w:rPr>
          <w:rFonts w:ascii="Times New Roman" w:hAnsi="Times New Roman"/>
          <w:iCs/>
          <w:szCs w:val="24"/>
        </w:rPr>
        <w:t>8</w:t>
      </w:r>
      <w:r w:rsidR="00974611" w:rsidRPr="00D321F9">
        <w:rPr>
          <w:rFonts w:ascii="Times New Roman" w:hAnsi="Times New Roman"/>
          <w:iCs/>
          <w:szCs w:val="24"/>
        </w:rPr>
        <w:t xml:space="preserve"> NTPS data collection for priority schools </w:t>
      </w:r>
      <w:r w:rsidR="00974611" w:rsidRPr="00D321F9">
        <w:rPr>
          <w:rFonts w:ascii="Times New Roman" w:hAnsi="Times New Roman"/>
          <w:szCs w:val="24"/>
        </w:rPr>
        <w:t xml:space="preserve">will begin with a personal visit from </w:t>
      </w:r>
      <w:r w:rsidR="00B5667E" w:rsidRPr="00D321F9">
        <w:rPr>
          <w:rFonts w:ascii="Times New Roman" w:hAnsi="Times New Roman"/>
          <w:szCs w:val="24"/>
        </w:rPr>
        <w:t xml:space="preserve">a </w:t>
      </w:r>
      <w:r w:rsidR="00974611" w:rsidRPr="00D321F9">
        <w:rPr>
          <w:rFonts w:ascii="Times New Roman" w:hAnsi="Times New Roman"/>
          <w:szCs w:val="24"/>
        </w:rPr>
        <w:t xml:space="preserve">Census Bureau Field </w:t>
      </w:r>
      <w:r w:rsidR="00B5667E" w:rsidRPr="00D321F9">
        <w:rPr>
          <w:rFonts w:ascii="Times New Roman" w:hAnsi="Times New Roman"/>
          <w:szCs w:val="24"/>
        </w:rPr>
        <w:t xml:space="preserve">Representative </w:t>
      </w:r>
      <w:r w:rsidR="00974611" w:rsidRPr="00D321F9">
        <w:rPr>
          <w:rFonts w:ascii="Times New Roman" w:hAnsi="Times New Roman"/>
          <w:szCs w:val="24"/>
        </w:rPr>
        <w:t xml:space="preserve">rather than </w:t>
      </w:r>
      <w:r w:rsidR="00B5667E" w:rsidRPr="00D321F9">
        <w:rPr>
          <w:rFonts w:ascii="Times New Roman" w:hAnsi="Times New Roman"/>
          <w:szCs w:val="24"/>
        </w:rPr>
        <w:t xml:space="preserve">beginning with </w:t>
      </w:r>
      <w:r w:rsidR="00974611" w:rsidRPr="00D321F9">
        <w:rPr>
          <w:rFonts w:ascii="Times New Roman" w:hAnsi="Times New Roman"/>
          <w:szCs w:val="24"/>
        </w:rPr>
        <w:t xml:space="preserve">a series of mailouts and telephone operations. </w:t>
      </w:r>
      <w:r w:rsidR="00974611" w:rsidRPr="00D321F9">
        <w:rPr>
          <w:rFonts w:ascii="Times New Roman" w:hAnsi="Times New Roman"/>
          <w:iCs/>
          <w:szCs w:val="24"/>
        </w:rPr>
        <w:t xml:space="preserve">By </w:t>
      </w:r>
      <w:r w:rsidR="00B5667E" w:rsidRPr="00D321F9">
        <w:rPr>
          <w:rFonts w:ascii="Times New Roman" w:hAnsi="Times New Roman"/>
          <w:iCs/>
          <w:szCs w:val="24"/>
        </w:rPr>
        <w:t>contacting the school staff in-person at</w:t>
      </w:r>
      <w:r w:rsidR="00974611" w:rsidRPr="00D321F9">
        <w:rPr>
          <w:rFonts w:ascii="Times New Roman" w:hAnsi="Times New Roman"/>
          <w:iCs/>
          <w:szCs w:val="24"/>
        </w:rPr>
        <w:t xml:space="preserve"> the beginning of data collection, costs </w:t>
      </w:r>
      <w:r w:rsidR="00E17F74">
        <w:rPr>
          <w:rFonts w:ascii="Times New Roman" w:hAnsi="Times New Roman"/>
          <w:iCs/>
          <w:szCs w:val="24"/>
        </w:rPr>
        <w:t>are expected to be</w:t>
      </w:r>
      <w:r w:rsidR="00974611" w:rsidRPr="00D321F9">
        <w:rPr>
          <w:rFonts w:ascii="Times New Roman" w:hAnsi="Times New Roman"/>
          <w:iCs/>
          <w:szCs w:val="24"/>
        </w:rPr>
        <w:t xml:space="preserve"> reduced due to the omission of the mailout and telephone operations that typically </w:t>
      </w:r>
      <w:r w:rsidR="00B5667E" w:rsidRPr="00D321F9">
        <w:rPr>
          <w:rFonts w:ascii="Times New Roman" w:hAnsi="Times New Roman"/>
          <w:iCs/>
          <w:szCs w:val="24"/>
        </w:rPr>
        <w:t>precede</w:t>
      </w:r>
      <w:r w:rsidR="00974611" w:rsidRPr="00D321F9">
        <w:rPr>
          <w:rFonts w:ascii="Times New Roman" w:hAnsi="Times New Roman"/>
          <w:iCs/>
          <w:szCs w:val="24"/>
        </w:rPr>
        <w:t xml:space="preserve"> field operations. In addition</w:t>
      </w:r>
      <w:r w:rsidR="00B5667E" w:rsidRPr="00D321F9">
        <w:rPr>
          <w:rFonts w:ascii="Times New Roman" w:hAnsi="Times New Roman"/>
          <w:iCs/>
          <w:szCs w:val="24"/>
        </w:rPr>
        <w:t>,</w:t>
      </w:r>
      <w:r w:rsidR="00974611" w:rsidRPr="00D321F9">
        <w:rPr>
          <w:rFonts w:ascii="Times New Roman" w:hAnsi="Times New Roman"/>
          <w:iCs/>
          <w:szCs w:val="24"/>
        </w:rPr>
        <w:t xml:space="preserve"> this approach </w:t>
      </w:r>
      <w:r w:rsidR="00E17F74">
        <w:rPr>
          <w:rFonts w:ascii="Times New Roman" w:hAnsi="Times New Roman"/>
          <w:iCs/>
          <w:szCs w:val="24"/>
        </w:rPr>
        <w:t>is expected to</w:t>
      </w:r>
      <w:r w:rsidR="00974611" w:rsidRPr="00D321F9">
        <w:rPr>
          <w:rFonts w:ascii="Times New Roman" w:hAnsi="Times New Roman"/>
          <w:iCs/>
          <w:szCs w:val="24"/>
        </w:rPr>
        <w:t xml:space="preserve"> raise the probability of response by providing the field staff more time to secure the completed questionnaires. </w:t>
      </w:r>
      <w:r w:rsidR="00B5667E" w:rsidRPr="00D321F9">
        <w:rPr>
          <w:rFonts w:ascii="Times New Roman" w:hAnsi="Times New Roman"/>
          <w:iCs/>
          <w:szCs w:val="24"/>
        </w:rPr>
        <w:t>The primary focus of the operation will be obtaining a complete TLF; however, the Field Representative will also deliver the invitations to complete the school and principal questionnaires online.</w:t>
      </w:r>
      <w:r w:rsidR="00974611" w:rsidRPr="00D321F9">
        <w:rPr>
          <w:rFonts w:ascii="Times New Roman" w:hAnsi="Times New Roman"/>
          <w:iCs/>
          <w:szCs w:val="24"/>
        </w:rPr>
        <w:t xml:space="preserve"> Throughout data collection the cases assigned to field will be reviewed by NTPS staff on a daily basis.</w:t>
      </w:r>
    </w:p>
    <w:p w:rsidR="001D4E3F" w:rsidRPr="00D321F9" w:rsidRDefault="00D815C5" w:rsidP="00577DD4">
      <w:pPr>
        <w:pStyle w:val="ListParagraph"/>
        <w:spacing w:after="120" w:line="240" w:lineRule="auto"/>
        <w:ind w:left="450"/>
        <w:rPr>
          <w:rFonts w:ascii="Times New Roman" w:hAnsi="Times New Roman"/>
        </w:rPr>
      </w:pPr>
      <w:r w:rsidRPr="00D321F9">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D321F9">
        <w:rPr>
          <w:rFonts w:ascii="Times New Roman" w:hAnsi="Times New Roman"/>
          <w:iCs/>
          <w:szCs w:val="24"/>
        </w:rPr>
        <w:t xml:space="preserve">when </w:t>
      </w:r>
      <w:r w:rsidRPr="00D321F9">
        <w:rPr>
          <w:rFonts w:ascii="Times New Roman" w:hAnsi="Times New Roman"/>
          <w:iCs/>
          <w:szCs w:val="24"/>
        </w:rPr>
        <w:t xml:space="preserve">cooperation is obtained at the school level, teachers and principals are </w:t>
      </w:r>
      <w:r w:rsidR="00BF6B05" w:rsidRPr="00D321F9">
        <w:rPr>
          <w:rFonts w:ascii="Times New Roman" w:hAnsi="Times New Roman"/>
          <w:iCs/>
          <w:szCs w:val="24"/>
        </w:rPr>
        <w:t xml:space="preserve">more </w:t>
      </w:r>
      <w:r w:rsidRPr="00D321F9">
        <w:rPr>
          <w:rFonts w:ascii="Times New Roman" w:hAnsi="Times New Roman"/>
          <w:iCs/>
          <w:szCs w:val="24"/>
        </w:rPr>
        <w:t xml:space="preserve">likely to respond. </w:t>
      </w:r>
      <w:r w:rsidR="00974611" w:rsidRPr="00D321F9">
        <w:rPr>
          <w:rFonts w:ascii="Times New Roman" w:hAnsi="Times New Roman"/>
          <w:iCs/>
          <w:szCs w:val="24"/>
        </w:rPr>
        <w:t>Additionally, e</w:t>
      </w:r>
      <w:r w:rsidRPr="00D321F9">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D321F9">
        <w:rPr>
          <w:rFonts w:ascii="Times New Roman" w:hAnsi="Times New Roman"/>
          <w:iCs/>
          <w:szCs w:val="24"/>
        </w:rPr>
        <w:t xml:space="preserve">Special districts are those that require additional applications or documentation to collect data in their schools. </w:t>
      </w:r>
      <w:r w:rsidRPr="00D321F9">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rsidR="00DD2D1F" w:rsidRPr="00D321F9" w:rsidRDefault="0048242D"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Use vendor lists for teacher</w:t>
      </w:r>
      <w:r w:rsidR="001D4E3F" w:rsidRPr="00D321F9">
        <w:rPr>
          <w:rFonts w:ascii="Times New Roman" w:hAnsi="Times New Roman"/>
          <w:b/>
          <w:i/>
          <w:iCs/>
          <w:szCs w:val="24"/>
        </w:rPr>
        <w:t xml:space="preserve"> sampling.</w:t>
      </w:r>
      <w:r w:rsidR="001D4E3F" w:rsidRPr="00D321F9" w:rsidDel="001D4E3F">
        <w:rPr>
          <w:rFonts w:ascii="Times New Roman" w:hAnsi="Times New Roman"/>
          <w:iCs/>
          <w:szCs w:val="24"/>
        </w:rPr>
        <w:t xml:space="preserve"> </w:t>
      </w:r>
      <w:r w:rsidR="00DD2D1F" w:rsidRPr="00D321F9">
        <w:rPr>
          <w:rFonts w:ascii="Times New Roman" w:hAnsi="Times New Roman"/>
          <w:iCs/>
          <w:szCs w:val="24"/>
        </w:rPr>
        <w:t>NTPS teacher-level response rates are calculated by multiplying response at the school level to the TLF by response at the teacher level. In the past</w:t>
      </w:r>
      <w:r w:rsidR="001D4E3F" w:rsidRPr="00D321F9">
        <w:rPr>
          <w:rFonts w:ascii="Times New Roman" w:hAnsi="Times New Roman"/>
          <w:iCs/>
          <w:szCs w:val="24"/>
        </w:rPr>
        <w:t>,</w:t>
      </w:r>
      <w:r w:rsidR="00DD2D1F" w:rsidRPr="00D321F9">
        <w:rPr>
          <w:rFonts w:ascii="Times New Roman" w:hAnsi="Times New Roman"/>
          <w:iCs/>
          <w:szCs w:val="24"/>
        </w:rPr>
        <w:t xml:space="preserve"> this has meant that if the school did not </w:t>
      </w:r>
      <w:r w:rsidR="00B5667E" w:rsidRPr="00D321F9">
        <w:rPr>
          <w:rFonts w:ascii="Times New Roman" w:hAnsi="Times New Roman"/>
          <w:iCs/>
          <w:szCs w:val="24"/>
        </w:rPr>
        <w:t>complete</w:t>
      </w:r>
      <w:r w:rsidR="00DD2D1F" w:rsidRPr="00D321F9">
        <w:rPr>
          <w:rFonts w:ascii="Times New Roman" w:hAnsi="Times New Roman"/>
          <w:iCs/>
          <w:szCs w:val="24"/>
        </w:rPr>
        <w:t xml:space="preserve"> the TLF, teachers from that school could not be sampled, ultimately lower</w:t>
      </w:r>
      <w:r w:rsidR="001D4E3F" w:rsidRPr="00D321F9">
        <w:rPr>
          <w:rFonts w:ascii="Times New Roman" w:hAnsi="Times New Roman"/>
          <w:iCs/>
          <w:szCs w:val="24"/>
        </w:rPr>
        <w:t xml:space="preserve">ing </w:t>
      </w:r>
      <w:r w:rsidR="00DD2D1F" w:rsidRPr="00D321F9">
        <w:rPr>
          <w:rFonts w:ascii="Times New Roman" w:hAnsi="Times New Roman"/>
          <w:iCs/>
          <w:szCs w:val="24"/>
        </w:rPr>
        <w:t xml:space="preserve">the teacher response rate. </w:t>
      </w:r>
      <w:r w:rsidR="00B5667E" w:rsidRPr="00D321F9">
        <w:rPr>
          <w:rFonts w:ascii="Times New Roman" w:hAnsi="Times New Roman"/>
          <w:iCs/>
          <w:szCs w:val="24"/>
        </w:rPr>
        <w:t>The goal in NTPS 2015</w:t>
      </w:r>
      <w:r w:rsidR="007F5C54">
        <w:rPr>
          <w:rFonts w:ascii="Times New Roman" w:hAnsi="Times New Roman"/>
          <w:iCs/>
          <w:szCs w:val="24"/>
        </w:rPr>
        <w:t>-1</w:t>
      </w:r>
      <w:r w:rsidR="00B5667E" w:rsidRPr="00D321F9">
        <w:rPr>
          <w:rFonts w:ascii="Times New Roman" w:hAnsi="Times New Roman"/>
          <w:iCs/>
          <w:szCs w:val="24"/>
        </w:rPr>
        <w:t xml:space="preserve">6 was to improve the overall teacher response rate by allowing NTPS to sample teachers from schools that have not submitted a TLF; therefore, </w:t>
      </w:r>
      <w:r w:rsidR="001D4E3F" w:rsidRPr="00D321F9">
        <w:rPr>
          <w:rFonts w:ascii="Times New Roman" w:hAnsi="Times New Roman"/>
          <w:iCs/>
          <w:szCs w:val="24"/>
        </w:rPr>
        <w:t>TLFs received from sample schools were supplemented with vendor-purchased teacher lists</w:t>
      </w:r>
      <w:r w:rsidR="00B5667E" w:rsidRPr="00D321F9">
        <w:rPr>
          <w:rFonts w:ascii="Times New Roman" w:hAnsi="Times New Roman"/>
          <w:iCs/>
          <w:szCs w:val="24"/>
        </w:rPr>
        <w:t>. W</w:t>
      </w:r>
      <w:r w:rsidR="001D4E3F" w:rsidRPr="00D321F9">
        <w:rPr>
          <w:rFonts w:ascii="Times New Roman" w:hAnsi="Times New Roman"/>
          <w:iCs/>
          <w:szCs w:val="24"/>
        </w:rPr>
        <w:t xml:space="preserve">hen a vendor-purchased list was unavailable, a clerical operation </w:t>
      </w:r>
      <w:r w:rsidR="00B5667E" w:rsidRPr="00D321F9">
        <w:rPr>
          <w:rFonts w:ascii="Times New Roman" w:hAnsi="Times New Roman"/>
          <w:iCs/>
          <w:szCs w:val="24"/>
        </w:rPr>
        <w:t xml:space="preserve">was conducted to </w:t>
      </w:r>
      <w:r w:rsidR="001D4E3F" w:rsidRPr="00D321F9">
        <w:rPr>
          <w:rFonts w:ascii="Times New Roman" w:hAnsi="Times New Roman"/>
          <w:iCs/>
          <w:szCs w:val="24"/>
        </w:rPr>
        <w:t>look up teacher information on school and/or district websites.</w:t>
      </w:r>
      <w:r w:rsidR="00B5667E" w:rsidRPr="00D321F9">
        <w:rPr>
          <w:rFonts w:ascii="Times New Roman" w:hAnsi="Times New Roman"/>
          <w:iCs/>
          <w:szCs w:val="24"/>
        </w:rPr>
        <w:t xml:space="preserve"> The vendor and clerically-researched lists were evaluated in the 2015</w:t>
      </w:r>
      <w:r w:rsidR="007F5C54">
        <w:rPr>
          <w:rFonts w:ascii="Times New Roman" w:hAnsi="Times New Roman"/>
          <w:iCs/>
          <w:szCs w:val="24"/>
        </w:rPr>
        <w:t>-1</w:t>
      </w:r>
      <w:r w:rsidR="00B5667E" w:rsidRPr="00D321F9">
        <w:rPr>
          <w:rFonts w:ascii="Times New Roman" w:hAnsi="Times New Roman"/>
          <w:iCs/>
          <w:szCs w:val="24"/>
        </w:rPr>
        <w:t xml:space="preserve">6 NTPS and 2014 NTPS pilot test and showed high levels of comparability to lists obtained directly from schools. </w:t>
      </w:r>
      <w:r w:rsidR="00DD2D1F" w:rsidRPr="00D321F9">
        <w:rPr>
          <w:rFonts w:ascii="Times New Roman" w:hAnsi="Times New Roman"/>
          <w:iCs/>
          <w:szCs w:val="24"/>
        </w:rPr>
        <w:t xml:space="preserve">In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DD2D1F" w:rsidRPr="00D321F9">
        <w:rPr>
          <w:rFonts w:ascii="Times New Roman" w:hAnsi="Times New Roman"/>
          <w:iCs/>
          <w:szCs w:val="24"/>
        </w:rPr>
        <w:t xml:space="preserve"> NTPS, TLFs received from sample schools will be supplemented with vendor-purchased teacher lists and a clerical look-up operation utilizing school websites.</w:t>
      </w:r>
      <w:r w:rsidR="001D4E3F" w:rsidRPr="00D321F9">
        <w:rPr>
          <w:rFonts w:ascii="Times New Roman" w:hAnsi="Times New Roman"/>
          <w:iCs/>
          <w:szCs w:val="24"/>
        </w:rPr>
        <w:t xml:space="preserve"> </w:t>
      </w:r>
      <w:r w:rsidR="00DD2D1F" w:rsidRPr="00D321F9">
        <w:rPr>
          <w:rFonts w:ascii="Times New Roman" w:hAnsi="Times New Roman"/>
          <w:iCs/>
          <w:szCs w:val="24"/>
        </w:rPr>
        <w:t>This operation will help to improve the overall teacher response rate by allowing teacher</w:t>
      </w:r>
      <w:r w:rsidR="00B5667E" w:rsidRPr="00D321F9">
        <w:rPr>
          <w:rFonts w:ascii="Times New Roman" w:hAnsi="Times New Roman"/>
          <w:iCs/>
          <w:szCs w:val="24"/>
        </w:rPr>
        <w:t xml:space="preserve"> </w:t>
      </w:r>
      <w:r w:rsidR="00DD2D1F" w:rsidRPr="00D321F9">
        <w:rPr>
          <w:rFonts w:ascii="Times New Roman" w:hAnsi="Times New Roman"/>
          <w:iCs/>
          <w:szCs w:val="24"/>
        </w:rPr>
        <w:t>s</w:t>
      </w:r>
      <w:r w:rsidR="00B5667E" w:rsidRPr="00D321F9">
        <w:rPr>
          <w:rFonts w:ascii="Times New Roman" w:hAnsi="Times New Roman"/>
          <w:iCs/>
          <w:szCs w:val="24"/>
        </w:rPr>
        <w:t>ampling</w:t>
      </w:r>
      <w:r w:rsidR="00DD2D1F" w:rsidRPr="00D321F9">
        <w:rPr>
          <w:rFonts w:ascii="Times New Roman" w:hAnsi="Times New Roman"/>
          <w:iCs/>
          <w:szCs w:val="24"/>
        </w:rPr>
        <w:t xml:space="preserve"> from schools that have not submitted a TLF</w:t>
      </w:r>
      <w:r w:rsidR="001D4E3F" w:rsidRPr="00D321F9">
        <w:rPr>
          <w:rFonts w:ascii="Times New Roman" w:hAnsi="Times New Roman"/>
          <w:iCs/>
          <w:szCs w:val="24"/>
        </w:rPr>
        <w:t>.</w:t>
      </w:r>
    </w:p>
    <w:p w:rsidR="00974611" w:rsidRPr="00D321F9"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Monitor publishability and bias measures.</w:t>
      </w:r>
      <w:r w:rsidRPr="00D321F9">
        <w:rPr>
          <w:rFonts w:ascii="Times New Roman" w:hAnsi="Times New Roman"/>
          <w:iCs/>
          <w:szCs w:val="24"/>
        </w:rPr>
        <w:t xml:space="preserve"> For 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NCES also monitored R-indicators, a measure of </w:t>
      </w:r>
      <w:r w:rsidR="00BD18E3" w:rsidRPr="00D321F9">
        <w:rPr>
          <w:rFonts w:ascii="Times New Roman" w:hAnsi="Times New Roman"/>
          <w:iCs/>
          <w:szCs w:val="24"/>
        </w:rPr>
        <w:t xml:space="preserve">representativeness, or lack of </w:t>
      </w:r>
      <w:r w:rsidRPr="00D321F9">
        <w:rPr>
          <w:rFonts w:ascii="Times New Roman" w:hAnsi="Times New Roman"/>
          <w:iCs/>
          <w:szCs w:val="24"/>
        </w:rPr>
        <w:t xml:space="preserve">bias </w:t>
      </w:r>
      <w:r w:rsidR="00BD18E3" w:rsidRPr="00D321F9">
        <w:rPr>
          <w:rFonts w:ascii="Times New Roman" w:hAnsi="Times New Roman"/>
          <w:iCs/>
          <w:szCs w:val="24"/>
        </w:rPr>
        <w:t xml:space="preserve">in </w:t>
      </w:r>
      <w:r w:rsidRPr="00D321F9">
        <w:rPr>
          <w:rFonts w:ascii="Times New Roman" w:hAnsi="Times New Roman"/>
          <w:iCs/>
          <w:szCs w:val="24"/>
        </w:rPr>
        <w:t xml:space="preserve">the </w:t>
      </w:r>
      <w:r w:rsidR="00BD18E3" w:rsidRPr="00D321F9">
        <w:rPr>
          <w:rFonts w:ascii="Times New Roman" w:hAnsi="Times New Roman"/>
          <w:iCs/>
          <w:szCs w:val="24"/>
        </w:rPr>
        <w:t>respondent population</w:t>
      </w:r>
      <w:r w:rsidRPr="00D321F9">
        <w:rPr>
          <w:rFonts w:ascii="Times New Roman" w:hAnsi="Times New Roman"/>
          <w:iCs/>
          <w:szCs w:val="24"/>
        </w:rPr>
        <w:t>, on a weekly basis. The closer the R-indicator is to 1, the more balanced is the respondent population. Towards the end of data collection</w:t>
      </w:r>
      <w:r w:rsidR="00BD18E3" w:rsidRPr="00D321F9">
        <w:rPr>
          <w:rFonts w:ascii="Times New Roman" w:hAnsi="Times New Roman"/>
          <w:iCs/>
          <w:szCs w:val="24"/>
        </w:rPr>
        <w:t xml:space="preserve"> in 2015-16</w:t>
      </w:r>
      <w:r w:rsidRPr="00D321F9">
        <w:rPr>
          <w:rFonts w:ascii="Times New Roman" w:hAnsi="Times New Roman"/>
          <w:iCs/>
          <w:szCs w:val="24"/>
        </w:rPr>
        <w:t xml:space="preserve">, the R-indicator for the full sample indicated that the respondent population was fairly well balanced. NCES plans to continue to monitor these two indicators in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w:t>
      </w:r>
    </w:p>
    <w:p w:rsidR="007215B4"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Personalize principal</w:t>
      </w:r>
      <w:r w:rsidR="000D092A" w:rsidRPr="00D321F9">
        <w:rPr>
          <w:rFonts w:ascii="Times New Roman" w:hAnsi="Times New Roman"/>
          <w:b/>
          <w:i/>
          <w:iCs/>
          <w:szCs w:val="24"/>
        </w:rPr>
        <w:t xml:space="preserve"> </w:t>
      </w:r>
      <w:r w:rsidR="00974BBC" w:rsidRPr="00D321F9">
        <w:rPr>
          <w:rFonts w:ascii="Times New Roman" w:hAnsi="Times New Roman"/>
          <w:b/>
          <w:i/>
          <w:iCs/>
          <w:szCs w:val="24"/>
        </w:rPr>
        <w:t>contact materials.</w:t>
      </w:r>
      <w:r w:rsidRPr="00D321F9">
        <w:rPr>
          <w:rFonts w:ascii="Times New Roman" w:hAnsi="Times New Roman"/>
          <w:b/>
          <w:i/>
          <w:iCs/>
          <w:szCs w:val="24"/>
        </w:rPr>
        <w:t xml:space="preserve"> </w:t>
      </w:r>
      <w:r w:rsidRPr="00D321F9">
        <w:rPr>
          <w:rFonts w:ascii="Times New Roman" w:hAnsi="Times New Roman"/>
          <w:iCs/>
          <w:szCs w:val="24"/>
        </w:rPr>
        <w:t xml:space="preserve">The </w:t>
      </w:r>
      <w:r w:rsidRPr="00D321F9">
        <w:rPr>
          <w:rFonts w:ascii="Times New Roman" w:hAnsi="Times New Roman"/>
          <w:i/>
          <w:iCs/>
          <w:szCs w:val="24"/>
        </w:rPr>
        <w:t xml:space="preserve">National Teacher and Principal Surveys (NTPS)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Refusal Conversion Change Request (OMB# 1850-0598 v.13)</w:t>
      </w:r>
      <w:r w:rsidRPr="00D321F9">
        <w:rPr>
          <w:rFonts w:ascii="Times New Roman" w:hAnsi="Times New Roman"/>
          <w:iCs/>
          <w:szCs w:val="24"/>
        </w:rPr>
        <w:t xml:space="preserve"> was approved in January 2016 as a result of response issues with high priority schools despite early field collection efforts</w:t>
      </w:r>
      <w:r w:rsidR="000E1AE6" w:rsidRPr="00D321F9">
        <w:rPr>
          <w:rFonts w:ascii="Times New Roman" w:hAnsi="Times New Roman"/>
          <w:iCs/>
          <w:szCs w:val="24"/>
        </w:rPr>
        <w:t xml:space="preserve">, much of which </w:t>
      </w:r>
      <w:r w:rsidR="00D60F8A">
        <w:rPr>
          <w:rFonts w:ascii="Times New Roman" w:hAnsi="Times New Roman"/>
          <w:iCs/>
          <w:szCs w:val="24"/>
        </w:rPr>
        <w:t>were</w:t>
      </w:r>
      <w:r w:rsidR="000E1AE6" w:rsidRPr="00D321F9">
        <w:rPr>
          <w:rFonts w:ascii="Times New Roman" w:hAnsi="Times New Roman"/>
          <w:iCs/>
          <w:szCs w:val="24"/>
        </w:rPr>
        <w:t xml:space="preserve"> due to the </w:t>
      </w:r>
      <w:r w:rsidR="00D60F8A">
        <w:rPr>
          <w:rFonts w:ascii="Times New Roman" w:hAnsi="Times New Roman"/>
          <w:iCs/>
          <w:szCs w:val="24"/>
        </w:rPr>
        <w:t xml:space="preserve">data collection timing falling </w:t>
      </w:r>
      <w:r w:rsidR="000E1AE6" w:rsidRPr="00D321F9">
        <w:rPr>
          <w:rFonts w:ascii="Times New Roman" w:hAnsi="Times New Roman"/>
          <w:iCs/>
          <w:szCs w:val="24"/>
        </w:rPr>
        <w:t xml:space="preserve">between Thanksgiving and Christmas and </w:t>
      </w:r>
      <w:r w:rsidR="00D60F8A">
        <w:rPr>
          <w:rFonts w:ascii="Times New Roman" w:hAnsi="Times New Roman"/>
          <w:iCs/>
          <w:szCs w:val="24"/>
        </w:rPr>
        <w:t xml:space="preserve">a too short </w:t>
      </w:r>
      <w:r w:rsidR="000E1AE6" w:rsidRPr="00D321F9">
        <w:rPr>
          <w:rFonts w:ascii="Times New Roman" w:hAnsi="Times New Roman"/>
          <w:iCs/>
          <w:szCs w:val="24"/>
        </w:rPr>
        <w:t>length of the field operation.</w:t>
      </w:r>
      <w:r w:rsidRPr="00D321F9">
        <w:rPr>
          <w:rFonts w:ascii="Times New Roman" w:hAnsi="Times New Roman"/>
          <w:iCs/>
          <w:szCs w:val="24"/>
        </w:rPr>
        <w:t xml:space="preserve"> </w:t>
      </w:r>
      <w:r w:rsidR="009E19A9" w:rsidRPr="00D321F9">
        <w:rPr>
          <w:rFonts w:ascii="Times New Roman" w:hAnsi="Times New Roman"/>
          <w:iCs/>
          <w:szCs w:val="24"/>
        </w:rPr>
        <w:t xml:space="preserve">During the field operation, schools often communicated to field staff that they had not received any mailed materials for NTPS to date. They indicated that packages addressed generically to </w:t>
      </w:r>
      <w:r w:rsidRPr="00D321F9">
        <w:rPr>
          <w:rFonts w:ascii="Times New Roman" w:hAnsi="Times New Roman"/>
          <w:iCs/>
          <w:szCs w:val="24"/>
        </w:rPr>
        <w:t>“School Principal</w:t>
      </w:r>
      <w:r w:rsidR="00377BE9" w:rsidRPr="00D321F9">
        <w:rPr>
          <w:rFonts w:ascii="Times New Roman" w:hAnsi="Times New Roman"/>
          <w:iCs/>
          <w:szCs w:val="24"/>
        </w:rPr>
        <w:t>/ Administrator</w:t>
      </w:r>
      <w:r w:rsidRPr="00D321F9">
        <w:rPr>
          <w:rFonts w:ascii="Times New Roman" w:hAnsi="Times New Roman"/>
          <w:iCs/>
          <w:szCs w:val="24"/>
        </w:rPr>
        <w:t xml:space="preserve">” </w:t>
      </w:r>
      <w:r w:rsidR="009E19A9" w:rsidRPr="00D321F9">
        <w:rPr>
          <w:rFonts w:ascii="Times New Roman" w:hAnsi="Times New Roman"/>
          <w:iCs/>
          <w:szCs w:val="24"/>
        </w:rPr>
        <w:t xml:space="preserve">are often either </w:t>
      </w:r>
      <w:r w:rsidRPr="00D321F9">
        <w:rPr>
          <w:rFonts w:ascii="Times New Roman" w:hAnsi="Times New Roman"/>
          <w:iCs/>
          <w:szCs w:val="24"/>
        </w:rPr>
        <w:t xml:space="preserve">overlooked or thrown </w:t>
      </w:r>
      <w:r w:rsidR="000E1AE6" w:rsidRPr="00D321F9">
        <w:rPr>
          <w:rFonts w:ascii="Times New Roman" w:hAnsi="Times New Roman"/>
          <w:iCs/>
          <w:szCs w:val="24"/>
        </w:rPr>
        <w:t>out upon receipt at the school</w:t>
      </w:r>
      <w:r w:rsidR="009E19A9" w:rsidRPr="00D321F9">
        <w:rPr>
          <w:rFonts w:ascii="Times New Roman" w:hAnsi="Times New Roman"/>
          <w:iCs/>
          <w:szCs w:val="24"/>
        </w:rPr>
        <w:t xml:space="preserve">, as generically labelled mail is perceived as junk mail. As a result, </w:t>
      </w:r>
      <w:r w:rsidRPr="00D321F9">
        <w:rPr>
          <w:rFonts w:ascii="Times New Roman" w:hAnsi="Times New Roman"/>
          <w:iCs/>
          <w:szCs w:val="24"/>
        </w:rPr>
        <w:t xml:space="preserve">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requested and received clearance to send personalize</w:t>
      </w:r>
      <w:r w:rsidR="00377BE9" w:rsidRPr="00D321F9">
        <w:rPr>
          <w:rFonts w:ascii="Times New Roman" w:hAnsi="Times New Roman"/>
          <w:iCs/>
          <w:szCs w:val="24"/>
        </w:rPr>
        <w:t>d</w:t>
      </w:r>
      <w:r w:rsidRPr="00D321F9">
        <w:rPr>
          <w:rFonts w:ascii="Times New Roman" w:hAnsi="Times New Roman"/>
          <w:iCs/>
          <w:szCs w:val="24"/>
        </w:rPr>
        <w:t xml:space="preserve"> letters to nonresponding principals in charter schools, schools in towns, and schools with enrollment less than 100</w:t>
      </w:r>
      <w:r w:rsidR="00D60F8A">
        <w:rPr>
          <w:rFonts w:ascii="Times New Roman" w:hAnsi="Times New Roman"/>
          <w:iCs/>
          <w:szCs w:val="24"/>
        </w:rPr>
        <w:t xml:space="preserve">. </w:t>
      </w:r>
      <w:r w:rsidR="00195355" w:rsidRPr="00D321F9">
        <w:rPr>
          <w:rFonts w:ascii="Times New Roman" w:hAnsi="Times New Roman"/>
          <w:iCs/>
          <w:szCs w:val="24"/>
        </w:rPr>
        <w:t xml:space="preserve">To be sure that all </w:t>
      </w:r>
      <w:r w:rsidR="00974BBC" w:rsidRPr="00D321F9">
        <w:rPr>
          <w:rFonts w:ascii="Times New Roman" w:hAnsi="Times New Roman"/>
          <w:iCs/>
          <w:szCs w:val="24"/>
        </w:rPr>
        <w:t xml:space="preserve">mailed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974BBC" w:rsidRPr="00D321F9">
        <w:rPr>
          <w:rFonts w:ascii="Times New Roman" w:hAnsi="Times New Roman"/>
          <w:iCs/>
          <w:szCs w:val="24"/>
        </w:rPr>
        <w:t xml:space="preserve"> NTPS materials intended for the school principal successfully make it to the principal, all principal contact materials will be personalized with the principal’s name. Principal</w:t>
      </w:r>
      <w:r w:rsidR="00377BE9" w:rsidRPr="00D321F9">
        <w:rPr>
          <w:rFonts w:ascii="Times New Roman" w:hAnsi="Times New Roman"/>
          <w:iCs/>
          <w:szCs w:val="24"/>
        </w:rPr>
        <w:t>s’</w:t>
      </w:r>
      <w:r w:rsidR="00974BBC" w:rsidRPr="00D321F9">
        <w:rPr>
          <w:rFonts w:ascii="Times New Roman" w:hAnsi="Times New Roman"/>
          <w:iCs/>
          <w:szCs w:val="24"/>
        </w:rPr>
        <w:t xml:space="preserve"> name</w:t>
      </w:r>
      <w:r w:rsidR="00377BE9" w:rsidRPr="00D321F9">
        <w:rPr>
          <w:rFonts w:ascii="Times New Roman" w:hAnsi="Times New Roman"/>
          <w:iCs/>
          <w:szCs w:val="24"/>
        </w:rPr>
        <w:t>s</w:t>
      </w:r>
      <w:r w:rsidR="00974BBC" w:rsidRPr="00D321F9">
        <w:rPr>
          <w:rFonts w:ascii="Times New Roman" w:hAnsi="Times New Roman"/>
          <w:iCs/>
          <w:szCs w:val="24"/>
        </w:rPr>
        <w:t xml:space="preserve"> will be obtained from vendor-purchased school staff lists. If a principal’s name is not available from the vendor, clerical staff will research this information using school and district websites.</w:t>
      </w:r>
    </w:p>
    <w:p w:rsidR="007215B4" w:rsidRDefault="000D092A"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Use of email to target principals, survey coordinators, and teachers. </w:t>
      </w:r>
      <w:r w:rsidRPr="00D321F9">
        <w:rPr>
          <w:rFonts w:ascii="Times New Roman" w:hAnsi="Times New Roman"/>
          <w:iCs/>
          <w:szCs w:val="24"/>
        </w:rPr>
        <w:t xml:space="preserve">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demonstrated that email was an effective tool to drive participation in both the NTPS teacher and principal surveys. It proved that teacher email addresses could be effectively collected on the TLF, school websites, and from vendor lists of teachers</w:t>
      </w:r>
      <w:r w:rsidR="00D60F8A">
        <w:rPr>
          <w:rFonts w:ascii="Times New Roman" w:hAnsi="Times New Roman"/>
          <w:iCs/>
          <w:szCs w:val="24"/>
        </w:rPr>
        <w:t>;</w:t>
      </w:r>
      <w:r w:rsidRPr="00D321F9">
        <w:rPr>
          <w:rFonts w:ascii="Times New Roman" w:hAnsi="Times New Roman"/>
          <w:iCs/>
          <w:szCs w:val="24"/>
        </w:rPr>
        <w:t xml:space="preserve"> that principal email addresses could be effectively collected from school website</w:t>
      </w:r>
      <w:r w:rsidR="00377BE9" w:rsidRPr="00D321F9">
        <w:rPr>
          <w:rFonts w:ascii="Times New Roman" w:hAnsi="Times New Roman"/>
          <w:iCs/>
          <w:szCs w:val="24"/>
        </w:rPr>
        <w:t>s</w:t>
      </w:r>
      <w:r w:rsidRPr="00D321F9">
        <w:rPr>
          <w:rFonts w:ascii="Times New Roman" w:hAnsi="Times New Roman"/>
          <w:iCs/>
          <w:szCs w:val="24"/>
        </w:rPr>
        <w:t xml:space="preserve"> and from vendor purchased school data</w:t>
      </w:r>
      <w:r w:rsidR="00D60F8A">
        <w:rPr>
          <w:rFonts w:ascii="Times New Roman" w:hAnsi="Times New Roman"/>
          <w:iCs/>
          <w:szCs w:val="24"/>
        </w:rPr>
        <w:t>;</w:t>
      </w:r>
      <w:r w:rsidRPr="00D321F9">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rsid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Send a third reminder ema</w:t>
      </w:r>
      <w:r w:rsidR="000D092A" w:rsidRPr="00D321F9">
        <w:rPr>
          <w:rFonts w:ascii="Times New Roman" w:hAnsi="Times New Roman"/>
          <w:b/>
          <w:i/>
          <w:iCs/>
          <w:szCs w:val="24"/>
        </w:rPr>
        <w:t>il to teachers</w:t>
      </w:r>
      <w:r w:rsidRPr="00D321F9">
        <w:rPr>
          <w:rFonts w:ascii="Times New Roman" w:hAnsi="Times New Roman"/>
          <w:b/>
          <w:i/>
          <w:iCs/>
          <w:szCs w:val="24"/>
        </w:rPr>
        <w:t xml:space="preserve">. </w:t>
      </w:r>
      <w:r w:rsidRPr="00D321F9">
        <w:rPr>
          <w:rFonts w:ascii="Times New Roman" w:hAnsi="Times New Roman"/>
          <w:iCs/>
          <w:szCs w:val="24"/>
        </w:rPr>
        <w:t xml:space="preserve">The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National Teacher and Principal Survey (NTPS) Teacher Reminder Email Change Request (OMB# 1850-0598 v.15)</w:t>
      </w:r>
      <w:r w:rsidRPr="00D321F9">
        <w:rPr>
          <w:rFonts w:ascii="Times New Roman" w:hAnsi="Times New Roman"/>
          <w:iCs/>
          <w:szCs w:val="24"/>
        </w:rPr>
        <w:t xml:space="preserve"> was approved in June 2016 and requested </w:t>
      </w:r>
      <w:r w:rsidR="00A173F0">
        <w:rPr>
          <w:rFonts w:ascii="Times New Roman" w:hAnsi="Times New Roman"/>
          <w:iCs/>
          <w:szCs w:val="24"/>
        </w:rPr>
        <w:t>the ability</w:t>
      </w:r>
      <w:r w:rsidRPr="00D321F9">
        <w:rPr>
          <w:rFonts w:ascii="Times New Roman" w:hAnsi="Times New Roman"/>
          <w:iCs/>
          <w:szCs w:val="24"/>
        </w:rPr>
        <w:t xml:space="preserve"> to send a third reminder email (fourth email in total) to late</w:t>
      </w:r>
      <w:r w:rsidR="00377BE9" w:rsidRPr="00D321F9">
        <w:rPr>
          <w:rFonts w:ascii="Times New Roman" w:hAnsi="Times New Roman"/>
          <w:iCs/>
          <w:szCs w:val="24"/>
        </w:rPr>
        <w:t>-sample</w:t>
      </w:r>
      <w:r w:rsidRPr="00D321F9">
        <w:rPr>
          <w:rFonts w:ascii="Times New Roman" w:hAnsi="Times New Roman"/>
          <w:iCs/>
          <w:szCs w:val="24"/>
        </w:rPr>
        <w:t xml:space="preserve"> waves of teachers in NT</w:t>
      </w:r>
      <w:r w:rsidR="00377BE9" w:rsidRPr="00D321F9">
        <w:rPr>
          <w:rFonts w:ascii="Times New Roman" w:hAnsi="Times New Roman"/>
          <w:iCs/>
          <w:szCs w:val="24"/>
        </w:rPr>
        <w:t>P</w:t>
      </w:r>
      <w:r w:rsidRPr="00D321F9">
        <w:rPr>
          <w:rFonts w:ascii="Times New Roman" w:hAnsi="Times New Roman"/>
          <w:iCs/>
          <w:szCs w:val="24"/>
        </w:rPr>
        <w:t xml:space="preserve">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to give them a final reminder/opportunity to complete the survey before close-out. The response rates for late</w:t>
      </w:r>
      <w:r w:rsidR="00377BE9" w:rsidRPr="00D321F9">
        <w:rPr>
          <w:rFonts w:ascii="Times New Roman" w:hAnsi="Times New Roman"/>
          <w:iCs/>
          <w:szCs w:val="24"/>
        </w:rPr>
        <w:t>-sample</w:t>
      </w:r>
      <w:r w:rsidRPr="00D321F9">
        <w:rPr>
          <w:rFonts w:ascii="Times New Roman" w:hAnsi="Times New Roman"/>
          <w:iCs/>
          <w:szCs w:val="24"/>
        </w:rPr>
        <w:t xml:space="preserve"> wave teachers in the NTPS had been leveling off and appeared to be lower than for earlier waves of teachers. This may have been a product of the timing of school testing and late</w:t>
      </w:r>
      <w:r w:rsidR="00377BE9" w:rsidRPr="00D321F9">
        <w:rPr>
          <w:rFonts w:ascii="Times New Roman" w:hAnsi="Times New Roman"/>
          <w:iCs/>
          <w:szCs w:val="24"/>
        </w:rPr>
        <w:t>-</w:t>
      </w:r>
      <w:r w:rsidRPr="00D321F9">
        <w:rPr>
          <w:rFonts w:ascii="Times New Roman" w:hAnsi="Times New Roman"/>
          <w:iCs/>
          <w:szCs w:val="24"/>
        </w:rPr>
        <w:t>school year activities because late</w:t>
      </w:r>
      <w:r w:rsidR="00377BE9" w:rsidRPr="00D321F9">
        <w:rPr>
          <w:rFonts w:ascii="Times New Roman" w:hAnsi="Times New Roman"/>
          <w:iCs/>
          <w:szCs w:val="24"/>
        </w:rPr>
        <w:t>-sample</w:t>
      </w:r>
      <w:r w:rsidRPr="00D321F9">
        <w:rPr>
          <w:rFonts w:ascii="Times New Roman" w:hAnsi="Times New Roman"/>
          <w:iCs/>
          <w:szCs w:val="24"/>
        </w:rPr>
        <w:t xml:space="preserve"> wave teachers received an invitation to complete the survey during a period with a heavy school workload. Given that this additional reminder email carried no cost and may help response rates, </w:t>
      </w:r>
      <w:r w:rsidR="000D092A" w:rsidRPr="00D321F9">
        <w:rPr>
          <w:rFonts w:ascii="Times New Roman" w:hAnsi="Times New Roman"/>
          <w:iCs/>
          <w:szCs w:val="24"/>
        </w:rPr>
        <w:t xml:space="preserve">a third reminder email will be sent to nonresponding teachers during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0D092A" w:rsidRPr="00D321F9">
        <w:rPr>
          <w:rFonts w:ascii="Times New Roman" w:hAnsi="Times New Roman"/>
          <w:iCs/>
          <w:szCs w:val="24"/>
        </w:rPr>
        <w:t xml:space="preserve"> NTPS data collection.</w:t>
      </w:r>
    </w:p>
    <w:p w:rsidR="00DB2BAA" w:rsidRDefault="00DB2BAA" w:rsidP="00B02BFD">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iCs/>
          <w:szCs w:val="24"/>
        </w:rPr>
        <w:t xml:space="preserve">Send a </w:t>
      </w:r>
      <w:r w:rsidR="00767DDE">
        <w:rPr>
          <w:rFonts w:ascii="Times New Roman" w:hAnsi="Times New Roman"/>
          <w:b/>
          <w:i/>
          <w:iCs/>
          <w:szCs w:val="24"/>
        </w:rPr>
        <w:t>“</w:t>
      </w:r>
      <w:r w:rsidRPr="00DB2BAA">
        <w:rPr>
          <w:rFonts w:ascii="Times New Roman" w:hAnsi="Times New Roman"/>
          <w:b/>
          <w:i/>
          <w:iCs/>
          <w:szCs w:val="24"/>
        </w:rPr>
        <w:t>letter of better understanding</w:t>
      </w:r>
      <w:r w:rsidR="00767DDE">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sidR="00767DDE">
        <w:rPr>
          <w:rFonts w:ascii="Times New Roman" w:hAnsi="Times New Roman"/>
          <w:iCs/>
          <w:szCs w:val="24"/>
        </w:rPr>
        <w:t>ative</w:t>
      </w:r>
      <w:r w:rsidRPr="00DB2BAA">
        <w:rPr>
          <w:rFonts w:ascii="Times New Roman" w:hAnsi="Times New Roman"/>
          <w:iCs/>
          <w:szCs w:val="24"/>
        </w:rPr>
        <w:t xml:space="preserve">s and the regional offices recommended that </w:t>
      </w:r>
      <w:r w:rsidR="00767DDE">
        <w:rPr>
          <w:rFonts w:ascii="Times New Roman" w:hAnsi="Times New Roman"/>
          <w:iCs/>
          <w:szCs w:val="24"/>
        </w:rPr>
        <w:t xml:space="preserve">in NTPS 2017-18 </w:t>
      </w:r>
      <w:r w:rsidR="00B02BFD">
        <w:rPr>
          <w:rFonts w:ascii="Times New Roman" w:hAnsi="Times New Roman"/>
          <w:iCs/>
          <w:szCs w:val="24"/>
        </w:rPr>
        <w:t>“</w:t>
      </w:r>
      <w:r w:rsidR="00B02BFD" w:rsidRPr="00767DDE">
        <w:rPr>
          <w:rFonts w:ascii="Times New Roman" w:hAnsi="Times New Roman"/>
          <w:iCs/>
          <w:szCs w:val="24"/>
        </w:rPr>
        <w:t>letter</w:t>
      </w:r>
      <w:r w:rsidR="00B02BFD">
        <w:rPr>
          <w:rFonts w:ascii="Times New Roman" w:hAnsi="Times New Roman"/>
          <w:iCs/>
          <w:szCs w:val="24"/>
        </w:rPr>
        <w:t>s</w:t>
      </w:r>
      <w:r w:rsidR="00B02BFD" w:rsidRPr="00767DDE">
        <w:rPr>
          <w:rFonts w:ascii="Times New Roman" w:hAnsi="Times New Roman"/>
          <w:iCs/>
          <w:szCs w:val="24"/>
        </w:rPr>
        <w:t xml:space="preserve"> of better understanding</w:t>
      </w:r>
      <w:r w:rsidR="00B02BFD">
        <w:rPr>
          <w:rFonts w:ascii="Times New Roman" w:hAnsi="Times New Roman"/>
          <w:iCs/>
          <w:szCs w:val="24"/>
        </w:rPr>
        <w:t>” be</w:t>
      </w:r>
      <w:r w:rsidRPr="00DB2BAA">
        <w:rPr>
          <w:rFonts w:ascii="Times New Roman" w:hAnsi="Times New Roman"/>
          <w:iCs/>
          <w:szCs w:val="24"/>
        </w:rPr>
        <w:t xml:space="preserve"> sen</w:t>
      </w:r>
      <w:r w:rsidR="00B02BFD">
        <w:rPr>
          <w:rFonts w:ascii="Times New Roman" w:hAnsi="Times New Roman"/>
          <w:iCs/>
          <w:szCs w:val="24"/>
        </w:rPr>
        <w:t>t</w:t>
      </w:r>
      <w:r w:rsidRPr="00DB2BAA">
        <w:rPr>
          <w:rFonts w:ascii="Times New Roman" w:hAnsi="Times New Roman"/>
          <w:iCs/>
          <w:szCs w:val="24"/>
        </w:rPr>
        <w:t xml:space="preserve"> to </w:t>
      </w:r>
      <w:r w:rsidR="007A10DB">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sidR="00767DDE">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sidR="007A10DB">
        <w:rPr>
          <w:rFonts w:ascii="Times New Roman" w:hAnsi="Times New Roman"/>
          <w:iCs/>
          <w:szCs w:val="24"/>
        </w:rPr>
        <w:t xml:space="preserve">survey by providing </w:t>
      </w:r>
      <w:r w:rsidR="00767DDE">
        <w:rPr>
          <w:rFonts w:ascii="Times New Roman" w:hAnsi="Times New Roman"/>
          <w:iCs/>
          <w:szCs w:val="24"/>
        </w:rPr>
        <w:t xml:space="preserve">them </w:t>
      </w:r>
      <w:r w:rsidR="007A10DB">
        <w:rPr>
          <w:rFonts w:ascii="Times New Roman" w:hAnsi="Times New Roman"/>
          <w:iCs/>
          <w:szCs w:val="24"/>
        </w:rPr>
        <w:t xml:space="preserve">information about how the data </w:t>
      </w:r>
      <w:r w:rsidR="00767DDE">
        <w:rPr>
          <w:rFonts w:ascii="Times New Roman" w:hAnsi="Times New Roman"/>
          <w:iCs/>
          <w:szCs w:val="24"/>
        </w:rPr>
        <w:t>are</w:t>
      </w:r>
      <w:r w:rsidR="007A10DB">
        <w:rPr>
          <w:rFonts w:ascii="Times New Roman" w:hAnsi="Times New Roman"/>
          <w:iCs/>
          <w:szCs w:val="24"/>
        </w:rPr>
        <w:t xml:space="preserve"> used and referencing some of the published data from the SASS 2011-12 First Look Reports.</w:t>
      </w:r>
      <w:r w:rsidR="00C6725B">
        <w:rPr>
          <w:rFonts w:ascii="Times New Roman" w:hAnsi="Times New Roman"/>
          <w:iCs/>
          <w:szCs w:val="24"/>
        </w:rPr>
        <w:t xml:space="preserve"> These letters will be sent to principals and teachers in priority schools, </w:t>
      </w:r>
      <w:r w:rsidR="00767DDE">
        <w:rPr>
          <w:rFonts w:ascii="Times New Roman" w:hAnsi="Times New Roman"/>
          <w:iCs/>
          <w:szCs w:val="24"/>
        </w:rPr>
        <w:t>which</w:t>
      </w:r>
      <w:r w:rsidR="00C6725B">
        <w:rPr>
          <w:rFonts w:ascii="Times New Roman" w:hAnsi="Times New Roman"/>
          <w:iCs/>
          <w:szCs w:val="24"/>
        </w:rPr>
        <w:t xml:space="preserve"> tend to </w:t>
      </w:r>
      <w:r w:rsidR="00767DDE">
        <w:rPr>
          <w:rFonts w:ascii="Times New Roman" w:hAnsi="Times New Roman"/>
          <w:iCs/>
          <w:szCs w:val="24"/>
        </w:rPr>
        <w:t>exhibit</w:t>
      </w:r>
      <w:r w:rsidR="00C6725B">
        <w:rPr>
          <w:rFonts w:ascii="Times New Roman" w:hAnsi="Times New Roman"/>
          <w:iCs/>
          <w:szCs w:val="24"/>
        </w:rPr>
        <w:t xml:space="preserve"> high non-response.</w:t>
      </w:r>
    </w:p>
    <w:p w:rsidR="00DB2BAA" w:rsidRP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szCs w:val="24"/>
        </w:rPr>
        <w:t xml:space="preserve">Consider new methods of minimizing nonresponse. </w:t>
      </w:r>
      <w:r w:rsidRPr="00DB2BAA">
        <w:rPr>
          <w:rFonts w:ascii="Times New Roman" w:hAnsi="Times New Roman"/>
          <w:szCs w:val="24"/>
        </w:rPr>
        <w:t xml:space="preserve">NCES is considering a number of other methods to minimize nonresponse in NTPS </w:t>
      </w:r>
      <w:r w:rsidR="00A14CE5" w:rsidRPr="00DB2BAA">
        <w:rPr>
          <w:rFonts w:ascii="Times New Roman" w:hAnsi="Times New Roman"/>
          <w:szCs w:val="24"/>
        </w:rPr>
        <w:t>2017</w:t>
      </w:r>
      <w:r w:rsidR="007F5C54" w:rsidRPr="00DB2BAA">
        <w:rPr>
          <w:rFonts w:ascii="Times New Roman" w:hAnsi="Times New Roman"/>
          <w:szCs w:val="24"/>
        </w:rPr>
        <w:t>-1</w:t>
      </w:r>
      <w:r w:rsidR="00A14CE5" w:rsidRPr="00DB2BAA">
        <w:rPr>
          <w:rFonts w:ascii="Times New Roman" w:hAnsi="Times New Roman"/>
          <w:szCs w:val="24"/>
        </w:rPr>
        <w:t>8</w:t>
      </w:r>
      <w:r w:rsidRPr="00DB2BAA">
        <w:rPr>
          <w:rFonts w:ascii="Times New Roman" w:hAnsi="Times New Roman"/>
          <w:szCs w:val="24"/>
        </w:rPr>
        <w:t>, including the use of incentives</w:t>
      </w:r>
      <w:r w:rsidR="000D092A" w:rsidRPr="00DB2BAA">
        <w:rPr>
          <w:rFonts w:ascii="Times New Roman" w:hAnsi="Times New Roman"/>
          <w:szCs w:val="24"/>
        </w:rPr>
        <w:t>.</w:t>
      </w:r>
      <w:r w:rsidR="000D092A" w:rsidRPr="00DB2BAA" w:rsidDel="000D092A">
        <w:rPr>
          <w:rFonts w:ascii="Times New Roman" w:hAnsi="Times New Roman"/>
          <w:szCs w:val="24"/>
        </w:rPr>
        <w:t xml:space="preserve"> </w:t>
      </w:r>
      <w:r w:rsidR="000D092A" w:rsidRPr="00DB2BAA">
        <w:rPr>
          <w:rFonts w:ascii="Times New Roman" w:hAnsi="Times New Roman"/>
          <w:szCs w:val="24"/>
        </w:rPr>
        <w:t>The 2017</w:t>
      </w:r>
      <w:r w:rsidR="007F5C54" w:rsidRPr="00DB2BAA">
        <w:rPr>
          <w:rFonts w:ascii="Times New Roman" w:hAnsi="Times New Roman"/>
          <w:szCs w:val="24"/>
        </w:rPr>
        <w:t>-1</w:t>
      </w:r>
      <w:r w:rsidR="000D092A" w:rsidRPr="00DB2BAA">
        <w:rPr>
          <w:rFonts w:ascii="Times New Roman" w:hAnsi="Times New Roman"/>
          <w:szCs w:val="24"/>
        </w:rPr>
        <w:t xml:space="preserve">8 NTPS will include an experiment designed to examine the effectiveness of offering teachers a monetary incentive to boost overall teacher response. </w:t>
      </w:r>
      <w:r w:rsidR="004F38F8" w:rsidRPr="00DB2BAA">
        <w:rPr>
          <w:rFonts w:ascii="Times New Roman" w:hAnsi="Times New Roman"/>
          <w:szCs w:val="24"/>
        </w:rPr>
        <w:t>Further information about incentives are provided below in section B.4.2.</w:t>
      </w:r>
    </w:p>
    <w:p w:rsidR="00D76A03" w:rsidRPr="00D321F9" w:rsidRDefault="00D76A03" w:rsidP="00175C20">
      <w:pPr>
        <w:pStyle w:val="Heading4"/>
        <w:spacing w:after="120" w:line="240" w:lineRule="auto"/>
        <w:rPr>
          <w:rFonts w:ascii="Times New Roman" w:hAnsi="Times New Roman"/>
          <w:szCs w:val="24"/>
        </w:rPr>
      </w:pPr>
      <w:r w:rsidRPr="00D321F9">
        <w:rPr>
          <w:rFonts w:ascii="Times New Roman" w:hAnsi="Times New Roman"/>
          <w:szCs w:val="24"/>
        </w:rPr>
        <w:t>Statistical Approaches to Nonresponse</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One of the methods employed to reduce the potential for nonresponse bias is adjustment of the sample weights to account for nonresponse. If </w:t>
      </w:r>
      <w:r w:rsidR="00521E42" w:rsidRPr="00D321F9">
        <w:rPr>
          <w:rFonts w:ascii="Times New Roman" w:hAnsi="Times New Roman"/>
          <w:szCs w:val="24"/>
        </w:rPr>
        <w:t>schools or teachers</w:t>
      </w:r>
      <w:r w:rsidRPr="00D321F9">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D321F9">
        <w:rPr>
          <w:rFonts w:ascii="Times New Roman" w:hAnsi="Times New Roman"/>
          <w:szCs w:val="24"/>
        </w:rPr>
        <w:t>The school weights are also</w:t>
      </w:r>
      <w:r w:rsidRPr="00D321F9">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Response rates will be computed for </w:t>
      </w:r>
      <w:r w:rsidR="00521E42" w:rsidRPr="00D321F9">
        <w:rPr>
          <w:rFonts w:ascii="Times New Roman" w:hAnsi="Times New Roman"/>
          <w:szCs w:val="24"/>
        </w:rPr>
        <w:t xml:space="preserve">the </w:t>
      </w:r>
      <w:r w:rsidR="00195A73">
        <w:rPr>
          <w:rFonts w:ascii="Times New Roman" w:hAnsi="Times New Roman"/>
          <w:szCs w:val="24"/>
        </w:rPr>
        <w:t>TLF</w:t>
      </w:r>
      <w:r w:rsidR="00521E42" w:rsidRPr="00D321F9">
        <w:rPr>
          <w:rFonts w:ascii="Times New Roman" w:hAnsi="Times New Roman"/>
          <w:szCs w:val="24"/>
        </w:rPr>
        <w:t>, the School Questionnaire, the Principal Questionnaire, and the Teacher Questionnaire.</w:t>
      </w:r>
      <w:r w:rsidRPr="00D321F9">
        <w:rPr>
          <w:rFonts w:ascii="Times New Roman" w:hAnsi="Times New Roman"/>
          <w:szCs w:val="24"/>
        </w:rPr>
        <w:t xml:space="preserv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w:t>
      </w:r>
      <w:r w:rsidR="00521E42" w:rsidRPr="00D321F9">
        <w:rPr>
          <w:rFonts w:ascii="Times New Roman" w:hAnsi="Times New Roman"/>
          <w:szCs w:val="24"/>
        </w:rPr>
        <w:t>)</w:t>
      </w:r>
      <w:r w:rsidRPr="00D321F9">
        <w:rPr>
          <w:rFonts w:ascii="Times New Roman" w:hAnsi="Times New Roman"/>
          <w:szCs w:val="24"/>
        </w:rPr>
        <w:t xml:space="preserve">, we will also compare study estimates to estimates from </w:t>
      </w:r>
      <w:r w:rsidR="00521E42" w:rsidRPr="00D321F9">
        <w:rPr>
          <w:rFonts w:ascii="Times New Roman" w:hAnsi="Times New Roman"/>
          <w:szCs w:val="24"/>
        </w:rPr>
        <w:t xml:space="preserve">previous rounds of NTPS and SASS. </w:t>
      </w:r>
      <w:r w:rsidRPr="00D321F9">
        <w:rPr>
          <w:rFonts w:ascii="Times New Roman" w:hAnsi="Times New Roman"/>
          <w:szCs w:val="24"/>
        </w:rPr>
        <w:t>The nonresponse bias analysis will be similar to th</w:t>
      </w:r>
      <w:r w:rsidR="00521E42" w:rsidRPr="00D321F9">
        <w:rPr>
          <w:rFonts w:ascii="Times New Roman" w:hAnsi="Times New Roman"/>
          <w:szCs w:val="24"/>
        </w:rPr>
        <w:t>at</w:t>
      </w:r>
      <w:r w:rsidRPr="00D321F9">
        <w:rPr>
          <w:rFonts w:ascii="Times New Roman" w:hAnsi="Times New Roman"/>
          <w:szCs w:val="24"/>
        </w:rPr>
        <w:t xml:space="preserve"> conducted for </w:t>
      </w:r>
      <w:r w:rsidR="00521E42" w:rsidRPr="00D321F9">
        <w:rPr>
          <w:rFonts w:ascii="Times New Roman" w:hAnsi="Times New Roman"/>
          <w:szCs w:val="24"/>
        </w:rPr>
        <w:t>SASS as</w:t>
      </w:r>
      <w:r w:rsidRPr="00D321F9">
        <w:rPr>
          <w:rFonts w:ascii="Times New Roman" w:hAnsi="Times New Roman"/>
          <w:szCs w:val="24"/>
        </w:rPr>
        <w:t xml:space="preserve"> reported in study methodology documentation (for the most recent </w:t>
      </w:r>
      <w:r w:rsidR="0072180A" w:rsidRPr="00D321F9">
        <w:rPr>
          <w:rFonts w:ascii="Times New Roman" w:hAnsi="Times New Roman"/>
          <w:szCs w:val="24"/>
        </w:rPr>
        <w:t xml:space="preserve">released </w:t>
      </w:r>
      <w:r w:rsidR="00521E42" w:rsidRPr="00D321F9">
        <w:rPr>
          <w:rFonts w:ascii="Times New Roman" w:hAnsi="Times New Roman"/>
          <w:szCs w:val="24"/>
        </w:rPr>
        <w:t>SASS</w:t>
      </w:r>
      <w:r w:rsidRPr="00D321F9">
        <w:rPr>
          <w:rFonts w:ascii="Times New Roman" w:hAnsi="Times New Roman"/>
          <w:szCs w:val="24"/>
        </w:rPr>
        <w:t xml:space="preserve"> methodology report, see </w:t>
      </w:r>
      <w:hyperlink r:id="rId19" w:history="1">
        <w:r w:rsidR="0072180A" w:rsidRPr="00D321F9">
          <w:rPr>
            <w:rStyle w:val="Hyperlink"/>
            <w:rFonts w:ascii="Times New Roman" w:hAnsi="Times New Roman"/>
            <w:color w:val="auto"/>
            <w:szCs w:val="24"/>
          </w:rPr>
          <w:t>http://nces.ed.gov/pubsearch/pubsinfo.asp?pubid=2010332</w:t>
        </w:r>
      </w:hyperlink>
      <w:r w:rsidRPr="00D321F9">
        <w:rPr>
          <w:rFonts w:ascii="Times New Roman" w:hAnsi="Times New Roman"/>
          <w:szCs w:val="24"/>
        </w:rPr>
        <w:t xml:space="preserve">). A methodology report covering </w:t>
      </w:r>
      <w:r w:rsidR="00521E42"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t>
      </w:r>
      <w:r w:rsidR="0072180A" w:rsidRPr="00D321F9">
        <w:rPr>
          <w:rFonts w:ascii="Times New Roman" w:hAnsi="Times New Roman"/>
          <w:szCs w:val="24"/>
        </w:rPr>
        <w:t>will be developed and released</w:t>
      </w:r>
      <w:r w:rsidR="00CC6473" w:rsidRPr="00D321F9">
        <w:rPr>
          <w:rFonts w:ascii="Times New Roman" w:hAnsi="Times New Roman"/>
          <w:szCs w:val="24"/>
        </w:rPr>
        <w:t>,</w:t>
      </w:r>
      <w:r w:rsidR="0072180A" w:rsidRPr="00D321F9">
        <w:rPr>
          <w:rFonts w:ascii="Times New Roman" w:hAnsi="Times New Roman"/>
          <w:szCs w:val="24"/>
        </w:rPr>
        <w:t xml:space="preserve"> and</w:t>
      </w:r>
      <w:r w:rsidRPr="00D321F9">
        <w:rPr>
          <w:rFonts w:ascii="Times New Roman" w:hAnsi="Times New Roman"/>
          <w:szCs w:val="24"/>
        </w:rPr>
        <w:t xml:space="preserve"> will </w:t>
      </w:r>
      <w:r w:rsidR="0072180A" w:rsidRPr="00D321F9">
        <w:rPr>
          <w:rFonts w:ascii="Times New Roman" w:hAnsi="Times New Roman"/>
          <w:szCs w:val="24"/>
        </w:rPr>
        <w:t xml:space="preserve">describe the methods and results of </w:t>
      </w:r>
      <w:r w:rsidR="00521E42" w:rsidRPr="00D321F9">
        <w:rPr>
          <w:rFonts w:ascii="Times New Roman" w:hAnsi="Times New Roman"/>
          <w:szCs w:val="24"/>
        </w:rPr>
        <w:t xml:space="preserve">the </w:t>
      </w:r>
      <w:r w:rsidRPr="00D321F9">
        <w:rPr>
          <w:rFonts w:ascii="Times New Roman" w:hAnsi="Times New Roman"/>
          <w:szCs w:val="24"/>
        </w:rPr>
        <w:t>nonresponse bias analysis.</w:t>
      </w:r>
    </w:p>
    <w:p w:rsidR="00FE7A15" w:rsidRPr="00D321F9"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72" w:name="_Toc455154257"/>
      <w:bookmarkStart w:id="73" w:name="_Toc455496453"/>
      <w:bookmarkStart w:id="74" w:name="_Toc468187464"/>
      <w:bookmarkStart w:id="75" w:name="_Toc481483745"/>
      <w:r w:rsidRPr="00D321F9">
        <w:rPr>
          <w:rFonts w:ascii="Times New Roman" w:hAnsi="Times New Roman"/>
          <w:color w:val="auto"/>
          <w:sz w:val="24"/>
          <w:szCs w:val="24"/>
        </w:rPr>
        <w:t>B.4</w:t>
      </w:r>
      <w:r w:rsidRPr="00D321F9">
        <w:rPr>
          <w:rFonts w:ascii="Times New Roman" w:hAnsi="Times New Roman"/>
          <w:color w:val="auto"/>
          <w:sz w:val="24"/>
          <w:szCs w:val="24"/>
        </w:rPr>
        <w:tab/>
        <w:t>Tests of Methods and Procedures</w:t>
      </w:r>
      <w:bookmarkEnd w:id="72"/>
      <w:bookmarkEnd w:id="73"/>
      <w:bookmarkEnd w:id="74"/>
      <w:bookmarkEnd w:id="75"/>
    </w:p>
    <w:p w:rsidR="0014296C" w:rsidRDefault="00BF79C1" w:rsidP="00175C20">
      <w:pPr>
        <w:pStyle w:val="L1-FlLSp12"/>
        <w:spacing w:after="120" w:line="240" w:lineRule="auto"/>
        <w:rPr>
          <w:rFonts w:ascii="Times New Roman" w:hAnsi="Times New Roman"/>
          <w:szCs w:val="24"/>
        </w:rPr>
      </w:pPr>
      <w:r w:rsidRPr="00D321F9">
        <w:rPr>
          <w:rFonts w:ascii="Times New Roman" w:hAnsi="Times New Roman"/>
          <w:szCs w:val="24"/>
        </w:rPr>
        <w:t>The SASS/NTPS series of studies has a long history of testing materials</w:t>
      </w:r>
      <w:r w:rsidR="00393767" w:rsidRPr="00D321F9">
        <w:rPr>
          <w:rFonts w:ascii="Times New Roman" w:hAnsi="Times New Roman"/>
          <w:szCs w:val="24"/>
        </w:rPr>
        <w:t>, methods,</w:t>
      </w:r>
      <w:r w:rsidRPr="00D321F9">
        <w:rPr>
          <w:rFonts w:ascii="Times New Roman" w:hAnsi="Times New Roman"/>
          <w:szCs w:val="24"/>
        </w:rPr>
        <w:t xml:space="preserve"> and procedures to improve the quality of its data. </w:t>
      </w:r>
      <w:r w:rsidR="001A6B5B" w:rsidRPr="00D321F9">
        <w:rPr>
          <w:rFonts w:ascii="Times New Roman" w:hAnsi="Times New Roman"/>
          <w:szCs w:val="24"/>
        </w:rPr>
        <w:t xml:space="preserve">Section B.4.1 </w:t>
      </w:r>
      <w:r w:rsidR="00393767" w:rsidRPr="00D321F9">
        <w:rPr>
          <w:rFonts w:ascii="Times New Roman" w:hAnsi="Times New Roman"/>
          <w:szCs w:val="24"/>
        </w:rPr>
        <w:t xml:space="preserve">describes </w:t>
      </w:r>
      <w:r w:rsidR="00AD2A84" w:rsidRPr="00D321F9">
        <w:rPr>
          <w:rFonts w:ascii="Times New Roman" w:hAnsi="Times New Roman"/>
          <w:szCs w:val="24"/>
        </w:rPr>
        <w:t xml:space="preserve">those </w:t>
      </w:r>
      <w:r w:rsidR="00393767" w:rsidRPr="00D321F9">
        <w:rPr>
          <w:rFonts w:ascii="Times New Roman" w:hAnsi="Times New Roman"/>
          <w:szCs w:val="24"/>
        </w:rPr>
        <w:t>tests</w:t>
      </w:r>
      <w:r w:rsidR="00AD2A84" w:rsidRPr="00D321F9">
        <w:rPr>
          <w:rFonts w:ascii="Times New Roman" w:hAnsi="Times New Roman"/>
          <w:szCs w:val="24"/>
        </w:rPr>
        <w:t xml:space="preserve"> that have most influenced the NTPS design,</w:t>
      </w:r>
      <w:r w:rsidR="00393767" w:rsidRPr="00D321F9">
        <w:rPr>
          <w:rFonts w:ascii="Times New Roman" w:hAnsi="Times New Roman"/>
          <w:szCs w:val="24"/>
        </w:rPr>
        <w:t xml:space="preserve"> beginning with the 2014</w:t>
      </w:r>
      <w:r w:rsidR="007F5C54">
        <w:rPr>
          <w:rFonts w:ascii="Times New Roman" w:hAnsi="Times New Roman"/>
          <w:szCs w:val="24"/>
        </w:rPr>
        <w:t>-1</w:t>
      </w:r>
      <w:r w:rsidR="00393767" w:rsidRPr="00D321F9">
        <w:rPr>
          <w:rFonts w:ascii="Times New Roman" w:hAnsi="Times New Roman"/>
          <w:szCs w:val="24"/>
        </w:rPr>
        <w:t xml:space="preserve">5 NTPS Pilot Test and continuing through </w:t>
      </w:r>
      <w:r w:rsidR="00024B22" w:rsidRPr="00D321F9">
        <w:rPr>
          <w:rFonts w:ascii="Times New Roman" w:hAnsi="Times New Roman"/>
          <w:szCs w:val="24"/>
        </w:rPr>
        <w:t>a new research project aimed at improving procedures for requesting research approval from special contact districts.</w:t>
      </w:r>
      <w:r w:rsidR="00393767" w:rsidRPr="00D321F9">
        <w:rPr>
          <w:rFonts w:ascii="Times New Roman" w:hAnsi="Times New Roman"/>
          <w:szCs w:val="24"/>
        </w:rPr>
        <w:t xml:space="preserve"> </w:t>
      </w:r>
      <w:r w:rsidR="001A6B5B" w:rsidRPr="00D321F9">
        <w:rPr>
          <w:rFonts w:ascii="Times New Roman" w:hAnsi="Times New Roman"/>
          <w:szCs w:val="24"/>
        </w:rPr>
        <w:t>Section B.4.2 describes a proposed experiment to include private schools, principals, and teachers in NTPS.</w:t>
      </w:r>
    </w:p>
    <w:p w:rsidR="00B756CF" w:rsidRDefault="00B756CF" w:rsidP="0052174C">
      <w:pPr>
        <w:pStyle w:val="L1-FlLSp12"/>
        <w:spacing w:after="60" w:line="240" w:lineRule="auto"/>
        <w:rPr>
          <w:rFonts w:ascii="Times New Roman" w:hAnsi="Times New Roman"/>
          <w:szCs w:val="24"/>
        </w:rPr>
      </w:pPr>
      <w:r>
        <w:rPr>
          <w:rFonts w:ascii="Times New Roman" w:hAnsi="Times New Roman"/>
          <w:szCs w:val="24"/>
        </w:rPr>
        <w:t>The following tests are planned for the 201</w:t>
      </w:r>
      <w:r w:rsidR="0052174C">
        <w:rPr>
          <w:rFonts w:ascii="Times New Roman" w:hAnsi="Times New Roman"/>
          <w:szCs w:val="24"/>
        </w:rPr>
        <w:t>7-18 NTPS data collection:</w:t>
      </w:r>
    </w:p>
    <w:p w:rsidR="00B756CF" w:rsidRDefault="00854B5A" w:rsidP="0052174C">
      <w:pPr>
        <w:pStyle w:val="L1-FlLSp12"/>
        <w:numPr>
          <w:ilvl w:val="0"/>
          <w:numId w:val="46"/>
        </w:numPr>
        <w:spacing w:after="60" w:line="240" w:lineRule="auto"/>
        <w:rPr>
          <w:rFonts w:ascii="Times New Roman" w:hAnsi="Times New Roman"/>
          <w:szCs w:val="24"/>
        </w:rPr>
      </w:pPr>
      <w:r>
        <w:rPr>
          <w:rFonts w:ascii="Times New Roman" w:hAnsi="Times New Roman"/>
          <w:szCs w:val="24"/>
        </w:rPr>
        <w:t>Incentives for teachers (and/or coordinator)</w:t>
      </w:r>
      <w:r w:rsidR="0052174C">
        <w:rPr>
          <w:rFonts w:ascii="Times New Roman" w:hAnsi="Times New Roman"/>
          <w:szCs w:val="24"/>
        </w:rPr>
        <w:t>, and</w:t>
      </w:r>
    </w:p>
    <w:p w:rsidR="00854B5A" w:rsidRDefault="00854B5A" w:rsidP="00B756CF">
      <w:pPr>
        <w:pStyle w:val="L1-FlLSp12"/>
        <w:numPr>
          <w:ilvl w:val="0"/>
          <w:numId w:val="46"/>
        </w:numPr>
        <w:spacing w:after="120" w:line="240" w:lineRule="auto"/>
        <w:rPr>
          <w:rFonts w:ascii="Times New Roman" w:hAnsi="Times New Roman"/>
          <w:szCs w:val="24"/>
        </w:rPr>
      </w:pPr>
      <w:r>
        <w:rPr>
          <w:rFonts w:ascii="Times New Roman" w:hAnsi="Times New Roman"/>
          <w:szCs w:val="24"/>
        </w:rPr>
        <w:t>Private School Test</w:t>
      </w:r>
      <w:r w:rsidR="0052174C">
        <w:rPr>
          <w:rFonts w:ascii="Times New Roman" w:hAnsi="Times New Roman"/>
          <w:szCs w:val="24"/>
        </w:rPr>
        <w:t>.</w:t>
      </w:r>
    </w:p>
    <w:p w:rsidR="00AD2A84" w:rsidRPr="00D321F9" w:rsidRDefault="00AD2A84" w:rsidP="00175C20">
      <w:pPr>
        <w:pStyle w:val="Heading2"/>
        <w:spacing w:after="120" w:line="240" w:lineRule="auto"/>
        <w:rPr>
          <w:rFonts w:ascii="Times New Roman" w:hAnsi="Times New Roman"/>
          <w:color w:val="auto"/>
          <w:sz w:val="24"/>
          <w:szCs w:val="24"/>
        </w:rPr>
      </w:pPr>
      <w:bookmarkStart w:id="76" w:name="_Toc455154258"/>
      <w:bookmarkStart w:id="77" w:name="_Toc455496454"/>
      <w:bookmarkStart w:id="78" w:name="_Toc468187465"/>
      <w:bookmarkStart w:id="79" w:name="_Toc481483746"/>
      <w:r w:rsidRPr="00D321F9">
        <w:rPr>
          <w:rFonts w:ascii="Times New Roman" w:hAnsi="Times New Roman"/>
          <w:color w:val="auto"/>
          <w:sz w:val="24"/>
          <w:szCs w:val="24"/>
        </w:rPr>
        <w:t>B.4.1</w:t>
      </w:r>
      <w:r w:rsidRPr="00D321F9">
        <w:rPr>
          <w:rFonts w:ascii="Times New Roman" w:hAnsi="Times New Roman"/>
          <w:color w:val="auto"/>
          <w:sz w:val="24"/>
          <w:szCs w:val="24"/>
        </w:rPr>
        <w:tab/>
        <w:t xml:space="preserve">Tests Influencing the Design of NTPS </w:t>
      </w:r>
      <w:bookmarkEnd w:id="76"/>
      <w:bookmarkEnd w:id="77"/>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78"/>
      <w:bookmarkEnd w:id="79"/>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2014</w:t>
      </w:r>
      <w:r w:rsidR="007F5C54">
        <w:rPr>
          <w:rFonts w:ascii="Times New Roman" w:hAnsi="Times New Roman"/>
          <w:szCs w:val="24"/>
        </w:rPr>
        <w:t>-1</w:t>
      </w:r>
      <w:r w:rsidRPr="00D321F9">
        <w:rPr>
          <w:rFonts w:ascii="Times New Roman" w:hAnsi="Times New Roman"/>
          <w:szCs w:val="24"/>
        </w:rPr>
        <w:t>5 NTPS Pilot Test</w:t>
      </w:r>
    </w:p>
    <w:p w:rsidR="0014296C" w:rsidRPr="00D321F9" w:rsidRDefault="00AB3E8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Five experiments designed to optimize the design of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NTPS were conducted as part of the 2014</w:t>
      </w:r>
      <w:r w:rsidR="007F5C54">
        <w:rPr>
          <w:rFonts w:ascii="Times New Roman" w:hAnsi="Times New Roman"/>
          <w:szCs w:val="24"/>
        </w:rPr>
        <w:t>-1</w:t>
      </w:r>
      <w:r w:rsidRPr="00D321F9">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007215B4" w:rsidRDefault="00AB3E80" w:rsidP="00577DD4">
      <w:pPr>
        <w:pStyle w:val="L1-FlLSp12"/>
        <w:widowControl w:val="0"/>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Questionnaire Mode Experiment</w:t>
      </w:r>
      <w:r w:rsidRPr="00D321F9">
        <w:rPr>
          <w:rFonts w:ascii="Times New Roman" w:hAnsi="Times New Roman"/>
          <w:szCs w:val="24"/>
        </w:rPr>
        <w:t>. This experiment was</w:t>
      </w:r>
      <w:r w:rsidR="008270FB" w:rsidRPr="00D321F9">
        <w:rPr>
          <w:rFonts w:ascii="Times New Roman" w:hAnsi="Times New Roman"/>
          <w:szCs w:val="24"/>
        </w:rPr>
        <w:t xml:space="preserve"> </w:t>
      </w:r>
      <w:r w:rsidRPr="00D321F9">
        <w:rPr>
          <w:rFonts w:ascii="Times New Roman" w:hAnsi="Times New Roman"/>
          <w:szCs w:val="24"/>
        </w:rPr>
        <w:t>designed to determine whether paper questionnaires or Internet survey instruments (i.e., mail</w:t>
      </w:r>
      <w:r w:rsidRPr="00D321F9">
        <w:rPr>
          <w:rFonts w:ascii="Cambria Math" w:hAnsi="Cambria Math" w:cs="Cambria Math"/>
          <w:szCs w:val="24"/>
        </w:rPr>
        <w:t>‐</w:t>
      </w:r>
      <w:r w:rsidRPr="00D321F9">
        <w:rPr>
          <w:rFonts w:ascii="Times New Roman" w:hAnsi="Times New Roman"/>
          <w:szCs w:val="24"/>
        </w:rPr>
        <w:t xml:space="preserve">only versus internet sequential modes) </w:t>
      </w:r>
      <w:r w:rsidR="007D6305" w:rsidRPr="00D321F9">
        <w:rPr>
          <w:rFonts w:ascii="Times New Roman" w:hAnsi="Times New Roman"/>
          <w:szCs w:val="24"/>
        </w:rPr>
        <w:t>constituted</w:t>
      </w:r>
      <w:r w:rsidRPr="00D321F9">
        <w:rPr>
          <w:rFonts w:ascii="Times New Roman" w:hAnsi="Times New Roman"/>
          <w:szCs w:val="24"/>
        </w:rPr>
        <w:t xml:space="preserve"> the most effective mode of collecting the TLF, School Questionnaire, and Principal Questionnaire.</w:t>
      </w:r>
      <w:r w:rsidR="0014296C" w:rsidRPr="00D321F9">
        <w:rPr>
          <w:rFonts w:ascii="Times New Roman" w:hAnsi="Times New Roman"/>
          <w:szCs w:val="24"/>
        </w:rPr>
        <w:t xml:space="preserve"> </w:t>
      </w:r>
      <w:r w:rsidRPr="00D321F9">
        <w:rPr>
          <w:rFonts w:ascii="Times New Roman" w:hAnsi="Times New Roman"/>
          <w:szCs w:val="24"/>
        </w:rPr>
        <w:t>For all three survey instruments, the schools assigned to the paper mode had higher response rates than the schools assigned to the internet mode.</w:t>
      </w:r>
    </w:p>
    <w:p w:rsidR="007215B4" w:rsidRDefault="00E34774" w:rsidP="00577DD4">
      <w:pPr>
        <w:pStyle w:val="L1-FlLSp12"/>
        <w:widowControl w:val="0"/>
        <w:spacing w:after="120" w:line="240" w:lineRule="auto"/>
        <w:ind w:left="450"/>
        <w:rPr>
          <w:rFonts w:ascii="Times New Roman" w:hAnsi="Times New Roman"/>
          <w:szCs w:val="24"/>
        </w:rPr>
      </w:pPr>
      <w:r>
        <w:rPr>
          <w:rFonts w:ascii="Times New Roman" w:hAnsi="Times New Roman"/>
          <w:szCs w:val="24"/>
        </w:rPr>
        <w:t>S</w:t>
      </w:r>
      <w:r w:rsidR="00331D8A" w:rsidRPr="00D321F9">
        <w:rPr>
          <w:rFonts w:ascii="Times New Roman" w:hAnsi="Times New Roman"/>
          <w:szCs w:val="24"/>
        </w:rPr>
        <w:t xml:space="preserve">ome </w:t>
      </w:r>
      <w:r w:rsidR="00AB3E80" w:rsidRPr="00D321F9">
        <w:rPr>
          <w:rFonts w:ascii="Times New Roman" w:hAnsi="Times New Roman"/>
          <w:szCs w:val="24"/>
        </w:rPr>
        <w:t xml:space="preserve">known issues with data collection could have </w:t>
      </w:r>
      <w:r w:rsidR="00331D8A" w:rsidRPr="00D321F9">
        <w:rPr>
          <w:rFonts w:ascii="Times New Roman" w:hAnsi="Times New Roman"/>
          <w:szCs w:val="24"/>
        </w:rPr>
        <w:t xml:space="preserve">impacted these response rates. </w:t>
      </w:r>
      <w:r w:rsidR="00AB3E80" w:rsidRPr="00D321F9">
        <w:rPr>
          <w:rFonts w:ascii="Times New Roman" w:hAnsi="Times New Roman"/>
          <w:szCs w:val="24"/>
        </w:rPr>
        <w:t xml:space="preserve">First, the pilot test did not use </w:t>
      </w:r>
      <w:r w:rsidR="00E8789C" w:rsidRPr="00D321F9">
        <w:rPr>
          <w:rFonts w:ascii="Times New Roman" w:hAnsi="Times New Roman"/>
          <w:szCs w:val="24"/>
        </w:rPr>
        <w:t xml:space="preserve">survey </w:t>
      </w:r>
      <w:r w:rsidR="00AB3E80" w:rsidRPr="00D321F9">
        <w:rPr>
          <w:rFonts w:ascii="Times New Roman" w:hAnsi="Times New Roman"/>
          <w:szCs w:val="24"/>
        </w:rPr>
        <w:t>coordinators, a method shown to boost response rates in SASS.</w:t>
      </w:r>
      <w:r w:rsidR="0014296C" w:rsidRPr="00D321F9">
        <w:rPr>
          <w:rFonts w:ascii="Times New Roman" w:hAnsi="Times New Roman"/>
          <w:szCs w:val="24"/>
        </w:rPr>
        <w:t xml:space="preserve"> </w:t>
      </w:r>
      <w:r w:rsidR="00AB3E80" w:rsidRPr="00D321F9">
        <w:rPr>
          <w:rFonts w:ascii="Times New Roman" w:hAnsi="Times New Roman"/>
          <w:szCs w:val="24"/>
        </w:rPr>
        <w:t>Second, there were problems relat</w:t>
      </w:r>
      <w:r>
        <w:rPr>
          <w:rFonts w:ascii="Times New Roman" w:hAnsi="Times New Roman"/>
          <w:szCs w:val="24"/>
        </w:rPr>
        <w:t>ed</w:t>
      </w:r>
      <w:r w:rsidR="00AB3E80" w:rsidRPr="00D321F9">
        <w:rPr>
          <w:rFonts w:ascii="Times New Roman" w:hAnsi="Times New Roman"/>
          <w:szCs w:val="24"/>
        </w:rPr>
        <w:t xml:space="preserve"> to the contact materials for the internet treatment groups. As a result of this experiment,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was primarily paper based</w:t>
      </w:r>
      <w:r w:rsidR="000B5044">
        <w:rPr>
          <w:rFonts w:ascii="Times New Roman" w:hAnsi="Times New Roman"/>
          <w:szCs w:val="24"/>
        </w:rPr>
        <w:t>;</w:t>
      </w:r>
      <w:r w:rsidR="00AB3E80" w:rsidRPr="00D321F9">
        <w:rPr>
          <w:rFonts w:ascii="Times New Roman" w:hAnsi="Times New Roman"/>
          <w:szCs w:val="24"/>
        </w:rPr>
        <w:t xml:space="preserve"> </w:t>
      </w:r>
      <w:r w:rsidR="000B5044">
        <w:rPr>
          <w:rFonts w:ascii="Times New Roman" w:hAnsi="Times New Roman"/>
          <w:szCs w:val="24"/>
        </w:rPr>
        <w:t>used</w:t>
      </w:r>
      <w:r w:rsidR="000B5044" w:rsidRPr="000B5044">
        <w:rPr>
          <w:rFonts w:ascii="Times New Roman" w:hAnsi="Times New Roman"/>
          <w:szCs w:val="24"/>
        </w:rPr>
        <w:t xml:space="preserve"> </w:t>
      </w:r>
      <w:r w:rsidR="000B5044" w:rsidRPr="00D321F9">
        <w:rPr>
          <w:rFonts w:ascii="Times New Roman" w:hAnsi="Times New Roman"/>
          <w:szCs w:val="24"/>
        </w:rPr>
        <w:t>improved contact materials and login procedures</w:t>
      </w:r>
      <w:r w:rsidR="000B5044">
        <w:rPr>
          <w:rFonts w:ascii="Times New Roman" w:hAnsi="Times New Roman"/>
          <w:szCs w:val="24"/>
        </w:rPr>
        <w:t xml:space="preserve">; and </w:t>
      </w:r>
      <w:r w:rsidR="00AB3E80" w:rsidRPr="00D321F9">
        <w:rPr>
          <w:rFonts w:ascii="Times New Roman" w:hAnsi="Times New Roman"/>
          <w:szCs w:val="24"/>
        </w:rPr>
        <w:t>included an experimental sample of 1,000 schools</w:t>
      </w:r>
      <w:r w:rsidR="00E8789C" w:rsidRPr="00D321F9">
        <w:rPr>
          <w:rFonts w:ascii="Times New Roman" w:hAnsi="Times New Roman"/>
          <w:szCs w:val="24"/>
        </w:rPr>
        <w:t>,</w:t>
      </w:r>
      <w:r w:rsidR="00AB3E80" w:rsidRPr="00D321F9">
        <w:rPr>
          <w:rFonts w:ascii="Times New Roman" w:hAnsi="Times New Roman"/>
          <w:szCs w:val="24"/>
        </w:rPr>
        <w:t xml:space="preserve"> outside the main study</w:t>
      </w:r>
      <w:r w:rsidR="00E8789C" w:rsidRPr="00D321F9">
        <w:rPr>
          <w:rFonts w:ascii="Times New Roman" w:hAnsi="Times New Roman"/>
          <w:szCs w:val="24"/>
        </w:rPr>
        <w:t>,</w:t>
      </w:r>
      <w:r w:rsidR="00AB3E80" w:rsidRPr="00D321F9">
        <w:rPr>
          <w:rFonts w:ascii="Times New Roman" w:hAnsi="Times New Roman"/>
          <w:szCs w:val="24"/>
        </w:rPr>
        <w:t xml:space="preserve"> </w:t>
      </w:r>
      <w:r>
        <w:rPr>
          <w:rFonts w:ascii="Times New Roman" w:hAnsi="Times New Roman"/>
          <w:szCs w:val="24"/>
        </w:rPr>
        <w:t>which</w:t>
      </w:r>
      <w:r w:rsidR="00AB3E80" w:rsidRPr="00D321F9">
        <w:rPr>
          <w:rFonts w:ascii="Times New Roman" w:hAnsi="Times New Roman"/>
          <w:szCs w:val="24"/>
        </w:rPr>
        <w:t xml:space="preserve"> were offered </w:t>
      </w:r>
      <w:r w:rsidR="000B5044">
        <w:rPr>
          <w:rFonts w:ascii="Times New Roman" w:hAnsi="Times New Roman"/>
          <w:szCs w:val="24"/>
        </w:rPr>
        <w:t>I</w:t>
      </w:r>
      <w:r w:rsidR="00AB3E80" w:rsidRPr="00D321F9">
        <w:rPr>
          <w:rFonts w:ascii="Times New Roman" w:hAnsi="Times New Roman"/>
          <w:szCs w:val="24"/>
        </w:rPr>
        <w:t xml:space="preserve">nternet </w:t>
      </w:r>
      <w:r w:rsidR="000B5044">
        <w:rPr>
          <w:rFonts w:ascii="Times New Roman" w:hAnsi="Times New Roman"/>
          <w:szCs w:val="24"/>
        </w:rPr>
        <w:t xml:space="preserve">survey </w:t>
      </w:r>
      <w:r w:rsidR="00AB3E80" w:rsidRPr="00D321F9">
        <w:rPr>
          <w:rFonts w:ascii="Times New Roman" w:hAnsi="Times New Roman"/>
          <w:szCs w:val="24"/>
        </w:rPr>
        <w:t>at the onset of data collection</w:t>
      </w:r>
      <w:r w:rsidR="000B5044">
        <w:rPr>
          <w:rFonts w:ascii="Times New Roman" w:hAnsi="Times New Roman"/>
          <w:szCs w:val="24"/>
        </w:rPr>
        <w:t xml:space="preserve"> and which</w:t>
      </w:r>
      <w:r w:rsidR="00AB3E80" w:rsidRPr="00D321F9">
        <w:rPr>
          <w:rFonts w:ascii="Times New Roman" w:hAnsi="Times New Roman"/>
          <w:szCs w:val="24"/>
        </w:rPr>
        <w:t xml:space="preserve"> </w:t>
      </w:r>
      <w:r w:rsidR="00E8789C" w:rsidRPr="00D321F9">
        <w:rPr>
          <w:rFonts w:ascii="Times New Roman" w:hAnsi="Times New Roman"/>
          <w:szCs w:val="24"/>
        </w:rPr>
        <w:t>followed</w:t>
      </w:r>
      <w:r w:rsidR="00AB3E80" w:rsidRPr="00D321F9">
        <w:rPr>
          <w:rFonts w:ascii="Times New Roman" w:hAnsi="Times New Roman"/>
          <w:szCs w:val="24"/>
        </w:rPr>
        <w:t xml:space="preserve"> standard production NTPS procedures</w:t>
      </w:r>
      <w:r w:rsidR="000B5044">
        <w:rPr>
          <w:rFonts w:ascii="Times New Roman" w:hAnsi="Times New Roman"/>
          <w:szCs w:val="24"/>
        </w:rPr>
        <w:t>,</w:t>
      </w:r>
      <w:r w:rsidR="00E8789C" w:rsidRPr="00D321F9">
        <w:rPr>
          <w:rFonts w:ascii="Times New Roman" w:hAnsi="Times New Roman"/>
          <w:szCs w:val="24"/>
        </w:rPr>
        <w:t xml:space="preserve"> including the establishment of </w:t>
      </w:r>
      <w:r w:rsidR="00AB3E80" w:rsidRPr="00D321F9">
        <w:rPr>
          <w:rFonts w:ascii="Times New Roman" w:hAnsi="Times New Roman"/>
          <w:szCs w:val="24"/>
        </w:rPr>
        <w:t xml:space="preserve">a </w:t>
      </w:r>
      <w:r w:rsidR="00E8789C" w:rsidRPr="00D321F9">
        <w:rPr>
          <w:rFonts w:ascii="Times New Roman" w:hAnsi="Times New Roman"/>
          <w:szCs w:val="24"/>
        </w:rPr>
        <w:t xml:space="preserve">survey </w:t>
      </w:r>
      <w:r w:rsidR="00AB3E80" w:rsidRPr="00D321F9">
        <w:rPr>
          <w:rFonts w:ascii="Times New Roman" w:hAnsi="Times New Roman"/>
          <w:szCs w:val="24"/>
        </w:rPr>
        <w:t>coordinator.</w:t>
      </w:r>
    </w:p>
    <w:p w:rsidR="00AB3E80" w:rsidRPr="00D321F9" w:rsidRDefault="00AD6A61"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Listing Form (TLF) Email Experiment</w:t>
      </w:r>
      <w:r w:rsidR="00AB3E80" w:rsidRPr="00D321F9">
        <w:rPr>
          <w:rFonts w:ascii="Times New Roman" w:hAnsi="Times New Roman"/>
          <w:szCs w:val="24"/>
        </w:rPr>
        <w:t xml:space="preserve">. This experiment was designed to assess the feasibility of collecting teacher email addresses on the </w:t>
      </w:r>
      <w:r w:rsidR="00195A73">
        <w:rPr>
          <w:rFonts w:ascii="Times New Roman" w:hAnsi="Times New Roman"/>
          <w:szCs w:val="24"/>
        </w:rPr>
        <w:t>TLF</w:t>
      </w:r>
      <w:r w:rsidR="00E8789C" w:rsidRPr="00D321F9">
        <w:rPr>
          <w:rFonts w:ascii="Times New Roman" w:hAnsi="Times New Roman"/>
          <w:szCs w:val="24"/>
        </w:rPr>
        <w:t xml:space="preserve"> and the quality of those collected</w:t>
      </w:r>
      <w:r w:rsidR="00AB3E80" w:rsidRPr="00D321F9">
        <w:rPr>
          <w:rFonts w:ascii="Times New Roman" w:hAnsi="Times New Roman"/>
          <w:szCs w:val="24"/>
        </w:rPr>
        <w:t>. The pilot test design included</w:t>
      </w:r>
      <w:r w:rsidR="00E8789C" w:rsidRPr="00D321F9">
        <w:rPr>
          <w:rFonts w:ascii="Times New Roman" w:hAnsi="Times New Roman"/>
          <w:szCs w:val="24"/>
        </w:rPr>
        <w:t xml:space="preserve"> </w:t>
      </w:r>
      <w:r w:rsidR="00331D8A" w:rsidRPr="00D321F9">
        <w:rPr>
          <w:rFonts w:ascii="Times New Roman" w:hAnsi="Times New Roman"/>
          <w:szCs w:val="24"/>
        </w:rPr>
        <w:t xml:space="preserve">a </w:t>
      </w:r>
      <w:r w:rsidR="00AB3E80" w:rsidRPr="00D321F9">
        <w:rPr>
          <w:rFonts w:ascii="Times New Roman" w:hAnsi="Times New Roman"/>
          <w:szCs w:val="24"/>
        </w:rPr>
        <w:t>split-panel experiment</w:t>
      </w:r>
      <w:r w:rsidR="00E8789C" w:rsidRPr="00D321F9">
        <w:rPr>
          <w:rFonts w:ascii="Times New Roman" w:hAnsi="Times New Roman"/>
          <w:szCs w:val="24"/>
        </w:rPr>
        <w:t>,</w:t>
      </w:r>
      <w:r w:rsidR="00AB3E80" w:rsidRPr="00D321F9">
        <w:rPr>
          <w:rFonts w:ascii="Times New Roman" w:hAnsi="Times New Roman"/>
          <w:szCs w:val="24"/>
        </w:rPr>
        <w:t xml:space="preserve"> with</w:t>
      </w:r>
      <w:r w:rsidR="00331D8A" w:rsidRPr="00D321F9">
        <w:rPr>
          <w:rFonts w:ascii="Times New Roman" w:hAnsi="Times New Roman"/>
          <w:szCs w:val="24"/>
        </w:rPr>
        <w:t xml:space="preserve"> half of sampled</w:t>
      </w:r>
      <w:r w:rsidR="00AB3E80" w:rsidRPr="00D321F9">
        <w:rPr>
          <w:rFonts w:ascii="Times New Roman" w:hAnsi="Times New Roman"/>
          <w:szCs w:val="24"/>
        </w:rPr>
        <w:t xml:space="preserve"> schools randomly assigned to receive a TLF that included a request for teachers’ email addresses </w:t>
      </w:r>
      <w:r w:rsidR="00331D8A" w:rsidRPr="00D321F9">
        <w:rPr>
          <w:rFonts w:ascii="Times New Roman" w:hAnsi="Times New Roman"/>
          <w:szCs w:val="24"/>
        </w:rPr>
        <w:t>and the other half to receive a TLF that did not request email addresses.</w:t>
      </w:r>
      <w:r w:rsidR="007D6305" w:rsidRPr="00D321F9">
        <w:rPr>
          <w:rFonts w:ascii="Times New Roman" w:hAnsi="Times New Roman"/>
          <w:szCs w:val="24"/>
        </w:rPr>
        <w:t xml:space="preserve"> </w:t>
      </w:r>
      <w:r w:rsidR="00AB3E80" w:rsidRPr="00D321F9">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and plans to continue to do so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AB3E80" w:rsidRPr="00D321F9">
        <w:rPr>
          <w:rFonts w:ascii="Times New Roman" w:hAnsi="Times New Roman"/>
          <w:szCs w:val="24"/>
        </w:rPr>
        <w:t>.</w:t>
      </w:r>
    </w:p>
    <w:p w:rsidR="007215B4"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Invitation Mode Experiment</w:t>
      </w:r>
      <w:r w:rsidRPr="00D321F9">
        <w:rPr>
          <w:rFonts w:ascii="Times New Roman" w:hAnsi="Times New Roman"/>
          <w:szCs w:val="24"/>
        </w:rPr>
        <w:t>. The purpose of this experiment was to identify which of three methods of inviting teachers to complete the Teacher Questionnaire yielded the best response rates.</w:t>
      </w:r>
      <w:r w:rsidR="0014296C" w:rsidRPr="00D321F9">
        <w:rPr>
          <w:rFonts w:ascii="Times New Roman" w:hAnsi="Times New Roman"/>
          <w:szCs w:val="24"/>
        </w:rPr>
        <w:t xml:space="preserve"> </w:t>
      </w:r>
      <w:r w:rsidRPr="00D321F9">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D321F9">
        <w:rPr>
          <w:rFonts w:ascii="Times New Roman" w:hAnsi="Times New Roman"/>
          <w:szCs w:val="24"/>
        </w:rPr>
        <w:t xml:space="preserve">For 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7637C" w:rsidRPr="00D321F9">
        <w:rPr>
          <w:rFonts w:ascii="Times New Roman" w:hAnsi="Times New Roman"/>
          <w:szCs w:val="24"/>
        </w:rPr>
        <w:t xml:space="preserve"> NTPS, NCES plans to push for web response by both mailed and emailed correspondence, switching to a paper questionnaire at the third mailing.</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Questionnaire Instruction Experiment</w:t>
      </w:r>
      <w:r w:rsidRPr="00D321F9">
        <w:rPr>
          <w:rFonts w:ascii="Times New Roman" w:hAnsi="Times New Roman"/>
          <w:szCs w:val="24"/>
        </w:rPr>
        <w:t>. Th</w:t>
      </w:r>
      <w:r w:rsidR="00E91A7C" w:rsidRPr="00D321F9">
        <w:rPr>
          <w:rFonts w:ascii="Times New Roman" w:hAnsi="Times New Roman"/>
          <w:szCs w:val="24"/>
        </w:rPr>
        <w:t xml:space="preserve">is experiment was designed to determine (1) whether including instructions in the NTPS questionnaire </w:t>
      </w:r>
      <w:r w:rsidR="00B7637C" w:rsidRPr="00D321F9">
        <w:rPr>
          <w:rFonts w:ascii="Times New Roman" w:hAnsi="Times New Roman"/>
          <w:szCs w:val="24"/>
        </w:rPr>
        <w:t>impacts response rates for questionnaire items and data quality</w:t>
      </w:r>
      <w:r w:rsidR="000742A6" w:rsidRPr="00D321F9">
        <w:rPr>
          <w:rFonts w:ascii="Times New Roman" w:hAnsi="Times New Roman"/>
          <w:szCs w:val="24"/>
        </w:rPr>
        <w:t>,</w:t>
      </w:r>
      <w:r w:rsidR="00E91A7C" w:rsidRPr="00D321F9">
        <w:rPr>
          <w:rFonts w:ascii="Times New Roman" w:hAnsi="Times New Roman"/>
          <w:szCs w:val="24"/>
        </w:rPr>
        <w:t xml:space="preserve"> and (2) whether the position, format, and presence or absence of a preface in the instruction </w:t>
      </w:r>
      <w:r w:rsidR="00B7637C" w:rsidRPr="00D321F9">
        <w:rPr>
          <w:rFonts w:ascii="Times New Roman" w:hAnsi="Times New Roman"/>
          <w:szCs w:val="24"/>
        </w:rPr>
        <w:t>impacts response rates for questionnaire items.</w:t>
      </w:r>
      <w:r w:rsidR="00E91A7C" w:rsidRPr="00D321F9">
        <w:rPr>
          <w:rFonts w:ascii="Times New Roman" w:hAnsi="Times New Roman"/>
          <w:szCs w:val="24"/>
        </w:rPr>
        <w:t xml:space="preserve"> NCES is currently analyzing the results from this experiment and plans to incorporate these findings in </w:t>
      </w:r>
      <w:r w:rsidR="005C0CE8" w:rsidRPr="00D321F9">
        <w:rPr>
          <w:rFonts w:ascii="Times New Roman" w:hAnsi="Times New Roman"/>
          <w:szCs w:val="24"/>
        </w:rPr>
        <w:t xml:space="preserve">a </w:t>
      </w:r>
      <w:r w:rsidR="00E91A7C" w:rsidRPr="00D321F9">
        <w:rPr>
          <w:rFonts w:ascii="Times New Roman" w:hAnsi="Times New Roman"/>
          <w:szCs w:val="24"/>
        </w:rPr>
        <w:t xml:space="preserve">future </w:t>
      </w:r>
      <w:r w:rsidR="005C0CE8" w:rsidRPr="00D321F9">
        <w:rPr>
          <w:rFonts w:ascii="Times New Roman" w:hAnsi="Times New Roman"/>
          <w:szCs w:val="24"/>
        </w:rPr>
        <w:t xml:space="preserve">NTPS </w:t>
      </w:r>
      <w:r w:rsidR="00E91A7C" w:rsidRPr="00D321F9">
        <w:rPr>
          <w:rFonts w:ascii="Times New Roman" w:hAnsi="Times New Roman"/>
          <w:szCs w:val="24"/>
        </w:rPr>
        <w:t>administration.</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 xml:space="preserve">Vendor Analysis. </w:t>
      </w:r>
      <w:r w:rsidRPr="00D321F9">
        <w:rPr>
          <w:rFonts w:ascii="Times New Roman" w:hAnsi="Times New Roman"/>
          <w:szCs w:val="24"/>
        </w:rPr>
        <w:t xml:space="preserve">The purpose of this </w:t>
      </w:r>
      <w:r w:rsidR="00B7637C" w:rsidRPr="00D321F9">
        <w:rPr>
          <w:rFonts w:ascii="Times New Roman" w:hAnsi="Times New Roman"/>
          <w:szCs w:val="24"/>
        </w:rPr>
        <w:t xml:space="preserve">experiment </w:t>
      </w:r>
      <w:r w:rsidRPr="00D321F9">
        <w:rPr>
          <w:rFonts w:ascii="Times New Roman" w:hAnsi="Times New Roman"/>
          <w:szCs w:val="24"/>
        </w:rPr>
        <w:t xml:space="preserve">was to evaluate both the feasibility of collecting teacher lists from a vendor and the reliability of </w:t>
      </w:r>
      <w:r w:rsidR="00B7637C" w:rsidRPr="00D321F9">
        <w:rPr>
          <w:rFonts w:ascii="Times New Roman" w:hAnsi="Times New Roman"/>
          <w:szCs w:val="24"/>
        </w:rPr>
        <w:t xml:space="preserve">the purchased </w:t>
      </w:r>
      <w:r w:rsidRPr="00D321F9">
        <w:rPr>
          <w:rFonts w:ascii="Times New Roman" w:hAnsi="Times New Roman"/>
          <w:szCs w:val="24"/>
        </w:rPr>
        <w:t xml:space="preserve">information to see whether </w:t>
      </w:r>
      <w:r w:rsidR="00B7637C" w:rsidRPr="00D321F9">
        <w:rPr>
          <w:rFonts w:ascii="Times New Roman" w:hAnsi="Times New Roman"/>
          <w:szCs w:val="24"/>
        </w:rPr>
        <w:t xml:space="preserve">it </w:t>
      </w:r>
      <w:r w:rsidRPr="00D321F9">
        <w:rPr>
          <w:rFonts w:ascii="Times New Roman" w:hAnsi="Times New Roman"/>
          <w:szCs w:val="24"/>
        </w:rPr>
        <w:t>could be used to supplement or replace school-collected TLFs. NCES purchased teacher lists from a vendor for schools sampled for the 2014</w:t>
      </w:r>
      <w:r w:rsidR="007F5C54">
        <w:rPr>
          <w:rFonts w:ascii="Times New Roman" w:hAnsi="Times New Roman"/>
          <w:szCs w:val="24"/>
        </w:rPr>
        <w:t>-1</w:t>
      </w:r>
      <w:r w:rsidRPr="00D321F9">
        <w:rPr>
          <w:rFonts w:ascii="Times New Roman" w:hAnsi="Times New Roman"/>
          <w:szCs w:val="24"/>
        </w:rPr>
        <w:t xml:space="preserve">5 NTPS </w:t>
      </w:r>
      <w:r w:rsidR="00C979DE" w:rsidRPr="00D321F9">
        <w:rPr>
          <w:rFonts w:ascii="Times New Roman" w:hAnsi="Times New Roman"/>
          <w:szCs w:val="24"/>
        </w:rPr>
        <w:t>pilot test</w:t>
      </w:r>
      <w:r w:rsidRPr="00D321F9">
        <w:rPr>
          <w:rFonts w:ascii="Times New Roman" w:hAnsi="Times New Roman"/>
          <w:szCs w:val="24"/>
        </w:rPr>
        <w:t>. The vendor teacher lists were compared with information collected from the TLFs. The results suggested that t</w:t>
      </w:r>
      <w:r w:rsidR="008D7CA6" w:rsidRPr="00D321F9">
        <w:rPr>
          <w:rFonts w:ascii="Times New Roman" w:hAnsi="Times New Roman"/>
          <w:szCs w:val="24"/>
        </w:rPr>
        <w:t>he vendor list information was</w:t>
      </w:r>
      <w:r w:rsidRPr="00D321F9">
        <w:rPr>
          <w:rFonts w:ascii="Times New Roman" w:hAnsi="Times New Roman"/>
          <w:szCs w:val="24"/>
        </w:rPr>
        <w:t xml:space="preserve"> comprehensive and reliable at</w:t>
      </w:r>
      <w:r w:rsidR="008D7CA6" w:rsidRPr="00D321F9">
        <w:rPr>
          <w:rFonts w:ascii="Times New Roman" w:hAnsi="Times New Roman"/>
          <w:szCs w:val="24"/>
        </w:rPr>
        <w:t xml:space="preserve"> a</w:t>
      </w:r>
      <w:r w:rsidRPr="00D321F9">
        <w:rPr>
          <w:rFonts w:ascii="Times New Roman" w:hAnsi="Times New Roman"/>
          <w:szCs w:val="24"/>
        </w:rPr>
        <w:t xml:space="preserve"> relatively low cost. NCES used vendor lists to sample teachers from a subset of schools that did not respond to the TLF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E8789C" w:rsidRPr="00D321F9">
        <w:rPr>
          <w:rFonts w:ascii="Times New Roman" w:hAnsi="Times New Roman"/>
          <w:szCs w:val="24"/>
        </w:rPr>
        <w:t xml:space="preserve"> and plans to use vendor lists for the 2017</w:t>
      </w:r>
      <w:r w:rsidR="007F5C54">
        <w:rPr>
          <w:rFonts w:ascii="Times New Roman" w:hAnsi="Times New Roman"/>
          <w:szCs w:val="24"/>
        </w:rPr>
        <w:t>-1</w:t>
      </w:r>
      <w:r w:rsidR="00E8789C" w:rsidRPr="00D321F9">
        <w:rPr>
          <w:rFonts w:ascii="Times New Roman" w:hAnsi="Times New Roman"/>
          <w:szCs w:val="24"/>
        </w:rPr>
        <w:t>8 NTPS.</w:t>
      </w:r>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 xml:space="preserve">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7D6305" w:rsidRPr="00D321F9">
        <w:rPr>
          <w:rFonts w:ascii="Times New Roman" w:hAnsi="Times New Roman"/>
          <w:szCs w:val="24"/>
        </w:rPr>
        <w:t xml:space="preserve"> Full-Scale Collection</w:t>
      </w:r>
    </w:p>
    <w:p w:rsidR="007215B4" w:rsidRDefault="00C353D3" w:rsidP="00577DD4">
      <w:pPr>
        <w:pStyle w:val="L1-FlLSp12"/>
        <w:numPr>
          <w:ilvl w:val="0"/>
          <w:numId w:val="25"/>
        </w:numPr>
        <w:spacing w:after="120" w:line="240" w:lineRule="auto"/>
        <w:ind w:left="450"/>
        <w:rPr>
          <w:rFonts w:ascii="Times New Roman" w:hAnsi="Times New Roman"/>
          <w:szCs w:val="24"/>
        </w:rPr>
      </w:pPr>
      <w:r w:rsidRPr="00D321F9">
        <w:rPr>
          <w:rFonts w:ascii="Times New Roman" w:hAnsi="Times New Roman"/>
          <w:b/>
          <w:i/>
          <w:szCs w:val="24"/>
        </w:rPr>
        <w:t>Schools and Principals Internet Test.</w:t>
      </w:r>
      <w:r w:rsidR="000F40BD" w:rsidRPr="00D321F9">
        <w:rPr>
          <w:rFonts w:ascii="Times New Roman" w:hAnsi="Times New Roman"/>
          <w:szCs w:val="24"/>
        </w:rPr>
        <w:t xml:space="preserve">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w:t>
      </w:r>
      <w:r w:rsidR="00C9498C" w:rsidRPr="00D321F9">
        <w:rPr>
          <w:rFonts w:ascii="Times New Roman" w:hAnsi="Times New Roman"/>
          <w:szCs w:val="24"/>
        </w:rPr>
        <w:t>included a</w:t>
      </w:r>
      <w:r w:rsidR="00F73021" w:rsidRPr="00D321F9">
        <w:rPr>
          <w:rFonts w:ascii="Times New Roman" w:hAnsi="Times New Roman"/>
          <w:szCs w:val="24"/>
        </w:rPr>
        <w:t>n Internet experiment for schools and principals</w:t>
      </w:r>
      <w:r w:rsidR="00342FA2">
        <w:rPr>
          <w:rFonts w:ascii="Times New Roman" w:hAnsi="Times New Roman"/>
          <w:szCs w:val="24"/>
        </w:rPr>
        <w:t>, which</w:t>
      </w:r>
      <w:r w:rsidR="00F73021" w:rsidRPr="00D321F9">
        <w:rPr>
          <w:rFonts w:ascii="Times New Roman" w:hAnsi="Times New Roman"/>
          <w:szCs w:val="24"/>
        </w:rPr>
        <w:t xml:space="preserve"> was </w:t>
      </w:r>
      <w:r w:rsidR="00C9498C" w:rsidRPr="00D321F9">
        <w:rPr>
          <w:rFonts w:ascii="Times New Roman" w:hAnsi="Times New Roman"/>
          <w:szCs w:val="24"/>
        </w:rPr>
        <w:t xml:space="preserve">designed to </w:t>
      </w:r>
      <w:r w:rsidR="00205874" w:rsidRPr="00D321F9">
        <w:rPr>
          <w:rFonts w:ascii="Times New Roman" w:hAnsi="Times New Roman"/>
          <w:szCs w:val="24"/>
        </w:rPr>
        <w:t>test</w:t>
      </w:r>
      <w:r w:rsidR="00024B22" w:rsidRPr="00D321F9">
        <w:rPr>
          <w:rFonts w:ascii="Times New Roman" w:hAnsi="Times New Roman"/>
          <w:szCs w:val="24"/>
        </w:rPr>
        <w:t xml:space="preserve"> the efficacy of</w:t>
      </w:r>
      <w:r w:rsidR="00205874" w:rsidRPr="00D321F9">
        <w:rPr>
          <w:rFonts w:ascii="Times New Roman" w:hAnsi="Times New Roman"/>
          <w:szCs w:val="24"/>
        </w:rPr>
        <w:t xml:space="preserve"> offering </w:t>
      </w:r>
      <w:r w:rsidR="00024B22" w:rsidRPr="00D321F9">
        <w:rPr>
          <w:rFonts w:ascii="Times New Roman" w:hAnsi="Times New Roman"/>
          <w:szCs w:val="24"/>
        </w:rPr>
        <w:t>an internet response option as the initial mode of data collection</w:t>
      </w:r>
      <w:r w:rsidR="000F40BD" w:rsidRPr="00D321F9">
        <w:rPr>
          <w:rFonts w:ascii="Times New Roman" w:hAnsi="Times New Roman"/>
          <w:szCs w:val="24"/>
        </w:rPr>
        <w:t>,</w:t>
      </w:r>
      <w:r w:rsidR="00F73021" w:rsidRPr="00D321F9">
        <w:rPr>
          <w:rFonts w:ascii="Times New Roman" w:hAnsi="Times New Roman"/>
          <w:szCs w:val="24"/>
        </w:rPr>
        <w:t xml:space="preserve"> as </w:t>
      </w:r>
      <w:r w:rsidR="00E8789C" w:rsidRPr="00D321F9">
        <w:rPr>
          <w:rFonts w:ascii="Times New Roman" w:hAnsi="Times New Roman"/>
          <w:szCs w:val="24"/>
        </w:rPr>
        <w:t xml:space="preserve">done previously in </w:t>
      </w:r>
      <w:r w:rsidR="00F73021" w:rsidRPr="00D321F9">
        <w:rPr>
          <w:rFonts w:ascii="Times New Roman" w:hAnsi="Times New Roman"/>
          <w:szCs w:val="24"/>
        </w:rPr>
        <w:t xml:space="preserve">the Questionnaire Mode </w:t>
      </w:r>
      <w:r w:rsidR="00024B22" w:rsidRPr="00D321F9">
        <w:rPr>
          <w:rFonts w:ascii="Times New Roman" w:hAnsi="Times New Roman"/>
          <w:szCs w:val="24"/>
        </w:rPr>
        <w:t xml:space="preserve">Experiment </w:t>
      </w:r>
      <w:r w:rsidR="00F73021" w:rsidRPr="00D321F9">
        <w:rPr>
          <w:rFonts w:ascii="Times New Roman" w:hAnsi="Times New Roman"/>
          <w:szCs w:val="24"/>
        </w:rPr>
        <w:t>included</w:t>
      </w:r>
      <w:r w:rsidR="000F40BD" w:rsidRPr="00D321F9">
        <w:rPr>
          <w:rFonts w:ascii="Times New Roman" w:hAnsi="Times New Roman"/>
          <w:szCs w:val="24"/>
        </w:rPr>
        <w:t xml:space="preserve"> in </w:t>
      </w:r>
      <w:r w:rsidR="00F73021" w:rsidRPr="00D321F9">
        <w:rPr>
          <w:rFonts w:ascii="Times New Roman" w:hAnsi="Times New Roman"/>
          <w:szCs w:val="24"/>
        </w:rPr>
        <w:t>the</w:t>
      </w:r>
      <w:r w:rsidR="000F40BD" w:rsidRPr="00D321F9">
        <w:rPr>
          <w:rFonts w:ascii="Times New Roman" w:hAnsi="Times New Roman"/>
          <w:szCs w:val="24"/>
        </w:rPr>
        <w:t xml:space="preserve"> </w:t>
      </w:r>
      <w:r w:rsidR="00024B22" w:rsidRPr="00D321F9">
        <w:rPr>
          <w:rFonts w:ascii="Times New Roman" w:hAnsi="Times New Roman"/>
          <w:szCs w:val="24"/>
        </w:rPr>
        <w:t>2014</w:t>
      </w:r>
      <w:r w:rsidR="007F5C54">
        <w:rPr>
          <w:rFonts w:ascii="Times New Roman" w:hAnsi="Times New Roman"/>
          <w:szCs w:val="24"/>
        </w:rPr>
        <w:t>-1</w:t>
      </w:r>
      <w:r w:rsidR="00024B22" w:rsidRPr="00D321F9">
        <w:rPr>
          <w:rFonts w:ascii="Times New Roman" w:hAnsi="Times New Roman"/>
          <w:szCs w:val="24"/>
        </w:rPr>
        <w:t xml:space="preserve">5 NTPS Pilot Study, described </w:t>
      </w:r>
      <w:r w:rsidR="00F73021" w:rsidRPr="00D321F9">
        <w:rPr>
          <w:rFonts w:ascii="Times New Roman" w:hAnsi="Times New Roman"/>
          <w:szCs w:val="24"/>
        </w:rPr>
        <w:t>earlier.</w:t>
      </w:r>
    </w:p>
    <w:p w:rsidR="00603F8D" w:rsidRPr="00D321F9" w:rsidRDefault="00F73021"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Key differences </w:t>
      </w:r>
      <w:r w:rsidR="000F40BD" w:rsidRPr="00D321F9">
        <w:rPr>
          <w:rFonts w:ascii="Times New Roman" w:hAnsi="Times New Roman"/>
          <w:szCs w:val="24"/>
        </w:rPr>
        <w:t>exist between the 2014</w:t>
      </w:r>
      <w:r w:rsidR="007F5C54">
        <w:rPr>
          <w:rFonts w:ascii="Times New Roman" w:hAnsi="Times New Roman"/>
          <w:szCs w:val="24"/>
        </w:rPr>
        <w:t>-1</w:t>
      </w:r>
      <w:r w:rsidR="00E8789C" w:rsidRPr="00D321F9">
        <w:rPr>
          <w:rFonts w:ascii="Times New Roman" w:hAnsi="Times New Roman"/>
          <w:szCs w:val="24"/>
        </w:rPr>
        <w:t>5</w:t>
      </w:r>
      <w:r w:rsidR="000F40BD" w:rsidRPr="00D321F9">
        <w:rPr>
          <w:rFonts w:ascii="Times New Roman" w:hAnsi="Times New Roman"/>
          <w:szCs w:val="24"/>
        </w:rPr>
        <w:t xml:space="preserve"> and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internet experiments, with the most notable being that the</w:t>
      </w:r>
      <w:r w:rsidR="006D0F66" w:rsidRPr="00D321F9">
        <w:rPr>
          <w:rFonts w:ascii="Times New Roman" w:hAnsi="Times New Roman"/>
          <w:szCs w:val="24"/>
        </w:rPr>
        <w:t xml:space="preserv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6D0F66" w:rsidRPr="00D321F9">
        <w:rPr>
          <w:rFonts w:ascii="Times New Roman" w:hAnsi="Times New Roman"/>
          <w:szCs w:val="24"/>
        </w:rPr>
        <w:t xml:space="preserve"> </w:t>
      </w:r>
      <w:r w:rsidR="00156609" w:rsidRPr="00D321F9">
        <w:rPr>
          <w:rFonts w:ascii="Times New Roman" w:hAnsi="Times New Roman"/>
          <w:szCs w:val="24"/>
        </w:rPr>
        <w:t>experiment</w:t>
      </w:r>
      <w:r w:rsidR="000F40BD" w:rsidRPr="00D321F9">
        <w:rPr>
          <w:rFonts w:ascii="Times New Roman" w:hAnsi="Times New Roman"/>
          <w:szCs w:val="24"/>
        </w:rPr>
        <w:t xml:space="preserve"> </w:t>
      </w:r>
      <w:r w:rsidR="006D0F66" w:rsidRPr="00D321F9">
        <w:rPr>
          <w:rFonts w:ascii="Times New Roman" w:hAnsi="Times New Roman"/>
          <w:szCs w:val="24"/>
        </w:rPr>
        <w:t>included</w:t>
      </w:r>
      <w:r w:rsidR="000F40BD" w:rsidRPr="00D321F9">
        <w:rPr>
          <w:rFonts w:ascii="Times New Roman" w:hAnsi="Times New Roman"/>
          <w:szCs w:val="24"/>
        </w:rPr>
        <w:t xml:space="preserve"> the</w:t>
      </w:r>
      <w:r w:rsidR="006D0F66" w:rsidRPr="00D321F9">
        <w:rPr>
          <w:rFonts w:ascii="Times New Roman" w:hAnsi="Times New Roman"/>
          <w:szCs w:val="24"/>
        </w:rPr>
        <w:t xml:space="preserve"> use of</w:t>
      </w:r>
      <w:r w:rsidR="000F40BD" w:rsidRPr="00D321F9">
        <w:rPr>
          <w:rFonts w:ascii="Times New Roman" w:hAnsi="Times New Roman"/>
          <w:szCs w:val="24"/>
        </w:rPr>
        <w:t xml:space="preserve"> a survey </w:t>
      </w:r>
      <w:r w:rsidR="006D0F66" w:rsidRPr="00D321F9">
        <w:rPr>
          <w:rFonts w:ascii="Times New Roman" w:hAnsi="Times New Roman"/>
          <w:szCs w:val="24"/>
        </w:rPr>
        <w:t>coordinator</w:t>
      </w:r>
      <w:r w:rsidR="000F40BD" w:rsidRPr="00D321F9">
        <w:rPr>
          <w:rFonts w:ascii="Times New Roman" w:hAnsi="Times New Roman"/>
          <w:szCs w:val="24"/>
        </w:rPr>
        <w:t xml:space="preserve"> at the school</w:t>
      </w:r>
      <w:r w:rsidR="00E8789C" w:rsidRPr="00D321F9">
        <w:rPr>
          <w:rFonts w:ascii="Times New Roman" w:hAnsi="Times New Roman"/>
          <w:szCs w:val="24"/>
        </w:rPr>
        <w:t>,</w:t>
      </w:r>
      <w:r w:rsidR="006D0F66" w:rsidRPr="00D321F9">
        <w:rPr>
          <w:rFonts w:ascii="Times New Roman" w:hAnsi="Times New Roman"/>
          <w:szCs w:val="24"/>
        </w:rPr>
        <w:t xml:space="preserve"> and </w:t>
      </w:r>
      <w:r w:rsidR="000F40BD" w:rsidRPr="00D321F9">
        <w:rPr>
          <w:rFonts w:ascii="Times New Roman" w:hAnsi="Times New Roman"/>
          <w:szCs w:val="24"/>
        </w:rPr>
        <w:t xml:space="preserve">improved respondent contact materials and mailout packaging. In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an independent </w:t>
      </w:r>
      <w:r w:rsidR="006D0F66" w:rsidRPr="00D321F9">
        <w:rPr>
          <w:rFonts w:ascii="Times New Roman" w:hAnsi="Times New Roman"/>
          <w:szCs w:val="24"/>
        </w:rPr>
        <w:t xml:space="preserve">sample of 1,000 public schools was selected for this experiment, which invited schools and principals to complete the NTPS </w:t>
      </w:r>
      <w:r w:rsidR="00603F8D" w:rsidRPr="00D321F9">
        <w:rPr>
          <w:rFonts w:ascii="Times New Roman" w:hAnsi="Times New Roman"/>
          <w:szCs w:val="24"/>
        </w:rPr>
        <w:t xml:space="preserve">school-level </w:t>
      </w:r>
      <w:r w:rsidR="006D0F66" w:rsidRPr="00D321F9">
        <w:rPr>
          <w:rFonts w:ascii="Times New Roman" w:hAnsi="Times New Roman"/>
          <w:szCs w:val="24"/>
        </w:rPr>
        <w:t xml:space="preserve">questionnaires </w:t>
      </w:r>
      <w:r w:rsidR="0092290B" w:rsidRPr="00D321F9">
        <w:rPr>
          <w:rFonts w:ascii="Times New Roman" w:hAnsi="Times New Roman"/>
          <w:szCs w:val="24"/>
        </w:rPr>
        <w:t xml:space="preserve">using </w:t>
      </w:r>
      <w:r w:rsidR="006D0F66" w:rsidRPr="00D321F9">
        <w:rPr>
          <w:rFonts w:ascii="Times New Roman" w:hAnsi="Times New Roman"/>
          <w:szCs w:val="24"/>
        </w:rPr>
        <w:t>the internet</w:t>
      </w:r>
      <w:r w:rsidR="0092290B" w:rsidRPr="00D321F9">
        <w:rPr>
          <w:rFonts w:ascii="Times New Roman" w:hAnsi="Times New Roman"/>
          <w:szCs w:val="24"/>
        </w:rPr>
        <w:t xml:space="preserve"> at the first and second contacts</w:t>
      </w:r>
      <w:r w:rsidR="00156609" w:rsidRPr="00D321F9">
        <w:rPr>
          <w:rFonts w:ascii="Times New Roman" w:hAnsi="Times New Roman"/>
          <w:szCs w:val="24"/>
        </w:rPr>
        <w:t xml:space="preserve"> by mail. </w:t>
      </w:r>
      <w:r w:rsidR="00603F8D" w:rsidRPr="00D321F9">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7215B4" w:rsidRDefault="00156609" w:rsidP="00577DD4">
      <w:pPr>
        <w:pStyle w:val="L1-FlLSp12"/>
        <w:spacing w:after="120" w:line="240" w:lineRule="auto"/>
        <w:ind w:left="450"/>
        <w:rPr>
          <w:rFonts w:ascii="Times New Roman" w:hAnsi="Times New Roman"/>
          <w:szCs w:val="24"/>
        </w:rPr>
      </w:pPr>
      <w:r w:rsidRPr="00D321F9">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D321F9">
        <w:rPr>
          <w:rFonts w:ascii="Times New Roman" w:hAnsi="Times New Roman"/>
          <w:szCs w:val="24"/>
        </w:rPr>
        <w:t xml:space="preserve"> or</w:t>
      </w:r>
      <w:r w:rsidRPr="00D321F9">
        <w:rPr>
          <w:rFonts w:ascii="Times New Roman" w:hAnsi="Times New Roman"/>
          <w:szCs w:val="24"/>
        </w:rPr>
        <w:t xml:space="preserve"> field follow-up operations.</w:t>
      </w:r>
      <w:r w:rsidR="00E8789C" w:rsidRPr="00D321F9">
        <w:rPr>
          <w:rFonts w:ascii="Times New Roman" w:hAnsi="Times New Roman"/>
          <w:szCs w:val="24"/>
        </w:rPr>
        <w:t xml:space="preserve"> </w:t>
      </w:r>
      <w:r w:rsidR="00603F8D" w:rsidRPr="00D321F9">
        <w:rPr>
          <w:rFonts w:ascii="Times New Roman" w:hAnsi="Times New Roman"/>
          <w:szCs w:val="24"/>
        </w:rPr>
        <w:t xml:space="preserve">When comparing the response rates for all three survey instruments </w:t>
      </w:r>
      <w:r w:rsidR="00B10844" w:rsidRPr="00D321F9">
        <w:rPr>
          <w:rFonts w:ascii="Times New Roman" w:hAnsi="Times New Roman"/>
          <w:szCs w:val="24"/>
        </w:rPr>
        <w:t xml:space="preserve">at the end of the reminder telephone operation </w:t>
      </w:r>
      <w:r w:rsidR="00603F8D" w:rsidRPr="00D321F9">
        <w:rPr>
          <w:rFonts w:ascii="Times New Roman" w:hAnsi="Times New Roman"/>
          <w:szCs w:val="24"/>
        </w:rPr>
        <w:t xml:space="preserve">– the most reasonable time to make the comparison – </w:t>
      </w:r>
      <w:r w:rsidR="00B10844" w:rsidRPr="00D321F9">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D321F9">
        <w:rPr>
          <w:rFonts w:ascii="Times New Roman" w:hAnsi="Times New Roman"/>
          <w:szCs w:val="24"/>
        </w:rPr>
        <w:t xml:space="preserve">the </w:t>
      </w:r>
      <w:r w:rsidR="00B10844" w:rsidRPr="00D321F9">
        <w:rPr>
          <w:rFonts w:ascii="Times New Roman" w:hAnsi="Times New Roman"/>
          <w:szCs w:val="24"/>
        </w:rPr>
        <w:t xml:space="preserve">initial </w:t>
      </w:r>
      <w:r w:rsidR="00E8789C" w:rsidRPr="00D321F9">
        <w:rPr>
          <w:rFonts w:ascii="Times New Roman" w:hAnsi="Times New Roman"/>
          <w:szCs w:val="24"/>
        </w:rPr>
        <w:t xml:space="preserve">mailout will invite respondents to complete online questionnaires </w:t>
      </w:r>
      <w:r w:rsidR="00B10844" w:rsidRPr="00D321F9">
        <w:rPr>
          <w:rFonts w:ascii="Times New Roman" w:hAnsi="Times New Roman"/>
          <w:szCs w:val="24"/>
        </w:rPr>
        <w:t xml:space="preserve">during </w:t>
      </w:r>
      <w:r w:rsidR="00E8789C" w:rsidRPr="00D321F9">
        <w:rPr>
          <w:rFonts w:ascii="Times New Roman" w:hAnsi="Times New Roman"/>
          <w:szCs w:val="24"/>
        </w:rPr>
        <w:t xml:space="preserve">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10844" w:rsidRPr="00D321F9">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email addresses (collected at the time the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D321F9">
        <w:rPr>
          <w:rFonts w:ascii="Times New Roman" w:hAnsi="Times New Roman"/>
          <w:szCs w:val="24"/>
        </w:rPr>
        <w:t xml:space="preserve">survey </w:t>
      </w:r>
      <w:r w:rsidR="00B10844" w:rsidRPr="00D321F9">
        <w:rPr>
          <w:rFonts w:ascii="Times New Roman" w:hAnsi="Times New Roman"/>
          <w:szCs w:val="24"/>
        </w:rPr>
        <w:t>coordinator by email in conjunction with the various mailings.</w:t>
      </w:r>
    </w:p>
    <w:p w:rsidR="00C353D3" w:rsidRPr="00D321F9" w:rsidRDefault="00C353D3" w:rsidP="00577DD4">
      <w:pPr>
        <w:pStyle w:val="L1-FlLSp12"/>
        <w:numPr>
          <w:ilvl w:val="0"/>
          <w:numId w:val="25"/>
        </w:numPr>
        <w:spacing w:after="60" w:line="240" w:lineRule="auto"/>
        <w:ind w:left="450"/>
        <w:rPr>
          <w:rFonts w:ascii="Times New Roman" w:hAnsi="Times New Roman"/>
          <w:szCs w:val="24"/>
        </w:rPr>
      </w:pPr>
      <w:r w:rsidRPr="00D321F9">
        <w:rPr>
          <w:rFonts w:ascii="Times New Roman" w:hAnsi="Times New Roman"/>
          <w:b/>
          <w:i/>
          <w:szCs w:val="24"/>
        </w:rPr>
        <w:t xml:space="preserve">Contact Time Tailoring Experiment. </w:t>
      </w:r>
      <w:r w:rsidRPr="00D321F9">
        <w:rPr>
          <w:rFonts w:ascii="Times New Roman" w:hAnsi="Times New Roman"/>
          <w:szCs w:val="24"/>
        </w:rPr>
        <w:t xml:space="preserve">This test </w:t>
      </w:r>
      <w:r w:rsidR="00AF0CEF" w:rsidRPr="00D321F9">
        <w:rPr>
          <w:rFonts w:ascii="Times New Roman" w:hAnsi="Times New Roman"/>
          <w:szCs w:val="24"/>
        </w:rPr>
        <w:t>was</w:t>
      </w:r>
      <w:r w:rsidRPr="00D321F9">
        <w:rPr>
          <w:rFonts w:ascii="Times New Roman" w:hAnsi="Times New Roman"/>
          <w:szCs w:val="24"/>
        </w:rPr>
        <w:t xml:space="preserve"> designed to determine the optimal contact time for teachers</w:t>
      </w:r>
      <w:r w:rsidR="00B10844" w:rsidRPr="00D321F9">
        <w:rPr>
          <w:rFonts w:ascii="Times New Roman" w:hAnsi="Times New Roman"/>
          <w:szCs w:val="24"/>
        </w:rPr>
        <w:t>.</w:t>
      </w:r>
      <w:r w:rsidR="00145167" w:rsidRPr="00D321F9">
        <w:rPr>
          <w:rFonts w:ascii="Times New Roman" w:hAnsi="Times New Roman"/>
          <w:szCs w:val="24"/>
        </w:rPr>
        <w:t xml:space="preserve"> During the telephone nonresponse follow-up operation, interviewers contact</w:t>
      </w:r>
      <w:r w:rsidR="008D663A">
        <w:rPr>
          <w:rFonts w:ascii="Times New Roman" w:hAnsi="Times New Roman"/>
          <w:szCs w:val="24"/>
        </w:rPr>
        <w:t>ed</w:t>
      </w:r>
      <w:r w:rsidR="00145167" w:rsidRPr="00D321F9">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D321F9">
        <w:rPr>
          <w:rFonts w:ascii="Times New Roman" w:hAnsi="Times New Roman"/>
          <w:szCs w:val="24"/>
        </w:rPr>
        <w:t xml:space="preserve">The </w:t>
      </w:r>
      <w:r w:rsidRPr="00D321F9">
        <w:rPr>
          <w:rFonts w:ascii="Times New Roman" w:hAnsi="Times New Roman"/>
          <w:szCs w:val="24"/>
        </w:rPr>
        <w:t xml:space="preserve">research questions this test </w:t>
      </w:r>
      <w:r w:rsidR="0074445B" w:rsidRPr="00D321F9">
        <w:rPr>
          <w:rFonts w:ascii="Times New Roman" w:hAnsi="Times New Roman"/>
          <w:szCs w:val="24"/>
        </w:rPr>
        <w:t xml:space="preserve">was designed to answer </w:t>
      </w:r>
      <w:r w:rsidR="00145167" w:rsidRPr="00D321F9">
        <w:rPr>
          <w:rFonts w:ascii="Times New Roman" w:hAnsi="Times New Roman"/>
          <w:szCs w:val="24"/>
        </w:rPr>
        <w:t>were as follows</w:t>
      </w:r>
      <w:r w:rsidR="0074445B" w:rsidRPr="00D321F9">
        <w:rPr>
          <w:rFonts w:ascii="Times New Roman" w:hAnsi="Times New Roman"/>
          <w:szCs w:val="24"/>
        </w:rPr>
        <w:t>:</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Are afternoons more productive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not afternoons, are there more productive times than others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Do productive contact times for teachers hold globally, or do different types of schools have different productive call time frames?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Can we use school-level frame information (e.g. urbanicity, school size, grade level) to help tailor call times in future rounds of data collection?</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required to successfully make contact with the teacher?</w:t>
      </w:r>
    </w:p>
    <w:p w:rsidR="007215B4" w:rsidRDefault="00145167" w:rsidP="00175C20">
      <w:pPr>
        <w:pStyle w:val="NormalWeb"/>
        <w:numPr>
          <w:ilvl w:val="0"/>
          <w:numId w:val="38"/>
        </w:numPr>
        <w:spacing w:before="0" w:beforeAutospacing="0" w:after="12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and total contacts required to obtain a completed interview?</w:t>
      </w:r>
    </w:p>
    <w:p w:rsidR="00145167" w:rsidRPr="00D321F9" w:rsidRDefault="008D663A" w:rsidP="00577DD4">
      <w:pPr>
        <w:widowControl w:val="0"/>
        <w:spacing w:after="120" w:line="240" w:lineRule="auto"/>
        <w:ind w:left="450"/>
        <w:rPr>
          <w:rFonts w:ascii="Times New Roman" w:hAnsi="Times New Roman"/>
          <w:i/>
          <w:szCs w:val="24"/>
        </w:rPr>
      </w:pPr>
      <w:r>
        <w:rPr>
          <w:rFonts w:ascii="Times New Roman" w:hAnsi="Times New Roman"/>
          <w:szCs w:val="24"/>
        </w:rPr>
        <w:t>O</w:t>
      </w:r>
      <w:r w:rsidR="00145167" w:rsidRPr="00D321F9">
        <w:rPr>
          <w:rFonts w:ascii="Times New Roman" w:hAnsi="Times New Roman"/>
          <w:szCs w:val="24"/>
        </w:rPr>
        <w:t>perational challenges in conducting the call time experiment</w:t>
      </w:r>
      <w:r>
        <w:rPr>
          <w:rFonts w:ascii="Times New Roman" w:hAnsi="Times New Roman"/>
          <w:szCs w:val="24"/>
        </w:rPr>
        <w:t xml:space="preserve"> were encountered</w:t>
      </w:r>
      <w:r w:rsidR="00145167" w:rsidRPr="00D321F9">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Pr>
          <w:rFonts w:ascii="Times New Roman" w:hAnsi="Times New Roman"/>
          <w:szCs w:val="24"/>
        </w:rPr>
        <w:t>. As a result</w:t>
      </w:r>
      <w:r w:rsidR="00145167" w:rsidRPr="00D321F9">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5F19A8" w:rsidRPr="00D321F9" w:rsidRDefault="005F19A8" w:rsidP="00175C20">
      <w:pPr>
        <w:pStyle w:val="Heading2"/>
        <w:spacing w:after="120" w:line="240" w:lineRule="auto"/>
        <w:rPr>
          <w:rFonts w:ascii="Times New Roman" w:hAnsi="Times New Roman"/>
          <w:color w:val="auto"/>
          <w:sz w:val="24"/>
          <w:szCs w:val="24"/>
        </w:rPr>
      </w:pPr>
      <w:bookmarkStart w:id="80" w:name="_Toc468187466"/>
      <w:bookmarkStart w:id="81" w:name="_Toc481483747"/>
      <w:r w:rsidRPr="00D321F9">
        <w:rPr>
          <w:rFonts w:ascii="Times New Roman" w:hAnsi="Times New Roman"/>
          <w:color w:val="auto"/>
          <w:sz w:val="24"/>
          <w:szCs w:val="24"/>
        </w:rPr>
        <w:t>B.4.2</w:t>
      </w:r>
      <w:r w:rsidRPr="00D321F9">
        <w:rPr>
          <w:rFonts w:ascii="Times New Roman" w:hAnsi="Times New Roman"/>
          <w:color w:val="auto"/>
          <w:sz w:val="24"/>
          <w:szCs w:val="24"/>
        </w:rPr>
        <w:tab/>
        <w:t xml:space="preserve">Tests Included in the Design of NTPS </w:t>
      </w:r>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80"/>
      <w:bookmarkEnd w:id="81"/>
    </w:p>
    <w:p w:rsidR="000D4782" w:rsidRDefault="000D4782" w:rsidP="008A162A">
      <w:pPr>
        <w:pStyle w:val="L1-FlLSp12"/>
        <w:widowControl w:val="0"/>
        <w:spacing w:after="120" w:line="240" w:lineRule="auto"/>
        <w:rPr>
          <w:rFonts w:ascii="Times New Roman" w:hAnsi="Times New Roman"/>
          <w:szCs w:val="24"/>
        </w:rPr>
      </w:pPr>
      <w:r>
        <w:rPr>
          <w:rFonts w:ascii="Times New Roman" w:hAnsi="Times New Roman"/>
          <w:szCs w:val="24"/>
        </w:rPr>
        <w:t>To address declining response rates among teachers in the 2015-16 NTPS, NCES is proposing to test the use of incentives to increase response in the 2017-18 collection.</w:t>
      </w:r>
    </w:p>
    <w:p w:rsidR="007215B4" w:rsidRDefault="00145167" w:rsidP="00577DD4">
      <w:pPr>
        <w:pStyle w:val="L1-FlLSp12"/>
        <w:numPr>
          <w:ilvl w:val="0"/>
          <w:numId w:val="31"/>
        </w:numPr>
        <w:spacing w:after="120" w:line="240" w:lineRule="auto"/>
        <w:ind w:left="450" w:right="-43"/>
        <w:rPr>
          <w:rFonts w:ascii="Times New Roman" w:hAnsi="Times New Roman"/>
          <w:szCs w:val="24"/>
        </w:rPr>
      </w:pPr>
      <w:r w:rsidRPr="00D321F9">
        <w:rPr>
          <w:rFonts w:ascii="Times New Roman" w:hAnsi="Times New Roman"/>
          <w:b/>
          <w:i/>
          <w:szCs w:val="24"/>
        </w:rPr>
        <w:t>Testing the use of teacher incentives</w:t>
      </w:r>
      <w:r w:rsidRPr="00D321F9">
        <w:rPr>
          <w:rFonts w:ascii="Times New Roman" w:hAnsi="Times New Roman"/>
          <w:szCs w:val="24"/>
        </w:rPr>
        <w:t>. The 2017</w:t>
      </w:r>
      <w:r w:rsidR="007F5C54">
        <w:rPr>
          <w:rFonts w:ascii="Times New Roman" w:hAnsi="Times New Roman"/>
          <w:szCs w:val="24"/>
        </w:rPr>
        <w:t>-1</w:t>
      </w:r>
      <w:r w:rsidRPr="00D321F9">
        <w:rPr>
          <w:rFonts w:ascii="Times New Roman" w:hAnsi="Times New Roman"/>
          <w:szCs w:val="24"/>
        </w:rPr>
        <w:t>8 NTPS will include an incentive experiment designed to examine the effectiveness of offering teachers a monetary incentive to boost overall teacher response.</w:t>
      </w:r>
    </w:p>
    <w:p w:rsidR="002200BA" w:rsidRPr="00D321F9" w:rsidRDefault="002200BA" w:rsidP="00577DD4">
      <w:pPr>
        <w:widowControl w:val="0"/>
        <w:tabs>
          <w:tab w:val="left" w:pos="720"/>
          <w:tab w:val="left" w:pos="2160"/>
          <w:tab w:val="left" w:pos="5040"/>
          <w:tab w:val="left" w:pos="7200"/>
        </w:tabs>
        <w:spacing w:after="120" w:line="240" w:lineRule="auto"/>
        <w:ind w:left="450"/>
        <w:rPr>
          <w:rFonts w:ascii="Times New Roman" w:hAnsi="Times New Roman"/>
        </w:rPr>
      </w:pPr>
      <w:r w:rsidRPr="00D321F9">
        <w:rPr>
          <w:rFonts w:ascii="Times New Roman" w:hAnsi="Times New Roman"/>
        </w:rPr>
        <w:t>Teachers will be incentivized during the first 12 waves of teacher sampling, then a combination of teachers and/or school coordinators or principals will be incentivized during the remaining waves.</w:t>
      </w:r>
      <w:r w:rsidR="007215B4">
        <w:rPr>
          <w:rFonts w:ascii="Times New Roman" w:hAnsi="Times New Roman"/>
        </w:rPr>
        <w:t xml:space="preserve"> </w:t>
      </w:r>
      <w:r w:rsidRPr="00D321F9">
        <w:rPr>
          <w:rFonts w:ascii="Times New Roman" w:hAnsi="Times New Roman"/>
        </w:rPr>
        <w:t>During the first 12 waves of the teacher sampling, teachers are only sampled from returned TLFs.</w:t>
      </w:r>
      <w:r w:rsidR="007215B4">
        <w:rPr>
          <w:rFonts w:ascii="Times New Roman" w:hAnsi="Times New Roman"/>
        </w:rPr>
        <w:t xml:space="preserve"> </w:t>
      </w:r>
      <w:r w:rsidRPr="00D321F9">
        <w:rPr>
          <w:rFonts w:ascii="Times New Roman" w:hAnsi="Times New Roman"/>
        </w:rPr>
        <w:t>However, beginning in wave 13 for schools, teachers could be sampled from returned TLFs, vendor lists, or internet look-ups.</w:t>
      </w:r>
      <w:r w:rsidR="007215B4">
        <w:rPr>
          <w:rFonts w:ascii="Times New Roman" w:hAnsi="Times New Roman"/>
        </w:rPr>
        <w:t xml:space="preserve"> </w:t>
      </w:r>
      <w:r w:rsidRPr="00D321F9">
        <w:rPr>
          <w:rFonts w:ascii="Times New Roman" w:hAnsi="Times New Roman"/>
        </w:rPr>
        <w:t>This change in the teacher sampling procedure provided a natural breakpoint between the two phases of the experiment</w:t>
      </w:r>
      <w:r w:rsidR="000D4782">
        <w:rPr>
          <w:rFonts w:ascii="Times New Roman" w:hAnsi="Times New Roman"/>
        </w:rPr>
        <w:t xml:space="preserve"> and allows us to target the most challenging cases with an additional incentive for the school coordinator or principal</w:t>
      </w:r>
      <w:r w:rsidRPr="00D321F9">
        <w:rPr>
          <w:rFonts w:ascii="Times New Roman" w:hAnsi="Times New Roman"/>
        </w:rPr>
        <w:t>.</w:t>
      </w:r>
      <w:r w:rsidR="007215B4">
        <w:rPr>
          <w:rFonts w:ascii="Times New Roman" w:hAnsi="Times New Roman"/>
        </w:rPr>
        <w:t xml:space="preserve"> </w:t>
      </w:r>
      <w:r w:rsidR="00001247">
        <w:rPr>
          <w:rFonts w:ascii="Times New Roman" w:hAnsi="Times New Roman"/>
        </w:rPr>
        <w:t>Table 8</w:t>
      </w:r>
      <w:r w:rsidRPr="00D321F9">
        <w:rPr>
          <w:rFonts w:ascii="Times New Roman" w:hAnsi="Times New Roman"/>
        </w:rPr>
        <w:t xml:space="preserve"> shows the breakdown of when teachers and/or school coordinators or principals will be incentivized, as well as the incentive amount</w:t>
      </w:r>
      <w:r w:rsidR="008D663A">
        <w:rPr>
          <w:rFonts w:ascii="Times New Roman" w:hAnsi="Times New Roman"/>
        </w:rPr>
        <w:t>s</w:t>
      </w:r>
      <w:r w:rsidRPr="00D321F9">
        <w:rPr>
          <w:rFonts w:ascii="Times New Roman" w:hAnsi="Times New Roman"/>
        </w:rPr>
        <w:t>.</w:t>
      </w:r>
      <w:r w:rsidR="007215B4">
        <w:rPr>
          <w:rFonts w:ascii="Times New Roman" w:hAnsi="Times New Roman"/>
        </w:rPr>
        <w:t xml:space="preserve"> </w:t>
      </w:r>
      <w:r w:rsidRPr="00D321F9">
        <w:rPr>
          <w:rFonts w:ascii="Times New Roman" w:hAnsi="Times New Roman"/>
        </w:rPr>
        <w:t>All incentive amounts will be prepaid.</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bookmarkStart w:id="82" w:name="_Ref469989645"/>
      <w:r w:rsidRPr="00EE4D95">
        <w:rPr>
          <w:rFonts w:ascii="Times New Roman" w:hAnsi="Times New Roman" w:cs="Times New Roman"/>
          <w:b/>
          <w:i w:val="0"/>
          <w:color w:val="auto"/>
          <w:sz w:val="24"/>
          <w:szCs w:val="24"/>
        </w:rPr>
        <w:t xml:space="preserve">Table </w:t>
      </w:r>
      <w:bookmarkEnd w:id="82"/>
      <w:r w:rsidR="00001247" w:rsidRPr="00EE4D95">
        <w:rPr>
          <w:rFonts w:ascii="Times New Roman" w:hAnsi="Times New Roman" w:cs="Times New Roman"/>
          <w:b/>
          <w:i w:val="0"/>
          <w:color w:val="auto"/>
          <w:sz w:val="24"/>
          <w:szCs w:val="24"/>
        </w:rPr>
        <w:t>8</w:t>
      </w:r>
      <w:r w:rsidRPr="00EE4D95">
        <w:rPr>
          <w:rFonts w:ascii="Times New Roman" w:hAnsi="Times New Roman" w:cs="Times New Roman"/>
          <w:b/>
          <w:i w:val="0"/>
          <w:color w:val="auto"/>
          <w:sz w:val="24"/>
          <w:szCs w:val="24"/>
        </w:rPr>
        <w:t>. Incentive Types and Amounts</w:t>
      </w:r>
    </w:p>
    <w:tbl>
      <w:tblPr>
        <w:tblStyle w:val="TableGrid"/>
        <w:tblW w:w="4636" w:type="pct"/>
        <w:tblInd w:w="648" w:type="dxa"/>
        <w:tblLayout w:type="fixed"/>
        <w:tblLook w:val="04A0" w:firstRow="1" w:lastRow="0" w:firstColumn="1" w:lastColumn="0" w:noHBand="0" w:noVBand="1"/>
      </w:tblPr>
      <w:tblGrid>
        <w:gridCol w:w="1171"/>
        <w:gridCol w:w="4321"/>
        <w:gridCol w:w="2438"/>
        <w:gridCol w:w="2151"/>
      </w:tblGrid>
      <w:tr w:rsidR="00D321F9" w:rsidRPr="00D321F9" w:rsidTr="008A162A">
        <w:tc>
          <w:tcPr>
            <w:tcW w:w="581" w:type="pct"/>
            <w:vMerge w:val="restart"/>
            <w:vAlign w:val="center"/>
          </w:tcPr>
          <w:p w:rsidR="002200BA" w:rsidRPr="00EE4D95" w:rsidRDefault="002200BA" w:rsidP="002200BA">
            <w:pPr>
              <w:keepNext/>
              <w:keepLines/>
              <w:tabs>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Waves</w:t>
            </w:r>
          </w:p>
        </w:tc>
        <w:tc>
          <w:tcPr>
            <w:tcW w:w="2143" w:type="pct"/>
            <w:vMerge w:val="restar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Type</w:t>
            </w:r>
          </w:p>
        </w:tc>
        <w:tc>
          <w:tcPr>
            <w:tcW w:w="2276" w:type="pct"/>
            <w:gridSpan w:val="2"/>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Amount</w:t>
            </w:r>
          </w:p>
        </w:tc>
      </w:tr>
      <w:tr w:rsidR="00D321F9" w:rsidRPr="00D321F9" w:rsidTr="008A162A">
        <w:tc>
          <w:tcPr>
            <w:tcW w:w="581"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2143"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1209"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Non-Priority School</w:t>
            </w:r>
          </w:p>
        </w:tc>
        <w:tc>
          <w:tcPr>
            <w:tcW w:w="1067"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Priority Schools</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1-12</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13-20</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School Coordinator/Principal Incentive</w:t>
            </w:r>
          </w:p>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tc>
      </w:tr>
    </w:tbl>
    <w:p w:rsidR="002200BA" w:rsidRPr="00D321F9" w:rsidRDefault="002200BA" w:rsidP="002200BA">
      <w:pPr>
        <w:keepNext/>
        <w:keepLines/>
        <w:tabs>
          <w:tab w:val="left" w:pos="720"/>
          <w:tab w:val="left" w:pos="2160"/>
          <w:tab w:val="left" w:pos="5040"/>
          <w:tab w:val="left" w:pos="7200"/>
        </w:tabs>
        <w:spacing w:line="240" w:lineRule="auto"/>
        <w:rPr>
          <w:rFonts w:ascii="Times New Roman" w:hAnsi="Times New Roman"/>
          <w:szCs w:val="24"/>
        </w:rPr>
      </w:pPr>
      <w:r w:rsidRPr="00D321F9">
        <w:rPr>
          <w:rFonts w:ascii="Times New Roman" w:hAnsi="Times New Roman"/>
          <w:szCs w:val="24"/>
        </w:rPr>
        <w:softHyphen/>
      </w:r>
    </w:p>
    <w:p w:rsidR="002200BA" w:rsidRPr="00D321F9" w:rsidRDefault="002200BA" w:rsidP="00577DD4">
      <w:pPr>
        <w:pStyle w:val="ListParagraph"/>
        <w:keepNext/>
        <w:keepLines/>
        <w:tabs>
          <w:tab w:val="left" w:pos="540"/>
          <w:tab w:val="left" w:pos="2160"/>
          <w:tab w:val="left" w:pos="5040"/>
          <w:tab w:val="left" w:pos="7200"/>
        </w:tabs>
        <w:spacing w:after="120" w:line="240" w:lineRule="auto"/>
        <w:ind w:left="450"/>
        <w:contextualSpacing/>
        <w:rPr>
          <w:rFonts w:ascii="Times New Roman" w:hAnsi="Times New Roman"/>
          <w:b/>
          <w:szCs w:val="24"/>
        </w:rPr>
      </w:pPr>
      <w:r w:rsidRPr="00D321F9">
        <w:rPr>
          <w:rFonts w:ascii="Times New Roman" w:hAnsi="Times New Roman"/>
          <w:b/>
          <w:szCs w:val="24"/>
        </w:rPr>
        <w:t>Experimental Design</w:t>
      </w:r>
    </w:p>
    <w:p w:rsidR="00EA1968" w:rsidRDefault="002200BA" w:rsidP="00577DD4">
      <w:pPr>
        <w:pStyle w:val="ListParagraph"/>
        <w:keepNext/>
        <w:keepLines/>
        <w:tabs>
          <w:tab w:val="left" w:pos="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Because teachers are sampled on a flow basis throughout the NTPS data collection period, the incentives experiment will occur in two phases.</w:t>
      </w:r>
      <w:r w:rsidR="007215B4">
        <w:rPr>
          <w:rFonts w:ascii="Times New Roman" w:hAnsi="Times New Roman"/>
          <w:szCs w:val="24"/>
        </w:rPr>
        <w:t xml:space="preserve"> </w:t>
      </w:r>
      <w:r w:rsidR="002B3886">
        <w:rPr>
          <w:rFonts w:ascii="Times New Roman" w:hAnsi="Times New Roman"/>
          <w:szCs w:val="24"/>
        </w:rPr>
        <w:t>Phase O</w:t>
      </w:r>
      <w:r w:rsidRPr="00D321F9">
        <w:rPr>
          <w:rFonts w:ascii="Times New Roman" w:hAnsi="Times New Roman"/>
          <w:szCs w:val="24"/>
        </w:rPr>
        <w:t>ne of the incentives experiment will occur during waves 1 through 12 of the teacher sampling period.</w:t>
      </w:r>
      <w:r w:rsidR="007215B4">
        <w:rPr>
          <w:rFonts w:ascii="Times New Roman" w:hAnsi="Times New Roman"/>
          <w:szCs w:val="24"/>
        </w:rPr>
        <w:t xml:space="preserve"> </w:t>
      </w:r>
      <w:r w:rsidR="002B3886">
        <w:rPr>
          <w:rFonts w:ascii="Times New Roman" w:hAnsi="Times New Roman"/>
          <w:szCs w:val="24"/>
        </w:rPr>
        <w:t>Phase T</w:t>
      </w:r>
      <w:r w:rsidRPr="00D321F9">
        <w:rPr>
          <w:rFonts w:ascii="Times New Roman" w:hAnsi="Times New Roman"/>
          <w:szCs w:val="24"/>
        </w:rPr>
        <w:t>wo will be conducted during waves 13 through 20 of the teacher sampling period.</w:t>
      </w:r>
      <w:r w:rsidR="007215B4">
        <w:rPr>
          <w:rFonts w:ascii="Times New Roman" w:hAnsi="Times New Roman"/>
          <w:szCs w:val="24"/>
        </w:rPr>
        <w:t xml:space="preserve"> </w:t>
      </w:r>
      <w:r w:rsidRPr="00D321F9">
        <w:rPr>
          <w:rFonts w:ascii="Times New Roman" w:hAnsi="Times New Roman"/>
          <w:szCs w:val="24"/>
        </w:rPr>
        <w:t>The sampling design for the incentives experiment will be comprised</w:t>
      </w:r>
      <w:r w:rsidR="00231C89">
        <w:rPr>
          <w:rFonts w:ascii="Times New Roman" w:hAnsi="Times New Roman"/>
          <w:szCs w:val="24"/>
        </w:rPr>
        <w:t xml:space="preserve"> of eight experimental groups, </w:t>
      </w:r>
      <w:r w:rsidR="00EA1968">
        <w:rPr>
          <w:rFonts w:ascii="Times New Roman" w:hAnsi="Times New Roman"/>
          <w:szCs w:val="24"/>
        </w:rPr>
        <w:t>into which</w:t>
      </w:r>
      <w:r w:rsidR="009E13B5">
        <w:rPr>
          <w:rFonts w:ascii="Times New Roman" w:hAnsi="Times New Roman"/>
          <w:szCs w:val="24"/>
        </w:rPr>
        <w:t xml:space="preserve"> </w:t>
      </w:r>
      <w:r w:rsidR="00231C89">
        <w:rPr>
          <w:rFonts w:ascii="Times New Roman" w:hAnsi="Times New Roman"/>
          <w:szCs w:val="24"/>
        </w:rPr>
        <w:t>s</w:t>
      </w:r>
      <w:r w:rsidRPr="00D321F9">
        <w:rPr>
          <w:rFonts w:ascii="Times New Roman" w:hAnsi="Times New Roman"/>
          <w:szCs w:val="24"/>
        </w:rPr>
        <w:t>chools will be sampled at random.</w:t>
      </w:r>
      <w:r w:rsidR="00231C89">
        <w:rPr>
          <w:rFonts w:ascii="Times New Roman" w:hAnsi="Times New Roman"/>
          <w:szCs w:val="24"/>
        </w:rPr>
        <w:t xml:space="preserve"> Table 9 shows the experimental groups and initial sample sizes.</w:t>
      </w:r>
    </w:p>
    <w:p w:rsidR="00231C89" w:rsidRPr="00C637D0" w:rsidRDefault="00C637D0" w:rsidP="00C637D0">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Pr>
          <w:rFonts w:ascii="Times New Roman" w:hAnsi="Times New Roman"/>
          <w:szCs w:val="24"/>
        </w:rPr>
        <w:tab/>
      </w:r>
      <w:r w:rsidRPr="00C637D0">
        <w:rPr>
          <w:rFonts w:ascii="Times New Roman" w:hAnsi="Times New Roman"/>
          <w:b/>
          <w:szCs w:val="24"/>
        </w:rPr>
        <w:t>Table 9. Experimental G</w:t>
      </w:r>
      <w:r w:rsidR="008B5497">
        <w:rPr>
          <w:rFonts w:ascii="Times New Roman" w:hAnsi="Times New Roman"/>
          <w:b/>
          <w:szCs w:val="24"/>
        </w:rPr>
        <w:t>roups and initial sample sizes.</w:t>
      </w:r>
    </w:p>
    <w:tbl>
      <w:tblPr>
        <w:tblStyle w:val="TableGrid"/>
        <w:tblW w:w="4553" w:type="pct"/>
        <w:tblInd w:w="648" w:type="dxa"/>
        <w:tblLayout w:type="fixed"/>
        <w:tblLook w:val="04A0" w:firstRow="1" w:lastRow="0" w:firstColumn="1" w:lastColumn="0" w:noHBand="0" w:noVBand="1"/>
      </w:tblPr>
      <w:tblGrid>
        <w:gridCol w:w="1170"/>
        <w:gridCol w:w="1531"/>
        <w:gridCol w:w="2338"/>
        <w:gridCol w:w="2061"/>
        <w:gridCol w:w="2800"/>
      </w:tblGrid>
      <w:tr w:rsidR="00231C89" w:rsidRPr="00231C89" w:rsidTr="00EA1968">
        <w:trPr>
          <w:trHeight w:val="20"/>
        </w:trPr>
        <w:tc>
          <w:tcPr>
            <w:tcW w:w="591" w:type="pct"/>
            <w:tcBorders>
              <w:bottom w:val="double" w:sz="4" w:space="0" w:color="auto"/>
            </w:tcBorders>
            <w:vAlign w:val="center"/>
          </w:tcPr>
          <w:p w:rsidR="00231C89" w:rsidRPr="00EA1968" w:rsidRDefault="00231C89" w:rsidP="00EA1968">
            <w:pPr>
              <w:pStyle w:val="ListParagraph"/>
              <w:tabs>
                <w:tab w:val="left" w:pos="-2358"/>
              </w:tabs>
              <w:spacing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Phase One</w:t>
            </w:r>
          </w:p>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Phase Two</w:t>
            </w:r>
          </w:p>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rsidR="00231C89" w:rsidRPr="00EA1968" w:rsidRDefault="00231C89" w:rsidP="00EA1968">
            <w:pPr>
              <w:pStyle w:val="ListParagraph"/>
              <w:spacing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rsidR="00231C89" w:rsidRPr="00EA1968" w:rsidRDefault="00231C89" w:rsidP="00EA1968">
            <w:pPr>
              <w:pStyle w:val="ListParagraph"/>
              <w:spacing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2"/>
            </w:r>
          </w:p>
        </w:tc>
      </w:tr>
      <w:tr w:rsidR="00231C89" w:rsidRPr="00231C89" w:rsidTr="005C6FCD">
        <w:trPr>
          <w:trHeight w:val="20"/>
        </w:trPr>
        <w:tc>
          <w:tcPr>
            <w:tcW w:w="591" w:type="pct"/>
            <w:tcBorders>
              <w:top w:val="double" w:sz="4" w:space="0" w:color="auto"/>
            </w:tcBorders>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tcBorders>
              <w:top w:val="double" w:sz="4" w:space="0" w:color="auto"/>
            </w:tcBorders>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3</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bl>
    <w:p w:rsidR="00231C89" w:rsidRPr="00EA1968" w:rsidRDefault="00231C89" w:rsidP="00EA1968">
      <w:pPr>
        <w:widowControl w:val="0"/>
        <w:tabs>
          <w:tab w:val="left" w:pos="0"/>
          <w:tab w:val="left" w:pos="540"/>
          <w:tab w:val="left" w:pos="2160"/>
          <w:tab w:val="left" w:pos="5040"/>
          <w:tab w:val="left" w:pos="7200"/>
        </w:tabs>
        <w:spacing w:line="240" w:lineRule="auto"/>
        <w:rPr>
          <w:rFonts w:ascii="Times New Roman" w:hAnsi="Times New Roman"/>
          <w:sz w:val="18"/>
          <w:szCs w:val="18"/>
        </w:rPr>
      </w:pPr>
    </w:p>
    <w:p w:rsidR="007215B4"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The schools will be </w:t>
      </w:r>
      <w:r w:rsidR="009E13B5">
        <w:rPr>
          <w:rFonts w:ascii="Times New Roman" w:hAnsi="Times New Roman"/>
          <w:szCs w:val="24"/>
        </w:rPr>
        <w:t>assigned</w:t>
      </w:r>
      <w:r w:rsidRPr="00D321F9">
        <w:rPr>
          <w:rFonts w:ascii="Times New Roman" w:hAnsi="Times New Roman"/>
          <w:szCs w:val="24"/>
        </w:rPr>
        <w:t xml:space="preserve"> into </w:t>
      </w:r>
      <w:r w:rsidR="009E13B5">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sidR="007215B4">
        <w:rPr>
          <w:rFonts w:ascii="Times New Roman" w:hAnsi="Times New Roman"/>
          <w:szCs w:val="24"/>
        </w:rPr>
        <w:t xml:space="preserve"> </w:t>
      </w:r>
      <w:r w:rsidR="009E13B5">
        <w:rPr>
          <w:rFonts w:ascii="Times New Roman" w:hAnsi="Times New Roman"/>
          <w:szCs w:val="24"/>
        </w:rPr>
        <w:t>As such,</w:t>
      </w:r>
      <w:r w:rsidRPr="00D321F9">
        <w:rPr>
          <w:rFonts w:ascii="Times New Roman" w:hAnsi="Times New Roman"/>
          <w:szCs w:val="24"/>
        </w:rPr>
        <w:t xml:space="preserve"> the random assignment should result in similar TLF response rates across all groups</w:t>
      </w:r>
      <w:r w:rsidR="009E13B5">
        <w:rPr>
          <w:rFonts w:ascii="Times New Roman" w:hAnsi="Times New Roman"/>
          <w:szCs w:val="24"/>
        </w:rPr>
        <w:t xml:space="preserve"> by the beginning of Phase Two of the experiment</w:t>
      </w:r>
      <w:r w:rsidRPr="00D321F9">
        <w:rPr>
          <w:rFonts w:ascii="Times New Roman" w:hAnsi="Times New Roman"/>
          <w:szCs w:val="24"/>
        </w:rPr>
        <w:t>.</w:t>
      </w:r>
      <w:r w:rsidR="005B749A">
        <w:rPr>
          <w:rFonts w:ascii="Times New Roman" w:hAnsi="Times New Roman"/>
          <w:szCs w:val="24"/>
        </w:rPr>
        <w:t xml:space="preserve"> </w:t>
      </w:r>
      <w:r w:rsidR="00FA1512">
        <w:rPr>
          <w:rFonts w:ascii="Times New Roman" w:hAnsi="Times New Roman"/>
          <w:szCs w:val="24"/>
        </w:rPr>
        <w:t>A</w:t>
      </w:r>
      <w:r w:rsidR="005B749A">
        <w:rPr>
          <w:rFonts w:ascii="Times New Roman" w:hAnsi="Times New Roman"/>
          <w:szCs w:val="24"/>
        </w:rPr>
        <w:t>pproximately</w:t>
      </w:r>
      <w:r w:rsidR="005B749A" w:rsidRPr="005B749A">
        <w:rPr>
          <w:rFonts w:ascii="Times New Roman" w:hAnsi="Times New Roman"/>
          <w:szCs w:val="24"/>
        </w:rPr>
        <w:t xml:space="preserve">10,385 public schools and 4,000 private schools </w:t>
      </w:r>
      <w:r w:rsidR="00FA1512">
        <w:rPr>
          <w:rFonts w:ascii="Times New Roman" w:hAnsi="Times New Roman"/>
          <w:szCs w:val="24"/>
        </w:rPr>
        <w:t>will be sampled for</w:t>
      </w:r>
      <w:r w:rsidR="005B749A" w:rsidRPr="005B749A">
        <w:rPr>
          <w:rFonts w:ascii="Times New Roman" w:hAnsi="Times New Roman"/>
          <w:szCs w:val="24"/>
        </w:rPr>
        <w:t xml:space="preserve"> </w:t>
      </w:r>
      <w:r w:rsidR="00FA1512" w:rsidRPr="005B749A">
        <w:rPr>
          <w:rFonts w:ascii="Times New Roman" w:hAnsi="Times New Roman"/>
          <w:szCs w:val="24"/>
        </w:rPr>
        <w:t xml:space="preserve">NTPS </w:t>
      </w:r>
      <w:r w:rsidR="005B749A" w:rsidRPr="005B749A">
        <w:rPr>
          <w:rFonts w:ascii="Times New Roman" w:hAnsi="Times New Roman"/>
          <w:szCs w:val="24"/>
        </w:rPr>
        <w:t>2017-18.</w:t>
      </w:r>
      <w:r w:rsidR="00FA1512">
        <w:rPr>
          <w:rFonts w:ascii="Times New Roman" w:hAnsi="Times New Roman"/>
          <w:szCs w:val="24"/>
        </w:rPr>
        <w:t xml:space="preserve"> </w:t>
      </w:r>
      <w:r w:rsidR="005B749A" w:rsidRPr="005B749A">
        <w:rPr>
          <w:rFonts w:ascii="Times New Roman" w:hAnsi="Times New Roman"/>
          <w:szCs w:val="24"/>
        </w:rPr>
        <w:t xml:space="preserve">Because </w:t>
      </w:r>
      <w:r w:rsidR="005B749A">
        <w:rPr>
          <w:rFonts w:ascii="Times New Roman" w:hAnsi="Times New Roman"/>
          <w:szCs w:val="24"/>
        </w:rPr>
        <w:t>Phase One</w:t>
      </w:r>
      <w:r w:rsidR="005B749A" w:rsidRPr="005B749A">
        <w:rPr>
          <w:rFonts w:ascii="Times New Roman" w:hAnsi="Times New Roman"/>
          <w:szCs w:val="24"/>
        </w:rPr>
        <w:t xml:space="preserve"> of the incentive experiment is independent of </w:t>
      </w:r>
      <w:r w:rsidR="005B749A">
        <w:rPr>
          <w:rFonts w:ascii="Times New Roman" w:hAnsi="Times New Roman"/>
          <w:szCs w:val="24"/>
        </w:rPr>
        <w:t>Phase Two</w:t>
      </w:r>
      <w:r w:rsidR="005B749A" w:rsidRPr="005B749A">
        <w:rPr>
          <w:rFonts w:ascii="Times New Roman" w:hAnsi="Times New Roman"/>
          <w:szCs w:val="24"/>
        </w:rPr>
        <w:t xml:space="preserve"> of the data collection period, the random assignment of schools into the eight groups should result in similar TLF response rates across all groups at the start of </w:t>
      </w:r>
      <w:r w:rsidR="005B749A">
        <w:rPr>
          <w:rFonts w:ascii="Times New Roman" w:hAnsi="Times New Roman"/>
          <w:szCs w:val="24"/>
        </w:rPr>
        <w:t>Phase Two</w:t>
      </w:r>
      <w:r w:rsidR="005B749A" w:rsidRPr="005B749A">
        <w:rPr>
          <w:rFonts w:ascii="Times New Roman" w:hAnsi="Times New Roman"/>
          <w:szCs w:val="24"/>
        </w:rPr>
        <w:t>.</w:t>
      </w:r>
      <w:r w:rsidR="00FA1512">
        <w:rPr>
          <w:rFonts w:ascii="Times New Roman" w:hAnsi="Times New Roman"/>
          <w:szCs w:val="24"/>
        </w:rPr>
        <w:t xml:space="preserve"> </w:t>
      </w:r>
      <w:r w:rsidR="005B749A" w:rsidRPr="005B749A">
        <w:rPr>
          <w:rFonts w:ascii="Times New Roman" w:hAnsi="Times New Roman"/>
          <w:szCs w:val="24"/>
        </w:rPr>
        <w:t>Before the start of data collection, each experimental group will be assigned 1,298 public schools and 500 private schools.</w:t>
      </w:r>
      <w:r w:rsidR="00FA1512">
        <w:rPr>
          <w:rFonts w:ascii="Times New Roman" w:hAnsi="Times New Roman"/>
          <w:szCs w:val="24"/>
        </w:rPr>
        <w:t xml:space="preserve"> </w:t>
      </w:r>
      <w:r w:rsidR="005B749A" w:rsidRPr="005B749A">
        <w:rPr>
          <w:rFonts w:ascii="Times New Roman" w:hAnsi="Times New Roman"/>
          <w:szCs w:val="24"/>
        </w:rPr>
        <w:t xml:space="preserve">Therefore, </w:t>
      </w:r>
      <w:r w:rsidR="00FA1512">
        <w:rPr>
          <w:rFonts w:ascii="Times New Roman" w:hAnsi="Times New Roman"/>
          <w:szCs w:val="24"/>
        </w:rPr>
        <w:t xml:space="preserve">approximately </w:t>
      </w:r>
      <w:r w:rsidR="005B749A" w:rsidRPr="005B749A">
        <w:rPr>
          <w:rFonts w:ascii="Times New Roman" w:hAnsi="Times New Roman"/>
          <w:szCs w:val="24"/>
        </w:rPr>
        <w:t xml:space="preserve">5,192 public schools and 2,000 private schools will be </w:t>
      </w:r>
      <w:r w:rsidR="00FA1512">
        <w:rPr>
          <w:rFonts w:ascii="Times New Roman" w:hAnsi="Times New Roman"/>
          <w:szCs w:val="24"/>
        </w:rPr>
        <w:t>assigned to</w:t>
      </w:r>
      <w:r w:rsidR="005B749A" w:rsidRPr="005B749A">
        <w:rPr>
          <w:rFonts w:ascii="Times New Roman" w:hAnsi="Times New Roman"/>
          <w:szCs w:val="24"/>
        </w:rPr>
        <w:t xml:space="preserve"> the treatment groups that send teacher incentives during </w:t>
      </w:r>
      <w:r w:rsidR="005B749A">
        <w:rPr>
          <w:rFonts w:ascii="Times New Roman" w:hAnsi="Times New Roman"/>
          <w:szCs w:val="24"/>
        </w:rPr>
        <w:t>Phase One</w:t>
      </w:r>
      <w:r w:rsidR="005B749A" w:rsidRPr="005B749A">
        <w:rPr>
          <w:rFonts w:ascii="Times New Roman" w:hAnsi="Times New Roman"/>
          <w:szCs w:val="24"/>
        </w:rPr>
        <w:t xml:space="preserve"> of the experiment.</w:t>
      </w:r>
    </w:p>
    <w:p w:rsidR="00BF2020" w:rsidRPr="00BF2020"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b/>
          <w:szCs w:val="24"/>
        </w:rPr>
      </w:pPr>
      <w:r w:rsidRPr="00BF2020">
        <w:rPr>
          <w:rFonts w:ascii="Times New Roman" w:hAnsi="Times New Roman"/>
          <w:b/>
          <w:szCs w:val="24"/>
        </w:rPr>
        <w:t>Balancing treatment group assignments</w:t>
      </w:r>
    </w:p>
    <w:p w:rsidR="00FA1512"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w:t>
      </w:r>
      <w:r>
        <w:rPr>
          <w:rFonts w:ascii="Times New Roman" w:hAnsi="Times New Roman"/>
          <w:szCs w:val="24"/>
        </w:rPr>
        <w:t xml:space="preserve"> </w:t>
      </w:r>
      <w:r w:rsidRPr="00D321F9">
        <w:rPr>
          <w:rFonts w:ascii="Times New Roman" w:hAnsi="Times New Roman"/>
          <w:szCs w:val="24"/>
        </w:rPr>
        <w:t xml:space="preserve">The school characteristics will be selected for having significant influence on response based on past cycles of NTPS and </w:t>
      </w:r>
      <w:r>
        <w:rPr>
          <w:rFonts w:ascii="Times New Roman" w:hAnsi="Times New Roman"/>
          <w:szCs w:val="24"/>
        </w:rPr>
        <w:t xml:space="preserve">on </w:t>
      </w:r>
      <w:r w:rsidRPr="00D321F9">
        <w:rPr>
          <w:rFonts w:ascii="Times New Roman" w:hAnsi="Times New Roman"/>
          <w:szCs w:val="24"/>
        </w:rPr>
        <w:t>a model calculated to predict the likelihood of a school returning the TLF.</w:t>
      </w:r>
      <w:r>
        <w:rPr>
          <w:rFonts w:ascii="Times New Roman" w:hAnsi="Times New Roman"/>
          <w:szCs w:val="24"/>
        </w:rPr>
        <w:t xml:space="preserve">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w:t>
      </w:r>
      <w:r w:rsidRPr="007666AB">
        <w:rPr>
          <w:rFonts w:ascii="Times New Roman" w:hAnsi="Times New Roman"/>
          <w:szCs w:val="24"/>
        </w:rPr>
        <w:t xml:space="preserve"> </w:t>
      </w:r>
      <w:r>
        <w:rPr>
          <w:rFonts w:ascii="Times New Roman" w:hAnsi="Times New Roman"/>
          <w:szCs w:val="24"/>
        </w:rPr>
        <w:t>taken into account by using it as a sort variable in which</w:t>
      </w:r>
      <w:r w:rsidRPr="007666AB">
        <w:rPr>
          <w:rFonts w:ascii="Times New Roman" w:hAnsi="Times New Roman"/>
          <w:szCs w:val="24"/>
        </w:rPr>
        <w:t xml:space="preserve"> </w:t>
      </w:r>
      <w:r>
        <w:rPr>
          <w:rFonts w:ascii="Times New Roman" w:hAnsi="Times New Roman"/>
          <w:szCs w:val="24"/>
        </w:rPr>
        <w:t xml:space="preserve">the </w:t>
      </w:r>
      <w:r w:rsidRPr="007666AB">
        <w:rPr>
          <w:rFonts w:ascii="Times New Roman" w:hAnsi="Times New Roman"/>
          <w:szCs w:val="24"/>
        </w:rPr>
        <w:t>priority/non-priority</w:t>
      </w:r>
      <w:r>
        <w:rPr>
          <w:rFonts w:ascii="Times New Roman" w:hAnsi="Times New Roman"/>
          <w:szCs w:val="24"/>
        </w:rPr>
        <w:t xml:space="preserve"> status</w:t>
      </w:r>
      <w:r w:rsidRPr="007666AB">
        <w:rPr>
          <w:rFonts w:ascii="Times New Roman" w:hAnsi="Times New Roman"/>
          <w:szCs w:val="24"/>
        </w:rPr>
        <w:t xml:space="preserve"> will be a stratification variable</w:t>
      </w:r>
      <w:r>
        <w:rPr>
          <w:rFonts w:ascii="Times New Roman" w:hAnsi="Times New Roman"/>
          <w:szCs w:val="24"/>
        </w:rPr>
        <w:t xml:space="preserve"> in the model.</w:t>
      </w:r>
    </w:p>
    <w:p w:rsidR="00BF2020" w:rsidRPr="00BF2020" w:rsidRDefault="00BF2020" w:rsidP="00BF2020">
      <w:pPr>
        <w:pStyle w:val="ListParagraph"/>
        <w:widowControl w:val="0"/>
        <w:tabs>
          <w:tab w:val="left" w:pos="360"/>
          <w:tab w:val="left" w:pos="54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 xml:space="preserve">To identify covariates that are predictive of </w:t>
      </w:r>
      <w:r w:rsidR="00FA1512">
        <w:rPr>
          <w:rFonts w:ascii="Times New Roman" w:hAnsi="Times New Roman"/>
          <w:szCs w:val="24"/>
        </w:rPr>
        <w:t>whether</w:t>
      </w:r>
      <w:r w:rsidRPr="00BF2020">
        <w:rPr>
          <w:rFonts w:ascii="Times New Roman" w:hAnsi="Times New Roman"/>
          <w:szCs w:val="24"/>
        </w:rPr>
        <w:t xml:space="preserve"> and when a school will return the TLF</w:t>
      </w:r>
      <w:r w:rsidR="00283531">
        <w:rPr>
          <w:rFonts w:ascii="Times New Roman" w:hAnsi="Times New Roman"/>
          <w:szCs w:val="24"/>
        </w:rPr>
        <w:t xml:space="preserve"> for </w:t>
      </w:r>
      <w:r w:rsidR="00292EB8">
        <w:rPr>
          <w:rFonts w:ascii="Times New Roman" w:hAnsi="Times New Roman"/>
          <w:szCs w:val="24"/>
        </w:rPr>
        <w:t>NTPS</w:t>
      </w:r>
      <w:r w:rsidR="00283531">
        <w:rPr>
          <w:rFonts w:ascii="Times New Roman" w:hAnsi="Times New Roman"/>
          <w:szCs w:val="24"/>
        </w:rPr>
        <w:t xml:space="preserve"> 2017-18</w:t>
      </w:r>
      <w:r w:rsidRPr="00BF2020">
        <w:rPr>
          <w:rFonts w:ascii="Times New Roman" w:hAnsi="Times New Roman"/>
          <w:szCs w:val="24"/>
        </w:rPr>
        <w:t xml:space="preserve">, two response propensity models </w:t>
      </w:r>
      <w:r w:rsidR="00283531">
        <w:rPr>
          <w:rFonts w:ascii="Times New Roman" w:hAnsi="Times New Roman"/>
          <w:szCs w:val="24"/>
        </w:rPr>
        <w:t>were</w:t>
      </w:r>
      <w:r w:rsidR="00FA1512">
        <w:rPr>
          <w:rFonts w:ascii="Times New Roman" w:hAnsi="Times New Roman"/>
          <w:szCs w:val="24"/>
        </w:rPr>
        <w:t xml:space="preserve"> </w:t>
      </w:r>
      <w:r w:rsidRPr="00BF2020">
        <w:rPr>
          <w:rFonts w:ascii="Times New Roman" w:hAnsi="Times New Roman"/>
          <w:szCs w:val="24"/>
        </w:rPr>
        <w:t xml:space="preserve">analyzed, </w:t>
      </w:r>
      <w:r w:rsidR="00FA1512">
        <w:rPr>
          <w:rFonts w:ascii="Times New Roman" w:hAnsi="Times New Roman"/>
          <w:szCs w:val="24"/>
        </w:rPr>
        <w:t>along with a</w:t>
      </w:r>
      <w:r w:rsidRPr="00BF2020">
        <w:rPr>
          <w:rFonts w:ascii="Times New Roman" w:hAnsi="Times New Roman"/>
          <w:szCs w:val="24"/>
        </w:rPr>
        <w:t xml:space="preserve"> time-to-event model</w:t>
      </w:r>
      <w:r w:rsidR="00292EB8">
        <w:rPr>
          <w:rFonts w:ascii="Times New Roman" w:hAnsi="Times New Roman"/>
          <w:szCs w:val="24"/>
        </w:rPr>
        <w:t>,</w:t>
      </w:r>
      <w:r w:rsidR="0048242D">
        <w:rPr>
          <w:rFonts w:ascii="Times New Roman" w:hAnsi="Times New Roman"/>
          <w:szCs w:val="24"/>
        </w:rPr>
        <w:t xml:space="preserve"> using NTPS 2015-16 data</w:t>
      </w:r>
      <w:r w:rsidRPr="00BF2020">
        <w:rPr>
          <w:rFonts w:ascii="Times New Roman" w:hAnsi="Times New Roman"/>
          <w:szCs w:val="24"/>
        </w:rPr>
        <w:t>.</w:t>
      </w:r>
    </w:p>
    <w:p w:rsidR="00BF2020" w:rsidRPr="00BF2020" w:rsidRDefault="0048242D"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48242D">
        <w:rPr>
          <w:rFonts w:ascii="Times New Roman" w:hAnsi="Times New Roman"/>
          <w:szCs w:val="24"/>
        </w:rPr>
        <w:t xml:space="preserve">The NTPS </w:t>
      </w:r>
      <w:r w:rsidR="00816EB2" w:rsidRPr="0048242D">
        <w:rPr>
          <w:rFonts w:ascii="Times New Roman" w:hAnsi="Times New Roman"/>
          <w:szCs w:val="24"/>
        </w:rPr>
        <w:t xml:space="preserve">2015-16 </w:t>
      </w:r>
      <w:r w:rsidRPr="0048242D">
        <w:rPr>
          <w:rFonts w:ascii="Times New Roman" w:hAnsi="Times New Roman"/>
          <w:szCs w:val="24"/>
        </w:rPr>
        <w:t xml:space="preserve">frame data and response status were used to create </w:t>
      </w:r>
      <w:r>
        <w:rPr>
          <w:rFonts w:ascii="Times New Roman" w:hAnsi="Times New Roman"/>
          <w:szCs w:val="24"/>
        </w:rPr>
        <w:t xml:space="preserve">the three models. </w:t>
      </w:r>
      <w:r w:rsidR="00BF2020" w:rsidRPr="00BF2020">
        <w:rPr>
          <w:rFonts w:ascii="Times New Roman" w:hAnsi="Times New Roman"/>
          <w:szCs w:val="24"/>
        </w:rPr>
        <w:t>The</w:t>
      </w:r>
      <w:r w:rsidR="00283531">
        <w:rPr>
          <w:rFonts w:ascii="Times New Roman" w:hAnsi="Times New Roman"/>
          <w:szCs w:val="24"/>
        </w:rPr>
        <w:t xml:space="preserve"> </w:t>
      </w:r>
      <w:r w:rsidR="00BF2020" w:rsidRPr="00BF2020">
        <w:rPr>
          <w:rFonts w:ascii="Times New Roman" w:hAnsi="Times New Roman"/>
          <w:szCs w:val="24"/>
        </w:rPr>
        <w:t>first response propensity model</w:t>
      </w:r>
      <w:r w:rsidR="00283531">
        <w:rPr>
          <w:rFonts w:ascii="Times New Roman" w:hAnsi="Times New Roman"/>
          <w:szCs w:val="24"/>
        </w:rPr>
        <w:t xml:space="preserve"> </w:t>
      </w:r>
      <w:r w:rsidR="00BF2020" w:rsidRPr="00BF2020">
        <w:rPr>
          <w:rFonts w:ascii="Times New Roman" w:hAnsi="Times New Roman"/>
          <w:szCs w:val="24"/>
        </w:rPr>
        <w:t>used logistic regression to predict the likelihood that a school would return a TLF by the end of data collection.</w:t>
      </w:r>
      <w:r w:rsidR="00FA1512">
        <w:rPr>
          <w:rFonts w:ascii="Times New Roman" w:hAnsi="Times New Roman"/>
          <w:szCs w:val="24"/>
        </w:rPr>
        <w:t xml:space="preserve"> </w:t>
      </w:r>
      <w:r w:rsidR="00BF2020" w:rsidRPr="00BF2020">
        <w:rPr>
          <w:rFonts w:ascii="Times New Roman" w:hAnsi="Times New Roman"/>
          <w:szCs w:val="24"/>
        </w:rPr>
        <w:t xml:space="preserve">This model was also used to calculate a TLF response propensity score for the NTPS </w:t>
      </w:r>
      <w:r w:rsidR="00292EB8" w:rsidRPr="00BF2020">
        <w:rPr>
          <w:rFonts w:ascii="Times New Roman" w:hAnsi="Times New Roman"/>
          <w:szCs w:val="24"/>
        </w:rPr>
        <w:t xml:space="preserve">2017-18 </w:t>
      </w:r>
      <w:r w:rsidR="00BF2020" w:rsidRPr="00BF2020">
        <w:rPr>
          <w:rFonts w:ascii="Times New Roman" w:hAnsi="Times New Roman"/>
          <w:szCs w:val="24"/>
        </w:rPr>
        <w:t xml:space="preserve">schools, which </w:t>
      </w:r>
      <w:r w:rsidR="00FA1512">
        <w:rPr>
          <w:rFonts w:ascii="Times New Roman" w:hAnsi="Times New Roman"/>
          <w:szCs w:val="24"/>
        </w:rPr>
        <w:t>will</w:t>
      </w:r>
      <w:r w:rsidR="00BF2020" w:rsidRPr="00BF2020">
        <w:rPr>
          <w:rFonts w:ascii="Times New Roman" w:hAnsi="Times New Roman"/>
          <w:szCs w:val="24"/>
        </w:rPr>
        <w:t xml:space="preserve"> be used in the final sort order.</w:t>
      </w:r>
      <w:r w:rsidR="00FA1512">
        <w:rPr>
          <w:rFonts w:ascii="Times New Roman" w:hAnsi="Times New Roman"/>
          <w:szCs w:val="24"/>
        </w:rPr>
        <w:t xml:space="preserve"> </w:t>
      </w:r>
      <w:r w:rsidR="00BF2020" w:rsidRPr="00BF2020">
        <w:rPr>
          <w:rFonts w:ascii="Times New Roman" w:hAnsi="Times New Roman"/>
          <w:szCs w:val="24"/>
        </w:rPr>
        <w:t>The second</w:t>
      </w:r>
      <w:r w:rsidR="00FA1512">
        <w:rPr>
          <w:rFonts w:ascii="Times New Roman" w:hAnsi="Times New Roman"/>
          <w:szCs w:val="24"/>
        </w:rPr>
        <w:t xml:space="preserve"> </w:t>
      </w:r>
      <w:r>
        <w:rPr>
          <w:rFonts w:ascii="Times New Roman" w:hAnsi="Times New Roman"/>
          <w:szCs w:val="24"/>
        </w:rPr>
        <w:t xml:space="preserve">model </w:t>
      </w:r>
      <w:r w:rsidR="00BF2020" w:rsidRPr="00BF2020">
        <w:rPr>
          <w:rFonts w:ascii="Times New Roman" w:hAnsi="Times New Roman"/>
          <w:szCs w:val="24"/>
        </w:rPr>
        <w:t>used logistic regression to predict the likelihood that a school would return the TLF early.</w:t>
      </w:r>
      <w:r w:rsidR="00283531">
        <w:rPr>
          <w:rFonts w:ascii="Times New Roman" w:hAnsi="Times New Roman"/>
          <w:szCs w:val="24"/>
        </w:rPr>
        <w:t xml:space="preserve"> In this model, t</w:t>
      </w:r>
      <w:r w:rsidR="00BF2020" w:rsidRPr="00BF2020">
        <w:rPr>
          <w:rFonts w:ascii="Times New Roman" w:hAnsi="Times New Roman"/>
          <w:szCs w:val="24"/>
        </w:rPr>
        <w:t>he school’s return of the TLF was considered early if the school returned the TLF before the date that teachers were sampled from the vendor lists in place of the TLF.</w:t>
      </w:r>
      <w:r w:rsidR="00FA1512">
        <w:rPr>
          <w:rFonts w:ascii="Times New Roman" w:hAnsi="Times New Roman"/>
          <w:szCs w:val="24"/>
        </w:rPr>
        <w:t xml:space="preserve"> </w:t>
      </w:r>
      <w:r w:rsidR="00292EB8">
        <w:rPr>
          <w:rFonts w:ascii="Times New Roman" w:hAnsi="Times New Roman"/>
          <w:szCs w:val="24"/>
        </w:rPr>
        <w:t>Lastly, t</w:t>
      </w:r>
      <w:r w:rsidR="00BF2020" w:rsidRPr="00BF2020">
        <w:rPr>
          <w:rFonts w:ascii="Times New Roman" w:hAnsi="Times New Roman"/>
          <w:szCs w:val="24"/>
        </w:rPr>
        <w:t>he time-to-response model use</w:t>
      </w:r>
      <w:r w:rsidR="00292EB8">
        <w:rPr>
          <w:rFonts w:ascii="Times New Roman" w:hAnsi="Times New Roman"/>
          <w:szCs w:val="24"/>
        </w:rPr>
        <w:t>d</w:t>
      </w:r>
      <w:r w:rsidR="00BF2020" w:rsidRPr="00BF2020">
        <w:rPr>
          <w:rFonts w:ascii="Times New Roman" w:hAnsi="Times New Roman"/>
          <w:szCs w:val="24"/>
        </w:rPr>
        <w:t xml:space="preserve"> Cox proportional hazard modeling to predict the number of days until t</w:t>
      </w:r>
      <w:r w:rsidR="00BF2020">
        <w:rPr>
          <w:rFonts w:ascii="Times New Roman" w:hAnsi="Times New Roman"/>
          <w:szCs w:val="24"/>
        </w:rPr>
        <w:t>he school would return the TLF.</w:t>
      </w:r>
    </w:p>
    <w:p w:rsid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Split-panel analysis was used to train and validate both the TLF response propensity model and the early vs. late TLF response propensity model.</w:t>
      </w:r>
      <w:r w:rsidR="00FA1512">
        <w:rPr>
          <w:rFonts w:ascii="Times New Roman" w:hAnsi="Times New Roman"/>
          <w:szCs w:val="24"/>
        </w:rPr>
        <w:t xml:space="preserve"> </w:t>
      </w:r>
      <w:r w:rsidRPr="00BF2020">
        <w:rPr>
          <w:rFonts w:ascii="Times New Roman" w:hAnsi="Times New Roman"/>
          <w:szCs w:val="24"/>
        </w:rPr>
        <w:t xml:space="preserve">Using the sort order that was used to select the NTPS public schools into sample, </w:t>
      </w:r>
      <w:r w:rsidR="00283531">
        <w:rPr>
          <w:rFonts w:ascii="Times New Roman" w:hAnsi="Times New Roman"/>
          <w:szCs w:val="24"/>
        </w:rPr>
        <w:t xml:space="preserve">data from the </w:t>
      </w:r>
      <w:r w:rsidRPr="00BF2020">
        <w:rPr>
          <w:rFonts w:ascii="Times New Roman" w:hAnsi="Times New Roman"/>
          <w:szCs w:val="24"/>
        </w:rPr>
        <w:t xml:space="preserve">NTPS </w:t>
      </w:r>
      <w:r w:rsidR="00292EB8" w:rsidRPr="00BF2020">
        <w:rPr>
          <w:rFonts w:ascii="Times New Roman" w:hAnsi="Times New Roman"/>
          <w:szCs w:val="24"/>
        </w:rPr>
        <w:t xml:space="preserve">2015-16 </w:t>
      </w:r>
      <w:r w:rsidRPr="00BF2020">
        <w:rPr>
          <w:rFonts w:ascii="Times New Roman" w:hAnsi="Times New Roman"/>
          <w:szCs w:val="24"/>
        </w:rPr>
        <w:t>public schools</w:t>
      </w:r>
      <w:r w:rsidR="00283531">
        <w:rPr>
          <w:rFonts w:ascii="Times New Roman" w:hAnsi="Times New Roman"/>
          <w:szCs w:val="24"/>
        </w:rPr>
        <w:t xml:space="preserve"> were used for this analysis and</w:t>
      </w:r>
      <w:r w:rsidRPr="00BF2020">
        <w:rPr>
          <w:rFonts w:ascii="Times New Roman" w:hAnsi="Times New Roman"/>
          <w:szCs w:val="24"/>
        </w:rPr>
        <w:t xml:space="preserve"> were divided into two equal </w:t>
      </w:r>
      <w:r>
        <w:rPr>
          <w:rFonts w:ascii="Times New Roman" w:hAnsi="Times New Roman"/>
          <w:szCs w:val="24"/>
        </w:rPr>
        <w:t xml:space="preserve">and representative partitions. </w:t>
      </w:r>
      <w:r w:rsidRPr="00BF2020">
        <w:rPr>
          <w:rFonts w:ascii="Times New Roman" w:hAnsi="Times New Roman"/>
          <w:szCs w:val="24"/>
        </w:rPr>
        <w:t>One partition would be used to train the propensity models, while the other partition would be used for model validation.</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b/>
          <w:szCs w:val="24"/>
        </w:rPr>
      </w:pPr>
      <w:r w:rsidRPr="00BF2020">
        <w:rPr>
          <w:rFonts w:ascii="Times New Roman" w:hAnsi="Times New Roman"/>
          <w:b/>
          <w:szCs w:val="24"/>
        </w:rPr>
        <w:t>Final Sort Order</w:t>
      </w:r>
    </w:p>
    <w:p w:rsidR="00BF2020" w:rsidRDefault="00BF2020" w:rsidP="00BF2020">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5B749A">
        <w:rPr>
          <w:rFonts w:ascii="Times New Roman" w:hAnsi="Times New Roman"/>
          <w:szCs w:val="24"/>
        </w:rPr>
        <w:t xml:space="preserve">After </w:t>
      </w:r>
      <w:r w:rsidR="00DB2BAA">
        <w:rPr>
          <w:rFonts w:ascii="Times New Roman" w:hAnsi="Times New Roman"/>
          <w:szCs w:val="24"/>
        </w:rPr>
        <w:t>the</w:t>
      </w:r>
      <w:r w:rsidRPr="005B749A">
        <w:rPr>
          <w:rFonts w:ascii="Times New Roman" w:hAnsi="Times New Roman"/>
          <w:szCs w:val="24"/>
        </w:rPr>
        <w:t xml:space="preserve"> three models</w:t>
      </w:r>
      <w:r w:rsidR="00DB2BAA">
        <w:rPr>
          <w:rFonts w:ascii="Times New Roman" w:hAnsi="Times New Roman"/>
          <w:szCs w:val="24"/>
        </w:rPr>
        <w:t xml:space="preserve"> </w:t>
      </w:r>
      <w:r w:rsidRPr="005B749A">
        <w:rPr>
          <w:rFonts w:ascii="Times New Roman" w:hAnsi="Times New Roman"/>
          <w:szCs w:val="24"/>
        </w:rPr>
        <w:t xml:space="preserve">were </w:t>
      </w:r>
      <w:r w:rsidR="00DB2BAA">
        <w:rPr>
          <w:rFonts w:ascii="Times New Roman" w:hAnsi="Times New Roman"/>
          <w:szCs w:val="24"/>
        </w:rPr>
        <w:t>analyzed</w:t>
      </w:r>
      <w:r w:rsidRPr="005B749A">
        <w:rPr>
          <w:rFonts w:ascii="Times New Roman" w:hAnsi="Times New Roman"/>
          <w:szCs w:val="24"/>
        </w:rPr>
        <w:t xml:space="preserve">, the covariates from the models </w:t>
      </w:r>
      <w:r>
        <w:rPr>
          <w:rFonts w:ascii="Times New Roman" w:hAnsi="Times New Roman"/>
          <w:szCs w:val="24"/>
        </w:rPr>
        <w:t xml:space="preserve">were compared for similarities. </w:t>
      </w:r>
      <w:r w:rsidRPr="005B749A">
        <w:rPr>
          <w:rFonts w:ascii="Times New Roman" w:hAnsi="Times New Roman"/>
          <w:szCs w:val="24"/>
        </w:rPr>
        <w:t>Covariates that appeared in two or three of the models were considered strong candidates for inclus</w:t>
      </w:r>
      <w:r>
        <w:rPr>
          <w:rFonts w:ascii="Times New Roman" w:hAnsi="Times New Roman"/>
          <w:szCs w:val="24"/>
        </w:rPr>
        <w:t xml:space="preserve">ion in the final sort order. </w:t>
      </w:r>
      <w:r w:rsidRPr="005B749A">
        <w:rPr>
          <w:rFonts w:ascii="Times New Roman" w:hAnsi="Times New Roman"/>
          <w:szCs w:val="24"/>
        </w:rPr>
        <w:t>However, given the sample size and number of experimental groups, not all of the model covariates could be included in the fin</w:t>
      </w:r>
      <w:r>
        <w:rPr>
          <w:rFonts w:ascii="Times New Roman" w:hAnsi="Times New Roman"/>
          <w:szCs w:val="24"/>
        </w:rPr>
        <w:t xml:space="preserve">al sort order. </w:t>
      </w:r>
      <w:r w:rsidRPr="005B749A">
        <w:rPr>
          <w:rFonts w:ascii="Times New Roman" w:hAnsi="Times New Roman"/>
          <w:szCs w:val="24"/>
        </w:rPr>
        <w:t>Using too many covariates would result in implicit strata that were too smal</w:t>
      </w:r>
      <w:r>
        <w:rPr>
          <w:rFonts w:ascii="Times New Roman" w:hAnsi="Times New Roman"/>
          <w:szCs w:val="24"/>
        </w:rPr>
        <w:t xml:space="preserve">l </w:t>
      </w:r>
      <w:r w:rsidR="00292EB8">
        <w:rPr>
          <w:rFonts w:ascii="Times New Roman" w:hAnsi="Times New Roman"/>
          <w:szCs w:val="24"/>
        </w:rPr>
        <w:t xml:space="preserve">to be </w:t>
      </w:r>
      <w:r>
        <w:rPr>
          <w:rFonts w:ascii="Times New Roman" w:hAnsi="Times New Roman"/>
          <w:szCs w:val="24"/>
        </w:rPr>
        <w:t xml:space="preserve">defined </w:t>
      </w:r>
      <w:r w:rsidR="00292EB8">
        <w:rPr>
          <w:rFonts w:ascii="Times New Roman" w:hAnsi="Times New Roman"/>
          <w:szCs w:val="24"/>
        </w:rPr>
        <w:t>as</w:t>
      </w:r>
      <w:r>
        <w:rPr>
          <w:rFonts w:ascii="Times New Roman" w:hAnsi="Times New Roman"/>
          <w:szCs w:val="24"/>
        </w:rPr>
        <w:t xml:space="preserve"> effective. </w:t>
      </w:r>
      <w:r w:rsidRPr="005B749A">
        <w:rPr>
          <w:rFonts w:ascii="Times New Roman" w:hAnsi="Times New Roman"/>
          <w:szCs w:val="24"/>
        </w:rPr>
        <w:t xml:space="preserve">The number of effective implicit strata was determined by considering the number of schools per strata, </w:t>
      </w:r>
      <w:r w:rsidR="00292EB8">
        <w:rPr>
          <w:rFonts w:ascii="Times New Roman" w:hAnsi="Times New Roman"/>
          <w:szCs w:val="24"/>
        </w:rPr>
        <w:t>and</w:t>
      </w:r>
      <w:r w:rsidRPr="005B749A">
        <w:rPr>
          <w:rFonts w:ascii="Times New Roman" w:hAnsi="Times New Roman"/>
          <w:szCs w:val="24"/>
        </w:rPr>
        <w:t xml:space="preserve"> the distribution of school characteristics within the strata.</w:t>
      </w:r>
    </w:p>
    <w:p w:rsidR="00BF2020" w:rsidRPr="00BF2020" w:rsidRDefault="00BF2020" w:rsidP="00BF2020">
      <w:pPr>
        <w:pStyle w:val="ListParagraph"/>
        <w:widowControl w:val="0"/>
        <w:tabs>
          <w:tab w:val="left" w:pos="360"/>
          <w:tab w:val="left" w:pos="2160"/>
          <w:tab w:val="left" w:pos="5040"/>
          <w:tab w:val="left" w:pos="7200"/>
        </w:tabs>
        <w:ind w:left="450"/>
        <w:rPr>
          <w:rFonts w:ascii="Times New Roman" w:hAnsi="Times New Roman"/>
          <w:szCs w:val="24"/>
        </w:rPr>
      </w:pPr>
      <w:r w:rsidRPr="00816EB2">
        <w:rPr>
          <w:rFonts w:ascii="Times New Roman" w:hAnsi="Times New Roman"/>
          <w:szCs w:val="24"/>
        </w:rPr>
        <w:t>Based on the school characteristics that are signifi</w:t>
      </w:r>
      <w:r w:rsidR="00D461D6" w:rsidRPr="00816EB2">
        <w:rPr>
          <w:rFonts w:ascii="Times New Roman" w:hAnsi="Times New Roman"/>
          <w:szCs w:val="24"/>
        </w:rPr>
        <w:t>cant predictors for TLF returns</w:t>
      </w:r>
      <w:r w:rsidRPr="00816EB2">
        <w:rPr>
          <w:rFonts w:ascii="Times New Roman" w:hAnsi="Times New Roman"/>
          <w:szCs w:val="24"/>
        </w:rPr>
        <w:t>, and the optimal number of sorting strata, the final sort order for public schools was determined to be the following:</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vendor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priority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Census region</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urba</w:t>
      </w:r>
      <w:r>
        <w:rPr>
          <w:rFonts w:ascii="Times New Roman" w:hAnsi="Times New Roman"/>
          <w:szCs w:val="24"/>
        </w:rPr>
        <w:t>n/rural locale code</w:t>
      </w:r>
      <w:r w:rsidR="00292EB8">
        <w:rPr>
          <w:rFonts w:ascii="Times New Roman" w:hAnsi="Times New Roman"/>
          <w:szCs w:val="24"/>
        </w:rPr>
        <w:t>,</w:t>
      </w:r>
    </w:p>
    <w:p w:rsidR="00FA1512"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response propensity for each school</w:t>
      </w:r>
      <w:r w:rsidR="00292EB8">
        <w:rPr>
          <w:rFonts w:ascii="Times New Roman" w:hAnsi="Times New Roman"/>
          <w:szCs w:val="24"/>
        </w:rPr>
        <w:t>, and</w:t>
      </w:r>
    </w:p>
    <w:p w:rsidR="00BF2020" w:rsidRPr="00BF2020" w:rsidRDefault="00BF2020" w:rsidP="00BF2020">
      <w:pPr>
        <w:pStyle w:val="ListParagraph"/>
        <w:widowControl w:val="0"/>
        <w:numPr>
          <w:ilvl w:val="0"/>
          <w:numId w:val="46"/>
        </w:numPr>
        <w:tabs>
          <w:tab w:val="left" w:pos="360"/>
          <w:tab w:val="left" w:pos="2160"/>
          <w:tab w:val="left" w:pos="5040"/>
          <w:tab w:val="left" w:pos="7200"/>
        </w:tabs>
        <w:spacing w:after="120"/>
        <w:ind w:left="1440"/>
        <w:rPr>
          <w:rFonts w:ascii="Times New Roman" w:hAnsi="Times New Roman"/>
          <w:szCs w:val="24"/>
        </w:rPr>
      </w:pPr>
      <w:r>
        <w:rPr>
          <w:rFonts w:ascii="Times New Roman" w:hAnsi="Times New Roman"/>
          <w:szCs w:val="24"/>
        </w:rPr>
        <w:t>random number</w:t>
      </w:r>
      <w:r w:rsidR="00292EB8">
        <w:rPr>
          <w:rFonts w:ascii="Times New Roman" w:hAnsi="Times New Roman"/>
          <w:szCs w:val="24"/>
        </w:rPr>
        <w:t>.</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2470FC">
        <w:rPr>
          <w:rFonts w:ascii="Times New Roman" w:hAnsi="Times New Roman"/>
          <w:szCs w:val="24"/>
        </w:rPr>
        <w:t xml:space="preserve">Private schools were not sampled in 2015-16, and so no predictions can be made about when </w:t>
      </w:r>
      <w:r w:rsidR="00292EB8">
        <w:rPr>
          <w:rFonts w:ascii="Times New Roman" w:hAnsi="Times New Roman"/>
          <w:szCs w:val="24"/>
        </w:rPr>
        <w:t xml:space="preserve">private </w:t>
      </w:r>
      <w:r w:rsidRPr="002470FC">
        <w:rPr>
          <w:rFonts w:ascii="Times New Roman" w:hAnsi="Times New Roman"/>
          <w:szCs w:val="24"/>
        </w:rPr>
        <w:t>schools might return the TLF</w:t>
      </w:r>
      <w:r w:rsidR="00292EB8">
        <w:rPr>
          <w:rFonts w:ascii="Times New Roman" w:hAnsi="Times New Roman"/>
          <w:szCs w:val="24"/>
        </w:rPr>
        <w:t xml:space="preserve"> in NTPS 2017-18</w:t>
      </w:r>
      <w:r w:rsidRPr="002470FC">
        <w:rPr>
          <w:rFonts w:ascii="Times New Roman" w:hAnsi="Times New Roman"/>
          <w:szCs w:val="24"/>
        </w:rPr>
        <w:t>.</w:t>
      </w:r>
      <w:r w:rsidR="00FA1512">
        <w:rPr>
          <w:rFonts w:ascii="Times New Roman" w:hAnsi="Times New Roman"/>
          <w:szCs w:val="24"/>
        </w:rPr>
        <w:t xml:space="preserve"> </w:t>
      </w:r>
      <w:r w:rsidR="00292EB8">
        <w:rPr>
          <w:rFonts w:ascii="Times New Roman" w:hAnsi="Times New Roman"/>
          <w:szCs w:val="24"/>
        </w:rPr>
        <w:t>T</w:t>
      </w:r>
      <w:r w:rsidRPr="002470FC">
        <w:rPr>
          <w:rFonts w:ascii="Times New Roman" w:hAnsi="Times New Roman"/>
          <w:szCs w:val="24"/>
        </w:rPr>
        <w:t>he response propensity models created for public schools cannot be used to predict TLF returns for private schools with any confidence.</w:t>
      </w:r>
      <w:r w:rsidR="00FA1512">
        <w:rPr>
          <w:rFonts w:ascii="Times New Roman" w:hAnsi="Times New Roman"/>
          <w:szCs w:val="24"/>
        </w:rPr>
        <w:t xml:space="preserve"> </w:t>
      </w:r>
      <w:r w:rsidRPr="002470FC">
        <w:rPr>
          <w:rFonts w:ascii="Times New Roman" w:hAnsi="Times New Roman"/>
          <w:szCs w:val="24"/>
        </w:rPr>
        <w:t>Therefore, the final sort order for private schools will not include the response propensity score, and will simply be the vendor flag, the priority flag, the Census region, the urban/rural lo</w:t>
      </w:r>
      <w:r>
        <w:rPr>
          <w:rFonts w:ascii="Times New Roman" w:hAnsi="Times New Roman"/>
          <w:szCs w:val="24"/>
        </w:rPr>
        <w:t>cale code, and a random number.</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r w:rsidRPr="00EE4D95">
        <w:rPr>
          <w:rFonts w:ascii="Times New Roman" w:hAnsi="Times New Roman" w:cs="Times New Roman"/>
          <w:b/>
          <w:i w:val="0"/>
          <w:color w:val="auto"/>
          <w:sz w:val="24"/>
          <w:szCs w:val="24"/>
        </w:rPr>
        <w:t xml:space="preserve">Table </w:t>
      </w:r>
      <w:r w:rsidR="00231C89">
        <w:rPr>
          <w:rFonts w:ascii="Times New Roman" w:hAnsi="Times New Roman" w:cs="Times New Roman"/>
          <w:b/>
          <w:i w:val="0"/>
          <w:color w:val="auto"/>
          <w:sz w:val="24"/>
          <w:szCs w:val="24"/>
        </w:rPr>
        <w:t>10</w:t>
      </w:r>
      <w:r w:rsidRPr="00EE4D95">
        <w:rPr>
          <w:rFonts w:ascii="Times New Roman" w:hAnsi="Times New Roman" w:cs="Times New Roman"/>
          <w:b/>
          <w:i w:val="0"/>
          <w:color w:val="auto"/>
          <w:sz w:val="24"/>
          <w:szCs w:val="24"/>
        </w:rPr>
        <w:t>. Breakdown of Experimental Groups into Analysis Groups</w:t>
      </w:r>
    </w:p>
    <w:tbl>
      <w:tblPr>
        <w:tblStyle w:val="TableGrid"/>
        <w:tblW w:w="0" w:type="auto"/>
        <w:tblInd w:w="655" w:type="dxa"/>
        <w:tblCellMar>
          <w:left w:w="115" w:type="dxa"/>
          <w:right w:w="115" w:type="dxa"/>
        </w:tblCellMar>
        <w:tblLook w:val="04A0" w:firstRow="1" w:lastRow="0" w:firstColumn="1" w:lastColumn="0" w:noHBand="0" w:noVBand="1"/>
      </w:tblPr>
      <w:tblGrid>
        <w:gridCol w:w="3960"/>
        <w:gridCol w:w="6120"/>
      </w:tblGrid>
      <w:tr w:rsidR="00D321F9" w:rsidRPr="00D321F9" w:rsidTr="008A162A">
        <w:tc>
          <w:tcPr>
            <w:tcW w:w="396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Description of Two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One</w:t>
            </w:r>
          </w:p>
        </w:tc>
        <w:tc>
          <w:tcPr>
            <w:tcW w:w="612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right="-35"/>
              <w:jc w:val="center"/>
              <w:rPr>
                <w:rFonts w:ascii="Times New Roman" w:hAnsi="Times New Roman"/>
                <w:b/>
                <w:sz w:val="22"/>
                <w:szCs w:val="22"/>
              </w:rPr>
            </w:pPr>
            <w:r w:rsidRPr="00D75FE6">
              <w:rPr>
                <w:rFonts w:ascii="Times New Roman" w:hAnsi="Times New Roman"/>
                <w:b/>
                <w:sz w:val="22"/>
                <w:szCs w:val="22"/>
              </w:rPr>
              <w:t>Description of Four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Two</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2, 3, and 4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and 5 – Teacher Incentive and SC/Principal Incentive</w:t>
            </w:r>
          </w:p>
        </w:tc>
      </w:tr>
      <w:tr w:rsidR="00D321F9"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w:t>
            </w:r>
            <w:r w:rsidR="008A162A" w:rsidRPr="00D75FE6">
              <w:rPr>
                <w:rFonts w:ascii="Times New Roman" w:hAnsi="Times New Roman"/>
                <w:sz w:val="22"/>
                <w:szCs w:val="22"/>
              </w:rPr>
              <w:t>ps 2 and 6 – Teacher Incentive and</w:t>
            </w: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SC/Principal Incentive</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5, 6, 7, and 8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3 and 7 – No Teacher Incentive</w:t>
            </w:r>
            <w:r w:rsidR="008A162A" w:rsidRPr="00D75FE6">
              <w:rPr>
                <w:rFonts w:ascii="Times New Roman" w:hAnsi="Times New Roman"/>
                <w:sz w:val="22"/>
                <w:szCs w:val="22"/>
              </w:rPr>
              <w:t xml:space="preserve"> and</w:t>
            </w:r>
            <w:r w:rsidRPr="00D75FE6">
              <w:rPr>
                <w:rFonts w:ascii="Times New Roman" w:hAnsi="Times New Roman"/>
                <w:sz w:val="22"/>
                <w:szCs w:val="22"/>
              </w:rPr>
              <w:t xml:space="preserve"> SC/Principal Incentive</w:t>
            </w:r>
          </w:p>
        </w:tc>
      </w:tr>
      <w:tr w:rsidR="002200BA"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4 a</w:t>
            </w:r>
            <w:r w:rsidR="008A162A" w:rsidRPr="00D75FE6">
              <w:rPr>
                <w:rFonts w:ascii="Times New Roman" w:hAnsi="Times New Roman"/>
                <w:sz w:val="22"/>
                <w:szCs w:val="22"/>
              </w:rPr>
              <w:t>nd 8 – No Teacher Incentive and</w:t>
            </w:r>
          </w:p>
          <w:p w:rsidR="002200B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w:t>
            </w:r>
            <w:r w:rsidR="002200BA" w:rsidRPr="00D75FE6">
              <w:rPr>
                <w:rFonts w:ascii="Times New Roman" w:hAnsi="Times New Roman"/>
                <w:sz w:val="22"/>
                <w:szCs w:val="22"/>
              </w:rPr>
              <w:t>o SC/Principal Incentive</w:t>
            </w:r>
          </w:p>
        </w:tc>
      </w:tr>
    </w:tbl>
    <w:p w:rsidR="002200BA" w:rsidRPr="00D321F9" w:rsidRDefault="002200BA" w:rsidP="002200BA">
      <w:pPr>
        <w:pStyle w:val="ListParagraph"/>
        <w:keepNext/>
        <w:keepLines/>
        <w:tabs>
          <w:tab w:val="left" w:pos="360"/>
          <w:tab w:val="left" w:pos="2160"/>
          <w:tab w:val="left" w:pos="5040"/>
          <w:tab w:val="left" w:pos="7200"/>
        </w:tabs>
        <w:spacing w:line="240" w:lineRule="auto"/>
        <w:rPr>
          <w:rFonts w:ascii="Times New Roman" w:hAnsi="Times New Roman"/>
          <w:szCs w:val="24"/>
        </w:rPr>
      </w:pPr>
    </w:p>
    <w:p w:rsidR="00D64876" w:rsidRDefault="002200BA"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For analysis purposes, the experimental groups will be collapsed based on phase of the experiment (breakdown shown in </w:t>
      </w:r>
      <w:r w:rsidR="00C637D0">
        <w:rPr>
          <w:rFonts w:ascii="Times New Roman" w:hAnsi="Times New Roman"/>
          <w:szCs w:val="24"/>
        </w:rPr>
        <w:t>Table 10</w:t>
      </w:r>
      <w:r w:rsidRPr="00D321F9">
        <w:rPr>
          <w:rFonts w:ascii="Times New Roman" w:hAnsi="Times New Roman"/>
          <w:szCs w:val="24"/>
        </w:rPr>
        <w:t>).</w:t>
      </w:r>
      <w:r w:rsidR="007215B4">
        <w:rPr>
          <w:rFonts w:ascii="Times New Roman" w:hAnsi="Times New Roman"/>
          <w:szCs w:val="24"/>
        </w:rPr>
        <w:t xml:space="preserve"> </w:t>
      </w:r>
      <w:r w:rsidRPr="00D321F9">
        <w:rPr>
          <w:rFonts w:ascii="Times New Roman" w:hAnsi="Times New Roman"/>
          <w:szCs w:val="24"/>
        </w:rPr>
        <w:t xml:space="preserve">For teachers that are sampled during </w:t>
      </w:r>
      <w:r w:rsidR="005B749A">
        <w:rPr>
          <w:rFonts w:ascii="Times New Roman" w:hAnsi="Times New Roman"/>
          <w:szCs w:val="24"/>
        </w:rPr>
        <w:t>Phase One</w:t>
      </w:r>
      <w:r w:rsidRPr="00D321F9">
        <w:rPr>
          <w:rFonts w:ascii="Times New Roman" w:hAnsi="Times New Roman"/>
          <w:szCs w:val="24"/>
        </w:rPr>
        <w:t>, the analysis groups will collapse into treatment (1, 2, 3, and 4) and control (5, 6, 7, and 8).</w:t>
      </w:r>
      <w:r w:rsidR="007215B4">
        <w:rPr>
          <w:rFonts w:ascii="Times New Roman" w:hAnsi="Times New Roman"/>
          <w:szCs w:val="24"/>
        </w:rPr>
        <w:t xml:space="preserve"> </w:t>
      </w:r>
      <w:r w:rsidRPr="00D321F9">
        <w:rPr>
          <w:rFonts w:ascii="Times New Roman" w:hAnsi="Times New Roman"/>
          <w:szCs w:val="24"/>
        </w:rPr>
        <w:t xml:space="preserve">For </w:t>
      </w:r>
      <w:r w:rsidR="005B749A">
        <w:rPr>
          <w:rFonts w:ascii="Times New Roman" w:hAnsi="Times New Roman"/>
          <w:szCs w:val="24"/>
        </w:rPr>
        <w:t>Phase Two</w:t>
      </w:r>
      <w:r w:rsidRPr="00D321F9">
        <w:rPr>
          <w:rFonts w:ascii="Times New Roman" w:hAnsi="Times New Roman"/>
          <w:szCs w:val="24"/>
        </w:rPr>
        <w:t>, the analysis groups will collapse into treatment one (1,</w:t>
      </w:r>
      <w:r w:rsidR="00D1085C">
        <w:rPr>
          <w:rFonts w:ascii="Times New Roman" w:hAnsi="Times New Roman"/>
          <w:szCs w:val="24"/>
        </w:rPr>
        <w:t xml:space="preserve"> </w:t>
      </w:r>
      <w:r w:rsidRPr="00D321F9">
        <w:rPr>
          <w:rFonts w:ascii="Times New Roman" w:hAnsi="Times New Roman"/>
          <w:szCs w:val="24"/>
        </w:rPr>
        <w:t>5), treatment two (2,</w:t>
      </w:r>
      <w:r w:rsidR="00D1085C">
        <w:rPr>
          <w:rFonts w:ascii="Times New Roman" w:hAnsi="Times New Roman"/>
          <w:szCs w:val="24"/>
        </w:rPr>
        <w:t xml:space="preserve"> </w:t>
      </w:r>
      <w:r w:rsidRPr="00D321F9">
        <w:rPr>
          <w:rFonts w:ascii="Times New Roman" w:hAnsi="Times New Roman"/>
          <w:szCs w:val="24"/>
        </w:rPr>
        <w:t>6), treatment three (3,</w:t>
      </w:r>
      <w:r w:rsidR="00D1085C">
        <w:rPr>
          <w:rFonts w:ascii="Times New Roman" w:hAnsi="Times New Roman"/>
          <w:szCs w:val="24"/>
        </w:rPr>
        <w:t xml:space="preserve"> </w:t>
      </w:r>
      <w:r w:rsidRPr="00D321F9">
        <w:rPr>
          <w:rFonts w:ascii="Times New Roman" w:hAnsi="Times New Roman"/>
          <w:szCs w:val="24"/>
        </w:rPr>
        <w:t>7), and control (4,</w:t>
      </w:r>
      <w:r w:rsidR="00D1085C">
        <w:rPr>
          <w:rFonts w:ascii="Times New Roman" w:hAnsi="Times New Roman"/>
          <w:szCs w:val="24"/>
        </w:rPr>
        <w:t xml:space="preserve"> </w:t>
      </w:r>
      <w:r w:rsidRPr="00D321F9">
        <w:rPr>
          <w:rFonts w:ascii="Times New Roman" w:hAnsi="Times New Roman"/>
          <w:szCs w:val="24"/>
        </w:rPr>
        <w:t>8).</w:t>
      </w:r>
    </w:p>
    <w:p w:rsidR="002470FC" w:rsidRPr="002470FC" w:rsidRDefault="00950870" w:rsidP="002470FC">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Pr>
          <w:rFonts w:ascii="Times New Roman" w:hAnsi="Times New Roman"/>
          <w:szCs w:val="24"/>
        </w:rPr>
        <w:t xml:space="preserve">The projected minimum difference </w:t>
      </w:r>
      <w:r w:rsidR="00055F16">
        <w:rPr>
          <w:rFonts w:ascii="Times New Roman" w:hAnsi="Times New Roman"/>
          <w:szCs w:val="24"/>
        </w:rPr>
        <w:t>in</w:t>
      </w:r>
      <w:r>
        <w:rPr>
          <w:rFonts w:ascii="Times New Roman" w:hAnsi="Times New Roman"/>
          <w:szCs w:val="24"/>
        </w:rPr>
        <w:t xml:space="preserve"> response r</w:t>
      </w:r>
      <w:r w:rsidRPr="00950870">
        <w:rPr>
          <w:rFonts w:ascii="Times New Roman" w:hAnsi="Times New Roman"/>
          <w:szCs w:val="24"/>
        </w:rPr>
        <w:t xml:space="preserve">ates </w:t>
      </w:r>
      <w:r w:rsidR="00055F16">
        <w:rPr>
          <w:rFonts w:ascii="Times New Roman" w:hAnsi="Times New Roman"/>
          <w:szCs w:val="24"/>
        </w:rPr>
        <w:t xml:space="preserve">that could be detected between treatment groups </w:t>
      </w:r>
      <w:r>
        <w:rPr>
          <w:rFonts w:ascii="Times New Roman" w:hAnsi="Times New Roman"/>
          <w:szCs w:val="24"/>
        </w:rPr>
        <w:t xml:space="preserve">in </w:t>
      </w:r>
      <w:r w:rsidR="005B749A">
        <w:rPr>
          <w:rFonts w:ascii="Times New Roman" w:hAnsi="Times New Roman"/>
          <w:szCs w:val="24"/>
        </w:rPr>
        <w:t>Phase One</w:t>
      </w:r>
      <w:r>
        <w:rPr>
          <w:rFonts w:ascii="Times New Roman" w:hAnsi="Times New Roman"/>
          <w:szCs w:val="24"/>
        </w:rPr>
        <w:t xml:space="preserve"> is estimated to range from 4.55% to 3.82% depending on the possible TLF response rates by the end of </w:t>
      </w:r>
      <w:r w:rsidR="005B749A">
        <w:rPr>
          <w:rFonts w:ascii="Times New Roman" w:hAnsi="Times New Roman"/>
          <w:szCs w:val="24"/>
        </w:rPr>
        <w:t>Phase One</w:t>
      </w:r>
      <w:r w:rsidR="00055F16">
        <w:rPr>
          <w:rFonts w:ascii="Times New Roman" w:hAnsi="Times New Roman"/>
          <w:szCs w:val="24"/>
        </w:rPr>
        <w:t>, estimated between 41% to 60% based on previous data from the NTPS 2015-16 collection. The projected minimum difference in response r</w:t>
      </w:r>
      <w:r w:rsidR="00055F16" w:rsidRPr="00950870">
        <w:rPr>
          <w:rFonts w:ascii="Times New Roman" w:hAnsi="Times New Roman"/>
          <w:szCs w:val="24"/>
        </w:rPr>
        <w:t xml:space="preserve">ates </w:t>
      </w:r>
      <w:r w:rsidR="00055F16">
        <w:rPr>
          <w:rFonts w:ascii="Times New Roman" w:hAnsi="Times New Roman"/>
          <w:szCs w:val="24"/>
        </w:rPr>
        <w:t xml:space="preserve">that could be detected in </w:t>
      </w:r>
      <w:r w:rsidR="005B749A">
        <w:rPr>
          <w:rFonts w:ascii="Times New Roman" w:hAnsi="Times New Roman"/>
          <w:szCs w:val="24"/>
        </w:rPr>
        <w:t>Phase Two</w:t>
      </w:r>
      <w:r w:rsidR="00055F16">
        <w:rPr>
          <w:rFonts w:ascii="Times New Roman" w:hAnsi="Times New Roman"/>
          <w:szCs w:val="24"/>
        </w:rPr>
        <w:t xml:space="preserve"> is estimated to range from 5.43% to 6.62% depending on the possible TLF response rates by the end of </w:t>
      </w:r>
      <w:r w:rsidR="005B749A">
        <w:rPr>
          <w:rFonts w:ascii="Times New Roman" w:hAnsi="Times New Roman"/>
          <w:szCs w:val="24"/>
        </w:rPr>
        <w:t>Phase Two</w:t>
      </w:r>
      <w:r w:rsidR="00055F16">
        <w:rPr>
          <w:rFonts w:ascii="Times New Roman" w:hAnsi="Times New Roman"/>
          <w:szCs w:val="24"/>
        </w:rPr>
        <w:t>, estimated between 59% to 40% based on previous data from the NTPS 2015-16 collection.</w:t>
      </w:r>
    </w:p>
    <w:p w:rsidR="007B2A84" w:rsidRDefault="0013675E"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Pr>
          <w:rFonts w:ascii="Times New Roman" w:hAnsi="Times New Roman"/>
          <w:b/>
          <w:szCs w:val="24"/>
        </w:rPr>
        <w:t>Planned</w:t>
      </w:r>
      <w:r w:rsidR="007B2A84" w:rsidRPr="007B2A84">
        <w:rPr>
          <w:rFonts w:ascii="Times New Roman" w:hAnsi="Times New Roman"/>
          <w:b/>
          <w:szCs w:val="24"/>
        </w:rPr>
        <w:t xml:space="preserve"> Analyses</w:t>
      </w:r>
      <w:r>
        <w:rPr>
          <w:rFonts w:ascii="Times New Roman" w:hAnsi="Times New Roman"/>
          <w:b/>
          <w:szCs w:val="24"/>
        </w:rPr>
        <w:t xml:space="preserve"> of Experiment</w:t>
      </w:r>
    </w:p>
    <w:p w:rsidR="007B2A84" w:rsidRPr="007B2A84" w:rsidRDefault="007B2A84"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7B2A84">
        <w:rPr>
          <w:rFonts w:ascii="Times New Roman" w:hAnsi="Times New Roman"/>
          <w:szCs w:val="24"/>
        </w:rPr>
        <w:t xml:space="preserve">Following data collection, analyses </w:t>
      </w:r>
      <w:r>
        <w:rPr>
          <w:rFonts w:ascii="Times New Roman" w:hAnsi="Times New Roman"/>
          <w:szCs w:val="24"/>
        </w:rPr>
        <w:t>will</w:t>
      </w:r>
      <w:r w:rsidRPr="007B2A84">
        <w:rPr>
          <w:rFonts w:ascii="Times New Roman" w:hAnsi="Times New Roman"/>
          <w:szCs w:val="24"/>
        </w:rPr>
        <w:t xml:space="preserve"> be done separately for the two phase</w:t>
      </w:r>
      <w:r w:rsidR="0013675E">
        <w:rPr>
          <w:rFonts w:ascii="Times New Roman" w:hAnsi="Times New Roman"/>
          <w:szCs w:val="24"/>
        </w:rPr>
        <w:t xml:space="preserve">s of the incentive experiment. </w:t>
      </w:r>
      <w:r w:rsidRPr="007B2A84">
        <w:rPr>
          <w:rFonts w:ascii="Times New Roman" w:hAnsi="Times New Roman"/>
          <w:szCs w:val="24"/>
        </w:rPr>
        <w:t xml:space="preserve">For </w:t>
      </w:r>
      <w:r w:rsidR="005B749A">
        <w:rPr>
          <w:rFonts w:ascii="Times New Roman" w:hAnsi="Times New Roman"/>
          <w:szCs w:val="24"/>
        </w:rPr>
        <w:t>Phase One</w:t>
      </w:r>
      <w:r w:rsidRPr="007B2A84">
        <w:rPr>
          <w:rFonts w:ascii="Times New Roman" w:hAnsi="Times New Roman"/>
          <w:szCs w:val="24"/>
        </w:rPr>
        <w:t xml:space="preserve">, the experimental groups will be collapsed into two analyses groups, while </w:t>
      </w:r>
      <w:r w:rsidR="005B749A">
        <w:rPr>
          <w:rFonts w:ascii="Times New Roman" w:hAnsi="Times New Roman"/>
          <w:szCs w:val="24"/>
        </w:rPr>
        <w:t>Phase Two</w:t>
      </w:r>
      <w:r w:rsidRPr="007B2A84">
        <w:rPr>
          <w:rFonts w:ascii="Times New Roman" w:hAnsi="Times New Roman"/>
          <w:szCs w:val="24"/>
        </w:rPr>
        <w:t xml:space="preserve"> can be collapsed into four analyses groups as described above.</w:t>
      </w:r>
      <w:r w:rsidR="00D64876">
        <w:rPr>
          <w:rFonts w:ascii="Times New Roman" w:hAnsi="Times New Roman"/>
          <w:szCs w:val="24"/>
        </w:rPr>
        <w:t xml:space="preserve"> </w:t>
      </w:r>
      <w:r w:rsidRPr="007B2A84">
        <w:rPr>
          <w:rFonts w:ascii="Times New Roman" w:hAnsi="Times New Roman"/>
          <w:szCs w:val="24"/>
        </w:rPr>
        <w:t>At the treatment level</w:t>
      </w:r>
      <w:r w:rsidR="00D75FE6">
        <w:rPr>
          <w:rFonts w:ascii="Times New Roman" w:hAnsi="Times New Roman"/>
          <w:szCs w:val="24"/>
        </w:rPr>
        <w:t xml:space="preserve"> (</w:t>
      </w:r>
      <w:r w:rsidRPr="007B2A84">
        <w:rPr>
          <w:rFonts w:ascii="Times New Roman" w:hAnsi="Times New Roman"/>
          <w:szCs w:val="24"/>
        </w:rPr>
        <w:t>incentive group(s) vs</w:t>
      </w:r>
      <w:r w:rsidR="008564DE">
        <w:rPr>
          <w:rFonts w:ascii="Times New Roman" w:hAnsi="Times New Roman"/>
          <w:szCs w:val="24"/>
        </w:rPr>
        <w:t>.</w:t>
      </w:r>
      <w:r w:rsidRPr="007B2A84">
        <w:rPr>
          <w:rFonts w:ascii="Times New Roman" w:hAnsi="Times New Roman"/>
          <w:szCs w:val="24"/>
        </w:rPr>
        <w:t xml:space="preserve"> control</w:t>
      </w:r>
      <w:r w:rsidR="00D75FE6">
        <w:rPr>
          <w:rFonts w:ascii="Times New Roman" w:hAnsi="Times New Roman"/>
          <w:szCs w:val="24"/>
        </w:rPr>
        <w:t>)</w:t>
      </w:r>
      <w:r w:rsidRPr="007B2A84">
        <w:rPr>
          <w:rFonts w:ascii="Times New Roman" w:hAnsi="Times New Roman"/>
          <w:szCs w:val="24"/>
        </w:rPr>
        <w:t xml:space="preserve">, </w:t>
      </w:r>
      <w:r>
        <w:rPr>
          <w:rFonts w:ascii="Times New Roman" w:hAnsi="Times New Roman"/>
          <w:szCs w:val="24"/>
        </w:rPr>
        <w:t xml:space="preserve">the following analyses </w:t>
      </w:r>
      <w:r w:rsidR="0013675E">
        <w:rPr>
          <w:rFonts w:ascii="Times New Roman" w:hAnsi="Times New Roman"/>
          <w:szCs w:val="24"/>
        </w:rPr>
        <w:t>may be</w:t>
      </w:r>
      <w:r>
        <w:rPr>
          <w:rFonts w:ascii="Times New Roman" w:hAnsi="Times New Roman"/>
          <w:szCs w:val="24"/>
        </w:rPr>
        <w:t xml:space="preserve"> examined but not limited to:</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Response rates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R-Indicators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Average number of contacts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Days to response</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Correlation between school response and teacher response behaviors</w:t>
      </w:r>
      <w:r w:rsidR="00D75FE6">
        <w:rPr>
          <w:rFonts w:ascii="Times New Roman" w:hAnsi="Times New Roman"/>
          <w:szCs w:val="24"/>
        </w:rPr>
        <w:t>, and</w:t>
      </w:r>
    </w:p>
    <w:p w:rsidR="007B2A84" w:rsidRPr="007B2A84" w:rsidRDefault="007B2A84" w:rsidP="001C779D">
      <w:pPr>
        <w:pStyle w:val="ListParagraph"/>
        <w:numPr>
          <w:ilvl w:val="0"/>
          <w:numId w:val="45"/>
        </w:numPr>
        <w:tabs>
          <w:tab w:val="left" w:pos="360"/>
        </w:tabs>
        <w:spacing w:after="120" w:line="240" w:lineRule="auto"/>
        <w:rPr>
          <w:rFonts w:ascii="Times New Roman" w:hAnsi="Times New Roman"/>
          <w:szCs w:val="24"/>
        </w:rPr>
      </w:pPr>
      <w:r w:rsidRPr="007B2A84">
        <w:rPr>
          <w:rFonts w:ascii="Times New Roman" w:hAnsi="Times New Roman"/>
          <w:szCs w:val="24"/>
        </w:rPr>
        <w:t>Data collection costs</w:t>
      </w:r>
      <w:r w:rsidR="00D75FE6">
        <w:rPr>
          <w:rFonts w:ascii="Times New Roman" w:hAnsi="Times New Roman"/>
          <w:szCs w:val="24"/>
        </w:rPr>
        <w:t>.</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response rates </w:t>
      </w:r>
      <w:r w:rsidR="008029E9">
        <w:rPr>
          <w:rFonts w:ascii="Times New Roman" w:hAnsi="Times New Roman"/>
          <w:szCs w:val="24"/>
        </w:rPr>
        <w:t>will</w:t>
      </w:r>
      <w:r w:rsidR="008029E9" w:rsidRPr="007B2A84">
        <w:rPr>
          <w:rFonts w:ascii="Times New Roman" w:hAnsi="Times New Roman"/>
          <w:szCs w:val="24"/>
        </w:rPr>
        <w:t xml:space="preserve"> </w:t>
      </w:r>
      <w:r w:rsidRPr="007B2A84">
        <w:rPr>
          <w:rFonts w:ascii="Times New Roman" w:hAnsi="Times New Roman"/>
          <w:szCs w:val="24"/>
        </w:rPr>
        <w:t>be calculated directly and compared using significance tests for differences.</w:t>
      </w:r>
      <w:r w:rsidR="00D64876">
        <w:rPr>
          <w:rFonts w:ascii="Times New Roman" w:hAnsi="Times New Roman"/>
          <w:szCs w:val="24"/>
        </w:rPr>
        <w:t xml:space="preserve"> </w:t>
      </w:r>
      <w:r w:rsidRPr="007B2A84">
        <w:rPr>
          <w:rFonts w:ascii="Times New Roman" w:hAnsi="Times New Roman"/>
          <w:szCs w:val="24"/>
        </w:rPr>
        <w:t xml:space="preserve">To account for confounding variables, a model-based approach </w:t>
      </w:r>
      <w:r w:rsidR="008029E9">
        <w:rPr>
          <w:rFonts w:ascii="Times New Roman" w:hAnsi="Times New Roman"/>
          <w:szCs w:val="24"/>
        </w:rPr>
        <w:t xml:space="preserve">will </w:t>
      </w:r>
      <w:r w:rsidRPr="007B2A84">
        <w:rPr>
          <w:rFonts w:ascii="Times New Roman" w:hAnsi="Times New Roman"/>
          <w:szCs w:val="24"/>
        </w:rPr>
        <w:t>also be calculated to determine what effect the incentive had on a case’s likelihood to response, given that case’s unique characteristics.</w:t>
      </w:r>
    </w:p>
    <w:p w:rsidR="007B2A84" w:rsidRPr="007B2A84" w:rsidRDefault="007B2A84" w:rsidP="001C779D">
      <w:pPr>
        <w:pStyle w:val="ListParagraph"/>
        <w:widowControl w:val="0"/>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used to determine the overall balance of the respondent population, as well as within each experimental group.</w:t>
      </w:r>
      <w:r w:rsidR="00D64876">
        <w:rPr>
          <w:rFonts w:ascii="Times New Roman" w:hAnsi="Times New Roman"/>
          <w:szCs w:val="24"/>
        </w:rPr>
        <w:t xml:space="preserve"> </w:t>
      </w: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calculated for the full sample, as well as variable-level and category-level partial R-indicators to determine which characteristics specifically are contributing to imbalance within the respondent population.</w:t>
      </w:r>
    </w:p>
    <w:p w:rsidR="007B2A84" w:rsidRPr="007B2A84"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The average number of contacts and average days to respond across the experimental groups </w:t>
      </w:r>
      <w:r w:rsidR="008029E9">
        <w:rPr>
          <w:rFonts w:ascii="Times New Roman" w:hAnsi="Times New Roman"/>
          <w:szCs w:val="24"/>
        </w:rPr>
        <w:t>will</w:t>
      </w:r>
      <w:r w:rsidRPr="007B2A84">
        <w:rPr>
          <w:rFonts w:ascii="Times New Roman" w:hAnsi="Times New Roman"/>
          <w:szCs w:val="24"/>
        </w:rPr>
        <w:t xml:space="preserve"> be used as a proxy</w:t>
      </w:r>
      <w:r w:rsidR="0013675E">
        <w:rPr>
          <w:rFonts w:ascii="Times New Roman" w:hAnsi="Times New Roman"/>
          <w:szCs w:val="24"/>
        </w:rPr>
        <w:t xml:space="preserve"> for timeliness of response.</w:t>
      </w:r>
      <w:r w:rsidRPr="007B2A84">
        <w:rPr>
          <w:rFonts w:ascii="Times New Roman" w:hAnsi="Times New Roman"/>
          <w:szCs w:val="24"/>
        </w:rPr>
        <w:t xml:space="preserve"> A reduction in the average number of contacts could be used to justify an incentive. If cases within an experimental group using incentives respond in a more timely fashion, which could further help increase timeliness of data releases, the use of incentives would improve the value of the data collected.</w:t>
      </w:r>
    </w:p>
    <w:p w:rsidR="00D64876"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Using data collection costs associated with each mailout, the incentive itself, and estimates for interviewer costs, an average cost-per-case can be determined within each experimental group.</w:t>
      </w:r>
      <w:r w:rsidR="00D64876">
        <w:rPr>
          <w:rFonts w:ascii="Times New Roman" w:hAnsi="Times New Roman"/>
          <w:szCs w:val="24"/>
        </w:rPr>
        <w:t xml:space="preserve"> </w:t>
      </w:r>
      <w:r w:rsidRPr="007B2A84">
        <w:rPr>
          <w:rFonts w:ascii="Times New Roman" w:hAnsi="Times New Roman"/>
          <w:szCs w:val="24"/>
        </w:rPr>
        <w:t>A reduction in cost-per-case could justify the use of incentives to reduce the overall survey cost.</w:t>
      </w:r>
      <w:r w:rsidR="00D64876">
        <w:rPr>
          <w:rFonts w:ascii="Times New Roman" w:hAnsi="Times New Roman"/>
          <w:szCs w:val="24"/>
        </w:rPr>
        <w:t xml:space="preserve"> </w:t>
      </w:r>
      <w:r w:rsidRPr="007B2A84">
        <w:rPr>
          <w:rFonts w:ascii="Times New Roman" w:hAnsi="Times New Roman"/>
          <w:szCs w:val="24"/>
        </w:rPr>
        <w:t>Using incentives might lead to more initial costs; however, if cases respond in a fewer number of contacts, specifically more costly contacts such as personal visits, this could lead to a reduction in overall cost at the end of data collection.</w:t>
      </w:r>
    </w:p>
    <w:p w:rsidR="00D1085C" w:rsidRDefault="00D1085C"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sidRPr="00D1085C">
        <w:rPr>
          <w:rFonts w:ascii="Times New Roman" w:hAnsi="Times New Roman"/>
          <w:b/>
          <w:szCs w:val="24"/>
        </w:rPr>
        <w:t>Contingency Plan</w:t>
      </w:r>
    </w:p>
    <w:p w:rsidR="00B40B4C" w:rsidRDefault="00824C9E" w:rsidP="00824C9E">
      <w:pPr>
        <w:pStyle w:val="ListParagraph"/>
        <w:spacing w:after="120"/>
        <w:ind w:left="450"/>
        <w:rPr>
          <w:rFonts w:ascii="Times New Roman" w:hAnsi="Times New Roman"/>
        </w:rPr>
      </w:pPr>
      <w:r>
        <w:rPr>
          <w:rFonts w:ascii="Times New Roman" w:hAnsi="Times New Roman"/>
        </w:rPr>
        <w:t xml:space="preserve">As noted in section B.1.2, NCES has designed the NTPS </w:t>
      </w:r>
      <w:r w:rsidR="00253DEE">
        <w:rPr>
          <w:rFonts w:ascii="Times New Roman" w:hAnsi="Times New Roman"/>
        </w:rPr>
        <w:t xml:space="preserve">for public schools </w:t>
      </w:r>
      <w:r>
        <w:rPr>
          <w:rFonts w:ascii="Times New Roman" w:hAnsi="Times New Roman"/>
        </w:rPr>
        <w:t>to provide estimates based on the following key domains</w:t>
      </w:r>
      <w:r w:rsidR="00576E75">
        <w:rPr>
          <w:rFonts w:ascii="Times New Roman" w:hAnsi="Times New Roman"/>
        </w:rPr>
        <w:t xml:space="preserve"> at the school level</w:t>
      </w:r>
      <w:r w:rsidR="00A71D93">
        <w:rPr>
          <w:rFonts w:ascii="Times New Roman" w:hAnsi="Times New Roman"/>
        </w:rPr>
        <w:t>: school type (charter or non-</w:t>
      </w:r>
      <w:r>
        <w:rPr>
          <w:rFonts w:ascii="Times New Roman" w:hAnsi="Times New Roman"/>
        </w:rPr>
        <w:t>charter); locale (city, suburban, town, rural)</w:t>
      </w:r>
      <w:r w:rsidR="00B77D05">
        <w:rPr>
          <w:rFonts w:ascii="Times New Roman" w:hAnsi="Times New Roman"/>
        </w:rPr>
        <w:t>;</w:t>
      </w:r>
      <w:r>
        <w:rPr>
          <w:rFonts w:ascii="Times New Roman" w:hAnsi="Times New Roman"/>
        </w:rPr>
        <w:t xml:space="preserve"> school level (high, middle, primary, combined)</w:t>
      </w:r>
      <w:r w:rsidR="00B77D05">
        <w:rPr>
          <w:rFonts w:ascii="Times New Roman" w:hAnsi="Times New Roman"/>
        </w:rPr>
        <w:t>;</w:t>
      </w:r>
      <w:r>
        <w:rPr>
          <w:rFonts w:ascii="Times New Roman" w:hAnsi="Times New Roman"/>
        </w:rPr>
        <w:t xml:space="preserve"> enrollment size (100-199, 200-499, 500-749, 750-999, 1,000 or more); poverty (high, low/medium); and free and reduced lunch participation (0-34%, 35-49%, 50-74%</w:t>
      </w:r>
      <w:r w:rsidR="00B40B4C">
        <w:rPr>
          <w:rFonts w:ascii="Times New Roman" w:hAnsi="Times New Roman"/>
        </w:rPr>
        <w:t>,</w:t>
      </w:r>
      <w:r>
        <w:rPr>
          <w:rFonts w:ascii="Times New Roman" w:hAnsi="Times New Roman"/>
        </w:rPr>
        <w:t xml:space="preserve"> 75% or more).</w:t>
      </w:r>
      <w:r w:rsidR="00576E75">
        <w:rPr>
          <w:rFonts w:ascii="Times New Roman" w:hAnsi="Times New Roman"/>
        </w:rPr>
        <w:t xml:space="preserve"> Additionally, for NTPS 2017-18 public schools, individual states are also published domains. </w:t>
      </w:r>
      <w:r>
        <w:rPr>
          <w:rFonts w:ascii="Times New Roman" w:hAnsi="Times New Roman"/>
        </w:rPr>
        <w:t xml:space="preserve">For private schools, the targeted domains </w:t>
      </w:r>
      <w:r w:rsidR="00E976A2">
        <w:rPr>
          <w:rFonts w:ascii="Times New Roman" w:hAnsi="Times New Roman"/>
        </w:rPr>
        <w:t xml:space="preserve">at the school level </w:t>
      </w:r>
      <w:r>
        <w:rPr>
          <w:rFonts w:ascii="Times New Roman" w:hAnsi="Times New Roman"/>
        </w:rPr>
        <w:t>are affiliation (Catholic, Other religious, nonsectarian); level (elementary, secondary, combined); and region (Northeast, Midwest, South, West).</w:t>
      </w:r>
      <w:r w:rsidR="00B40B4C">
        <w:rPr>
          <w:rFonts w:ascii="Times New Roman" w:hAnsi="Times New Roman"/>
        </w:rPr>
        <w:t xml:space="preserve"> </w:t>
      </w:r>
      <w:r w:rsidR="00576E75">
        <w:rPr>
          <w:rFonts w:ascii="Times New Roman" w:hAnsi="Times New Roman"/>
        </w:rPr>
        <w:t>At</w:t>
      </w:r>
      <w:r w:rsidR="00E976A2">
        <w:rPr>
          <w:rFonts w:ascii="Times New Roman" w:hAnsi="Times New Roman"/>
        </w:rPr>
        <w:t xml:space="preserve"> the teacher level</w:t>
      </w:r>
      <w:r w:rsidR="00576E75">
        <w:rPr>
          <w:rFonts w:ascii="Times New Roman" w:hAnsi="Times New Roman"/>
        </w:rPr>
        <w:t xml:space="preserve">, </w:t>
      </w:r>
      <w:r w:rsidR="00E976A2">
        <w:rPr>
          <w:rFonts w:ascii="Times New Roman" w:hAnsi="Times New Roman"/>
        </w:rPr>
        <w:t xml:space="preserve">NCES seeks to publish data </w:t>
      </w:r>
      <w:r w:rsidR="00576E75">
        <w:rPr>
          <w:rFonts w:ascii="Times New Roman" w:hAnsi="Times New Roman"/>
        </w:rPr>
        <w:t>for all of the domains mentioned above</w:t>
      </w:r>
      <w:r w:rsidR="00AA74E4">
        <w:rPr>
          <w:rFonts w:ascii="Times New Roman" w:hAnsi="Times New Roman"/>
        </w:rPr>
        <w:t xml:space="preserve">, </w:t>
      </w:r>
      <w:r w:rsidR="00576E75">
        <w:rPr>
          <w:rFonts w:ascii="Times New Roman" w:hAnsi="Times New Roman"/>
        </w:rPr>
        <w:t xml:space="preserve">as well as by special teacher domains including </w:t>
      </w:r>
      <w:r w:rsidR="00E976A2">
        <w:rPr>
          <w:rFonts w:ascii="Times New Roman" w:hAnsi="Times New Roman"/>
        </w:rPr>
        <w:t>subject matter areas (Elementary, English, Math, Science, Social Science, Special Ed, Vocational, and Other)</w:t>
      </w:r>
      <w:r w:rsidR="00576E75">
        <w:rPr>
          <w:rFonts w:ascii="Times New Roman" w:hAnsi="Times New Roman"/>
        </w:rPr>
        <w:t xml:space="preserve">, </w:t>
      </w:r>
      <w:r w:rsidR="00576E75" w:rsidRPr="00576E75">
        <w:rPr>
          <w:rFonts w:ascii="Times New Roman" w:hAnsi="Times New Roman"/>
        </w:rPr>
        <w:t>teacher race (Black, Hispanic, Other)</w:t>
      </w:r>
      <w:r w:rsidR="00576E75">
        <w:rPr>
          <w:rFonts w:ascii="Times New Roman" w:hAnsi="Times New Roman"/>
        </w:rPr>
        <w:t>,</w:t>
      </w:r>
      <w:r w:rsidR="00576E75" w:rsidRPr="00576E75">
        <w:rPr>
          <w:rFonts w:ascii="Times New Roman" w:hAnsi="Times New Roman"/>
        </w:rPr>
        <w:t xml:space="preserve"> and teacher experience (1 to 3 years, 4 to 9 years, 10 to 19 years, 20+ years).</w:t>
      </w:r>
      <w:r w:rsidR="00576E75">
        <w:rPr>
          <w:rFonts w:ascii="Times New Roman" w:hAnsi="Times New Roman"/>
        </w:rPr>
        <w:t xml:space="preserve"> </w:t>
      </w:r>
      <w:r>
        <w:rPr>
          <w:rFonts w:ascii="Times New Roman" w:hAnsi="Times New Roman"/>
        </w:rPr>
        <w:t>NCES statistical standards indicate that in order to publish data</w:t>
      </w:r>
      <w:r w:rsidR="00B40B4C">
        <w:rPr>
          <w:rFonts w:ascii="Times New Roman" w:hAnsi="Times New Roman"/>
        </w:rPr>
        <w:t xml:space="preserve"> from a study,</w:t>
      </w:r>
      <w:r>
        <w:rPr>
          <w:rFonts w:ascii="Times New Roman" w:hAnsi="Times New Roman"/>
        </w:rPr>
        <w:t xml:space="preserve"> the coefficient of variation (CV)</w:t>
      </w:r>
      <w:r w:rsidR="006971B5">
        <w:rPr>
          <w:rFonts w:ascii="Times New Roman" w:hAnsi="Times New Roman"/>
        </w:rPr>
        <w:t xml:space="preserve"> must not be greater than 50%. </w:t>
      </w:r>
      <w:r>
        <w:rPr>
          <w:rFonts w:ascii="Times New Roman" w:hAnsi="Times New Roman"/>
        </w:rPr>
        <w:t xml:space="preserve">Further, CV’s of 30% or more must be flagged in tables. </w:t>
      </w:r>
      <w:r w:rsidRPr="00824C9E">
        <w:rPr>
          <w:rFonts w:ascii="Times New Roman" w:hAnsi="Times New Roman"/>
        </w:rPr>
        <w:t>As indicated in B.1.2, NTPS 2017-18 has been designed to achieve a minimum CV of 25% for key domains.</w:t>
      </w:r>
      <w:r w:rsidR="00B40B4C">
        <w:rPr>
          <w:rFonts w:ascii="Times New Roman" w:hAnsi="Times New Roman"/>
        </w:rPr>
        <w:t xml:space="preserve"> </w:t>
      </w:r>
      <w:r w:rsidRPr="00824C9E">
        <w:rPr>
          <w:rFonts w:ascii="Times New Roman" w:hAnsi="Times New Roman"/>
        </w:rPr>
        <w:t>During the 2015-16 data collection, NCES and Census began tracking the response rate in each of these domains on a weekly basis to proactively identify groups where the CV may fall out of NCES standards.</w:t>
      </w:r>
    </w:p>
    <w:p w:rsidR="00824C9E" w:rsidRPr="00824C9E" w:rsidRDefault="00824C9E" w:rsidP="00824C9E">
      <w:pPr>
        <w:pStyle w:val="ListParagraph"/>
        <w:spacing w:after="120"/>
        <w:ind w:left="450"/>
        <w:rPr>
          <w:rFonts w:ascii="Times New Roman" w:hAnsi="Times New Roman"/>
          <w:color w:val="000000" w:themeColor="text1"/>
        </w:rPr>
      </w:pPr>
      <w:r w:rsidRPr="00824C9E">
        <w:rPr>
          <w:rFonts w:ascii="Times New Roman" w:hAnsi="Times New Roman"/>
        </w:rPr>
        <w:t xml:space="preserve">In 2017-18, we plan to test offering an incentive to teachers if they belong to a domain that is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of not meeting NCES reporting standards towards the end of data collection.</w:t>
      </w:r>
      <w:r w:rsidR="00B40B4C">
        <w:rPr>
          <w:rFonts w:ascii="Times New Roman" w:hAnsi="Times New Roman"/>
        </w:rPr>
        <w:t xml:space="preserve"> </w:t>
      </w:r>
      <w:r w:rsidRPr="00824C9E">
        <w:rPr>
          <w:rFonts w:ascii="Times New Roman" w:hAnsi="Times New Roman"/>
        </w:rPr>
        <w:t>We refer to this as</w:t>
      </w:r>
      <w:r w:rsidRPr="00824C9E">
        <w:rPr>
          <w:rFonts w:ascii="Times New Roman" w:hAnsi="Times New Roman"/>
          <w:color w:val="FF0000"/>
        </w:rPr>
        <w:t xml:space="preserve"> </w:t>
      </w:r>
      <w:r w:rsidRPr="00824C9E">
        <w:rPr>
          <w:rFonts w:ascii="Times New Roman" w:hAnsi="Times New Roman"/>
          <w:color w:val="000000" w:themeColor="text1"/>
        </w:rPr>
        <w:t xml:space="preserve">the </w:t>
      </w:r>
      <w:r w:rsidRPr="00824C9E">
        <w:rPr>
          <w:rFonts w:ascii="Times New Roman" w:hAnsi="Times New Roman"/>
        </w:rPr>
        <w:t>‘contingency plan’ since it will only be activated if needed during data collection.</w:t>
      </w:r>
      <w:r w:rsidR="00B40B4C">
        <w:rPr>
          <w:rFonts w:ascii="Times New Roman" w:hAnsi="Times New Roman"/>
        </w:rPr>
        <w:t xml:space="preserve"> </w:t>
      </w:r>
      <w:r w:rsidRPr="00824C9E">
        <w:rPr>
          <w:rFonts w:ascii="Times New Roman" w:hAnsi="Times New Roman"/>
        </w:rPr>
        <w:t xml:space="preserve">NCES will monitor actual and expected response in each of the </w:t>
      </w:r>
      <w:r w:rsidR="006971B5">
        <w:rPr>
          <w:rFonts w:ascii="Times New Roman" w:hAnsi="Times New Roman"/>
        </w:rPr>
        <w:t>key domains on a weekly basis. </w:t>
      </w:r>
      <w:r w:rsidRPr="00824C9E">
        <w:rPr>
          <w:rFonts w:ascii="Times New Roman" w:hAnsi="Times New Roman"/>
        </w:rPr>
        <w:t xml:space="preserve">If a domain is determined to be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w:t>
      </w:r>
      <w:r w:rsidR="005E7814">
        <w:rPr>
          <w:rFonts w:ascii="Times New Roman" w:hAnsi="Times New Roman"/>
        </w:rPr>
        <w:t>(at risk for</w:t>
      </w:r>
      <w:r w:rsidR="008029E9">
        <w:rPr>
          <w:rFonts w:ascii="Times New Roman" w:hAnsi="Times New Roman"/>
        </w:rPr>
        <w:t xml:space="preserve"> meeting NCES </w:t>
      </w:r>
      <w:r w:rsidR="005E7814">
        <w:rPr>
          <w:rFonts w:ascii="Times New Roman" w:hAnsi="Times New Roman"/>
        </w:rPr>
        <w:t>publishability</w:t>
      </w:r>
      <w:r w:rsidR="008029E9">
        <w:rPr>
          <w:rFonts w:ascii="Times New Roman" w:hAnsi="Times New Roman"/>
        </w:rPr>
        <w:t xml:space="preserve"> standards</w:t>
      </w:r>
      <w:r w:rsidR="00124EB6">
        <w:rPr>
          <w:rFonts w:ascii="Times New Roman" w:hAnsi="Times New Roman"/>
        </w:rPr>
        <w:t>) by</w:t>
      </w:r>
      <w:r w:rsidRPr="00824C9E">
        <w:rPr>
          <w:rFonts w:ascii="Times New Roman" w:hAnsi="Times New Roman"/>
          <w:color w:val="000000" w:themeColor="text1"/>
        </w:rPr>
        <w:t xml:space="preserve"> </w:t>
      </w:r>
      <w:r w:rsidR="00BC7C8C">
        <w:rPr>
          <w:rFonts w:ascii="Times New Roman" w:hAnsi="Times New Roman"/>
          <w:color w:val="000000" w:themeColor="text1"/>
        </w:rPr>
        <w:t xml:space="preserve">February 12, </w:t>
      </w:r>
      <w:r w:rsidRPr="00824C9E">
        <w:rPr>
          <w:rFonts w:ascii="Times New Roman" w:hAnsi="Times New Roman"/>
          <w:color w:val="000000" w:themeColor="text1"/>
        </w:rPr>
        <w:t xml:space="preserve">2018, </w:t>
      </w:r>
      <w:r w:rsidRPr="00824C9E">
        <w:rPr>
          <w:rFonts w:ascii="Times New Roman" w:hAnsi="Times New Roman"/>
        </w:rPr>
        <w:t>NCES will activate the contingency plan.</w:t>
      </w:r>
      <w:r w:rsidR="00B40B4C">
        <w:rPr>
          <w:rFonts w:ascii="Times New Roman" w:hAnsi="Times New Roman"/>
        </w:rPr>
        <w:t xml:space="preserve"> </w:t>
      </w:r>
      <w:r w:rsidRPr="00824C9E">
        <w:rPr>
          <w:rFonts w:ascii="Times New Roman" w:hAnsi="Times New Roman"/>
        </w:rPr>
        <w:t>Since this is the first year utilizing a contingency incentive</w:t>
      </w:r>
      <w:r w:rsidR="00B40B4C">
        <w:rPr>
          <w:rFonts w:ascii="Times New Roman" w:hAnsi="Times New Roman"/>
        </w:rPr>
        <w:t>,</w:t>
      </w:r>
      <w:r w:rsidRPr="00824C9E">
        <w:rPr>
          <w:rFonts w:ascii="Times New Roman" w:hAnsi="Times New Roman"/>
        </w:rPr>
        <w:t xml:space="preserve"> it will be done as an experiment with a control group that does not receive the incentive.</w:t>
      </w:r>
      <w:r w:rsidRPr="00824C9E">
        <w:rPr>
          <w:rFonts w:ascii="Times New Roman" w:hAnsi="Times New Roman"/>
          <w:color w:val="FF0000"/>
        </w:rPr>
        <w:t xml:space="preserve"> </w:t>
      </w:r>
      <w:r w:rsidRPr="00824C9E">
        <w:rPr>
          <w:rFonts w:ascii="Times New Roman" w:hAnsi="Times New Roman"/>
        </w:rPr>
        <w:t xml:space="preserve">While the plan is aimed at improving teacher response rates, </w:t>
      </w:r>
      <w:r w:rsidR="00442540" w:rsidRPr="00824C9E">
        <w:rPr>
          <w:rFonts w:ascii="Times New Roman" w:hAnsi="Times New Roman"/>
        </w:rPr>
        <w:t>because we expect teachers within a sc</w:t>
      </w:r>
      <w:r w:rsidR="00442540">
        <w:rPr>
          <w:rFonts w:ascii="Times New Roman" w:hAnsi="Times New Roman"/>
        </w:rPr>
        <w:t xml:space="preserve">hool to discuss the study, we will select </w:t>
      </w:r>
      <w:r w:rsidRPr="00824C9E">
        <w:rPr>
          <w:rFonts w:ascii="Times New Roman" w:hAnsi="Times New Roman"/>
        </w:rPr>
        <w:t>schools based on meeting c</w:t>
      </w:r>
      <w:r w:rsidR="006971B5">
        <w:rPr>
          <w:rFonts w:ascii="Times New Roman" w:hAnsi="Times New Roman"/>
        </w:rPr>
        <w:t>riteria of the d</w:t>
      </w:r>
      <w:r w:rsidR="00442540">
        <w:rPr>
          <w:rFonts w:ascii="Times New Roman" w:hAnsi="Times New Roman"/>
        </w:rPr>
        <w:t>omain at risk and all teachers within the school will be subject to the same treatment</w:t>
      </w:r>
      <w:r w:rsidR="006971B5">
        <w:rPr>
          <w:rFonts w:ascii="Times New Roman" w:hAnsi="Times New Roman"/>
        </w:rPr>
        <w:t>. </w:t>
      </w:r>
      <w:r w:rsidR="00442540">
        <w:rPr>
          <w:rFonts w:ascii="Times New Roman" w:hAnsi="Times New Roman"/>
        </w:rPr>
        <w:t xml:space="preserve">We believe that </w:t>
      </w:r>
      <w:r w:rsidRPr="00824C9E">
        <w:rPr>
          <w:rFonts w:ascii="Times New Roman" w:hAnsi="Times New Roman"/>
        </w:rPr>
        <w:t xml:space="preserve">if some teachers in the school </w:t>
      </w:r>
      <w:r w:rsidR="00442540">
        <w:rPr>
          <w:rFonts w:ascii="Times New Roman" w:hAnsi="Times New Roman"/>
        </w:rPr>
        <w:t xml:space="preserve">were to </w:t>
      </w:r>
      <w:r w:rsidRPr="00824C9E">
        <w:rPr>
          <w:rFonts w:ascii="Times New Roman" w:hAnsi="Times New Roman"/>
        </w:rPr>
        <w:t xml:space="preserve">receive an incentive and others not, it </w:t>
      </w:r>
      <w:r w:rsidR="00442540">
        <w:rPr>
          <w:rFonts w:ascii="Times New Roman" w:hAnsi="Times New Roman"/>
        </w:rPr>
        <w:t>w</w:t>
      </w:r>
      <w:r w:rsidRPr="00824C9E">
        <w:rPr>
          <w:rFonts w:ascii="Times New Roman" w:hAnsi="Times New Roman"/>
        </w:rPr>
        <w:t>ould negatively impact current and fut</w:t>
      </w:r>
      <w:r w:rsidR="006971B5">
        <w:rPr>
          <w:rFonts w:ascii="Times New Roman" w:hAnsi="Times New Roman"/>
        </w:rPr>
        <w:t>ure response from that school. </w:t>
      </w:r>
      <w:r w:rsidRPr="00824C9E">
        <w:rPr>
          <w:rFonts w:ascii="Times New Roman" w:hAnsi="Times New Roman"/>
        </w:rPr>
        <w:t>We expect</w:t>
      </w:r>
      <w:r w:rsidR="00442540">
        <w:rPr>
          <w:rFonts w:ascii="Times New Roman" w:hAnsi="Times New Roman"/>
        </w:rPr>
        <w:t xml:space="preserve"> that</w:t>
      </w:r>
      <w:r w:rsidRPr="00824C9E">
        <w:rPr>
          <w:rFonts w:ascii="Times New Roman" w:hAnsi="Times New Roman"/>
        </w:rPr>
        <w:t xml:space="preserve"> at the time the incentive is activated, some teachers at the school will h</w:t>
      </w:r>
      <w:r w:rsidR="006971B5">
        <w:rPr>
          <w:rFonts w:ascii="Times New Roman" w:hAnsi="Times New Roman"/>
        </w:rPr>
        <w:t>ave already responded to NTPS. </w:t>
      </w:r>
      <w:r w:rsidRPr="00824C9E">
        <w:rPr>
          <w:rFonts w:ascii="Times New Roman" w:hAnsi="Times New Roman"/>
        </w:rPr>
        <w:t xml:space="preserve">We plan to provide these teachers with the </w:t>
      </w:r>
      <w:r w:rsidR="00442540">
        <w:rPr>
          <w:rFonts w:ascii="Times New Roman" w:hAnsi="Times New Roman"/>
        </w:rPr>
        <w:t xml:space="preserve">contingency </w:t>
      </w:r>
      <w:r w:rsidRPr="00824C9E">
        <w:rPr>
          <w:rFonts w:ascii="Times New Roman" w:hAnsi="Times New Roman"/>
        </w:rPr>
        <w:t>in</w:t>
      </w:r>
      <w:r w:rsidRPr="00824C9E">
        <w:rPr>
          <w:rFonts w:ascii="Times New Roman" w:hAnsi="Times New Roman"/>
          <w:color w:val="000000" w:themeColor="text1"/>
        </w:rPr>
        <w:t xml:space="preserve">centive </w:t>
      </w:r>
      <w:r w:rsidR="00442540">
        <w:rPr>
          <w:rFonts w:ascii="Times New Roman" w:hAnsi="Times New Roman"/>
          <w:color w:val="000000" w:themeColor="text1"/>
        </w:rPr>
        <w:t xml:space="preserve">level selected for that school </w:t>
      </w:r>
      <w:r w:rsidRPr="00824C9E">
        <w:rPr>
          <w:rFonts w:ascii="Times New Roman" w:hAnsi="Times New Roman"/>
          <w:color w:val="000000" w:themeColor="text1"/>
        </w:rPr>
        <w:t>as a tha</w:t>
      </w:r>
      <w:r w:rsidR="006971B5">
        <w:rPr>
          <w:rFonts w:ascii="Times New Roman" w:hAnsi="Times New Roman"/>
          <w:color w:val="000000" w:themeColor="text1"/>
        </w:rPr>
        <w:t>nk you for their participation.</w:t>
      </w:r>
      <w:r w:rsidRPr="00824C9E">
        <w:rPr>
          <w:rFonts w:ascii="Times New Roman" w:hAnsi="Times New Roman"/>
          <w:color w:val="000000" w:themeColor="text1"/>
        </w:rPr>
        <w:t xml:space="preserve"> For all other teachers in the school, the </w:t>
      </w:r>
      <w:r w:rsidR="00442540">
        <w:rPr>
          <w:rFonts w:ascii="Times New Roman" w:hAnsi="Times New Roman"/>
          <w:color w:val="000000" w:themeColor="text1"/>
        </w:rPr>
        <w:t xml:space="preserve">same </w:t>
      </w:r>
      <w:r w:rsidRPr="00824C9E">
        <w:rPr>
          <w:rFonts w:ascii="Times New Roman" w:hAnsi="Times New Roman"/>
          <w:color w:val="000000" w:themeColor="text1"/>
        </w:rPr>
        <w:t>incentive will be ‘prepaid’ and no</w:t>
      </w:r>
      <w:r w:rsidR="006971B5">
        <w:rPr>
          <w:rFonts w:ascii="Times New Roman" w:hAnsi="Times New Roman"/>
          <w:color w:val="000000" w:themeColor="text1"/>
        </w:rPr>
        <w:t xml:space="preserve">t </w:t>
      </w:r>
      <w:r w:rsidR="00442540">
        <w:rPr>
          <w:rFonts w:ascii="Times New Roman" w:hAnsi="Times New Roman"/>
          <w:color w:val="000000" w:themeColor="text1"/>
        </w:rPr>
        <w:t>conditional</w:t>
      </w:r>
      <w:r w:rsidR="006971B5">
        <w:rPr>
          <w:rFonts w:ascii="Times New Roman" w:hAnsi="Times New Roman"/>
          <w:color w:val="000000" w:themeColor="text1"/>
        </w:rPr>
        <w:t xml:space="preserve"> on their response.</w:t>
      </w:r>
      <w:r w:rsidRPr="00824C9E">
        <w:rPr>
          <w:rFonts w:ascii="Times New Roman" w:hAnsi="Times New Roman"/>
          <w:color w:val="000000" w:themeColor="text1"/>
        </w:rPr>
        <w:t xml:space="preserve"> </w:t>
      </w:r>
      <w:r w:rsidR="00442540">
        <w:rPr>
          <w:rFonts w:ascii="Times New Roman" w:hAnsi="Times New Roman"/>
          <w:color w:val="000000" w:themeColor="text1"/>
        </w:rPr>
        <w:t>Given that</w:t>
      </w:r>
      <w:r w:rsidRPr="00824C9E">
        <w:rPr>
          <w:rFonts w:ascii="Times New Roman" w:hAnsi="Times New Roman"/>
          <w:color w:val="000000" w:themeColor="text1"/>
        </w:rPr>
        <w:t xml:space="preserve"> schools selected </w:t>
      </w:r>
      <w:r w:rsidR="006971B5">
        <w:rPr>
          <w:rFonts w:ascii="Times New Roman" w:hAnsi="Times New Roman"/>
          <w:color w:val="000000" w:themeColor="text1"/>
        </w:rPr>
        <w:t>for the contingency plan incentive will be</w:t>
      </w:r>
      <w:r w:rsidR="006971B5" w:rsidRPr="00824C9E">
        <w:rPr>
          <w:rFonts w:ascii="Times New Roman" w:hAnsi="Times New Roman"/>
          <w:color w:val="000000" w:themeColor="text1"/>
        </w:rPr>
        <w:t xml:space="preserve"> </w:t>
      </w:r>
      <w:r w:rsidRPr="00824C9E">
        <w:rPr>
          <w:rFonts w:ascii="Times New Roman" w:hAnsi="Times New Roman"/>
          <w:color w:val="000000" w:themeColor="text1"/>
        </w:rPr>
        <w:t xml:space="preserve">based on the </w:t>
      </w:r>
      <w:r w:rsidR="006971B5">
        <w:rPr>
          <w:rFonts w:ascii="Times New Roman" w:hAnsi="Times New Roman"/>
          <w:color w:val="000000" w:themeColor="text1"/>
        </w:rPr>
        <w:t>number</w:t>
      </w:r>
      <w:r w:rsidRPr="00824C9E">
        <w:rPr>
          <w:rFonts w:ascii="Times New Roman" w:hAnsi="Times New Roman"/>
          <w:color w:val="000000" w:themeColor="text1"/>
        </w:rPr>
        <w:t xml:space="preserve"> of teachers</w:t>
      </w:r>
      <w:r w:rsidR="006971B5">
        <w:rPr>
          <w:rFonts w:ascii="Times New Roman" w:hAnsi="Times New Roman"/>
          <w:color w:val="000000" w:themeColor="text1"/>
        </w:rPr>
        <w:t xml:space="preserve"> in</w:t>
      </w:r>
      <w:r w:rsidRPr="00824C9E">
        <w:rPr>
          <w:rFonts w:ascii="Times New Roman" w:hAnsi="Times New Roman"/>
          <w:color w:val="000000" w:themeColor="text1"/>
        </w:rPr>
        <w:t xml:space="preserve"> </w:t>
      </w:r>
      <w:r w:rsidR="006971B5">
        <w:rPr>
          <w:rFonts w:ascii="Times New Roman" w:hAnsi="Times New Roman"/>
          <w:color w:val="000000" w:themeColor="text1"/>
        </w:rPr>
        <w:t xml:space="preserve">the </w:t>
      </w:r>
      <w:r w:rsidR="0020631E">
        <w:rPr>
          <w:rFonts w:ascii="Times New Roman" w:hAnsi="Times New Roman"/>
          <w:color w:val="000000" w:themeColor="text1"/>
        </w:rPr>
        <w:t>‘</w:t>
      </w:r>
      <w:r w:rsidR="006971B5">
        <w:rPr>
          <w:rFonts w:ascii="Times New Roman" w:hAnsi="Times New Roman"/>
          <w:color w:val="000000" w:themeColor="text1"/>
        </w:rPr>
        <w:t>at-risk</w:t>
      </w:r>
      <w:r w:rsidR="0020631E">
        <w:rPr>
          <w:rFonts w:ascii="Times New Roman" w:hAnsi="Times New Roman"/>
          <w:color w:val="000000" w:themeColor="text1"/>
        </w:rPr>
        <w:t>’</w:t>
      </w:r>
      <w:r w:rsidR="006971B5">
        <w:rPr>
          <w:rFonts w:ascii="Times New Roman" w:hAnsi="Times New Roman"/>
          <w:color w:val="000000" w:themeColor="text1"/>
        </w:rPr>
        <w:t xml:space="preserve"> domain</w:t>
      </w:r>
      <w:r w:rsidRPr="00824C9E">
        <w:rPr>
          <w:rFonts w:ascii="Times New Roman" w:hAnsi="Times New Roman"/>
          <w:color w:val="000000" w:themeColor="text1"/>
        </w:rPr>
        <w:t>, selection</w:t>
      </w:r>
      <w:r w:rsidR="006971B5">
        <w:rPr>
          <w:rFonts w:ascii="Times New Roman" w:hAnsi="Times New Roman"/>
          <w:color w:val="000000" w:themeColor="text1"/>
        </w:rPr>
        <w:t xml:space="preserve"> for this </w:t>
      </w:r>
      <w:r w:rsidRPr="00824C9E">
        <w:rPr>
          <w:rFonts w:ascii="Times New Roman" w:hAnsi="Times New Roman"/>
          <w:color w:val="000000" w:themeColor="text1"/>
        </w:rPr>
        <w:t>will be independent of the m</w:t>
      </w:r>
      <w:r w:rsidR="006971B5">
        <w:rPr>
          <w:rFonts w:ascii="Times New Roman" w:hAnsi="Times New Roman"/>
          <w:color w:val="000000" w:themeColor="text1"/>
        </w:rPr>
        <w:t>ain NTPS incentive experiment. </w:t>
      </w:r>
      <w:r w:rsidRPr="00824C9E">
        <w:rPr>
          <w:rFonts w:ascii="Times New Roman" w:hAnsi="Times New Roman"/>
          <w:color w:val="000000" w:themeColor="text1"/>
        </w:rPr>
        <w:t>Consistent with the other NTPS 2017-18 procedures, the incentive amount will vary between prio</w:t>
      </w:r>
      <w:r w:rsidR="006971B5">
        <w:rPr>
          <w:rFonts w:ascii="Times New Roman" w:hAnsi="Times New Roman"/>
          <w:color w:val="000000" w:themeColor="text1"/>
        </w:rPr>
        <w:t xml:space="preserve">rity and non-priority schools. </w:t>
      </w:r>
      <w:r w:rsidRPr="00824C9E">
        <w:rPr>
          <w:rFonts w:ascii="Times New Roman" w:hAnsi="Times New Roman"/>
          <w:color w:val="000000" w:themeColor="text1"/>
        </w:rPr>
        <w:t>Teachers in selected non-priority schools will receive a pre-paid $10 gift card with their third mail-out or thank-you letter</w:t>
      </w:r>
      <w:r w:rsidR="00442540">
        <w:rPr>
          <w:rFonts w:ascii="Times New Roman" w:hAnsi="Times New Roman"/>
          <w:color w:val="000000" w:themeColor="text1"/>
        </w:rPr>
        <w:t>,</w:t>
      </w:r>
      <w:r w:rsidRPr="00824C9E">
        <w:rPr>
          <w:rFonts w:ascii="Times New Roman" w:hAnsi="Times New Roman"/>
          <w:color w:val="000000" w:themeColor="text1"/>
        </w:rPr>
        <w:t xml:space="preserve"> and teachers in selected priority schools will receive a pre-paid $20 gift card </w:t>
      </w:r>
      <w:r w:rsidR="00854AB6">
        <w:rPr>
          <w:rFonts w:ascii="Times New Roman" w:hAnsi="Times New Roman"/>
          <w:color w:val="000000" w:themeColor="text1"/>
        </w:rPr>
        <w:t>i</w:t>
      </w:r>
      <w:r w:rsidRPr="00824C9E">
        <w:rPr>
          <w:rFonts w:ascii="Times New Roman" w:hAnsi="Times New Roman"/>
          <w:color w:val="000000" w:themeColor="text1"/>
        </w:rPr>
        <w:t>ncentive with their third mail-out or thank-you letter.</w:t>
      </w:r>
    </w:p>
    <w:p w:rsidR="00B40B4C" w:rsidRDefault="00824C9E" w:rsidP="00B40B4C">
      <w:pPr>
        <w:pStyle w:val="ListParagraph"/>
        <w:widowControl w:val="0"/>
        <w:spacing w:after="120"/>
        <w:ind w:left="446"/>
        <w:rPr>
          <w:rFonts w:ascii="Times New Roman" w:hAnsi="Times New Roman"/>
        </w:rPr>
      </w:pPr>
      <w:r w:rsidRPr="00824C9E">
        <w:rPr>
          <w:rFonts w:ascii="Times New Roman" w:hAnsi="Times New Roman"/>
          <w:color w:val="000000" w:themeColor="text1"/>
        </w:rPr>
        <w:t xml:space="preserve">The earliest the contingency plan may go into effect will be at wave 13 (2/26/2018). We would like to meet with OMB </w:t>
      </w:r>
      <w:r w:rsidR="00442540">
        <w:rPr>
          <w:rFonts w:ascii="Times New Roman" w:hAnsi="Times New Roman"/>
          <w:color w:val="000000" w:themeColor="text1"/>
        </w:rPr>
        <w:t xml:space="preserve">during early in the week of </w:t>
      </w:r>
      <w:r w:rsidRPr="00824C9E">
        <w:rPr>
          <w:rFonts w:ascii="Times New Roman" w:hAnsi="Times New Roman"/>
          <w:color w:val="000000" w:themeColor="text1"/>
        </w:rPr>
        <w:t>2/1</w:t>
      </w:r>
      <w:r w:rsidR="00442540">
        <w:rPr>
          <w:rFonts w:ascii="Times New Roman" w:hAnsi="Times New Roman"/>
          <w:color w:val="000000" w:themeColor="text1"/>
        </w:rPr>
        <w:t>2</w:t>
      </w:r>
      <w:r w:rsidRPr="00824C9E">
        <w:rPr>
          <w:rFonts w:ascii="Times New Roman" w:hAnsi="Times New Roman"/>
          <w:color w:val="000000" w:themeColor="text1"/>
        </w:rPr>
        <w:t>/2018 to brief OMB on the status of data collection and any domains that have been identified for the contingency plans</w:t>
      </w:r>
      <w:r w:rsidR="00442540">
        <w:rPr>
          <w:rFonts w:ascii="Times New Roman" w:hAnsi="Times New Roman"/>
          <w:color w:val="000000" w:themeColor="text1"/>
        </w:rPr>
        <w:t>, and to agree on the next steps</w:t>
      </w:r>
      <w:r w:rsidRPr="00824C9E">
        <w:rPr>
          <w:rFonts w:ascii="Times New Roman" w:hAnsi="Times New Roman"/>
        </w:rPr>
        <w:t>.</w:t>
      </w:r>
      <w:r w:rsidR="00442540">
        <w:rPr>
          <w:rFonts w:ascii="Times New Roman" w:hAnsi="Times New Roman"/>
        </w:rPr>
        <w:t xml:space="preserve"> Subsequent to this meeting, we would submit a change request to update the NTPS 2017-18 </w:t>
      </w:r>
      <w:r w:rsidR="002B2E87">
        <w:rPr>
          <w:rFonts w:ascii="Times New Roman" w:hAnsi="Times New Roman"/>
        </w:rPr>
        <w:t xml:space="preserve">active </w:t>
      </w:r>
      <w:r w:rsidR="00442540">
        <w:rPr>
          <w:rFonts w:ascii="Times New Roman" w:hAnsi="Times New Roman"/>
        </w:rPr>
        <w:t>record with further details of how the contingency plan will be implemented.</w:t>
      </w:r>
    </w:p>
    <w:p w:rsidR="00B40B4C" w:rsidRDefault="00231C89" w:rsidP="00824C9E">
      <w:pPr>
        <w:pStyle w:val="ListParagraph"/>
        <w:spacing w:after="120"/>
        <w:ind w:left="450"/>
        <w:rPr>
          <w:rFonts w:ascii="Times New Roman" w:hAnsi="Times New Roman"/>
        </w:rPr>
      </w:pPr>
      <w:r>
        <w:rPr>
          <w:rFonts w:ascii="Times New Roman" w:hAnsi="Times New Roman"/>
        </w:rPr>
        <w:t>Table 11</w:t>
      </w:r>
      <w:r w:rsidR="002B2E87">
        <w:rPr>
          <w:rFonts w:ascii="Times New Roman" w:hAnsi="Times New Roman"/>
        </w:rPr>
        <w:t xml:space="preserve"> shows the </w:t>
      </w:r>
      <w:r w:rsidR="00084FFD">
        <w:rPr>
          <w:rFonts w:ascii="Times New Roman" w:hAnsi="Times New Roman"/>
        </w:rPr>
        <w:t>approximate</w:t>
      </w:r>
      <w:r w:rsidR="00824C9E">
        <w:rPr>
          <w:rFonts w:ascii="Times New Roman" w:hAnsi="Times New Roman"/>
        </w:rPr>
        <w:t xml:space="preserve"> number of cases </w:t>
      </w:r>
      <w:r w:rsidR="002B2E87">
        <w:rPr>
          <w:rFonts w:ascii="Times New Roman" w:hAnsi="Times New Roman"/>
        </w:rPr>
        <w:t xml:space="preserve">we anticipate </w:t>
      </w:r>
      <w:r w:rsidR="00824C9E">
        <w:rPr>
          <w:rFonts w:ascii="Times New Roman" w:hAnsi="Times New Roman"/>
        </w:rPr>
        <w:t>receiv</w:t>
      </w:r>
      <w:r w:rsidR="002B2E87">
        <w:rPr>
          <w:rFonts w:ascii="Times New Roman" w:hAnsi="Times New Roman"/>
        </w:rPr>
        <w:t>ing</w:t>
      </w:r>
      <w:r w:rsidR="00824C9E">
        <w:rPr>
          <w:rFonts w:ascii="Times New Roman" w:hAnsi="Times New Roman"/>
        </w:rPr>
        <w:t xml:space="preserve"> the contingency plan incentive.</w:t>
      </w:r>
    </w:p>
    <w:p w:rsidR="00084FFD" w:rsidRPr="006971B5" w:rsidRDefault="00231C89" w:rsidP="001C779D">
      <w:pPr>
        <w:pStyle w:val="ListParagraph"/>
        <w:spacing w:before="240" w:after="60" w:line="240" w:lineRule="auto"/>
        <w:ind w:left="446"/>
        <w:rPr>
          <w:b/>
        </w:rPr>
      </w:pPr>
      <w:r>
        <w:rPr>
          <w:rFonts w:ascii="Times New Roman" w:hAnsi="Times New Roman"/>
          <w:b/>
        </w:rPr>
        <w:t>Table 11</w:t>
      </w:r>
      <w:r w:rsidR="00084FFD" w:rsidRPr="006971B5">
        <w:rPr>
          <w:rFonts w:ascii="Times New Roman" w:hAnsi="Times New Roman"/>
          <w:b/>
        </w:rPr>
        <w:t>. NTPS Contingency Plan Experiment Treatment Groups</w:t>
      </w:r>
      <w:r w:rsidR="006971B5">
        <w:rPr>
          <w:rFonts w:ascii="Times New Roman" w:hAnsi="Times New Roman"/>
          <w:b/>
        </w:rPr>
        <w:t xml:space="preserve"> for Public and Private Schools</w:t>
      </w:r>
    </w:p>
    <w:tbl>
      <w:tblPr>
        <w:tblW w:w="4856" w:type="pct"/>
        <w:tblInd w:w="450" w:type="dxa"/>
        <w:tblCellMar>
          <w:left w:w="0" w:type="dxa"/>
          <w:right w:w="0" w:type="dxa"/>
        </w:tblCellMar>
        <w:tblLook w:val="04A0" w:firstRow="1" w:lastRow="0" w:firstColumn="1" w:lastColumn="0" w:noHBand="0" w:noVBand="1"/>
      </w:tblPr>
      <w:tblGrid>
        <w:gridCol w:w="1010"/>
        <w:gridCol w:w="1602"/>
        <w:gridCol w:w="2167"/>
        <w:gridCol w:w="3411"/>
        <w:gridCol w:w="2159"/>
      </w:tblGrid>
      <w:tr w:rsidR="00854AB6" w:rsidRPr="00854AB6" w:rsidTr="002B2E87">
        <w:trPr>
          <w:trHeight w:val="20"/>
        </w:trPr>
        <w:tc>
          <w:tcPr>
            <w:tcW w:w="5000" w:type="pct"/>
            <w:gridSpan w:val="5"/>
            <w:tcBorders>
              <w:top w:val="nil"/>
              <w:left w:val="nil"/>
              <w:bottom w:val="single" w:sz="4" w:space="0" w:color="auto"/>
              <w:right w:val="nil"/>
            </w:tcBorders>
            <w:vAlign w:val="center"/>
          </w:tcPr>
          <w:p w:rsidR="00854AB6" w:rsidRPr="006971B5" w:rsidRDefault="00854AB6" w:rsidP="002B2E87">
            <w:pPr>
              <w:pStyle w:val="NormalWeb"/>
              <w:spacing w:before="0" w:beforeAutospacing="0" w:after="0" w:afterAutospacing="0"/>
              <w:rPr>
                <w:rFonts w:ascii="Times New Roman" w:eastAsiaTheme="minorHAnsi" w:hAnsi="Times New Roman" w:cs="Times New Roman"/>
              </w:rPr>
            </w:pPr>
            <w:r w:rsidRPr="006971B5">
              <w:rPr>
                <w:rFonts w:ascii="Times New Roman" w:hAnsi="Times New Roman" w:cs="Times New Roman"/>
              </w:rPr>
              <w:t>2017-18 NTPS Contingency Plan Experiment - Public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4,260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26,200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30,460</w:t>
            </w:r>
          </w:p>
        </w:tc>
      </w:tr>
      <w:tr w:rsidR="00854AB6" w:rsidRPr="00854AB6" w:rsidTr="002B2E87">
        <w:trPr>
          <w:trHeight w:val="20"/>
        </w:trPr>
        <w:tc>
          <w:tcPr>
            <w:tcW w:w="5000" w:type="pct"/>
            <w:gridSpan w:val="5"/>
            <w:tcBorders>
              <w:top w:val="nil"/>
              <w:left w:val="nil"/>
              <w:bottom w:val="single" w:sz="4" w:space="0" w:color="auto"/>
              <w:right w:val="nil"/>
            </w:tcBorders>
            <w:vAlign w:val="center"/>
            <w:hideMark/>
          </w:tcPr>
          <w:p w:rsidR="00854AB6" w:rsidRPr="00854AB6" w:rsidRDefault="00854AB6" w:rsidP="002B2E87">
            <w:pPr>
              <w:spacing w:line="240" w:lineRule="auto"/>
              <w:ind w:left="180"/>
              <w:rPr>
                <w:rFonts w:ascii="Times New Roman" w:eastAsia="Times New Roman" w:hAnsi="Times New Roman"/>
                <w:sz w:val="20"/>
              </w:rPr>
            </w:pPr>
          </w:p>
          <w:p w:rsidR="00854AB6" w:rsidRPr="006971B5" w:rsidRDefault="00854AB6" w:rsidP="002B2E87">
            <w:pPr>
              <w:spacing w:line="240" w:lineRule="auto"/>
              <w:rPr>
                <w:rFonts w:ascii="Times New Roman" w:eastAsia="Times New Roman" w:hAnsi="Times New Roman"/>
                <w:szCs w:val="24"/>
              </w:rPr>
            </w:pPr>
            <w:r w:rsidRPr="006971B5">
              <w:rPr>
                <w:rFonts w:ascii="Times New Roman" w:eastAsia="Times New Roman" w:hAnsi="Times New Roman"/>
                <w:szCs w:val="24"/>
              </w:rPr>
              <w:t>2017-18 NTPS Contingency Plan Experiment - Private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1,720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4,000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5,720</w:t>
            </w:r>
          </w:p>
        </w:tc>
      </w:tr>
    </w:tbl>
    <w:p w:rsidR="00E72F70" w:rsidRDefault="00E72F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 xml:space="preserve">2,130 public priority </w:t>
      </w:r>
      <w:r w:rsidR="00084FFD">
        <w:rPr>
          <w:rFonts w:ascii="Times New Roman" w:hAnsi="Times New Roman"/>
          <w:szCs w:val="24"/>
        </w:rPr>
        <w:t>cases</w:t>
      </w:r>
      <w:r w:rsidRPr="00854AB6">
        <w:rPr>
          <w:rFonts w:ascii="Times New Roman" w:hAnsi="Times New Roman"/>
          <w:szCs w:val="24"/>
        </w:rPr>
        <w:t xml:space="preserve"> receiving and </w:t>
      </w:r>
      <w:r w:rsidR="00084FFD">
        <w:rPr>
          <w:rFonts w:ascii="Times New Roman" w:hAnsi="Times New Roman"/>
          <w:szCs w:val="24"/>
        </w:rPr>
        <w:t xml:space="preserve">approximately </w:t>
      </w:r>
      <w:r w:rsidRPr="00854AB6">
        <w:rPr>
          <w:rFonts w:ascii="Times New Roman" w:hAnsi="Times New Roman"/>
          <w:szCs w:val="24"/>
        </w:rPr>
        <w:t xml:space="preserve">2,130 not receiving the </w:t>
      </w:r>
      <w:r>
        <w:rPr>
          <w:rFonts w:ascii="Times New Roman" w:hAnsi="Times New Roman"/>
          <w:szCs w:val="24"/>
        </w:rPr>
        <w:t xml:space="preserve">contingency plan </w:t>
      </w:r>
      <w:r w:rsidRPr="00854AB6">
        <w:rPr>
          <w:rFonts w:ascii="Times New Roman" w:hAnsi="Times New Roman"/>
          <w:szCs w:val="24"/>
        </w:rPr>
        <w:t xml:space="preserve">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3.9 percentage points.</w:t>
      </w:r>
      <w:r>
        <w:rPr>
          <w:rFonts w:ascii="Times New Roman" w:hAnsi="Times New Roman"/>
          <w:szCs w:val="24"/>
        </w:rPr>
        <w:t xml:space="preserve"> </w:t>
      </w:r>
      <w:r w:rsidRPr="00854AB6">
        <w:rPr>
          <w:rFonts w:ascii="Times New Roman" w:hAnsi="Times New Roman"/>
          <w:szCs w:val="24"/>
        </w:rPr>
        <w:t>With</w:t>
      </w:r>
      <w:r w:rsidR="00084FFD">
        <w:rPr>
          <w:rFonts w:ascii="Times New Roman" w:hAnsi="Times New Roman"/>
          <w:szCs w:val="24"/>
        </w:rPr>
        <w:t xml:space="preserve"> approximately</w:t>
      </w:r>
      <w:r w:rsidRPr="00854AB6">
        <w:rPr>
          <w:rFonts w:ascii="Times New Roman" w:hAnsi="Times New Roman"/>
          <w:szCs w:val="24"/>
        </w:rPr>
        <w:t xml:space="preserve"> 13,100 public non-priority cases receiving and </w:t>
      </w:r>
      <w:r w:rsidR="00084FFD">
        <w:rPr>
          <w:rFonts w:ascii="Times New Roman" w:hAnsi="Times New Roman"/>
          <w:szCs w:val="24"/>
        </w:rPr>
        <w:t xml:space="preserve">approximately </w:t>
      </w:r>
      <w:r w:rsidRPr="00854AB6">
        <w:rPr>
          <w:rFonts w:ascii="Times New Roman" w:hAnsi="Times New Roman"/>
          <w:szCs w:val="24"/>
        </w:rPr>
        <w:t>13,100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1.6 percentage points.</w:t>
      </w: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860 private 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860 not receiving the </w:t>
      </w:r>
      <w:r>
        <w:rPr>
          <w:rFonts w:ascii="Times New Roman" w:hAnsi="Times New Roman"/>
          <w:szCs w:val="24"/>
        </w:rPr>
        <w:t>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6.1 percentage points. </w:t>
      </w:r>
      <w:r w:rsidR="00084FFD">
        <w:rPr>
          <w:rFonts w:ascii="Times New Roman" w:hAnsi="Times New Roman"/>
          <w:szCs w:val="24"/>
        </w:rPr>
        <w:t xml:space="preserve">With approximately </w:t>
      </w:r>
      <w:r w:rsidRPr="00854AB6">
        <w:rPr>
          <w:rFonts w:ascii="Times New Roman" w:hAnsi="Times New Roman"/>
          <w:szCs w:val="24"/>
        </w:rPr>
        <w:t>2,000 private non-priority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2,000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4.0 percentage points.</w:t>
      </w:r>
    </w:p>
    <w:p w:rsidR="00ED411E" w:rsidRDefault="00ED411E"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Pr>
          <w:rFonts w:ascii="Times New Roman" w:hAnsi="Times New Roman"/>
          <w:szCs w:val="24"/>
        </w:rPr>
        <w:t>The initial incentives experiment and secondary contingency plan incentives experiment, as described above, will follow the same procedures</w:t>
      </w:r>
      <w:r w:rsidR="003F4B48">
        <w:rPr>
          <w:rFonts w:ascii="Times New Roman" w:hAnsi="Times New Roman"/>
          <w:szCs w:val="24"/>
        </w:rPr>
        <w:t xml:space="preserve"> with the same incentive amount (depending on priority status and treatment group assignment)</w:t>
      </w:r>
      <w:r>
        <w:rPr>
          <w:rFonts w:ascii="Times New Roman" w:hAnsi="Times New Roman"/>
          <w:szCs w:val="24"/>
        </w:rPr>
        <w:t xml:space="preserve"> for both the public and private schools</w:t>
      </w:r>
      <w:r w:rsidR="00E11AF2">
        <w:rPr>
          <w:rFonts w:ascii="Times New Roman" w:hAnsi="Times New Roman"/>
          <w:szCs w:val="24"/>
        </w:rPr>
        <w:t xml:space="preserve"> in the NTPS 2017-18 sample.</w:t>
      </w:r>
    </w:p>
    <w:p w:rsidR="00C6391E" w:rsidRPr="00D321F9" w:rsidRDefault="00C6391E" w:rsidP="00175C20">
      <w:pPr>
        <w:pStyle w:val="Heading2"/>
        <w:spacing w:after="120" w:line="240" w:lineRule="auto"/>
        <w:rPr>
          <w:rFonts w:ascii="Times New Roman" w:hAnsi="Times New Roman"/>
          <w:color w:val="auto"/>
          <w:sz w:val="24"/>
          <w:szCs w:val="24"/>
        </w:rPr>
      </w:pPr>
      <w:bookmarkStart w:id="83" w:name="_Toc468187467"/>
      <w:bookmarkStart w:id="84" w:name="_Toc481483748"/>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 xml:space="preserve">NTPS </w:t>
      </w:r>
      <w:r w:rsidR="00E659AB" w:rsidRPr="00D321F9">
        <w:rPr>
          <w:rFonts w:ascii="Times New Roman" w:hAnsi="Times New Roman"/>
          <w:color w:val="auto"/>
          <w:sz w:val="24"/>
          <w:szCs w:val="24"/>
        </w:rPr>
        <w:t xml:space="preserve">2017-18 </w:t>
      </w:r>
      <w:r w:rsidRPr="00D321F9">
        <w:rPr>
          <w:rFonts w:ascii="Times New Roman" w:hAnsi="Times New Roman"/>
          <w:color w:val="auto"/>
          <w:sz w:val="24"/>
          <w:szCs w:val="24"/>
        </w:rPr>
        <w:t>Private School Test</w:t>
      </w:r>
      <w:bookmarkEnd w:id="83"/>
      <w:bookmarkEnd w:id="84"/>
    </w:p>
    <w:p w:rsidR="007215B4" w:rsidRDefault="00C6391E" w:rsidP="00117EA4">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This section describes the </w:t>
      </w:r>
      <w:r w:rsidR="00645C98" w:rsidRPr="00D321F9">
        <w:rPr>
          <w:rFonts w:ascii="Times New Roman" w:hAnsi="Times New Roman"/>
          <w:szCs w:val="24"/>
        </w:rPr>
        <w:t xml:space="preserve">portion of the </w:t>
      </w:r>
      <w:r w:rsidR="00DB710D" w:rsidRPr="00D321F9">
        <w:rPr>
          <w:rFonts w:ascii="Times New Roman" w:hAnsi="Times New Roman"/>
          <w:szCs w:val="24"/>
        </w:rPr>
        <w:t>NTPS 2017-18</w:t>
      </w:r>
      <w:r w:rsidRPr="00D321F9">
        <w:rPr>
          <w:rFonts w:ascii="Times New Roman" w:hAnsi="Times New Roman"/>
          <w:szCs w:val="24"/>
        </w:rPr>
        <w:t xml:space="preserve"> </w:t>
      </w:r>
      <w:r w:rsidR="00DD5502" w:rsidRPr="00D321F9">
        <w:rPr>
          <w:rFonts w:ascii="Times New Roman" w:hAnsi="Times New Roman"/>
          <w:szCs w:val="24"/>
        </w:rPr>
        <w:t>information collection</w:t>
      </w:r>
      <w:r w:rsidR="00645C98" w:rsidRPr="00D321F9">
        <w:rPr>
          <w:rFonts w:ascii="Times New Roman" w:hAnsi="Times New Roman"/>
          <w:szCs w:val="24"/>
        </w:rPr>
        <w:t xml:space="preserve"> for private schools in the United States</w:t>
      </w:r>
      <w:r w:rsidR="00F0191A" w:rsidRPr="00D321F9">
        <w:rPr>
          <w:rFonts w:ascii="Times New Roman" w:hAnsi="Times New Roman"/>
          <w:szCs w:val="24"/>
        </w:rPr>
        <w:t xml:space="preserve"> as related to the private school test per se</w:t>
      </w:r>
      <w:r w:rsidR="00DD5502" w:rsidRPr="00D321F9">
        <w:rPr>
          <w:rFonts w:ascii="Times New Roman" w:hAnsi="Times New Roman"/>
          <w:szCs w:val="24"/>
        </w:rPr>
        <w:t>.</w:t>
      </w:r>
      <w:r w:rsidRPr="00D321F9">
        <w:rPr>
          <w:rFonts w:ascii="Times New Roman" w:hAnsi="Times New Roman"/>
          <w:szCs w:val="24"/>
        </w:rPr>
        <w:t xml:space="preserve"> </w:t>
      </w:r>
      <w:r w:rsidR="00F0191A" w:rsidRPr="00D321F9">
        <w:rPr>
          <w:rFonts w:ascii="Times New Roman" w:hAnsi="Times New Roman"/>
          <w:szCs w:val="24"/>
        </w:rPr>
        <w:t xml:space="preserve">The private school sample was designed to be both a full-scale pilot study, and </w:t>
      </w:r>
      <w:r w:rsidR="0081704D">
        <w:rPr>
          <w:rFonts w:ascii="Times New Roman" w:hAnsi="Times New Roman"/>
          <w:szCs w:val="24"/>
        </w:rPr>
        <w:t>to be</w:t>
      </w:r>
      <w:r w:rsidR="00F0191A" w:rsidRPr="00D321F9">
        <w:rPr>
          <w:rFonts w:ascii="Times New Roman" w:hAnsi="Times New Roman"/>
          <w:szCs w:val="24"/>
        </w:rPr>
        <w:t xml:space="preserve"> utilized for the large-scale incentive and contact experiment. The general study design is described in Section B.1 and the testing aspects are discussed in this section.</w:t>
      </w:r>
      <w:r w:rsidR="009963FD" w:rsidRPr="00D321F9">
        <w:rPr>
          <w:rFonts w:ascii="Times New Roman" w:hAnsi="Times New Roman"/>
          <w:szCs w:val="24"/>
          <w:lang w:eastAsia="ko-KR"/>
        </w:rPr>
        <w:t xml:space="preserve"> </w:t>
      </w:r>
      <w:r w:rsidR="002225E0" w:rsidRPr="00D321F9">
        <w:rPr>
          <w:rFonts w:ascii="Times New Roman" w:hAnsi="Times New Roman"/>
          <w:szCs w:val="24"/>
        </w:rPr>
        <w:t xml:space="preserve">The </w:t>
      </w:r>
      <w:r w:rsidR="0081704D" w:rsidRPr="00D321F9">
        <w:rPr>
          <w:rFonts w:ascii="Times New Roman" w:hAnsi="Times New Roman"/>
          <w:szCs w:val="24"/>
        </w:rPr>
        <w:t xml:space="preserve">NTPS 2017-18 </w:t>
      </w:r>
      <w:r w:rsidR="002225E0" w:rsidRPr="00D321F9">
        <w:rPr>
          <w:rFonts w:ascii="Times New Roman" w:hAnsi="Times New Roman"/>
          <w:szCs w:val="24"/>
        </w:rPr>
        <w:t>collection of data from private schools and their principals and teachers is</w:t>
      </w:r>
      <w:r w:rsidR="00DD5502" w:rsidRPr="00D321F9">
        <w:rPr>
          <w:rFonts w:ascii="Times New Roman" w:hAnsi="Times New Roman"/>
          <w:szCs w:val="24"/>
        </w:rPr>
        <w:t xml:space="preserve"> </w:t>
      </w:r>
      <w:r w:rsidRPr="00D321F9">
        <w:rPr>
          <w:rFonts w:ascii="Times New Roman" w:hAnsi="Times New Roman"/>
          <w:szCs w:val="24"/>
        </w:rPr>
        <w:t>designed</w:t>
      </w:r>
      <w:r w:rsidR="002225E0" w:rsidRPr="00D321F9">
        <w:rPr>
          <w:rFonts w:ascii="Times New Roman" w:hAnsi="Times New Roman"/>
          <w:szCs w:val="24"/>
        </w:rPr>
        <w:t xml:space="preserve"> as a test</w:t>
      </w:r>
      <w:r w:rsidRPr="00D321F9">
        <w:rPr>
          <w:rFonts w:ascii="Times New Roman" w:hAnsi="Times New Roman"/>
          <w:szCs w:val="24"/>
        </w:rPr>
        <w:t xml:space="preserve"> to determine whether NCES can achieve response rates with this population</w:t>
      </w:r>
      <w:r w:rsidR="00645C98" w:rsidRPr="00D321F9">
        <w:rPr>
          <w:rFonts w:ascii="Times New Roman" w:hAnsi="Times New Roman"/>
          <w:szCs w:val="24"/>
        </w:rPr>
        <w:t xml:space="preserve"> that are sufficient to publish accurate and reliable estimates and</w:t>
      </w:r>
      <w:r w:rsidRPr="00D321F9">
        <w:rPr>
          <w:rFonts w:ascii="Times New Roman" w:hAnsi="Times New Roman"/>
          <w:szCs w:val="24"/>
        </w:rPr>
        <w:t xml:space="preserve"> that meet NCES standards</w:t>
      </w:r>
      <w:r w:rsidR="00645C98" w:rsidRPr="00D321F9">
        <w:rPr>
          <w:rFonts w:ascii="Times New Roman" w:hAnsi="Times New Roman"/>
          <w:szCs w:val="24"/>
        </w:rPr>
        <w:t xml:space="preserve"> for publication</w:t>
      </w:r>
      <w:r w:rsidRPr="00D321F9">
        <w:rPr>
          <w:rFonts w:ascii="Times New Roman" w:hAnsi="Times New Roman"/>
          <w:szCs w:val="24"/>
        </w:rPr>
        <w:t>.</w:t>
      </w:r>
    </w:p>
    <w:p w:rsidR="007215B4" w:rsidRDefault="00C6391E" w:rsidP="00175C20">
      <w:pPr>
        <w:pStyle w:val="L1-FlLSp12"/>
        <w:spacing w:after="120" w:line="240" w:lineRule="auto"/>
        <w:rPr>
          <w:rFonts w:ascii="Times New Roman" w:hAnsi="Times New Roman"/>
          <w:szCs w:val="24"/>
        </w:rPr>
      </w:pPr>
      <w:r w:rsidRPr="00D321F9">
        <w:rPr>
          <w:rFonts w:ascii="Times New Roman" w:hAnsi="Times New Roman"/>
          <w:szCs w:val="24"/>
        </w:rPr>
        <w:t xml:space="preserve">In SASS </w:t>
      </w:r>
      <w:r w:rsidR="00912F10" w:rsidRPr="00D321F9">
        <w:rPr>
          <w:rFonts w:ascii="Times New Roman" w:hAnsi="Times New Roman"/>
          <w:szCs w:val="24"/>
        </w:rPr>
        <w:t>2011</w:t>
      </w:r>
      <w:r w:rsidR="007F5C54">
        <w:rPr>
          <w:rFonts w:ascii="Times New Roman" w:hAnsi="Times New Roman"/>
          <w:szCs w:val="24"/>
        </w:rPr>
        <w:t>-1</w:t>
      </w:r>
      <w:r w:rsidR="00912F10" w:rsidRPr="00D321F9">
        <w:rPr>
          <w:rFonts w:ascii="Times New Roman" w:hAnsi="Times New Roman"/>
          <w:szCs w:val="24"/>
        </w:rPr>
        <w:t>2</w:t>
      </w:r>
      <w:r w:rsidRPr="00D321F9">
        <w:rPr>
          <w:rFonts w:ascii="Times New Roman" w:hAnsi="Times New Roman"/>
          <w:szCs w:val="24"/>
        </w:rPr>
        <w:t>, the response rates for private schools, particularly in specific strata, were low</w:t>
      </w:r>
      <w:r w:rsidR="00645C98" w:rsidRPr="00D321F9">
        <w:rPr>
          <w:rFonts w:ascii="Times New Roman" w:hAnsi="Times New Roman"/>
          <w:szCs w:val="24"/>
        </w:rPr>
        <w:t xml:space="preserve"> (see Table </w:t>
      </w:r>
      <w:r w:rsidR="005E7814">
        <w:rPr>
          <w:rFonts w:ascii="Times New Roman" w:hAnsi="Times New Roman"/>
          <w:szCs w:val="24"/>
        </w:rPr>
        <w:t>12</w:t>
      </w:r>
      <w:r w:rsidR="00C35053" w:rsidRPr="00D321F9">
        <w:rPr>
          <w:rFonts w:ascii="Times New Roman" w:hAnsi="Times New Roman"/>
          <w:szCs w:val="24"/>
        </w:rPr>
        <w:t xml:space="preserve"> below</w:t>
      </w:r>
      <w:r w:rsidR="00645C98" w:rsidRPr="00D321F9">
        <w:rPr>
          <w:rFonts w:ascii="Times New Roman" w:hAnsi="Times New Roman"/>
          <w:szCs w:val="24"/>
        </w:rPr>
        <w:t>).</w:t>
      </w:r>
      <w:r w:rsidRPr="00D321F9">
        <w:rPr>
          <w:rFonts w:ascii="Times New Roman" w:hAnsi="Times New Roman"/>
          <w:szCs w:val="24"/>
        </w:rPr>
        <w:t xml:space="preserve"> </w:t>
      </w:r>
      <w:r w:rsidR="002225E0" w:rsidRPr="00D321F9">
        <w:rPr>
          <w:rFonts w:ascii="Times New Roman" w:hAnsi="Times New Roman"/>
          <w:szCs w:val="24"/>
        </w:rPr>
        <w:t xml:space="preserve">Because teachers are sampled </w:t>
      </w:r>
      <w:r w:rsidR="00A84F38" w:rsidRPr="00D321F9">
        <w:rPr>
          <w:rFonts w:ascii="Times New Roman" w:hAnsi="Times New Roman"/>
          <w:szCs w:val="24"/>
        </w:rPr>
        <w:t xml:space="preserve">from </w:t>
      </w:r>
      <w:r w:rsidR="000E11EC" w:rsidRPr="00D321F9">
        <w:rPr>
          <w:rFonts w:ascii="Times New Roman" w:hAnsi="Times New Roman"/>
          <w:szCs w:val="24"/>
        </w:rPr>
        <w:t xml:space="preserve">the TLF, </w:t>
      </w:r>
      <w:r w:rsidR="00A84F38" w:rsidRPr="00D321F9">
        <w:rPr>
          <w:rFonts w:ascii="Times New Roman" w:hAnsi="Times New Roman"/>
          <w:szCs w:val="24"/>
        </w:rPr>
        <w:t>a form submitted by responding schools</w:t>
      </w:r>
      <w:r w:rsidR="002225E0" w:rsidRPr="00D321F9">
        <w:rPr>
          <w:rFonts w:ascii="Times New Roman" w:hAnsi="Times New Roman"/>
          <w:szCs w:val="24"/>
        </w:rPr>
        <w:t>, the teacher response rate is doubly affected by low response rates at each level.</w:t>
      </w:r>
      <w:r w:rsidR="00232299" w:rsidRPr="00D321F9">
        <w:rPr>
          <w:rFonts w:ascii="Times New Roman" w:hAnsi="Times New Roman"/>
          <w:szCs w:val="24"/>
        </w:rPr>
        <w:t xml:space="preserve"> In the SASS 2011-12 </w:t>
      </w:r>
      <w:r w:rsidR="005521A7" w:rsidRPr="00D321F9">
        <w:rPr>
          <w:rFonts w:ascii="Times New Roman" w:hAnsi="Times New Roman"/>
          <w:szCs w:val="24"/>
        </w:rPr>
        <w:t>administration</w:t>
      </w:r>
      <w:r w:rsidR="00232299" w:rsidRPr="00D321F9">
        <w:rPr>
          <w:rFonts w:ascii="Times New Roman" w:hAnsi="Times New Roman"/>
          <w:szCs w:val="24"/>
        </w:rPr>
        <w:t xml:space="preserve">, this resulted in an overall teacher response rate of 50.0 percent, ranging from 26.9 to </w:t>
      </w:r>
      <w:r w:rsidR="00350716" w:rsidRPr="00D321F9">
        <w:rPr>
          <w:rFonts w:ascii="Times New Roman" w:hAnsi="Times New Roman"/>
          <w:szCs w:val="24"/>
        </w:rPr>
        <w:t>64.5 percent in some strata.</w:t>
      </w:r>
      <w:r w:rsidR="002225E0" w:rsidRPr="00D321F9">
        <w:rPr>
          <w:rFonts w:ascii="Times New Roman" w:hAnsi="Times New Roman"/>
          <w:szCs w:val="24"/>
        </w:rPr>
        <w:t xml:space="preserve"> </w:t>
      </w:r>
      <w:r w:rsidR="008029E9">
        <w:rPr>
          <w:rFonts w:ascii="Times New Roman" w:hAnsi="Times New Roman"/>
          <w:szCs w:val="24"/>
        </w:rPr>
        <w:t>This meant that data did not meet NCES publishing standards.</w:t>
      </w:r>
      <w:r w:rsidR="00EA1968">
        <w:rPr>
          <w:rFonts w:ascii="Times New Roman" w:hAnsi="Times New Roman"/>
          <w:szCs w:val="24"/>
        </w:rPr>
        <w:t xml:space="preserve"> </w:t>
      </w:r>
      <w:r w:rsidR="002225E0" w:rsidRPr="00D321F9">
        <w:rPr>
          <w:rFonts w:ascii="Times New Roman" w:hAnsi="Times New Roman"/>
          <w:szCs w:val="24"/>
        </w:rPr>
        <w:t>For this reason</w:t>
      </w:r>
      <w:r w:rsidRPr="00D321F9">
        <w:rPr>
          <w:rFonts w:ascii="Times New Roman" w:hAnsi="Times New Roman"/>
          <w:szCs w:val="24"/>
        </w:rPr>
        <w:t xml:space="preserve">, </w:t>
      </w:r>
      <w:r w:rsidR="00F3096C" w:rsidRPr="00D321F9">
        <w:rPr>
          <w:rFonts w:ascii="Times New Roman" w:hAnsi="Times New Roman"/>
          <w:szCs w:val="24"/>
        </w:rPr>
        <w:t xml:space="preserve">private schools were not included in the </w:t>
      </w:r>
      <w:r w:rsidRPr="00D321F9">
        <w:rPr>
          <w:rFonts w:ascii="Times New Roman" w:hAnsi="Times New Roman"/>
          <w:szCs w:val="24"/>
        </w:rPr>
        <w:t>NTPS</w:t>
      </w:r>
      <w:r w:rsidR="00363E54" w:rsidRPr="00D321F9">
        <w:rPr>
          <w:rFonts w:ascii="Times New Roman" w:hAnsi="Times New Roman"/>
          <w:szCs w:val="24"/>
        </w:rPr>
        <w:t xml:space="preserve"> 2015-16</w:t>
      </w:r>
      <w:r w:rsidRPr="00D321F9">
        <w:rPr>
          <w:rFonts w:ascii="Times New Roman" w:hAnsi="Times New Roman"/>
          <w:szCs w:val="24"/>
        </w:rPr>
        <w:t>.</w:t>
      </w:r>
    </w:p>
    <w:p w:rsidR="00A1296E" w:rsidRPr="00D321F9" w:rsidRDefault="00A1296E" w:rsidP="00175C20">
      <w:pPr>
        <w:pStyle w:val="L1-FlLSp12"/>
        <w:spacing w:after="120" w:line="240" w:lineRule="auto"/>
        <w:rPr>
          <w:rFonts w:ascii="Times New Roman" w:hAnsi="Times New Roman"/>
          <w:szCs w:val="24"/>
        </w:rPr>
      </w:pPr>
      <w:r w:rsidRPr="00D321F9">
        <w:rPr>
          <w:rFonts w:ascii="Times New Roman" w:hAnsi="Times New Roman"/>
          <w:szCs w:val="24"/>
        </w:rPr>
        <w:t>In the NTPS 2017-18, NCES will conduct an embedded test with private schools both to determine whether sufficient response can be achieved to provide reliable estimates for private school</w:t>
      </w:r>
      <w:r w:rsidR="00CD7D1F" w:rsidRPr="00D321F9">
        <w:rPr>
          <w:rFonts w:ascii="Times New Roman" w:hAnsi="Times New Roman"/>
          <w:szCs w:val="24"/>
        </w:rPr>
        <w:t>s</w:t>
      </w:r>
      <w:r w:rsidRPr="00D321F9">
        <w:rPr>
          <w:rFonts w:ascii="Times New Roman" w:hAnsi="Times New Roman"/>
          <w:szCs w:val="24"/>
        </w:rPr>
        <w:t xml:space="preserve"> and to evaluate specific methods for improving response rates. The private schools selected for this test will undergo data collection procedures that will be generally similar to those used with the NTPS 2017</w:t>
      </w:r>
      <w:r w:rsidR="007F5C54">
        <w:rPr>
          <w:rFonts w:ascii="Times New Roman" w:hAnsi="Times New Roman"/>
          <w:szCs w:val="24"/>
        </w:rPr>
        <w:t>-1</w:t>
      </w:r>
      <w:r w:rsidRPr="00D321F9">
        <w:rPr>
          <w:rFonts w:ascii="Times New Roman" w:hAnsi="Times New Roman"/>
          <w:szCs w:val="24"/>
        </w:rPr>
        <w:t>8 public school sample (described in Section B.2.). Some procedures will be adjusted to accommodate differences specific to this sector (e.g., religious holidays and schedules).</w:t>
      </w:r>
    </w:p>
    <w:tbl>
      <w:tblPr>
        <w:tblW w:w="5000" w:type="pct"/>
        <w:tblLook w:val="04A0" w:firstRow="1" w:lastRow="0" w:firstColumn="1" w:lastColumn="0" w:noHBand="0" w:noVBand="1"/>
      </w:tblPr>
      <w:tblGrid>
        <w:gridCol w:w="2414"/>
        <w:gridCol w:w="935"/>
        <w:gridCol w:w="702"/>
        <w:gridCol w:w="478"/>
        <w:gridCol w:w="1159"/>
        <w:gridCol w:w="1803"/>
        <w:gridCol w:w="244"/>
        <w:gridCol w:w="1448"/>
        <w:gridCol w:w="117"/>
        <w:gridCol w:w="1572"/>
      </w:tblGrid>
      <w:tr w:rsidR="00D321F9" w:rsidRPr="00D321F9" w:rsidTr="00195A73">
        <w:trPr>
          <w:trHeight w:val="144"/>
        </w:trPr>
        <w:tc>
          <w:tcPr>
            <w:tcW w:w="4277" w:type="pct"/>
            <w:gridSpan w:val="9"/>
            <w:tcBorders>
              <w:top w:val="nil"/>
              <w:left w:val="nil"/>
              <w:bottom w:val="nil"/>
              <w:right w:val="nil"/>
            </w:tcBorders>
            <w:shd w:val="clear" w:color="auto" w:fill="auto"/>
            <w:noWrap/>
            <w:vAlign w:val="bottom"/>
            <w:hideMark/>
          </w:tcPr>
          <w:p w:rsidR="00B92876" w:rsidRPr="00D321F9" w:rsidRDefault="00EB01BB" w:rsidP="007F1D78">
            <w:pPr>
              <w:tabs>
                <w:tab w:val="left" w:pos="900"/>
              </w:tabs>
              <w:spacing w:before="240" w:after="60" w:line="240" w:lineRule="auto"/>
              <w:ind w:left="907" w:hanging="907"/>
              <w:rPr>
                <w:rFonts w:ascii="Times New Roman" w:eastAsia="Calibri" w:hAnsi="Times New Roman"/>
                <w:b/>
                <w:bCs/>
                <w:sz w:val="22"/>
                <w:szCs w:val="22"/>
              </w:rPr>
            </w:pPr>
            <w:r>
              <w:rPr>
                <w:rFonts w:ascii="Times New Roman" w:eastAsia="Calibri" w:hAnsi="Times New Roman"/>
                <w:b/>
                <w:bCs/>
                <w:sz w:val="22"/>
                <w:szCs w:val="22"/>
              </w:rPr>
              <w:t>Table 12</w:t>
            </w:r>
            <w:r w:rsidR="00B92876" w:rsidRPr="00D321F9">
              <w:rPr>
                <w:rFonts w:ascii="Times New Roman" w:eastAsia="Calibri" w:hAnsi="Times New Roman"/>
                <w:b/>
                <w:bCs/>
                <w:sz w:val="22"/>
                <w:szCs w:val="22"/>
              </w:rPr>
              <w:t>.</w:t>
            </w:r>
            <w:r w:rsidR="007215B4">
              <w:rPr>
                <w:rFonts w:ascii="Times New Roman" w:eastAsia="Calibri" w:hAnsi="Times New Roman"/>
                <w:b/>
                <w:bCs/>
                <w:sz w:val="22"/>
                <w:szCs w:val="22"/>
              </w:rPr>
              <w:t xml:space="preserve"> </w:t>
            </w:r>
            <w:r w:rsidR="00B92876" w:rsidRPr="00D321F9">
              <w:rPr>
                <w:rFonts w:ascii="Times New Roman" w:eastAsia="Calibri" w:hAnsi="Times New Roman"/>
                <w:b/>
                <w:bCs/>
                <w:sz w:val="22"/>
                <w:szCs w:val="22"/>
              </w:rPr>
              <w:t>SASS 2011-12 Private School Response Rate, by Strata</w:t>
            </w:r>
          </w:p>
        </w:tc>
        <w:tc>
          <w:tcPr>
            <w:tcW w:w="723" w:type="pct"/>
            <w:tcBorders>
              <w:top w:val="nil"/>
              <w:left w:val="nil"/>
              <w:bottom w:val="nil"/>
              <w:right w:val="nil"/>
            </w:tcBorders>
            <w:shd w:val="clear" w:color="auto" w:fill="auto"/>
            <w:noWrap/>
            <w:vAlign w:val="bottom"/>
            <w:hideMark/>
          </w:tcPr>
          <w:p w:rsidR="00B92876" w:rsidRPr="00D321F9" w:rsidRDefault="00B92876" w:rsidP="007F1D78">
            <w:pPr>
              <w:tabs>
                <w:tab w:val="left" w:pos="900"/>
              </w:tabs>
              <w:spacing w:before="240" w:after="60" w:line="240" w:lineRule="auto"/>
              <w:ind w:left="907" w:hanging="907"/>
              <w:rPr>
                <w:rFonts w:ascii="Times New Roman" w:eastAsia="Calibri" w:hAnsi="Times New Roman"/>
                <w:b/>
                <w:bCs/>
                <w:sz w:val="22"/>
                <w:szCs w:val="22"/>
              </w:rPr>
            </w:pPr>
          </w:p>
        </w:tc>
      </w:tr>
      <w:tr w:rsidR="00D321F9" w:rsidRPr="00D321F9" w:rsidTr="00195A73">
        <w:trPr>
          <w:trHeight w:val="144"/>
        </w:trPr>
        <w:tc>
          <w:tcPr>
            <w:tcW w:w="1110" w:type="pct"/>
            <w:tcBorders>
              <w:top w:val="single" w:sz="4" w:space="0" w:color="auto"/>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430"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543"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1474" w:type="pct"/>
            <w:gridSpan w:val="3"/>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jc w:val="center"/>
              <w:rPr>
                <w:rFonts w:ascii="Times New Roman" w:hAnsi="Times New Roman"/>
                <w:b/>
                <w:sz w:val="22"/>
                <w:szCs w:val="22"/>
              </w:rPr>
            </w:pPr>
            <w:r w:rsidRPr="00D321F9">
              <w:rPr>
                <w:rFonts w:ascii="Times New Roman" w:hAnsi="Times New Roman"/>
                <w:b/>
                <w:sz w:val="22"/>
                <w:szCs w:val="22"/>
              </w:rPr>
              <w:t>Base-weighted Response Rates</w:t>
            </w:r>
          </w:p>
        </w:tc>
        <w:tc>
          <w:tcPr>
            <w:tcW w:w="720"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723"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Strata</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Schools</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Principals</w:t>
            </w:r>
          </w:p>
        </w:tc>
        <w:tc>
          <w:tcPr>
            <w:tcW w:w="829" w:type="pct"/>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 Listing Form</w:t>
            </w:r>
            <w:r w:rsidR="00195A73">
              <w:rPr>
                <w:rFonts w:ascii="Times New Roman" w:hAnsi="Times New Roman"/>
                <w:b/>
                <w:sz w:val="22"/>
                <w:szCs w:val="22"/>
              </w:rPr>
              <w:t xml:space="preserve"> (TLF)</w:t>
            </w:r>
          </w:p>
        </w:tc>
        <w:tc>
          <w:tcPr>
            <w:tcW w:w="778"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Questionnaire</w:t>
            </w:r>
          </w:p>
        </w:tc>
        <w:tc>
          <w:tcPr>
            <w:tcW w:w="777"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Overall</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Total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65.7%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71.6%</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69.9%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50.0%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Affiliation Stratum</w:t>
            </w: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829" w:type="pct"/>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8"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7"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Parochial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75.0%</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78.0%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76.8%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59.9%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Diocesan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74.4%</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56.4%</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Private Order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67.3%</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Baptist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66.3%</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68.8%</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44.6%</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Jewish</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45.5%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40.0%</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49.9%</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53.8%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26.9%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Lutheran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81.2%</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85.2%</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72.6%</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61.8%</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Seventh-Day Adventist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79.1%</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77.6%</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52.0%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60.6%</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44.2%</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Regular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56.9%</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Emphasis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68.7%</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64.1%</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44.1%</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Education</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80.7%</w:t>
            </w:r>
          </w:p>
        </w:tc>
        <w:tc>
          <w:tcPr>
            <w:tcW w:w="829"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82.7%</w:t>
            </w:r>
          </w:p>
        </w:tc>
        <w:tc>
          <w:tcPr>
            <w:tcW w:w="778"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77"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64.5%</w:t>
            </w:r>
          </w:p>
        </w:tc>
      </w:tr>
    </w:tbl>
    <w:p w:rsidR="00C35053" w:rsidRPr="00D321F9" w:rsidRDefault="00A1296E" w:rsidP="007F1D78">
      <w:pPr>
        <w:pStyle w:val="L1-FlLSp12"/>
        <w:spacing w:after="120" w:line="240" w:lineRule="auto"/>
        <w:rPr>
          <w:rFonts w:ascii="Times New Roman" w:hAnsi="Times New Roman"/>
          <w:szCs w:val="24"/>
        </w:rPr>
      </w:pPr>
      <w:r w:rsidRPr="00D321F9">
        <w:rPr>
          <w:rFonts w:ascii="Times New Roman" w:hAnsi="Times New Roman"/>
          <w:sz w:val="20"/>
        </w:rPr>
        <w:t>SOURCE:</w:t>
      </w:r>
      <w:r w:rsidR="007215B4">
        <w:rPr>
          <w:rFonts w:ascii="Times New Roman" w:hAnsi="Times New Roman"/>
          <w:sz w:val="20"/>
        </w:rPr>
        <w:t xml:space="preserve"> </w:t>
      </w:r>
      <w:r w:rsidRPr="00D321F9">
        <w:rPr>
          <w:rFonts w:ascii="Times New Roman" w:hAnsi="Times New Roman"/>
          <w:sz w:val="20"/>
        </w:rPr>
        <w:t xml:space="preserve">Table 19. Chapter 6, </w:t>
      </w:r>
      <w:r w:rsidRPr="00D321F9">
        <w:rPr>
          <w:rFonts w:ascii="Times New Roman" w:hAnsi="Times New Roman"/>
          <w:i/>
          <w:iCs/>
          <w:sz w:val="20"/>
        </w:rPr>
        <w:t>Documentation for the 2011-12 Schools and Staffing Survey, NCES 2016-817</w:t>
      </w:r>
      <w:r w:rsidRPr="00D321F9">
        <w:rPr>
          <w:rFonts w:ascii="Times New Roman" w:hAnsi="Times New Roman"/>
          <w:sz w:val="20"/>
        </w:rPr>
        <w:t xml:space="preserve"> (under review)</w:t>
      </w:r>
    </w:p>
    <w:p w:rsidR="00645C98" w:rsidRPr="00D321F9" w:rsidRDefault="00645C98" w:rsidP="007215B4">
      <w:pPr>
        <w:pStyle w:val="L1-FlLSp12"/>
        <w:spacing w:line="240" w:lineRule="auto"/>
        <w:rPr>
          <w:rFonts w:ascii="Times New Roman" w:hAnsi="Times New Roman"/>
          <w:szCs w:val="24"/>
        </w:rPr>
      </w:pPr>
    </w:p>
    <w:p w:rsidR="00C6391E" w:rsidRPr="00D321F9" w:rsidRDefault="00C6391E" w:rsidP="00175C20">
      <w:pPr>
        <w:pStyle w:val="Heading3"/>
        <w:spacing w:after="120" w:line="240" w:lineRule="auto"/>
        <w:rPr>
          <w:rFonts w:ascii="Times New Roman" w:hAnsi="Times New Roman"/>
          <w:color w:val="auto"/>
          <w:sz w:val="24"/>
          <w:szCs w:val="24"/>
        </w:rPr>
      </w:pPr>
      <w:bookmarkStart w:id="85" w:name="_Toc468187469"/>
      <w:bookmarkStart w:id="86" w:name="_Toc481483749"/>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1</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Universe and Sample Design</w:t>
      </w:r>
      <w:bookmarkEnd w:id="85"/>
      <w:bookmarkEnd w:id="86"/>
    </w:p>
    <w:p w:rsidR="007215B4" w:rsidRDefault="00F130EA" w:rsidP="008A162A">
      <w:pPr>
        <w:pStyle w:val="Heading3"/>
        <w:keepNext w:val="0"/>
        <w:spacing w:after="120" w:line="240" w:lineRule="auto"/>
        <w:ind w:left="0" w:firstLine="0"/>
        <w:rPr>
          <w:rFonts w:ascii="Times New Roman" w:hAnsi="Times New Roman"/>
          <w:b w:val="0"/>
          <w:color w:val="auto"/>
          <w:sz w:val="24"/>
          <w:szCs w:val="24"/>
        </w:rPr>
      </w:pPr>
      <w:bookmarkStart w:id="87" w:name="_Toc481483750"/>
      <w:r w:rsidRPr="00D321F9">
        <w:rPr>
          <w:rFonts w:ascii="Times New Roman" w:hAnsi="Times New Roman"/>
          <w:b w:val="0"/>
          <w:color w:val="auto"/>
          <w:sz w:val="24"/>
          <w:szCs w:val="24"/>
        </w:rPr>
        <w:t>The sample for the private school test is the same as for the main pilot study, so the</w:t>
      </w:r>
      <w:r w:rsidR="00B132CA" w:rsidRPr="00D321F9">
        <w:rPr>
          <w:rFonts w:ascii="Times New Roman" w:hAnsi="Times New Roman"/>
          <w:b w:val="0"/>
          <w:color w:val="auto"/>
          <w:sz w:val="24"/>
          <w:szCs w:val="24"/>
        </w:rPr>
        <w:t xml:space="preserve"> </w:t>
      </w:r>
      <w:r w:rsidRPr="00D321F9">
        <w:rPr>
          <w:rFonts w:ascii="Times New Roman" w:hAnsi="Times New Roman"/>
          <w:b w:val="0"/>
          <w:color w:val="auto"/>
          <w:sz w:val="24"/>
          <w:szCs w:val="24"/>
        </w:rPr>
        <w:t>corresponding sections in Section B.1 are also relevant here. This section discusses the particular issue of the power requirements for the experimental design, which drove the final sample size designation of 4,000 schools and 9,000 teachers</w:t>
      </w:r>
      <w:r w:rsidR="00F55A81" w:rsidRPr="00D321F9">
        <w:rPr>
          <w:rFonts w:ascii="Times New Roman" w:hAnsi="Times New Roman"/>
          <w:b w:val="0"/>
          <w:color w:val="auto"/>
          <w:sz w:val="24"/>
          <w:szCs w:val="24"/>
        </w:rPr>
        <w:t xml:space="preserve"> (these are about 33% greater than SASS 2011-12)</w:t>
      </w:r>
      <w:r w:rsidRPr="00D321F9">
        <w:rPr>
          <w:rFonts w:ascii="Times New Roman" w:hAnsi="Times New Roman"/>
          <w:b w:val="0"/>
          <w:color w:val="auto"/>
          <w:sz w:val="24"/>
          <w:szCs w:val="24"/>
        </w:rPr>
        <w:t xml:space="preserve">. Section B.1 presents the </w:t>
      </w:r>
      <w:r w:rsidR="00B61E5B" w:rsidRPr="00D321F9">
        <w:rPr>
          <w:rFonts w:ascii="Times New Roman" w:hAnsi="Times New Roman"/>
          <w:b w:val="0"/>
          <w:color w:val="auto"/>
          <w:sz w:val="24"/>
          <w:szCs w:val="24"/>
        </w:rPr>
        <w:t>precision levels for major school domains for the sample design: this section discusses the power issues.</w:t>
      </w:r>
      <w:bookmarkEnd w:id="87"/>
    </w:p>
    <w:p w:rsidR="00C6391E" w:rsidRPr="00D321F9" w:rsidRDefault="00C6391E" w:rsidP="00175C20">
      <w:pPr>
        <w:pStyle w:val="Heading3"/>
        <w:spacing w:after="120" w:line="240" w:lineRule="auto"/>
        <w:ind w:left="0" w:firstLine="0"/>
        <w:rPr>
          <w:rFonts w:ascii="Times New Roman" w:hAnsi="Times New Roman"/>
          <w:color w:val="auto"/>
          <w:sz w:val="24"/>
          <w:szCs w:val="24"/>
        </w:rPr>
      </w:pPr>
      <w:bookmarkStart w:id="88" w:name="_Toc468187470"/>
      <w:bookmarkStart w:id="89" w:name="_Toc481483751"/>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2</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Precision Requirements and Sample Sizes</w:t>
      </w:r>
      <w:bookmarkEnd w:id="88"/>
      <w:bookmarkEnd w:id="89"/>
    </w:p>
    <w:p w:rsidR="007215B4" w:rsidRDefault="002F3A2E" w:rsidP="008A162A">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sample design for private schools is designed to detect </w:t>
      </w:r>
      <w:r w:rsidR="003B5E86" w:rsidRPr="00D321F9">
        <w:rPr>
          <w:rFonts w:ascii="Times New Roman" w:hAnsi="Times New Roman"/>
          <w:szCs w:val="24"/>
        </w:rPr>
        <w:t>a response rate difference</w:t>
      </w:r>
      <w:r w:rsidRPr="00D321F9">
        <w:rPr>
          <w:rFonts w:ascii="Times New Roman" w:hAnsi="Times New Roman"/>
          <w:szCs w:val="24"/>
        </w:rPr>
        <w:t xml:space="preserve"> of 4.7% for comparing school response rates between the two experimental halves </w:t>
      </w:r>
      <w:r w:rsidR="003B5E86" w:rsidRPr="00D321F9">
        <w:rPr>
          <w:rFonts w:ascii="Times New Roman" w:hAnsi="Times New Roman"/>
          <w:szCs w:val="24"/>
        </w:rPr>
        <w:t xml:space="preserve">for the incentives experiment </w:t>
      </w:r>
      <w:r w:rsidRPr="00D321F9">
        <w:rPr>
          <w:rFonts w:ascii="Times New Roman" w:hAnsi="Times New Roman"/>
          <w:szCs w:val="24"/>
        </w:rPr>
        <w:t xml:space="preserve">(for a one-sided test of the null hypothesis of no difference with 95% confidence), and </w:t>
      </w:r>
      <w:r w:rsidR="003B5E86" w:rsidRPr="00D321F9">
        <w:rPr>
          <w:rFonts w:ascii="Times New Roman" w:hAnsi="Times New Roman"/>
          <w:szCs w:val="24"/>
        </w:rPr>
        <w:t>a response rate difference</w:t>
      </w:r>
      <w:r w:rsidRPr="00D321F9">
        <w:rPr>
          <w:rFonts w:ascii="Times New Roman" w:hAnsi="Times New Roman"/>
          <w:szCs w:val="24"/>
        </w:rPr>
        <w:t xml:space="preserve"> of 6.3% for comparing school response rates between the </w:t>
      </w:r>
      <w:r w:rsidR="003B5E86" w:rsidRPr="00D321F9">
        <w:rPr>
          <w:rFonts w:ascii="Times New Roman" w:hAnsi="Times New Roman"/>
          <w:szCs w:val="24"/>
        </w:rPr>
        <w:t xml:space="preserve">treatment and control </w:t>
      </w:r>
      <w:r w:rsidRPr="00D321F9">
        <w:rPr>
          <w:rFonts w:ascii="Times New Roman" w:hAnsi="Times New Roman"/>
          <w:szCs w:val="24"/>
        </w:rPr>
        <w:t>halves of the priority school group</w:t>
      </w:r>
      <w:r w:rsidR="003B5E86" w:rsidRPr="00D321F9">
        <w:rPr>
          <w:rFonts w:ascii="Times New Roman" w:hAnsi="Times New Roman"/>
          <w:szCs w:val="24"/>
        </w:rPr>
        <w:t xml:space="preserve"> for the tailored contact strategy experiment</w:t>
      </w:r>
      <w:r w:rsidRPr="00D321F9">
        <w:rPr>
          <w:rFonts w:ascii="Times New Roman" w:hAnsi="Times New Roman"/>
          <w:szCs w:val="24"/>
        </w:rPr>
        <w:t xml:space="preserve"> (roughly 30% of the sample in each half</w:t>
      </w:r>
      <w:r w:rsidR="003B5E86" w:rsidRPr="00D321F9">
        <w:rPr>
          <w:rFonts w:ascii="Times New Roman" w:hAnsi="Times New Roman"/>
          <w:szCs w:val="24"/>
        </w:rPr>
        <w:t>: the priority schools are designed to be 60% of the sample</w:t>
      </w:r>
      <w:r w:rsidRPr="00D321F9">
        <w:rPr>
          <w:rFonts w:ascii="Times New Roman" w:hAnsi="Times New Roman"/>
          <w:szCs w:val="24"/>
        </w:rPr>
        <w:t xml:space="preserve">). </w:t>
      </w:r>
      <w:r w:rsidR="00F55A81" w:rsidRPr="00D321F9">
        <w:rPr>
          <w:rFonts w:ascii="Times New Roman" w:hAnsi="Times New Roman"/>
          <w:szCs w:val="24"/>
        </w:rPr>
        <w:t>The benchmark was a 5% response rate difference: the study design achieves a little more than this in the former case, and a little less than this in the latter case.</w:t>
      </w:r>
    </w:p>
    <w:p w:rsidR="00147356" w:rsidRPr="00D321F9" w:rsidRDefault="00147356" w:rsidP="00175C20">
      <w:pPr>
        <w:pStyle w:val="Heading3"/>
        <w:spacing w:after="120" w:line="240" w:lineRule="auto"/>
        <w:rPr>
          <w:rFonts w:ascii="Times New Roman" w:hAnsi="Times New Roman"/>
          <w:color w:val="auto"/>
          <w:sz w:val="24"/>
          <w:szCs w:val="24"/>
        </w:rPr>
      </w:pPr>
      <w:bookmarkStart w:id="90" w:name="_Toc468187468"/>
      <w:bookmarkStart w:id="91" w:name="_Toc481483752"/>
      <w:bookmarkStart w:id="92" w:name="_Toc468187471"/>
      <w:r w:rsidRPr="00D321F9">
        <w:rPr>
          <w:rFonts w:ascii="Times New Roman" w:hAnsi="Times New Roman"/>
          <w:color w:val="auto"/>
          <w:sz w:val="24"/>
          <w:szCs w:val="24"/>
        </w:rPr>
        <w:t>B.4.3.</w:t>
      </w:r>
      <w:r w:rsidR="0056441A" w:rsidRPr="00D321F9">
        <w:rPr>
          <w:rFonts w:ascii="Times New Roman" w:hAnsi="Times New Roman"/>
          <w:color w:val="auto"/>
          <w:sz w:val="24"/>
          <w:szCs w:val="24"/>
        </w:rPr>
        <w:t>3</w:t>
      </w:r>
      <w:r w:rsidRPr="00D321F9">
        <w:rPr>
          <w:rFonts w:ascii="Times New Roman" w:hAnsi="Times New Roman"/>
          <w:color w:val="auto"/>
          <w:sz w:val="24"/>
          <w:szCs w:val="24"/>
        </w:rPr>
        <w:t xml:space="preserve"> </w:t>
      </w:r>
      <w:bookmarkEnd w:id="90"/>
      <w:r w:rsidR="000323DA" w:rsidRPr="00D321F9">
        <w:rPr>
          <w:rFonts w:ascii="Times New Roman" w:hAnsi="Times New Roman"/>
          <w:color w:val="auto"/>
          <w:sz w:val="24"/>
          <w:szCs w:val="24"/>
        </w:rPr>
        <w:t xml:space="preserve">Private School Test </w:t>
      </w:r>
      <w:r w:rsidRPr="00D321F9">
        <w:rPr>
          <w:rFonts w:ascii="Times New Roman" w:hAnsi="Times New Roman"/>
          <w:color w:val="auto"/>
          <w:sz w:val="24"/>
          <w:szCs w:val="24"/>
        </w:rPr>
        <w:t>Study Design</w:t>
      </w:r>
      <w:bookmarkEnd w:id="91"/>
    </w:p>
    <w:p w:rsidR="007215B4" w:rsidRDefault="00147356" w:rsidP="00175C20">
      <w:pPr>
        <w:pStyle w:val="L1-FlLSp12"/>
        <w:spacing w:after="120" w:line="240" w:lineRule="auto"/>
        <w:rPr>
          <w:rFonts w:ascii="Times New Roman" w:hAnsi="Times New Roman"/>
          <w:szCs w:val="24"/>
        </w:rPr>
      </w:pPr>
      <w:r w:rsidRPr="00D321F9">
        <w:rPr>
          <w:rFonts w:ascii="Times New Roman" w:hAnsi="Times New Roman"/>
          <w:szCs w:val="24"/>
        </w:rPr>
        <w:t>The NTPS 2017-18 private school test has been designed both to provide accurate estimates for teachers and principals in private schools in the United States as well as to examine the effects of strategies to improv</w:t>
      </w:r>
      <w:r w:rsidR="00F957A0" w:rsidRPr="00D321F9">
        <w:rPr>
          <w:rFonts w:ascii="Times New Roman" w:hAnsi="Times New Roman"/>
          <w:szCs w:val="24"/>
        </w:rPr>
        <w:t>e response in this population.</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B.4.3.3.1. Data Collection</w:t>
      </w:r>
    </w:p>
    <w:p w:rsidR="007215B4" w:rsidRDefault="00F957A0" w:rsidP="00175C20">
      <w:pPr>
        <w:pStyle w:val="L1-FlLSp12"/>
        <w:spacing w:after="120" w:line="240" w:lineRule="auto"/>
        <w:rPr>
          <w:rFonts w:ascii="Times New Roman" w:hAnsi="Times New Roman"/>
          <w:szCs w:val="24"/>
        </w:rPr>
      </w:pPr>
      <w:r w:rsidRPr="00D321F9">
        <w:rPr>
          <w:rFonts w:ascii="Times New Roman" w:hAnsi="Times New Roman"/>
          <w:szCs w:val="24"/>
        </w:rPr>
        <w:t>Data collection for private schools in NTPS 2017-18 will follow the same procedures and operations as those for the public schools</w:t>
      </w:r>
      <w:r w:rsidR="00A3690F" w:rsidRPr="00D321F9">
        <w:rPr>
          <w:rFonts w:ascii="Times New Roman" w:hAnsi="Times New Roman"/>
          <w:szCs w:val="24"/>
        </w:rPr>
        <w:t xml:space="preserve">, except where noted. </w:t>
      </w:r>
      <w:r w:rsidR="000323DA" w:rsidRPr="00D321F9">
        <w:rPr>
          <w:rFonts w:ascii="Times New Roman" w:hAnsi="Times New Roman"/>
          <w:szCs w:val="24"/>
        </w:rPr>
        <w:t>After the advance letter and screener interview, private schools will enter one of two data collection paths: priority (see Section B.2.1.1) and non-priority</w:t>
      </w:r>
      <w:r w:rsidR="00C06B3C" w:rsidRPr="00D321F9">
        <w:rPr>
          <w:rFonts w:ascii="Times New Roman" w:hAnsi="Times New Roman"/>
          <w:szCs w:val="24"/>
        </w:rPr>
        <w:t xml:space="preserve"> (see Section B.2.1.2</w:t>
      </w:r>
      <w:r w:rsidR="000323DA" w:rsidRPr="00D321F9">
        <w:rPr>
          <w:rFonts w:ascii="Times New Roman" w:hAnsi="Times New Roman"/>
          <w:szCs w:val="24"/>
        </w:rPr>
        <w:t>). The data collection methodology used will depend upon each school’s identification as a “priority” school and its assignment to a treatment group (see Section B.4.3.3.3 below).</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B.4.3.3.2. Methods to Enhance Response</w:t>
      </w:r>
      <w:r w:rsidR="00442D29" w:rsidRPr="00D321F9">
        <w:rPr>
          <w:rFonts w:ascii="Times New Roman" w:hAnsi="Times New Roman"/>
          <w:b/>
          <w:szCs w:val="24"/>
        </w:rPr>
        <w:t xml:space="preserve"> from Private Schools</w:t>
      </w:r>
    </w:p>
    <w:p w:rsidR="007215B4" w:rsidRDefault="00442D29" w:rsidP="00175C20">
      <w:pPr>
        <w:pStyle w:val="L1-FlLSp12"/>
        <w:spacing w:after="120" w:line="240" w:lineRule="auto"/>
        <w:rPr>
          <w:rFonts w:ascii="Times New Roman" w:hAnsi="Times New Roman"/>
          <w:szCs w:val="24"/>
        </w:rPr>
      </w:pPr>
      <w:r w:rsidRPr="00D321F9">
        <w:rPr>
          <w:rFonts w:ascii="Times New Roman" w:hAnsi="Times New Roman"/>
          <w:szCs w:val="24"/>
        </w:rPr>
        <w:t>Response rates have been falling among federal surveys in general, and within the sector of private education in particular (SASS/NTPS series and the Private School Survey (PSS)). As stated above, the response rates for the SASS 2011-12 were insufficient to meet NCES standards for publication.</w:t>
      </w:r>
    </w:p>
    <w:p w:rsidR="007215B4" w:rsidRDefault="00C06B3C" w:rsidP="00175C20">
      <w:pPr>
        <w:pStyle w:val="L1-FlLSp12"/>
        <w:spacing w:after="120" w:line="240" w:lineRule="auto"/>
        <w:rPr>
          <w:rFonts w:ascii="Times New Roman" w:hAnsi="Times New Roman"/>
          <w:szCs w:val="24"/>
        </w:rPr>
      </w:pPr>
      <w:r w:rsidRPr="00D321F9">
        <w:rPr>
          <w:rFonts w:ascii="Times New Roman" w:hAnsi="Times New Roman"/>
          <w:szCs w:val="24"/>
        </w:rPr>
        <w:t>Similar to the methods used with</w:t>
      </w:r>
      <w:r w:rsidR="000323DA" w:rsidRPr="00D321F9">
        <w:rPr>
          <w:rFonts w:ascii="Times New Roman" w:hAnsi="Times New Roman"/>
          <w:szCs w:val="24"/>
        </w:rPr>
        <w:t xml:space="preserve"> public school</w:t>
      </w:r>
      <w:r w:rsidRPr="00D321F9">
        <w:rPr>
          <w:rFonts w:ascii="Times New Roman" w:hAnsi="Times New Roman"/>
          <w:szCs w:val="24"/>
        </w:rPr>
        <w:t>s</w:t>
      </w:r>
      <w:r w:rsidR="000323DA" w:rsidRPr="00D321F9">
        <w:rPr>
          <w:rFonts w:ascii="Times New Roman" w:hAnsi="Times New Roman"/>
          <w:szCs w:val="24"/>
        </w:rPr>
        <w:t xml:space="preserve"> </w:t>
      </w:r>
      <w:r w:rsidRPr="00D321F9">
        <w:rPr>
          <w:rFonts w:ascii="Times New Roman" w:hAnsi="Times New Roman"/>
          <w:szCs w:val="24"/>
        </w:rPr>
        <w:t>(see Section B.3)</w:t>
      </w:r>
      <w:r w:rsidR="000323DA" w:rsidRPr="00D321F9">
        <w:rPr>
          <w:rFonts w:ascii="Times New Roman" w:hAnsi="Times New Roman"/>
          <w:szCs w:val="24"/>
        </w:rPr>
        <w:t xml:space="preserve">, NCES plans to use several techniques to enhance response in the collection of data from private schools. </w:t>
      </w:r>
      <w:r w:rsidR="00442D29" w:rsidRPr="00D321F9">
        <w:rPr>
          <w:rFonts w:ascii="Times New Roman" w:hAnsi="Times New Roman"/>
          <w:szCs w:val="24"/>
        </w:rPr>
        <w:t>These methods include: recruitment of survey coordinators within the school; testing the use of teacher and school-level incentives; stressing the importance of the survey and of respondents’ participation; personalization of principal contact materials (when possible); use of email to target respondents; and monitoring measures of publishability and bias.</w:t>
      </w:r>
    </w:p>
    <w:p w:rsidR="000323DA" w:rsidRPr="00D321F9" w:rsidRDefault="000A1457" w:rsidP="00175C20">
      <w:pPr>
        <w:pStyle w:val="L1-FlLSp12"/>
        <w:spacing w:after="120" w:line="240" w:lineRule="auto"/>
        <w:rPr>
          <w:rFonts w:ascii="Times New Roman" w:hAnsi="Times New Roman"/>
          <w:szCs w:val="24"/>
        </w:rPr>
      </w:pPr>
      <w:r w:rsidRPr="00D321F9">
        <w:rPr>
          <w:rFonts w:ascii="Times New Roman" w:hAnsi="Times New Roman"/>
          <w:szCs w:val="24"/>
        </w:rPr>
        <w:t>S</w:t>
      </w:r>
      <w:r w:rsidR="00C06B3C" w:rsidRPr="00D321F9">
        <w:rPr>
          <w:rFonts w:ascii="Times New Roman" w:hAnsi="Times New Roman"/>
          <w:szCs w:val="24"/>
        </w:rPr>
        <w:t>ome methods will be similar, but will be adapted to be respectful of differences relevant to private schools. These include:</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Minimize survey burden on schools.</w:t>
      </w:r>
      <w:r w:rsidR="007215B4">
        <w:rPr>
          <w:rFonts w:ascii="Times New Roman" w:hAnsi="Times New Roman"/>
          <w:szCs w:val="24"/>
        </w:rPr>
        <w:t xml:space="preserve"> </w:t>
      </w:r>
      <w:r w:rsidRPr="00D321F9">
        <w:rPr>
          <w:rFonts w:ascii="Times New Roman" w:hAnsi="Times New Roman"/>
          <w:szCs w:val="24"/>
        </w:rPr>
        <w:t xml:space="preserve">NTPS survey procedures are designed to minimize burden on sampled schools and individuals (principals and teachers). </w:t>
      </w:r>
      <w:r w:rsidR="00D77190" w:rsidRPr="00D321F9">
        <w:rPr>
          <w:rFonts w:ascii="Times New Roman" w:hAnsi="Times New Roman"/>
          <w:szCs w:val="24"/>
        </w:rPr>
        <w:t xml:space="preserve">Because the NTPS 2017-18 field period overlaps with the collection of data for another collection – the PSS 2017-18 – we have combined elements of the PSS into the NTPS collection in an effort to reduce burden that would come from the administration of multiple surveys in the field. </w:t>
      </w:r>
      <w:r w:rsidRPr="00D321F9">
        <w:rPr>
          <w:rFonts w:ascii="Times New Roman" w:hAnsi="Times New Roman"/>
          <w:szCs w:val="24"/>
        </w:rPr>
        <w:t>Sampled private schools need to complete only one questionnaire for both surveys</w:t>
      </w:r>
      <w:r w:rsidR="00442D29" w:rsidRPr="00D321F9">
        <w:rPr>
          <w:rFonts w:ascii="Times New Roman" w:hAnsi="Times New Roman"/>
          <w:szCs w:val="24"/>
        </w:rPr>
        <w:t>, thereby reducing burden on private schools and staff</w:t>
      </w:r>
      <w:r w:rsidRPr="00D321F9">
        <w:rPr>
          <w:rFonts w:ascii="Times New Roman" w:hAnsi="Times New Roman"/>
          <w:szCs w:val="24"/>
        </w:rPr>
        <w:t>.</w:t>
      </w:r>
    </w:p>
    <w:p w:rsidR="00C06B3C" w:rsidRPr="00D321F9" w:rsidRDefault="00C06B3C" w:rsidP="00577DD4">
      <w:pPr>
        <w:pStyle w:val="ListParagraph"/>
        <w:numPr>
          <w:ilvl w:val="0"/>
          <w:numId w:val="43"/>
        </w:numPr>
        <w:spacing w:after="60" w:line="240" w:lineRule="auto"/>
        <w:ind w:left="450"/>
        <w:rPr>
          <w:rFonts w:ascii="Times New Roman" w:hAnsi="Times New Roman"/>
          <w:szCs w:val="24"/>
        </w:rPr>
      </w:pPr>
      <w:r w:rsidRPr="00D321F9">
        <w:rPr>
          <w:rFonts w:ascii="Times New Roman" w:hAnsi="Times New Roman"/>
          <w:b/>
          <w:i/>
          <w:iCs/>
          <w:szCs w:val="24"/>
        </w:rPr>
        <w:t>Endorsements from key private school groups</w:t>
      </w:r>
      <w:r w:rsidRPr="00D321F9">
        <w:rPr>
          <w:rFonts w:ascii="Times New Roman" w:hAnsi="Times New Roman"/>
          <w:b/>
          <w:szCs w:val="24"/>
        </w:rPr>
        <w:t xml:space="preserve">. </w:t>
      </w:r>
      <w:r w:rsidRPr="00D321F9">
        <w:rPr>
          <w:rFonts w:ascii="Times New Roman" w:hAnsi="Times New Roman"/>
          <w:szCs w:val="24"/>
        </w:rPr>
        <w:t>The level of interest and cooperation demonstrated by key groups can often greatly influence the degree of participation of survey respondents. NCES continues to work closely with private school associations as a key stakeholder in improving estimates on the state of private schools in the United States. Endorsements are viewed as a critical factor in soliciting cooperation from private schools. NCES has obtained endorsements for the NTPS 2017</w:t>
      </w:r>
      <w:r w:rsidR="007F5C54">
        <w:rPr>
          <w:rFonts w:ascii="Times New Roman" w:hAnsi="Times New Roman"/>
          <w:szCs w:val="24"/>
        </w:rPr>
        <w:t>-1</w:t>
      </w:r>
      <w:r w:rsidRPr="00D321F9">
        <w:rPr>
          <w:rFonts w:ascii="Times New Roman" w:hAnsi="Times New Roman"/>
          <w:szCs w:val="24"/>
        </w:rPr>
        <w:t>8 from the following organizations or agencies: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Agudath Israel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Episcopal Schools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Montessori Society</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Independent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Private Special Education Centers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Catholic Educational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and Classical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Military Colleges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Montessori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Waldorf Schools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Christian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Teachers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Coalition of Girls’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Independent Private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Society for Hebrew Day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Council for American Private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Oral Roberts University Educational Fellowship</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Evangelical Lutheran Church in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Friends Council on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Solomon Schechter Day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Islamic School League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General Conference of Seventh-Day Adventists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Southern Baptist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Jewish Education Services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Jesuit Secondary Education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Association of Boarding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Jewish Education Project</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Wisconsin Evangelical Lutheran Synod</w:t>
      </w:r>
    </w:p>
    <w:p w:rsidR="007215B4" w:rsidRDefault="00C06B3C"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Lutheran Church-Missouri Synod</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Contact by private school association representatives.</w:t>
      </w:r>
      <w:r w:rsidRPr="00D321F9">
        <w:rPr>
          <w:rFonts w:ascii="Times New Roman" w:hAnsi="Times New Roman"/>
          <w:szCs w:val="24"/>
        </w:rPr>
        <w:t xml:space="preserve"> In addition to endorsements of the collection, private school associations have asked for resources to engage their membership more directly in efforts to encourage response. NCES will provide private school associations with a list of the schools that have been sampled and are in their membership. The private school associations will contact their member schools to encourage their participation in the survey. To ensure privacy of sample members, private school associations will be required to sign a memorandum of understanding (MOU) before receiving the list of their member schools that have been sampled.</w:t>
      </w:r>
    </w:p>
    <w:p w:rsidR="007215B4" w:rsidRDefault="00A71D93" w:rsidP="00577DD4">
      <w:pPr>
        <w:pStyle w:val="ListParagraph"/>
        <w:numPr>
          <w:ilvl w:val="0"/>
          <w:numId w:val="43"/>
        </w:numPr>
        <w:spacing w:after="120" w:line="240" w:lineRule="auto"/>
        <w:ind w:left="450"/>
        <w:rPr>
          <w:rFonts w:ascii="Times New Roman" w:hAnsi="Times New Roman"/>
          <w:iCs/>
          <w:szCs w:val="24"/>
        </w:rPr>
      </w:pPr>
      <w:r>
        <w:rPr>
          <w:rFonts w:ascii="Times New Roman" w:hAnsi="Times New Roman"/>
          <w:b/>
          <w:i/>
          <w:iCs/>
          <w:szCs w:val="24"/>
        </w:rPr>
        <w:t>Tailor non-</w:t>
      </w:r>
      <w:r w:rsidR="000A1457" w:rsidRPr="00D321F9">
        <w:rPr>
          <w:rFonts w:ascii="Times New Roman" w:hAnsi="Times New Roman"/>
          <w:b/>
          <w:i/>
          <w:iCs/>
          <w:szCs w:val="24"/>
        </w:rPr>
        <w:t>response follow up strategies.</w:t>
      </w:r>
      <w:r w:rsidR="000A1457" w:rsidRPr="00D321F9">
        <w:rPr>
          <w:rFonts w:ascii="Times New Roman" w:hAnsi="Times New Roman"/>
          <w:i/>
          <w:iCs/>
          <w:szCs w:val="24"/>
        </w:rPr>
        <w:t xml:space="preserve"> </w:t>
      </w:r>
      <w:r w:rsidR="000A1457" w:rsidRPr="00D321F9">
        <w:rPr>
          <w:rFonts w:ascii="Times New Roman" w:hAnsi="Times New Roman"/>
          <w:iCs/>
          <w:szCs w:val="24"/>
        </w:rPr>
        <w:t>Similar to the method used with the public schools, NCES will develop a propensity score model that will be used to identify and segment priority schools in the private school sample</w:t>
      </w:r>
      <w:r w:rsidR="005F68DE">
        <w:rPr>
          <w:rFonts w:ascii="Times New Roman" w:hAnsi="Times New Roman"/>
          <w:iCs/>
          <w:szCs w:val="24"/>
        </w:rPr>
        <w:t>. The propensity model will use</w:t>
      </w:r>
      <w:r w:rsidR="000A1457" w:rsidRPr="00D321F9">
        <w:rPr>
          <w:rFonts w:ascii="Times New Roman" w:hAnsi="Times New Roman"/>
          <w:iCs/>
          <w:szCs w:val="24"/>
        </w:rPr>
        <w:t xml:space="preserve"> a combination of response likelihood and the risk of bias</w:t>
      </w:r>
      <w:r w:rsidR="006F0725" w:rsidRPr="00D321F9">
        <w:rPr>
          <w:rFonts w:ascii="Times New Roman" w:hAnsi="Times New Roman"/>
          <w:iCs/>
          <w:szCs w:val="24"/>
        </w:rPr>
        <w:t xml:space="preserve">. Thus, the highest priority schools in the private school sample will be those with the lowest likelihood of response and the highest likelihood to contribute to bias. The model will be built using data from SASS 2011-12 and PSS 2015-16. </w:t>
      </w:r>
      <w:r w:rsidR="000A1457" w:rsidRPr="00D321F9">
        <w:rPr>
          <w:rFonts w:ascii="Times New Roman" w:hAnsi="Times New Roman"/>
          <w:iCs/>
          <w:szCs w:val="24"/>
        </w:rPr>
        <w:t xml:space="preserve">The priority flag </w:t>
      </w:r>
      <w:r w:rsidR="006F0725" w:rsidRPr="00D321F9">
        <w:rPr>
          <w:rFonts w:ascii="Times New Roman" w:hAnsi="Times New Roman"/>
          <w:iCs/>
          <w:szCs w:val="24"/>
        </w:rPr>
        <w:t>will be</w:t>
      </w:r>
      <w:r w:rsidR="000A1457" w:rsidRPr="00D321F9">
        <w:rPr>
          <w:rFonts w:ascii="Times New Roman" w:hAnsi="Times New Roman"/>
          <w:iCs/>
          <w:szCs w:val="24"/>
        </w:rPr>
        <w:t xml:space="preserve"> assigned at the school level. During data collection, the priority flag </w:t>
      </w:r>
      <w:r w:rsidR="006F0725" w:rsidRPr="00D321F9">
        <w:rPr>
          <w:rFonts w:ascii="Times New Roman" w:hAnsi="Times New Roman"/>
          <w:iCs/>
          <w:szCs w:val="24"/>
        </w:rPr>
        <w:t>will be us</w:t>
      </w:r>
      <w:r w:rsidR="000A1457" w:rsidRPr="00D321F9">
        <w:rPr>
          <w:rFonts w:ascii="Times New Roman" w:hAnsi="Times New Roman"/>
          <w:iCs/>
          <w:szCs w:val="24"/>
        </w:rPr>
        <w:t xml:space="preserve">ed to move high priority schools into field follow-up operations earlier in </w:t>
      </w:r>
      <w:r w:rsidR="005F68DE">
        <w:rPr>
          <w:rFonts w:ascii="Times New Roman" w:hAnsi="Times New Roman"/>
          <w:iCs/>
          <w:szCs w:val="24"/>
        </w:rPr>
        <w:t xml:space="preserve">data </w:t>
      </w:r>
      <w:r w:rsidR="000A1457" w:rsidRPr="00D321F9">
        <w:rPr>
          <w:rFonts w:ascii="Times New Roman" w:hAnsi="Times New Roman"/>
          <w:iCs/>
          <w:szCs w:val="24"/>
        </w:rPr>
        <w:t xml:space="preserve">collection in an effort to boost response rates. </w:t>
      </w:r>
      <w:r w:rsidR="006F0725" w:rsidRPr="00D321F9">
        <w:rPr>
          <w:rFonts w:ascii="Times New Roman" w:hAnsi="Times New Roman"/>
          <w:iCs/>
          <w:szCs w:val="24"/>
        </w:rPr>
        <w:t>Based on prior collections, NCES knows that s</w:t>
      </w:r>
      <w:r w:rsidR="000A1457" w:rsidRPr="00D321F9">
        <w:rPr>
          <w:rFonts w:ascii="Times New Roman" w:hAnsi="Times New Roman"/>
          <w:iCs/>
          <w:szCs w:val="24"/>
        </w:rPr>
        <w:t xml:space="preserve">chools </w:t>
      </w:r>
      <w:r w:rsidR="006F0725" w:rsidRPr="00D321F9">
        <w:rPr>
          <w:rFonts w:ascii="Times New Roman" w:hAnsi="Times New Roman"/>
          <w:iCs/>
          <w:szCs w:val="24"/>
        </w:rPr>
        <w:t xml:space="preserve">identified </w:t>
      </w:r>
      <w:r w:rsidR="000A1457" w:rsidRPr="00D321F9">
        <w:rPr>
          <w:rFonts w:ascii="Times New Roman" w:hAnsi="Times New Roman"/>
          <w:iCs/>
          <w:szCs w:val="24"/>
        </w:rPr>
        <w:t xml:space="preserve">in the high priority group generally do not respond until later in the data collection process and </w:t>
      </w:r>
      <w:r w:rsidR="006F0725" w:rsidRPr="00D321F9">
        <w:rPr>
          <w:rFonts w:ascii="Times New Roman" w:hAnsi="Times New Roman"/>
          <w:iCs/>
          <w:szCs w:val="24"/>
        </w:rPr>
        <w:t>usually</w:t>
      </w:r>
      <w:r w:rsidR="000A1457" w:rsidRPr="00D321F9">
        <w:rPr>
          <w:rFonts w:ascii="Times New Roman" w:hAnsi="Times New Roman"/>
          <w:iCs/>
          <w:szCs w:val="24"/>
        </w:rPr>
        <w:t xml:space="preserve"> require field intervention.</w:t>
      </w:r>
    </w:p>
    <w:p w:rsidR="000A1457" w:rsidRPr="00D321F9" w:rsidRDefault="006F0725" w:rsidP="00577DD4">
      <w:pPr>
        <w:pStyle w:val="ListParagraph"/>
        <w:widowControl w:val="0"/>
        <w:spacing w:after="120" w:line="240" w:lineRule="auto"/>
        <w:ind w:left="450"/>
        <w:rPr>
          <w:rFonts w:ascii="Times New Roman" w:hAnsi="Times New Roman"/>
          <w:iCs/>
          <w:szCs w:val="24"/>
        </w:rPr>
      </w:pPr>
      <w:r w:rsidRPr="00D321F9">
        <w:rPr>
          <w:rFonts w:ascii="Times New Roman" w:hAnsi="Times New Roman"/>
          <w:iCs/>
          <w:szCs w:val="24"/>
        </w:rPr>
        <w:t>Private schools identified as “priority” schools will receive an enhanced follow-u</w:t>
      </w:r>
      <w:r w:rsidR="005F68DE">
        <w:rPr>
          <w:rFonts w:ascii="Times New Roman" w:hAnsi="Times New Roman"/>
          <w:iCs/>
          <w:szCs w:val="24"/>
        </w:rPr>
        <w:t>p cont</w:t>
      </w:r>
      <w:r w:rsidRPr="00D321F9">
        <w:rPr>
          <w:rFonts w:ascii="Times New Roman" w:hAnsi="Times New Roman"/>
          <w:iCs/>
          <w:szCs w:val="24"/>
        </w:rPr>
        <w:t>act strategy (see Exhibit 1 and Section B.2.1.1).</w:t>
      </w:r>
      <w:r w:rsidR="007215B4">
        <w:rPr>
          <w:rFonts w:ascii="Times New Roman" w:hAnsi="Times New Roman"/>
          <w:iCs/>
          <w:szCs w:val="24"/>
        </w:rPr>
        <w:t xml:space="preserve"> </w:t>
      </w:r>
      <w:r w:rsidRPr="00D321F9">
        <w:rPr>
          <w:rFonts w:ascii="Times New Roman" w:hAnsi="Times New Roman"/>
          <w:iCs/>
          <w:szCs w:val="24"/>
        </w:rPr>
        <w:t>D</w:t>
      </w:r>
      <w:r w:rsidR="000A1457" w:rsidRPr="00D321F9">
        <w:rPr>
          <w:rFonts w:ascii="Times New Roman" w:hAnsi="Times New Roman"/>
          <w:iCs/>
          <w:szCs w:val="24"/>
        </w:rPr>
        <w:t xml:space="preserve">ata collection for priority schools </w:t>
      </w:r>
      <w:r w:rsidR="000A1457" w:rsidRPr="00D321F9">
        <w:rPr>
          <w:rFonts w:ascii="Times New Roman" w:hAnsi="Times New Roman"/>
          <w:szCs w:val="24"/>
        </w:rPr>
        <w:t xml:space="preserve">will begin with a personal visit from a Census Bureau Field Representative rather than beginning with a series of mailouts and telephone operations. </w:t>
      </w:r>
      <w:r w:rsidRPr="00D321F9">
        <w:rPr>
          <w:rFonts w:ascii="Times New Roman" w:hAnsi="Times New Roman"/>
          <w:szCs w:val="24"/>
        </w:rPr>
        <w:t xml:space="preserve">When used with public schools, this has resulted in reduced costs </w:t>
      </w:r>
      <w:r w:rsidR="000A1457" w:rsidRPr="00D321F9">
        <w:rPr>
          <w:rFonts w:ascii="Times New Roman" w:hAnsi="Times New Roman"/>
          <w:iCs/>
          <w:szCs w:val="24"/>
        </w:rPr>
        <w:t xml:space="preserve">due to the omission of the </w:t>
      </w:r>
      <w:r w:rsidRPr="00D321F9">
        <w:rPr>
          <w:rFonts w:ascii="Times New Roman" w:hAnsi="Times New Roman"/>
          <w:iCs/>
          <w:szCs w:val="24"/>
        </w:rPr>
        <w:t>mail</w:t>
      </w:r>
      <w:r w:rsidR="000A1457" w:rsidRPr="00D321F9">
        <w:rPr>
          <w:rFonts w:ascii="Times New Roman" w:hAnsi="Times New Roman"/>
          <w:iCs/>
          <w:szCs w:val="24"/>
        </w:rPr>
        <w:t xml:space="preserve"> and telephone </w:t>
      </w:r>
      <w:r w:rsidRPr="00D321F9">
        <w:rPr>
          <w:rFonts w:ascii="Times New Roman" w:hAnsi="Times New Roman"/>
          <w:iCs/>
          <w:szCs w:val="24"/>
        </w:rPr>
        <w:t>contacts</w:t>
      </w:r>
      <w:r w:rsidR="000A1457" w:rsidRPr="00D321F9">
        <w:rPr>
          <w:rFonts w:ascii="Times New Roman" w:hAnsi="Times New Roman"/>
          <w:iCs/>
          <w:szCs w:val="24"/>
        </w:rPr>
        <w:t xml:space="preserve"> that precede field operations</w:t>
      </w:r>
      <w:r w:rsidRPr="00D321F9">
        <w:rPr>
          <w:rFonts w:ascii="Times New Roman" w:hAnsi="Times New Roman"/>
          <w:iCs/>
          <w:szCs w:val="24"/>
        </w:rPr>
        <w:t xml:space="preserve"> and in an increase in</w:t>
      </w:r>
      <w:r w:rsidR="000A1457" w:rsidRPr="00D321F9">
        <w:rPr>
          <w:rFonts w:ascii="Times New Roman" w:hAnsi="Times New Roman"/>
          <w:iCs/>
          <w:szCs w:val="24"/>
        </w:rPr>
        <w:t xml:space="preserve"> the probability of response by providing the field staff more time to secure the completed questionnaires. </w:t>
      </w:r>
      <w:r w:rsidRPr="00D321F9">
        <w:rPr>
          <w:rFonts w:ascii="Times New Roman" w:hAnsi="Times New Roman"/>
          <w:iCs/>
          <w:szCs w:val="24"/>
        </w:rPr>
        <w:t xml:space="preserve">As with public schools, NTPS will focus on obtaining cooperation and improving response rates at the </w:t>
      </w:r>
      <w:r w:rsidR="00430636" w:rsidRPr="00D321F9">
        <w:rPr>
          <w:rFonts w:ascii="Times New Roman" w:hAnsi="Times New Roman"/>
          <w:iCs/>
          <w:szCs w:val="24"/>
        </w:rPr>
        <w:t>school level, with particular emphasis on a completed TLF, because of its relation to increased response for principals and teachers.</w:t>
      </w:r>
    </w:p>
    <w:p w:rsidR="007215B4" w:rsidRDefault="00430636" w:rsidP="00577DD4">
      <w:pPr>
        <w:pStyle w:val="ListParagraph"/>
        <w:widowControl w:val="0"/>
        <w:numPr>
          <w:ilvl w:val="0"/>
          <w:numId w:val="43"/>
        </w:numPr>
        <w:spacing w:after="120" w:line="240" w:lineRule="auto"/>
        <w:ind w:left="450"/>
        <w:rPr>
          <w:rFonts w:ascii="Times New Roman" w:hAnsi="Times New Roman"/>
          <w:szCs w:val="24"/>
        </w:rPr>
      </w:pPr>
      <w:r w:rsidRPr="00D321F9">
        <w:rPr>
          <w:rFonts w:ascii="Times New Roman" w:hAnsi="Times New Roman"/>
          <w:b/>
          <w:i/>
          <w:iCs/>
          <w:szCs w:val="24"/>
        </w:rPr>
        <w:t>Evaluation of</w:t>
      </w:r>
      <w:r w:rsidR="000A1457" w:rsidRPr="00D321F9">
        <w:rPr>
          <w:rFonts w:ascii="Times New Roman" w:hAnsi="Times New Roman"/>
          <w:b/>
          <w:i/>
          <w:iCs/>
          <w:szCs w:val="24"/>
        </w:rPr>
        <w:t xml:space="preserve"> vendor lists for teaching sampling.</w:t>
      </w:r>
      <w:r w:rsidR="000A1457" w:rsidRPr="00D321F9" w:rsidDel="001D4E3F">
        <w:rPr>
          <w:rFonts w:ascii="Times New Roman" w:hAnsi="Times New Roman"/>
          <w:iCs/>
          <w:szCs w:val="24"/>
        </w:rPr>
        <w:t xml:space="preserve"> </w:t>
      </w:r>
      <w:r w:rsidRPr="00D321F9">
        <w:rPr>
          <w:rFonts w:ascii="Times New Roman" w:hAnsi="Times New Roman"/>
          <w:iCs/>
          <w:szCs w:val="24"/>
        </w:rPr>
        <w:t>Similar to the evaluation of the use of vendor-purchased lists to enhance teacher sampling in NTPS 2015-16, NCES will evaluate the comparability of vendor lists of teachers at private schools with TLFs received from sampled schools. If there is a high accuracy rate between teacher information from submitted TLFs and purchased lists, this is an enhancement that can be added in future collections. If successful, t</w:t>
      </w:r>
      <w:r w:rsidR="000A1457" w:rsidRPr="00D321F9">
        <w:rPr>
          <w:rFonts w:ascii="Times New Roman" w:hAnsi="Times New Roman"/>
          <w:iCs/>
          <w:szCs w:val="24"/>
        </w:rPr>
        <w:t xml:space="preserve">his operation </w:t>
      </w:r>
      <w:r w:rsidRPr="00D321F9">
        <w:rPr>
          <w:rFonts w:ascii="Times New Roman" w:hAnsi="Times New Roman"/>
          <w:iCs/>
          <w:szCs w:val="24"/>
        </w:rPr>
        <w:t>may</w:t>
      </w:r>
      <w:r w:rsidR="000A1457" w:rsidRPr="00D321F9">
        <w:rPr>
          <w:rFonts w:ascii="Times New Roman" w:hAnsi="Times New Roman"/>
          <w:iCs/>
          <w:szCs w:val="24"/>
        </w:rPr>
        <w:t xml:space="preserve"> help to improve the overall teacher response rate by allowing teacher sampling from schools that have not submitted a TLF.</w:t>
      </w:r>
    </w:p>
    <w:p w:rsidR="00F957A0" w:rsidRPr="00D321F9" w:rsidRDefault="00F957A0" w:rsidP="00175C20">
      <w:pPr>
        <w:pStyle w:val="L1-FlLSp12"/>
        <w:spacing w:after="120" w:line="240" w:lineRule="auto"/>
        <w:rPr>
          <w:rFonts w:ascii="Times New Roman" w:hAnsi="Times New Roman"/>
          <w:b/>
          <w:szCs w:val="24"/>
        </w:rPr>
      </w:pPr>
      <w:r w:rsidRPr="00D321F9">
        <w:rPr>
          <w:rFonts w:ascii="Times New Roman" w:hAnsi="Times New Roman"/>
          <w:b/>
          <w:szCs w:val="24"/>
        </w:rPr>
        <w:t xml:space="preserve">B.4.3.3.3. </w:t>
      </w:r>
      <w:r w:rsidR="00A3690F" w:rsidRPr="00D321F9">
        <w:rPr>
          <w:rFonts w:ascii="Times New Roman" w:hAnsi="Times New Roman"/>
          <w:b/>
          <w:szCs w:val="24"/>
        </w:rPr>
        <w:t xml:space="preserve">Tests </w:t>
      </w:r>
      <w:r w:rsidR="00AA7EBF">
        <w:rPr>
          <w:rFonts w:ascii="Times New Roman" w:hAnsi="Times New Roman"/>
          <w:b/>
          <w:szCs w:val="24"/>
        </w:rPr>
        <w:t>w</w:t>
      </w:r>
      <w:r w:rsidR="00737A5C" w:rsidRPr="00D321F9">
        <w:rPr>
          <w:rFonts w:ascii="Times New Roman" w:hAnsi="Times New Roman"/>
          <w:b/>
          <w:szCs w:val="24"/>
        </w:rPr>
        <w:t>ithin</w:t>
      </w:r>
      <w:r w:rsidR="00A3690F" w:rsidRPr="00D321F9">
        <w:rPr>
          <w:rFonts w:ascii="Times New Roman" w:hAnsi="Times New Roman"/>
          <w:b/>
          <w:szCs w:val="24"/>
        </w:rPr>
        <w:t xml:space="preserve"> the</w:t>
      </w:r>
      <w:r w:rsidRPr="00D321F9">
        <w:rPr>
          <w:rFonts w:ascii="Times New Roman" w:hAnsi="Times New Roman"/>
          <w:b/>
          <w:szCs w:val="24"/>
        </w:rPr>
        <w:t xml:space="preserve"> Private School Test</w:t>
      </w:r>
    </w:p>
    <w:p w:rsidR="00147356" w:rsidRPr="00D321F9" w:rsidRDefault="00737A5C" w:rsidP="00175C20">
      <w:pPr>
        <w:pStyle w:val="L1-FlLSp12"/>
        <w:spacing w:after="120" w:line="240" w:lineRule="auto"/>
        <w:rPr>
          <w:rFonts w:ascii="Times New Roman" w:hAnsi="Times New Roman"/>
          <w:szCs w:val="24"/>
        </w:rPr>
      </w:pPr>
      <w:r w:rsidRPr="00D321F9">
        <w:rPr>
          <w:rFonts w:ascii="Times New Roman" w:hAnsi="Times New Roman"/>
          <w:szCs w:val="24"/>
        </w:rPr>
        <w:t>NCES plans to test two methods intended to increase response explicitly: the use of a tailored contact strategy using model-based targeting</w:t>
      </w:r>
      <w:r w:rsidR="000A1457" w:rsidRPr="00D321F9">
        <w:rPr>
          <w:rFonts w:ascii="Times New Roman" w:hAnsi="Times New Roman"/>
          <w:szCs w:val="24"/>
        </w:rPr>
        <w:t xml:space="preserve"> </w:t>
      </w:r>
      <w:r w:rsidR="00430636" w:rsidRPr="00D321F9">
        <w:rPr>
          <w:rFonts w:ascii="Times New Roman" w:hAnsi="Times New Roman"/>
          <w:szCs w:val="24"/>
        </w:rPr>
        <w:t>and the use of incentives (both teacher- and school-level)</w:t>
      </w:r>
      <w:r w:rsidRPr="00D321F9">
        <w:rPr>
          <w:rFonts w:ascii="Times New Roman" w:hAnsi="Times New Roman"/>
          <w:szCs w:val="24"/>
        </w:rPr>
        <w:t>.</w:t>
      </w:r>
      <w:r w:rsidR="000A1457" w:rsidRPr="00D321F9">
        <w:rPr>
          <w:rFonts w:ascii="Times New Roman" w:hAnsi="Times New Roman"/>
          <w:szCs w:val="24"/>
        </w:rPr>
        <w:t xml:space="preserve"> </w:t>
      </w:r>
      <w:r w:rsidR="00147356" w:rsidRPr="00D321F9">
        <w:rPr>
          <w:rFonts w:ascii="Times New Roman" w:hAnsi="Times New Roman"/>
          <w:szCs w:val="24"/>
        </w:rPr>
        <w:t>Although both techniques will be assigned at the school-level, the treatments will be administered, and affects assessed, at different levels</w:t>
      </w:r>
      <w:r w:rsidR="00430636" w:rsidRPr="00D321F9">
        <w:rPr>
          <w:rFonts w:ascii="Times New Roman" w:hAnsi="Times New Roman"/>
          <w:szCs w:val="24"/>
        </w:rPr>
        <w:t xml:space="preserve"> (see Exhibit 2).</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Tailored Contact Strategy Treatment.</w:t>
      </w:r>
      <w:r w:rsidRPr="00D321F9">
        <w:rPr>
          <w:rFonts w:ascii="Times New Roman" w:hAnsi="Times New Roman"/>
          <w:szCs w:val="24"/>
        </w:rPr>
        <w:t xml:space="preserve"> A propensity score model</w:t>
      </w:r>
      <w:r w:rsidR="00147356" w:rsidRPr="00D321F9">
        <w:rPr>
          <w:rFonts w:ascii="Times New Roman" w:hAnsi="Times New Roman"/>
          <w:szCs w:val="24"/>
        </w:rPr>
        <w:t xml:space="preserve"> will be used to identify and segment priority schools. </w:t>
      </w:r>
      <w:r w:rsidRPr="00D321F9">
        <w:rPr>
          <w:rFonts w:ascii="Times New Roman" w:hAnsi="Times New Roman"/>
          <w:szCs w:val="24"/>
        </w:rPr>
        <w:t>T</w:t>
      </w:r>
      <w:r w:rsidR="00147356" w:rsidRPr="00D321F9">
        <w:rPr>
          <w:rFonts w:ascii="Times New Roman" w:hAnsi="Times New Roman"/>
          <w:szCs w:val="24"/>
        </w:rPr>
        <w:t xml:space="preserve">he highest priority schools for the collection are those with the lowest likelihood of response and the highest likelihood to contribute to bias. </w:t>
      </w:r>
      <w:r w:rsidRPr="00D321F9">
        <w:rPr>
          <w:rFonts w:ascii="Times New Roman" w:hAnsi="Times New Roman"/>
          <w:szCs w:val="24"/>
        </w:rPr>
        <w:t>In order to assign schools into treatment groups, s</w:t>
      </w:r>
      <w:r w:rsidR="00147356" w:rsidRPr="00D321F9">
        <w:rPr>
          <w:rFonts w:ascii="Times New Roman" w:hAnsi="Times New Roman"/>
          <w:szCs w:val="24"/>
        </w:rPr>
        <w:t>chools will be matched into pairs with similar likelihood scores and then randomly assigned to groups (</w:t>
      </w:r>
      <w:r w:rsidRPr="00D321F9">
        <w:rPr>
          <w:rFonts w:ascii="Times New Roman" w:hAnsi="Times New Roman"/>
          <w:szCs w:val="24"/>
        </w:rPr>
        <w:t>“priority” early contact schedule</w:t>
      </w:r>
      <w:r w:rsidR="00147356" w:rsidRPr="00D321F9">
        <w:rPr>
          <w:rFonts w:ascii="Times New Roman" w:hAnsi="Times New Roman"/>
          <w:szCs w:val="24"/>
        </w:rPr>
        <w:t xml:space="preserve"> versus </w:t>
      </w:r>
      <w:r w:rsidRPr="00D321F9">
        <w:rPr>
          <w:rFonts w:ascii="Times New Roman" w:hAnsi="Times New Roman"/>
          <w:szCs w:val="24"/>
        </w:rPr>
        <w:t xml:space="preserve">“non-priority” </w:t>
      </w:r>
      <w:r w:rsidR="00147356" w:rsidRPr="00D321F9">
        <w:rPr>
          <w:rFonts w:ascii="Times New Roman" w:hAnsi="Times New Roman"/>
          <w:szCs w:val="24"/>
        </w:rPr>
        <w:t xml:space="preserve">typical </w:t>
      </w:r>
      <w:r w:rsidRPr="00D321F9">
        <w:rPr>
          <w:rFonts w:ascii="Times New Roman" w:hAnsi="Times New Roman"/>
          <w:szCs w:val="24"/>
        </w:rPr>
        <w:t>contact schedule</w:t>
      </w:r>
      <w:r w:rsidR="00147356" w:rsidRPr="00D321F9">
        <w:rPr>
          <w:rFonts w:ascii="Times New Roman" w:hAnsi="Times New Roman"/>
          <w:szCs w:val="24"/>
        </w:rPr>
        <w:t xml:space="preserve">). Because the priority school data collection plan is resource intensive and is not necessary for some schools (e.g., schools with a high likelihood of response), the plan is to test this strategy with 60 percent of the sample, based on the highest priority cases as identified by the propensity models. Once they are matched into pairs, half of the schools in the test group (30 percent of schools in the starting sample) will be assigned to the treatment group (“priority”), and the other half of the schools (30 percent) will be assigned to the comparison group (“non-priority”). The remaining 40 percent of the starting sample will receive the </w:t>
      </w:r>
      <w:r w:rsidRPr="00D321F9">
        <w:rPr>
          <w:rFonts w:ascii="Times New Roman" w:hAnsi="Times New Roman"/>
          <w:szCs w:val="24"/>
        </w:rPr>
        <w:t xml:space="preserve">typical </w:t>
      </w:r>
      <w:r w:rsidR="00147356" w:rsidRPr="00D321F9">
        <w:rPr>
          <w:rFonts w:ascii="Times New Roman" w:hAnsi="Times New Roman"/>
          <w:szCs w:val="24"/>
        </w:rPr>
        <w:t>contact schedule for the non-priority schools.</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Incentives for Teachers and Principals/Coordinators.</w:t>
      </w:r>
      <w:r w:rsidRPr="00D321F9">
        <w:rPr>
          <w:rFonts w:ascii="Times New Roman" w:hAnsi="Times New Roman"/>
          <w:szCs w:val="24"/>
        </w:rPr>
        <w:t xml:space="preserve"> The private school test of the effectiveness of incentives, including recipient and amount, will follow the same procedures as outlined for public schools (see Section B.4.2). Incentive groups are assigned at the school level, but administered to teachers and to principals or coordinators. </w:t>
      </w:r>
      <w:r w:rsidR="0056441A" w:rsidRPr="00D321F9">
        <w:rPr>
          <w:rFonts w:ascii="Times New Roman" w:hAnsi="Times New Roman"/>
          <w:szCs w:val="24"/>
        </w:rPr>
        <w:t xml:space="preserve">For </w:t>
      </w:r>
      <w:r w:rsidRPr="00D321F9">
        <w:rPr>
          <w:rFonts w:ascii="Times New Roman" w:hAnsi="Times New Roman"/>
          <w:szCs w:val="24"/>
        </w:rPr>
        <w:t>example</w:t>
      </w:r>
      <w:r w:rsidR="0056441A" w:rsidRPr="00D321F9">
        <w:rPr>
          <w:rFonts w:ascii="Times New Roman" w:hAnsi="Times New Roman"/>
          <w:szCs w:val="24"/>
        </w:rPr>
        <w:t>, teachers will be assigned to the treatment</w:t>
      </w:r>
      <w:r w:rsidRPr="00D321F9">
        <w:rPr>
          <w:rFonts w:ascii="Times New Roman" w:hAnsi="Times New Roman"/>
          <w:szCs w:val="24"/>
        </w:rPr>
        <w:t xml:space="preserve"> group (incentive</w:t>
      </w:r>
      <w:r w:rsidR="0056441A" w:rsidRPr="00D321F9">
        <w:rPr>
          <w:rFonts w:ascii="Times New Roman" w:hAnsi="Times New Roman"/>
          <w:szCs w:val="24"/>
        </w:rPr>
        <w:t>) or</w:t>
      </w:r>
      <w:r w:rsidRPr="00D321F9">
        <w:rPr>
          <w:rFonts w:ascii="Times New Roman" w:hAnsi="Times New Roman"/>
          <w:szCs w:val="24"/>
        </w:rPr>
        <w:t xml:space="preserve"> comparison group (</w:t>
      </w:r>
      <w:r w:rsidR="0056441A" w:rsidRPr="00D321F9">
        <w:rPr>
          <w:rFonts w:ascii="Times New Roman" w:hAnsi="Times New Roman"/>
          <w:szCs w:val="24"/>
        </w:rPr>
        <w:t>no</w:t>
      </w:r>
      <w:r w:rsidRPr="00D321F9">
        <w:rPr>
          <w:rFonts w:ascii="Times New Roman" w:hAnsi="Times New Roman"/>
          <w:szCs w:val="24"/>
        </w:rPr>
        <w:t xml:space="preserve"> </w:t>
      </w:r>
      <w:r w:rsidR="0056441A" w:rsidRPr="00D321F9">
        <w:rPr>
          <w:rFonts w:ascii="Times New Roman" w:hAnsi="Times New Roman"/>
          <w:szCs w:val="24"/>
        </w:rPr>
        <w:t>incentive</w:t>
      </w:r>
      <w:r w:rsidRPr="00D321F9">
        <w:rPr>
          <w:rFonts w:ascii="Times New Roman" w:hAnsi="Times New Roman"/>
          <w:szCs w:val="24"/>
        </w:rPr>
        <w:t>)</w:t>
      </w:r>
      <w:r w:rsidR="0056441A" w:rsidRPr="00D321F9">
        <w:rPr>
          <w:rFonts w:ascii="Times New Roman" w:hAnsi="Times New Roman"/>
          <w:szCs w:val="24"/>
        </w:rPr>
        <w:t xml:space="preserve"> at the school level (i.e., all teachers within a school will receive the same treatment).</w:t>
      </w:r>
    </w:p>
    <w:p w:rsidR="00147356" w:rsidRPr="00D321F9" w:rsidRDefault="00147356" w:rsidP="00577DD4">
      <w:pPr>
        <w:keepNext/>
        <w:spacing w:before="240" w:after="60" w:line="240" w:lineRule="auto"/>
        <w:ind w:left="907" w:hanging="907"/>
        <w:rPr>
          <w:rFonts w:ascii="Times New Roman" w:hAnsi="Times New Roman"/>
          <w:b/>
          <w:szCs w:val="24"/>
        </w:rPr>
      </w:pPr>
      <w:r w:rsidRPr="00D321F9">
        <w:rPr>
          <w:rFonts w:ascii="Times New Roman" w:hAnsi="Times New Roman"/>
          <w:b/>
          <w:szCs w:val="24"/>
        </w:rPr>
        <w:t>Exhibit 2.</w:t>
      </w:r>
      <w:r w:rsidR="007215B4">
        <w:rPr>
          <w:rFonts w:ascii="Times New Roman" w:hAnsi="Times New Roman"/>
          <w:b/>
          <w:szCs w:val="24"/>
        </w:rPr>
        <w:t xml:space="preserve"> </w:t>
      </w:r>
      <w:r w:rsidRPr="00D321F9">
        <w:rPr>
          <w:rFonts w:ascii="Times New Roman" w:hAnsi="Times New Roman"/>
          <w:b/>
          <w:szCs w:val="24"/>
        </w:rPr>
        <w:t xml:space="preserve">Diagram of Study Design for NTPS 2017-18 Private School Test for </w:t>
      </w:r>
      <w:r w:rsidR="003C3A3D" w:rsidRPr="00D321F9">
        <w:rPr>
          <w:rFonts w:ascii="Times New Roman" w:hAnsi="Times New Roman"/>
          <w:b/>
          <w:szCs w:val="24"/>
        </w:rPr>
        <w:t>Tailored Contact Strategy Treatment (school) and Incentives (teacher and coordinator/principal</w:t>
      </w:r>
      <w:r w:rsidRPr="00D321F9">
        <w:rPr>
          <w:rFonts w:ascii="Times New Roman" w:hAnsi="Times New Roman"/>
          <w:b/>
          <w:szCs w:val="24"/>
        </w:rPr>
        <w:t>)</w:t>
      </w:r>
    </w:p>
    <w:p w:rsidR="00147356" w:rsidRDefault="003C3A3D" w:rsidP="008A162A">
      <w:pPr>
        <w:pStyle w:val="L1-FlLSp12"/>
        <w:spacing w:after="120" w:line="240" w:lineRule="auto"/>
        <w:jc w:val="center"/>
        <w:rPr>
          <w:rFonts w:ascii="Times New Roman" w:hAnsi="Times New Roman"/>
          <w:szCs w:val="24"/>
        </w:rPr>
      </w:pPr>
      <w:r w:rsidRPr="00D321F9">
        <w:rPr>
          <w:rFonts w:ascii="Times New Roman" w:hAnsi="Times New Roman"/>
          <w:noProof/>
          <w:szCs w:val="24"/>
        </w:rPr>
        <w:drawing>
          <wp:inline distT="0" distB="0" distL="0" distR="0" wp14:anchorId="7063379E" wp14:editId="29599EB6">
            <wp:extent cx="5414838" cy="2536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 t="13225" r="-63" b="24282"/>
                    <a:stretch/>
                  </pic:blipFill>
                  <pic:spPr bwMode="auto">
                    <a:xfrm>
                      <a:off x="0" y="0"/>
                      <a:ext cx="5414838" cy="2536466"/>
                    </a:xfrm>
                    <a:prstGeom prst="rect">
                      <a:avLst/>
                    </a:prstGeom>
                    <a:noFill/>
                    <a:ln>
                      <a:noFill/>
                    </a:ln>
                    <a:extLst>
                      <a:ext uri="{53640926-AAD7-44D8-BBD7-CCE9431645EC}">
                        <a14:shadowObscured xmlns:a14="http://schemas.microsoft.com/office/drawing/2010/main"/>
                      </a:ext>
                    </a:extLst>
                  </pic:spPr>
                </pic:pic>
              </a:graphicData>
            </a:graphic>
          </wp:inline>
        </w:drawing>
      </w:r>
    </w:p>
    <w:p w:rsidR="00EB01BB" w:rsidRDefault="00EB01BB" w:rsidP="00EB01BB">
      <w:pPr>
        <w:pStyle w:val="L1-FlLSp12"/>
        <w:spacing w:after="120" w:line="240" w:lineRule="auto"/>
        <w:rPr>
          <w:rFonts w:ascii="Times New Roman" w:hAnsi="Times New Roman"/>
          <w:szCs w:val="24"/>
        </w:rPr>
      </w:pPr>
      <w:r>
        <w:rPr>
          <w:rFonts w:ascii="Times New Roman" w:hAnsi="Times New Roman"/>
          <w:szCs w:val="24"/>
        </w:rPr>
        <w:t>Table 13 below presents power calculations for the private school test for the tailored contact strategy treatment experiment and the incentives experiment. In both cases, the tests are one-sided</w:t>
      </w:r>
      <w:r>
        <w:rPr>
          <w:rStyle w:val="FootnoteReference"/>
          <w:rFonts w:ascii="Times New Roman" w:hAnsi="Times New Roman"/>
          <w:szCs w:val="24"/>
        </w:rPr>
        <w:footnoteReference w:id="3"/>
      </w:r>
      <w:r>
        <w:rPr>
          <w:rFonts w:ascii="Times New Roman" w:hAnsi="Times New Roman"/>
          <w:szCs w:val="24"/>
        </w:rPr>
        <w:t xml:space="preserve"> with a confidence level of 95%. The null hypothesis posits that the treatment and control groups will have equal response rates. For the incentives experiment</w:t>
      </w:r>
      <w:r w:rsidR="00BC7C8C">
        <w:rPr>
          <w:rFonts w:ascii="Times New Roman" w:hAnsi="Times New Roman"/>
          <w:szCs w:val="24"/>
        </w:rPr>
        <w:t>,</w:t>
      </w:r>
      <w:r>
        <w:rPr>
          <w:rFonts w:ascii="Times New Roman" w:hAnsi="Times New Roman"/>
          <w:szCs w:val="24"/>
        </w:rPr>
        <w:t xml:space="preserve"> th</w:t>
      </w:r>
      <w:r w:rsidR="00BC7C8C">
        <w:rPr>
          <w:rFonts w:ascii="Times New Roman" w:hAnsi="Times New Roman"/>
          <w:szCs w:val="24"/>
        </w:rPr>
        <w:t>e</w:t>
      </w:r>
      <w:r>
        <w:rPr>
          <w:rFonts w:ascii="Times New Roman" w:hAnsi="Times New Roman"/>
          <w:szCs w:val="24"/>
        </w:rPr>
        <w:t xml:space="preserve"> null response rate is 65.66% (the school-level response rate for the SASS 2011-12 private schools all U</w:t>
      </w:r>
      <w:r w:rsidR="00BC7C8C">
        <w:rPr>
          <w:rFonts w:ascii="Times New Roman" w:hAnsi="Times New Roman"/>
          <w:szCs w:val="24"/>
        </w:rPr>
        <w:t>.</w:t>
      </w:r>
      <w:r>
        <w:rPr>
          <w:rFonts w:ascii="Times New Roman" w:hAnsi="Times New Roman"/>
          <w:szCs w:val="24"/>
        </w:rPr>
        <w:t>S</w:t>
      </w:r>
      <w:r w:rsidR="00BC7C8C">
        <w:rPr>
          <w:rFonts w:ascii="Times New Roman" w:hAnsi="Times New Roman"/>
          <w:szCs w:val="24"/>
        </w:rPr>
        <w:t>.</w:t>
      </w:r>
      <w:r>
        <w:rPr>
          <w:rFonts w:ascii="Times New Roman" w:hAnsi="Times New Roman"/>
          <w:szCs w:val="24"/>
        </w:rPr>
        <w:t>), and for the high-priority group th</w:t>
      </w:r>
      <w:r w:rsidR="00BC7C8C">
        <w:rPr>
          <w:rFonts w:ascii="Times New Roman" w:hAnsi="Times New Roman"/>
          <w:szCs w:val="24"/>
        </w:rPr>
        <w:t>e</w:t>
      </w:r>
      <w:r>
        <w:rPr>
          <w:rFonts w:ascii="Times New Roman" w:hAnsi="Times New Roman"/>
          <w:szCs w:val="24"/>
        </w:rPr>
        <w:t xml:space="preserve"> null response rate is 60</w:t>
      </w:r>
      <w:r w:rsidR="00BC7C8C">
        <w:rPr>
          <w:rFonts w:ascii="Times New Roman" w:hAnsi="Times New Roman"/>
          <w:szCs w:val="24"/>
        </w:rPr>
        <w:t>.00</w:t>
      </w:r>
      <w:r>
        <w:rPr>
          <w:rFonts w:ascii="Times New Roman" w:hAnsi="Times New Roman"/>
          <w:szCs w:val="24"/>
        </w:rPr>
        <w:t>% (the assumed school-level response rate for a high-priority stratum).</w:t>
      </w:r>
      <w:r w:rsidR="00EA1968">
        <w:rPr>
          <w:rFonts w:ascii="Times New Roman" w:hAnsi="Times New Roman"/>
          <w:szCs w:val="24"/>
        </w:rPr>
        <w:t xml:space="preserve"> </w:t>
      </w:r>
      <w:r>
        <w:rPr>
          <w:rFonts w:ascii="Times New Roman" w:hAnsi="Times New Roman"/>
          <w:szCs w:val="24"/>
        </w:rPr>
        <w:t xml:space="preserve">The assumed design effects are </w:t>
      </w:r>
      <w:r w:rsidR="00BC7C8C">
        <w:rPr>
          <w:rFonts w:ascii="Times New Roman" w:hAnsi="Times New Roman"/>
          <w:szCs w:val="24"/>
        </w:rPr>
        <w:t xml:space="preserve">the </w:t>
      </w:r>
      <w:r>
        <w:rPr>
          <w:rFonts w:ascii="Times New Roman" w:hAnsi="Times New Roman"/>
          <w:szCs w:val="24"/>
        </w:rPr>
        <w:t xml:space="preserve">expected design effects from sampling and weighting. The power is the difference </w:t>
      </w:r>
      <m:oMath>
        <m:r>
          <w:rPr>
            <w:rFonts w:ascii="Cambria Math" w:hAnsi="Cambria Math"/>
            <w:sz w:val="22"/>
            <w:szCs w:val="22"/>
          </w:rPr>
          <m:t>d</m:t>
        </m:r>
      </m:oMath>
      <w:r>
        <w:rPr>
          <w:rFonts w:ascii="Times New Roman" w:hAnsi="Times New Roman"/>
          <w:szCs w:val="24"/>
        </w:rPr>
        <w:t xml:space="preserve"> in response rates between the treatment and control groups for the two experiments (e.g., for the Incentive Experiment the alternative hypothesis is a response rate of 65.66% for the control arm and 70.66% for the treatment arm). The minimum detectable </w:t>
      </w:r>
      <m:oMath>
        <m:r>
          <w:rPr>
            <w:rFonts w:ascii="Cambria Math" w:hAnsi="Cambria Math"/>
            <w:sz w:val="22"/>
            <w:szCs w:val="22"/>
          </w:rPr>
          <m:t>d</m:t>
        </m:r>
      </m:oMath>
      <w:r>
        <w:rPr>
          <w:rFonts w:ascii="Times New Roman" w:hAnsi="Times New Roman"/>
          <w:szCs w:val="24"/>
        </w:rPr>
        <w:t xml:space="preserve"> is the alternative hypothesis response rate difference </w:t>
      </w:r>
      <w:r w:rsidR="00124EB6">
        <w:rPr>
          <w:rFonts w:ascii="Times New Roman" w:hAnsi="Times New Roman"/>
          <w:szCs w:val="24"/>
        </w:rPr>
        <w:t>that has exactly 80% power.</w:t>
      </w:r>
    </w:p>
    <w:p w:rsidR="00EB01BB" w:rsidRPr="00EB01BB" w:rsidRDefault="00EB01BB" w:rsidP="005E7814">
      <w:pPr>
        <w:pStyle w:val="L1-FlLSp12"/>
        <w:spacing w:after="120" w:line="240" w:lineRule="auto"/>
        <w:ind w:left="540"/>
        <w:rPr>
          <w:rFonts w:ascii="Times New Roman" w:eastAsia="Calibri" w:hAnsi="Times New Roman"/>
          <w:b/>
          <w:bCs/>
          <w:sz w:val="22"/>
          <w:szCs w:val="22"/>
        </w:rPr>
      </w:pPr>
      <w:r>
        <w:rPr>
          <w:rFonts w:ascii="Times New Roman" w:eastAsia="Calibri" w:hAnsi="Times New Roman"/>
          <w:b/>
          <w:bCs/>
          <w:sz w:val="22"/>
          <w:szCs w:val="22"/>
        </w:rPr>
        <w:t>Table 13</w:t>
      </w:r>
      <w:r w:rsidRPr="00EB01BB">
        <w:rPr>
          <w:rFonts w:ascii="Times New Roman" w:eastAsia="Calibri" w:hAnsi="Times New Roman"/>
          <w:b/>
          <w:bCs/>
          <w:sz w:val="22"/>
          <w:szCs w:val="22"/>
        </w:rPr>
        <w:t>. Power Calculations for Incentive Experiment and Tailored Contact Strategy Experiment</w:t>
      </w:r>
    </w:p>
    <w:tbl>
      <w:tblPr>
        <w:tblStyle w:val="TableGrid"/>
        <w:tblW w:w="5000" w:type="pct"/>
        <w:tblLook w:val="04A0" w:firstRow="1" w:lastRow="0" w:firstColumn="1" w:lastColumn="0" w:noHBand="0" w:noVBand="1"/>
      </w:tblPr>
      <w:tblGrid>
        <w:gridCol w:w="2899"/>
        <w:gridCol w:w="1798"/>
        <w:gridCol w:w="1531"/>
        <w:gridCol w:w="1170"/>
        <w:gridCol w:w="1200"/>
        <w:gridCol w:w="2274"/>
      </w:tblGrid>
      <w:tr w:rsidR="00EB01BB" w:rsidRPr="00EB01BB" w:rsidTr="00BC7C8C">
        <w:tc>
          <w:tcPr>
            <w:tcW w:w="1333" w:type="pct"/>
            <w:tcBorders>
              <w:right w:val="single" w:sz="4" w:space="0" w:color="auto"/>
            </w:tcBorders>
          </w:tcPr>
          <w:p w:rsidR="00EB01BB" w:rsidRPr="00EB01BB" w:rsidRDefault="00EB01BB" w:rsidP="00BC7C8C">
            <w:pPr>
              <w:spacing w:line="240" w:lineRule="auto"/>
              <w:rPr>
                <w:rFonts w:ascii="Times New Roman" w:hAnsi="Times New Roman"/>
                <w:bCs/>
                <w:color w:val="000000"/>
                <w:sz w:val="22"/>
                <w:szCs w:val="22"/>
              </w:rPr>
            </w:pPr>
            <w:r w:rsidRPr="00EB01BB">
              <w:rPr>
                <w:rFonts w:ascii="Times New Roman" w:hAnsi="Times New Roman"/>
                <w:bCs/>
                <w:color w:val="000000"/>
                <w:sz w:val="22"/>
                <w:szCs w:val="22"/>
              </w:rPr>
              <w:t>Priority</w:t>
            </w:r>
          </w:p>
          <w:p w:rsidR="00EB01BB" w:rsidRPr="00EB01BB" w:rsidRDefault="00EB01BB" w:rsidP="00BC7C8C">
            <w:pPr>
              <w:rPr>
                <w:rFonts w:ascii="Times New Roman" w:hAnsi="Times New Roman"/>
                <w:sz w:val="22"/>
                <w:szCs w:val="22"/>
                <w:lang w:eastAsia="ko-KR"/>
              </w:rPr>
            </w:pPr>
            <w:r w:rsidRPr="00EB01BB">
              <w:rPr>
                <w:rFonts w:ascii="Times New Roman" w:hAnsi="Times New Roman"/>
                <w:bCs/>
                <w:color w:val="000000"/>
                <w:sz w:val="22"/>
                <w:szCs w:val="22"/>
              </w:rPr>
              <w:t>Group</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Half Sample</w:t>
            </w:r>
            <w:r w:rsidRPr="00EB01BB">
              <w:rPr>
                <w:rFonts w:ascii="Times New Roman" w:hAnsi="Times New Roman"/>
                <w:bCs/>
                <w:color w:val="000000"/>
                <w:sz w:val="22"/>
                <w:szCs w:val="22"/>
              </w:rPr>
              <w:t xml:space="preserve"> Size</w:t>
            </w:r>
          </w:p>
        </w:tc>
        <w:tc>
          <w:tcPr>
            <w:tcW w:w="704"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 xml:space="preserve">Null </w:t>
            </w: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esponse</w:t>
            </w:r>
          </w:p>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ate</w:t>
            </w:r>
          </w:p>
        </w:tc>
        <w:tc>
          <w:tcPr>
            <w:tcW w:w="538"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Design</w:t>
            </w:r>
          </w:p>
          <w:p w:rsidR="00EB01BB" w:rsidRPr="00EB01BB" w:rsidRDefault="00EB01BB" w:rsidP="00BC7C8C">
            <w:pPr>
              <w:spacing w:line="240" w:lineRule="auto"/>
              <w:jc w:val="right"/>
              <w:rPr>
                <w:rFonts w:ascii="Times New Roman" w:hAnsi="Times New Roman"/>
                <w:sz w:val="22"/>
                <w:szCs w:val="22"/>
                <w:lang w:eastAsia="ko-KR"/>
              </w:rPr>
            </w:pPr>
            <w:r w:rsidRPr="00EB01BB">
              <w:rPr>
                <w:rFonts w:ascii="Times New Roman" w:hAnsi="Times New Roman"/>
                <w:bCs/>
                <w:color w:val="000000"/>
                <w:sz w:val="22"/>
                <w:szCs w:val="22"/>
              </w:rPr>
              <w:t>Effect</w:t>
            </w:r>
          </w:p>
        </w:tc>
        <w:tc>
          <w:tcPr>
            <w:tcW w:w="552"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Power</w:t>
            </w:r>
          </w:p>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a</w:t>
            </w:r>
            <w:r w:rsidRPr="00EB01BB">
              <w:rPr>
                <w:rFonts w:ascii="Times New Roman" w:hAnsi="Times New Roman"/>
                <w:bCs/>
                <w:color w:val="000000"/>
                <w:sz w:val="22"/>
                <w:szCs w:val="22"/>
                <w:lang w:eastAsia="ko-KR"/>
              </w:rPr>
              <w:t>t</w:t>
            </w:r>
            <w:r w:rsidRPr="00EB01BB">
              <w:rPr>
                <w:rFonts w:ascii="Times New Roman" w:hAnsi="Times New Roman"/>
                <w:bCs/>
                <w:color w:val="000000"/>
                <w:sz w:val="22"/>
                <w:szCs w:val="22"/>
              </w:rPr>
              <w:t xml:space="preserve"> d=5%</w:t>
            </w:r>
          </w:p>
        </w:tc>
        <w:tc>
          <w:tcPr>
            <w:tcW w:w="1046" w:type="pct"/>
            <w:tcBorders>
              <w:left w:val="single" w:sz="4" w:space="0" w:color="auto"/>
              <w:right w:val="double" w:sz="4" w:space="0" w:color="auto"/>
            </w:tcBorders>
          </w:tcPr>
          <w:p w:rsidR="00EA1968"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rPr>
              <w:t>Minimum Detectable</w:t>
            </w:r>
            <w:r w:rsidRPr="00EB01BB">
              <w:rPr>
                <w:rFonts w:ascii="Times New Roman" w:hAnsi="Times New Roman"/>
                <w:bCs/>
                <w:color w:val="000000"/>
                <w:sz w:val="22"/>
                <w:szCs w:val="22"/>
                <w:lang w:eastAsia="ko-KR"/>
              </w:rPr>
              <w:t xml:space="preserve"> </w:t>
            </w:r>
            <w:r w:rsidRPr="00124EB6">
              <w:rPr>
                <w:rFonts w:ascii="Times New Roman" w:hAnsi="Times New Roman"/>
                <w:bCs/>
                <w:i/>
                <w:color w:val="000000"/>
                <w:sz w:val="22"/>
                <w:szCs w:val="22"/>
                <w:lang w:eastAsia="ko-KR"/>
              </w:rPr>
              <w:t>d</w:t>
            </w:r>
          </w:p>
          <w:p w:rsidR="00EB01BB" w:rsidRPr="00EB01BB"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lang w:eastAsia="ko-KR"/>
              </w:rPr>
              <w:t>at 80% Power</w:t>
            </w:r>
          </w:p>
        </w:tc>
      </w:tr>
      <w:tr w:rsidR="00EB01BB" w:rsidRPr="00EB01BB" w:rsidTr="00BC7C8C">
        <w:tc>
          <w:tcPr>
            <w:tcW w:w="1333" w:type="pct"/>
            <w:tcBorders>
              <w:right w:val="single" w:sz="4" w:space="0" w:color="auto"/>
            </w:tcBorders>
            <w:vAlign w:val="bottom"/>
          </w:tcPr>
          <w:p w:rsidR="00EB01BB" w:rsidRPr="00EB01BB" w:rsidRDefault="00EB01BB" w:rsidP="00BC7C8C">
            <w:pPr>
              <w:rPr>
                <w:rFonts w:ascii="Times New Roman" w:hAnsi="Times New Roman"/>
                <w:sz w:val="22"/>
                <w:szCs w:val="22"/>
                <w:lang w:eastAsia="ko-KR"/>
              </w:rPr>
            </w:pPr>
            <w:r w:rsidRPr="00EB01BB">
              <w:rPr>
                <w:rFonts w:ascii="Times New Roman" w:hAnsi="Times New Roman"/>
                <w:color w:val="000000"/>
                <w:sz w:val="22"/>
                <w:szCs w:val="22"/>
              </w:rPr>
              <w:t>Incentive Experiment</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2,000</w:t>
            </w:r>
          </w:p>
        </w:tc>
        <w:tc>
          <w:tcPr>
            <w:tcW w:w="704"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65.66%</w:t>
            </w:r>
          </w:p>
        </w:tc>
        <w:tc>
          <w:tcPr>
            <w:tcW w:w="538"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1.56</w:t>
            </w:r>
          </w:p>
        </w:tc>
        <w:tc>
          <w:tcPr>
            <w:tcW w:w="552"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84.65%</w:t>
            </w:r>
          </w:p>
        </w:tc>
        <w:tc>
          <w:tcPr>
            <w:tcW w:w="1046" w:type="pct"/>
            <w:tcBorders>
              <w:left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4.66%</w:t>
            </w:r>
          </w:p>
        </w:tc>
      </w:tr>
      <w:tr w:rsidR="00EB01BB" w:rsidRPr="00EB01BB" w:rsidTr="00BC7C8C">
        <w:tc>
          <w:tcPr>
            <w:tcW w:w="1333" w:type="pct"/>
            <w:tcBorders>
              <w:bottom w:val="single" w:sz="4" w:space="0" w:color="auto"/>
              <w:right w:val="single" w:sz="4" w:space="0" w:color="auto"/>
            </w:tcBorders>
            <w:vAlign w:val="bottom"/>
          </w:tcPr>
          <w:p w:rsidR="00EB01BB" w:rsidRPr="00EB01BB" w:rsidRDefault="00EB01BB" w:rsidP="00BC7C8C">
            <w:pPr>
              <w:rPr>
                <w:rFonts w:ascii="Times New Roman" w:hAnsi="Times New Roman"/>
                <w:color w:val="000000"/>
                <w:sz w:val="22"/>
                <w:szCs w:val="22"/>
              </w:rPr>
            </w:pPr>
            <w:r w:rsidRPr="00EB01BB">
              <w:rPr>
                <w:rFonts w:ascii="Times New Roman" w:hAnsi="Times New Roman"/>
                <w:color w:val="000000"/>
                <w:sz w:val="22"/>
                <w:szCs w:val="22"/>
              </w:rPr>
              <w:t>Tailored Contact Experiment</w:t>
            </w:r>
          </w:p>
        </w:tc>
        <w:tc>
          <w:tcPr>
            <w:tcW w:w="827"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1,200</w:t>
            </w:r>
          </w:p>
        </w:tc>
        <w:tc>
          <w:tcPr>
            <w:tcW w:w="704"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60.00%</w:t>
            </w:r>
          </w:p>
        </w:tc>
        <w:tc>
          <w:tcPr>
            <w:tcW w:w="538"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1.62</w:t>
            </w:r>
          </w:p>
        </w:tc>
        <w:tc>
          <w:tcPr>
            <w:tcW w:w="552"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62.70%</w:t>
            </w:r>
          </w:p>
        </w:tc>
        <w:tc>
          <w:tcPr>
            <w:tcW w:w="1046" w:type="pct"/>
            <w:tcBorders>
              <w:left w:val="single" w:sz="4" w:space="0" w:color="auto"/>
              <w:bottom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6.32%</w:t>
            </w:r>
          </w:p>
        </w:tc>
      </w:tr>
    </w:tbl>
    <w:p w:rsidR="00EB01BB" w:rsidRPr="00190B09" w:rsidRDefault="00EB01BB" w:rsidP="00097EB2">
      <w:pPr>
        <w:pStyle w:val="L1-FlLSp12"/>
        <w:spacing w:line="240" w:lineRule="auto"/>
        <w:rPr>
          <w:rFonts w:ascii="Times New Roman" w:hAnsi="Times New Roman"/>
          <w:szCs w:val="24"/>
        </w:rPr>
      </w:pPr>
    </w:p>
    <w:p w:rsidR="00EA1968" w:rsidRDefault="00EB01BB" w:rsidP="00EB01BB">
      <w:pPr>
        <w:pStyle w:val="Heading1"/>
        <w:tabs>
          <w:tab w:val="clear" w:pos="1152"/>
          <w:tab w:val="left" w:pos="1080"/>
        </w:tabs>
        <w:spacing w:after="120" w:line="240" w:lineRule="auto"/>
        <w:jc w:val="left"/>
        <w:rPr>
          <w:rFonts w:ascii="Times New Roman" w:hAnsi="Times New Roman"/>
          <w:b w:val="0"/>
          <w:color w:val="auto"/>
          <w:sz w:val="24"/>
          <w:szCs w:val="24"/>
        </w:rPr>
      </w:pPr>
      <w:bookmarkStart w:id="93" w:name="_Toc481483753"/>
      <w:r>
        <w:rPr>
          <w:rFonts w:ascii="Times New Roman" w:hAnsi="Times New Roman"/>
          <w:b w:val="0"/>
          <w:color w:val="auto"/>
          <w:sz w:val="24"/>
          <w:szCs w:val="24"/>
        </w:rPr>
        <w:t xml:space="preserve">From the standpoint of a 5% difference, the overall design is slightly overpowered for the incentive experiment, and slightly underpowered for the tailored contact strategy experiment (the difference in response rates has to be 6.32% to be picked up with 80% chance). </w:t>
      </w:r>
      <w:r w:rsidR="00124EB6">
        <w:rPr>
          <w:rFonts w:ascii="Times New Roman" w:hAnsi="Times New Roman"/>
          <w:b w:val="0"/>
          <w:color w:val="auto"/>
          <w:sz w:val="24"/>
          <w:szCs w:val="24"/>
        </w:rPr>
        <w:t>Detailed information regarding the incentives experimental design and contingency plan as well as the planned operations for both public and private schools are described above in section B.4.2.</w:t>
      </w:r>
      <w:bookmarkEnd w:id="93"/>
    </w:p>
    <w:p w:rsidR="00C8143E" w:rsidRPr="00D321F9"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94" w:name="_Toc391625755"/>
      <w:bookmarkStart w:id="95" w:name="_Toc392706713"/>
      <w:bookmarkStart w:id="96" w:name="_Toc420609075"/>
      <w:bookmarkStart w:id="97" w:name="_Toc455154260"/>
      <w:bookmarkStart w:id="98" w:name="_Toc455496456"/>
      <w:bookmarkStart w:id="99" w:name="_Toc468187472"/>
      <w:bookmarkStart w:id="100" w:name="_Toc481483754"/>
      <w:bookmarkEnd w:id="92"/>
      <w:r w:rsidRPr="00D321F9">
        <w:rPr>
          <w:rFonts w:ascii="Times New Roman" w:hAnsi="Times New Roman"/>
          <w:color w:val="auto"/>
          <w:sz w:val="24"/>
          <w:szCs w:val="24"/>
        </w:rPr>
        <w:t>B.</w:t>
      </w:r>
      <w:r w:rsidR="00FE7A15" w:rsidRPr="00D321F9">
        <w:rPr>
          <w:rFonts w:ascii="Times New Roman" w:hAnsi="Times New Roman"/>
          <w:color w:val="auto"/>
          <w:sz w:val="24"/>
          <w:szCs w:val="24"/>
        </w:rPr>
        <w:t>5</w:t>
      </w:r>
      <w:r w:rsidRPr="00D321F9">
        <w:rPr>
          <w:rFonts w:ascii="Times New Roman" w:hAnsi="Times New Roman"/>
          <w:color w:val="auto"/>
          <w:sz w:val="24"/>
          <w:szCs w:val="24"/>
        </w:rPr>
        <w:tab/>
        <w:t>Individuals Responsible for Study Design and</w:t>
      </w:r>
      <w:bookmarkStart w:id="101" w:name="_Toc391625756"/>
      <w:bookmarkStart w:id="102" w:name="_Toc392706714"/>
      <w:bookmarkStart w:id="103" w:name="_Toc420609076"/>
      <w:bookmarkStart w:id="104" w:name="_Toc455154261"/>
      <w:bookmarkEnd w:id="94"/>
      <w:bookmarkEnd w:id="95"/>
      <w:bookmarkEnd w:id="96"/>
      <w:bookmarkEnd w:id="97"/>
      <w:r w:rsidR="00EC021E" w:rsidRPr="00D321F9">
        <w:rPr>
          <w:rFonts w:ascii="Times New Roman" w:hAnsi="Times New Roman"/>
          <w:color w:val="auto"/>
          <w:sz w:val="24"/>
          <w:szCs w:val="24"/>
        </w:rPr>
        <w:t xml:space="preserve"> </w:t>
      </w:r>
      <w:r w:rsidRPr="00D321F9">
        <w:rPr>
          <w:rFonts w:ascii="Times New Roman" w:hAnsi="Times New Roman"/>
          <w:color w:val="auto"/>
          <w:sz w:val="24"/>
          <w:szCs w:val="24"/>
        </w:rPr>
        <w:t>Performance</w:t>
      </w:r>
      <w:bookmarkEnd w:id="98"/>
      <w:bookmarkEnd w:id="99"/>
      <w:bookmarkEnd w:id="100"/>
      <w:bookmarkEnd w:id="101"/>
      <w:bookmarkEnd w:id="102"/>
      <w:bookmarkEnd w:id="103"/>
      <w:bookmarkEnd w:id="104"/>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The following individuals are respo</w:t>
      </w:r>
      <w:r w:rsidR="000E2D47" w:rsidRPr="00D321F9">
        <w:rPr>
          <w:rFonts w:ascii="Times New Roman" w:hAnsi="Times New Roman"/>
          <w:szCs w:val="24"/>
        </w:rPr>
        <w:t xml:space="preserve">nsible for the </w:t>
      </w:r>
      <w:r w:rsidR="00577DD4" w:rsidRPr="00D321F9">
        <w:rPr>
          <w:rFonts w:ascii="Times New Roman" w:hAnsi="Times New Roman"/>
          <w:szCs w:val="24"/>
        </w:rPr>
        <w:t>NTPS 2017</w:t>
      </w:r>
      <w:r w:rsidR="00577DD4">
        <w:rPr>
          <w:rFonts w:ascii="Times New Roman" w:hAnsi="Times New Roman"/>
          <w:szCs w:val="24"/>
        </w:rPr>
        <w:t>-1</w:t>
      </w:r>
      <w:r w:rsidR="00577DD4" w:rsidRPr="00D321F9">
        <w:rPr>
          <w:rFonts w:ascii="Times New Roman" w:hAnsi="Times New Roman"/>
          <w:szCs w:val="24"/>
        </w:rPr>
        <w:t>8</w:t>
      </w:r>
      <w:r w:rsidR="000E2D47" w:rsidRPr="00D321F9">
        <w:rPr>
          <w:rFonts w:ascii="Times New Roman" w:hAnsi="Times New Roman"/>
          <w:szCs w:val="24"/>
        </w:rPr>
        <w:t>study design, data collection, and analysis</w:t>
      </w:r>
      <w:r w:rsidR="00B17CB5" w:rsidRPr="00D321F9">
        <w:rPr>
          <w:rFonts w:ascii="Times New Roman" w:hAnsi="Times New Roman"/>
          <w:szCs w:val="24"/>
        </w:rPr>
        <w:t>:</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Amy Ho</w:t>
      </w:r>
      <w:r w:rsidR="00020AF6" w:rsidRPr="00D321F9">
        <w:rPr>
          <w:rFonts w:ascii="Times New Roman" w:hAnsi="Times New Roman"/>
          <w:szCs w:val="24"/>
        </w:rPr>
        <w:t>, NCES</w:t>
      </w:r>
    </w:p>
    <w:p w:rsidR="007215B4" w:rsidRDefault="00763295" w:rsidP="007215B4">
      <w:pPr>
        <w:pStyle w:val="L1-FlLSp12"/>
        <w:spacing w:line="240" w:lineRule="auto"/>
        <w:ind w:left="360"/>
        <w:rPr>
          <w:rFonts w:ascii="Times New Roman" w:hAnsi="Times New Roman"/>
          <w:szCs w:val="24"/>
        </w:rPr>
      </w:pPr>
      <w:r w:rsidRPr="00D321F9">
        <w:rPr>
          <w:rFonts w:ascii="Times New Roman" w:hAnsi="Times New Roman"/>
          <w:szCs w:val="24"/>
        </w:rPr>
        <w:t>Deanne Swan,</w:t>
      </w:r>
      <w:r w:rsidR="00020AF6" w:rsidRPr="00D321F9">
        <w:rPr>
          <w:rFonts w:ascii="Times New Roman" w:hAnsi="Times New Roman"/>
          <w:szCs w:val="24"/>
        </w:rPr>
        <w:t xml:space="preserve"> NCES</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Andy Zukerberg, </w:t>
      </w:r>
      <w:r w:rsidR="00020AF6" w:rsidRPr="00D321F9">
        <w:rPr>
          <w:rFonts w:ascii="Times New Roman" w:hAnsi="Times New Roman"/>
          <w:szCs w:val="24"/>
        </w:rPr>
        <w:t>NCES</w:t>
      </w:r>
    </w:p>
    <w:p w:rsidR="00020AF6" w:rsidRPr="00D321F9" w:rsidRDefault="006A6696"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Carolyn Pickering, </w:t>
      </w:r>
      <w:r w:rsidR="00020AF6" w:rsidRPr="00D321F9">
        <w:rPr>
          <w:rFonts w:ascii="Times New Roman" w:hAnsi="Times New Roman"/>
          <w:szCs w:val="24"/>
        </w:rPr>
        <w:t>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Shawna Cox</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Mary Davis</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James Farber</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David Marker</w:t>
      </w:r>
      <w:r w:rsidR="00020AF6" w:rsidRPr="00D321F9">
        <w:rPr>
          <w:rFonts w:ascii="Times New Roman" w:hAnsi="Times New Roman"/>
          <w:szCs w:val="24"/>
        </w:rPr>
        <w:t>, Westat</w:t>
      </w:r>
    </w:p>
    <w:p w:rsidR="00213EDE"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Lou Rizzo</w:t>
      </w:r>
      <w:r w:rsidR="00020AF6" w:rsidRPr="00D321F9">
        <w:rPr>
          <w:rFonts w:ascii="Times New Roman" w:hAnsi="Times New Roman"/>
          <w:szCs w:val="24"/>
        </w:rPr>
        <w:t>, Westat</w:t>
      </w:r>
    </w:p>
    <w:p w:rsidR="00F130EA" w:rsidRPr="00D321F9" w:rsidRDefault="00F130EA" w:rsidP="007215B4">
      <w:pPr>
        <w:pStyle w:val="L1-FlLSp12"/>
        <w:spacing w:line="240" w:lineRule="auto"/>
        <w:ind w:left="360"/>
        <w:rPr>
          <w:rFonts w:ascii="Times New Roman" w:hAnsi="Times New Roman"/>
          <w:szCs w:val="24"/>
        </w:rPr>
      </w:pPr>
      <w:r w:rsidRPr="00D321F9">
        <w:rPr>
          <w:rFonts w:ascii="Times New Roman" w:hAnsi="Times New Roman"/>
          <w:szCs w:val="24"/>
        </w:rPr>
        <w:t>Minsun Riddles, Westat</w:t>
      </w:r>
    </w:p>
    <w:sectPr w:rsidR="00F130EA" w:rsidRPr="00D321F9" w:rsidSect="00501267">
      <w:headerReference w:type="default" r:id="rId21"/>
      <w:headerReference w:type="first" r:id="rId22"/>
      <w:footerReference w:type="first" r:id="rId23"/>
      <w:pgSz w:w="12240" w:h="15840" w:code="1"/>
      <w:pgMar w:top="792" w:right="792" w:bottom="720" w:left="792"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F00A12" w15:done="0"/>
  <w15:commentEx w15:paraId="6E1EDD5B" w15:done="0"/>
  <w15:commentEx w15:paraId="0606D31B" w15:done="0"/>
  <w15:commentEx w15:paraId="085B9CA6" w15:done="0"/>
  <w15:commentEx w15:paraId="4D1A0B7D" w15:done="0"/>
  <w15:commentEx w15:paraId="30E77C3E" w15:done="0"/>
  <w15:commentEx w15:paraId="2C521497" w15:done="0"/>
  <w15:commentEx w15:paraId="6E16282C" w15:done="0"/>
  <w15:commentEx w15:paraId="3C3C22D3" w15:done="0"/>
  <w15:commentEx w15:paraId="2F2D5968" w15:done="0"/>
  <w15:commentEx w15:paraId="5DD03F7F" w15:done="0"/>
  <w15:commentEx w15:paraId="0187E67A" w15:done="0"/>
  <w15:commentEx w15:paraId="563B37F1" w15:done="0"/>
  <w15:commentEx w15:paraId="63522987" w15:done="0"/>
  <w15:commentEx w15:paraId="561CF373" w15:done="0"/>
  <w15:commentEx w15:paraId="2FB469E1" w15:done="0"/>
  <w15:commentEx w15:paraId="20ABB8F6" w15:done="0"/>
  <w15:commentEx w15:paraId="7BBFE809" w15:done="0"/>
  <w15:commentEx w15:paraId="12115824" w15:done="0"/>
  <w15:commentEx w15:paraId="78054CA9" w15:done="0"/>
  <w15:commentEx w15:paraId="4DB11011" w15:done="0"/>
  <w15:commentEx w15:paraId="1F0F99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0C" w:rsidRDefault="007C030C">
      <w:pPr>
        <w:spacing w:line="240" w:lineRule="auto"/>
      </w:pPr>
      <w:r>
        <w:separator/>
      </w:r>
    </w:p>
  </w:endnote>
  <w:endnote w:type="continuationSeparator" w:id="0">
    <w:p w:rsidR="007C030C" w:rsidRDefault="007C030C">
      <w:pPr>
        <w:spacing w:line="240" w:lineRule="auto"/>
      </w:pPr>
      <w:r>
        <w:continuationSeparator/>
      </w:r>
    </w:p>
  </w:endnote>
  <w:endnote w:type="continuationNotice" w:id="1">
    <w:p w:rsidR="007C030C" w:rsidRDefault="007C0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546B50" w:rsidTr="002B628D">
      <w:trPr>
        <w:cantSplit/>
        <w:trHeight w:hRule="exact" w:val="120"/>
      </w:trPr>
      <w:tc>
        <w:tcPr>
          <w:tcW w:w="2269" w:type="pct"/>
          <w:vAlign w:val="center"/>
        </w:tcPr>
        <w:p w:rsidR="00546B50" w:rsidRPr="00C0787C" w:rsidRDefault="00546B50" w:rsidP="002B628D">
          <w:pPr>
            <w:spacing w:line="240" w:lineRule="auto"/>
            <w:rPr>
              <w:rFonts w:ascii="Franklin Gothic Medium" w:hAnsi="Franklin Gothic Medium"/>
              <w:sz w:val="18"/>
              <w:szCs w:val="18"/>
            </w:rPr>
          </w:pPr>
        </w:p>
      </w:tc>
      <w:tc>
        <w:tcPr>
          <w:tcW w:w="462" w:type="pct"/>
          <w:vAlign w:val="center"/>
        </w:tcPr>
        <w:p w:rsidR="00546B50" w:rsidRDefault="00546B50" w:rsidP="002B628D">
          <w:pPr>
            <w:spacing w:line="240" w:lineRule="auto"/>
            <w:jc w:val="center"/>
            <w:rPr>
              <w:rFonts w:ascii="Franklin Gothic Medium" w:hAnsi="Franklin Gothic Medium"/>
              <w:sz w:val="14"/>
              <w:szCs w:val="24"/>
            </w:rPr>
          </w:pPr>
        </w:p>
      </w:tc>
      <w:tc>
        <w:tcPr>
          <w:tcW w:w="2269" w:type="pct"/>
          <w:tcMar>
            <w:left w:w="288" w:type="dxa"/>
          </w:tcMar>
          <w:vAlign w:val="center"/>
        </w:tcPr>
        <w:p w:rsidR="00546B50" w:rsidRDefault="00546B50" w:rsidP="002B628D">
          <w:pPr>
            <w:spacing w:line="240" w:lineRule="auto"/>
            <w:jc w:val="right"/>
            <w:rPr>
              <w:rFonts w:ascii="Franklin Gothic Medium" w:hAnsi="Franklin Gothic Medium"/>
              <w:sz w:val="14"/>
              <w:szCs w:val="24"/>
            </w:rPr>
          </w:pPr>
        </w:p>
      </w:tc>
    </w:tr>
    <w:tr w:rsidR="00546B50">
      <w:trPr>
        <w:cantSplit/>
      </w:trPr>
      <w:tc>
        <w:tcPr>
          <w:tcW w:w="2269" w:type="pct"/>
          <w:vAlign w:val="center"/>
        </w:tcPr>
        <w:p w:rsidR="00546B50" w:rsidRPr="00C0787C" w:rsidRDefault="00546B50" w:rsidP="002B628D">
          <w:pPr>
            <w:spacing w:line="240" w:lineRule="auto"/>
            <w:rPr>
              <w:rFonts w:ascii="Franklin Gothic Medium" w:hAnsi="Franklin Gothic Medium"/>
              <w:sz w:val="18"/>
              <w:szCs w:val="18"/>
            </w:rPr>
          </w:pPr>
        </w:p>
      </w:tc>
      <w:tc>
        <w:tcPr>
          <w:tcW w:w="462" w:type="pct"/>
          <w:vAlign w:val="center"/>
        </w:tcPr>
        <w:p w:rsidR="00546B50" w:rsidRPr="00EB7BC3" w:rsidRDefault="00546B50"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546B50" w:rsidRPr="00EB7BC3" w:rsidRDefault="00546B50" w:rsidP="002B628D">
          <w:pPr>
            <w:spacing w:line="240" w:lineRule="auto"/>
            <w:jc w:val="right"/>
            <w:rPr>
              <w:rFonts w:ascii="Franklin Gothic Medium" w:hAnsi="Franklin Gothic Medium"/>
              <w:b/>
              <w:sz w:val="20"/>
            </w:rPr>
          </w:pPr>
        </w:p>
      </w:tc>
    </w:tr>
  </w:tbl>
  <w:p w:rsidR="00546B50" w:rsidRDefault="00546B50"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rsidR="00546B50" w:rsidRDefault="00546B50">
        <w:pPr>
          <w:pStyle w:val="Footer"/>
          <w:jc w:val="center"/>
        </w:pPr>
        <w:r>
          <w:fldChar w:fldCharType="begin"/>
        </w:r>
        <w:r>
          <w:instrText xml:space="preserve"> PAGE   \* MERGEFORMAT </w:instrText>
        </w:r>
        <w:r>
          <w:fldChar w:fldCharType="separate"/>
        </w:r>
        <w:r w:rsidR="00211A44">
          <w:rPr>
            <w:noProof/>
          </w:rPr>
          <w:t>9</w:t>
        </w:r>
        <w:r>
          <w:rPr>
            <w:noProof/>
          </w:rPr>
          <w:fldChar w:fldCharType="end"/>
        </w:r>
      </w:p>
    </w:sdtContent>
  </w:sdt>
  <w:p w:rsidR="00546B50" w:rsidRDefault="00546B50"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Default="00546B50"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Default="00546B50">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0C" w:rsidRDefault="007C030C">
      <w:pPr>
        <w:spacing w:line="240" w:lineRule="auto"/>
      </w:pPr>
      <w:r>
        <w:separator/>
      </w:r>
    </w:p>
  </w:footnote>
  <w:footnote w:type="continuationSeparator" w:id="0">
    <w:p w:rsidR="007C030C" w:rsidRDefault="007C030C">
      <w:pPr>
        <w:spacing w:line="240" w:lineRule="auto"/>
      </w:pPr>
      <w:r>
        <w:continuationSeparator/>
      </w:r>
    </w:p>
  </w:footnote>
  <w:footnote w:type="continuationNotice" w:id="1">
    <w:p w:rsidR="007C030C" w:rsidRDefault="007C030C">
      <w:pPr>
        <w:spacing w:line="240" w:lineRule="auto"/>
      </w:pPr>
    </w:p>
  </w:footnote>
  <w:footnote w:id="2">
    <w:p w:rsidR="00546B50" w:rsidRPr="00EA1968" w:rsidRDefault="00546B50" w:rsidP="00EA1968">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3">
    <w:p w:rsidR="00546B50" w:rsidRDefault="00546B50" w:rsidP="00E11AF2">
      <w:pPr>
        <w:pStyle w:val="FootnoteText"/>
        <w:spacing w:before="0" w:line="240" w:lineRule="auto"/>
      </w:pPr>
      <w:r>
        <w:rPr>
          <w:rStyle w:val="FootnoteReference"/>
        </w:rPr>
        <w:footnoteRef/>
      </w:r>
      <w:r>
        <w:t xml:space="preserve"> We are checking for response rate differences only in one direction: the treatment arm having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Pr="000C2EEC" w:rsidRDefault="00546B50"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Default="00546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Pr="009C5BDA" w:rsidRDefault="00546B50"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50" w:rsidRDefault="00546B50"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F43AE4"/>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4A19"/>
    <w:multiLevelType w:val="hybridMultilevel"/>
    <w:tmpl w:val="071AC89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B55623B8">
      <w:numFmt w:val="bullet"/>
      <w:lvlText w:val="-"/>
      <w:lvlJc w:val="left"/>
      <w:pPr>
        <w:ind w:left="4320" w:hanging="360"/>
      </w:pPr>
      <w:rPr>
        <w:rFonts w:ascii="Calibri" w:eastAsiaTheme="minorHAnsi" w:hAnsi="Calibri" w:cs="Calibri"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B029B7"/>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1">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3">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9">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2E23E8"/>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E0B51"/>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5373D0"/>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8"/>
  </w:num>
  <w:num w:numId="3">
    <w:abstractNumId w:val="7"/>
  </w:num>
  <w:num w:numId="4">
    <w:abstractNumId w:val="22"/>
  </w:num>
  <w:num w:numId="5">
    <w:abstractNumId w:val="8"/>
  </w:num>
  <w:num w:numId="6">
    <w:abstractNumId w:val="44"/>
  </w:num>
  <w:num w:numId="7">
    <w:abstractNumId w:val="13"/>
  </w:num>
  <w:num w:numId="8">
    <w:abstractNumId w:val="45"/>
  </w:num>
  <w:num w:numId="9">
    <w:abstractNumId w:val="46"/>
  </w:num>
  <w:num w:numId="10">
    <w:abstractNumId w:val="7"/>
  </w:num>
  <w:num w:numId="11">
    <w:abstractNumId w:val="7"/>
  </w:num>
  <w:num w:numId="12">
    <w:abstractNumId w:val="12"/>
  </w:num>
  <w:num w:numId="13">
    <w:abstractNumId w:val="39"/>
  </w:num>
  <w:num w:numId="14">
    <w:abstractNumId w:val="31"/>
  </w:num>
  <w:num w:numId="15">
    <w:abstractNumId w:val="2"/>
  </w:num>
  <w:num w:numId="16">
    <w:abstractNumId w:val="34"/>
  </w:num>
  <w:num w:numId="17">
    <w:abstractNumId w:val="25"/>
  </w:num>
  <w:num w:numId="18">
    <w:abstractNumId w:val="17"/>
  </w:num>
  <w:num w:numId="19">
    <w:abstractNumId w:val="9"/>
  </w:num>
  <w:num w:numId="20">
    <w:abstractNumId w:val="20"/>
  </w:num>
  <w:num w:numId="21">
    <w:abstractNumId w:val="16"/>
  </w:num>
  <w:num w:numId="22">
    <w:abstractNumId w:val="21"/>
  </w:num>
  <w:num w:numId="23">
    <w:abstractNumId w:val="15"/>
  </w:num>
  <w:num w:numId="24">
    <w:abstractNumId w:val="10"/>
  </w:num>
  <w:num w:numId="25">
    <w:abstractNumId w:val="5"/>
  </w:num>
  <w:num w:numId="26">
    <w:abstractNumId w:val="30"/>
  </w:num>
  <w:num w:numId="27">
    <w:abstractNumId w:val="4"/>
  </w:num>
  <w:num w:numId="28">
    <w:abstractNumId w:val="36"/>
  </w:num>
  <w:num w:numId="29">
    <w:abstractNumId w:val="14"/>
  </w:num>
  <w:num w:numId="30">
    <w:abstractNumId w:val="11"/>
  </w:num>
  <w:num w:numId="31">
    <w:abstractNumId w:val="29"/>
  </w:num>
  <w:num w:numId="32">
    <w:abstractNumId w:val="37"/>
  </w:num>
  <w:num w:numId="33">
    <w:abstractNumId w:val="27"/>
  </w:num>
  <w:num w:numId="34">
    <w:abstractNumId w:val="19"/>
  </w:num>
  <w:num w:numId="35">
    <w:abstractNumId w:val="35"/>
  </w:num>
  <w:num w:numId="36">
    <w:abstractNumId w:val="3"/>
  </w:num>
  <w:num w:numId="37">
    <w:abstractNumId w:val="32"/>
  </w:num>
  <w:num w:numId="38">
    <w:abstractNumId w:val="40"/>
  </w:num>
  <w:num w:numId="39">
    <w:abstractNumId w:val="24"/>
  </w:num>
  <w:num w:numId="40">
    <w:abstractNumId w:val="23"/>
  </w:num>
  <w:num w:numId="41">
    <w:abstractNumId w:val="41"/>
  </w:num>
  <w:num w:numId="42">
    <w:abstractNumId w:val="26"/>
  </w:num>
  <w:num w:numId="43">
    <w:abstractNumId w:val="42"/>
  </w:num>
  <w:num w:numId="44">
    <w:abstractNumId w:val="38"/>
  </w:num>
  <w:num w:numId="45">
    <w:abstractNumId w:val="28"/>
  </w:num>
  <w:num w:numId="46">
    <w:abstractNumId w:val="33"/>
  </w:num>
  <w:num w:numId="47">
    <w:abstractNumId w:val="6"/>
  </w:num>
  <w:num w:numId="48">
    <w:abstractNumId w:val="43"/>
  </w:num>
  <w:num w:numId="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BD5"/>
    <w:rsid w:val="000024BA"/>
    <w:rsid w:val="00005E97"/>
    <w:rsid w:val="00007F4D"/>
    <w:rsid w:val="00013444"/>
    <w:rsid w:val="00013D38"/>
    <w:rsid w:val="00014B34"/>
    <w:rsid w:val="000153F0"/>
    <w:rsid w:val="0001644D"/>
    <w:rsid w:val="00020AF6"/>
    <w:rsid w:val="00021557"/>
    <w:rsid w:val="000218A5"/>
    <w:rsid w:val="000227D9"/>
    <w:rsid w:val="00024B22"/>
    <w:rsid w:val="00024B6C"/>
    <w:rsid w:val="000266BE"/>
    <w:rsid w:val="00030D3A"/>
    <w:rsid w:val="00031FA2"/>
    <w:rsid w:val="000323DA"/>
    <w:rsid w:val="000324FD"/>
    <w:rsid w:val="000334B8"/>
    <w:rsid w:val="00034459"/>
    <w:rsid w:val="000350E9"/>
    <w:rsid w:val="0003569A"/>
    <w:rsid w:val="00036AF4"/>
    <w:rsid w:val="000373A0"/>
    <w:rsid w:val="00037B7E"/>
    <w:rsid w:val="000400DD"/>
    <w:rsid w:val="00041095"/>
    <w:rsid w:val="00043871"/>
    <w:rsid w:val="000447C2"/>
    <w:rsid w:val="00044EB6"/>
    <w:rsid w:val="00047085"/>
    <w:rsid w:val="0004717C"/>
    <w:rsid w:val="0004737B"/>
    <w:rsid w:val="000506EF"/>
    <w:rsid w:val="00051FAB"/>
    <w:rsid w:val="00052EAB"/>
    <w:rsid w:val="00055F16"/>
    <w:rsid w:val="00057925"/>
    <w:rsid w:val="000622B8"/>
    <w:rsid w:val="00064469"/>
    <w:rsid w:val="0006498E"/>
    <w:rsid w:val="0006577F"/>
    <w:rsid w:val="00066207"/>
    <w:rsid w:val="0006651F"/>
    <w:rsid w:val="000666F6"/>
    <w:rsid w:val="00067963"/>
    <w:rsid w:val="00070151"/>
    <w:rsid w:val="00070E85"/>
    <w:rsid w:val="00073632"/>
    <w:rsid w:val="00073F2D"/>
    <w:rsid w:val="000742A6"/>
    <w:rsid w:val="00074EC3"/>
    <w:rsid w:val="000757E9"/>
    <w:rsid w:val="00076495"/>
    <w:rsid w:val="00076AC2"/>
    <w:rsid w:val="000777CF"/>
    <w:rsid w:val="00077AED"/>
    <w:rsid w:val="00077B9C"/>
    <w:rsid w:val="000802DD"/>
    <w:rsid w:val="00080946"/>
    <w:rsid w:val="00084668"/>
    <w:rsid w:val="00084A30"/>
    <w:rsid w:val="00084FFD"/>
    <w:rsid w:val="00091A23"/>
    <w:rsid w:val="00094893"/>
    <w:rsid w:val="00094DFF"/>
    <w:rsid w:val="000952C0"/>
    <w:rsid w:val="000960BC"/>
    <w:rsid w:val="00097EB2"/>
    <w:rsid w:val="000A1457"/>
    <w:rsid w:val="000A2932"/>
    <w:rsid w:val="000A3376"/>
    <w:rsid w:val="000A3814"/>
    <w:rsid w:val="000A7B3A"/>
    <w:rsid w:val="000B104F"/>
    <w:rsid w:val="000B1355"/>
    <w:rsid w:val="000B2236"/>
    <w:rsid w:val="000B5044"/>
    <w:rsid w:val="000B535D"/>
    <w:rsid w:val="000B5E89"/>
    <w:rsid w:val="000C2EEC"/>
    <w:rsid w:val="000C33DB"/>
    <w:rsid w:val="000C4AE5"/>
    <w:rsid w:val="000C537F"/>
    <w:rsid w:val="000C57FE"/>
    <w:rsid w:val="000C7E07"/>
    <w:rsid w:val="000D02CD"/>
    <w:rsid w:val="000D092A"/>
    <w:rsid w:val="000D0B99"/>
    <w:rsid w:val="000D11BF"/>
    <w:rsid w:val="000D3971"/>
    <w:rsid w:val="000D4782"/>
    <w:rsid w:val="000D51B5"/>
    <w:rsid w:val="000E07BE"/>
    <w:rsid w:val="000E11EC"/>
    <w:rsid w:val="000E1AE6"/>
    <w:rsid w:val="000E2D47"/>
    <w:rsid w:val="000E4C67"/>
    <w:rsid w:val="000E6B92"/>
    <w:rsid w:val="000E7C3D"/>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7DD3"/>
    <w:rsid w:val="00110DF1"/>
    <w:rsid w:val="00111A7A"/>
    <w:rsid w:val="00111F6A"/>
    <w:rsid w:val="00113AF0"/>
    <w:rsid w:val="00114C6E"/>
    <w:rsid w:val="00116EE7"/>
    <w:rsid w:val="00117EA4"/>
    <w:rsid w:val="001207A8"/>
    <w:rsid w:val="00120A6B"/>
    <w:rsid w:val="00121A4A"/>
    <w:rsid w:val="00123624"/>
    <w:rsid w:val="0012387C"/>
    <w:rsid w:val="0012487F"/>
    <w:rsid w:val="00124EB6"/>
    <w:rsid w:val="00125C2A"/>
    <w:rsid w:val="00126079"/>
    <w:rsid w:val="00126EA9"/>
    <w:rsid w:val="00130042"/>
    <w:rsid w:val="001334B2"/>
    <w:rsid w:val="001342D4"/>
    <w:rsid w:val="00134A59"/>
    <w:rsid w:val="00134EFB"/>
    <w:rsid w:val="0013675E"/>
    <w:rsid w:val="00136D00"/>
    <w:rsid w:val="00137135"/>
    <w:rsid w:val="001408CB"/>
    <w:rsid w:val="00140F8C"/>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97F"/>
    <w:rsid w:val="00172B1A"/>
    <w:rsid w:val="00173CC1"/>
    <w:rsid w:val="00175C20"/>
    <w:rsid w:val="001768BA"/>
    <w:rsid w:val="00176E0E"/>
    <w:rsid w:val="00176F3D"/>
    <w:rsid w:val="001820AE"/>
    <w:rsid w:val="00184A10"/>
    <w:rsid w:val="00190CF2"/>
    <w:rsid w:val="00193719"/>
    <w:rsid w:val="00194271"/>
    <w:rsid w:val="00195355"/>
    <w:rsid w:val="00195A73"/>
    <w:rsid w:val="00196FBE"/>
    <w:rsid w:val="001A10A2"/>
    <w:rsid w:val="001A1BB8"/>
    <w:rsid w:val="001A4F34"/>
    <w:rsid w:val="001A5E37"/>
    <w:rsid w:val="001A65D5"/>
    <w:rsid w:val="001A6B5B"/>
    <w:rsid w:val="001B097C"/>
    <w:rsid w:val="001B1242"/>
    <w:rsid w:val="001B19EE"/>
    <w:rsid w:val="001B2B14"/>
    <w:rsid w:val="001B6510"/>
    <w:rsid w:val="001B6AA1"/>
    <w:rsid w:val="001C0209"/>
    <w:rsid w:val="001C5FDE"/>
    <w:rsid w:val="001C6266"/>
    <w:rsid w:val="001C69DD"/>
    <w:rsid w:val="001C779D"/>
    <w:rsid w:val="001D0187"/>
    <w:rsid w:val="001D1F70"/>
    <w:rsid w:val="001D2832"/>
    <w:rsid w:val="001D4E3F"/>
    <w:rsid w:val="001E18AE"/>
    <w:rsid w:val="001E3800"/>
    <w:rsid w:val="001E4095"/>
    <w:rsid w:val="001E5F24"/>
    <w:rsid w:val="001E6079"/>
    <w:rsid w:val="001E771F"/>
    <w:rsid w:val="001E7EB2"/>
    <w:rsid w:val="001F3CA2"/>
    <w:rsid w:val="00202F49"/>
    <w:rsid w:val="00203CA4"/>
    <w:rsid w:val="00203EFB"/>
    <w:rsid w:val="0020415E"/>
    <w:rsid w:val="0020526D"/>
    <w:rsid w:val="00205874"/>
    <w:rsid w:val="00205D20"/>
    <w:rsid w:val="0020631E"/>
    <w:rsid w:val="002105A7"/>
    <w:rsid w:val="00211A44"/>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530B"/>
    <w:rsid w:val="002565A7"/>
    <w:rsid w:val="00261F3B"/>
    <w:rsid w:val="00263709"/>
    <w:rsid w:val="00266495"/>
    <w:rsid w:val="00267642"/>
    <w:rsid w:val="002747D9"/>
    <w:rsid w:val="00274DE6"/>
    <w:rsid w:val="00275F94"/>
    <w:rsid w:val="0028055C"/>
    <w:rsid w:val="00280943"/>
    <w:rsid w:val="002818D1"/>
    <w:rsid w:val="00281DB7"/>
    <w:rsid w:val="00282312"/>
    <w:rsid w:val="00282601"/>
    <w:rsid w:val="00283531"/>
    <w:rsid w:val="002835FB"/>
    <w:rsid w:val="00283EA4"/>
    <w:rsid w:val="002851B1"/>
    <w:rsid w:val="00286295"/>
    <w:rsid w:val="002905F3"/>
    <w:rsid w:val="00290A60"/>
    <w:rsid w:val="00291CC6"/>
    <w:rsid w:val="00292EB8"/>
    <w:rsid w:val="002937DE"/>
    <w:rsid w:val="002958AB"/>
    <w:rsid w:val="002A34E5"/>
    <w:rsid w:val="002A4EE0"/>
    <w:rsid w:val="002A5A5D"/>
    <w:rsid w:val="002A6821"/>
    <w:rsid w:val="002B050C"/>
    <w:rsid w:val="002B2BEA"/>
    <w:rsid w:val="002B2D4F"/>
    <w:rsid w:val="002B2E87"/>
    <w:rsid w:val="002B3886"/>
    <w:rsid w:val="002B3C9C"/>
    <w:rsid w:val="002B3D59"/>
    <w:rsid w:val="002B42AD"/>
    <w:rsid w:val="002B42F2"/>
    <w:rsid w:val="002B628D"/>
    <w:rsid w:val="002C03F1"/>
    <w:rsid w:val="002C1518"/>
    <w:rsid w:val="002C482A"/>
    <w:rsid w:val="002D036F"/>
    <w:rsid w:val="002D1420"/>
    <w:rsid w:val="002D3E8C"/>
    <w:rsid w:val="002D6484"/>
    <w:rsid w:val="002D67C4"/>
    <w:rsid w:val="002D739F"/>
    <w:rsid w:val="002D744F"/>
    <w:rsid w:val="002D7FBD"/>
    <w:rsid w:val="002E007F"/>
    <w:rsid w:val="002E11AF"/>
    <w:rsid w:val="002E21B6"/>
    <w:rsid w:val="002E3838"/>
    <w:rsid w:val="002E4199"/>
    <w:rsid w:val="002E4370"/>
    <w:rsid w:val="002F00D0"/>
    <w:rsid w:val="002F0F19"/>
    <w:rsid w:val="002F308A"/>
    <w:rsid w:val="002F3A2E"/>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700B"/>
    <w:rsid w:val="00350716"/>
    <w:rsid w:val="003513A3"/>
    <w:rsid w:val="00355634"/>
    <w:rsid w:val="003561EA"/>
    <w:rsid w:val="003566F4"/>
    <w:rsid w:val="0035725C"/>
    <w:rsid w:val="00363DBF"/>
    <w:rsid w:val="00363E54"/>
    <w:rsid w:val="003649E6"/>
    <w:rsid w:val="00366E9D"/>
    <w:rsid w:val="00367A86"/>
    <w:rsid w:val="00377BE9"/>
    <w:rsid w:val="003820D0"/>
    <w:rsid w:val="00382F6C"/>
    <w:rsid w:val="00383C29"/>
    <w:rsid w:val="0038492E"/>
    <w:rsid w:val="00384C9A"/>
    <w:rsid w:val="0038557B"/>
    <w:rsid w:val="00391D36"/>
    <w:rsid w:val="00393767"/>
    <w:rsid w:val="0039458F"/>
    <w:rsid w:val="00397B0B"/>
    <w:rsid w:val="003A0659"/>
    <w:rsid w:val="003A1F5E"/>
    <w:rsid w:val="003A2F1C"/>
    <w:rsid w:val="003A33F2"/>
    <w:rsid w:val="003A4615"/>
    <w:rsid w:val="003A522C"/>
    <w:rsid w:val="003A5A7B"/>
    <w:rsid w:val="003A6AB6"/>
    <w:rsid w:val="003A6F9F"/>
    <w:rsid w:val="003B39DF"/>
    <w:rsid w:val="003B5E86"/>
    <w:rsid w:val="003B7EAB"/>
    <w:rsid w:val="003C0BC4"/>
    <w:rsid w:val="003C3199"/>
    <w:rsid w:val="003C3909"/>
    <w:rsid w:val="003C3A3D"/>
    <w:rsid w:val="003C5953"/>
    <w:rsid w:val="003C78BE"/>
    <w:rsid w:val="003D0760"/>
    <w:rsid w:val="003D19E7"/>
    <w:rsid w:val="003D32B3"/>
    <w:rsid w:val="003D3FF9"/>
    <w:rsid w:val="003D4EE6"/>
    <w:rsid w:val="003D55B2"/>
    <w:rsid w:val="003D6BFF"/>
    <w:rsid w:val="003D786F"/>
    <w:rsid w:val="003D7B93"/>
    <w:rsid w:val="003E08D3"/>
    <w:rsid w:val="003E14AF"/>
    <w:rsid w:val="003E1FFF"/>
    <w:rsid w:val="003E240A"/>
    <w:rsid w:val="003E2688"/>
    <w:rsid w:val="003E271E"/>
    <w:rsid w:val="003E2ED4"/>
    <w:rsid w:val="003F0E7E"/>
    <w:rsid w:val="003F3C2D"/>
    <w:rsid w:val="003F4B48"/>
    <w:rsid w:val="003F65D2"/>
    <w:rsid w:val="004005D5"/>
    <w:rsid w:val="0040084F"/>
    <w:rsid w:val="00401877"/>
    <w:rsid w:val="004027D1"/>
    <w:rsid w:val="00403DCC"/>
    <w:rsid w:val="00404527"/>
    <w:rsid w:val="00405FF5"/>
    <w:rsid w:val="004076AA"/>
    <w:rsid w:val="0041140D"/>
    <w:rsid w:val="00413B6A"/>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42540"/>
    <w:rsid w:val="00442D29"/>
    <w:rsid w:val="00444C3D"/>
    <w:rsid w:val="00444EAD"/>
    <w:rsid w:val="00446B77"/>
    <w:rsid w:val="00446DA0"/>
    <w:rsid w:val="00451E5C"/>
    <w:rsid w:val="0045774F"/>
    <w:rsid w:val="00461710"/>
    <w:rsid w:val="004627C6"/>
    <w:rsid w:val="00463240"/>
    <w:rsid w:val="004635B0"/>
    <w:rsid w:val="00463796"/>
    <w:rsid w:val="004672E3"/>
    <w:rsid w:val="00467682"/>
    <w:rsid w:val="0047041E"/>
    <w:rsid w:val="00470900"/>
    <w:rsid w:val="0047183E"/>
    <w:rsid w:val="00472FCC"/>
    <w:rsid w:val="00475989"/>
    <w:rsid w:val="00475BCB"/>
    <w:rsid w:val="004762B0"/>
    <w:rsid w:val="00481640"/>
    <w:rsid w:val="00481DB2"/>
    <w:rsid w:val="0048242D"/>
    <w:rsid w:val="0048425F"/>
    <w:rsid w:val="00487A13"/>
    <w:rsid w:val="0049112C"/>
    <w:rsid w:val="0049198A"/>
    <w:rsid w:val="004933E8"/>
    <w:rsid w:val="00493C5B"/>
    <w:rsid w:val="00493E51"/>
    <w:rsid w:val="00495278"/>
    <w:rsid w:val="004973A8"/>
    <w:rsid w:val="004A3EC0"/>
    <w:rsid w:val="004A4CC9"/>
    <w:rsid w:val="004A6223"/>
    <w:rsid w:val="004B09C6"/>
    <w:rsid w:val="004B3578"/>
    <w:rsid w:val="004B3AEF"/>
    <w:rsid w:val="004B5253"/>
    <w:rsid w:val="004B5494"/>
    <w:rsid w:val="004B5E8A"/>
    <w:rsid w:val="004B62B4"/>
    <w:rsid w:val="004B72B1"/>
    <w:rsid w:val="004B75CF"/>
    <w:rsid w:val="004C2CEE"/>
    <w:rsid w:val="004C57BC"/>
    <w:rsid w:val="004C5DB5"/>
    <w:rsid w:val="004C7BEE"/>
    <w:rsid w:val="004C7C91"/>
    <w:rsid w:val="004D0D4C"/>
    <w:rsid w:val="004D3719"/>
    <w:rsid w:val="004D6B09"/>
    <w:rsid w:val="004E0593"/>
    <w:rsid w:val="004E10FA"/>
    <w:rsid w:val="004E2ED8"/>
    <w:rsid w:val="004E31CD"/>
    <w:rsid w:val="004E487D"/>
    <w:rsid w:val="004E5B8D"/>
    <w:rsid w:val="004E6C86"/>
    <w:rsid w:val="004E700C"/>
    <w:rsid w:val="004E7443"/>
    <w:rsid w:val="004E7AC1"/>
    <w:rsid w:val="004F38F8"/>
    <w:rsid w:val="004F464C"/>
    <w:rsid w:val="004F47C7"/>
    <w:rsid w:val="004F56A4"/>
    <w:rsid w:val="004F5776"/>
    <w:rsid w:val="004F6BD9"/>
    <w:rsid w:val="004F6DF4"/>
    <w:rsid w:val="00500383"/>
    <w:rsid w:val="005005A1"/>
    <w:rsid w:val="00501267"/>
    <w:rsid w:val="0050569C"/>
    <w:rsid w:val="00505D22"/>
    <w:rsid w:val="00506C69"/>
    <w:rsid w:val="00506C6B"/>
    <w:rsid w:val="00510586"/>
    <w:rsid w:val="005117A4"/>
    <w:rsid w:val="00511A4B"/>
    <w:rsid w:val="00511DBD"/>
    <w:rsid w:val="0051225C"/>
    <w:rsid w:val="0051703E"/>
    <w:rsid w:val="00517BD9"/>
    <w:rsid w:val="00517F4D"/>
    <w:rsid w:val="0052174C"/>
    <w:rsid w:val="00521E42"/>
    <w:rsid w:val="00522477"/>
    <w:rsid w:val="00523FF5"/>
    <w:rsid w:val="0052674D"/>
    <w:rsid w:val="005274CE"/>
    <w:rsid w:val="00531F5A"/>
    <w:rsid w:val="00540B97"/>
    <w:rsid w:val="005417C2"/>
    <w:rsid w:val="00541925"/>
    <w:rsid w:val="005444F4"/>
    <w:rsid w:val="00546B50"/>
    <w:rsid w:val="005471A6"/>
    <w:rsid w:val="00547B29"/>
    <w:rsid w:val="00550F84"/>
    <w:rsid w:val="00551714"/>
    <w:rsid w:val="005521A7"/>
    <w:rsid w:val="005547B9"/>
    <w:rsid w:val="00555909"/>
    <w:rsid w:val="005562E7"/>
    <w:rsid w:val="005567DA"/>
    <w:rsid w:val="00557FEF"/>
    <w:rsid w:val="0056441A"/>
    <w:rsid w:val="00566965"/>
    <w:rsid w:val="00570DE0"/>
    <w:rsid w:val="00571093"/>
    <w:rsid w:val="00575C11"/>
    <w:rsid w:val="00575CE1"/>
    <w:rsid w:val="00576E75"/>
    <w:rsid w:val="00577DD4"/>
    <w:rsid w:val="005801DF"/>
    <w:rsid w:val="00580B23"/>
    <w:rsid w:val="00582032"/>
    <w:rsid w:val="00583030"/>
    <w:rsid w:val="00586EA4"/>
    <w:rsid w:val="00587076"/>
    <w:rsid w:val="005928E1"/>
    <w:rsid w:val="00592A8B"/>
    <w:rsid w:val="00593313"/>
    <w:rsid w:val="00593727"/>
    <w:rsid w:val="00593B3C"/>
    <w:rsid w:val="00594838"/>
    <w:rsid w:val="0059512D"/>
    <w:rsid w:val="00596C37"/>
    <w:rsid w:val="005A2947"/>
    <w:rsid w:val="005A50C1"/>
    <w:rsid w:val="005B0622"/>
    <w:rsid w:val="005B0C15"/>
    <w:rsid w:val="005B125A"/>
    <w:rsid w:val="005B5F5C"/>
    <w:rsid w:val="005B6291"/>
    <w:rsid w:val="005B7031"/>
    <w:rsid w:val="005B749A"/>
    <w:rsid w:val="005B779B"/>
    <w:rsid w:val="005C0CE8"/>
    <w:rsid w:val="005C3F44"/>
    <w:rsid w:val="005C466B"/>
    <w:rsid w:val="005C5924"/>
    <w:rsid w:val="005C6C61"/>
    <w:rsid w:val="005C6FCD"/>
    <w:rsid w:val="005C70A9"/>
    <w:rsid w:val="005D0569"/>
    <w:rsid w:val="005D1174"/>
    <w:rsid w:val="005D24B6"/>
    <w:rsid w:val="005D3FAD"/>
    <w:rsid w:val="005D46D8"/>
    <w:rsid w:val="005D48CE"/>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5509"/>
    <w:rsid w:val="005F68DE"/>
    <w:rsid w:val="006005E5"/>
    <w:rsid w:val="00603F8D"/>
    <w:rsid w:val="00611023"/>
    <w:rsid w:val="0061196B"/>
    <w:rsid w:val="00614494"/>
    <w:rsid w:val="00615D88"/>
    <w:rsid w:val="00615F71"/>
    <w:rsid w:val="00617DFC"/>
    <w:rsid w:val="0062391E"/>
    <w:rsid w:val="00624206"/>
    <w:rsid w:val="006279C7"/>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3D62"/>
    <w:rsid w:val="006540E7"/>
    <w:rsid w:val="00654D26"/>
    <w:rsid w:val="00654EC8"/>
    <w:rsid w:val="00655E52"/>
    <w:rsid w:val="00656543"/>
    <w:rsid w:val="00660D7B"/>
    <w:rsid w:val="00663C46"/>
    <w:rsid w:val="00664C37"/>
    <w:rsid w:val="006718AA"/>
    <w:rsid w:val="00672E8F"/>
    <w:rsid w:val="00672FEF"/>
    <w:rsid w:val="006756A3"/>
    <w:rsid w:val="00681E4B"/>
    <w:rsid w:val="00682014"/>
    <w:rsid w:val="0068253C"/>
    <w:rsid w:val="00683296"/>
    <w:rsid w:val="0068381B"/>
    <w:rsid w:val="00683820"/>
    <w:rsid w:val="006849A8"/>
    <w:rsid w:val="00684F69"/>
    <w:rsid w:val="00686DAC"/>
    <w:rsid w:val="006900C4"/>
    <w:rsid w:val="006901D7"/>
    <w:rsid w:val="00690315"/>
    <w:rsid w:val="00690931"/>
    <w:rsid w:val="006911D6"/>
    <w:rsid w:val="006927A1"/>
    <w:rsid w:val="00693339"/>
    <w:rsid w:val="00693914"/>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32C5"/>
    <w:rsid w:val="006B3E52"/>
    <w:rsid w:val="006B5478"/>
    <w:rsid w:val="006C06EB"/>
    <w:rsid w:val="006C1784"/>
    <w:rsid w:val="006C716A"/>
    <w:rsid w:val="006D0F66"/>
    <w:rsid w:val="006D2EEC"/>
    <w:rsid w:val="006D50F2"/>
    <w:rsid w:val="006D72E8"/>
    <w:rsid w:val="006D735C"/>
    <w:rsid w:val="006D7BE6"/>
    <w:rsid w:val="006E0499"/>
    <w:rsid w:val="006E2697"/>
    <w:rsid w:val="006E622B"/>
    <w:rsid w:val="006E744F"/>
    <w:rsid w:val="006E775D"/>
    <w:rsid w:val="006E7935"/>
    <w:rsid w:val="006F006B"/>
    <w:rsid w:val="006F0725"/>
    <w:rsid w:val="006F19A5"/>
    <w:rsid w:val="006F3410"/>
    <w:rsid w:val="006F3BB8"/>
    <w:rsid w:val="006F4680"/>
    <w:rsid w:val="006F6D5C"/>
    <w:rsid w:val="006F721D"/>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534B"/>
    <w:rsid w:val="00726F8C"/>
    <w:rsid w:val="007304BD"/>
    <w:rsid w:val="00731A44"/>
    <w:rsid w:val="0073397E"/>
    <w:rsid w:val="00734623"/>
    <w:rsid w:val="007356DD"/>
    <w:rsid w:val="00735A4E"/>
    <w:rsid w:val="00735D3A"/>
    <w:rsid w:val="00736BB0"/>
    <w:rsid w:val="00737A5C"/>
    <w:rsid w:val="00741FAB"/>
    <w:rsid w:val="007430F2"/>
    <w:rsid w:val="0074389B"/>
    <w:rsid w:val="0074445B"/>
    <w:rsid w:val="00751048"/>
    <w:rsid w:val="00756567"/>
    <w:rsid w:val="007607C0"/>
    <w:rsid w:val="007611CF"/>
    <w:rsid w:val="00761D5B"/>
    <w:rsid w:val="00763295"/>
    <w:rsid w:val="00764D13"/>
    <w:rsid w:val="00764F55"/>
    <w:rsid w:val="007666AB"/>
    <w:rsid w:val="0076670C"/>
    <w:rsid w:val="00767DDE"/>
    <w:rsid w:val="00770E81"/>
    <w:rsid w:val="00773CF1"/>
    <w:rsid w:val="00774268"/>
    <w:rsid w:val="007747FC"/>
    <w:rsid w:val="00775B89"/>
    <w:rsid w:val="0077725A"/>
    <w:rsid w:val="0077775D"/>
    <w:rsid w:val="007817AE"/>
    <w:rsid w:val="0078417D"/>
    <w:rsid w:val="00784BF2"/>
    <w:rsid w:val="00791DC3"/>
    <w:rsid w:val="00795760"/>
    <w:rsid w:val="00797625"/>
    <w:rsid w:val="007A0D87"/>
    <w:rsid w:val="007A10DB"/>
    <w:rsid w:val="007A4BF5"/>
    <w:rsid w:val="007A76FF"/>
    <w:rsid w:val="007A7CB3"/>
    <w:rsid w:val="007B105D"/>
    <w:rsid w:val="007B18A0"/>
    <w:rsid w:val="007B29FB"/>
    <w:rsid w:val="007B2A84"/>
    <w:rsid w:val="007B38EB"/>
    <w:rsid w:val="007B4BF9"/>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51A0"/>
    <w:rsid w:val="007D6305"/>
    <w:rsid w:val="007D6AAB"/>
    <w:rsid w:val="007E484B"/>
    <w:rsid w:val="007E7107"/>
    <w:rsid w:val="007E71BA"/>
    <w:rsid w:val="007F011C"/>
    <w:rsid w:val="007F1D78"/>
    <w:rsid w:val="007F1E24"/>
    <w:rsid w:val="007F216A"/>
    <w:rsid w:val="007F2628"/>
    <w:rsid w:val="007F34F3"/>
    <w:rsid w:val="007F5624"/>
    <w:rsid w:val="007F5C54"/>
    <w:rsid w:val="007F74C4"/>
    <w:rsid w:val="0080026D"/>
    <w:rsid w:val="008029E9"/>
    <w:rsid w:val="00802F2B"/>
    <w:rsid w:val="00803C04"/>
    <w:rsid w:val="00807A9E"/>
    <w:rsid w:val="00810D04"/>
    <w:rsid w:val="00812033"/>
    <w:rsid w:val="008148D6"/>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7BBE"/>
    <w:rsid w:val="00841816"/>
    <w:rsid w:val="00841D6D"/>
    <w:rsid w:val="00843E7F"/>
    <w:rsid w:val="008440CF"/>
    <w:rsid w:val="00845401"/>
    <w:rsid w:val="008478CF"/>
    <w:rsid w:val="00847B96"/>
    <w:rsid w:val="00850A8B"/>
    <w:rsid w:val="008520CA"/>
    <w:rsid w:val="0085385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960C2"/>
    <w:rsid w:val="008A14E1"/>
    <w:rsid w:val="008A162A"/>
    <w:rsid w:val="008A406A"/>
    <w:rsid w:val="008A5324"/>
    <w:rsid w:val="008A69B9"/>
    <w:rsid w:val="008A6AC8"/>
    <w:rsid w:val="008A71AF"/>
    <w:rsid w:val="008A7F00"/>
    <w:rsid w:val="008B3BF8"/>
    <w:rsid w:val="008B4B10"/>
    <w:rsid w:val="008B5372"/>
    <w:rsid w:val="008B5497"/>
    <w:rsid w:val="008B577C"/>
    <w:rsid w:val="008B5DC6"/>
    <w:rsid w:val="008B5E6F"/>
    <w:rsid w:val="008B7DF4"/>
    <w:rsid w:val="008C0683"/>
    <w:rsid w:val="008C2D29"/>
    <w:rsid w:val="008C472B"/>
    <w:rsid w:val="008C522F"/>
    <w:rsid w:val="008C656E"/>
    <w:rsid w:val="008C6A37"/>
    <w:rsid w:val="008C742E"/>
    <w:rsid w:val="008D27F9"/>
    <w:rsid w:val="008D2BAB"/>
    <w:rsid w:val="008D45A5"/>
    <w:rsid w:val="008D63BF"/>
    <w:rsid w:val="008D663A"/>
    <w:rsid w:val="008D6C94"/>
    <w:rsid w:val="008D7CA6"/>
    <w:rsid w:val="008D7CDF"/>
    <w:rsid w:val="008E1495"/>
    <w:rsid w:val="008E6528"/>
    <w:rsid w:val="008F165C"/>
    <w:rsid w:val="00902D78"/>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5A1D"/>
    <w:rsid w:val="00925E21"/>
    <w:rsid w:val="00925FED"/>
    <w:rsid w:val="00926DFD"/>
    <w:rsid w:val="009355F7"/>
    <w:rsid w:val="0093725D"/>
    <w:rsid w:val="00940319"/>
    <w:rsid w:val="009419B0"/>
    <w:rsid w:val="00941D3F"/>
    <w:rsid w:val="009454FC"/>
    <w:rsid w:val="00946C9B"/>
    <w:rsid w:val="009473E1"/>
    <w:rsid w:val="00950483"/>
    <w:rsid w:val="00950870"/>
    <w:rsid w:val="00950A60"/>
    <w:rsid w:val="009510D0"/>
    <w:rsid w:val="0095221E"/>
    <w:rsid w:val="009535B9"/>
    <w:rsid w:val="0095362B"/>
    <w:rsid w:val="0095375F"/>
    <w:rsid w:val="009554F3"/>
    <w:rsid w:val="00955618"/>
    <w:rsid w:val="009568CA"/>
    <w:rsid w:val="00956B8F"/>
    <w:rsid w:val="0096089F"/>
    <w:rsid w:val="0096202E"/>
    <w:rsid w:val="00962ABD"/>
    <w:rsid w:val="0097142D"/>
    <w:rsid w:val="00972145"/>
    <w:rsid w:val="0097294F"/>
    <w:rsid w:val="0097348C"/>
    <w:rsid w:val="00974611"/>
    <w:rsid w:val="009746BA"/>
    <w:rsid w:val="00974BBC"/>
    <w:rsid w:val="00980238"/>
    <w:rsid w:val="00980464"/>
    <w:rsid w:val="00983283"/>
    <w:rsid w:val="00984384"/>
    <w:rsid w:val="00985D79"/>
    <w:rsid w:val="0098699C"/>
    <w:rsid w:val="00986E48"/>
    <w:rsid w:val="00987052"/>
    <w:rsid w:val="009871D3"/>
    <w:rsid w:val="00992616"/>
    <w:rsid w:val="00992641"/>
    <w:rsid w:val="00992A29"/>
    <w:rsid w:val="009943A4"/>
    <w:rsid w:val="00994948"/>
    <w:rsid w:val="00995E5D"/>
    <w:rsid w:val="009963FD"/>
    <w:rsid w:val="009965BC"/>
    <w:rsid w:val="009A0223"/>
    <w:rsid w:val="009A0C3F"/>
    <w:rsid w:val="009A729C"/>
    <w:rsid w:val="009A73F1"/>
    <w:rsid w:val="009B098D"/>
    <w:rsid w:val="009B342C"/>
    <w:rsid w:val="009C1328"/>
    <w:rsid w:val="009C392F"/>
    <w:rsid w:val="009C5BDA"/>
    <w:rsid w:val="009C5D0F"/>
    <w:rsid w:val="009C711F"/>
    <w:rsid w:val="009D23B2"/>
    <w:rsid w:val="009D254B"/>
    <w:rsid w:val="009D2B0C"/>
    <w:rsid w:val="009D2E78"/>
    <w:rsid w:val="009D3C8D"/>
    <w:rsid w:val="009D45F7"/>
    <w:rsid w:val="009D5BF0"/>
    <w:rsid w:val="009D5E41"/>
    <w:rsid w:val="009E0EF6"/>
    <w:rsid w:val="009E13B5"/>
    <w:rsid w:val="009E148B"/>
    <w:rsid w:val="009E19A9"/>
    <w:rsid w:val="009E2C24"/>
    <w:rsid w:val="009E31CA"/>
    <w:rsid w:val="009E6129"/>
    <w:rsid w:val="009F3AD6"/>
    <w:rsid w:val="00A00D3D"/>
    <w:rsid w:val="00A03100"/>
    <w:rsid w:val="00A05DAE"/>
    <w:rsid w:val="00A06417"/>
    <w:rsid w:val="00A06471"/>
    <w:rsid w:val="00A068D9"/>
    <w:rsid w:val="00A105D4"/>
    <w:rsid w:val="00A10D0E"/>
    <w:rsid w:val="00A1296E"/>
    <w:rsid w:val="00A13F4D"/>
    <w:rsid w:val="00A14CE5"/>
    <w:rsid w:val="00A15A6F"/>
    <w:rsid w:val="00A173F0"/>
    <w:rsid w:val="00A20FC0"/>
    <w:rsid w:val="00A2151A"/>
    <w:rsid w:val="00A222CA"/>
    <w:rsid w:val="00A234EA"/>
    <w:rsid w:val="00A25857"/>
    <w:rsid w:val="00A258B6"/>
    <w:rsid w:val="00A26E08"/>
    <w:rsid w:val="00A27AB1"/>
    <w:rsid w:val="00A30F42"/>
    <w:rsid w:val="00A3690F"/>
    <w:rsid w:val="00A40289"/>
    <w:rsid w:val="00A44935"/>
    <w:rsid w:val="00A5064E"/>
    <w:rsid w:val="00A511E0"/>
    <w:rsid w:val="00A533A0"/>
    <w:rsid w:val="00A54088"/>
    <w:rsid w:val="00A57B5F"/>
    <w:rsid w:val="00A612C9"/>
    <w:rsid w:val="00A617A5"/>
    <w:rsid w:val="00A61FA5"/>
    <w:rsid w:val="00A64ED3"/>
    <w:rsid w:val="00A668DB"/>
    <w:rsid w:val="00A71D93"/>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44F1"/>
    <w:rsid w:val="00A97890"/>
    <w:rsid w:val="00AA2E8F"/>
    <w:rsid w:val="00AA3E4E"/>
    <w:rsid w:val="00AA6117"/>
    <w:rsid w:val="00AA74E4"/>
    <w:rsid w:val="00AA7A93"/>
    <w:rsid w:val="00AA7EBF"/>
    <w:rsid w:val="00AB3E80"/>
    <w:rsid w:val="00AB4645"/>
    <w:rsid w:val="00AB70C2"/>
    <w:rsid w:val="00AC0A1C"/>
    <w:rsid w:val="00AC2440"/>
    <w:rsid w:val="00AC34C5"/>
    <w:rsid w:val="00AC64BC"/>
    <w:rsid w:val="00AC6C76"/>
    <w:rsid w:val="00AD143D"/>
    <w:rsid w:val="00AD2A84"/>
    <w:rsid w:val="00AD317E"/>
    <w:rsid w:val="00AD36B3"/>
    <w:rsid w:val="00AD36F5"/>
    <w:rsid w:val="00AD389F"/>
    <w:rsid w:val="00AD5980"/>
    <w:rsid w:val="00AD65F7"/>
    <w:rsid w:val="00AD6A61"/>
    <w:rsid w:val="00AE1484"/>
    <w:rsid w:val="00AE5F71"/>
    <w:rsid w:val="00AF0A7E"/>
    <w:rsid w:val="00AF0CEF"/>
    <w:rsid w:val="00AF1251"/>
    <w:rsid w:val="00AF281B"/>
    <w:rsid w:val="00AF3094"/>
    <w:rsid w:val="00AF48AA"/>
    <w:rsid w:val="00AF5193"/>
    <w:rsid w:val="00AF6363"/>
    <w:rsid w:val="00AF6712"/>
    <w:rsid w:val="00AF6E39"/>
    <w:rsid w:val="00B002CC"/>
    <w:rsid w:val="00B011F4"/>
    <w:rsid w:val="00B02577"/>
    <w:rsid w:val="00B02BFD"/>
    <w:rsid w:val="00B02FC9"/>
    <w:rsid w:val="00B0515F"/>
    <w:rsid w:val="00B06BBB"/>
    <w:rsid w:val="00B06CAC"/>
    <w:rsid w:val="00B10844"/>
    <w:rsid w:val="00B10E5B"/>
    <w:rsid w:val="00B118D4"/>
    <w:rsid w:val="00B11E90"/>
    <w:rsid w:val="00B1210A"/>
    <w:rsid w:val="00B132CA"/>
    <w:rsid w:val="00B136CA"/>
    <w:rsid w:val="00B15799"/>
    <w:rsid w:val="00B159FC"/>
    <w:rsid w:val="00B17CB5"/>
    <w:rsid w:val="00B2221C"/>
    <w:rsid w:val="00B2310B"/>
    <w:rsid w:val="00B231D1"/>
    <w:rsid w:val="00B25664"/>
    <w:rsid w:val="00B30DAA"/>
    <w:rsid w:val="00B318C3"/>
    <w:rsid w:val="00B33FB3"/>
    <w:rsid w:val="00B340F3"/>
    <w:rsid w:val="00B4013B"/>
    <w:rsid w:val="00B40B4C"/>
    <w:rsid w:val="00B40E5F"/>
    <w:rsid w:val="00B41B7E"/>
    <w:rsid w:val="00B45703"/>
    <w:rsid w:val="00B47B15"/>
    <w:rsid w:val="00B512C0"/>
    <w:rsid w:val="00B5153A"/>
    <w:rsid w:val="00B5178E"/>
    <w:rsid w:val="00B51D9C"/>
    <w:rsid w:val="00B53C1F"/>
    <w:rsid w:val="00B54406"/>
    <w:rsid w:val="00B55413"/>
    <w:rsid w:val="00B55900"/>
    <w:rsid w:val="00B55B95"/>
    <w:rsid w:val="00B5667E"/>
    <w:rsid w:val="00B57CF5"/>
    <w:rsid w:val="00B57EC9"/>
    <w:rsid w:val="00B60165"/>
    <w:rsid w:val="00B61E5B"/>
    <w:rsid w:val="00B64FC8"/>
    <w:rsid w:val="00B66F3F"/>
    <w:rsid w:val="00B67526"/>
    <w:rsid w:val="00B70876"/>
    <w:rsid w:val="00B72181"/>
    <w:rsid w:val="00B73299"/>
    <w:rsid w:val="00B7398C"/>
    <w:rsid w:val="00B74E07"/>
    <w:rsid w:val="00B750F4"/>
    <w:rsid w:val="00B755EB"/>
    <w:rsid w:val="00B756CF"/>
    <w:rsid w:val="00B7637C"/>
    <w:rsid w:val="00B76D18"/>
    <w:rsid w:val="00B77D05"/>
    <w:rsid w:val="00B8049D"/>
    <w:rsid w:val="00B808B6"/>
    <w:rsid w:val="00B847A2"/>
    <w:rsid w:val="00B84900"/>
    <w:rsid w:val="00B84A20"/>
    <w:rsid w:val="00B84C8C"/>
    <w:rsid w:val="00B84D69"/>
    <w:rsid w:val="00B85367"/>
    <w:rsid w:val="00B9223D"/>
    <w:rsid w:val="00B92876"/>
    <w:rsid w:val="00B9677F"/>
    <w:rsid w:val="00BA13E7"/>
    <w:rsid w:val="00BA36BB"/>
    <w:rsid w:val="00BA4999"/>
    <w:rsid w:val="00BA55C2"/>
    <w:rsid w:val="00BA615D"/>
    <w:rsid w:val="00BA70AC"/>
    <w:rsid w:val="00BA78B2"/>
    <w:rsid w:val="00BA7BB6"/>
    <w:rsid w:val="00BB06E9"/>
    <w:rsid w:val="00BB2B4F"/>
    <w:rsid w:val="00BB46EA"/>
    <w:rsid w:val="00BB4E7B"/>
    <w:rsid w:val="00BC0E17"/>
    <w:rsid w:val="00BC0F53"/>
    <w:rsid w:val="00BC2A57"/>
    <w:rsid w:val="00BC6870"/>
    <w:rsid w:val="00BC6A20"/>
    <w:rsid w:val="00BC6E81"/>
    <w:rsid w:val="00BC7C8C"/>
    <w:rsid w:val="00BD18E3"/>
    <w:rsid w:val="00BD1970"/>
    <w:rsid w:val="00BD2D0F"/>
    <w:rsid w:val="00BD3F24"/>
    <w:rsid w:val="00BD4AB9"/>
    <w:rsid w:val="00BD5C71"/>
    <w:rsid w:val="00BE0C60"/>
    <w:rsid w:val="00BE52B0"/>
    <w:rsid w:val="00BF09B6"/>
    <w:rsid w:val="00BF2020"/>
    <w:rsid w:val="00BF24FB"/>
    <w:rsid w:val="00BF2625"/>
    <w:rsid w:val="00BF2699"/>
    <w:rsid w:val="00BF3690"/>
    <w:rsid w:val="00BF38AA"/>
    <w:rsid w:val="00BF4D9D"/>
    <w:rsid w:val="00BF6B05"/>
    <w:rsid w:val="00BF79C1"/>
    <w:rsid w:val="00BF7D11"/>
    <w:rsid w:val="00C01093"/>
    <w:rsid w:val="00C01318"/>
    <w:rsid w:val="00C02332"/>
    <w:rsid w:val="00C02A2D"/>
    <w:rsid w:val="00C06140"/>
    <w:rsid w:val="00C06B3C"/>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A1A"/>
    <w:rsid w:val="00C34D64"/>
    <w:rsid w:val="00C35053"/>
    <w:rsid w:val="00C353D3"/>
    <w:rsid w:val="00C360F3"/>
    <w:rsid w:val="00C41ADD"/>
    <w:rsid w:val="00C4315C"/>
    <w:rsid w:val="00C43261"/>
    <w:rsid w:val="00C44186"/>
    <w:rsid w:val="00C4727C"/>
    <w:rsid w:val="00C47584"/>
    <w:rsid w:val="00C50612"/>
    <w:rsid w:val="00C50F2E"/>
    <w:rsid w:val="00C51C28"/>
    <w:rsid w:val="00C535B2"/>
    <w:rsid w:val="00C602A0"/>
    <w:rsid w:val="00C60309"/>
    <w:rsid w:val="00C61ED2"/>
    <w:rsid w:val="00C637D0"/>
    <w:rsid w:val="00C6391E"/>
    <w:rsid w:val="00C64BCA"/>
    <w:rsid w:val="00C64F35"/>
    <w:rsid w:val="00C657FF"/>
    <w:rsid w:val="00C66EED"/>
    <w:rsid w:val="00C6725B"/>
    <w:rsid w:val="00C71C8A"/>
    <w:rsid w:val="00C744B4"/>
    <w:rsid w:val="00C74893"/>
    <w:rsid w:val="00C7550F"/>
    <w:rsid w:val="00C75F01"/>
    <w:rsid w:val="00C81152"/>
    <w:rsid w:val="00C8143E"/>
    <w:rsid w:val="00C83133"/>
    <w:rsid w:val="00C91F74"/>
    <w:rsid w:val="00C9296E"/>
    <w:rsid w:val="00C94076"/>
    <w:rsid w:val="00C94556"/>
    <w:rsid w:val="00C9473F"/>
    <w:rsid w:val="00C9498C"/>
    <w:rsid w:val="00C95057"/>
    <w:rsid w:val="00C95E49"/>
    <w:rsid w:val="00C96A49"/>
    <w:rsid w:val="00C96BE4"/>
    <w:rsid w:val="00C97619"/>
    <w:rsid w:val="00C979DE"/>
    <w:rsid w:val="00CA1D55"/>
    <w:rsid w:val="00CA43EA"/>
    <w:rsid w:val="00CA6102"/>
    <w:rsid w:val="00CB1E48"/>
    <w:rsid w:val="00CB498B"/>
    <w:rsid w:val="00CB6421"/>
    <w:rsid w:val="00CB6A75"/>
    <w:rsid w:val="00CC11C7"/>
    <w:rsid w:val="00CC267A"/>
    <w:rsid w:val="00CC608B"/>
    <w:rsid w:val="00CC6473"/>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DDF"/>
    <w:rsid w:val="00D0554F"/>
    <w:rsid w:val="00D05816"/>
    <w:rsid w:val="00D06F97"/>
    <w:rsid w:val="00D1085C"/>
    <w:rsid w:val="00D12FDE"/>
    <w:rsid w:val="00D14608"/>
    <w:rsid w:val="00D14B55"/>
    <w:rsid w:val="00D175ED"/>
    <w:rsid w:val="00D22732"/>
    <w:rsid w:val="00D256B0"/>
    <w:rsid w:val="00D26F59"/>
    <w:rsid w:val="00D302BC"/>
    <w:rsid w:val="00D31ECB"/>
    <w:rsid w:val="00D321F9"/>
    <w:rsid w:val="00D32FD2"/>
    <w:rsid w:val="00D3483C"/>
    <w:rsid w:val="00D34CE0"/>
    <w:rsid w:val="00D4290B"/>
    <w:rsid w:val="00D44D3C"/>
    <w:rsid w:val="00D4552E"/>
    <w:rsid w:val="00D45B7E"/>
    <w:rsid w:val="00D461D6"/>
    <w:rsid w:val="00D46A4D"/>
    <w:rsid w:val="00D47122"/>
    <w:rsid w:val="00D4782C"/>
    <w:rsid w:val="00D47FF4"/>
    <w:rsid w:val="00D516F9"/>
    <w:rsid w:val="00D51E00"/>
    <w:rsid w:val="00D51E1F"/>
    <w:rsid w:val="00D5560B"/>
    <w:rsid w:val="00D564BE"/>
    <w:rsid w:val="00D57E8C"/>
    <w:rsid w:val="00D6014C"/>
    <w:rsid w:val="00D60F8A"/>
    <w:rsid w:val="00D63563"/>
    <w:rsid w:val="00D64876"/>
    <w:rsid w:val="00D67CE8"/>
    <w:rsid w:val="00D70AB2"/>
    <w:rsid w:val="00D71120"/>
    <w:rsid w:val="00D72319"/>
    <w:rsid w:val="00D72932"/>
    <w:rsid w:val="00D73962"/>
    <w:rsid w:val="00D74696"/>
    <w:rsid w:val="00D746D9"/>
    <w:rsid w:val="00D75E51"/>
    <w:rsid w:val="00D75FE6"/>
    <w:rsid w:val="00D76A03"/>
    <w:rsid w:val="00D77190"/>
    <w:rsid w:val="00D80D66"/>
    <w:rsid w:val="00D815C5"/>
    <w:rsid w:val="00D8544C"/>
    <w:rsid w:val="00D85794"/>
    <w:rsid w:val="00D85EC2"/>
    <w:rsid w:val="00D92DEC"/>
    <w:rsid w:val="00D94DF6"/>
    <w:rsid w:val="00D97F63"/>
    <w:rsid w:val="00DA1F0D"/>
    <w:rsid w:val="00DA3DB3"/>
    <w:rsid w:val="00DA7CE7"/>
    <w:rsid w:val="00DB2BAA"/>
    <w:rsid w:val="00DB2F44"/>
    <w:rsid w:val="00DB3263"/>
    <w:rsid w:val="00DB43B1"/>
    <w:rsid w:val="00DB468E"/>
    <w:rsid w:val="00DB4B6E"/>
    <w:rsid w:val="00DB5E23"/>
    <w:rsid w:val="00DB710D"/>
    <w:rsid w:val="00DB7F40"/>
    <w:rsid w:val="00DC0625"/>
    <w:rsid w:val="00DC09DA"/>
    <w:rsid w:val="00DC12A3"/>
    <w:rsid w:val="00DC25AD"/>
    <w:rsid w:val="00DC293C"/>
    <w:rsid w:val="00DC6A42"/>
    <w:rsid w:val="00DD1964"/>
    <w:rsid w:val="00DD22A6"/>
    <w:rsid w:val="00DD2D1F"/>
    <w:rsid w:val="00DD30B2"/>
    <w:rsid w:val="00DD3D3F"/>
    <w:rsid w:val="00DD4942"/>
    <w:rsid w:val="00DD4E06"/>
    <w:rsid w:val="00DD5502"/>
    <w:rsid w:val="00DD64B7"/>
    <w:rsid w:val="00DD6BC3"/>
    <w:rsid w:val="00DD73B5"/>
    <w:rsid w:val="00DE3687"/>
    <w:rsid w:val="00DE38F3"/>
    <w:rsid w:val="00DE504E"/>
    <w:rsid w:val="00DE658E"/>
    <w:rsid w:val="00DF32A9"/>
    <w:rsid w:val="00DF435E"/>
    <w:rsid w:val="00DF4AF4"/>
    <w:rsid w:val="00E03FFD"/>
    <w:rsid w:val="00E0481E"/>
    <w:rsid w:val="00E11AF2"/>
    <w:rsid w:val="00E11D52"/>
    <w:rsid w:val="00E14262"/>
    <w:rsid w:val="00E1521A"/>
    <w:rsid w:val="00E15785"/>
    <w:rsid w:val="00E15788"/>
    <w:rsid w:val="00E17BDF"/>
    <w:rsid w:val="00E17F74"/>
    <w:rsid w:val="00E22DFC"/>
    <w:rsid w:val="00E26A75"/>
    <w:rsid w:val="00E30B1D"/>
    <w:rsid w:val="00E30E6D"/>
    <w:rsid w:val="00E314C7"/>
    <w:rsid w:val="00E31B34"/>
    <w:rsid w:val="00E33761"/>
    <w:rsid w:val="00E3440B"/>
    <w:rsid w:val="00E34774"/>
    <w:rsid w:val="00E35527"/>
    <w:rsid w:val="00E35CD4"/>
    <w:rsid w:val="00E36FEB"/>
    <w:rsid w:val="00E41FE5"/>
    <w:rsid w:val="00E43D91"/>
    <w:rsid w:val="00E442FF"/>
    <w:rsid w:val="00E4517D"/>
    <w:rsid w:val="00E6096F"/>
    <w:rsid w:val="00E615D1"/>
    <w:rsid w:val="00E62BCD"/>
    <w:rsid w:val="00E62DB0"/>
    <w:rsid w:val="00E63016"/>
    <w:rsid w:val="00E63D30"/>
    <w:rsid w:val="00E63FF0"/>
    <w:rsid w:val="00E65595"/>
    <w:rsid w:val="00E659AB"/>
    <w:rsid w:val="00E65ACE"/>
    <w:rsid w:val="00E7030F"/>
    <w:rsid w:val="00E70DFB"/>
    <w:rsid w:val="00E715D6"/>
    <w:rsid w:val="00E720F1"/>
    <w:rsid w:val="00E72DFE"/>
    <w:rsid w:val="00E72F70"/>
    <w:rsid w:val="00E735A4"/>
    <w:rsid w:val="00E755F5"/>
    <w:rsid w:val="00E80035"/>
    <w:rsid w:val="00E80D92"/>
    <w:rsid w:val="00E84B9B"/>
    <w:rsid w:val="00E85585"/>
    <w:rsid w:val="00E85E75"/>
    <w:rsid w:val="00E86CBD"/>
    <w:rsid w:val="00E8789C"/>
    <w:rsid w:val="00E908BF"/>
    <w:rsid w:val="00E90931"/>
    <w:rsid w:val="00E91A7C"/>
    <w:rsid w:val="00E951D6"/>
    <w:rsid w:val="00E95C82"/>
    <w:rsid w:val="00E976A2"/>
    <w:rsid w:val="00E976F7"/>
    <w:rsid w:val="00E9789B"/>
    <w:rsid w:val="00EA1968"/>
    <w:rsid w:val="00EA48FB"/>
    <w:rsid w:val="00EA6425"/>
    <w:rsid w:val="00EA6750"/>
    <w:rsid w:val="00EB01BB"/>
    <w:rsid w:val="00EB0353"/>
    <w:rsid w:val="00EB1A8F"/>
    <w:rsid w:val="00EB2D0B"/>
    <w:rsid w:val="00EB7BC3"/>
    <w:rsid w:val="00EC021E"/>
    <w:rsid w:val="00EC17B6"/>
    <w:rsid w:val="00EC4333"/>
    <w:rsid w:val="00EC5256"/>
    <w:rsid w:val="00ED3B35"/>
    <w:rsid w:val="00ED411E"/>
    <w:rsid w:val="00ED511E"/>
    <w:rsid w:val="00ED6B9B"/>
    <w:rsid w:val="00EE2064"/>
    <w:rsid w:val="00EE3966"/>
    <w:rsid w:val="00EE4D95"/>
    <w:rsid w:val="00EE533B"/>
    <w:rsid w:val="00EE5483"/>
    <w:rsid w:val="00EE593E"/>
    <w:rsid w:val="00EE6532"/>
    <w:rsid w:val="00EF018D"/>
    <w:rsid w:val="00EF26D3"/>
    <w:rsid w:val="00EF371B"/>
    <w:rsid w:val="00EF4608"/>
    <w:rsid w:val="00EF4B88"/>
    <w:rsid w:val="00EF761B"/>
    <w:rsid w:val="00F01418"/>
    <w:rsid w:val="00F0191A"/>
    <w:rsid w:val="00F0338C"/>
    <w:rsid w:val="00F037C1"/>
    <w:rsid w:val="00F0560A"/>
    <w:rsid w:val="00F05BC9"/>
    <w:rsid w:val="00F06D9F"/>
    <w:rsid w:val="00F10854"/>
    <w:rsid w:val="00F112F4"/>
    <w:rsid w:val="00F11A73"/>
    <w:rsid w:val="00F12C39"/>
    <w:rsid w:val="00F130EA"/>
    <w:rsid w:val="00F13D53"/>
    <w:rsid w:val="00F153D0"/>
    <w:rsid w:val="00F169DE"/>
    <w:rsid w:val="00F20A89"/>
    <w:rsid w:val="00F21AA4"/>
    <w:rsid w:val="00F223F6"/>
    <w:rsid w:val="00F2503B"/>
    <w:rsid w:val="00F26FCA"/>
    <w:rsid w:val="00F304B6"/>
    <w:rsid w:val="00F3096C"/>
    <w:rsid w:val="00F33660"/>
    <w:rsid w:val="00F37158"/>
    <w:rsid w:val="00F37CF8"/>
    <w:rsid w:val="00F43BF4"/>
    <w:rsid w:val="00F44181"/>
    <w:rsid w:val="00F4530E"/>
    <w:rsid w:val="00F4554F"/>
    <w:rsid w:val="00F46D65"/>
    <w:rsid w:val="00F47C07"/>
    <w:rsid w:val="00F47F98"/>
    <w:rsid w:val="00F5136C"/>
    <w:rsid w:val="00F51555"/>
    <w:rsid w:val="00F518F3"/>
    <w:rsid w:val="00F547A9"/>
    <w:rsid w:val="00F54A25"/>
    <w:rsid w:val="00F552BB"/>
    <w:rsid w:val="00F55A81"/>
    <w:rsid w:val="00F57321"/>
    <w:rsid w:val="00F602E1"/>
    <w:rsid w:val="00F6281D"/>
    <w:rsid w:val="00F63DE9"/>
    <w:rsid w:val="00F6671C"/>
    <w:rsid w:val="00F72113"/>
    <w:rsid w:val="00F73021"/>
    <w:rsid w:val="00F756DA"/>
    <w:rsid w:val="00F758C3"/>
    <w:rsid w:val="00F805C3"/>
    <w:rsid w:val="00F833B4"/>
    <w:rsid w:val="00F86798"/>
    <w:rsid w:val="00F8697E"/>
    <w:rsid w:val="00F86FB4"/>
    <w:rsid w:val="00F91DF8"/>
    <w:rsid w:val="00F93243"/>
    <w:rsid w:val="00F957A0"/>
    <w:rsid w:val="00F9666F"/>
    <w:rsid w:val="00FA1512"/>
    <w:rsid w:val="00FA17D4"/>
    <w:rsid w:val="00FA30F1"/>
    <w:rsid w:val="00FA4ED9"/>
    <w:rsid w:val="00FA6107"/>
    <w:rsid w:val="00FB070D"/>
    <w:rsid w:val="00FB0D1D"/>
    <w:rsid w:val="00FB1023"/>
    <w:rsid w:val="00FB2FBC"/>
    <w:rsid w:val="00FB3E31"/>
    <w:rsid w:val="00FB7884"/>
    <w:rsid w:val="00FB7B5F"/>
    <w:rsid w:val="00FB7D95"/>
    <w:rsid w:val="00FC37F5"/>
    <w:rsid w:val="00FC43E5"/>
    <w:rsid w:val="00FC6258"/>
    <w:rsid w:val="00FC78F1"/>
    <w:rsid w:val="00FC7B37"/>
    <w:rsid w:val="00FC7EB2"/>
    <w:rsid w:val="00FD2491"/>
    <w:rsid w:val="00FD369C"/>
    <w:rsid w:val="00FE0128"/>
    <w:rsid w:val="00FE67BA"/>
    <w:rsid w:val="00FE7A15"/>
    <w:rsid w:val="00FF0697"/>
    <w:rsid w:val="00FF0DE6"/>
    <w:rsid w:val="00FF1233"/>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nces.ed.gov/pubsearch/pubsinfo.asp?pubid=2010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64713-5DEB-49F6-8295-8E2FA5D4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15199</Words>
  <Characters>86640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2017-08-18T14:55:00Z</dcterms:created>
  <dcterms:modified xsi:type="dcterms:W3CDTF">2017-08-18T14:55:00Z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