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1E49" w14:textId="0883407B" w:rsidR="006A16C7" w:rsidRPr="00102CE8" w:rsidRDefault="00802CA8" w:rsidP="000B41AF">
      <w:pPr>
        <w:pStyle w:val="Footer"/>
        <w:tabs>
          <w:tab w:val="clear" w:pos="4320"/>
          <w:tab w:val="clear" w:pos="8640"/>
        </w:tabs>
        <w:spacing w:after="240" w:line="276" w:lineRule="auto"/>
        <w:jc w:val="both"/>
        <w:rPr>
          <w:rFonts w:asciiTheme="minorHAnsi" w:hAnsiTheme="minorHAnsi" w:cstheme="minorHAnsi"/>
          <w:sz w:val="24"/>
          <w:szCs w:val="24"/>
        </w:rPr>
      </w:pPr>
      <w:bookmarkStart w:id="0" w:name="_GoBack"/>
      <w:bookmarkEnd w:id="0"/>
      <w:r>
        <w:rPr>
          <w:rFonts w:asciiTheme="minorHAnsi" w:hAnsiTheme="minorHAnsi" w:cstheme="minorHAnsi"/>
          <w:sz w:val="24"/>
          <w:szCs w:val="24"/>
        </w:rPr>
        <w:t>June 1</w:t>
      </w:r>
      <w:r w:rsidR="00C40537">
        <w:rPr>
          <w:rFonts w:asciiTheme="minorHAnsi" w:hAnsiTheme="minorHAnsi" w:cstheme="minorHAnsi"/>
          <w:sz w:val="24"/>
          <w:szCs w:val="24"/>
        </w:rPr>
        <w:t>9</w:t>
      </w:r>
      <w:r w:rsidR="00660B1B">
        <w:rPr>
          <w:rFonts w:asciiTheme="minorHAnsi" w:hAnsiTheme="minorHAnsi" w:cstheme="minorHAnsi"/>
          <w:sz w:val="24"/>
          <w:szCs w:val="24"/>
        </w:rPr>
        <w:t>, 2018</w:t>
      </w:r>
    </w:p>
    <w:tbl>
      <w:tblPr>
        <w:tblW w:w="0" w:type="auto"/>
        <w:tblLook w:val="0000" w:firstRow="0" w:lastRow="0" w:firstColumn="0" w:lastColumn="0" w:noHBand="0" w:noVBand="0"/>
      </w:tblPr>
      <w:tblGrid>
        <w:gridCol w:w="3888"/>
        <w:gridCol w:w="5022"/>
      </w:tblGrid>
      <w:tr w:rsidR="006A16C7" w:rsidRPr="00102CE8" w14:paraId="1A5DAEF0" w14:textId="77777777" w:rsidTr="00A83ADB">
        <w:trPr>
          <w:trHeight w:val="747"/>
        </w:trPr>
        <w:tc>
          <w:tcPr>
            <w:tcW w:w="3888" w:type="dxa"/>
          </w:tcPr>
          <w:p w14:paraId="76F49F92"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NOTE TO THE </w:t>
            </w:r>
            <w:r w:rsidR="00D41DF1" w:rsidRPr="00102CE8">
              <w:rPr>
                <w:rFonts w:asciiTheme="minorHAnsi" w:hAnsiTheme="minorHAnsi" w:cstheme="minorHAnsi"/>
                <w:sz w:val="24"/>
                <w:szCs w:val="24"/>
              </w:rPr>
              <w:t>REVIEWER OF:</w:t>
            </w:r>
          </w:p>
          <w:p w14:paraId="219AA811" w14:textId="77777777" w:rsidR="006A16C7" w:rsidRPr="00102CE8" w:rsidRDefault="006A16C7" w:rsidP="000B41AF">
            <w:pPr>
              <w:spacing w:line="276" w:lineRule="auto"/>
              <w:rPr>
                <w:rFonts w:asciiTheme="minorHAnsi" w:hAnsiTheme="minorHAnsi" w:cstheme="minorHAnsi"/>
                <w:sz w:val="24"/>
                <w:szCs w:val="24"/>
              </w:rPr>
            </w:pPr>
          </w:p>
        </w:tc>
        <w:tc>
          <w:tcPr>
            <w:tcW w:w="5022" w:type="dxa"/>
          </w:tcPr>
          <w:p w14:paraId="452E49C0"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OMB CLEARANCE 1220-0141</w:t>
            </w:r>
          </w:p>
          <w:p w14:paraId="1BD01FB9" w14:textId="77777777" w:rsidR="006A16C7" w:rsidRPr="00102CE8" w:rsidRDefault="001C78C3"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“Cognitive and Psychological Research”</w:t>
            </w:r>
          </w:p>
        </w:tc>
      </w:tr>
      <w:tr w:rsidR="006A16C7" w:rsidRPr="00102CE8" w14:paraId="4B97BBE1" w14:textId="77777777" w:rsidTr="00A83ADB">
        <w:trPr>
          <w:trHeight w:val="1080"/>
        </w:trPr>
        <w:tc>
          <w:tcPr>
            <w:tcW w:w="3888" w:type="dxa"/>
          </w:tcPr>
          <w:p w14:paraId="170CDF8B" w14:textId="77777777" w:rsidR="006A16C7" w:rsidRPr="00102CE8" w:rsidRDefault="006A16C7"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FROM:</w:t>
            </w:r>
          </w:p>
        </w:tc>
        <w:tc>
          <w:tcPr>
            <w:tcW w:w="5022" w:type="dxa"/>
          </w:tcPr>
          <w:p w14:paraId="63E88D5E" w14:textId="2E7792BA" w:rsidR="006A16C7" w:rsidRPr="00102CE8" w:rsidRDefault="008B482E" w:rsidP="000B41AF">
            <w:pPr>
              <w:spacing w:line="276" w:lineRule="auto"/>
              <w:rPr>
                <w:rFonts w:asciiTheme="minorHAnsi" w:hAnsiTheme="minorHAnsi" w:cstheme="minorHAnsi"/>
                <w:sz w:val="24"/>
                <w:szCs w:val="24"/>
              </w:rPr>
            </w:pPr>
            <w:r>
              <w:rPr>
                <w:rFonts w:asciiTheme="minorHAnsi" w:hAnsiTheme="minorHAnsi" w:cstheme="minorHAnsi"/>
                <w:sz w:val="24"/>
                <w:szCs w:val="24"/>
              </w:rPr>
              <w:t>Robin Kaplan</w:t>
            </w:r>
          </w:p>
          <w:p w14:paraId="6B843FFD"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Office of Survey Methods Research</w:t>
            </w:r>
          </w:p>
        </w:tc>
      </w:tr>
      <w:tr w:rsidR="006A16C7" w:rsidRPr="00102CE8" w14:paraId="4B00406C" w14:textId="77777777" w:rsidTr="00A83ADB">
        <w:trPr>
          <w:trHeight w:val="720"/>
        </w:trPr>
        <w:tc>
          <w:tcPr>
            <w:tcW w:w="3888" w:type="dxa"/>
          </w:tcPr>
          <w:p w14:paraId="170F8108" w14:textId="77777777" w:rsidR="006A16C7" w:rsidRPr="00102CE8" w:rsidRDefault="006A16C7"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SUBJECT:</w:t>
            </w:r>
          </w:p>
        </w:tc>
        <w:tc>
          <w:tcPr>
            <w:tcW w:w="5022" w:type="dxa"/>
          </w:tcPr>
          <w:p w14:paraId="48D5BEA9" w14:textId="5981B5DE" w:rsidR="006A16C7" w:rsidRPr="00102CE8" w:rsidRDefault="006A16C7" w:rsidP="00660B1B">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Submission of Materials for</w:t>
            </w:r>
            <w:r w:rsidR="00B9494F" w:rsidRPr="00102CE8">
              <w:rPr>
                <w:rFonts w:asciiTheme="minorHAnsi" w:hAnsiTheme="minorHAnsi" w:cstheme="minorHAnsi"/>
                <w:sz w:val="24"/>
                <w:szCs w:val="24"/>
              </w:rPr>
              <w:t xml:space="preserve"> </w:t>
            </w:r>
            <w:r w:rsidR="00660B1B">
              <w:rPr>
                <w:rFonts w:asciiTheme="minorHAnsi" w:hAnsiTheme="minorHAnsi" w:cstheme="minorHAnsi"/>
                <w:sz w:val="24"/>
                <w:szCs w:val="24"/>
              </w:rPr>
              <w:t xml:space="preserve">Subjective Burden Research </w:t>
            </w:r>
            <w:r w:rsidR="00387A5F" w:rsidRPr="00102CE8">
              <w:rPr>
                <w:rFonts w:asciiTheme="minorHAnsi" w:hAnsiTheme="minorHAnsi" w:cstheme="minorHAnsi"/>
                <w:sz w:val="24"/>
                <w:szCs w:val="24"/>
              </w:rPr>
              <w:t xml:space="preserve"> </w:t>
            </w:r>
          </w:p>
        </w:tc>
      </w:tr>
    </w:tbl>
    <w:p w14:paraId="63B43FB5" w14:textId="77777777" w:rsidR="006A16C7" w:rsidRPr="00102CE8" w:rsidRDefault="006A16C7" w:rsidP="000B41AF">
      <w:pPr>
        <w:tabs>
          <w:tab w:val="left" w:pos="720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Please accept the enclosed materials for approval under the OMB clearance package 1220-0141 “Cognitive and Psychological Research.” In accordance with our agreement with OMB, we are submitting a brief description of the study.</w:t>
      </w:r>
    </w:p>
    <w:p w14:paraId="14FCDFBE" w14:textId="2ECA033E" w:rsidR="006A16C7" w:rsidRPr="002A6234" w:rsidRDefault="006A16C7" w:rsidP="000B41AF">
      <w:pPr>
        <w:spacing w:after="240" w:line="276" w:lineRule="auto"/>
        <w:rPr>
          <w:rFonts w:asciiTheme="minorHAnsi" w:hAnsiTheme="minorHAnsi" w:cstheme="minorHAnsi"/>
          <w:sz w:val="24"/>
          <w:szCs w:val="24"/>
        </w:rPr>
      </w:pPr>
      <w:r w:rsidRPr="002A6234">
        <w:rPr>
          <w:rFonts w:asciiTheme="minorHAnsi" w:hAnsiTheme="minorHAnsi" w:cstheme="minorHAnsi"/>
          <w:sz w:val="24"/>
          <w:szCs w:val="24"/>
        </w:rPr>
        <w:t>The total estimated</w:t>
      </w:r>
      <w:r w:rsidRPr="002A6234">
        <w:rPr>
          <w:rFonts w:asciiTheme="minorHAnsi" w:hAnsiTheme="minorHAnsi" w:cstheme="minorHAnsi"/>
          <w:i/>
          <w:sz w:val="24"/>
          <w:szCs w:val="24"/>
        </w:rPr>
        <w:t xml:space="preserve"> </w:t>
      </w:r>
      <w:r w:rsidRPr="002A6234">
        <w:rPr>
          <w:rFonts w:asciiTheme="minorHAnsi" w:hAnsiTheme="minorHAnsi" w:cstheme="minorHAnsi"/>
          <w:sz w:val="24"/>
          <w:szCs w:val="24"/>
        </w:rPr>
        <w:t xml:space="preserve">respondent burden for this study is </w:t>
      </w:r>
      <w:r w:rsidR="00EB5FF7">
        <w:rPr>
          <w:rFonts w:asciiTheme="minorHAnsi" w:hAnsiTheme="minorHAnsi" w:cstheme="minorHAnsi"/>
          <w:sz w:val="24"/>
          <w:szCs w:val="24"/>
        </w:rPr>
        <w:t>4</w:t>
      </w:r>
      <w:r w:rsidR="005B7044">
        <w:rPr>
          <w:rFonts w:asciiTheme="minorHAnsi" w:hAnsiTheme="minorHAnsi" w:cstheme="minorHAnsi"/>
          <w:sz w:val="24"/>
          <w:szCs w:val="24"/>
        </w:rPr>
        <w:t>26</w:t>
      </w:r>
      <w:r w:rsidRPr="00F91DB0">
        <w:rPr>
          <w:rFonts w:asciiTheme="minorHAnsi" w:hAnsiTheme="minorHAnsi" w:cstheme="minorHAnsi"/>
          <w:sz w:val="24"/>
          <w:szCs w:val="24"/>
        </w:rPr>
        <w:t xml:space="preserve"> hours</w:t>
      </w:r>
      <w:r w:rsidR="00F91DB0" w:rsidRPr="00F91DB0">
        <w:rPr>
          <w:rFonts w:asciiTheme="minorHAnsi" w:hAnsiTheme="minorHAnsi" w:cstheme="minorHAnsi"/>
          <w:sz w:val="24"/>
          <w:szCs w:val="24"/>
        </w:rPr>
        <w:t>.</w:t>
      </w:r>
    </w:p>
    <w:p w14:paraId="44203F75" w14:textId="23A66CDB" w:rsidR="006A16C7" w:rsidRPr="00102CE8" w:rsidRDefault="006A16C7" w:rsidP="000B41AF">
      <w:pPr>
        <w:spacing w:after="240" w:line="276" w:lineRule="auto"/>
        <w:rPr>
          <w:rFonts w:asciiTheme="minorHAnsi" w:hAnsiTheme="minorHAnsi" w:cstheme="minorHAnsi"/>
          <w:sz w:val="24"/>
          <w:szCs w:val="24"/>
        </w:rPr>
      </w:pPr>
      <w:r w:rsidRPr="002A6234">
        <w:rPr>
          <w:rFonts w:asciiTheme="minorHAnsi" w:hAnsiTheme="minorHAnsi" w:cstheme="minorHAnsi"/>
          <w:sz w:val="24"/>
          <w:szCs w:val="24"/>
        </w:rPr>
        <w:t xml:space="preserve">If there are any questions regarding this project, please contact </w:t>
      </w:r>
      <w:r w:rsidR="008B482E">
        <w:rPr>
          <w:rFonts w:asciiTheme="minorHAnsi" w:hAnsiTheme="minorHAnsi" w:cstheme="minorHAnsi"/>
          <w:sz w:val="24"/>
          <w:szCs w:val="24"/>
        </w:rPr>
        <w:t xml:space="preserve">Robin Kaplan </w:t>
      </w:r>
      <w:r w:rsidR="00387A5F" w:rsidRPr="00102CE8">
        <w:rPr>
          <w:rFonts w:asciiTheme="minorHAnsi" w:hAnsiTheme="minorHAnsi" w:cstheme="minorHAnsi"/>
          <w:sz w:val="24"/>
          <w:szCs w:val="24"/>
        </w:rPr>
        <w:t>at 202-691-7</w:t>
      </w:r>
      <w:r w:rsidR="008B482E">
        <w:rPr>
          <w:rFonts w:asciiTheme="minorHAnsi" w:hAnsiTheme="minorHAnsi" w:cstheme="minorHAnsi"/>
          <w:sz w:val="24"/>
          <w:szCs w:val="24"/>
        </w:rPr>
        <w:t>383</w:t>
      </w:r>
      <w:r w:rsidRPr="00102CE8">
        <w:rPr>
          <w:rFonts w:asciiTheme="minorHAnsi" w:hAnsiTheme="minorHAnsi" w:cstheme="minorHAnsi"/>
          <w:sz w:val="24"/>
          <w:szCs w:val="24"/>
        </w:rPr>
        <w:t>.</w:t>
      </w:r>
    </w:p>
    <w:p w14:paraId="242F57A1" w14:textId="77777777" w:rsidR="006A16C7" w:rsidRPr="00102CE8" w:rsidRDefault="006A16C7" w:rsidP="000B41AF">
      <w:pPr>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br w:type="page"/>
      </w:r>
    </w:p>
    <w:p w14:paraId="29B3E6D6" w14:textId="0B3625B5" w:rsidR="00E01250" w:rsidRPr="00A71073" w:rsidRDefault="006A16C7" w:rsidP="00FA6492">
      <w:pPr>
        <w:pStyle w:val="BodyText"/>
        <w:numPr>
          <w:ilvl w:val="0"/>
          <w:numId w:val="1"/>
        </w:numPr>
        <w:spacing w:after="240" w:line="276" w:lineRule="auto"/>
        <w:ind w:left="0" w:right="990" w:firstLine="0"/>
        <w:jc w:val="both"/>
        <w:rPr>
          <w:rFonts w:asciiTheme="minorHAnsi" w:hAnsiTheme="minorHAnsi" w:cstheme="minorHAnsi"/>
          <w:b/>
          <w:sz w:val="24"/>
          <w:szCs w:val="24"/>
        </w:rPr>
      </w:pPr>
      <w:r w:rsidRPr="00102CE8">
        <w:rPr>
          <w:rFonts w:asciiTheme="minorHAnsi" w:hAnsiTheme="minorHAnsi" w:cstheme="minorHAnsi"/>
          <w:b/>
          <w:sz w:val="24"/>
          <w:szCs w:val="24"/>
        </w:rPr>
        <w:lastRenderedPageBreak/>
        <w:t>Introduction</w:t>
      </w:r>
    </w:p>
    <w:p w14:paraId="7C47341D" w14:textId="0EDC869B" w:rsidR="00410066" w:rsidRDefault="00E01250" w:rsidP="00E01250">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Respondent burden in the federal government is often defined </w:t>
      </w:r>
      <w:r w:rsidRPr="00E01250">
        <w:rPr>
          <w:rFonts w:asciiTheme="minorHAnsi" w:hAnsiTheme="minorHAnsi" w:cstheme="minorHAnsi"/>
          <w:sz w:val="24"/>
          <w:szCs w:val="24"/>
        </w:rPr>
        <w:t xml:space="preserve">as the time it takes to complete a survey, which can include survey length, number of questions, </w:t>
      </w:r>
      <w:r w:rsidR="00373B19">
        <w:rPr>
          <w:rFonts w:asciiTheme="minorHAnsi" w:hAnsiTheme="minorHAnsi" w:cstheme="minorHAnsi"/>
          <w:sz w:val="24"/>
          <w:szCs w:val="24"/>
        </w:rPr>
        <w:t>as well as</w:t>
      </w:r>
      <w:r w:rsidRPr="00E01250">
        <w:rPr>
          <w:rFonts w:asciiTheme="minorHAnsi" w:hAnsiTheme="minorHAnsi" w:cstheme="minorHAnsi"/>
          <w:sz w:val="24"/>
          <w:szCs w:val="24"/>
        </w:rPr>
        <w:t xml:space="preserve"> the time spent reading complex instructions, gathering </w:t>
      </w:r>
      <w:r>
        <w:rPr>
          <w:rFonts w:asciiTheme="minorHAnsi" w:hAnsiTheme="minorHAnsi" w:cstheme="minorHAnsi"/>
          <w:sz w:val="24"/>
          <w:szCs w:val="24"/>
        </w:rPr>
        <w:t>and</w:t>
      </w:r>
      <w:r w:rsidRPr="00E01250">
        <w:rPr>
          <w:rFonts w:asciiTheme="minorHAnsi" w:hAnsiTheme="minorHAnsi" w:cstheme="minorHAnsi"/>
          <w:sz w:val="24"/>
          <w:szCs w:val="24"/>
        </w:rPr>
        <w:t xml:space="preserve"> e</w:t>
      </w:r>
      <w:r>
        <w:rPr>
          <w:rFonts w:asciiTheme="minorHAnsi" w:hAnsiTheme="minorHAnsi" w:cstheme="minorHAnsi"/>
          <w:sz w:val="24"/>
          <w:szCs w:val="24"/>
        </w:rPr>
        <w:t xml:space="preserve">ntering data, and reviewing it (Paperwork Reduction Act Guide, 2011). </w:t>
      </w:r>
      <w:r w:rsidRPr="00E01250">
        <w:rPr>
          <w:rFonts w:asciiTheme="minorHAnsi" w:hAnsiTheme="minorHAnsi" w:cstheme="minorHAnsi"/>
          <w:sz w:val="24"/>
          <w:szCs w:val="24"/>
        </w:rPr>
        <w:t xml:space="preserve">These are considered "objective" measures of respondent burden - they exist independently of </w:t>
      </w:r>
      <w:r>
        <w:rPr>
          <w:rFonts w:asciiTheme="minorHAnsi" w:hAnsiTheme="minorHAnsi" w:cstheme="minorHAnsi"/>
          <w:sz w:val="24"/>
          <w:szCs w:val="24"/>
        </w:rPr>
        <w:t>respondents’</w:t>
      </w:r>
      <w:r w:rsidRPr="00E01250">
        <w:rPr>
          <w:rFonts w:asciiTheme="minorHAnsi" w:hAnsiTheme="minorHAnsi" w:cstheme="minorHAnsi"/>
          <w:sz w:val="24"/>
          <w:szCs w:val="24"/>
        </w:rPr>
        <w:t xml:space="preserve"> perceptions of the survey.</w:t>
      </w:r>
      <w:r>
        <w:rPr>
          <w:rFonts w:asciiTheme="minorHAnsi" w:hAnsiTheme="minorHAnsi" w:cstheme="minorHAnsi"/>
          <w:sz w:val="24"/>
          <w:szCs w:val="24"/>
        </w:rPr>
        <w:t xml:space="preserve"> </w:t>
      </w:r>
      <w:r w:rsidRPr="00E01250">
        <w:rPr>
          <w:rFonts w:asciiTheme="minorHAnsi" w:hAnsiTheme="minorHAnsi" w:cstheme="minorHAnsi"/>
          <w:sz w:val="24"/>
          <w:szCs w:val="24"/>
        </w:rPr>
        <w:t>But another aspect of burden has to do with participants' subjective appraisals of the survey, such as level of effort, interest, or sensitivity of the questions</w:t>
      </w:r>
      <w:r w:rsidR="00777346">
        <w:rPr>
          <w:rFonts w:asciiTheme="minorHAnsi" w:hAnsiTheme="minorHAnsi" w:cstheme="minorHAnsi"/>
          <w:sz w:val="24"/>
          <w:szCs w:val="24"/>
        </w:rPr>
        <w:t xml:space="preserve"> (e.g.,</w:t>
      </w:r>
      <w:r w:rsidR="00483C65" w:rsidRPr="00483C65">
        <w:rPr>
          <w:rFonts w:asciiTheme="minorHAnsi" w:hAnsiTheme="minorHAnsi" w:cstheme="minorHAnsi"/>
          <w:sz w:val="24"/>
          <w:szCs w:val="24"/>
        </w:rPr>
        <w:t xml:space="preserve"> Fricker, </w:t>
      </w:r>
      <w:r w:rsidR="00777346">
        <w:rPr>
          <w:rFonts w:asciiTheme="minorHAnsi" w:hAnsiTheme="minorHAnsi" w:cstheme="minorHAnsi"/>
          <w:sz w:val="24"/>
          <w:szCs w:val="24"/>
        </w:rPr>
        <w:t xml:space="preserve">Yan, </w:t>
      </w:r>
      <w:r w:rsidR="00483C65" w:rsidRPr="00483C65">
        <w:rPr>
          <w:rFonts w:asciiTheme="minorHAnsi" w:hAnsiTheme="minorHAnsi" w:cstheme="minorHAnsi"/>
          <w:sz w:val="24"/>
          <w:szCs w:val="24"/>
        </w:rPr>
        <w:t>&amp; Tsai, 20</w:t>
      </w:r>
      <w:r w:rsidR="00483C65">
        <w:rPr>
          <w:rFonts w:asciiTheme="minorHAnsi" w:hAnsiTheme="minorHAnsi" w:cstheme="minorHAnsi"/>
          <w:sz w:val="24"/>
          <w:szCs w:val="24"/>
        </w:rPr>
        <w:t>14</w:t>
      </w:r>
      <w:r>
        <w:rPr>
          <w:rFonts w:asciiTheme="minorHAnsi" w:hAnsiTheme="minorHAnsi" w:cstheme="minorHAnsi"/>
          <w:sz w:val="24"/>
          <w:szCs w:val="24"/>
        </w:rPr>
        <w:t xml:space="preserve">; Bradburn, 1978). </w:t>
      </w:r>
      <w:r w:rsidR="0040217D">
        <w:rPr>
          <w:rFonts w:asciiTheme="minorHAnsi" w:hAnsiTheme="minorHAnsi" w:cstheme="minorHAnsi"/>
          <w:sz w:val="24"/>
          <w:szCs w:val="24"/>
        </w:rPr>
        <w:t>Many federal surveys, including the American Community Survey (</w:t>
      </w:r>
      <w:r w:rsidR="00410066">
        <w:rPr>
          <w:rFonts w:asciiTheme="minorHAnsi" w:hAnsiTheme="minorHAnsi" w:cstheme="minorHAnsi"/>
          <w:sz w:val="24"/>
          <w:szCs w:val="24"/>
        </w:rPr>
        <w:t>ACS</w:t>
      </w:r>
      <w:r w:rsidR="006B308C">
        <w:rPr>
          <w:rFonts w:asciiTheme="minorHAnsi" w:hAnsiTheme="minorHAnsi" w:cstheme="minorHAnsi"/>
          <w:sz w:val="24"/>
          <w:szCs w:val="24"/>
        </w:rPr>
        <w:t>) (</w:t>
      </w:r>
      <w:r w:rsidR="0040217D">
        <w:rPr>
          <w:rFonts w:asciiTheme="minorHAnsi" w:hAnsiTheme="minorHAnsi" w:cstheme="minorHAnsi"/>
          <w:sz w:val="24"/>
          <w:szCs w:val="24"/>
        </w:rPr>
        <w:t xml:space="preserve">e.g., Holzberg et al., 2018) and the Consumer Expenditure </w:t>
      </w:r>
      <w:r w:rsidR="00410066">
        <w:rPr>
          <w:rFonts w:asciiTheme="minorHAnsi" w:hAnsiTheme="minorHAnsi" w:cstheme="minorHAnsi"/>
          <w:sz w:val="24"/>
          <w:szCs w:val="24"/>
        </w:rPr>
        <w:t xml:space="preserve">(CE) </w:t>
      </w:r>
      <w:r w:rsidR="0040217D">
        <w:rPr>
          <w:rFonts w:asciiTheme="minorHAnsi" w:hAnsiTheme="minorHAnsi" w:cstheme="minorHAnsi"/>
          <w:sz w:val="24"/>
          <w:szCs w:val="24"/>
        </w:rPr>
        <w:t xml:space="preserve">survey (e.g., Fricker et al., 2014) have been exploring </w:t>
      </w:r>
      <w:r w:rsidR="00E56DB3">
        <w:rPr>
          <w:rFonts w:asciiTheme="minorHAnsi" w:hAnsiTheme="minorHAnsi" w:cstheme="minorHAnsi"/>
          <w:sz w:val="24"/>
          <w:szCs w:val="24"/>
        </w:rPr>
        <w:t>measurement of</w:t>
      </w:r>
      <w:r w:rsidR="0040217D">
        <w:rPr>
          <w:rFonts w:asciiTheme="minorHAnsi" w:hAnsiTheme="minorHAnsi" w:cstheme="minorHAnsi"/>
          <w:sz w:val="24"/>
          <w:szCs w:val="24"/>
        </w:rPr>
        <w:t xml:space="preserve"> subjective burden and how it may affect response rates and data quality, but subjective burden remains an understudied topic in federal surveys.</w:t>
      </w:r>
      <w:r w:rsidR="00410066">
        <w:rPr>
          <w:rFonts w:asciiTheme="minorHAnsi" w:hAnsiTheme="minorHAnsi" w:cstheme="minorHAnsi"/>
          <w:sz w:val="24"/>
          <w:szCs w:val="24"/>
        </w:rPr>
        <w:t xml:space="preserve"> </w:t>
      </w:r>
      <w:r w:rsidR="00373B19">
        <w:rPr>
          <w:rFonts w:asciiTheme="minorHAnsi" w:hAnsiTheme="minorHAnsi" w:cstheme="minorHAnsi"/>
          <w:sz w:val="24"/>
          <w:szCs w:val="24"/>
        </w:rPr>
        <w:t>In addition, m</w:t>
      </w:r>
      <w:r w:rsidR="00410066">
        <w:rPr>
          <w:rFonts w:asciiTheme="minorHAnsi" w:hAnsiTheme="minorHAnsi" w:cstheme="minorHAnsi"/>
          <w:sz w:val="24"/>
          <w:szCs w:val="24"/>
        </w:rPr>
        <w:t>any federal surveys also ask for proxy reports, including the Current Population Survey (CPS), CE, and ACS</w:t>
      </w:r>
      <w:r w:rsidR="00373B19">
        <w:rPr>
          <w:rFonts w:asciiTheme="minorHAnsi" w:hAnsiTheme="minorHAnsi" w:cstheme="minorHAnsi"/>
          <w:sz w:val="24"/>
          <w:szCs w:val="24"/>
        </w:rPr>
        <w:t xml:space="preserve">, </w:t>
      </w:r>
      <w:r w:rsidR="00410066">
        <w:rPr>
          <w:rFonts w:asciiTheme="minorHAnsi" w:hAnsiTheme="minorHAnsi" w:cstheme="minorHAnsi"/>
          <w:sz w:val="24"/>
          <w:szCs w:val="24"/>
        </w:rPr>
        <w:t>where one member of the household reports for other household members, but</w:t>
      </w:r>
      <w:r w:rsidR="00373B19">
        <w:rPr>
          <w:rFonts w:asciiTheme="minorHAnsi" w:hAnsiTheme="minorHAnsi" w:cstheme="minorHAnsi"/>
          <w:sz w:val="24"/>
          <w:szCs w:val="24"/>
        </w:rPr>
        <w:t xml:space="preserve"> even less</w:t>
      </w:r>
      <w:r w:rsidR="00410066">
        <w:rPr>
          <w:rFonts w:asciiTheme="minorHAnsi" w:hAnsiTheme="minorHAnsi" w:cstheme="minorHAnsi"/>
          <w:sz w:val="24"/>
          <w:szCs w:val="24"/>
        </w:rPr>
        <w:t xml:space="preserve"> is known about the impa</w:t>
      </w:r>
      <w:r w:rsidR="00B57069">
        <w:rPr>
          <w:rFonts w:asciiTheme="minorHAnsi" w:hAnsiTheme="minorHAnsi" w:cstheme="minorHAnsi"/>
          <w:sz w:val="24"/>
          <w:szCs w:val="24"/>
        </w:rPr>
        <w:t xml:space="preserve">ct of proxy-reporting on burden, as well as the potential burden imposed by the contact attempts of interviewers and the mailings sent out trying to reach respondents to participate in surveys. </w:t>
      </w:r>
    </w:p>
    <w:p w14:paraId="008024E7" w14:textId="423A1C67" w:rsidR="002852CB" w:rsidRDefault="0040217D" w:rsidP="004B761B">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Prior research shows that objective measures of burden are related to response</w:t>
      </w:r>
      <w:r w:rsidR="00E56DB3">
        <w:rPr>
          <w:rFonts w:asciiTheme="minorHAnsi" w:hAnsiTheme="minorHAnsi" w:cstheme="minorHAnsi"/>
          <w:sz w:val="24"/>
          <w:szCs w:val="24"/>
        </w:rPr>
        <w:t xml:space="preserve"> rates</w:t>
      </w:r>
      <w:r>
        <w:rPr>
          <w:rFonts w:asciiTheme="minorHAnsi" w:hAnsiTheme="minorHAnsi" w:cstheme="minorHAnsi"/>
          <w:sz w:val="24"/>
          <w:szCs w:val="24"/>
        </w:rPr>
        <w:t xml:space="preserve"> (e.g., Bradburn, 1978; Rolstad et al., 2011; Crawford et al., 2001). Subjective measures of burden </w:t>
      </w:r>
      <w:r w:rsidR="00E56DB3">
        <w:rPr>
          <w:rFonts w:asciiTheme="minorHAnsi" w:hAnsiTheme="minorHAnsi" w:cstheme="minorHAnsi"/>
          <w:sz w:val="24"/>
          <w:szCs w:val="24"/>
        </w:rPr>
        <w:t xml:space="preserve">have been linked </w:t>
      </w:r>
      <w:r>
        <w:rPr>
          <w:rFonts w:asciiTheme="minorHAnsi" w:hAnsiTheme="minorHAnsi" w:cstheme="minorHAnsi"/>
          <w:sz w:val="24"/>
          <w:szCs w:val="24"/>
        </w:rPr>
        <w:t>to data quality, attrition rates in longitudinal surveys, and feelings of survey fatigue (e.g., Rolstad et al., 2011; Fricker et al., 2014). Thus, both objective and subjective measures of burden may have effects on survey outcomes, but few studies have explored both types of burden in a single study to better understand the uniq</w:t>
      </w:r>
      <w:r w:rsidR="00E56DB3">
        <w:rPr>
          <w:rFonts w:asciiTheme="minorHAnsi" w:hAnsiTheme="minorHAnsi" w:cstheme="minorHAnsi"/>
          <w:sz w:val="24"/>
          <w:szCs w:val="24"/>
        </w:rPr>
        <w:t>ue contributions each may have. As such, t</w:t>
      </w:r>
      <w:r w:rsidR="002852CB">
        <w:rPr>
          <w:rFonts w:asciiTheme="minorHAnsi" w:hAnsiTheme="minorHAnsi" w:cstheme="minorHAnsi"/>
          <w:sz w:val="24"/>
          <w:szCs w:val="24"/>
        </w:rPr>
        <w:t>he goals of this research are as follows:</w:t>
      </w:r>
    </w:p>
    <w:p w14:paraId="54B15F5B" w14:textId="2BBB4381" w:rsidR="002852CB" w:rsidRDefault="002852CB" w:rsidP="002852CB">
      <w:pPr>
        <w:pStyle w:val="BodyText"/>
        <w:numPr>
          <w:ilvl w:val="0"/>
          <w:numId w:val="45"/>
        </w:numPr>
        <w:spacing w:after="240" w:line="276" w:lineRule="auto"/>
        <w:rPr>
          <w:rFonts w:asciiTheme="minorHAnsi" w:hAnsiTheme="minorHAnsi" w:cstheme="minorHAnsi"/>
          <w:sz w:val="24"/>
          <w:szCs w:val="24"/>
        </w:rPr>
      </w:pPr>
      <w:r>
        <w:rPr>
          <w:rFonts w:asciiTheme="minorHAnsi" w:hAnsiTheme="minorHAnsi" w:cstheme="minorHAnsi"/>
          <w:sz w:val="24"/>
          <w:szCs w:val="24"/>
        </w:rPr>
        <w:t>To</w:t>
      </w:r>
      <w:r w:rsidR="0040217D">
        <w:rPr>
          <w:rFonts w:asciiTheme="minorHAnsi" w:hAnsiTheme="minorHAnsi" w:cstheme="minorHAnsi"/>
          <w:sz w:val="24"/>
          <w:szCs w:val="24"/>
        </w:rPr>
        <w:t xml:space="preserve"> better understand respondents’ experience of objective and subjective levels of burden</w:t>
      </w:r>
      <w:r w:rsidR="00410066">
        <w:rPr>
          <w:rFonts w:asciiTheme="minorHAnsi" w:hAnsiTheme="minorHAnsi" w:cstheme="minorHAnsi"/>
          <w:sz w:val="24"/>
          <w:szCs w:val="24"/>
        </w:rPr>
        <w:t xml:space="preserve"> when reporting for themselves and reporting for others as a proxy</w:t>
      </w:r>
      <w:r w:rsidR="006B308C">
        <w:rPr>
          <w:rFonts w:asciiTheme="minorHAnsi" w:hAnsiTheme="minorHAnsi" w:cstheme="minorHAnsi"/>
          <w:sz w:val="24"/>
          <w:szCs w:val="24"/>
        </w:rPr>
        <w:t>.</w:t>
      </w:r>
    </w:p>
    <w:p w14:paraId="7D3E44B7" w14:textId="729EA9B7" w:rsidR="00410066" w:rsidRDefault="002852CB" w:rsidP="002852CB">
      <w:pPr>
        <w:pStyle w:val="BodyText"/>
        <w:numPr>
          <w:ilvl w:val="0"/>
          <w:numId w:val="45"/>
        </w:numPr>
        <w:spacing w:after="240" w:line="276" w:lineRule="auto"/>
        <w:rPr>
          <w:rFonts w:asciiTheme="minorHAnsi" w:hAnsiTheme="minorHAnsi" w:cstheme="minorHAnsi"/>
          <w:sz w:val="24"/>
          <w:szCs w:val="24"/>
        </w:rPr>
      </w:pPr>
      <w:r>
        <w:rPr>
          <w:rFonts w:asciiTheme="minorHAnsi" w:hAnsiTheme="minorHAnsi" w:cstheme="minorHAnsi"/>
          <w:sz w:val="24"/>
          <w:szCs w:val="24"/>
        </w:rPr>
        <w:t>H</w:t>
      </w:r>
      <w:r w:rsidR="0040217D">
        <w:rPr>
          <w:rFonts w:asciiTheme="minorHAnsi" w:hAnsiTheme="minorHAnsi" w:cstheme="minorHAnsi"/>
          <w:sz w:val="24"/>
          <w:szCs w:val="24"/>
        </w:rPr>
        <w:t xml:space="preserve">ow burden relates to data quality, attrition rates, </w:t>
      </w:r>
      <w:r w:rsidR="00410066">
        <w:rPr>
          <w:rFonts w:asciiTheme="minorHAnsi" w:hAnsiTheme="minorHAnsi" w:cstheme="minorHAnsi"/>
          <w:sz w:val="24"/>
          <w:szCs w:val="24"/>
        </w:rPr>
        <w:t xml:space="preserve">and </w:t>
      </w:r>
      <w:r w:rsidR="0040217D">
        <w:rPr>
          <w:rFonts w:asciiTheme="minorHAnsi" w:hAnsiTheme="minorHAnsi" w:cstheme="minorHAnsi"/>
          <w:sz w:val="24"/>
          <w:szCs w:val="24"/>
        </w:rPr>
        <w:t>memory for burden over time</w:t>
      </w:r>
      <w:r w:rsidR="004B761B">
        <w:rPr>
          <w:rFonts w:asciiTheme="minorHAnsi" w:hAnsiTheme="minorHAnsi" w:cstheme="minorHAnsi"/>
          <w:sz w:val="24"/>
          <w:szCs w:val="24"/>
        </w:rPr>
        <w:t xml:space="preserve">. </w:t>
      </w:r>
      <w:r w:rsidR="00410066">
        <w:rPr>
          <w:rFonts w:asciiTheme="minorHAnsi" w:hAnsiTheme="minorHAnsi" w:cstheme="minorHAnsi"/>
          <w:sz w:val="24"/>
          <w:szCs w:val="24"/>
        </w:rPr>
        <w:t>M</w:t>
      </w:r>
      <w:r w:rsidR="004B761B">
        <w:rPr>
          <w:rFonts w:asciiTheme="minorHAnsi" w:hAnsiTheme="minorHAnsi" w:cstheme="minorHAnsi"/>
          <w:sz w:val="24"/>
          <w:szCs w:val="24"/>
        </w:rPr>
        <w:t>emory for how burdensome a survey may be a more important predictive factor of</w:t>
      </w:r>
      <w:r w:rsidR="0040217D">
        <w:rPr>
          <w:rFonts w:asciiTheme="minorHAnsi" w:hAnsiTheme="minorHAnsi" w:cstheme="minorHAnsi"/>
          <w:sz w:val="24"/>
          <w:szCs w:val="24"/>
        </w:rPr>
        <w:t xml:space="preserve"> future participation in federal surveys</w:t>
      </w:r>
      <w:r w:rsidR="004B761B">
        <w:rPr>
          <w:rFonts w:asciiTheme="minorHAnsi" w:hAnsiTheme="minorHAnsi" w:cstheme="minorHAnsi"/>
          <w:sz w:val="24"/>
          <w:szCs w:val="24"/>
        </w:rPr>
        <w:t xml:space="preserve"> than the actual burden experienced at the time of taking the survey</w:t>
      </w:r>
      <w:r w:rsidR="0040217D">
        <w:rPr>
          <w:rFonts w:asciiTheme="minorHAnsi" w:hAnsiTheme="minorHAnsi" w:cstheme="minorHAnsi"/>
          <w:sz w:val="24"/>
          <w:szCs w:val="24"/>
        </w:rPr>
        <w:t xml:space="preserve"> (</w:t>
      </w:r>
      <w:r w:rsidR="00E364C7">
        <w:rPr>
          <w:rFonts w:asciiTheme="minorHAnsi" w:hAnsiTheme="minorHAnsi" w:cstheme="minorHAnsi"/>
          <w:sz w:val="24"/>
          <w:szCs w:val="24"/>
        </w:rPr>
        <w:t>Wirtz et al., 2003</w:t>
      </w:r>
      <w:r w:rsidR="0040217D">
        <w:rPr>
          <w:rFonts w:asciiTheme="minorHAnsi" w:hAnsiTheme="minorHAnsi" w:cstheme="minorHAnsi"/>
          <w:sz w:val="24"/>
          <w:szCs w:val="24"/>
        </w:rPr>
        <w:t>)</w:t>
      </w:r>
      <w:r w:rsidR="00410066">
        <w:rPr>
          <w:rFonts w:asciiTheme="minorHAnsi" w:hAnsiTheme="minorHAnsi" w:cstheme="minorHAnsi"/>
          <w:sz w:val="24"/>
          <w:szCs w:val="24"/>
        </w:rPr>
        <w:t>, but no research to our knowledge has assessed memory for burden over time in a longitudinal survey and its impact on response rates</w:t>
      </w:r>
      <w:r w:rsidR="0040217D">
        <w:rPr>
          <w:rFonts w:asciiTheme="minorHAnsi" w:hAnsiTheme="minorHAnsi" w:cstheme="minorHAnsi"/>
          <w:sz w:val="24"/>
          <w:szCs w:val="24"/>
        </w:rPr>
        <w:t>. With response rates declining (</w:t>
      </w:r>
      <w:r w:rsidR="005C6373">
        <w:rPr>
          <w:rFonts w:asciiTheme="minorHAnsi" w:hAnsiTheme="minorHAnsi" w:cstheme="minorHAnsi"/>
          <w:sz w:val="24"/>
          <w:szCs w:val="24"/>
        </w:rPr>
        <w:t>Miller, 2017</w:t>
      </w:r>
      <w:r w:rsidR="0040217D">
        <w:rPr>
          <w:rFonts w:asciiTheme="minorHAnsi" w:hAnsiTheme="minorHAnsi" w:cstheme="minorHAnsi"/>
          <w:sz w:val="24"/>
          <w:szCs w:val="24"/>
        </w:rPr>
        <w:t xml:space="preserve">), it is critical to better understand what causes respondent burden and how to ease respondent burden in the future, an important factor </w:t>
      </w:r>
      <w:r w:rsidR="00E56DB3">
        <w:rPr>
          <w:rFonts w:asciiTheme="minorHAnsi" w:hAnsiTheme="minorHAnsi" w:cstheme="minorHAnsi"/>
          <w:sz w:val="24"/>
          <w:szCs w:val="24"/>
        </w:rPr>
        <w:t>to both the mission of BLS and OMB.</w:t>
      </w:r>
      <w:r w:rsidR="005C6373">
        <w:rPr>
          <w:rFonts w:asciiTheme="minorHAnsi" w:hAnsiTheme="minorHAnsi" w:cstheme="minorHAnsi"/>
          <w:sz w:val="24"/>
          <w:szCs w:val="24"/>
        </w:rPr>
        <w:t xml:space="preserve"> </w:t>
      </w:r>
    </w:p>
    <w:p w14:paraId="00CA44AB" w14:textId="7F08A103" w:rsidR="002852CB" w:rsidRDefault="002852CB" w:rsidP="002852CB">
      <w:pPr>
        <w:pStyle w:val="BodyText"/>
        <w:numPr>
          <w:ilvl w:val="0"/>
          <w:numId w:val="45"/>
        </w:numPr>
        <w:spacing w:after="240" w:line="276" w:lineRule="auto"/>
        <w:rPr>
          <w:rFonts w:asciiTheme="minorHAnsi" w:hAnsiTheme="minorHAnsi" w:cstheme="minorHAnsi"/>
          <w:sz w:val="24"/>
          <w:szCs w:val="24"/>
        </w:rPr>
      </w:pPr>
      <w:r>
        <w:rPr>
          <w:rFonts w:asciiTheme="minorHAnsi" w:hAnsiTheme="minorHAnsi" w:cstheme="minorHAnsi"/>
          <w:sz w:val="24"/>
          <w:szCs w:val="24"/>
        </w:rPr>
        <w:lastRenderedPageBreak/>
        <w:t>To</w:t>
      </w:r>
      <w:r w:rsidR="00B57069">
        <w:rPr>
          <w:rFonts w:asciiTheme="minorHAnsi" w:hAnsiTheme="minorHAnsi" w:cstheme="minorHAnsi"/>
          <w:sz w:val="24"/>
          <w:szCs w:val="24"/>
        </w:rPr>
        <w:t xml:space="preserve"> explore the impact of respondents’</w:t>
      </w:r>
      <w:r w:rsidR="00410066">
        <w:rPr>
          <w:rFonts w:asciiTheme="minorHAnsi" w:hAnsiTheme="minorHAnsi" w:cstheme="minorHAnsi"/>
          <w:sz w:val="24"/>
          <w:szCs w:val="24"/>
        </w:rPr>
        <w:t xml:space="preserve"> interactions with the survey agent (e.g., number of contacts, frequency of the contact, an interviewer coming to your residence versus calling you, </w:t>
      </w:r>
      <w:r w:rsidR="00F27CA7">
        <w:rPr>
          <w:rFonts w:asciiTheme="minorHAnsi" w:hAnsiTheme="minorHAnsi" w:cstheme="minorHAnsi"/>
          <w:sz w:val="24"/>
          <w:szCs w:val="24"/>
        </w:rPr>
        <w:t>and the number of mailings received</w:t>
      </w:r>
      <w:r w:rsidR="00410066">
        <w:rPr>
          <w:rFonts w:asciiTheme="minorHAnsi" w:hAnsiTheme="minorHAnsi" w:cstheme="minorHAnsi"/>
          <w:sz w:val="24"/>
          <w:szCs w:val="24"/>
        </w:rPr>
        <w:t>. Using vignettes (</w:t>
      </w:r>
      <w:r w:rsidR="005B58F4">
        <w:rPr>
          <w:rFonts w:asciiTheme="minorHAnsi" w:hAnsiTheme="minorHAnsi" w:cstheme="minorHAnsi"/>
          <w:sz w:val="24"/>
          <w:szCs w:val="24"/>
        </w:rPr>
        <w:t>Alexander &amp; Becker, 1978</w:t>
      </w:r>
      <w:r w:rsidR="006C6ADA">
        <w:rPr>
          <w:rFonts w:asciiTheme="minorHAnsi" w:hAnsiTheme="minorHAnsi" w:cstheme="minorHAnsi"/>
          <w:sz w:val="24"/>
          <w:szCs w:val="24"/>
        </w:rPr>
        <w:t xml:space="preserve">; </w:t>
      </w:r>
      <w:r w:rsidR="006C6ADA" w:rsidRPr="006C6ADA">
        <w:rPr>
          <w:rFonts w:asciiTheme="minorHAnsi" w:hAnsiTheme="minorHAnsi" w:cstheme="minorHAnsi"/>
          <w:sz w:val="24"/>
          <w:szCs w:val="24"/>
        </w:rPr>
        <w:t>Atzmüller</w:t>
      </w:r>
      <w:r w:rsidR="006C6ADA">
        <w:rPr>
          <w:rFonts w:asciiTheme="minorHAnsi" w:hAnsiTheme="minorHAnsi" w:cstheme="minorHAnsi"/>
          <w:sz w:val="24"/>
          <w:szCs w:val="24"/>
        </w:rPr>
        <w:t xml:space="preserve"> &amp; Steiner, 2010</w:t>
      </w:r>
      <w:r w:rsidR="00410066">
        <w:rPr>
          <w:rFonts w:asciiTheme="minorHAnsi" w:hAnsiTheme="minorHAnsi" w:cstheme="minorHAnsi"/>
          <w:sz w:val="24"/>
          <w:szCs w:val="24"/>
        </w:rPr>
        <w:t xml:space="preserve">), an effective way to assess respondents’ reactions to hypothetical survey situations, we will aim to assess how </w:t>
      </w:r>
      <w:r w:rsidR="00E56DB3">
        <w:rPr>
          <w:rFonts w:asciiTheme="minorHAnsi" w:hAnsiTheme="minorHAnsi" w:cstheme="minorHAnsi"/>
          <w:sz w:val="24"/>
          <w:szCs w:val="24"/>
        </w:rPr>
        <w:t xml:space="preserve">issues of contact </w:t>
      </w:r>
      <w:r w:rsidR="00410066">
        <w:rPr>
          <w:rFonts w:asciiTheme="minorHAnsi" w:hAnsiTheme="minorHAnsi" w:cstheme="minorHAnsi"/>
          <w:sz w:val="24"/>
          <w:szCs w:val="24"/>
        </w:rPr>
        <w:t>may affect burden.</w:t>
      </w:r>
      <w:r w:rsidR="00CA6743">
        <w:rPr>
          <w:rFonts w:asciiTheme="minorHAnsi" w:hAnsiTheme="minorHAnsi" w:cstheme="minorHAnsi"/>
          <w:sz w:val="24"/>
          <w:szCs w:val="24"/>
        </w:rPr>
        <w:t xml:space="preserve"> </w:t>
      </w:r>
    </w:p>
    <w:p w14:paraId="13477388" w14:textId="7840F7DD" w:rsidR="00325C7B" w:rsidRDefault="002852CB" w:rsidP="002852CB">
      <w:pPr>
        <w:pStyle w:val="BodyText"/>
        <w:numPr>
          <w:ilvl w:val="0"/>
          <w:numId w:val="45"/>
        </w:numPr>
        <w:spacing w:after="240" w:line="276" w:lineRule="auto"/>
        <w:rPr>
          <w:rFonts w:asciiTheme="minorHAnsi" w:hAnsiTheme="minorHAnsi" w:cstheme="minorHAnsi"/>
          <w:sz w:val="24"/>
          <w:szCs w:val="24"/>
        </w:rPr>
      </w:pPr>
      <w:r>
        <w:rPr>
          <w:rFonts w:asciiTheme="minorHAnsi" w:hAnsiTheme="minorHAnsi" w:cstheme="minorHAnsi"/>
          <w:sz w:val="24"/>
          <w:szCs w:val="24"/>
        </w:rPr>
        <w:t>To explore how survey paradata that reflect objective burden,</w:t>
      </w:r>
      <w:r w:rsidR="00CA6743">
        <w:rPr>
          <w:rFonts w:asciiTheme="minorHAnsi" w:hAnsiTheme="minorHAnsi" w:cstheme="minorHAnsi"/>
          <w:sz w:val="24"/>
          <w:szCs w:val="24"/>
        </w:rPr>
        <w:t xml:space="preserve"> such as length of time spent completing the survey</w:t>
      </w:r>
      <w:r w:rsidR="00B57069">
        <w:rPr>
          <w:rFonts w:asciiTheme="minorHAnsi" w:hAnsiTheme="minorHAnsi" w:cstheme="minorHAnsi"/>
          <w:sz w:val="24"/>
          <w:szCs w:val="24"/>
        </w:rPr>
        <w:t xml:space="preserve"> instrument</w:t>
      </w:r>
      <w:r w:rsidR="00CA6743">
        <w:rPr>
          <w:rFonts w:asciiTheme="minorHAnsi" w:hAnsiTheme="minorHAnsi" w:cstheme="minorHAnsi"/>
          <w:sz w:val="24"/>
          <w:szCs w:val="24"/>
        </w:rPr>
        <w:t xml:space="preserve">, reading instructions, and completing tasks on different survey pages affect data quality metrics and interact with subjective reports of burden.  </w:t>
      </w:r>
    </w:p>
    <w:p w14:paraId="6F71C27B" w14:textId="5FAE732A" w:rsidR="002852CB" w:rsidRDefault="002852CB" w:rsidP="002852CB">
      <w:pPr>
        <w:pStyle w:val="BodyText"/>
        <w:numPr>
          <w:ilvl w:val="0"/>
          <w:numId w:val="45"/>
        </w:num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To assess how expectations of participating in a Low vs. High burden survey affect objective and subjective burden, memory for burden over time, completion and response rates, and overall experience with the surveys. </w:t>
      </w:r>
    </w:p>
    <w:p w14:paraId="36CA7092" w14:textId="4A19815B" w:rsidR="00D95A8C" w:rsidRDefault="006C6ADA" w:rsidP="00D95A8C">
      <w:pPr>
        <w:pStyle w:val="BodyText"/>
        <w:numPr>
          <w:ilvl w:val="0"/>
          <w:numId w:val="42"/>
        </w:num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In addition, we also have a secondary research question which will examine the qualifiers used in </w:t>
      </w:r>
      <w:r w:rsidR="00432DFD">
        <w:rPr>
          <w:rFonts w:asciiTheme="minorHAnsi" w:hAnsiTheme="minorHAnsi" w:cstheme="minorHAnsi"/>
          <w:sz w:val="24"/>
          <w:szCs w:val="24"/>
        </w:rPr>
        <w:t>the burden scales in this research</w:t>
      </w:r>
      <w:r>
        <w:rPr>
          <w:rFonts w:asciiTheme="minorHAnsi" w:hAnsiTheme="minorHAnsi" w:cstheme="minorHAnsi"/>
          <w:sz w:val="24"/>
          <w:szCs w:val="24"/>
        </w:rPr>
        <w:t xml:space="preserve">. There is consensus in the survey methods field </w:t>
      </w:r>
      <w:r w:rsidR="00E026D5">
        <w:rPr>
          <w:rFonts w:asciiTheme="minorHAnsi" w:hAnsiTheme="minorHAnsi" w:cstheme="minorHAnsi"/>
          <w:sz w:val="24"/>
          <w:szCs w:val="24"/>
        </w:rPr>
        <w:t xml:space="preserve">that using </w:t>
      </w:r>
      <w:r>
        <w:rPr>
          <w:rFonts w:asciiTheme="minorHAnsi" w:hAnsiTheme="minorHAnsi" w:cstheme="minorHAnsi"/>
          <w:sz w:val="24"/>
          <w:szCs w:val="24"/>
        </w:rPr>
        <w:t>5 to 7 point, full</w:t>
      </w:r>
      <w:r w:rsidR="00D95A8C">
        <w:rPr>
          <w:rFonts w:asciiTheme="minorHAnsi" w:hAnsiTheme="minorHAnsi" w:cstheme="minorHAnsi"/>
          <w:sz w:val="24"/>
          <w:szCs w:val="24"/>
        </w:rPr>
        <w:t>y</w:t>
      </w:r>
      <w:r>
        <w:rPr>
          <w:rFonts w:asciiTheme="minorHAnsi" w:hAnsiTheme="minorHAnsi" w:cstheme="minorHAnsi"/>
          <w:sz w:val="24"/>
          <w:szCs w:val="24"/>
        </w:rPr>
        <w:t xml:space="preserve"> labeled scales are the best practice (e.g., Krosnick, 1999). However, the </w:t>
      </w:r>
      <w:r w:rsidR="00D95A8C">
        <w:rPr>
          <w:rFonts w:asciiTheme="minorHAnsi" w:hAnsiTheme="minorHAnsi" w:cstheme="minorHAnsi"/>
          <w:sz w:val="24"/>
          <w:szCs w:val="24"/>
        </w:rPr>
        <w:t xml:space="preserve">vague </w:t>
      </w:r>
      <w:r>
        <w:rPr>
          <w:rFonts w:asciiTheme="minorHAnsi" w:hAnsiTheme="minorHAnsi" w:cstheme="minorHAnsi"/>
          <w:sz w:val="24"/>
          <w:szCs w:val="24"/>
        </w:rPr>
        <w:t xml:space="preserve">qualifiers (or labels) that are </w:t>
      </w:r>
      <w:r w:rsidR="00E026D5">
        <w:rPr>
          <w:rFonts w:asciiTheme="minorHAnsi" w:hAnsiTheme="minorHAnsi" w:cstheme="minorHAnsi"/>
          <w:sz w:val="24"/>
          <w:szCs w:val="24"/>
        </w:rPr>
        <w:t xml:space="preserve">often </w:t>
      </w:r>
      <w:r>
        <w:rPr>
          <w:rFonts w:asciiTheme="minorHAnsi" w:hAnsiTheme="minorHAnsi" w:cstheme="minorHAnsi"/>
          <w:sz w:val="24"/>
          <w:szCs w:val="24"/>
        </w:rPr>
        <w:t xml:space="preserve">used in the scales such </w:t>
      </w:r>
      <w:r w:rsidR="006B308C">
        <w:rPr>
          <w:rFonts w:asciiTheme="minorHAnsi" w:hAnsiTheme="minorHAnsi" w:cstheme="minorHAnsi"/>
          <w:sz w:val="24"/>
          <w:szCs w:val="24"/>
        </w:rPr>
        <w:t xml:space="preserve">as </w:t>
      </w:r>
      <w:r w:rsidR="00D95A8C">
        <w:rPr>
          <w:rFonts w:asciiTheme="minorHAnsi" w:hAnsiTheme="minorHAnsi" w:cstheme="minorHAnsi"/>
          <w:sz w:val="24"/>
          <w:szCs w:val="24"/>
        </w:rPr>
        <w:t>‘a lot’ vs. ‘somewhat’ do not have a strong consensus in the field as to whether these vague qualifiers produce the same distribution of responses (e.g., Al B</w:t>
      </w:r>
      <w:r w:rsidR="005E030F">
        <w:rPr>
          <w:rFonts w:asciiTheme="minorHAnsi" w:hAnsiTheme="minorHAnsi" w:cstheme="minorHAnsi"/>
          <w:sz w:val="24"/>
          <w:szCs w:val="24"/>
        </w:rPr>
        <w:t>ag</w:t>
      </w:r>
      <w:r w:rsidR="00D95A8C">
        <w:rPr>
          <w:rFonts w:asciiTheme="minorHAnsi" w:hAnsiTheme="minorHAnsi" w:cstheme="minorHAnsi"/>
          <w:sz w:val="24"/>
          <w:szCs w:val="24"/>
        </w:rPr>
        <w:t xml:space="preserve">hal, 2014, 2014). Despite the lack of consensus, very little research has examined the use of these </w:t>
      </w:r>
      <w:r w:rsidR="004B588F">
        <w:rPr>
          <w:rFonts w:asciiTheme="minorHAnsi" w:hAnsiTheme="minorHAnsi" w:cstheme="minorHAnsi"/>
          <w:sz w:val="24"/>
          <w:szCs w:val="24"/>
        </w:rPr>
        <w:t xml:space="preserve">vague qualifiers, which labels </w:t>
      </w:r>
      <w:r w:rsidR="00D95A8C">
        <w:rPr>
          <w:rFonts w:asciiTheme="minorHAnsi" w:hAnsiTheme="minorHAnsi" w:cstheme="minorHAnsi"/>
          <w:sz w:val="24"/>
          <w:szCs w:val="24"/>
        </w:rPr>
        <w:t xml:space="preserve">are reliable with one another, and </w:t>
      </w:r>
      <w:r w:rsidR="004B588F">
        <w:rPr>
          <w:rFonts w:asciiTheme="minorHAnsi" w:hAnsiTheme="minorHAnsi" w:cstheme="minorHAnsi"/>
          <w:sz w:val="24"/>
          <w:szCs w:val="24"/>
        </w:rPr>
        <w:t xml:space="preserve">best practices for which labels are recommended. </w:t>
      </w:r>
      <w:r w:rsidR="00D95A8C">
        <w:rPr>
          <w:rFonts w:asciiTheme="minorHAnsi" w:hAnsiTheme="minorHAnsi" w:cstheme="minorHAnsi"/>
          <w:sz w:val="24"/>
          <w:szCs w:val="24"/>
        </w:rPr>
        <w:t xml:space="preserve">Thus, for the burden items included in Surveys 1 and 2, participants will be randomly assigned to </w:t>
      </w:r>
      <w:r w:rsidR="004B588F">
        <w:rPr>
          <w:rFonts w:asciiTheme="minorHAnsi" w:hAnsiTheme="minorHAnsi" w:cstheme="minorHAnsi"/>
          <w:sz w:val="24"/>
          <w:szCs w:val="24"/>
        </w:rPr>
        <w:t xml:space="preserve">answer using </w:t>
      </w:r>
      <w:r w:rsidR="00D95A8C">
        <w:rPr>
          <w:rFonts w:asciiTheme="minorHAnsi" w:hAnsiTheme="minorHAnsi" w:cstheme="minorHAnsi"/>
          <w:sz w:val="24"/>
          <w:szCs w:val="24"/>
        </w:rPr>
        <w:t xml:space="preserve">response scales that contain the label ‘A lot’ vs. ‘Somewhat’ (See Attachments B and C for the exact items that this experiment pertains to).  Due to a lack of consensus in the survey methods literature on which qualifier is best to use, we plan to assess the distributions of our rating scales to determine whether responses differ based upon each of the qualifiers. </w:t>
      </w:r>
    </w:p>
    <w:p w14:paraId="7CCF6B54" w14:textId="721BFD1F" w:rsidR="006C6ADA" w:rsidRPr="00102CE8" w:rsidRDefault="006C6ADA" w:rsidP="006C6ADA">
      <w:pPr>
        <w:pStyle w:val="BodyText"/>
        <w:spacing w:after="240" w:line="276" w:lineRule="auto"/>
        <w:rPr>
          <w:rFonts w:asciiTheme="minorHAnsi" w:hAnsiTheme="minorHAnsi" w:cstheme="minorHAnsi"/>
          <w:sz w:val="24"/>
          <w:szCs w:val="24"/>
        </w:rPr>
      </w:pPr>
    </w:p>
    <w:p w14:paraId="3727D6DD" w14:textId="77777777" w:rsidR="000D61F7" w:rsidRPr="00102CE8" w:rsidRDefault="006A16C7" w:rsidP="000B41AF">
      <w:pPr>
        <w:pStyle w:val="BodyText"/>
        <w:numPr>
          <w:ilvl w:val="0"/>
          <w:numId w:val="1"/>
        </w:numPr>
        <w:spacing w:after="240" w:line="276" w:lineRule="auto"/>
        <w:ind w:left="0" w:right="1260" w:firstLine="0"/>
        <w:rPr>
          <w:rFonts w:asciiTheme="minorHAnsi" w:hAnsiTheme="minorHAnsi" w:cstheme="minorHAnsi"/>
          <w:b/>
          <w:sz w:val="24"/>
          <w:szCs w:val="24"/>
        </w:rPr>
      </w:pPr>
      <w:r w:rsidRPr="00102CE8">
        <w:rPr>
          <w:rFonts w:asciiTheme="minorHAnsi" w:hAnsiTheme="minorHAnsi" w:cstheme="minorHAnsi"/>
          <w:b/>
          <w:sz w:val="24"/>
          <w:szCs w:val="24"/>
        </w:rPr>
        <w:t xml:space="preserve">Methodology </w:t>
      </w:r>
    </w:p>
    <w:p w14:paraId="0992B21D" w14:textId="31832C0A" w:rsidR="00B57069" w:rsidRDefault="001E7163" w:rsidP="004B761B">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In this research, we will use o</w:t>
      </w:r>
      <w:r w:rsidR="00890061" w:rsidRPr="00102CE8">
        <w:rPr>
          <w:rFonts w:asciiTheme="minorHAnsi" w:hAnsiTheme="minorHAnsi" w:cstheme="minorHAnsi"/>
          <w:sz w:val="24"/>
          <w:szCs w:val="24"/>
        </w:rPr>
        <w:t xml:space="preserve">nline data collection </w:t>
      </w:r>
      <w:r>
        <w:rPr>
          <w:rFonts w:asciiTheme="minorHAnsi" w:hAnsiTheme="minorHAnsi" w:cstheme="minorHAnsi"/>
          <w:sz w:val="24"/>
          <w:szCs w:val="24"/>
        </w:rPr>
        <w:t>with participants recruited from Amazon.com’s Mechanical Turk</w:t>
      </w:r>
      <w:r w:rsidR="004B761B">
        <w:rPr>
          <w:rFonts w:asciiTheme="minorHAnsi" w:hAnsiTheme="minorHAnsi" w:cstheme="minorHAnsi"/>
          <w:sz w:val="24"/>
          <w:szCs w:val="24"/>
        </w:rPr>
        <w:t xml:space="preserve"> (</w:t>
      </w:r>
      <w:r w:rsidR="00FC3B6B">
        <w:rPr>
          <w:rFonts w:asciiTheme="minorHAnsi" w:hAnsiTheme="minorHAnsi" w:cstheme="minorHAnsi"/>
          <w:sz w:val="24"/>
          <w:szCs w:val="24"/>
        </w:rPr>
        <w:t xml:space="preserve">MTurk; </w:t>
      </w:r>
      <w:r w:rsidR="00D32A78" w:rsidRPr="00D32A78">
        <w:rPr>
          <w:rFonts w:asciiTheme="minorHAnsi" w:hAnsiTheme="minorHAnsi" w:cstheme="minorHAnsi"/>
          <w:sz w:val="24"/>
          <w:szCs w:val="24"/>
        </w:rPr>
        <w:t>Berinsky</w:t>
      </w:r>
      <w:r w:rsidR="00D32A78">
        <w:rPr>
          <w:rFonts w:asciiTheme="minorHAnsi" w:hAnsiTheme="minorHAnsi" w:cstheme="minorHAnsi"/>
          <w:sz w:val="24"/>
          <w:szCs w:val="24"/>
        </w:rPr>
        <w:t xml:space="preserve"> et al., 2012</w:t>
      </w:r>
      <w:r w:rsidR="00BD760E">
        <w:rPr>
          <w:rFonts w:asciiTheme="minorHAnsi" w:hAnsiTheme="minorHAnsi" w:cstheme="minorHAnsi"/>
          <w:sz w:val="24"/>
          <w:szCs w:val="24"/>
        </w:rPr>
        <w:t>; Paolacci &amp; Chandler, 2014</w:t>
      </w:r>
      <w:r w:rsidR="004B761B">
        <w:rPr>
          <w:rFonts w:asciiTheme="minorHAnsi" w:hAnsiTheme="minorHAnsi" w:cstheme="minorHAnsi"/>
          <w:sz w:val="24"/>
          <w:szCs w:val="24"/>
        </w:rPr>
        <w:t>)</w:t>
      </w:r>
      <w:r>
        <w:rPr>
          <w:rFonts w:asciiTheme="minorHAnsi" w:hAnsiTheme="minorHAnsi" w:cstheme="minorHAnsi"/>
          <w:sz w:val="24"/>
          <w:szCs w:val="24"/>
        </w:rPr>
        <w:t xml:space="preserve">. </w:t>
      </w:r>
      <w:r w:rsidR="00FC3B6B">
        <w:rPr>
          <w:rFonts w:asciiTheme="minorHAnsi" w:hAnsiTheme="minorHAnsi" w:cstheme="minorHAnsi"/>
          <w:sz w:val="24"/>
          <w:szCs w:val="24"/>
        </w:rPr>
        <w:t xml:space="preserve">MTurk is an online marketplace where individuals can sign up to participate in short online research tasks for nominal compensation. </w:t>
      </w:r>
      <w:r w:rsidR="00FC3B6B" w:rsidRPr="00FC3B6B">
        <w:rPr>
          <w:rFonts w:asciiTheme="minorHAnsi" w:hAnsiTheme="minorHAnsi" w:cstheme="minorHAnsi"/>
          <w:sz w:val="24"/>
          <w:szCs w:val="24"/>
        </w:rPr>
        <w:t xml:space="preserve">Although the Mechanical Turk population may not be representative of the entire U.S. population, studies using MTurk samples obtain similar results to surveys using population-based samples (e.g., Mullinix et al., 2016). Samples obtained from MTurk are more representative of the general population than other convenience samples, such as university students (e.g., Berinsky et al., 2012), </w:t>
      </w:r>
      <w:r w:rsidR="00B57069">
        <w:rPr>
          <w:rFonts w:asciiTheme="minorHAnsi" w:hAnsiTheme="minorHAnsi" w:cstheme="minorHAnsi"/>
          <w:sz w:val="24"/>
          <w:szCs w:val="24"/>
        </w:rPr>
        <w:t xml:space="preserve">or </w:t>
      </w:r>
      <w:r w:rsidR="00FC3B6B" w:rsidRPr="00FC3B6B">
        <w:rPr>
          <w:rFonts w:asciiTheme="minorHAnsi" w:hAnsiTheme="minorHAnsi" w:cstheme="minorHAnsi"/>
          <w:sz w:val="24"/>
          <w:szCs w:val="24"/>
        </w:rPr>
        <w:t>using the OSMR participant database</w:t>
      </w:r>
      <w:r w:rsidR="00B57069">
        <w:rPr>
          <w:rFonts w:asciiTheme="minorHAnsi" w:hAnsiTheme="minorHAnsi" w:cstheme="minorHAnsi"/>
          <w:sz w:val="24"/>
          <w:szCs w:val="24"/>
        </w:rPr>
        <w:t xml:space="preserve"> which only contains participants in the DC metro area</w:t>
      </w:r>
      <w:r w:rsidR="00FC3B6B">
        <w:rPr>
          <w:rFonts w:asciiTheme="minorHAnsi" w:hAnsiTheme="minorHAnsi" w:cstheme="minorHAnsi"/>
          <w:sz w:val="24"/>
          <w:szCs w:val="24"/>
        </w:rPr>
        <w:t xml:space="preserve">. Further, </w:t>
      </w:r>
      <w:r w:rsidR="00FC3B6B" w:rsidRPr="00FC3B6B">
        <w:rPr>
          <w:rFonts w:asciiTheme="minorHAnsi" w:hAnsiTheme="minorHAnsi" w:cstheme="minorHAnsi"/>
          <w:sz w:val="24"/>
          <w:szCs w:val="24"/>
        </w:rPr>
        <w:t xml:space="preserve">the results of this study are more concerned with internal validity than the representativeness of any one population. </w:t>
      </w:r>
      <w:r w:rsidR="00FC3B6B">
        <w:rPr>
          <w:rFonts w:asciiTheme="minorHAnsi" w:hAnsiTheme="minorHAnsi" w:cstheme="minorHAnsi"/>
          <w:sz w:val="24"/>
          <w:szCs w:val="24"/>
        </w:rPr>
        <w:t xml:space="preserve">However, the MTurk panel </w:t>
      </w:r>
      <w:r w:rsidR="00483C65">
        <w:rPr>
          <w:rFonts w:asciiTheme="minorHAnsi" w:hAnsiTheme="minorHAnsi" w:cstheme="minorHAnsi"/>
          <w:sz w:val="24"/>
          <w:szCs w:val="24"/>
        </w:rPr>
        <w:t xml:space="preserve">can be considered a proxy for BLS survey respondents because they consist of households that could be sampled in any BLS household survey. Amazon Mechanical Turk is </w:t>
      </w:r>
      <w:r w:rsidR="00E56DB3">
        <w:rPr>
          <w:rFonts w:asciiTheme="minorHAnsi" w:hAnsiTheme="minorHAnsi" w:cstheme="minorHAnsi"/>
          <w:sz w:val="24"/>
          <w:szCs w:val="24"/>
        </w:rPr>
        <w:t xml:space="preserve">also </w:t>
      </w:r>
      <w:r w:rsidR="00483C65">
        <w:rPr>
          <w:rFonts w:asciiTheme="minorHAnsi" w:hAnsiTheme="minorHAnsi" w:cstheme="minorHAnsi"/>
          <w:sz w:val="24"/>
          <w:szCs w:val="24"/>
        </w:rPr>
        <w:t xml:space="preserve">an efficient way to collect </w:t>
      </w:r>
      <w:r w:rsidR="00890061" w:rsidRPr="00102CE8">
        <w:rPr>
          <w:rFonts w:asciiTheme="minorHAnsi" w:hAnsiTheme="minorHAnsi" w:cstheme="minorHAnsi"/>
          <w:sz w:val="24"/>
          <w:szCs w:val="24"/>
        </w:rPr>
        <w:t>information fro</w:t>
      </w:r>
      <w:r w:rsidR="00483C65">
        <w:rPr>
          <w:rFonts w:asciiTheme="minorHAnsi" w:hAnsiTheme="minorHAnsi" w:cstheme="minorHAnsi"/>
          <w:sz w:val="24"/>
          <w:szCs w:val="24"/>
        </w:rPr>
        <w:t xml:space="preserve">m large numbers of participants. </w:t>
      </w:r>
      <w:r w:rsidR="00C4156D">
        <w:rPr>
          <w:rFonts w:asciiTheme="minorHAnsi" w:hAnsiTheme="minorHAnsi" w:cstheme="minorHAnsi"/>
          <w:sz w:val="24"/>
          <w:szCs w:val="24"/>
        </w:rPr>
        <w:t>I</w:t>
      </w:r>
      <w:r>
        <w:rPr>
          <w:rFonts w:asciiTheme="minorHAnsi" w:hAnsiTheme="minorHAnsi" w:cstheme="minorHAnsi"/>
          <w:sz w:val="24"/>
          <w:szCs w:val="24"/>
        </w:rPr>
        <w:t xml:space="preserve">t would be difficult to assess response rates with </w:t>
      </w:r>
      <w:r w:rsidR="00483C65">
        <w:rPr>
          <w:rFonts w:asciiTheme="minorHAnsi" w:hAnsiTheme="minorHAnsi" w:cstheme="minorHAnsi"/>
          <w:sz w:val="24"/>
          <w:szCs w:val="24"/>
        </w:rPr>
        <w:t xml:space="preserve">BLS household survey </w:t>
      </w:r>
      <w:r>
        <w:rPr>
          <w:rFonts w:asciiTheme="minorHAnsi" w:hAnsiTheme="minorHAnsi" w:cstheme="minorHAnsi"/>
          <w:sz w:val="24"/>
          <w:szCs w:val="24"/>
        </w:rPr>
        <w:t>respondents</w:t>
      </w:r>
      <w:r w:rsidR="007E45B8">
        <w:rPr>
          <w:rFonts w:asciiTheme="minorHAnsi" w:hAnsiTheme="minorHAnsi" w:cstheme="minorHAnsi"/>
          <w:sz w:val="24"/>
          <w:szCs w:val="24"/>
        </w:rPr>
        <w:t xml:space="preserve"> without </w:t>
      </w:r>
      <w:r w:rsidR="00ED1986">
        <w:rPr>
          <w:rFonts w:asciiTheme="minorHAnsi" w:hAnsiTheme="minorHAnsi" w:cstheme="minorHAnsi"/>
          <w:sz w:val="24"/>
          <w:szCs w:val="24"/>
        </w:rPr>
        <w:t xml:space="preserve">potentially </w:t>
      </w:r>
      <w:r w:rsidR="007E45B8">
        <w:rPr>
          <w:rFonts w:asciiTheme="minorHAnsi" w:hAnsiTheme="minorHAnsi" w:cstheme="minorHAnsi"/>
          <w:sz w:val="24"/>
          <w:szCs w:val="24"/>
        </w:rPr>
        <w:t xml:space="preserve">affecting data quality of ongoing production surveys. </w:t>
      </w:r>
      <w:r w:rsidR="00B00B4E">
        <w:rPr>
          <w:rFonts w:asciiTheme="minorHAnsi" w:hAnsiTheme="minorHAnsi" w:cstheme="minorHAnsi"/>
          <w:sz w:val="24"/>
          <w:szCs w:val="24"/>
        </w:rPr>
        <w:t>Although these participants receive a small monetary incentive, and are actively seeking to participate in surveys, we have found variability in the levels of perceived burden that participants from mTurk experience in our surveys. For instance, some participants are more or less interested in the study topic, put more effort into answering the questions, or found the topic more or less sensitive</w:t>
      </w:r>
      <w:r w:rsidR="00757D6B">
        <w:rPr>
          <w:rFonts w:asciiTheme="minorHAnsi" w:hAnsiTheme="minorHAnsi" w:cstheme="minorHAnsi"/>
          <w:sz w:val="24"/>
          <w:szCs w:val="24"/>
        </w:rPr>
        <w:t>. T</w:t>
      </w:r>
      <w:r w:rsidR="00B00B4E">
        <w:rPr>
          <w:rFonts w:asciiTheme="minorHAnsi" w:hAnsiTheme="minorHAnsi" w:cstheme="minorHAnsi"/>
          <w:sz w:val="24"/>
          <w:szCs w:val="24"/>
        </w:rPr>
        <w:t xml:space="preserve">hese are all factors that contribute to subjective levels of burden </w:t>
      </w:r>
      <w:r w:rsidR="00757D6B">
        <w:rPr>
          <w:rFonts w:asciiTheme="minorHAnsi" w:hAnsiTheme="minorHAnsi" w:cstheme="minorHAnsi"/>
          <w:sz w:val="24"/>
          <w:szCs w:val="24"/>
        </w:rPr>
        <w:t>that</w:t>
      </w:r>
      <w:r w:rsidR="00B00B4E">
        <w:rPr>
          <w:rFonts w:asciiTheme="minorHAnsi" w:hAnsiTheme="minorHAnsi" w:cstheme="minorHAnsi"/>
          <w:sz w:val="24"/>
          <w:szCs w:val="24"/>
        </w:rPr>
        <w:t xml:space="preserve"> exist independently of the level </w:t>
      </w:r>
      <w:r w:rsidR="00757D6B">
        <w:rPr>
          <w:rFonts w:asciiTheme="minorHAnsi" w:hAnsiTheme="minorHAnsi" w:cstheme="minorHAnsi"/>
          <w:sz w:val="24"/>
          <w:szCs w:val="24"/>
        </w:rPr>
        <w:t xml:space="preserve">compensation. As such, the burden estimates we observe in online research can be considered underestimates of what we may see in a production survey.  </w:t>
      </w:r>
    </w:p>
    <w:p w14:paraId="337B0665" w14:textId="5656AC36" w:rsidR="00A64080" w:rsidRDefault="00757D6B" w:rsidP="00991453">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Finally,</w:t>
      </w:r>
      <w:r w:rsidR="00483C65">
        <w:rPr>
          <w:rFonts w:asciiTheme="minorHAnsi" w:hAnsiTheme="minorHAnsi" w:cstheme="minorHAnsi"/>
          <w:sz w:val="24"/>
          <w:szCs w:val="24"/>
        </w:rPr>
        <w:t xml:space="preserve"> b</w:t>
      </w:r>
      <w:r w:rsidR="001E7163">
        <w:rPr>
          <w:rFonts w:asciiTheme="minorHAnsi" w:hAnsiTheme="minorHAnsi" w:cstheme="minorHAnsi"/>
          <w:sz w:val="24"/>
          <w:szCs w:val="24"/>
        </w:rPr>
        <w:t xml:space="preserve">ecause Mechanical Turk allows researchers to conduct two-part studies, we can assess response rates </w:t>
      </w:r>
      <w:r w:rsidR="00B57069">
        <w:rPr>
          <w:rFonts w:asciiTheme="minorHAnsi" w:hAnsiTheme="minorHAnsi" w:cstheme="minorHAnsi"/>
          <w:sz w:val="24"/>
          <w:szCs w:val="24"/>
        </w:rPr>
        <w:t xml:space="preserve">over time </w:t>
      </w:r>
      <w:r w:rsidR="001E7163">
        <w:rPr>
          <w:rFonts w:asciiTheme="minorHAnsi" w:hAnsiTheme="minorHAnsi" w:cstheme="minorHAnsi"/>
          <w:sz w:val="24"/>
          <w:szCs w:val="24"/>
        </w:rPr>
        <w:t xml:space="preserve">using this methodology. </w:t>
      </w:r>
      <w:r w:rsidR="00A64080" w:rsidRPr="002A5A38">
        <w:rPr>
          <w:rFonts w:asciiTheme="minorHAnsi" w:hAnsiTheme="minorHAnsi" w:cstheme="minorHAnsi"/>
          <w:sz w:val="24"/>
          <w:szCs w:val="24"/>
        </w:rPr>
        <w:t>We will conduct a two-part longitudinal survey to assess response rates</w:t>
      </w:r>
      <w:r w:rsidR="00FC54F0">
        <w:rPr>
          <w:rFonts w:asciiTheme="minorHAnsi" w:hAnsiTheme="minorHAnsi" w:cstheme="minorHAnsi"/>
          <w:sz w:val="24"/>
          <w:szCs w:val="24"/>
        </w:rPr>
        <w:t xml:space="preserve"> over time (2 waves)</w:t>
      </w:r>
      <w:r w:rsidR="00A64080" w:rsidRPr="002A5A38">
        <w:rPr>
          <w:rFonts w:asciiTheme="minorHAnsi" w:hAnsiTheme="minorHAnsi" w:cstheme="minorHAnsi"/>
          <w:sz w:val="24"/>
          <w:szCs w:val="24"/>
        </w:rPr>
        <w:t xml:space="preserve">. Participants will </w:t>
      </w:r>
      <w:r w:rsidR="00F564E0" w:rsidRPr="002A5A38">
        <w:rPr>
          <w:rFonts w:asciiTheme="minorHAnsi" w:hAnsiTheme="minorHAnsi" w:cstheme="minorHAnsi"/>
          <w:sz w:val="24"/>
          <w:szCs w:val="24"/>
        </w:rPr>
        <w:t xml:space="preserve">complete the first survey, which will consist of a series of questions </w:t>
      </w:r>
      <w:r w:rsidR="004B761B">
        <w:rPr>
          <w:rFonts w:asciiTheme="minorHAnsi" w:hAnsiTheme="minorHAnsi" w:cstheme="minorHAnsi"/>
          <w:sz w:val="24"/>
          <w:szCs w:val="24"/>
        </w:rPr>
        <w:t xml:space="preserve">drawing on items from BLS </w:t>
      </w:r>
      <w:r w:rsidR="00EB1C18">
        <w:rPr>
          <w:rFonts w:asciiTheme="minorHAnsi" w:hAnsiTheme="minorHAnsi" w:cstheme="minorHAnsi"/>
          <w:sz w:val="24"/>
          <w:szCs w:val="24"/>
        </w:rPr>
        <w:t xml:space="preserve">and Census </w:t>
      </w:r>
      <w:r w:rsidR="004B761B">
        <w:rPr>
          <w:rFonts w:asciiTheme="minorHAnsi" w:hAnsiTheme="minorHAnsi" w:cstheme="minorHAnsi"/>
          <w:sz w:val="24"/>
          <w:szCs w:val="24"/>
        </w:rPr>
        <w:t>surveys, designed to mimic the experience of completing a BLS household survey</w:t>
      </w:r>
      <w:r w:rsidR="00EB1C18">
        <w:rPr>
          <w:rFonts w:asciiTheme="minorHAnsi" w:hAnsiTheme="minorHAnsi" w:cstheme="minorHAnsi"/>
          <w:sz w:val="24"/>
          <w:szCs w:val="24"/>
        </w:rPr>
        <w:t xml:space="preserve"> (see Attachment G)</w:t>
      </w:r>
      <w:r w:rsidR="004B761B">
        <w:rPr>
          <w:rFonts w:asciiTheme="minorHAnsi" w:hAnsiTheme="minorHAnsi" w:cstheme="minorHAnsi"/>
          <w:sz w:val="24"/>
          <w:szCs w:val="24"/>
        </w:rPr>
        <w:t>.</w:t>
      </w:r>
      <w:r w:rsidR="00EB1C18">
        <w:rPr>
          <w:rFonts w:asciiTheme="minorHAnsi" w:hAnsiTheme="minorHAnsi" w:cstheme="minorHAnsi"/>
          <w:sz w:val="24"/>
          <w:szCs w:val="24"/>
        </w:rPr>
        <w:t xml:space="preserve"> The questions were selected to represent a number of questions that appear on federal surveys, a mix of questions that household respondents would be able to answer for themselves and for other household members, and items that represent a mixture of topics that may differ on important dimensions of burden (e.g., difficulty, sensitivity, interest level, etc).  </w:t>
      </w:r>
      <w:r w:rsidR="004B761B">
        <w:rPr>
          <w:rFonts w:asciiTheme="minorHAnsi" w:hAnsiTheme="minorHAnsi" w:cstheme="minorHAnsi"/>
          <w:sz w:val="24"/>
          <w:szCs w:val="24"/>
        </w:rPr>
        <w:t xml:space="preserve"> They will then answer a series of questions to assess their subjective burden experienced while completing the survey. </w:t>
      </w:r>
      <w:r w:rsidR="00F564E0" w:rsidRPr="002A5A38">
        <w:rPr>
          <w:rFonts w:asciiTheme="minorHAnsi" w:hAnsiTheme="minorHAnsi" w:cstheme="minorHAnsi"/>
          <w:sz w:val="24"/>
          <w:szCs w:val="24"/>
        </w:rPr>
        <w:t>O</w:t>
      </w:r>
      <w:r w:rsidR="00A64080" w:rsidRPr="002A5A38">
        <w:rPr>
          <w:rFonts w:asciiTheme="minorHAnsi" w:hAnsiTheme="minorHAnsi" w:cstheme="minorHAnsi"/>
          <w:sz w:val="24"/>
          <w:szCs w:val="24"/>
        </w:rPr>
        <w:t xml:space="preserve">ne </w:t>
      </w:r>
      <w:r w:rsidR="004B761B">
        <w:rPr>
          <w:rFonts w:asciiTheme="minorHAnsi" w:hAnsiTheme="minorHAnsi" w:cstheme="minorHAnsi"/>
          <w:sz w:val="24"/>
          <w:szCs w:val="24"/>
        </w:rPr>
        <w:t>month</w:t>
      </w:r>
      <w:r w:rsidR="00A64080" w:rsidRPr="002A5A38">
        <w:rPr>
          <w:rFonts w:asciiTheme="minorHAnsi" w:hAnsiTheme="minorHAnsi" w:cstheme="minorHAnsi"/>
          <w:sz w:val="24"/>
          <w:szCs w:val="24"/>
        </w:rPr>
        <w:t xml:space="preserve"> later</w:t>
      </w:r>
      <w:r w:rsidR="00F564E0" w:rsidRPr="002A5A38">
        <w:rPr>
          <w:rFonts w:asciiTheme="minorHAnsi" w:hAnsiTheme="minorHAnsi" w:cstheme="minorHAnsi"/>
          <w:sz w:val="24"/>
          <w:szCs w:val="24"/>
        </w:rPr>
        <w:t>,</w:t>
      </w:r>
      <w:r w:rsidR="00A64080" w:rsidRPr="002A5A38">
        <w:rPr>
          <w:rFonts w:asciiTheme="minorHAnsi" w:hAnsiTheme="minorHAnsi" w:cstheme="minorHAnsi"/>
          <w:sz w:val="24"/>
          <w:szCs w:val="24"/>
        </w:rPr>
        <w:t xml:space="preserve"> they will be notified that they are invited to complete a second follow-up survey. </w:t>
      </w:r>
      <w:r w:rsidR="00F448D9">
        <w:rPr>
          <w:rFonts w:asciiTheme="minorHAnsi" w:hAnsiTheme="minorHAnsi" w:cstheme="minorHAnsi"/>
          <w:sz w:val="24"/>
          <w:szCs w:val="24"/>
        </w:rPr>
        <w:t xml:space="preserve">See the below links for similar work previously conducted at </w:t>
      </w:r>
      <w:r w:rsidR="004B761B" w:rsidRPr="004B761B">
        <w:rPr>
          <w:rFonts w:asciiTheme="minorHAnsi" w:hAnsiTheme="minorHAnsi" w:cstheme="minorHAnsi"/>
          <w:sz w:val="24"/>
          <w:szCs w:val="24"/>
        </w:rPr>
        <w:t>BLS</w:t>
      </w:r>
      <w:r w:rsidR="00F448D9">
        <w:rPr>
          <w:rFonts w:asciiTheme="minorHAnsi" w:hAnsiTheme="minorHAnsi" w:cstheme="minorHAnsi"/>
          <w:sz w:val="24"/>
          <w:szCs w:val="24"/>
        </w:rPr>
        <w:t xml:space="preserve"> using similar methodologies</w:t>
      </w:r>
      <w:r w:rsidR="00E56DB3">
        <w:rPr>
          <w:rFonts w:asciiTheme="minorHAnsi" w:hAnsiTheme="minorHAnsi" w:cstheme="minorHAnsi"/>
          <w:sz w:val="24"/>
          <w:szCs w:val="24"/>
        </w:rPr>
        <w:t xml:space="preserve"> and samples</w:t>
      </w:r>
      <w:r w:rsidR="00F448D9">
        <w:rPr>
          <w:rFonts w:asciiTheme="minorHAnsi" w:hAnsiTheme="minorHAnsi" w:cstheme="minorHAnsi"/>
          <w:sz w:val="24"/>
          <w:szCs w:val="24"/>
        </w:rPr>
        <w:t>:</w:t>
      </w:r>
      <w:r w:rsidR="004B761B" w:rsidRPr="004B761B">
        <w:rPr>
          <w:rFonts w:asciiTheme="minorHAnsi" w:hAnsiTheme="minorHAnsi" w:cstheme="minorHAnsi"/>
          <w:sz w:val="24"/>
          <w:szCs w:val="24"/>
        </w:rPr>
        <w:t xml:space="preserve"> </w:t>
      </w:r>
    </w:p>
    <w:p w14:paraId="4DB7F910" w14:textId="236DC019" w:rsidR="00D23A53" w:rsidRDefault="00E60663" w:rsidP="00D23A53">
      <w:pPr>
        <w:pStyle w:val="BodyText"/>
        <w:numPr>
          <w:ilvl w:val="0"/>
          <w:numId w:val="44"/>
        </w:numPr>
        <w:rPr>
          <w:rFonts w:asciiTheme="minorHAnsi" w:hAnsiTheme="minorHAnsi" w:cstheme="minorHAnsi"/>
          <w:sz w:val="24"/>
          <w:szCs w:val="24"/>
        </w:rPr>
      </w:pPr>
      <w:hyperlink r:id="rId9" w:history="1">
        <w:r w:rsidR="00D23A53" w:rsidRPr="00D23A53">
          <w:rPr>
            <w:rStyle w:val="Hyperlink"/>
            <w:rFonts w:asciiTheme="minorHAnsi" w:hAnsiTheme="minorHAnsi" w:cstheme="minorHAnsi"/>
            <w:sz w:val="24"/>
            <w:szCs w:val="24"/>
          </w:rPr>
          <w:t>CIPSEA research</w:t>
        </w:r>
      </w:hyperlink>
    </w:p>
    <w:p w14:paraId="446F3CF9" w14:textId="1A895550" w:rsidR="00D23A53" w:rsidRDefault="00E60663" w:rsidP="00D23A53">
      <w:pPr>
        <w:pStyle w:val="BodyText"/>
        <w:numPr>
          <w:ilvl w:val="0"/>
          <w:numId w:val="44"/>
        </w:numPr>
        <w:rPr>
          <w:rFonts w:asciiTheme="minorHAnsi" w:hAnsiTheme="minorHAnsi" w:cstheme="minorHAnsi"/>
          <w:sz w:val="24"/>
          <w:szCs w:val="24"/>
        </w:rPr>
      </w:pPr>
      <w:hyperlink r:id="rId10" w:history="1">
        <w:r w:rsidR="00D23A53" w:rsidRPr="00D23A53">
          <w:rPr>
            <w:rStyle w:val="Hyperlink"/>
            <w:rFonts w:asciiTheme="minorHAnsi" w:hAnsiTheme="minorHAnsi" w:cstheme="minorHAnsi"/>
            <w:sz w:val="24"/>
            <w:szCs w:val="24"/>
          </w:rPr>
          <w:t>Respondent burden research</w:t>
        </w:r>
      </w:hyperlink>
    </w:p>
    <w:p w14:paraId="2A16E76C" w14:textId="21CA2121" w:rsidR="0005751A" w:rsidRDefault="00E60663" w:rsidP="00D23A53">
      <w:pPr>
        <w:pStyle w:val="BodyText"/>
        <w:numPr>
          <w:ilvl w:val="0"/>
          <w:numId w:val="44"/>
        </w:numPr>
        <w:rPr>
          <w:rFonts w:asciiTheme="minorHAnsi" w:hAnsiTheme="minorHAnsi" w:cstheme="minorHAnsi"/>
          <w:sz w:val="24"/>
          <w:szCs w:val="24"/>
        </w:rPr>
      </w:pPr>
      <w:hyperlink r:id="rId11" w:history="1">
        <w:r w:rsidR="00D23A53" w:rsidRPr="00D23A53">
          <w:rPr>
            <w:rStyle w:val="Hyperlink"/>
            <w:rFonts w:asciiTheme="minorHAnsi" w:hAnsiTheme="minorHAnsi" w:cstheme="minorHAnsi"/>
            <w:sz w:val="24"/>
            <w:szCs w:val="24"/>
          </w:rPr>
          <w:t>SOGI Online Proxy Survey</w:t>
        </w:r>
      </w:hyperlink>
    </w:p>
    <w:p w14:paraId="37BD383E" w14:textId="77777777" w:rsidR="00D23A53" w:rsidRDefault="00D23A53" w:rsidP="00D23A53">
      <w:pPr>
        <w:pStyle w:val="BodyText"/>
        <w:ind w:left="720"/>
        <w:rPr>
          <w:rFonts w:asciiTheme="minorHAnsi" w:hAnsiTheme="minorHAnsi" w:cstheme="minorHAnsi"/>
          <w:sz w:val="24"/>
          <w:szCs w:val="24"/>
        </w:rPr>
      </w:pPr>
    </w:p>
    <w:p w14:paraId="565E91EA" w14:textId="6E0A50E1" w:rsidR="00A64080" w:rsidRDefault="00A64080" w:rsidP="00991453">
      <w:pPr>
        <w:pStyle w:val="BodyText"/>
        <w:spacing w:after="240" w:line="276" w:lineRule="auto"/>
        <w:rPr>
          <w:rFonts w:asciiTheme="minorHAnsi" w:hAnsiTheme="minorHAnsi" w:cstheme="minorHAnsi"/>
          <w:sz w:val="24"/>
          <w:szCs w:val="24"/>
        </w:rPr>
      </w:pPr>
      <w:r w:rsidRPr="002A5A38">
        <w:rPr>
          <w:rFonts w:asciiTheme="minorHAnsi" w:hAnsiTheme="minorHAnsi" w:cstheme="minorHAnsi"/>
          <w:sz w:val="24"/>
          <w:szCs w:val="24"/>
        </w:rPr>
        <w:t xml:space="preserve">We will add language to the beginning of the survey stressing the importance of responding “don’t know” or “prefer not to say” rather </w:t>
      </w:r>
      <w:r w:rsidR="007E45B8" w:rsidRPr="002A5A38">
        <w:rPr>
          <w:rFonts w:asciiTheme="minorHAnsi" w:hAnsiTheme="minorHAnsi" w:cstheme="minorHAnsi"/>
          <w:sz w:val="24"/>
          <w:szCs w:val="24"/>
        </w:rPr>
        <w:t>than giving an inaccurate answer</w:t>
      </w:r>
      <w:r w:rsidRPr="002A5A38">
        <w:rPr>
          <w:rFonts w:asciiTheme="minorHAnsi" w:hAnsiTheme="minorHAnsi" w:cstheme="minorHAnsi"/>
          <w:sz w:val="24"/>
          <w:szCs w:val="24"/>
        </w:rPr>
        <w:t xml:space="preserve">. This </w:t>
      </w:r>
      <w:r w:rsidR="00ED1986">
        <w:rPr>
          <w:rFonts w:asciiTheme="minorHAnsi" w:hAnsiTheme="minorHAnsi" w:cstheme="minorHAnsi"/>
          <w:sz w:val="24"/>
          <w:szCs w:val="24"/>
        </w:rPr>
        <w:t xml:space="preserve">has shown to help </w:t>
      </w:r>
      <w:r w:rsidRPr="002A5A38">
        <w:rPr>
          <w:rFonts w:asciiTheme="minorHAnsi" w:hAnsiTheme="minorHAnsi" w:cstheme="minorHAnsi"/>
          <w:sz w:val="24"/>
          <w:szCs w:val="24"/>
        </w:rPr>
        <w:t xml:space="preserve">avoid a ceiling effect of participants </w:t>
      </w:r>
      <w:r w:rsidR="007E45B8" w:rsidRPr="002A5A38">
        <w:rPr>
          <w:rFonts w:asciiTheme="minorHAnsi" w:hAnsiTheme="minorHAnsi" w:cstheme="minorHAnsi"/>
          <w:sz w:val="24"/>
          <w:szCs w:val="24"/>
        </w:rPr>
        <w:t xml:space="preserve">answering </w:t>
      </w:r>
      <w:r w:rsidRPr="002A5A38">
        <w:rPr>
          <w:rFonts w:asciiTheme="minorHAnsi" w:hAnsiTheme="minorHAnsi" w:cstheme="minorHAnsi"/>
          <w:sz w:val="24"/>
          <w:szCs w:val="24"/>
        </w:rPr>
        <w:t xml:space="preserve">every item </w:t>
      </w:r>
      <w:r w:rsidR="004B761B">
        <w:rPr>
          <w:rFonts w:asciiTheme="minorHAnsi" w:hAnsiTheme="minorHAnsi" w:cstheme="minorHAnsi"/>
          <w:sz w:val="24"/>
          <w:szCs w:val="24"/>
        </w:rPr>
        <w:t xml:space="preserve">that is typical when using online, voluntary, non-probability panels </w:t>
      </w:r>
      <w:r w:rsidRPr="002A5A38">
        <w:rPr>
          <w:rFonts w:asciiTheme="minorHAnsi" w:hAnsiTheme="minorHAnsi" w:cstheme="minorHAnsi"/>
          <w:sz w:val="24"/>
          <w:szCs w:val="24"/>
        </w:rPr>
        <w:t>(</w:t>
      </w:r>
      <w:r w:rsidR="007E45B8" w:rsidRPr="002A5A38">
        <w:rPr>
          <w:rFonts w:asciiTheme="minorHAnsi" w:hAnsiTheme="minorHAnsi" w:cstheme="minorHAnsi"/>
          <w:sz w:val="24"/>
          <w:szCs w:val="24"/>
        </w:rPr>
        <w:t>de Leeuw et al., 2015</w:t>
      </w:r>
      <w:r w:rsidR="00D454EF" w:rsidRPr="002A5A38">
        <w:rPr>
          <w:rFonts w:asciiTheme="minorHAnsi" w:hAnsiTheme="minorHAnsi" w:cstheme="minorHAnsi"/>
          <w:sz w:val="24"/>
          <w:szCs w:val="24"/>
        </w:rPr>
        <w:t>; Joinson et al., 200</w:t>
      </w:r>
      <w:r w:rsidR="00A675DD" w:rsidRPr="002A5A38">
        <w:rPr>
          <w:rFonts w:asciiTheme="minorHAnsi" w:hAnsiTheme="minorHAnsi" w:cstheme="minorHAnsi"/>
          <w:sz w:val="24"/>
          <w:szCs w:val="24"/>
        </w:rPr>
        <w:t>8</w:t>
      </w:r>
      <w:r w:rsidR="0059752E">
        <w:rPr>
          <w:rFonts w:asciiTheme="minorHAnsi" w:hAnsiTheme="minorHAnsi" w:cstheme="minorHAnsi"/>
          <w:sz w:val="24"/>
          <w:szCs w:val="24"/>
        </w:rPr>
        <w:t>; Kaplan &amp; Edgar, 2018</w:t>
      </w:r>
      <w:r w:rsidRPr="002A5A38">
        <w:rPr>
          <w:rFonts w:asciiTheme="minorHAnsi" w:hAnsiTheme="minorHAnsi" w:cstheme="minorHAnsi"/>
          <w:sz w:val="24"/>
          <w:szCs w:val="24"/>
        </w:rPr>
        <w:t>).</w:t>
      </w:r>
      <w:r w:rsidR="008A3280" w:rsidRPr="002A5A38">
        <w:rPr>
          <w:rFonts w:asciiTheme="minorHAnsi" w:hAnsiTheme="minorHAnsi" w:cstheme="minorHAnsi"/>
          <w:sz w:val="24"/>
          <w:szCs w:val="24"/>
        </w:rPr>
        <w:t xml:space="preserve"> We will also note that each question is voluntary</w:t>
      </w:r>
      <w:r w:rsidR="008A3280">
        <w:rPr>
          <w:rFonts w:asciiTheme="minorHAnsi" w:hAnsiTheme="minorHAnsi" w:cstheme="minorHAnsi"/>
          <w:sz w:val="24"/>
          <w:szCs w:val="24"/>
        </w:rPr>
        <w:t xml:space="preserve"> so that participants are aware they can skip items</w:t>
      </w:r>
      <w:r w:rsidR="00FC54F0">
        <w:rPr>
          <w:rFonts w:asciiTheme="minorHAnsi" w:hAnsiTheme="minorHAnsi" w:cstheme="minorHAnsi"/>
          <w:sz w:val="24"/>
          <w:szCs w:val="24"/>
        </w:rPr>
        <w:t xml:space="preserve"> (Betts, 2016)</w:t>
      </w:r>
      <w:r w:rsidR="008A3280">
        <w:rPr>
          <w:rFonts w:asciiTheme="minorHAnsi" w:hAnsiTheme="minorHAnsi" w:cstheme="minorHAnsi"/>
          <w:sz w:val="24"/>
          <w:szCs w:val="24"/>
        </w:rPr>
        <w:t xml:space="preserve">. </w:t>
      </w:r>
      <w:r w:rsidR="00880511">
        <w:rPr>
          <w:rFonts w:asciiTheme="minorHAnsi" w:hAnsiTheme="minorHAnsi" w:cstheme="minorHAnsi"/>
          <w:sz w:val="24"/>
          <w:szCs w:val="24"/>
        </w:rPr>
        <w:t xml:space="preserve">This mirrors what actual interviewers say to survey respondents in BLS surveys. </w:t>
      </w:r>
    </w:p>
    <w:p w14:paraId="3B62F836" w14:textId="6F1D6598" w:rsidR="0035064E" w:rsidRDefault="004B761B" w:rsidP="00991453">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As mentioned, w</w:t>
      </w:r>
      <w:r w:rsidR="00F564E0">
        <w:rPr>
          <w:rFonts w:asciiTheme="minorHAnsi" w:hAnsiTheme="minorHAnsi" w:cstheme="minorHAnsi"/>
          <w:sz w:val="24"/>
          <w:szCs w:val="24"/>
        </w:rPr>
        <w:t>e will include a range of survey items that real BLS household respondents might encounter across various surveys, i</w:t>
      </w:r>
      <w:r w:rsidR="00F734D1">
        <w:rPr>
          <w:rFonts w:asciiTheme="minorHAnsi" w:hAnsiTheme="minorHAnsi" w:cstheme="minorHAnsi"/>
          <w:sz w:val="24"/>
          <w:szCs w:val="24"/>
        </w:rPr>
        <w:t xml:space="preserve">ncluding the </w:t>
      </w:r>
      <w:r w:rsidR="00F564E0">
        <w:rPr>
          <w:rFonts w:asciiTheme="minorHAnsi" w:hAnsiTheme="minorHAnsi" w:cstheme="minorHAnsi"/>
          <w:sz w:val="24"/>
          <w:szCs w:val="24"/>
        </w:rPr>
        <w:t xml:space="preserve">CPS and its supplements, </w:t>
      </w:r>
      <w:r w:rsidR="00F734D1">
        <w:rPr>
          <w:rFonts w:asciiTheme="minorHAnsi" w:hAnsiTheme="minorHAnsi" w:cstheme="minorHAnsi"/>
          <w:sz w:val="24"/>
          <w:szCs w:val="24"/>
        </w:rPr>
        <w:t>CE</w:t>
      </w:r>
      <w:r w:rsidR="00F564E0">
        <w:rPr>
          <w:rFonts w:asciiTheme="minorHAnsi" w:hAnsiTheme="minorHAnsi" w:cstheme="minorHAnsi"/>
          <w:sz w:val="24"/>
          <w:szCs w:val="24"/>
        </w:rPr>
        <w:t>, the American Time Use Survey (ATUS) and its supplements</w:t>
      </w:r>
      <w:r w:rsidR="00F734D1">
        <w:rPr>
          <w:rFonts w:asciiTheme="minorHAnsi" w:hAnsiTheme="minorHAnsi" w:cstheme="minorHAnsi"/>
          <w:sz w:val="24"/>
          <w:szCs w:val="24"/>
        </w:rPr>
        <w:t>, and</w:t>
      </w:r>
      <w:r w:rsidR="00E56DB3">
        <w:rPr>
          <w:rFonts w:asciiTheme="minorHAnsi" w:hAnsiTheme="minorHAnsi" w:cstheme="minorHAnsi"/>
          <w:sz w:val="24"/>
          <w:szCs w:val="24"/>
        </w:rPr>
        <w:t xml:space="preserve"> the </w:t>
      </w:r>
      <w:r w:rsidR="00F734D1">
        <w:rPr>
          <w:rFonts w:asciiTheme="minorHAnsi" w:hAnsiTheme="minorHAnsi" w:cstheme="minorHAnsi"/>
          <w:sz w:val="24"/>
          <w:szCs w:val="24"/>
        </w:rPr>
        <w:t>ACS, which shares many of the same items as the CPS</w:t>
      </w:r>
      <w:r w:rsidR="00F564E0">
        <w:rPr>
          <w:rFonts w:asciiTheme="minorHAnsi" w:hAnsiTheme="minorHAnsi" w:cstheme="minorHAnsi"/>
          <w:sz w:val="24"/>
          <w:szCs w:val="24"/>
        </w:rPr>
        <w:t xml:space="preserve">.  We expect to get a wider distribution of answers by including these questions, and therefore more power to detect any potential differences in response unit and item rates across items. </w:t>
      </w:r>
      <w:r w:rsidR="00F9434D">
        <w:rPr>
          <w:rFonts w:asciiTheme="minorHAnsi" w:hAnsiTheme="minorHAnsi" w:cstheme="minorHAnsi"/>
          <w:sz w:val="24"/>
          <w:szCs w:val="24"/>
        </w:rPr>
        <w:t>In doing so, this will more closely approximate the actual length</w:t>
      </w:r>
      <w:r w:rsidR="006D2BF4">
        <w:rPr>
          <w:rFonts w:asciiTheme="minorHAnsi" w:hAnsiTheme="minorHAnsi" w:cstheme="minorHAnsi"/>
          <w:sz w:val="24"/>
          <w:szCs w:val="24"/>
        </w:rPr>
        <w:t xml:space="preserve"> </w:t>
      </w:r>
      <w:r w:rsidR="003D6770">
        <w:rPr>
          <w:rFonts w:asciiTheme="minorHAnsi" w:hAnsiTheme="minorHAnsi" w:cstheme="minorHAnsi"/>
          <w:sz w:val="24"/>
          <w:szCs w:val="24"/>
        </w:rPr>
        <w:t>of</w:t>
      </w:r>
      <w:r w:rsidR="00F9434D">
        <w:rPr>
          <w:rFonts w:asciiTheme="minorHAnsi" w:hAnsiTheme="minorHAnsi" w:cstheme="minorHAnsi"/>
          <w:sz w:val="24"/>
          <w:szCs w:val="24"/>
        </w:rPr>
        <w:t xml:space="preserve"> BLS surveys. </w:t>
      </w:r>
    </w:p>
    <w:p w14:paraId="7DE75E91" w14:textId="55CF7A71" w:rsidR="00F564E0" w:rsidRDefault="00991453" w:rsidP="00991453">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O</w:t>
      </w:r>
      <w:r w:rsidR="004B761B">
        <w:rPr>
          <w:rFonts w:asciiTheme="minorHAnsi" w:hAnsiTheme="minorHAnsi" w:cstheme="minorHAnsi"/>
          <w:sz w:val="24"/>
          <w:szCs w:val="24"/>
        </w:rPr>
        <w:t>ne month</w:t>
      </w:r>
      <w:r w:rsidR="00F564E0">
        <w:rPr>
          <w:rFonts w:asciiTheme="minorHAnsi" w:hAnsiTheme="minorHAnsi" w:cstheme="minorHAnsi"/>
          <w:sz w:val="24"/>
          <w:szCs w:val="24"/>
        </w:rPr>
        <w:t xml:space="preserve"> after completing the first survey</w:t>
      </w:r>
      <w:r>
        <w:rPr>
          <w:rFonts w:asciiTheme="minorHAnsi" w:hAnsiTheme="minorHAnsi" w:cstheme="minorHAnsi"/>
          <w:sz w:val="24"/>
          <w:szCs w:val="24"/>
        </w:rPr>
        <w:t xml:space="preserve"> (chosen because the CPS is also a monthly survey)</w:t>
      </w:r>
      <w:r w:rsidR="00F564E0">
        <w:rPr>
          <w:rFonts w:asciiTheme="minorHAnsi" w:hAnsiTheme="minorHAnsi" w:cstheme="minorHAnsi"/>
          <w:sz w:val="24"/>
          <w:szCs w:val="24"/>
        </w:rPr>
        <w:t>, participants will receive a notification via Mechanical Turk inviting them to participate in a follow-up survey</w:t>
      </w:r>
      <w:r w:rsidR="00B264EE">
        <w:rPr>
          <w:rFonts w:asciiTheme="minorHAnsi" w:hAnsiTheme="minorHAnsi" w:cstheme="minorHAnsi"/>
          <w:sz w:val="24"/>
          <w:szCs w:val="24"/>
        </w:rPr>
        <w:t xml:space="preserve"> (see Attachment </w:t>
      </w:r>
      <w:r w:rsidR="00045285">
        <w:rPr>
          <w:rFonts w:asciiTheme="minorHAnsi" w:hAnsiTheme="minorHAnsi" w:cstheme="minorHAnsi"/>
          <w:sz w:val="24"/>
          <w:szCs w:val="24"/>
        </w:rPr>
        <w:t xml:space="preserve">D </w:t>
      </w:r>
      <w:r w:rsidR="00B264EE">
        <w:rPr>
          <w:rFonts w:asciiTheme="minorHAnsi" w:hAnsiTheme="minorHAnsi" w:cstheme="minorHAnsi"/>
          <w:sz w:val="24"/>
          <w:szCs w:val="24"/>
        </w:rPr>
        <w:t>for the full text of the invitation)</w:t>
      </w:r>
      <w:r w:rsidR="00F564E0">
        <w:rPr>
          <w:rFonts w:asciiTheme="minorHAnsi" w:hAnsiTheme="minorHAnsi" w:cstheme="minorHAnsi"/>
          <w:sz w:val="24"/>
          <w:szCs w:val="24"/>
        </w:rPr>
        <w:t xml:space="preserve">. We will ask participants what they recall about the </w:t>
      </w:r>
      <w:r w:rsidR="004B761B">
        <w:rPr>
          <w:rFonts w:asciiTheme="minorHAnsi" w:hAnsiTheme="minorHAnsi" w:cstheme="minorHAnsi"/>
          <w:sz w:val="24"/>
          <w:szCs w:val="24"/>
        </w:rPr>
        <w:t xml:space="preserve">first survey they completed and how burdensome they recalled it to be. </w:t>
      </w:r>
      <w:r w:rsidR="001E7163" w:rsidRPr="00F564E0">
        <w:rPr>
          <w:rFonts w:asciiTheme="minorHAnsi" w:hAnsiTheme="minorHAnsi" w:cstheme="minorHAnsi"/>
          <w:sz w:val="24"/>
          <w:szCs w:val="24"/>
        </w:rPr>
        <w:t>W</w:t>
      </w:r>
      <w:r w:rsidR="00ED76C8" w:rsidRPr="00F564E0">
        <w:rPr>
          <w:rFonts w:asciiTheme="minorHAnsi" w:hAnsiTheme="minorHAnsi" w:cstheme="minorHAnsi"/>
          <w:sz w:val="24"/>
          <w:szCs w:val="24"/>
        </w:rPr>
        <w:t xml:space="preserve">e will </w:t>
      </w:r>
      <w:r w:rsidR="00F564E0">
        <w:rPr>
          <w:rFonts w:asciiTheme="minorHAnsi" w:hAnsiTheme="minorHAnsi" w:cstheme="minorHAnsi"/>
          <w:sz w:val="24"/>
          <w:szCs w:val="24"/>
        </w:rPr>
        <w:t>also then be able to assess the</w:t>
      </w:r>
      <w:r w:rsidR="00ED76C8" w:rsidRPr="00F564E0">
        <w:rPr>
          <w:rFonts w:asciiTheme="minorHAnsi" w:hAnsiTheme="minorHAnsi" w:cstheme="minorHAnsi"/>
          <w:sz w:val="24"/>
          <w:szCs w:val="24"/>
        </w:rPr>
        <w:t xml:space="preserve"> impact of </w:t>
      </w:r>
      <w:r w:rsidR="004B761B">
        <w:rPr>
          <w:rFonts w:asciiTheme="minorHAnsi" w:hAnsiTheme="minorHAnsi" w:cstheme="minorHAnsi"/>
          <w:sz w:val="24"/>
          <w:szCs w:val="24"/>
        </w:rPr>
        <w:t>burden</w:t>
      </w:r>
      <w:r w:rsidR="00ED76C8" w:rsidRPr="00F564E0">
        <w:rPr>
          <w:rFonts w:asciiTheme="minorHAnsi" w:hAnsiTheme="minorHAnsi" w:cstheme="minorHAnsi"/>
          <w:sz w:val="24"/>
          <w:szCs w:val="24"/>
        </w:rPr>
        <w:t xml:space="preserve"> on </w:t>
      </w:r>
      <w:r w:rsidR="004B761B">
        <w:rPr>
          <w:rFonts w:asciiTheme="minorHAnsi" w:hAnsiTheme="minorHAnsi" w:cstheme="minorHAnsi"/>
          <w:sz w:val="24"/>
          <w:szCs w:val="24"/>
        </w:rPr>
        <w:t xml:space="preserve">data quality metrics, including </w:t>
      </w:r>
      <w:r w:rsidR="00DD0DBF" w:rsidRPr="00F564E0">
        <w:rPr>
          <w:rFonts w:asciiTheme="minorHAnsi" w:hAnsiTheme="minorHAnsi" w:cstheme="minorHAnsi"/>
          <w:sz w:val="24"/>
          <w:szCs w:val="24"/>
        </w:rPr>
        <w:t>reporting</w:t>
      </w:r>
      <w:r w:rsidR="001E7163" w:rsidRPr="00F564E0">
        <w:rPr>
          <w:rFonts w:asciiTheme="minorHAnsi" w:hAnsiTheme="minorHAnsi" w:cstheme="minorHAnsi"/>
          <w:sz w:val="24"/>
          <w:szCs w:val="24"/>
        </w:rPr>
        <w:t xml:space="preserve">, response rates to </w:t>
      </w:r>
      <w:r w:rsidR="00F564E0">
        <w:rPr>
          <w:rFonts w:asciiTheme="minorHAnsi" w:hAnsiTheme="minorHAnsi" w:cstheme="minorHAnsi"/>
          <w:sz w:val="24"/>
          <w:szCs w:val="24"/>
        </w:rPr>
        <w:t>the</w:t>
      </w:r>
      <w:r w:rsidR="001E7163" w:rsidRPr="00F564E0">
        <w:rPr>
          <w:rFonts w:asciiTheme="minorHAnsi" w:hAnsiTheme="minorHAnsi" w:cstheme="minorHAnsi"/>
          <w:sz w:val="24"/>
          <w:szCs w:val="24"/>
        </w:rPr>
        <w:t xml:space="preserve"> follow-up survey, nonresponse bias</w:t>
      </w:r>
      <w:r w:rsidR="004B761B">
        <w:rPr>
          <w:rFonts w:asciiTheme="minorHAnsi" w:hAnsiTheme="minorHAnsi" w:cstheme="minorHAnsi"/>
          <w:sz w:val="24"/>
          <w:szCs w:val="24"/>
        </w:rPr>
        <w:t>, and memory bias for experienced versus recalled burden</w:t>
      </w:r>
      <w:r w:rsidR="00ED76C8" w:rsidRPr="00F564E0">
        <w:rPr>
          <w:rFonts w:asciiTheme="minorHAnsi" w:hAnsiTheme="minorHAnsi" w:cstheme="minorHAnsi"/>
          <w:sz w:val="24"/>
          <w:szCs w:val="24"/>
        </w:rPr>
        <w:t>.</w:t>
      </w:r>
      <w:r w:rsidR="00DD0DBF" w:rsidRPr="00F564E0">
        <w:rPr>
          <w:rFonts w:asciiTheme="minorHAnsi" w:hAnsiTheme="minorHAnsi" w:cstheme="minorHAnsi"/>
          <w:sz w:val="24"/>
          <w:szCs w:val="24"/>
        </w:rPr>
        <w:t xml:space="preserve">  </w:t>
      </w:r>
    </w:p>
    <w:p w14:paraId="48101662" w14:textId="6CEB67F5" w:rsidR="0035064E" w:rsidRDefault="0035064E" w:rsidP="00991453">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The following experimental conditions will be embedded within the survey:</w:t>
      </w:r>
    </w:p>
    <w:p w14:paraId="062C4F50" w14:textId="3E7B75BF" w:rsidR="0035064E" w:rsidRDefault="0035064E" w:rsidP="0035064E">
      <w:pPr>
        <w:pStyle w:val="BodyText"/>
        <w:numPr>
          <w:ilvl w:val="0"/>
          <w:numId w:val="42"/>
        </w:numPr>
        <w:spacing w:after="240" w:line="276" w:lineRule="auto"/>
        <w:rPr>
          <w:rFonts w:asciiTheme="minorHAnsi" w:hAnsiTheme="minorHAnsi" w:cstheme="minorHAnsi"/>
          <w:sz w:val="24"/>
          <w:szCs w:val="24"/>
        </w:rPr>
      </w:pPr>
      <w:r>
        <w:rPr>
          <w:rFonts w:asciiTheme="minorHAnsi" w:hAnsiTheme="minorHAnsi" w:cstheme="minorHAnsi"/>
          <w:sz w:val="24"/>
          <w:szCs w:val="24"/>
        </w:rPr>
        <w:t>Low burden condition: participants will receive a vignette in the form of an advance letter to participate in a federal survey. The letter will state that they have been randomly selected to participate in the survey, they will receive one mailing notifying them of the survey,</w:t>
      </w:r>
      <w:r w:rsidR="00E632FF">
        <w:rPr>
          <w:rFonts w:asciiTheme="minorHAnsi" w:hAnsiTheme="minorHAnsi" w:cstheme="minorHAnsi"/>
          <w:sz w:val="24"/>
          <w:szCs w:val="24"/>
        </w:rPr>
        <w:t xml:space="preserve"> the survey</w:t>
      </w:r>
      <w:r>
        <w:rPr>
          <w:rFonts w:asciiTheme="minorHAnsi" w:hAnsiTheme="minorHAnsi" w:cstheme="minorHAnsi"/>
          <w:sz w:val="24"/>
          <w:szCs w:val="24"/>
        </w:rPr>
        <w:t xml:space="preserve"> will be conducted on the phone, it will take ten minutes to complete, and they will only participate one time. This resembles what </w:t>
      </w:r>
      <w:r w:rsidR="003B418E">
        <w:rPr>
          <w:rFonts w:asciiTheme="minorHAnsi" w:hAnsiTheme="minorHAnsi" w:cstheme="minorHAnsi"/>
          <w:sz w:val="24"/>
          <w:szCs w:val="24"/>
        </w:rPr>
        <w:t xml:space="preserve">one-time </w:t>
      </w:r>
      <w:r>
        <w:rPr>
          <w:rFonts w:asciiTheme="minorHAnsi" w:hAnsiTheme="minorHAnsi" w:cstheme="minorHAnsi"/>
          <w:sz w:val="24"/>
          <w:szCs w:val="24"/>
        </w:rPr>
        <w:t>survey</w:t>
      </w:r>
      <w:r w:rsidR="003B418E">
        <w:rPr>
          <w:rFonts w:asciiTheme="minorHAnsi" w:hAnsiTheme="minorHAnsi" w:cstheme="minorHAnsi"/>
          <w:sz w:val="24"/>
          <w:szCs w:val="24"/>
        </w:rPr>
        <w:t>s</w:t>
      </w:r>
      <w:r>
        <w:rPr>
          <w:rFonts w:asciiTheme="minorHAnsi" w:hAnsiTheme="minorHAnsi" w:cstheme="minorHAnsi"/>
          <w:sz w:val="24"/>
          <w:szCs w:val="24"/>
        </w:rPr>
        <w:t xml:space="preserve"> like the ATUS currently do. </w:t>
      </w:r>
      <w:r w:rsidR="00F84C15">
        <w:rPr>
          <w:rFonts w:asciiTheme="minorHAnsi" w:hAnsiTheme="minorHAnsi" w:cstheme="minorHAnsi"/>
          <w:sz w:val="24"/>
          <w:szCs w:val="24"/>
        </w:rPr>
        <w:t xml:space="preserve">See Attachment E for the full text of the Low burden condition advance letter. </w:t>
      </w:r>
    </w:p>
    <w:p w14:paraId="7C5AE994" w14:textId="375AB1DC" w:rsidR="00533E34" w:rsidRDefault="0035064E" w:rsidP="00533E34">
      <w:pPr>
        <w:pStyle w:val="BodyText"/>
        <w:numPr>
          <w:ilvl w:val="0"/>
          <w:numId w:val="42"/>
        </w:num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High burden condition: participants will receive a vignette in the form of an advance letter to participate in a federal survey. The letter will state that they have been randomly selected to participate in the </w:t>
      </w:r>
      <w:r w:rsidR="00E632FF">
        <w:rPr>
          <w:rFonts w:asciiTheme="minorHAnsi" w:hAnsiTheme="minorHAnsi" w:cstheme="minorHAnsi"/>
          <w:sz w:val="24"/>
          <w:szCs w:val="24"/>
        </w:rPr>
        <w:t xml:space="preserve">survey, </w:t>
      </w:r>
      <w:r>
        <w:rPr>
          <w:rFonts w:asciiTheme="minorHAnsi" w:hAnsiTheme="minorHAnsi" w:cstheme="minorHAnsi"/>
          <w:sz w:val="24"/>
          <w:szCs w:val="24"/>
        </w:rPr>
        <w:t>they will receive five mailings notifying and reminding them to complete the survey, it will be conducted in person with an interviewer in their household, it will take forty minutes to complete</w:t>
      </w:r>
      <w:r w:rsidR="003B418E">
        <w:rPr>
          <w:rFonts w:asciiTheme="minorHAnsi" w:hAnsiTheme="minorHAnsi" w:cstheme="minorHAnsi"/>
          <w:sz w:val="24"/>
          <w:szCs w:val="24"/>
        </w:rPr>
        <w:t xml:space="preserve"> each interview</w:t>
      </w:r>
      <w:r>
        <w:rPr>
          <w:rFonts w:asciiTheme="minorHAnsi" w:hAnsiTheme="minorHAnsi" w:cstheme="minorHAnsi"/>
          <w:sz w:val="24"/>
          <w:szCs w:val="24"/>
        </w:rPr>
        <w:t xml:space="preserve">, and they will be asked to complete </w:t>
      </w:r>
      <w:r w:rsidR="00E632FF">
        <w:rPr>
          <w:rFonts w:asciiTheme="minorHAnsi" w:hAnsiTheme="minorHAnsi" w:cstheme="minorHAnsi"/>
          <w:sz w:val="24"/>
          <w:szCs w:val="24"/>
        </w:rPr>
        <w:t>the survey</w:t>
      </w:r>
      <w:r>
        <w:rPr>
          <w:rFonts w:asciiTheme="minorHAnsi" w:hAnsiTheme="minorHAnsi" w:cstheme="minorHAnsi"/>
          <w:sz w:val="24"/>
          <w:szCs w:val="24"/>
        </w:rPr>
        <w:t xml:space="preserve"> every month for 8 months. This resembles what surveys such as the CPS, ACS, and CE currently do. </w:t>
      </w:r>
      <w:r w:rsidR="00F84C15">
        <w:rPr>
          <w:rFonts w:asciiTheme="minorHAnsi" w:hAnsiTheme="minorHAnsi" w:cstheme="minorHAnsi"/>
          <w:sz w:val="24"/>
          <w:szCs w:val="24"/>
        </w:rPr>
        <w:t xml:space="preserve">See Attachment F for the full text of the High burden condition. </w:t>
      </w:r>
    </w:p>
    <w:p w14:paraId="4A60AC15" w14:textId="250B9807" w:rsidR="00F84C15" w:rsidRDefault="00F84C15" w:rsidP="0034314A">
      <w:pPr>
        <w:pStyle w:val="BodyText"/>
        <w:numPr>
          <w:ilvl w:val="0"/>
          <w:numId w:val="42"/>
        </w:numPr>
        <w:spacing w:after="240" w:line="276" w:lineRule="auto"/>
        <w:rPr>
          <w:rFonts w:asciiTheme="minorHAnsi" w:hAnsiTheme="minorHAnsi" w:cstheme="minorHAnsi"/>
          <w:sz w:val="24"/>
          <w:szCs w:val="24"/>
        </w:rPr>
      </w:pPr>
      <w:r w:rsidRPr="00533E34">
        <w:rPr>
          <w:rFonts w:asciiTheme="minorHAnsi" w:hAnsiTheme="minorHAnsi" w:cstheme="minorHAnsi"/>
          <w:sz w:val="24"/>
          <w:szCs w:val="24"/>
        </w:rPr>
        <w:t>During Survey 1, participants will be randomly assigned to read either the low or high burden advance letter, at Survey 2, they will be assigned to read the other advance letter.</w:t>
      </w:r>
      <w:r w:rsidR="0034314A">
        <w:rPr>
          <w:rFonts w:asciiTheme="minorHAnsi" w:hAnsiTheme="minorHAnsi" w:cstheme="minorHAnsi"/>
          <w:sz w:val="24"/>
          <w:szCs w:val="24"/>
        </w:rPr>
        <w:t xml:space="preserve"> This design will allow us to assess individual variability in level of subjective burden within participants, as well as any potential order effects in subjective burden based on answering a high burden survey firs</w:t>
      </w:r>
      <w:r w:rsidR="006C7446">
        <w:rPr>
          <w:rFonts w:asciiTheme="minorHAnsi" w:hAnsiTheme="minorHAnsi" w:cstheme="minorHAnsi"/>
          <w:sz w:val="24"/>
          <w:szCs w:val="24"/>
        </w:rPr>
        <w:t>t vs. a low burden survey first, as t</w:t>
      </w:r>
      <w:r w:rsidR="000B7D5A">
        <w:rPr>
          <w:rFonts w:asciiTheme="minorHAnsi" w:hAnsiTheme="minorHAnsi" w:cstheme="minorHAnsi"/>
          <w:sz w:val="24"/>
          <w:szCs w:val="24"/>
        </w:rPr>
        <w:t xml:space="preserve">here is mixed evidence in the survey methods literature regarding whether </w:t>
      </w:r>
      <w:r w:rsidR="006C7446">
        <w:rPr>
          <w:rFonts w:asciiTheme="minorHAnsi" w:hAnsiTheme="minorHAnsi" w:cstheme="minorHAnsi"/>
          <w:sz w:val="24"/>
          <w:szCs w:val="24"/>
        </w:rPr>
        <w:t xml:space="preserve">answering a complex, multi-wave survey affects burden outcomes </w:t>
      </w:r>
      <w:r w:rsidR="00896A20">
        <w:rPr>
          <w:rFonts w:asciiTheme="minorHAnsi" w:hAnsiTheme="minorHAnsi" w:cstheme="minorHAnsi"/>
          <w:sz w:val="24"/>
          <w:szCs w:val="24"/>
        </w:rPr>
        <w:t xml:space="preserve">or not </w:t>
      </w:r>
      <w:r w:rsidR="006C7446">
        <w:rPr>
          <w:rFonts w:asciiTheme="minorHAnsi" w:hAnsiTheme="minorHAnsi" w:cstheme="minorHAnsi"/>
          <w:sz w:val="24"/>
          <w:szCs w:val="24"/>
        </w:rPr>
        <w:t xml:space="preserve">(e.g., Rodhouse et al., 2018; McCarthy et al., 2006; Sinibaldi &amp; Karlsson, 2016). </w:t>
      </w:r>
    </w:p>
    <w:p w14:paraId="26E5233B" w14:textId="3963CF8E" w:rsidR="00533E34" w:rsidRDefault="00533E34" w:rsidP="00533E34">
      <w:pPr>
        <w:pStyle w:val="BodyText"/>
        <w:numPr>
          <w:ilvl w:val="0"/>
          <w:numId w:val="42"/>
        </w:numPr>
        <w:spacing w:after="240" w:line="276" w:lineRule="auto"/>
        <w:rPr>
          <w:rFonts w:asciiTheme="minorHAnsi" w:hAnsiTheme="minorHAnsi" w:cstheme="minorHAnsi"/>
          <w:sz w:val="24"/>
          <w:szCs w:val="24"/>
        </w:rPr>
      </w:pPr>
      <w:r>
        <w:rPr>
          <w:rFonts w:asciiTheme="minorHAnsi" w:hAnsiTheme="minorHAnsi" w:cstheme="minorHAnsi"/>
          <w:sz w:val="24"/>
          <w:szCs w:val="24"/>
        </w:rPr>
        <w:t>We will also embed an experiment where half of the participants receive a scale item that states “A little” and the other half “Somewhat”</w:t>
      </w:r>
      <w:r w:rsidR="003F47F6">
        <w:rPr>
          <w:rFonts w:asciiTheme="minorHAnsi" w:hAnsiTheme="minorHAnsi" w:cstheme="minorHAnsi"/>
          <w:sz w:val="24"/>
          <w:szCs w:val="24"/>
        </w:rPr>
        <w:t xml:space="preserve"> </w:t>
      </w:r>
      <w:r w:rsidR="0016517D">
        <w:rPr>
          <w:rFonts w:asciiTheme="minorHAnsi" w:hAnsiTheme="minorHAnsi" w:cstheme="minorHAnsi"/>
          <w:sz w:val="24"/>
          <w:szCs w:val="24"/>
        </w:rPr>
        <w:t xml:space="preserve">for the subjective burden items (See Attachments B and C for the exact items that this experiment pertains to). </w:t>
      </w:r>
      <w:r>
        <w:rPr>
          <w:rFonts w:asciiTheme="minorHAnsi" w:hAnsiTheme="minorHAnsi" w:cstheme="minorHAnsi"/>
          <w:sz w:val="24"/>
          <w:szCs w:val="24"/>
        </w:rPr>
        <w:t xml:space="preserve"> Due to a lack of consensus in the survey methods literature on which qualifier is best to use, we plan to assess the distributions of our rating scales to determine whether responses differ based upon each of the qualifiers. </w:t>
      </w:r>
    </w:p>
    <w:p w14:paraId="3F854D73" w14:textId="77777777" w:rsidR="00533E34" w:rsidRPr="00533E34" w:rsidRDefault="00533E34" w:rsidP="00533E34">
      <w:pPr>
        <w:pStyle w:val="BodyText"/>
        <w:spacing w:after="240" w:line="276" w:lineRule="auto"/>
        <w:ind w:left="720"/>
        <w:rPr>
          <w:rFonts w:asciiTheme="minorHAnsi" w:hAnsiTheme="minorHAnsi" w:cstheme="minorHAnsi"/>
          <w:sz w:val="24"/>
          <w:szCs w:val="24"/>
        </w:rPr>
      </w:pPr>
    </w:p>
    <w:p w14:paraId="4A4D5E9D" w14:textId="15338A19" w:rsidR="00A6304A" w:rsidRDefault="00A6304A" w:rsidP="00991453">
      <w:pPr>
        <w:pStyle w:val="BodyText"/>
        <w:spacing w:after="240" w:line="276" w:lineRule="auto"/>
        <w:rPr>
          <w:rFonts w:asciiTheme="minorHAnsi" w:hAnsiTheme="minorHAnsi" w:cstheme="minorHAnsi"/>
          <w:sz w:val="24"/>
          <w:szCs w:val="24"/>
        </w:rPr>
      </w:pPr>
      <w:r w:rsidRPr="00A6304A">
        <w:rPr>
          <w:rFonts w:asciiTheme="minorHAnsi" w:hAnsiTheme="minorHAnsi" w:cstheme="minorHAnsi"/>
          <w:b/>
          <w:sz w:val="24"/>
          <w:szCs w:val="24"/>
          <w:u w:val="single"/>
        </w:rPr>
        <w:t>Pretesting</w:t>
      </w:r>
    </w:p>
    <w:p w14:paraId="5865DA25" w14:textId="472CA2CC" w:rsidR="0092576F" w:rsidRDefault="00410066" w:rsidP="00991453">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We will conduct a pretesting phase of this research to assess the measures to be used in the final survey instrument. The pretesting phase will be a very short version of the first survey</w:t>
      </w:r>
      <w:r w:rsidR="00C963EB">
        <w:rPr>
          <w:rFonts w:asciiTheme="minorHAnsi" w:hAnsiTheme="minorHAnsi" w:cstheme="minorHAnsi"/>
          <w:sz w:val="24"/>
          <w:szCs w:val="24"/>
        </w:rPr>
        <w:t xml:space="preserve">, where </w:t>
      </w:r>
      <w:r w:rsidR="003B418E">
        <w:rPr>
          <w:rFonts w:asciiTheme="minorHAnsi" w:hAnsiTheme="minorHAnsi" w:cstheme="minorHAnsi"/>
          <w:sz w:val="24"/>
          <w:szCs w:val="24"/>
        </w:rPr>
        <w:t>participants</w:t>
      </w:r>
      <w:r w:rsidR="00C963EB">
        <w:rPr>
          <w:rFonts w:asciiTheme="minorHAnsi" w:hAnsiTheme="minorHAnsi" w:cstheme="minorHAnsi"/>
          <w:sz w:val="24"/>
          <w:szCs w:val="24"/>
        </w:rPr>
        <w:t xml:space="preserve"> answer questions </w:t>
      </w:r>
      <w:r w:rsidR="00032CA4">
        <w:rPr>
          <w:rFonts w:asciiTheme="minorHAnsi" w:hAnsiTheme="minorHAnsi" w:cstheme="minorHAnsi"/>
          <w:sz w:val="24"/>
          <w:szCs w:val="24"/>
        </w:rPr>
        <w:t xml:space="preserve">that currently appear on federal surveys, were pretested to potentially appear on federal surveys, or are approximately the same question as one that appears on a federal survey to be adapted for an online mode with an mTurk audience. The pretest will be done </w:t>
      </w:r>
      <w:r>
        <w:rPr>
          <w:rFonts w:asciiTheme="minorHAnsi" w:hAnsiTheme="minorHAnsi" w:cstheme="minorHAnsi"/>
          <w:sz w:val="24"/>
          <w:szCs w:val="24"/>
        </w:rPr>
        <w:t>to ensure that the burden measures being used have high construct validity and are measuring the construct o</w:t>
      </w:r>
      <w:r w:rsidR="003B418E">
        <w:rPr>
          <w:rFonts w:asciiTheme="minorHAnsi" w:hAnsiTheme="minorHAnsi" w:cstheme="minorHAnsi"/>
          <w:sz w:val="24"/>
          <w:szCs w:val="24"/>
        </w:rPr>
        <w:t>f burden and its multidimensional nature</w:t>
      </w:r>
      <w:r>
        <w:rPr>
          <w:rFonts w:asciiTheme="minorHAnsi" w:hAnsiTheme="minorHAnsi" w:cstheme="minorHAnsi"/>
          <w:sz w:val="24"/>
          <w:szCs w:val="24"/>
        </w:rPr>
        <w:t xml:space="preserve"> as accurately as possible. </w:t>
      </w:r>
      <w:r w:rsidR="00C963EB">
        <w:rPr>
          <w:rFonts w:asciiTheme="minorHAnsi" w:hAnsiTheme="minorHAnsi" w:cstheme="minorHAnsi"/>
          <w:sz w:val="24"/>
          <w:szCs w:val="24"/>
        </w:rPr>
        <w:t xml:space="preserve">Participants </w:t>
      </w:r>
      <w:r w:rsidR="0035064E">
        <w:rPr>
          <w:rFonts w:asciiTheme="minorHAnsi" w:hAnsiTheme="minorHAnsi" w:cstheme="minorHAnsi"/>
          <w:sz w:val="24"/>
          <w:szCs w:val="24"/>
        </w:rPr>
        <w:t xml:space="preserve">will be randomly assigned to either the Low or High burden conditions. </w:t>
      </w:r>
      <w:r w:rsidR="00C963EB">
        <w:rPr>
          <w:rFonts w:asciiTheme="minorHAnsi" w:hAnsiTheme="minorHAnsi" w:cstheme="minorHAnsi"/>
          <w:sz w:val="24"/>
          <w:szCs w:val="24"/>
        </w:rPr>
        <w:t xml:space="preserve">They will then </w:t>
      </w:r>
      <w:r w:rsidR="00C963EB" w:rsidRPr="00C963EB">
        <w:rPr>
          <w:rFonts w:asciiTheme="minorHAnsi" w:hAnsiTheme="minorHAnsi" w:cstheme="minorHAnsi"/>
          <w:sz w:val="24"/>
          <w:szCs w:val="24"/>
        </w:rPr>
        <w:t>answer a set of questions about themselves and as a proxy for up to one additional household member</w:t>
      </w:r>
      <w:r w:rsidR="00F448D9">
        <w:rPr>
          <w:rFonts w:asciiTheme="minorHAnsi" w:hAnsiTheme="minorHAnsi" w:cstheme="minorHAnsi"/>
          <w:sz w:val="24"/>
          <w:szCs w:val="24"/>
        </w:rPr>
        <w:t>, randomly selected</w:t>
      </w:r>
      <w:r w:rsidR="00C963EB" w:rsidRPr="00C963EB">
        <w:rPr>
          <w:rFonts w:asciiTheme="minorHAnsi" w:hAnsiTheme="minorHAnsi" w:cstheme="minorHAnsi"/>
          <w:sz w:val="24"/>
          <w:szCs w:val="24"/>
        </w:rPr>
        <w:t xml:space="preserve">. </w:t>
      </w:r>
      <w:r w:rsidR="002D6A39">
        <w:rPr>
          <w:rFonts w:asciiTheme="minorHAnsi" w:hAnsiTheme="minorHAnsi" w:cstheme="minorHAnsi"/>
          <w:sz w:val="24"/>
          <w:szCs w:val="24"/>
        </w:rPr>
        <w:t>They will then be asked follow-up questions</w:t>
      </w:r>
      <w:r w:rsidR="0092576F">
        <w:rPr>
          <w:rFonts w:asciiTheme="minorHAnsi" w:hAnsiTheme="minorHAnsi" w:cstheme="minorHAnsi"/>
          <w:sz w:val="24"/>
          <w:szCs w:val="24"/>
        </w:rPr>
        <w:t>, first a set of open-ended questions about their experience completing the survey, and then questions</w:t>
      </w:r>
      <w:r w:rsidR="002D6A39">
        <w:rPr>
          <w:rFonts w:asciiTheme="minorHAnsi" w:hAnsiTheme="minorHAnsi" w:cstheme="minorHAnsi"/>
          <w:sz w:val="24"/>
          <w:szCs w:val="24"/>
        </w:rPr>
        <w:t xml:space="preserve"> about how burdensome they perceived the survey </w:t>
      </w:r>
      <w:r w:rsidR="00C963EB">
        <w:rPr>
          <w:rFonts w:asciiTheme="minorHAnsi" w:hAnsiTheme="minorHAnsi" w:cstheme="minorHAnsi"/>
          <w:sz w:val="24"/>
          <w:szCs w:val="24"/>
        </w:rPr>
        <w:t>to be. These measures will be used to validate that the Low and High burden conditions elicit</w:t>
      </w:r>
      <w:r w:rsidR="003B418E">
        <w:rPr>
          <w:rFonts w:asciiTheme="minorHAnsi" w:hAnsiTheme="minorHAnsi" w:cstheme="minorHAnsi"/>
          <w:sz w:val="24"/>
          <w:szCs w:val="24"/>
        </w:rPr>
        <w:t>ed</w:t>
      </w:r>
      <w:r w:rsidR="00C963EB">
        <w:rPr>
          <w:rFonts w:asciiTheme="minorHAnsi" w:hAnsiTheme="minorHAnsi" w:cstheme="minorHAnsi"/>
          <w:sz w:val="24"/>
          <w:szCs w:val="24"/>
        </w:rPr>
        <w:t xml:space="preserve"> the intended level of burden in participants. Afterward, participants will rate a set of words that may or may not have described their experience completing the survey</w:t>
      </w:r>
      <w:r w:rsidR="00F84C15">
        <w:rPr>
          <w:rFonts w:asciiTheme="minorHAnsi" w:hAnsiTheme="minorHAnsi" w:cstheme="minorHAnsi"/>
          <w:sz w:val="24"/>
          <w:szCs w:val="24"/>
        </w:rPr>
        <w:t xml:space="preserve">, because there are over 30 words that need to be pretested, we will divide the pre-testing sample into thirds, asking participants to rate a subset of </w:t>
      </w:r>
      <w:r w:rsidR="00656258">
        <w:rPr>
          <w:rFonts w:asciiTheme="minorHAnsi" w:hAnsiTheme="minorHAnsi" w:cstheme="minorHAnsi"/>
          <w:sz w:val="24"/>
          <w:szCs w:val="24"/>
        </w:rPr>
        <w:t xml:space="preserve">13 </w:t>
      </w:r>
      <w:r w:rsidR="00F84C15">
        <w:rPr>
          <w:rFonts w:asciiTheme="minorHAnsi" w:hAnsiTheme="minorHAnsi" w:cstheme="minorHAnsi"/>
          <w:sz w:val="24"/>
          <w:szCs w:val="24"/>
        </w:rPr>
        <w:t>of the words only</w:t>
      </w:r>
      <w:r w:rsidR="00C963EB">
        <w:rPr>
          <w:rFonts w:asciiTheme="minorHAnsi" w:hAnsiTheme="minorHAnsi" w:cstheme="minorHAnsi"/>
          <w:sz w:val="24"/>
          <w:szCs w:val="24"/>
        </w:rPr>
        <w:t xml:space="preserve">. We will obtain ratings of how positive or negative </w:t>
      </w:r>
      <w:r w:rsidR="003B418E">
        <w:rPr>
          <w:rFonts w:asciiTheme="minorHAnsi" w:hAnsiTheme="minorHAnsi" w:cstheme="minorHAnsi"/>
          <w:sz w:val="24"/>
          <w:szCs w:val="24"/>
        </w:rPr>
        <w:t>participants</w:t>
      </w:r>
      <w:r w:rsidR="00C963EB">
        <w:rPr>
          <w:rFonts w:asciiTheme="minorHAnsi" w:hAnsiTheme="minorHAnsi" w:cstheme="minorHAnsi"/>
          <w:sz w:val="24"/>
          <w:szCs w:val="24"/>
        </w:rPr>
        <w:t xml:space="preserve"> find each word</w:t>
      </w:r>
      <w:r w:rsidR="00F84C15">
        <w:rPr>
          <w:rFonts w:asciiTheme="minorHAnsi" w:hAnsiTheme="minorHAnsi" w:cstheme="minorHAnsi"/>
          <w:sz w:val="24"/>
          <w:szCs w:val="24"/>
        </w:rPr>
        <w:t>, and to select which of those 10 words reflect their experience completing the survey</w:t>
      </w:r>
      <w:r w:rsidR="00C963EB">
        <w:rPr>
          <w:rFonts w:asciiTheme="minorHAnsi" w:hAnsiTheme="minorHAnsi" w:cstheme="minorHAnsi"/>
          <w:sz w:val="24"/>
          <w:szCs w:val="24"/>
        </w:rPr>
        <w:t>. The results from this pretesting will help us select words to include in a word bank in the final survey instrument, where participants will complete a word bank task asking them to</w:t>
      </w:r>
      <w:r w:rsidR="00F84C15">
        <w:rPr>
          <w:rFonts w:asciiTheme="minorHAnsi" w:hAnsiTheme="minorHAnsi" w:cstheme="minorHAnsi"/>
          <w:sz w:val="24"/>
          <w:szCs w:val="24"/>
        </w:rPr>
        <w:t xml:space="preserve"> select</w:t>
      </w:r>
      <w:r w:rsidR="00C963EB">
        <w:rPr>
          <w:rFonts w:asciiTheme="minorHAnsi" w:hAnsiTheme="minorHAnsi" w:cstheme="minorHAnsi"/>
          <w:sz w:val="24"/>
          <w:szCs w:val="24"/>
        </w:rPr>
        <w:t xml:space="preserve"> </w:t>
      </w:r>
      <w:r w:rsidR="00F84C15">
        <w:rPr>
          <w:rFonts w:asciiTheme="minorHAnsi" w:hAnsiTheme="minorHAnsi" w:cstheme="minorHAnsi"/>
          <w:sz w:val="24"/>
          <w:szCs w:val="24"/>
        </w:rPr>
        <w:t>up to 15 presented words</w:t>
      </w:r>
      <w:r w:rsidR="00C963EB">
        <w:rPr>
          <w:rFonts w:asciiTheme="minorHAnsi" w:hAnsiTheme="minorHAnsi" w:cstheme="minorHAnsi"/>
          <w:sz w:val="24"/>
          <w:szCs w:val="24"/>
        </w:rPr>
        <w:t xml:space="preserve"> (positive, negative, and neutral) that describe</w:t>
      </w:r>
      <w:r w:rsidR="003B418E">
        <w:rPr>
          <w:rFonts w:asciiTheme="minorHAnsi" w:hAnsiTheme="minorHAnsi" w:cstheme="minorHAnsi"/>
          <w:sz w:val="24"/>
          <w:szCs w:val="24"/>
        </w:rPr>
        <w:t>d</w:t>
      </w:r>
      <w:r w:rsidR="00C963EB">
        <w:rPr>
          <w:rFonts w:asciiTheme="minorHAnsi" w:hAnsiTheme="minorHAnsi" w:cstheme="minorHAnsi"/>
          <w:sz w:val="24"/>
          <w:szCs w:val="24"/>
        </w:rPr>
        <w:t xml:space="preserve"> their experience completing the survey questions. </w:t>
      </w:r>
      <w:r w:rsidR="0092576F">
        <w:rPr>
          <w:rFonts w:asciiTheme="minorHAnsi" w:hAnsiTheme="minorHAnsi" w:cstheme="minorHAnsi"/>
          <w:sz w:val="24"/>
          <w:szCs w:val="24"/>
        </w:rPr>
        <w:t xml:space="preserve">Pretesting is required to verify the words we categorized as positive, negative, or neutral are perceived as such to participants. </w:t>
      </w:r>
      <w:r w:rsidR="008734FD">
        <w:rPr>
          <w:rFonts w:asciiTheme="minorHAnsi" w:hAnsiTheme="minorHAnsi" w:cstheme="minorHAnsi"/>
          <w:sz w:val="24"/>
          <w:szCs w:val="24"/>
        </w:rPr>
        <w:t xml:space="preserve">These words are based on feedback from focus group participants who were former ACS respondents. </w:t>
      </w:r>
    </w:p>
    <w:p w14:paraId="7545AB7C" w14:textId="6D68042E" w:rsidR="00A6304A" w:rsidRPr="00A6304A" w:rsidRDefault="00C963EB" w:rsidP="00991453">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Because this research involves pretesting, interim results from the pretesting phase will be used iteratively to generate the final instrument for Survey 1 and 2. </w:t>
      </w:r>
      <w:r w:rsidR="00BC006C">
        <w:rPr>
          <w:rFonts w:asciiTheme="minorHAnsi" w:hAnsiTheme="minorHAnsi" w:cstheme="minorHAnsi"/>
          <w:sz w:val="24"/>
          <w:szCs w:val="24"/>
        </w:rPr>
        <w:t xml:space="preserve">To see the entire Prestesting protocol, see Appendix </w:t>
      </w:r>
      <w:r w:rsidR="00045285">
        <w:rPr>
          <w:rFonts w:asciiTheme="minorHAnsi" w:hAnsiTheme="minorHAnsi" w:cstheme="minorHAnsi"/>
          <w:sz w:val="24"/>
          <w:szCs w:val="24"/>
        </w:rPr>
        <w:t>A</w:t>
      </w:r>
      <w:r w:rsidR="00BC006C">
        <w:rPr>
          <w:rFonts w:asciiTheme="minorHAnsi" w:hAnsiTheme="minorHAnsi" w:cstheme="minorHAnsi"/>
          <w:sz w:val="24"/>
          <w:szCs w:val="24"/>
        </w:rPr>
        <w:t xml:space="preserve">. </w:t>
      </w:r>
    </w:p>
    <w:p w14:paraId="1BC49E48" w14:textId="36EC2981" w:rsidR="001453D7" w:rsidRPr="001453D7" w:rsidRDefault="001453D7" w:rsidP="001453D7">
      <w:pPr>
        <w:pStyle w:val="BodyText"/>
        <w:spacing w:after="240" w:line="276" w:lineRule="auto"/>
        <w:rPr>
          <w:rFonts w:asciiTheme="minorHAnsi" w:hAnsiTheme="minorHAnsi" w:cstheme="minorHAnsi"/>
          <w:sz w:val="24"/>
          <w:szCs w:val="24"/>
          <w:u w:val="single"/>
        </w:rPr>
      </w:pPr>
      <w:r w:rsidRPr="001453D7">
        <w:rPr>
          <w:rFonts w:asciiTheme="minorHAnsi" w:hAnsiTheme="minorHAnsi" w:cstheme="minorHAnsi"/>
          <w:b/>
          <w:sz w:val="24"/>
          <w:szCs w:val="24"/>
          <w:u w:val="single"/>
        </w:rPr>
        <w:t>Survey 1</w:t>
      </w:r>
    </w:p>
    <w:p w14:paraId="2B73B51F" w14:textId="32DCFAB0" w:rsidR="00DD0DBF" w:rsidRDefault="00BC006C" w:rsidP="00975583">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Results from the </w:t>
      </w:r>
      <w:r w:rsidR="00CB1C86">
        <w:rPr>
          <w:rFonts w:asciiTheme="minorHAnsi" w:hAnsiTheme="minorHAnsi" w:cstheme="minorHAnsi"/>
          <w:sz w:val="24"/>
          <w:szCs w:val="24"/>
        </w:rPr>
        <w:t xml:space="preserve">Word Bank task in the </w:t>
      </w:r>
      <w:r>
        <w:rPr>
          <w:rFonts w:asciiTheme="minorHAnsi" w:hAnsiTheme="minorHAnsi" w:cstheme="minorHAnsi"/>
          <w:sz w:val="24"/>
          <w:szCs w:val="24"/>
        </w:rPr>
        <w:t xml:space="preserve">Pretesting Survey will be used to inform the final design of Survey 1. </w:t>
      </w:r>
      <w:r w:rsidR="001453D7">
        <w:rPr>
          <w:rFonts w:asciiTheme="minorHAnsi" w:hAnsiTheme="minorHAnsi" w:cstheme="minorHAnsi"/>
          <w:sz w:val="24"/>
          <w:szCs w:val="24"/>
        </w:rPr>
        <w:t xml:space="preserve">In the first survey, participants will start </w:t>
      </w:r>
      <w:r w:rsidR="00975583">
        <w:rPr>
          <w:rFonts w:asciiTheme="minorHAnsi" w:hAnsiTheme="minorHAnsi" w:cstheme="minorHAnsi"/>
          <w:sz w:val="24"/>
          <w:szCs w:val="24"/>
        </w:rPr>
        <w:t>by imagining they received a letter in the mail informing them they have been randomly selected to participate in a federal survey, the letter will reflect the information from the Low vs. High burden conditions. Participants will then proceed to complete the actual survey questions, completing</w:t>
      </w:r>
      <w:r w:rsidR="001453D7">
        <w:rPr>
          <w:rFonts w:asciiTheme="minorHAnsi" w:hAnsiTheme="minorHAnsi" w:cstheme="minorHAnsi"/>
          <w:sz w:val="24"/>
          <w:szCs w:val="24"/>
        </w:rPr>
        <w:t xml:space="preserve"> a</w:t>
      </w:r>
      <w:r w:rsidR="001453D7" w:rsidRPr="00F564E0">
        <w:rPr>
          <w:rFonts w:asciiTheme="minorHAnsi" w:hAnsiTheme="minorHAnsi" w:cstheme="minorHAnsi"/>
          <w:sz w:val="24"/>
          <w:szCs w:val="24"/>
        </w:rPr>
        <w:t xml:space="preserve"> series of questions</w:t>
      </w:r>
      <w:r w:rsidR="00F448D9">
        <w:rPr>
          <w:rFonts w:asciiTheme="minorHAnsi" w:hAnsiTheme="minorHAnsi" w:cstheme="minorHAnsi"/>
          <w:sz w:val="24"/>
          <w:szCs w:val="24"/>
        </w:rPr>
        <w:t xml:space="preserve"> drawn from the aforementioned federal surveys</w:t>
      </w:r>
      <w:r w:rsidR="00757D6B">
        <w:rPr>
          <w:rFonts w:asciiTheme="minorHAnsi" w:hAnsiTheme="minorHAnsi" w:cstheme="minorHAnsi"/>
          <w:sz w:val="24"/>
          <w:szCs w:val="24"/>
        </w:rPr>
        <w:t xml:space="preserve"> (see Attachment G)</w:t>
      </w:r>
      <w:r w:rsidR="00F448D9">
        <w:rPr>
          <w:rFonts w:asciiTheme="minorHAnsi" w:hAnsiTheme="minorHAnsi" w:cstheme="minorHAnsi"/>
          <w:sz w:val="24"/>
          <w:szCs w:val="24"/>
        </w:rPr>
        <w:t>.</w:t>
      </w:r>
      <w:r w:rsidR="001313C6">
        <w:rPr>
          <w:rFonts w:asciiTheme="minorHAnsi" w:hAnsiTheme="minorHAnsi" w:cstheme="minorHAnsi"/>
          <w:sz w:val="24"/>
          <w:szCs w:val="24"/>
        </w:rPr>
        <w:t xml:space="preserve"> The items in Attachment G will serve as demographic items about the participants in this study – they will not be asked to report their demographics outside of these questions.</w:t>
      </w:r>
      <w:r w:rsidR="00F448D9">
        <w:rPr>
          <w:rFonts w:asciiTheme="minorHAnsi" w:hAnsiTheme="minorHAnsi" w:cstheme="minorHAnsi"/>
          <w:sz w:val="24"/>
          <w:szCs w:val="24"/>
        </w:rPr>
        <w:t xml:space="preserve"> They will answer these questions for themselves and </w:t>
      </w:r>
      <w:r w:rsidR="00975583">
        <w:rPr>
          <w:rFonts w:asciiTheme="minorHAnsi" w:hAnsiTheme="minorHAnsi" w:cstheme="minorHAnsi"/>
          <w:sz w:val="24"/>
          <w:szCs w:val="24"/>
        </w:rPr>
        <w:t xml:space="preserve">up to two other randomly selected household members. </w:t>
      </w:r>
      <w:r w:rsidR="001453D7" w:rsidRPr="00F564E0">
        <w:rPr>
          <w:rFonts w:asciiTheme="minorHAnsi" w:hAnsiTheme="minorHAnsi" w:cstheme="minorHAnsi"/>
          <w:sz w:val="24"/>
          <w:szCs w:val="24"/>
        </w:rPr>
        <w:t xml:space="preserve"> </w:t>
      </w:r>
      <w:r w:rsidR="0092576F">
        <w:rPr>
          <w:rFonts w:asciiTheme="minorHAnsi" w:hAnsiTheme="minorHAnsi" w:cstheme="minorHAnsi"/>
          <w:sz w:val="24"/>
          <w:szCs w:val="24"/>
        </w:rPr>
        <w:t xml:space="preserve">They will then be asked follow-up questions, first a set of open-ended questions about their experience completing the survey, and then questions about how burdensome they perceived the survey to be. Participants will then </w:t>
      </w:r>
      <w:r w:rsidR="00CA6743">
        <w:rPr>
          <w:rFonts w:asciiTheme="minorHAnsi" w:hAnsiTheme="minorHAnsi" w:cstheme="minorHAnsi"/>
          <w:sz w:val="24"/>
          <w:szCs w:val="24"/>
        </w:rPr>
        <w:t xml:space="preserve">complete </w:t>
      </w:r>
      <w:r w:rsidR="0007257B">
        <w:rPr>
          <w:rFonts w:asciiTheme="minorHAnsi" w:hAnsiTheme="minorHAnsi" w:cstheme="minorHAnsi"/>
          <w:sz w:val="24"/>
          <w:szCs w:val="24"/>
        </w:rPr>
        <w:t xml:space="preserve">the previously mentioned </w:t>
      </w:r>
      <w:r w:rsidR="00CA6743">
        <w:rPr>
          <w:rFonts w:asciiTheme="minorHAnsi" w:hAnsiTheme="minorHAnsi" w:cstheme="minorHAnsi"/>
          <w:sz w:val="24"/>
          <w:szCs w:val="24"/>
        </w:rPr>
        <w:t>word bank task, where they will be asked to select the words that describe their experience completing the survey. We will select the final words to include</w:t>
      </w:r>
      <w:r w:rsidR="003B418E">
        <w:rPr>
          <w:rFonts w:asciiTheme="minorHAnsi" w:hAnsiTheme="minorHAnsi" w:cstheme="minorHAnsi"/>
          <w:sz w:val="24"/>
          <w:szCs w:val="24"/>
        </w:rPr>
        <w:t xml:space="preserve"> in the word bank</w:t>
      </w:r>
      <w:r w:rsidR="00CA6743">
        <w:rPr>
          <w:rFonts w:asciiTheme="minorHAnsi" w:hAnsiTheme="minorHAnsi" w:cstheme="minorHAnsi"/>
          <w:sz w:val="24"/>
          <w:szCs w:val="24"/>
        </w:rPr>
        <w:t xml:space="preserve"> based on the Pretesting results. The words will be shown in random order to avoid order effects. Finally, participants will complete items aimed to assess the level of subjective burden they experienced while answering the survey questions. See Appendix </w:t>
      </w:r>
      <w:r w:rsidR="00045285">
        <w:rPr>
          <w:rFonts w:asciiTheme="minorHAnsi" w:hAnsiTheme="minorHAnsi" w:cstheme="minorHAnsi"/>
          <w:sz w:val="24"/>
          <w:szCs w:val="24"/>
        </w:rPr>
        <w:t xml:space="preserve">B </w:t>
      </w:r>
      <w:r w:rsidR="00CA6743">
        <w:rPr>
          <w:rFonts w:asciiTheme="minorHAnsi" w:hAnsiTheme="minorHAnsi" w:cstheme="minorHAnsi"/>
          <w:sz w:val="24"/>
          <w:szCs w:val="24"/>
        </w:rPr>
        <w:t>for the full Survey 1 instrument.</w:t>
      </w:r>
    </w:p>
    <w:p w14:paraId="515959E4" w14:textId="6BDA6607" w:rsidR="00954B5B" w:rsidRPr="00954B5B" w:rsidRDefault="00954B5B" w:rsidP="000B41AF">
      <w:pPr>
        <w:pStyle w:val="BodyText"/>
        <w:spacing w:after="240" w:line="276" w:lineRule="auto"/>
        <w:rPr>
          <w:rFonts w:asciiTheme="minorHAnsi" w:hAnsiTheme="minorHAnsi" w:cstheme="minorHAnsi"/>
          <w:b/>
          <w:sz w:val="24"/>
          <w:szCs w:val="24"/>
          <w:u w:val="single"/>
        </w:rPr>
      </w:pPr>
      <w:r w:rsidRPr="00954B5B">
        <w:rPr>
          <w:rFonts w:asciiTheme="minorHAnsi" w:hAnsiTheme="minorHAnsi" w:cstheme="minorHAnsi"/>
          <w:b/>
          <w:sz w:val="24"/>
          <w:szCs w:val="24"/>
          <w:u w:val="single"/>
        </w:rPr>
        <w:t>Survey 2</w:t>
      </w:r>
    </w:p>
    <w:p w14:paraId="6EC6B3F3" w14:textId="07EB2CA8" w:rsidR="00CA6743" w:rsidRDefault="001E7163" w:rsidP="000B41AF">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About one </w:t>
      </w:r>
      <w:r w:rsidR="00CA6743">
        <w:rPr>
          <w:rFonts w:asciiTheme="minorHAnsi" w:hAnsiTheme="minorHAnsi" w:cstheme="minorHAnsi"/>
          <w:sz w:val="24"/>
          <w:szCs w:val="24"/>
        </w:rPr>
        <w:t>month</w:t>
      </w:r>
      <w:r>
        <w:rPr>
          <w:rFonts w:asciiTheme="minorHAnsi" w:hAnsiTheme="minorHAnsi" w:cstheme="minorHAnsi"/>
          <w:sz w:val="24"/>
          <w:szCs w:val="24"/>
        </w:rPr>
        <w:t xml:space="preserve"> after participating in the first survey, participants </w:t>
      </w:r>
      <w:r w:rsidR="00090252">
        <w:rPr>
          <w:rFonts w:asciiTheme="minorHAnsi" w:hAnsiTheme="minorHAnsi" w:cstheme="minorHAnsi"/>
          <w:sz w:val="24"/>
          <w:szCs w:val="24"/>
        </w:rPr>
        <w:t xml:space="preserve">who completed Survey 1 </w:t>
      </w:r>
      <w:r>
        <w:rPr>
          <w:rFonts w:asciiTheme="minorHAnsi" w:hAnsiTheme="minorHAnsi" w:cstheme="minorHAnsi"/>
          <w:sz w:val="24"/>
          <w:szCs w:val="24"/>
        </w:rPr>
        <w:t xml:space="preserve">will be invited to complete a follow-up survey. </w:t>
      </w:r>
      <w:r w:rsidR="00DC3E72">
        <w:rPr>
          <w:rFonts w:asciiTheme="minorHAnsi" w:hAnsiTheme="minorHAnsi" w:cstheme="minorHAnsi"/>
          <w:sz w:val="24"/>
          <w:szCs w:val="24"/>
        </w:rPr>
        <w:t>Participants who provided their Mechanical Turk ID in Survey 1 will receive the invitation</w:t>
      </w:r>
      <w:r>
        <w:rPr>
          <w:rFonts w:asciiTheme="minorHAnsi" w:hAnsiTheme="minorHAnsi" w:cstheme="minorHAnsi"/>
          <w:sz w:val="24"/>
          <w:szCs w:val="24"/>
        </w:rPr>
        <w:t xml:space="preserve"> </w:t>
      </w:r>
      <w:r w:rsidR="00B264EE">
        <w:rPr>
          <w:rFonts w:asciiTheme="minorHAnsi" w:hAnsiTheme="minorHAnsi" w:cstheme="minorHAnsi"/>
          <w:sz w:val="24"/>
          <w:szCs w:val="24"/>
        </w:rPr>
        <w:t>via</w:t>
      </w:r>
      <w:r>
        <w:rPr>
          <w:rFonts w:asciiTheme="minorHAnsi" w:hAnsiTheme="minorHAnsi" w:cstheme="minorHAnsi"/>
          <w:sz w:val="24"/>
          <w:szCs w:val="24"/>
        </w:rPr>
        <w:t xml:space="preserve"> their Mechanical Turk account explaining that they previously participated in a survey </w:t>
      </w:r>
      <w:r w:rsidR="00CA6743">
        <w:rPr>
          <w:rFonts w:asciiTheme="minorHAnsi" w:hAnsiTheme="minorHAnsi" w:cstheme="minorHAnsi"/>
          <w:sz w:val="24"/>
          <w:szCs w:val="24"/>
        </w:rPr>
        <w:t xml:space="preserve">about data collection for </w:t>
      </w:r>
      <w:r>
        <w:rPr>
          <w:rFonts w:asciiTheme="minorHAnsi" w:hAnsiTheme="minorHAnsi" w:cstheme="minorHAnsi"/>
          <w:sz w:val="24"/>
          <w:szCs w:val="24"/>
        </w:rPr>
        <w:t>BLS, and that they’re invited to complete a follow-up survey.</w:t>
      </w:r>
      <w:r w:rsidR="006D2BF4">
        <w:rPr>
          <w:rFonts w:asciiTheme="minorHAnsi" w:hAnsiTheme="minorHAnsi" w:cstheme="minorHAnsi"/>
          <w:sz w:val="24"/>
          <w:szCs w:val="24"/>
        </w:rPr>
        <w:t xml:space="preserve"> </w:t>
      </w:r>
      <w:r w:rsidR="00FA6492">
        <w:rPr>
          <w:rFonts w:asciiTheme="minorHAnsi" w:hAnsiTheme="minorHAnsi" w:cstheme="minorHAnsi"/>
          <w:sz w:val="24"/>
          <w:szCs w:val="24"/>
        </w:rPr>
        <w:t>T</w:t>
      </w:r>
      <w:r>
        <w:rPr>
          <w:rFonts w:asciiTheme="minorHAnsi" w:hAnsiTheme="minorHAnsi" w:cstheme="minorHAnsi"/>
          <w:sz w:val="24"/>
          <w:szCs w:val="24"/>
        </w:rPr>
        <w:t xml:space="preserve">he survey will assess their memory for </w:t>
      </w:r>
      <w:r w:rsidR="00CA6743">
        <w:rPr>
          <w:rFonts w:asciiTheme="minorHAnsi" w:hAnsiTheme="minorHAnsi" w:cstheme="minorHAnsi"/>
          <w:sz w:val="24"/>
          <w:szCs w:val="24"/>
        </w:rPr>
        <w:t>the burden</w:t>
      </w:r>
      <w:r>
        <w:rPr>
          <w:rFonts w:asciiTheme="minorHAnsi" w:hAnsiTheme="minorHAnsi" w:cstheme="minorHAnsi"/>
          <w:sz w:val="24"/>
          <w:szCs w:val="24"/>
        </w:rPr>
        <w:t xml:space="preserve"> they </w:t>
      </w:r>
      <w:r w:rsidR="00CA6743">
        <w:rPr>
          <w:rFonts w:asciiTheme="minorHAnsi" w:hAnsiTheme="minorHAnsi" w:cstheme="minorHAnsi"/>
          <w:sz w:val="24"/>
          <w:szCs w:val="24"/>
        </w:rPr>
        <w:t>experienced</w:t>
      </w:r>
      <w:r>
        <w:rPr>
          <w:rFonts w:asciiTheme="minorHAnsi" w:hAnsiTheme="minorHAnsi" w:cstheme="minorHAnsi"/>
          <w:sz w:val="24"/>
          <w:szCs w:val="24"/>
        </w:rPr>
        <w:t xml:space="preserve"> in the previous </w:t>
      </w:r>
      <w:r w:rsidR="0007257B">
        <w:rPr>
          <w:rFonts w:asciiTheme="minorHAnsi" w:hAnsiTheme="minorHAnsi" w:cstheme="minorHAnsi"/>
          <w:sz w:val="24"/>
          <w:szCs w:val="24"/>
        </w:rPr>
        <w:t>survey</w:t>
      </w:r>
      <w:r>
        <w:rPr>
          <w:rFonts w:asciiTheme="minorHAnsi" w:hAnsiTheme="minorHAnsi" w:cstheme="minorHAnsi"/>
          <w:sz w:val="24"/>
          <w:szCs w:val="24"/>
        </w:rPr>
        <w:t xml:space="preserve">. </w:t>
      </w:r>
      <w:r w:rsidR="0007257B">
        <w:rPr>
          <w:rFonts w:asciiTheme="minorHAnsi" w:hAnsiTheme="minorHAnsi" w:cstheme="minorHAnsi"/>
          <w:sz w:val="24"/>
          <w:szCs w:val="24"/>
        </w:rPr>
        <w:t>Using this design, w</w:t>
      </w:r>
      <w:r w:rsidR="00E13F63">
        <w:rPr>
          <w:rFonts w:asciiTheme="minorHAnsi" w:hAnsiTheme="minorHAnsi" w:cstheme="minorHAnsi"/>
          <w:sz w:val="24"/>
          <w:szCs w:val="24"/>
        </w:rPr>
        <w:t xml:space="preserve">e will be able to assess what information </w:t>
      </w:r>
      <w:r w:rsidR="00CA6743">
        <w:rPr>
          <w:rFonts w:asciiTheme="minorHAnsi" w:hAnsiTheme="minorHAnsi" w:cstheme="minorHAnsi"/>
          <w:sz w:val="24"/>
          <w:szCs w:val="24"/>
        </w:rPr>
        <w:t>about the survey participants retained over time</w:t>
      </w:r>
      <w:r w:rsidR="00B72D3F">
        <w:rPr>
          <w:rFonts w:asciiTheme="minorHAnsi" w:hAnsiTheme="minorHAnsi" w:cstheme="minorHAnsi"/>
          <w:sz w:val="24"/>
          <w:szCs w:val="24"/>
        </w:rPr>
        <w:t>.</w:t>
      </w:r>
      <w:r w:rsidR="00CA6743">
        <w:rPr>
          <w:rFonts w:asciiTheme="minorHAnsi" w:hAnsiTheme="minorHAnsi" w:cstheme="minorHAnsi"/>
          <w:sz w:val="24"/>
          <w:szCs w:val="24"/>
        </w:rPr>
        <w:t xml:space="preserve"> We will repeat the open-ended questions to assess their memory</w:t>
      </w:r>
      <w:r w:rsidR="003B418E">
        <w:rPr>
          <w:rFonts w:asciiTheme="minorHAnsi" w:hAnsiTheme="minorHAnsi" w:cstheme="minorHAnsi"/>
          <w:sz w:val="24"/>
          <w:szCs w:val="24"/>
        </w:rPr>
        <w:t xml:space="preserve"> for Survey 1</w:t>
      </w:r>
      <w:r w:rsidR="00CA6743">
        <w:rPr>
          <w:rFonts w:asciiTheme="minorHAnsi" w:hAnsiTheme="minorHAnsi" w:cstheme="minorHAnsi"/>
          <w:sz w:val="24"/>
          <w:szCs w:val="24"/>
        </w:rPr>
        <w:t xml:space="preserve">, as well as the word bank task </w:t>
      </w:r>
      <w:r w:rsidR="001951AC">
        <w:rPr>
          <w:rFonts w:asciiTheme="minorHAnsi" w:hAnsiTheme="minorHAnsi" w:cstheme="minorHAnsi"/>
          <w:sz w:val="24"/>
          <w:szCs w:val="24"/>
        </w:rPr>
        <w:t xml:space="preserve">(the same words in the same order that they saw in Survey 1) </w:t>
      </w:r>
      <w:r w:rsidR="00CA6743">
        <w:rPr>
          <w:rFonts w:asciiTheme="minorHAnsi" w:hAnsiTheme="minorHAnsi" w:cstheme="minorHAnsi"/>
          <w:sz w:val="24"/>
          <w:szCs w:val="24"/>
        </w:rPr>
        <w:t>to see how</w:t>
      </w:r>
      <w:r w:rsidR="0007257B">
        <w:rPr>
          <w:rFonts w:asciiTheme="minorHAnsi" w:hAnsiTheme="minorHAnsi" w:cstheme="minorHAnsi"/>
          <w:sz w:val="24"/>
          <w:szCs w:val="24"/>
        </w:rPr>
        <w:t xml:space="preserve"> memory of</w:t>
      </w:r>
      <w:r w:rsidR="00CA6743">
        <w:rPr>
          <w:rFonts w:asciiTheme="minorHAnsi" w:hAnsiTheme="minorHAnsi" w:cstheme="minorHAnsi"/>
          <w:sz w:val="24"/>
          <w:szCs w:val="24"/>
        </w:rPr>
        <w:t xml:space="preserve"> subjective burden is affected over time.</w:t>
      </w:r>
      <w:r w:rsidR="00B72D3F">
        <w:rPr>
          <w:rFonts w:asciiTheme="minorHAnsi" w:hAnsiTheme="minorHAnsi" w:cstheme="minorHAnsi"/>
          <w:sz w:val="24"/>
          <w:szCs w:val="24"/>
        </w:rPr>
        <w:t xml:space="preserve"> </w:t>
      </w:r>
      <w:r w:rsidR="00E13F63">
        <w:rPr>
          <w:rFonts w:asciiTheme="minorHAnsi" w:hAnsiTheme="minorHAnsi" w:cstheme="minorHAnsi"/>
          <w:sz w:val="24"/>
          <w:szCs w:val="24"/>
        </w:rPr>
        <w:t xml:space="preserve">This will provide insight into what information participants recall about </w:t>
      </w:r>
      <w:r w:rsidR="00CA6743">
        <w:rPr>
          <w:rFonts w:asciiTheme="minorHAnsi" w:hAnsiTheme="minorHAnsi" w:cstheme="minorHAnsi"/>
          <w:sz w:val="24"/>
          <w:szCs w:val="24"/>
        </w:rPr>
        <w:t>the survey and what aspects of burden w</w:t>
      </w:r>
      <w:r w:rsidR="003B418E">
        <w:rPr>
          <w:rFonts w:asciiTheme="minorHAnsi" w:hAnsiTheme="minorHAnsi" w:cstheme="minorHAnsi"/>
          <w:sz w:val="24"/>
          <w:szCs w:val="24"/>
        </w:rPr>
        <w:t>ere</w:t>
      </w:r>
      <w:r w:rsidR="00CA6743">
        <w:rPr>
          <w:rFonts w:asciiTheme="minorHAnsi" w:hAnsiTheme="minorHAnsi" w:cstheme="minorHAnsi"/>
          <w:sz w:val="24"/>
          <w:szCs w:val="24"/>
        </w:rPr>
        <w:t xml:space="preserve"> retained in</w:t>
      </w:r>
      <w:r w:rsidR="00E13F63">
        <w:rPr>
          <w:rFonts w:asciiTheme="minorHAnsi" w:hAnsiTheme="minorHAnsi" w:cstheme="minorHAnsi"/>
          <w:sz w:val="24"/>
          <w:szCs w:val="24"/>
        </w:rPr>
        <w:t xml:space="preserve"> long-term memory.</w:t>
      </w:r>
      <w:r w:rsidR="00B72D3F">
        <w:rPr>
          <w:rFonts w:asciiTheme="minorHAnsi" w:hAnsiTheme="minorHAnsi" w:cstheme="minorHAnsi"/>
          <w:sz w:val="24"/>
          <w:szCs w:val="24"/>
        </w:rPr>
        <w:t xml:space="preserve"> </w:t>
      </w:r>
      <w:r w:rsidR="00CA6743">
        <w:rPr>
          <w:rFonts w:asciiTheme="minorHAnsi" w:hAnsiTheme="minorHAnsi" w:cstheme="minorHAnsi"/>
          <w:sz w:val="24"/>
          <w:szCs w:val="24"/>
        </w:rPr>
        <w:t xml:space="preserve">After completing the memory questions, we will again present participants with the </w:t>
      </w:r>
      <w:r w:rsidR="003B418E">
        <w:rPr>
          <w:rFonts w:asciiTheme="minorHAnsi" w:hAnsiTheme="minorHAnsi" w:cstheme="minorHAnsi"/>
          <w:sz w:val="24"/>
          <w:szCs w:val="24"/>
        </w:rPr>
        <w:t>vignette advance</w:t>
      </w:r>
      <w:r w:rsidR="00CA6743">
        <w:rPr>
          <w:rFonts w:asciiTheme="minorHAnsi" w:hAnsiTheme="minorHAnsi" w:cstheme="minorHAnsi"/>
          <w:sz w:val="24"/>
          <w:szCs w:val="24"/>
        </w:rPr>
        <w:t xml:space="preserve"> letter</w:t>
      </w:r>
      <w:r w:rsidR="00F84C15">
        <w:rPr>
          <w:rFonts w:asciiTheme="minorHAnsi" w:hAnsiTheme="minorHAnsi" w:cstheme="minorHAnsi"/>
          <w:sz w:val="24"/>
          <w:szCs w:val="24"/>
        </w:rPr>
        <w:t>s (the one they did not receive in Survey 1)</w:t>
      </w:r>
      <w:r w:rsidR="0007257B">
        <w:rPr>
          <w:rFonts w:asciiTheme="minorHAnsi" w:hAnsiTheme="minorHAnsi" w:cstheme="minorHAnsi"/>
          <w:sz w:val="24"/>
          <w:szCs w:val="24"/>
        </w:rPr>
        <w:t xml:space="preserve"> </w:t>
      </w:r>
      <w:r w:rsidR="00CA6743">
        <w:rPr>
          <w:rFonts w:asciiTheme="minorHAnsi" w:hAnsiTheme="minorHAnsi" w:cstheme="minorHAnsi"/>
          <w:sz w:val="24"/>
          <w:szCs w:val="24"/>
        </w:rPr>
        <w:t>and ask them to rate how burdensome it would be to participate in the survey</w:t>
      </w:r>
      <w:r w:rsidR="00757D6B">
        <w:rPr>
          <w:rFonts w:asciiTheme="minorHAnsi" w:hAnsiTheme="minorHAnsi" w:cstheme="minorHAnsi"/>
          <w:sz w:val="24"/>
          <w:szCs w:val="24"/>
        </w:rPr>
        <w:t xml:space="preserve"> and answer survey questions about them and their household (see Attachment G)</w:t>
      </w:r>
      <w:r w:rsidR="00CA6743">
        <w:rPr>
          <w:rFonts w:asciiTheme="minorHAnsi" w:hAnsiTheme="minorHAnsi" w:cstheme="minorHAnsi"/>
          <w:sz w:val="24"/>
          <w:szCs w:val="24"/>
        </w:rPr>
        <w:t>.</w:t>
      </w:r>
      <w:r w:rsidR="005B037E">
        <w:rPr>
          <w:rFonts w:asciiTheme="minorHAnsi" w:hAnsiTheme="minorHAnsi" w:cstheme="minorHAnsi"/>
          <w:sz w:val="24"/>
          <w:szCs w:val="24"/>
        </w:rPr>
        <w:t xml:space="preserve"> For the sake of time, participants will only answer as a proxy for up to one additional household member.</w:t>
      </w:r>
      <w:r w:rsidR="00CA6743">
        <w:rPr>
          <w:rFonts w:asciiTheme="minorHAnsi" w:hAnsiTheme="minorHAnsi" w:cstheme="minorHAnsi"/>
          <w:sz w:val="24"/>
          <w:szCs w:val="24"/>
        </w:rPr>
        <w:t xml:space="preserve"> </w:t>
      </w:r>
      <w:r w:rsidR="0034314A">
        <w:rPr>
          <w:rFonts w:asciiTheme="minorHAnsi" w:hAnsiTheme="minorHAnsi" w:cstheme="minorHAnsi"/>
          <w:sz w:val="24"/>
          <w:szCs w:val="24"/>
        </w:rPr>
        <w:t xml:space="preserve">This design will allow us to assess within-participant perceptions of low versus high levels of burden, as well as order effects of subjective burden (i.e., participants’ level of subjective burden based on whether they saw a high vs. low burden letter first in Survey 1 or last in Survey 2). </w:t>
      </w:r>
      <w:r w:rsidR="001F42CA">
        <w:rPr>
          <w:rFonts w:asciiTheme="minorHAnsi" w:hAnsiTheme="minorHAnsi" w:cstheme="minorHAnsi"/>
          <w:sz w:val="24"/>
          <w:szCs w:val="24"/>
        </w:rPr>
        <w:t xml:space="preserve">At the very end of Survey 2, participants will read a debriefing page explaining in full that the survey was fictional, they were not selected to participate in any official government survey, and will not be contacted again. </w:t>
      </w:r>
      <w:r w:rsidR="00CA6743">
        <w:rPr>
          <w:rFonts w:asciiTheme="minorHAnsi" w:hAnsiTheme="minorHAnsi" w:cstheme="minorHAnsi"/>
          <w:sz w:val="24"/>
          <w:szCs w:val="24"/>
        </w:rPr>
        <w:t xml:space="preserve">See Appendix </w:t>
      </w:r>
      <w:r w:rsidR="00045285">
        <w:rPr>
          <w:rFonts w:asciiTheme="minorHAnsi" w:hAnsiTheme="minorHAnsi" w:cstheme="minorHAnsi"/>
          <w:sz w:val="24"/>
          <w:szCs w:val="24"/>
        </w:rPr>
        <w:t>C</w:t>
      </w:r>
      <w:r w:rsidR="00CA6743">
        <w:rPr>
          <w:rFonts w:asciiTheme="minorHAnsi" w:hAnsiTheme="minorHAnsi" w:cstheme="minorHAnsi"/>
          <w:sz w:val="24"/>
          <w:szCs w:val="24"/>
        </w:rPr>
        <w:t xml:space="preserve"> for the full Survey 2 instrument. </w:t>
      </w:r>
    </w:p>
    <w:p w14:paraId="0B0F4C66" w14:textId="64F2A471" w:rsidR="00CA6743" w:rsidRPr="00CA6743" w:rsidRDefault="00CA6743" w:rsidP="000B41AF">
      <w:pPr>
        <w:pStyle w:val="BodyText"/>
        <w:spacing w:after="240" w:line="276" w:lineRule="auto"/>
        <w:rPr>
          <w:rFonts w:asciiTheme="minorHAnsi" w:hAnsiTheme="minorHAnsi" w:cstheme="minorHAnsi"/>
          <w:b/>
          <w:sz w:val="24"/>
          <w:szCs w:val="24"/>
          <w:u w:val="single"/>
        </w:rPr>
      </w:pPr>
      <w:r w:rsidRPr="00CA6743">
        <w:rPr>
          <w:rFonts w:asciiTheme="minorHAnsi" w:hAnsiTheme="minorHAnsi" w:cstheme="minorHAnsi"/>
          <w:b/>
          <w:sz w:val="24"/>
          <w:szCs w:val="24"/>
          <w:u w:val="single"/>
        </w:rPr>
        <w:t>Outcome Variables</w:t>
      </w:r>
    </w:p>
    <w:p w14:paraId="7840B697" w14:textId="099F0B99" w:rsidR="00E13F63" w:rsidRDefault="00E13F63" w:rsidP="000B41AF">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By matching the data from both surveys, we will be able to determine the following across </w:t>
      </w:r>
      <w:r w:rsidR="00CA6743">
        <w:rPr>
          <w:rFonts w:asciiTheme="minorHAnsi" w:hAnsiTheme="minorHAnsi" w:cstheme="minorHAnsi"/>
          <w:sz w:val="24"/>
          <w:szCs w:val="24"/>
        </w:rPr>
        <w:t>the Low versus High burden</w:t>
      </w:r>
      <w:r w:rsidR="003B418E">
        <w:rPr>
          <w:rFonts w:asciiTheme="minorHAnsi" w:hAnsiTheme="minorHAnsi" w:cstheme="minorHAnsi"/>
          <w:sz w:val="24"/>
          <w:szCs w:val="24"/>
        </w:rPr>
        <w:t xml:space="preserve"> conditions</w:t>
      </w:r>
      <w:r>
        <w:rPr>
          <w:rFonts w:asciiTheme="minorHAnsi" w:hAnsiTheme="minorHAnsi" w:cstheme="minorHAnsi"/>
          <w:sz w:val="24"/>
          <w:szCs w:val="24"/>
        </w:rPr>
        <w:t>:</w:t>
      </w:r>
    </w:p>
    <w:p w14:paraId="5667D18F" w14:textId="7E8F05BE" w:rsidR="00EA4A26" w:rsidRDefault="00EA4A26" w:rsidP="002852CB">
      <w:pPr>
        <w:pStyle w:val="BodyText"/>
        <w:numPr>
          <w:ilvl w:val="0"/>
          <w:numId w:val="43"/>
        </w:numPr>
        <w:rPr>
          <w:rFonts w:asciiTheme="minorHAnsi" w:hAnsiTheme="minorHAnsi" w:cstheme="minorHAnsi"/>
          <w:sz w:val="24"/>
          <w:szCs w:val="24"/>
        </w:rPr>
      </w:pPr>
      <w:r>
        <w:rPr>
          <w:rFonts w:asciiTheme="minorHAnsi" w:hAnsiTheme="minorHAnsi" w:cstheme="minorHAnsi"/>
          <w:sz w:val="24"/>
          <w:szCs w:val="24"/>
        </w:rPr>
        <w:t xml:space="preserve">Correlation between subjective and objective burden measures </w:t>
      </w:r>
      <w:r w:rsidR="001951AC">
        <w:rPr>
          <w:rFonts w:asciiTheme="minorHAnsi" w:hAnsiTheme="minorHAnsi" w:cstheme="minorHAnsi"/>
          <w:sz w:val="24"/>
          <w:szCs w:val="24"/>
        </w:rPr>
        <w:t xml:space="preserve">(the subjective burden measures include the ratings of how burdensome, effortful, sensitive, easy/difficult, invasiveness, and perception of how long the survey was; objective measures include time spent completing the survey &amp; time spent reading instruction pages) </w:t>
      </w:r>
    </w:p>
    <w:p w14:paraId="61E5AE5F" w14:textId="3CA0FBA5" w:rsidR="00E13F63" w:rsidRPr="00EA4A26" w:rsidRDefault="00F55F90" w:rsidP="002852CB">
      <w:pPr>
        <w:pStyle w:val="BodyText"/>
        <w:numPr>
          <w:ilvl w:val="0"/>
          <w:numId w:val="6"/>
        </w:numPr>
        <w:rPr>
          <w:rFonts w:asciiTheme="minorHAnsi" w:hAnsiTheme="minorHAnsi" w:cstheme="minorHAnsi"/>
          <w:sz w:val="24"/>
          <w:szCs w:val="24"/>
        </w:rPr>
      </w:pPr>
      <w:r>
        <w:rPr>
          <w:rFonts w:asciiTheme="minorHAnsi" w:hAnsiTheme="minorHAnsi" w:cstheme="minorHAnsi"/>
          <w:sz w:val="24"/>
          <w:szCs w:val="24"/>
        </w:rPr>
        <w:t>Overall r</w:t>
      </w:r>
      <w:r w:rsidR="00E13F63">
        <w:rPr>
          <w:rFonts w:asciiTheme="minorHAnsi" w:hAnsiTheme="minorHAnsi" w:cstheme="minorHAnsi"/>
          <w:sz w:val="24"/>
          <w:szCs w:val="24"/>
        </w:rPr>
        <w:t xml:space="preserve">esponse rate </w:t>
      </w:r>
      <w:r w:rsidR="00EA4A26">
        <w:rPr>
          <w:rFonts w:asciiTheme="minorHAnsi" w:hAnsiTheme="minorHAnsi" w:cstheme="minorHAnsi"/>
          <w:sz w:val="24"/>
          <w:szCs w:val="24"/>
        </w:rPr>
        <w:t>(overall) and by burden condition</w:t>
      </w:r>
    </w:p>
    <w:p w14:paraId="5380EE2E" w14:textId="2E675C59" w:rsidR="00E13F63" w:rsidRDefault="00E13F63" w:rsidP="002852CB">
      <w:pPr>
        <w:pStyle w:val="BodyText"/>
        <w:numPr>
          <w:ilvl w:val="0"/>
          <w:numId w:val="6"/>
        </w:numPr>
        <w:rPr>
          <w:rFonts w:asciiTheme="minorHAnsi" w:hAnsiTheme="minorHAnsi" w:cstheme="minorHAnsi"/>
          <w:sz w:val="24"/>
          <w:szCs w:val="24"/>
        </w:rPr>
      </w:pPr>
      <w:r>
        <w:rPr>
          <w:rFonts w:asciiTheme="minorHAnsi" w:hAnsiTheme="minorHAnsi" w:cstheme="minorHAnsi"/>
          <w:sz w:val="24"/>
          <w:szCs w:val="24"/>
        </w:rPr>
        <w:t xml:space="preserve">Item non-response rate </w:t>
      </w:r>
      <w:r w:rsidR="00EA4A26">
        <w:rPr>
          <w:rFonts w:asciiTheme="minorHAnsi" w:hAnsiTheme="minorHAnsi" w:cstheme="minorHAnsi"/>
          <w:sz w:val="24"/>
          <w:szCs w:val="24"/>
        </w:rPr>
        <w:t>(</w:t>
      </w:r>
      <w:r w:rsidR="001951AC">
        <w:rPr>
          <w:rFonts w:asciiTheme="minorHAnsi" w:hAnsiTheme="minorHAnsi" w:cstheme="minorHAnsi"/>
          <w:sz w:val="24"/>
          <w:szCs w:val="24"/>
        </w:rPr>
        <w:t xml:space="preserve">overall and </w:t>
      </w:r>
      <w:r w:rsidR="00090252">
        <w:rPr>
          <w:rFonts w:asciiTheme="minorHAnsi" w:hAnsiTheme="minorHAnsi" w:cstheme="minorHAnsi"/>
          <w:sz w:val="24"/>
          <w:szCs w:val="24"/>
        </w:rPr>
        <w:t>by question</w:t>
      </w:r>
      <w:r w:rsidR="00EA4A26">
        <w:rPr>
          <w:rFonts w:asciiTheme="minorHAnsi" w:hAnsiTheme="minorHAnsi" w:cstheme="minorHAnsi"/>
          <w:sz w:val="24"/>
          <w:szCs w:val="24"/>
        </w:rPr>
        <w:t>) and by burden condition</w:t>
      </w:r>
    </w:p>
    <w:p w14:paraId="357228DB" w14:textId="6CB18CF8" w:rsidR="00E13F63" w:rsidRDefault="00E13F63" w:rsidP="002852CB">
      <w:pPr>
        <w:pStyle w:val="BodyText"/>
        <w:numPr>
          <w:ilvl w:val="0"/>
          <w:numId w:val="6"/>
        </w:numPr>
        <w:rPr>
          <w:rFonts w:asciiTheme="minorHAnsi" w:hAnsiTheme="minorHAnsi" w:cstheme="minorHAnsi"/>
          <w:sz w:val="24"/>
          <w:szCs w:val="24"/>
        </w:rPr>
      </w:pPr>
      <w:r>
        <w:rPr>
          <w:rFonts w:asciiTheme="minorHAnsi" w:hAnsiTheme="minorHAnsi" w:cstheme="minorHAnsi"/>
          <w:sz w:val="24"/>
          <w:szCs w:val="24"/>
        </w:rPr>
        <w:t xml:space="preserve">Nonresponse bias (e.g., demographic groups that were more or less likely to participate in the second survey) by </w:t>
      </w:r>
      <w:r w:rsidR="00CA6743">
        <w:rPr>
          <w:rFonts w:asciiTheme="minorHAnsi" w:hAnsiTheme="minorHAnsi" w:cstheme="minorHAnsi"/>
          <w:sz w:val="24"/>
          <w:szCs w:val="24"/>
        </w:rPr>
        <w:t>burden condition</w:t>
      </w:r>
      <w:r>
        <w:rPr>
          <w:rFonts w:asciiTheme="minorHAnsi" w:hAnsiTheme="minorHAnsi" w:cstheme="minorHAnsi"/>
          <w:sz w:val="24"/>
          <w:szCs w:val="24"/>
        </w:rPr>
        <w:t xml:space="preserve"> type</w:t>
      </w:r>
    </w:p>
    <w:p w14:paraId="760D702C" w14:textId="713EAE4D" w:rsidR="00E13F63" w:rsidRDefault="006179AD" w:rsidP="002852CB">
      <w:pPr>
        <w:pStyle w:val="BodyText"/>
        <w:numPr>
          <w:ilvl w:val="0"/>
          <w:numId w:val="6"/>
        </w:numPr>
        <w:rPr>
          <w:rFonts w:asciiTheme="minorHAnsi" w:hAnsiTheme="minorHAnsi" w:cstheme="minorHAnsi"/>
          <w:sz w:val="24"/>
          <w:szCs w:val="24"/>
        </w:rPr>
      </w:pPr>
      <w:r>
        <w:rPr>
          <w:rFonts w:asciiTheme="minorHAnsi" w:hAnsiTheme="minorHAnsi" w:cstheme="minorHAnsi"/>
          <w:sz w:val="24"/>
          <w:szCs w:val="24"/>
        </w:rPr>
        <w:t>Attrition</w:t>
      </w:r>
      <w:r w:rsidR="00E13F63">
        <w:rPr>
          <w:rFonts w:asciiTheme="minorHAnsi" w:hAnsiTheme="minorHAnsi" w:cstheme="minorHAnsi"/>
          <w:sz w:val="24"/>
          <w:szCs w:val="24"/>
        </w:rPr>
        <w:t xml:space="preserve"> rate </w:t>
      </w:r>
      <w:r w:rsidR="00F91585">
        <w:rPr>
          <w:rFonts w:asciiTheme="minorHAnsi" w:hAnsiTheme="minorHAnsi" w:cstheme="minorHAnsi"/>
          <w:sz w:val="24"/>
          <w:szCs w:val="24"/>
        </w:rPr>
        <w:t xml:space="preserve">within survey one and </w:t>
      </w:r>
      <w:r w:rsidR="00E13F63">
        <w:rPr>
          <w:rFonts w:asciiTheme="minorHAnsi" w:hAnsiTheme="minorHAnsi" w:cstheme="minorHAnsi"/>
          <w:sz w:val="24"/>
          <w:szCs w:val="24"/>
        </w:rPr>
        <w:t>between survey one and two</w:t>
      </w:r>
      <w:r w:rsidR="0007257B">
        <w:rPr>
          <w:rFonts w:asciiTheme="minorHAnsi" w:hAnsiTheme="minorHAnsi" w:cstheme="minorHAnsi"/>
          <w:sz w:val="24"/>
          <w:szCs w:val="24"/>
        </w:rPr>
        <w:t xml:space="preserve"> by burden condition</w:t>
      </w:r>
    </w:p>
    <w:p w14:paraId="7FA89AD5" w14:textId="06E2BA64" w:rsidR="00A93C86" w:rsidRDefault="00A93C86" w:rsidP="002852CB">
      <w:pPr>
        <w:pStyle w:val="BodyText"/>
        <w:numPr>
          <w:ilvl w:val="0"/>
          <w:numId w:val="6"/>
        </w:numPr>
        <w:rPr>
          <w:rFonts w:asciiTheme="minorHAnsi" w:hAnsiTheme="minorHAnsi" w:cstheme="minorHAnsi"/>
          <w:sz w:val="24"/>
          <w:szCs w:val="24"/>
        </w:rPr>
      </w:pPr>
      <w:r>
        <w:rPr>
          <w:rFonts w:asciiTheme="minorHAnsi" w:hAnsiTheme="minorHAnsi" w:cstheme="minorHAnsi"/>
          <w:sz w:val="24"/>
          <w:szCs w:val="24"/>
        </w:rPr>
        <w:t xml:space="preserve">Consistency across ratings of </w:t>
      </w:r>
      <w:r w:rsidR="00CA6743">
        <w:rPr>
          <w:rFonts w:asciiTheme="minorHAnsi" w:hAnsiTheme="minorHAnsi" w:cstheme="minorHAnsi"/>
          <w:sz w:val="24"/>
          <w:szCs w:val="24"/>
        </w:rPr>
        <w:t>burden</w:t>
      </w:r>
      <w:r>
        <w:rPr>
          <w:rFonts w:asciiTheme="minorHAnsi" w:hAnsiTheme="minorHAnsi" w:cstheme="minorHAnsi"/>
          <w:sz w:val="24"/>
          <w:szCs w:val="24"/>
        </w:rPr>
        <w:t xml:space="preserve"> over time</w:t>
      </w:r>
      <w:r w:rsidR="00EA4A26">
        <w:rPr>
          <w:rFonts w:asciiTheme="minorHAnsi" w:hAnsiTheme="minorHAnsi" w:cstheme="minorHAnsi"/>
          <w:sz w:val="24"/>
          <w:szCs w:val="24"/>
        </w:rPr>
        <w:t xml:space="preserve"> (Surveys 1 and 2)</w:t>
      </w:r>
    </w:p>
    <w:p w14:paraId="268CB92C" w14:textId="2416D027" w:rsidR="00A93C86" w:rsidRDefault="00E13F63" w:rsidP="002852CB">
      <w:pPr>
        <w:pStyle w:val="BodyText"/>
        <w:numPr>
          <w:ilvl w:val="0"/>
          <w:numId w:val="6"/>
        </w:numPr>
        <w:rPr>
          <w:rFonts w:asciiTheme="minorHAnsi" w:hAnsiTheme="minorHAnsi" w:cstheme="minorHAnsi"/>
          <w:sz w:val="24"/>
          <w:szCs w:val="24"/>
        </w:rPr>
      </w:pPr>
      <w:r>
        <w:rPr>
          <w:rFonts w:asciiTheme="minorHAnsi" w:hAnsiTheme="minorHAnsi" w:cstheme="minorHAnsi"/>
          <w:sz w:val="24"/>
          <w:szCs w:val="24"/>
        </w:rPr>
        <w:t xml:space="preserve">What information </w:t>
      </w:r>
      <w:r w:rsidR="006179AD">
        <w:rPr>
          <w:rFonts w:asciiTheme="minorHAnsi" w:hAnsiTheme="minorHAnsi" w:cstheme="minorHAnsi"/>
          <w:sz w:val="24"/>
          <w:szCs w:val="24"/>
        </w:rPr>
        <w:t xml:space="preserve">about </w:t>
      </w:r>
      <w:r w:rsidR="00CA6743">
        <w:rPr>
          <w:rFonts w:asciiTheme="minorHAnsi" w:hAnsiTheme="minorHAnsi" w:cstheme="minorHAnsi"/>
          <w:sz w:val="24"/>
          <w:szCs w:val="24"/>
        </w:rPr>
        <w:t>the survey</w:t>
      </w:r>
      <w:r w:rsidR="006179AD">
        <w:rPr>
          <w:rFonts w:asciiTheme="minorHAnsi" w:hAnsiTheme="minorHAnsi" w:cstheme="minorHAnsi"/>
          <w:sz w:val="24"/>
          <w:szCs w:val="24"/>
        </w:rPr>
        <w:t xml:space="preserve"> participants</w:t>
      </w:r>
      <w:r>
        <w:rPr>
          <w:rFonts w:asciiTheme="minorHAnsi" w:hAnsiTheme="minorHAnsi" w:cstheme="minorHAnsi"/>
          <w:sz w:val="24"/>
          <w:szCs w:val="24"/>
        </w:rPr>
        <w:t xml:space="preserve"> retained across </w:t>
      </w:r>
      <w:r w:rsidR="00EA4A26">
        <w:rPr>
          <w:rFonts w:asciiTheme="minorHAnsi" w:hAnsiTheme="minorHAnsi" w:cstheme="minorHAnsi"/>
          <w:sz w:val="24"/>
          <w:szCs w:val="24"/>
        </w:rPr>
        <w:t>Surveys 1 and 2</w:t>
      </w:r>
    </w:p>
    <w:p w14:paraId="5A1335AB" w14:textId="46BFC315" w:rsidR="0034314A" w:rsidRDefault="0034314A" w:rsidP="002852CB">
      <w:pPr>
        <w:pStyle w:val="BodyText"/>
        <w:numPr>
          <w:ilvl w:val="0"/>
          <w:numId w:val="6"/>
        </w:numPr>
        <w:rPr>
          <w:rFonts w:asciiTheme="minorHAnsi" w:hAnsiTheme="minorHAnsi" w:cstheme="minorHAnsi"/>
          <w:sz w:val="24"/>
          <w:szCs w:val="24"/>
        </w:rPr>
      </w:pPr>
      <w:r>
        <w:rPr>
          <w:rFonts w:asciiTheme="minorHAnsi" w:hAnsiTheme="minorHAnsi" w:cstheme="minorHAnsi"/>
          <w:sz w:val="24"/>
          <w:szCs w:val="24"/>
        </w:rPr>
        <w:t>Within-participation variation of the above effects based on receiving a high vs. low burden vignette, and any order effects of answering a high vs. low burden survey first</w:t>
      </w:r>
    </w:p>
    <w:p w14:paraId="2235D04E" w14:textId="77777777" w:rsidR="003D09BC" w:rsidRDefault="003D09BC" w:rsidP="003D09BC">
      <w:pPr>
        <w:pStyle w:val="BodyText"/>
        <w:rPr>
          <w:rFonts w:asciiTheme="minorHAnsi" w:hAnsiTheme="minorHAnsi" w:cstheme="minorHAnsi"/>
          <w:sz w:val="24"/>
          <w:szCs w:val="24"/>
        </w:rPr>
      </w:pPr>
    </w:p>
    <w:p w14:paraId="05850E6A" w14:textId="77777777" w:rsidR="003D09BC" w:rsidRDefault="003D09BC" w:rsidP="003D09BC">
      <w:pPr>
        <w:pStyle w:val="BodyText"/>
        <w:rPr>
          <w:rFonts w:asciiTheme="minorHAnsi" w:hAnsiTheme="minorHAnsi" w:cstheme="minorHAnsi"/>
          <w:sz w:val="24"/>
          <w:szCs w:val="24"/>
        </w:rPr>
      </w:pPr>
    </w:p>
    <w:p w14:paraId="366632DC" w14:textId="0FA1E7A3" w:rsidR="003D09BC" w:rsidRPr="003D09BC" w:rsidRDefault="003D09BC" w:rsidP="003D09BC">
      <w:pPr>
        <w:pStyle w:val="BodyText"/>
        <w:rPr>
          <w:rFonts w:asciiTheme="minorHAnsi" w:hAnsiTheme="minorHAnsi" w:cstheme="minorHAnsi"/>
          <w:sz w:val="24"/>
          <w:szCs w:val="24"/>
        </w:rPr>
      </w:pPr>
      <w:r w:rsidRPr="003D09BC">
        <w:rPr>
          <w:rFonts w:asciiTheme="minorHAnsi" w:hAnsiTheme="minorHAnsi" w:cstheme="minorHAnsi"/>
          <w:sz w:val="24"/>
          <w:szCs w:val="24"/>
        </w:rPr>
        <w:t xml:space="preserve">We </w:t>
      </w:r>
      <w:r>
        <w:rPr>
          <w:rFonts w:asciiTheme="minorHAnsi" w:hAnsiTheme="minorHAnsi" w:cstheme="minorHAnsi"/>
          <w:sz w:val="24"/>
          <w:szCs w:val="24"/>
        </w:rPr>
        <w:t>will</w:t>
      </w:r>
      <w:r w:rsidRPr="003D09BC">
        <w:rPr>
          <w:rFonts w:asciiTheme="minorHAnsi" w:hAnsiTheme="minorHAnsi" w:cstheme="minorHAnsi"/>
          <w:sz w:val="24"/>
          <w:szCs w:val="24"/>
        </w:rPr>
        <w:t xml:space="preserve"> use the results to better understand the reasons people find surveys burdensome, how they describe their experience completing our surveys, to assess perceptions of burden over time, and to potentially use these insights to ease respondent burden, in conjunction with cognitive interviews, focus groups, and other online research conducted on burden at the Census and BLS. This research will also result in a research paper to contribute to the survey methods literature on subjective burden more broadly (not for publishing estimates). </w:t>
      </w:r>
    </w:p>
    <w:p w14:paraId="5C86B652" w14:textId="77777777" w:rsidR="003D09BC" w:rsidRDefault="003D09BC" w:rsidP="003D09BC">
      <w:pPr>
        <w:pStyle w:val="BodyText"/>
        <w:rPr>
          <w:rFonts w:asciiTheme="minorHAnsi" w:hAnsiTheme="minorHAnsi" w:cstheme="minorHAnsi"/>
          <w:sz w:val="24"/>
          <w:szCs w:val="24"/>
        </w:rPr>
      </w:pPr>
    </w:p>
    <w:p w14:paraId="4F5AC811" w14:textId="77777777" w:rsidR="002852CB" w:rsidRPr="00A93C86" w:rsidRDefault="002852CB" w:rsidP="002852CB">
      <w:pPr>
        <w:pStyle w:val="BodyText"/>
        <w:ind w:left="720"/>
        <w:rPr>
          <w:rFonts w:asciiTheme="minorHAnsi" w:hAnsiTheme="minorHAnsi" w:cstheme="minorHAnsi"/>
          <w:sz w:val="24"/>
          <w:szCs w:val="24"/>
        </w:rPr>
      </w:pPr>
    </w:p>
    <w:p w14:paraId="4E155BF2" w14:textId="77777777" w:rsidR="006A16C7" w:rsidRPr="00102CE8" w:rsidRDefault="0070142E" w:rsidP="000B41AF">
      <w:pPr>
        <w:pStyle w:val="BodyText"/>
        <w:numPr>
          <w:ilvl w:val="0"/>
          <w:numId w:val="1"/>
        </w:numPr>
        <w:spacing w:after="240" w:line="276" w:lineRule="auto"/>
        <w:ind w:left="0" w:right="1260" w:firstLine="0"/>
        <w:rPr>
          <w:rFonts w:asciiTheme="minorHAnsi" w:hAnsiTheme="minorHAnsi" w:cstheme="minorHAnsi"/>
          <w:b/>
          <w:sz w:val="24"/>
          <w:szCs w:val="24"/>
        </w:rPr>
      </w:pPr>
      <w:r w:rsidRPr="00102CE8">
        <w:rPr>
          <w:rFonts w:asciiTheme="minorHAnsi" w:hAnsiTheme="minorHAnsi" w:cstheme="minorHAnsi"/>
          <w:b/>
          <w:sz w:val="24"/>
          <w:szCs w:val="24"/>
        </w:rPr>
        <w:t xml:space="preserve">Participants </w:t>
      </w:r>
    </w:p>
    <w:p w14:paraId="1CE929E8" w14:textId="3ED59293" w:rsidR="00620B78" w:rsidRPr="00102CE8" w:rsidRDefault="00620B78"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Up to </w:t>
      </w:r>
      <w:r w:rsidR="00E62845">
        <w:rPr>
          <w:rFonts w:asciiTheme="minorHAnsi" w:hAnsiTheme="minorHAnsi" w:cstheme="minorHAnsi"/>
          <w:sz w:val="24"/>
          <w:szCs w:val="24"/>
        </w:rPr>
        <w:t>870</w:t>
      </w:r>
      <w:r w:rsidRPr="00102CE8">
        <w:rPr>
          <w:rFonts w:asciiTheme="minorHAnsi" w:hAnsiTheme="minorHAnsi" w:cstheme="minorHAnsi"/>
          <w:sz w:val="24"/>
          <w:szCs w:val="24"/>
        </w:rPr>
        <w:t xml:space="preserve"> </w:t>
      </w:r>
      <w:r w:rsidR="00683F35" w:rsidRPr="00102CE8">
        <w:rPr>
          <w:rFonts w:asciiTheme="minorHAnsi" w:hAnsiTheme="minorHAnsi" w:cstheme="minorHAnsi"/>
          <w:sz w:val="24"/>
          <w:szCs w:val="24"/>
        </w:rPr>
        <w:t xml:space="preserve">Amazon Mechanical Turk </w:t>
      </w:r>
      <w:r w:rsidRPr="00102CE8">
        <w:rPr>
          <w:rFonts w:asciiTheme="minorHAnsi" w:hAnsiTheme="minorHAnsi" w:cstheme="minorHAnsi"/>
          <w:sz w:val="24"/>
          <w:szCs w:val="24"/>
        </w:rPr>
        <w:t xml:space="preserve">participants will be recruited. </w:t>
      </w:r>
      <w:r w:rsidR="003B418E">
        <w:rPr>
          <w:rFonts w:asciiTheme="minorHAnsi" w:hAnsiTheme="minorHAnsi" w:cstheme="minorHAnsi"/>
          <w:sz w:val="24"/>
          <w:szCs w:val="24"/>
        </w:rPr>
        <w:t>This sample size was determined to</w:t>
      </w:r>
      <w:r w:rsidR="003B418E" w:rsidRPr="003B418E">
        <w:rPr>
          <w:rFonts w:asciiTheme="minorHAnsi" w:hAnsiTheme="minorHAnsi" w:cstheme="minorHAnsi"/>
          <w:sz w:val="24"/>
          <w:szCs w:val="24"/>
        </w:rPr>
        <w:t xml:space="preserve"> sufficiently explore the range of variables of interest</w:t>
      </w:r>
      <w:r w:rsidR="003B418E">
        <w:rPr>
          <w:rFonts w:asciiTheme="minorHAnsi" w:hAnsiTheme="minorHAnsi" w:cstheme="minorHAnsi"/>
          <w:sz w:val="24"/>
          <w:szCs w:val="24"/>
        </w:rPr>
        <w:t>,</w:t>
      </w:r>
      <w:r w:rsidR="003B418E" w:rsidRPr="003B418E">
        <w:rPr>
          <w:rFonts w:asciiTheme="minorHAnsi" w:hAnsiTheme="minorHAnsi" w:cstheme="minorHAnsi"/>
          <w:sz w:val="24"/>
          <w:szCs w:val="24"/>
        </w:rPr>
        <w:t xml:space="preserve"> and because we expect a very small effect size as the study manipulations are subtle for online surveys of this nature</w:t>
      </w:r>
      <w:r w:rsidR="00725BE9">
        <w:rPr>
          <w:rFonts w:asciiTheme="minorHAnsi" w:hAnsiTheme="minorHAnsi" w:cstheme="minorHAnsi"/>
          <w:sz w:val="24"/>
          <w:szCs w:val="24"/>
        </w:rPr>
        <w:t xml:space="preserve"> (e.g., Hill et al., 2016)</w:t>
      </w:r>
      <w:r w:rsidR="003B418E" w:rsidRPr="003B418E">
        <w:rPr>
          <w:rFonts w:asciiTheme="minorHAnsi" w:hAnsiTheme="minorHAnsi" w:cstheme="minorHAnsi"/>
          <w:sz w:val="24"/>
          <w:szCs w:val="24"/>
        </w:rPr>
        <w:t xml:space="preserve">. This sample size also takes into account break-offs, incomplete data, and participants who do not follow the task instructions, similar to other </w:t>
      </w:r>
      <w:r w:rsidR="0007257B">
        <w:rPr>
          <w:rFonts w:asciiTheme="minorHAnsi" w:hAnsiTheme="minorHAnsi" w:cstheme="minorHAnsi"/>
          <w:sz w:val="24"/>
          <w:szCs w:val="24"/>
        </w:rPr>
        <w:t xml:space="preserve">OMB-approved </w:t>
      </w:r>
      <w:r w:rsidR="003B418E" w:rsidRPr="003B418E">
        <w:rPr>
          <w:rFonts w:asciiTheme="minorHAnsi" w:hAnsiTheme="minorHAnsi" w:cstheme="minorHAnsi"/>
          <w:sz w:val="24"/>
          <w:szCs w:val="24"/>
        </w:rPr>
        <w:t>samples used for studies of this nature</w:t>
      </w:r>
      <w:r w:rsidR="00725BE9">
        <w:rPr>
          <w:rFonts w:asciiTheme="minorHAnsi" w:hAnsiTheme="minorHAnsi" w:cstheme="minorHAnsi"/>
          <w:sz w:val="24"/>
          <w:szCs w:val="24"/>
        </w:rPr>
        <w:t xml:space="preserve"> listed in the introduction. </w:t>
      </w:r>
    </w:p>
    <w:p w14:paraId="364DE65B" w14:textId="77777777" w:rsidR="006A16C7" w:rsidRPr="00102CE8" w:rsidRDefault="009503C5" w:rsidP="00EC4A08">
      <w:pPr>
        <w:pStyle w:val="BodyText"/>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t xml:space="preserve">IV.  </w:t>
      </w:r>
      <w:r w:rsidR="006A16C7" w:rsidRPr="00102CE8">
        <w:rPr>
          <w:rFonts w:asciiTheme="minorHAnsi" w:hAnsiTheme="minorHAnsi" w:cstheme="minorHAnsi"/>
          <w:b/>
          <w:sz w:val="24"/>
          <w:szCs w:val="24"/>
        </w:rPr>
        <w:t>Burden Hours</w:t>
      </w:r>
    </w:p>
    <w:p w14:paraId="48BA1B7A" w14:textId="0DC19AAF" w:rsidR="001E74AB" w:rsidRPr="00102CE8" w:rsidRDefault="00EA4A26" w:rsidP="006179AD">
      <w:p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The Pretesting Survey is expected to take 10 minutes; </w:t>
      </w:r>
      <w:r w:rsidR="00CC130A">
        <w:rPr>
          <w:rFonts w:asciiTheme="minorHAnsi" w:hAnsiTheme="minorHAnsi" w:cstheme="minorHAnsi"/>
          <w:sz w:val="24"/>
          <w:szCs w:val="24"/>
        </w:rPr>
        <w:t>Survey 1 is expected to take 20 minutes</w:t>
      </w:r>
      <w:r>
        <w:rPr>
          <w:rFonts w:asciiTheme="minorHAnsi" w:hAnsiTheme="minorHAnsi" w:cstheme="minorHAnsi"/>
          <w:sz w:val="24"/>
          <w:szCs w:val="24"/>
        </w:rPr>
        <w:t>;</w:t>
      </w:r>
      <w:r w:rsidR="00CC130A">
        <w:rPr>
          <w:rFonts w:asciiTheme="minorHAnsi" w:hAnsiTheme="minorHAnsi" w:cstheme="minorHAnsi"/>
          <w:sz w:val="24"/>
          <w:szCs w:val="24"/>
        </w:rPr>
        <w:t xml:space="preserve"> and Survey 2 </w:t>
      </w:r>
      <w:r w:rsidR="00037F41">
        <w:rPr>
          <w:rFonts w:asciiTheme="minorHAnsi" w:hAnsiTheme="minorHAnsi" w:cstheme="minorHAnsi"/>
          <w:sz w:val="24"/>
          <w:szCs w:val="24"/>
        </w:rPr>
        <w:t>will take about</w:t>
      </w:r>
      <w:r w:rsidR="00CC130A">
        <w:rPr>
          <w:rFonts w:asciiTheme="minorHAnsi" w:hAnsiTheme="minorHAnsi" w:cstheme="minorHAnsi"/>
          <w:sz w:val="24"/>
          <w:szCs w:val="24"/>
        </w:rPr>
        <w:t xml:space="preserve"> </w:t>
      </w:r>
      <w:r>
        <w:rPr>
          <w:rFonts w:asciiTheme="minorHAnsi" w:hAnsiTheme="minorHAnsi" w:cstheme="minorHAnsi"/>
          <w:sz w:val="24"/>
          <w:szCs w:val="24"/>
        </w:rPr>
        <w:t>20</w:t>
      </w:r>
      <w:r w:rsidR="00CC130A">
        <w:rPr>
          <w:rFonts w:asciiTheme="minorHAnsi" w:hAnsiTheme="minorHAnsi" w:cstheme="minorHAnsi"/>
          <w:sz w:val="24"/>
          <w:szCs w:val="24"/>
        </w:rPr>
        <w:t xml:space="preserve"> minutes,</w:t>
      </w:r>
      <w:r w:rsidR="00007D55">
        <w:rPr>
          <w:rFonts w:asciiTheme="minorHAnsi" w:hAnsiTheme="minorHAnsi" w:cstheme="minorHAnsi"/>
          <w:sz w:val="24"/>
          <w:szCs w:val="24"/>
        </w:rPr>
        <w:t xml:space="preserve"> for a potential burden of up to</w:t>
      </w:r>
      <w:r w:rsidR="0007257B">
        <w:rPr>
          <w:rFonts w:asciiTheme="minorHAnsi" w:hAnsiTheme="minorHAnsi" w:cstheme="minorHAnsi"/>
          <w:sz w:val="24"/>
          <w:szCs w:val="24"/>
        </w:rPr>
        <w:t xml:space="preserve"> 10 minutes for participants in the Pretest, and</w:t>
      </w:r>
      <w:r w:rsidR="00007D55">
        <w:rPr>
          <w:rFonts w:asciiTheme="minorHAnsi" w:hAnsiTheme="minorHAnsi" w:cstheme="minorHAnsi"/>
          <w:sz w:val="24"/>
          <w:szCs w:val="24"/>
        </w:rPr>
        <w:t xml:space="preserve"> </w:t>
      </w:r>
      <w:r>
        <w:rPr>
          <w:rFonts w:asciiTheme="minorHAnsi" w:hAnsiTheme="minorHAnsi" w:cstheme="minorHAnsi"/>
          <w:sz w:val="24"/>
          <w:szCs w:val="24"/>
        </w:rPr>
        <w:t>40 minutes per participant</w:t>
      </w:r>
      <w:r w:rsidR="0007257B">
        <w:rPr>
          <w:rFonts w:asciiTheme="minorHAnsi" w:hAnsiTheme="minorHAnsi" w:cstheme="minorHAnsi"/>
          <w:sz w:val="24"/>
          <w:szCs w:val="24"/>
        </w:rPr>
        <w:t xml:space="preserve"> who completes both Surveys 1 and 2</w:t>
      </w:r>
      <w:r>
        <w:rPr>
          <w:rFonts w:asciiTheme="minorHAnsi" w:hAnsiTheme="minorHAnsi" w:cstheme="minorHAnsi"/>
          <w:sz w:val="24"/>
          <w:szCs w:val="24"/>
        </w:rPr>
        <w:t xml:space="preserve"> (participants who participated in the Pretesting Survey will not be eligible for Surveys 1 or 2). </w:t>
      </w:r>
    </w:p>
    <w:p w14:paraId="26BD00E5" w14:textId="77777777" w:rsidR="00C6280C" w:rsidRPr="00102CE8" w:rsidRDefault="00C6280C" w:rsidP="000B41AF">
      <w:pPr>
        <w:keepNext/>
        <w:keepLine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Table 1.  </w:t>
      </w:r>
      <w:r w:rsidRPr="002852CB">
        <w:rPr>
          <w:rFonts w:asciiTheme="minorHAnsi" w:hAnsiTheme="minorHAnsi" w:cstheme="minorHAnsi"/>
          <w:sz w:val="24"/>
          <w:szCs w:val="24"/>
        </w:rPr>
        <w:t>Estimated Burden Hours</w:t>
      </w:r>
    </w:p>
    <w:tbl>
      <w:tblPr>
        <w:tblStyle w:val="TableGrid"/>
        <w:tblW w:w="11399" w:type="dxa"/>
        <w:tblInd w:w="-905" w:type="dxa"/>
        <w:tblLook w:val="04A0" w:firstRow="1" w:lastRow="0" w:firstColumn="1" w:lastColumn="0" w:noHBand="0" w:noVBand="1"/>
      </w:tblPr>
      <w:tblGrid>
        <w:gridCol w:w="2340"/>
        <w:gridCol w:w="1373"/>
        <w:gridCol w:w="1325"/>
        <w:gridCol w:w="1171"/>
        <w:gridCol w:w="1373"/>
        <w:gridCol w:w="1305"/>
        <w:gridCol w:w="1190"/>
        <w:gridCol w:w="1322"/>
      </w:tblGrid>
      <w:tr w:rsidR="009503C5" w:rsidRPr="00102CE8" w14:paraId="1F2DAF59" w14:textId="77777777" w:rsidTr="002A6234">
        <w:tc>
          <w:tcPr>
            <w:tcW w:w="2340" w:type="dxa"/>
            <w:vAlign w:val="bottom"/>
          </w:tcPr>
          <w:p w14:paraId="3BD82869" w14:textId="77777777" w:rsidR="00C6280C" w:rsidRPr="00102CE8" w:rsidRDefault="00C6280C" w:rsidP="000B41AF">
            <w:pPr>
              <w:keepNext/>
              <w:keepLines/>
              <w:spacing w:line="276" w:lineRule="auto"/>
              <w:jc w:val="center"/>
              <w:rPr>
                <w:rFonts w:asciiTheme="minorHAnsi" w:hAnsiTheme="minorHAnsi" w:cstheme="minorHAnsi"/>
                <w:sz w:val="24"/>
                <w:szCs w:val="24"/>
              </w:rPr>
            </w:pPr>
          </w:p>
        </w:tc>
        <w:tc>
          <w:tcPr>
            <w:tcW w:w="1373" w:type="dxa"/>
            <w:vAlign w:val="bottom"/>
          </w:tcPr>
          <w:p w14:paraId="6E93081A"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 of Participants Screened</w:t>
            </w:r>
          </w:p>
        </w:tc>
        <w:tc>
          <w:tcPr>
            <w:tcW w:w="1325" w:type="dxa"/>
            <w:vAlign w:val="bottom"/>
          </w:tcPr>
          <w:p w14:paraId="19AAC3FC"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Minutes per participant for Screening</w:t>
            </w:r>
          </w:p>
        </w:tc>
        <w:tc>
          <w:tcPr>
            <w:tcW w:w="1171" w:type="dxa"/>
            <w:vAlign w:val="bottom"/>
          </w:tcPr>
          <w:p w14:paraId="472D5BC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Screening Burden</w:t>
            </w:r>
          </w:p>
        </w:tc>
        <w:tc>
          <w:tcPr>
            <w:tcW w:w="1373" w:type="dxa"/>
            <w:vAlign w:val="bottom"/>
          </w:tcPr>
          <w:p w14:paraId="3227F60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Maximum number of Participants</w:t>
            </w:r>
          </w:p>
        </w:tc>
        <w:tc>
          <w:tcPr>
            <w:tcW w:w="1305" w:type="dxa"/>
            <w:vAlign w:val="bottom"/>
          </w:tcPr>
          <w:p w14:paraId="42175978"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Minutes per participant for data collection</w:t>
            </w:r>
          </w:p>
        </w:tc>
        <w:tc>
          <w:tcPr>
            <w:tcW w:w="1190" w:type="dxa"/>
            <w:vAlign w:val="bottom"/>
          </w:tcPr>
          <w:p w14:paraId="14D01708"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Collection Burden</w:t>
            </w:r>
          </w:p>
        </w:tc>
        <w:tc>
          <w:tcPr>
            <w:tcW w:w="1322" w:type="dxa"/>
            <w:vAlign w:val="bottom"/>
          </w:tcPr>
          <w:p w14:paraId="0E10377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Burden (Screening + Collection)</w:t>
            </w:r>
          </w:p>
        </w:tc>
      </w:tr>
      <w:tr w:rsidR="00EA4A26" w:rsidRPr="00102CE8" w14:paraId="6E5C5DC8" w14:textId="77777777" w:rsidTr="002A6234">
        <w:tc>
          <w:tcPr>
            <w:tcW w:w="2340" w:type="dxa"/>
          </w:tcPr>
          <w:p w14:paraId="12F028C4" w14:textId="59F8321F" w:rsidR="00EA4A26" w:rsidRDefault="00EA4A26" w:rsidP="004367F9">
            <w:pPr>
              <w:keepNext/>
              <w:keepLines/>
              <w:spacing w:line="276" w:lineRule="auto"/>
              <w:rPr>
                <w:rFonts w:asciiTheme="minorHAnsi" w:hAnsiTheme="minorHAnsi" w:cstheme="minorHAnsi"/>
                <w:sz w:val="24"/>
                <w:szCs w:val="24"/>
              </w:rPr>
            </w:pPr>
            <w:r>
              <w:rPr>
                <w:rFonts w:asciiTheme="minorHAnsi" w:hAnsiTheme="minorHAnsi" w:cstheme="minorHAnsi"/>
                <w:sz w:val="24"/>
                <w:szCs w:val="24"/>
              </w:rPr>
              <w:t>Pretesting Survey</w:t>
            </w:r>
          </w:p>
        </w:tc>
        <w:tc>
          <w:tcPr>
            <w:tcW w:w="1373" w:type="dxa"/>
            <w:vAlign w:val="center"/>
          </w:tcPr>
          <w:p w14:paraId="2258AB17" w14:textId="05ABC47A" w:rsidR="00EA4A26" w:rsidRDefault="005B7044"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170</w:t>
            </w:r>
          </w:p>
        </w:tc>
        <w:tc>
          <w:tcPr>
            <w:tcW w:w="1325" w:type="dxa"/>
            <w:vAlign w:val="center"/>
          </w:tcPr>
          <w:p w14:paraId="3EA85A90" w14:textId="372EE635" w:rsidR="00EA4A26" w:rsidRPr="00102CE8" w:rsidRDefault="00EA4A26" w:rsidP="007B17EE">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171" w:type="dxa"/>
            <w:vAlign w:val="center"/>
          </w:tcPr>
          <w:p w14:paraId="5BA70B8B" w14:textId="1D4240D2" w:rsidR="00EA4A26" w:rsidRPr="00102CE8" w:rsidRDefault="00EA4A26"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373" w:type="dxa"/>
            <w:vAlign w:val="center"/>
          </w:tcPr>
          <w:p w14:paraId="3272CD68" w14:textId="0DBB3CBC" w:rsidR="00EA4A26" w:rsidRDefault="005B7044"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170</w:t>
            </w:r>
          </w:p>
        </w:tc>
        <w:tc>
          <w:tcPr>
            <w:tcW w:w="1305" w:type="dxa"/>
            <w:vAlign w:val="center"/>
          </w:tcPr>
          <w:p w14:paraId="793ED68F" w14:textId="2A7D3425" w:rsidR="00EA4A26" w:rsidRDefault="00EA4A26" w:rsidP="00CD708D">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 xml:space="preserve">10 </w:t>
            </w:r>
          </w:p>
        </w:tc>
        <w:tc>
          <w:tcPr>
            <w:tcW w:w="1190" w:type="dxa"/>
            <w:vAlign w:val="center"/>
          </w:tcPr>
          <w:p w14:paraId="7ABA2C99" w14:textId="1942FF2C" w:rsidR="00EA4A26" w:rsidRDefault="005B7044"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29</w:t>
            </w:r>
          </w:p>
        </w:tc>
        <w:tc>
          <w:tcPr>
            <w:tcW w:w="1322" w:type="dxa"/>
            <w:vAlign w:val="center"/>
          </w:tcPr>
          <w:p w14:paraId="534DE523" w14:textId="5AC3FAAD" w:rsidR="00EA4A26" w:rsidRDefault="005B7044"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29</w:t>
            </w:r>
          </w:p>
        </w:tc>
      </w:tr>
      <w:tr w:rsidR="009503C5" w:rsidRPr="00102CE8" w14:paraId="04FE6325" w14:textId="77777777" w:rsidTr="002A6234">
        <w:tc>
          <w:tcPr>
            <w:tcW w:w="2340" w:type="dxa"/>
          </w:tcPr>
          <w:p w14:paraId="40311635" w14:textId="791690D9" w:rsidR="00C6280C" w:rsidRPr="004367F9" w:rsidRDefault="00087CAF" w:rsidP="004367F9">
            <w:pPr>
              <w:keepNext/>
              <w:keepLines/>
              <w:spacing w:line="276" w:lineRule="auto"/>
              <w:rPr>
                <w:rFonts w:asciiTheme="minorHAnsi" w:hAnsiTheme="minorHAnsi" w:cstheme="minorHAnsi"/>
                <w:sz w:val="24"/>
                <w:szCs w:val="24"/>
              </w:rPr>
            </w:pPr>
            <w:r>
              <w:rPr>
                <w:rFonts w:asciiTheme="minorHAnsi" w:hAnsiTheme="minorHAnsi" w:cstheme="minorHAnsi"/>
                <w:sz w:val="24"/>
                <w:szCs w:val="24"/>
              </w:rPr>
              <w:t>Survey 1</w:t>
            </w:r>
          </w:p>
        </w:tc>
        <w:tc>
          <w:tcPr>
            <w:tcW w:w="1373" w:type="dxa"/>
            <w:vAlign w:val="center"/>
          </w:tcPr>
          <w:p w14:paraId="362DBAB5" w14:textId="647D4C62" w:rsidR="00C6280C" w:rsidRPr="00102CE8" w:rsidRDefault="000D510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700</w:t>
            </w:r>
          </w:p>
        </w:tc>
        <w:tc>
          <w:tcPr>
            <w:tcW w:w="1325" w:type="dxa"/>
            <w:vAlign w:val="center"/>
          </w:tcPr>
          <w:p w14:paraId="13608839"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171" w:type="dxa"/>
            <w:vAlign w:val="center"/>
          </w:tcPr>
          <w:p w14:paraId="7956BDB5"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373" w:type="dxa"/>
            <w:vAlign w:val="center"/>
          </w:tcPr>
          <w:p w14:paraId="0FB8C224" w14:textId="60F201DA" w:rsidR="00C6280C" w:rsidRPr="00102CE8" w:rsidRDefault="000D510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700</w:t>
            </w:r>
          </w:p>
        </w:tc>
        <w:tc>
          <w:tcPr>
            <w:tcW w:w="1305" w:type="dxa"/>
            <w:vAlign w:val="center"/>
          </w:tcPr>
          <w:p w14:paraId="3DFC9C72" w14:textId="579ED027" w:rsidR="00C6280C" w:rsidRPr="00102CE8" w:rsidRDefault="00773FEF" w:rsidP="00CD708D">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190" w:type="dxa"/>
            <w:vAlign w:val="center"/>
          </w:tcPr>
          <w:p w14:paraId="1F0A9230" w14:textId="46E9A45A" w:rsidR="00C6280C" w:rsidRPr="00102CE8" w:rsidRDefault="000D510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233</w:t>
            </w:r>
          </w:p>
        </w:tc>
        <w:tc>
          <w:tcPr>
            <w:tcW w:w="1322" w:type="dxa"/>
            <w:vAlign w:val="center"/>
          </w:tcPr>
          <w:p w14:paraId="73970DEE" w14:textId="6383A0DF" w:rsidR="00C6280C" w:rsidRPr="00102CE8" w:rsidRDefault="000D510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233</w:t>
            </w:r>
          </w:p>
        </w:tc>
      </w:tr>
      <w:tr w:rsidR="00087CAF" w:rsidRPr="00102CE8" w14:paraId="3F335CDD" w14:textId="77777777" w:rsidTr="002A6234">
        <w:tc>
          <w:tcPr>
            <w:tcW w:w="2340" w:type="dxa"/>
          </w:tcPr>
          <w:p w14:paraId="41FA7464" w14:textId="71BFDCAD" w:rsidR="00087CAF" w:rsidRDefault="00087CAF" w:rsidP="004367F9">
            <w:pPr>
              <w:keepNext/>
              <w:keepLines/>
              <w:spacing w:line="276" w:lineRule="auto"/>
              <w:rPr>
                <w:rFonts w:asciiTheme="minorHAnsi" w:hAnsiTheme="minorHAnsi" w:cstheme="minorHAnsi"/>
                <w:sz w:val="24"/>
                <w:szCs w:val="24"/>
              </w:rPr>
            </w:pPr>
            <w:r>
              <w:rPr>
                <w:rFonts w:asciiTheme="minorHAnsi" w:hAnsiTheme="minorHAnsi" w:cstheme="minorHAnsi"/>
                <w:sz w:val="24"/>
                <w:szCs w:val="24"/>
              </w:rPr>
              <w:t>Survey 2</w:t>
            </w:r>
          </w:p>
        </w:tc>
        <w:tc>
          <w:tcPr>
            <w:tcW w:w="1373" w:type="dxa"/>
            <w:vAlign w:val="center"/>
          </w:tcPr>
          <w:p w14:paraId="7BF3A1BE" w14:textId="77777777" w:rsidR="000A4DDB" w:rsidRDefault="00E62845"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r w:rsidR="000A4DDB">
              <w:rPr>
                <w:rFonts w:asciiTheme="minorHAnsi" w:hAnsiTheme="minorHAnsi" w:cstheme="minorHAnsi"/>
                <w:sz w:val="24"/>
                <w:szCs w:val="24"/>
              </w:rPr>
              <w:t xml:space="preserve"> </w:t>
            </w:r>
          </w:p>
          <w:p w14:paraId="405008DA" w14:textId="4C90F853" w:rsidR="00087CAF" w:rsidRDefault="000A4DDB" w:rsidP="000B41AF">
            <w:pPr>
              <w:keepNext/>
              <w:keepLines/>
              <w:spacing w:line="276" w:lineRule="auto"/>
              <w:jc w:val="center"/>
              <w:rPr>
                <w:rFonts w:asciiTheme="minorHAnsi" w:hAnsiTheme="minorHAnsi" w:cstheme="minorHAnsi"/>
                <w:sz w:val="24"/>
                <w:szCs w:val="24"/>
              </w:rPr>
            </w:pPr>
            <w:r w:rsidRPr="000A4DDB">
              <w:rPr>
                <w:rFonts w:asciiTheme="minorHAnsi" w:hAnsiTheme="minorHAnsi" w:cstheme="minorHAnsi"/>
                <w:sz w:val="16"/>
                <w:szCs w:val="24"/>
              </w:rPr>
              <w:t>(note these are the same participants from Survey 1)</w:t>
            </w:r>
          </w:p>
        </w:tc>
        <w:tc>
          <w:tcPr>
            <w:tcW w:w="1325" w:type="dxa"/>
            <w:vAlign w:val="center"/>
          </w:tcPr>
          <w:p w14:paraId="59707BF2" w14:textId="447384EA" w:rsidR="00087CAF" w:rsidRPr="00102CE8" w:rsidRDefault="00773FE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171" w:type="dxa"/>
            <w:vAlign w:val="center"/>
          </w:tcPr>
          <w:p w14:paraId="4B4FCA35" w14:textId="1EBED64F" w:rsidR="00087CAF" w:rsidRPr="00102CE8" w:rsidRDefault="00773FE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373" w:type="dxa"/>
            <w:vAlign w:val="center"/>
          </w:tcPr>
          <w:p w14:paraId="6C969A3A" w14:textId="18715DBF" w:rsidR="00773FEF" w:rsidRDefault="000D510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490</w:t>
            </w:r>
            <w:r w:rsidR="00B8339C">
              <w:rPr>
                <w:rFonts w:asciiTheme="minorHAnsi" w:hAnsiTheme="minorHAnsi" w:cstheme="minorHAnsi"/>
                <w:sz w:val="24"/>
                <w:szCs w:val="24"/>
              </w:rPr>
              <w:t>*</w:t>
            </w:r>
          </w:p>
          <w:p w14:paraId="4F0D1E2E" w14:textId="6429BAE0" w:rsidR="00087CAF" w:rsidRDefault="00773FEF" w:rsidP="001C5486">
            <w:pPr>
              <w:keepNext/>
              <w:keepLines/>
              <w:spacing w:line="276" w:lineRule="auto"/>
              <w:jc w:val="center"/>
              <w:rPr>
                <w:rFonts w:asciiTheme="minorHAnsi" w:hAnsiTheme="minorHAnsi" w:cstheme="minorHAnsi"/>
                <w:sz w:val="24"/>
                <w:szCs w:val="24"/>
              </w:rPr>
            </w:pPr>
            <w:r w:rsidRPr="00773FEF">
              <w:rPr>
                <w:rFonts w:asciiTheme="minorHAnsi" w:hAnsiTheme="minorHAnsi" w:cstheme="minorHAnsi"/>
                <w:sz w:val="16"/>
                <w:szCs w:val="24"/>
              </w:rPr>
              <w:t xml:space="preserve">assuming a </w:t>
            </w:r>
            <w:r w:rsidR="001C5486">
              <w:rPr>
                <w:rFonts w:asciiTheme="minorHAnsi" w:hAnsiTheme="minorHAnsi" w:cstheme="minorHAnsi"/>
                <w:sz w:val="16"/>
                <w:szCs w:val="24"/>
              </w:rPr>
              <w:t>3</w:t>
            </w:r>
            <w:r w:rsidRPr="00773FEF">
              <w:rPr>
                <w:rFonts w:asciiTheme="minorHAnsi" w:hAnsiTheme="minorHAnsi" w:cstheme="minorHAnsi"/>
                <w:sz w:val="16"/>
                <w:szCs w:val="24"/>
              </w:rPr>
              <w:t>0% attrition ra</w:t>
            </w:r>
            <w:r w:rsidR="001C5486">
              <w:rPr>
                <w:rFonts w:asciiTheme="minorHAnsi" w:hAnsiTheme="minorHAnsi" w:cstheme="minorHAnsi"/>
                <w:sz w:val="16"/>
                <w:szCs w:val="24"/>
              </w:rPr>
              <w:t>te, based on prior OSMR studies</w:t>
            </w:r>
            <w:r w:rsidR="00B8339C">
              <w:rPr>
                <w:rFonts w:asciiTheme="minorHAnsi" w:hAnsiTheme="minorHAnsi" w:cstheme="minorHAnsi"/>
                <w:sz w:val="16"/>
                <w:szCs w:val="24"/>
              </w:rPr>
              <w:t>; also see Hall et al. (2016).</w:t>
            </w:r>
          </w:p>
        </w:tc>
        <w:tc>
          <w:tcPr>
            <w:tcW w:w="1305" w:type="dxa"/>
            <w:vAlign w:val="center"/>
          </w:tcPr>
          <w:p w14:paraId="454BBD20" w14:textId="234D68CD" w:rsidR="00087CAF" w:rsidRDefault="000D510F" w:rsidP="00CD708D">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190" w:type="dxa"/>
            <w:vAlign w:val="center"/>
          </w:tcPr>
          <w:p w14:paraId="05A35C7B" w14:textId="0B6CAFC3" w:rsidR="00087CAF" w:rsidRDefault="000D510F" w:rsidP="00CC130A">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164</w:t>
            </w:r>
          </w:p>
        </w:tc>
        <w:tc>
          <w:tcPr>
            <w:tcW w:w="1322" w:type="dxa"/>
            <w:vAlign w:val="center"/>
          </w:tcPr>
          <w:p w14:paraId="671F84B7" w14:textId="7BB2B7C3" w:rsidR="00087CAF" w:rsidRDefault="000D510F" w:rsidP="00CC130A">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164</w:t>
            </w:r>
          </w:p>
        </w:tc>
      </w:tr>
      <w:tr w:rsidR="00C6280C" w:rsidRPr="00102CE8" w14:paraId="46F96650" w14:textId="77777777" w:rsidTr="002A6234">
        <w:tc>
          <w:tcPr>
            <w:tcW w:w="10077" w:type="dxa"/>
            <w:gridSpan w:val="7"/>
            <w:vAlign w:val="center"/>
          </w:tcPr>
          <w:p w14:paraId="3E9645AA" w14:textId="77777777" w:rsidR="00C6280C" w:rsidRPr="00102CE8" w:rsidRDefault="00C6280C" w:rsidP="001E74AB">
            <w:pPr>
              <w:keepNext/>
              <w:keepLines/>
              <w:spacing w:line="276" w:lineRule="auto"/>
              <w:jc w:val="right"/>
              <w:rPr>
                <w:rFonts w:asciiTheme="minorHAnsi" w:hAnsiTheme="minorHAnsi" w:cstheme="minorHAnsi"/>
                <w:sz w:val="24"/>
                <w:szCs w:val="24"/>
              </w:rPr>
            </w:pPr>
            <w:r w:rsidRPr="00102CE8">
              <w:rPr>
                <w:rFonts w:asciiTheme="minorHAnsi" w:hAnsiTheme="minorHAnsi" w:cstheme="minorHAnsi"/>
                <w:sz w:val="24"/>
                <w:szCs w:val="24"/>
              </w:rPr>
              <w:t>Total Burden</w:t>
            </w:r>
          </w:p>
        </w:tc>
        <w:tc>
          <w:tcPr>
            <w:tcW w:w="1322" w:type="dxa"/>
            <w:vAlign w:val="center"/>
          </w:tcPr>
          <w:p w14:paraId="586966F4" w14:textId="35850D6B" w:rsidR="00CC130A" w:rsidRDefault="000D510F" w:rsidP="00CC130A">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w:t>
            </w:r>
            <w:r w:rsidR="005B7044">
              <w:rPr>
                <w:rFonts w:asciiTheme="minorHAnsi" w:hAnsiTheme="minorHAnsi" w:cstheme="minorHAnsi"/>
                <w:sz w:val="24"/>
                <w:szCs w:val="24"/>
              </w:rPr>
              <w:t>26</w:t>
            </w:r>
          </w:p>
          <w:p w14:paraId="392120F0" w14:textId="5E9F7FAC" w:rsidR="00C6280C" w:rsidRPr="00102CE8" w:rsidRDefault="00502965" w:rsidP="00CC130A">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hours</w:t>
            </w:r>
          </w:p>
        </w:tc>
      </w:tr>
    </w:tbl>
    <w:p w14:paraId="16045002" w14:textId="6E2BF350" w:rsidR="001E74AB" w:rsidRPr="00102CE8" w:rsidRDefault="001E74AB">
      <w:pPr>
        <w:spacing w:after="160" w:line="259" w:lineRule="auto"/>
        <w:rPr>
          <w:rFonts w:asciiTheme="minorHAnsi" w:hAnsiTheme="minorHAnsi" w:cstheme="minorHAnsi"/>
          <w:sz w:val="24"/>
          <w:szCs w:val="24"/>
          <w:highlight w:val="yellow"/>
        </w:rPr>
      </w:pPr>
    </w:p>
    <w:p w14:paraId="4C5B4AF0" w14:textId="37F6F553" w:rsidR="00B2348E" w:rsidRPr="003A3B11" w:rsidRDefault="009503C5" w:rsidP="003A3B11">
      <w:pPr>
        <w:pStyle w:val="BodyText"/>
        <w:tabs>
          <w:tab w:val="left" w:pos="720"/>
        </w:tabs>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t xml:space="preserve">V.  </w:t>
      </w:r>
      <w:r w:rsidR="00613979" w:rsidRPr="00102CE8">
        <w:rPr>
          <w:rFonts w:asciiTheme="minorHAnsi" w:hAnsiTheme="minorHAnsi" w:cstheme="minorHAnsi"/>
          <w:b/>
          <w:sz w:val="24"/>
          <w:szCs w:val="24"/>
        </w:rPr>
        <w:t>Payment to Participants</w:t>
      </w:r>
    </w:p>
    <w:p w14:paraId="462E61C3" w14:textId="195F189A" w:rsidR="002A6234" w:rsidRDefault="00B2348E" w:rsidP="00446540">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receive </w:t>
      </w:r>
      <w:r w:rsidR="00AC3AD8">
        <w:rPr>
          <w:rFonts w:asciiTheme="minorHAnsi" w:hAnsiTheme="minorHAnsi" w:cstheme="minorHAnsi"/>
          <w:sz w:val="24"/>
          <w:szCs w:val="24"/>
        </w:rPr>
        <w:t xml:space="preserve">$1.00 for participation in the Pretesting Survey, (participants who participated in the Pretesting Survey will not be eligible for Surveys 1 or 2). Participants will receive </w:t>
      </w:r>
      <w:r w:rsidRPr="00102CE8">
        <w:rPr>
          <w:rFonts w:asciiTheme="minorHAnsi" w:hAnsiTheme="minorHAnsi" w:cstheme="minorHAnsi"/>
          <w:sz w:val="24"/>
          <w:szCs w:val="24"/>
        </w:rPr>
        <w:t>$</w:t>
      </w:r>
      <w:r w:rsidR="00AC3AD8">
        <w:rPr>
          <w:rFonts w:asciiTheme="minorHAnsi" w:hAnsiTheme="minorHAnsi" w:cstheme="minorHAnsi"/>
          <w:sz w:val="24"/>
          <w:szCs w:val="24"/>
        </w:rPr>
        <w:t>2</w:t>
      </w:r>
      <w:r w:rsidR="003A3B11">
        <w:rPr>
          <w:rFonts w:asciiTheme="minorHAnsi" w:hAnsiTheme="minorHAnsi" w:cstheme="minorHAnsi"/>
          <w:sz w:val="24"/>
          <w:szCs w:val="24"/>
        </w:rPr>
        <w:t>.</w:t>
      </w:r>
      <w:r w:rsidR="00AC3AD8">
        <w:rPr>
          <w:rFonts w:asciiTheme="minorHAnsi" w:hAnsiTheme="minorHAnsi" w:cstheme="minorHAnsi"/>
          <w:sz w:val="24"/>
          <w:szCs w:val="24"/>
        </w:rPr>
        <w:t>0</w:t>
      </w:r>
      <w:r w:rsidR="003A3B11">
        <w:rPr>
          <w:rFonts w:asciiTheme="minorHAnsi" w:hAnsiTheme="minorHAnsi" w:cstheme="minorHAnsi"/>
          <w:sz w:val="24"/>
          <w:szCs w:val="24"/>
        </w:rPr>
        <w:t>0</w:t>
      </w:r>
      <w:r w:rsidR="00B90465">
        <w:rPr>
          <w:rFonts w:asciiTheme="minorHAnsi" w:hAnsiTheme="minorHAnsi" w:cstheme="minorHAnsi"/>
          <w:sz w:val="24"/>
          <w:szCs w:val="24"/>
        </w:rPr>
        <w:t xml:space="preserve"> </w:t>
      </w:r>
      <w:r w:rsidRPr="00102CE8">
        <w:rPr>
          <w:rFonts w:asciiTheme="minorHAnsi" w:hAnsiTheme="minorHAnsi" w:cstheme="minorHAnsi"/>
          <w:sz w:val="24"/>
          <w:szCs w:val="24"/>
        </w:rPr>
        <w:t xml:space="preserve">for participating in </w:t>
      </w:r>
      <w:r w:rsidR="003A3B11">
        <w:rPr>
          <w:rFonts w:asciiTheme="minorHAnsi" w:hAnsiTheme="minorHAnsi" w:cstheme="minorHAnsi"/>
          <w:sz w:val="24"/>
          <w:szCs w:val="24"/>
        </w:rPr>
        <w:t>survey one and $</w:t>
      </w:r>
      <w:r w:rsidR="00AC3AD8">
        <w:rPr>
          <w:rFonts w:asciiTheme="minorHAnsi" w:hAnsiTheme="minorHAnsi" w:cstheme="minorHAnsi"/>
          <w:sz w:val="24"/>
          <w:szCs w:val="24"/>
        </w:rPr>
        <w:t>2.00</w:t>
      </w:r>
      <w:r w:rsidR="003A3B11">
        <w:rPr>
          <w:rFonts w:asciiTheme="minorHAnsi" w:hAnsiTheme="minorHAnsi" w:cstheme="minorHAnsi"/>
          <w:sz w:val="24"/>
          <w:szCs w:val="24"/>
        </w:rPr>
        <w:t xml:space="preserve"> for participating in survey two, for a potential total of $</w:t>
      </w:r>
      <w:r w:rsidR="00AC3AD8">
        <w:rPr>
          <w:rFonts w:asciiTheme="minorHAnsi" w:hAnsiTheme="minorHAnsi" w:cstheme="minorHAnsi"/>
          <w:sz w:val="24"/>
          <w:szCs w:val="24"/>
        </w:rPr>
        <w:t>4</w:t>
      </w:r>
      <w:r w:rsidR="003A3B11">
        <w:rPr>
          <w:rFonts w:asciiTheme="minorHAnsi" w:hAnsiTheme="minorHAnsi" w:cstheme="minorHAnsi"/>
          <w:sz w:val="24"/>
          <w:szCs w:val="24"/>
        </w:rPr>
        <w:t xml:space="preserve">.00 if participants complete both surveys, </w:t>
      </w:r>
      <w:r w:rsidR="00AC3AD8">
        <w:rPr>
          <w:rFonts w:asciiTheme="minorHAnsi" w:hAnsiTheme="minorHAnsi" w:cstheme="minorHAnsi"/>
          <w:sz w:val="24"/>
          <w:szCs w:val="24"/>
        </w:rPr>
        <w:t>a</w:t>
      </w:r>
      <w:r w:rsidR="00725BE9">
        <w:rPr>
          <w:rFonts w:asciiTheme="minorHAnsi" w:hAnsiTheme="minorHAnsi" w:cstheme="minorHAnsi"/>
          <w:sz w:val="24"/>
          <w:szCs w:val="24"/>
        </w:rPr>
        <w:t>ll of which are</w:t>
      </w:r>
      <w:r w:rsidR="00AC3AD8">
        <w:rPr>
          <w:rFonts w:asciiTheme="minorHAnsi" w:hAnsiTheme="minorHAnsi" w:cstheme="minorHAnsi"/>
          <w:sz w:val="24"/>
          <w:szCs w:val="24"/>
        </w:rPr>
        <w:t xml:space="preserve"> typical rate</w:t>
      </w:r>
      <w:r w:rsidR="00725BE9">
        <w:rPr>
          <w:rFonts w:asciiTheme="minorHAnsi" w:hAnsiTheme="minorHAnsi" w:cstheme="minorHAnsi"/>
          <w:sz w:val="24"/>
          <w:szCs w:val="24"/>
        </w:rPr>
        <w:t>s</w:t>
      </w:r>
      <w:r w:rsidR="00AC3AD8">
        <w:rPr>
          <w:rFonts w:asciiTheme="minorHAnsi" w:hAnsiTheme="minorHAnsi" w:cstheme="minorHAnsi"/>
          <w:sz w:val="24"/>
          <w:szCs w:val="24"/>
        </w:rPr>
        <w:t xml:space="preserve"> for similar MTurk tasks </w:t>
      </w:r>
      <w:r w:rsidR="005C6373">
        <w:rPr>
          <w:rFonts w:asciiTheme="minorHAnsi" w:hAnsiTheme="minorHAnsi" w:cstheme="minorHAnsi"/>
          <w:sz w:val="24"/>
          <w:szCs w:val="24"/>
        </w:rPr>
        <w:t>(</w:t>
      </w:r>
      <w:r w:rsidR="005C6373" w:rsidRPr="00BD760E">
        <w:rPr>
          <w:rFonts w:asciiTheme="minorHAnsi" w:hAnsiTheme="minorHAnsi" w:cstheme="minorHAnsi"/>
          <w:sz w:val="24"/>
          <w:szCs w:val="24"/>
        </w:rPr>
        <w:t>Paolacci</w:t>
      </w:r>
      <w:r w:rsidR="005C6373">
        <w:rPr>
          <w:rFonts w:asciiTheme="minorHAnsi" w:hAnsiTheme="minorHAnsi" w:cstheme="minorHAnsi"/>
          <w:sz w:val="24"/>
          <w:szCs w:val="24"/>
        </w:rPr>
        <w:t xml:space="preserve"> &amp; Chandler, 2014). </w:t>
      </w:r>
      <w:r w:rsidR="00AC3AD8">
        <w:rPr>
          <w:rFonts w:asciiTheme="minorHAnsi" w:hAnsiTheme="minorHAnsi" w:cstheme="minorHAnsi"/>
          <w:sz w:val="24"/>
          <w:szCs w:val="24"/>
        </w:rPr>
        <w:t xml:space="preserve">The Pretesting Survey will take 10 minutes to complete; </w:t>
      </w:r>
      <w:r w:rsidR="005A3B14">
        <w:rPr>
          <w:rFonts w:asciiTheme="minorHAnsi" w:hAnsiTheme="minorHAnsi" w:cstheme="minorHAnsi"/>
          <w:sz w:val="24"/>
          <w:szCs w:val="24"/>
        </w:rPr>
        <w:t xml:space="preserve">Survey 1 should take about 20 minutes and Survey 2 should take about </w:t>
      </w:r>
      <w:r w:rsidR="00AC3AD8">
        <w:rPr>
          <w:rFonts w:asciiTheme="minorHAnsi" w:hAnsiTheme="minorHAnsi" w:cstheme="minorHAnsi"/>
          <w:sz w:val="24"/>
          <w:szCs w:val="24"/>
        </w:rPr>
        <w:t>20</w:t>
      </w:r>
      <w:r w:rsidR="005A3B14">
        <w:rPr>
          <w:rFonts w:asciiTheme="minorHAnsi" w:hAnsiTheme="minorHAnsi" w:cstheme="minorHAnsi"/>
          <w:sz w:val="24"/>
          <w:szCs w:val="24"/>
        </w:rPr>
        <w:t xml:space="preserve"> minutes to complete</w:t>
      </w:r>
      <w:r w:rsidR="00007D55">
        <w:rPr>
          <w:rFonts w:asciiTheme="minorHAnsi" w:hAnsiTheme="minorHAnsi" w:cstheme="minorHAnsi"/>
          <w:sz w:val="24"/>
          <w:szCs w:val="24"/>
        </w:rPr>
        <w:t xml:space="preserve">. </w:t>
      </w:r>
      <w:r w:rsidRPr="00102CE8">
        <w:rPr>
          <w:rFonts w:asciiTheme="minorHAnsi" w:hAnsiTheme="minorHAnsi" w:cstheme="minorHAnsi"/>
          <w:sz w:val="24"/>
          <w:szCs w:val="24"/>
        </w:rPr>
        <w:t xml:space="preserve">The estimated </w:t>
      </w:r>
      <w:r w:rsidR="00C628F6">
        <w:rPr>
          <w:rFonts w:asciiTheme="minorHAnsi" w:hAnsiTheme="minorHAnsi" w:cstheme="minorHAnsi"/>
          <w:sz w:val="24"/>
          <w:szCs w:val="24"/>
        </w:rPr>
        <w:t xml:space="preserve">maximum </w:t>
      </w:r>
      <w:r w:rsidRPr="00102CE8">
        <w:rPr>
          <w:rFonts w:asciiTheme="minorHAnsi" w:hAnsiTheme="minorHAnsi" w:cstheme="minorHAnsi"/>
          <w:sz w:val="24"/>
          <w:szCs w:val="24"/>
        </w:rPr>
        <w:t xml:space="preserve">total for participant fees is </w:t>
      </w:r>
      <w:r w:rsidR="002A6234">
        <w:rPr>
          <w:rFonts w:asciiTheme="minorHAnsi" w:hAnsiTheme="minorHAnsi" w:cstheme="minorHAnsi"/>
          <w:sz w:val="24"/>
          <w:szCs w:val="24"/>
        </w:rPr>
        <w:t>$</w:t>
      </w:r>
      <w:r w:rsidR="001A1A91">
        <w:rPr>
          <w:rFonts w:asciiTheme="minorHAnsi" w:hAnsiTheme="minorHAnsi" w:cstheme="minorHAnsi"/>
          <w:sz w:val="24"/>
          <w:szCs w:val="24"/>
        </w:rPr>
        <w:t>2,550</w:t>
      </w:r>
      <w:r w:rsidR="003A3B11">
        <w:rPr>
          <w:rFonts w:asciiTheme="minorHAnsi" w:hAnsiTheme="minorHAnsi" w:cstheme="minorHAnsi"/>
          <w:sz w:val="24"/>
          <w:szCs w:val="24"/>
        </w:rPr>
        <w:t>.</w:t>
      </w:r>
      <w:r w:rsidR="002A6234">
        <w:rPr>
          <w:rFonts w:asciiTheme="minorHAnsi" w:hAnsiTheme="minorHAnsi" w:cstheme="minorHAnsi"/>
          <w:sz w:val="24"/>
          <w:szCs w:val="24"/>
        </w:rPr>
        <w:t xml:space="preserve"> </w:t>
      </w:r>
    </w:p>
    <w:p w14:paraId="3B75A3C0" w14:textId="77777777" w:rsidR="00446540" w:rsidRDefault="00446540" w:rsidP="00446540">
      <w:pPr>
        <w:spacing w:line="276" w:lineRule="auto"/>
        <w:rPr>
          <w:rFonts w:asciiTheme="minorHAnsi" w:hAnsiTheme="minorHAnsi" w:cstheme="minorHAnsi"/>
          <w:sz w:val="24"/>
          <w:szCs w:val="24"/>
        </w:rPr>
      </w:pPr>
    </w:p>
    <w:p w14:paraId="41A26A01" w14:textId="406BC8FF" w:rsidR="00B14D7A" w:rsidRPr="00102CE8" w:rsidRDefault="00613979"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Recruiting of participants will be handled by Amazon Mechanical Turk. Once participants are recruited into the study, they will be given a link to the survey, which is hosted by Qualtrics.</w:t>
      </w:r>
      <w:r w:rsidR="00FF5CF4">
        <w:rPr>
          <w:rFonts w:asciiTheme="minorHAnsi" w:hAnsiTheme="minorHAnsi" w:cstheme="minorHAnsi"/>
          <w:sz w:val="24"/>
          <w:szCs w:val="24"/>
        </w:rPr>
        <w:t>com.</w:t>
      </w:r>
      <w:r w:rsidRPr="00102CE8">
        <w:rPr>
          <w:rFonts w:asciiTheme="minorHAnsi" w:hAnsiTheme="minorHAnsi" w:cstheme="minorHAnsi"/>
          <w:sz w:val="24"/>
          <w:szCs w:val="24"/>
        </w:rPr>
        <w:t xml:space="preserve"> The data collected as part of this study will be stored on Qualtrics servers. </w:t>
      </w:r>
    </w:p>
    <w:p w14:paraId="0EC98594" w14:textId="77777777" w:rsidR="00F227B8" w:rsidRPr="00102CE8" w:rsidRDefault="00F227B8" w:rsidP="00F227B8">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be informed of the OMB number and the voluntary nature of the study.  </w:t>
      </w:r>
    </w:p>
    <w:p w14:paraId="641630BE" w14:textId="7BA7AAE1" w:rsidR="00A54536" w:rsidRPr="00102CE8" w:rsidRDefault="00F227B8" w:rsidP="00EC4A08">
      <w:pPr>
        <w:pStyle w:val="BodyText"/>
        <w:spacing w:after="240" w:line="276" w:lineRule="auto"/>
        <w:ind w:left="720" w:right="720"/>
        <w:rPr>
          <w:rFonts w:asciiTheme="minorHAnsi" w:hAnsiTheme="minorHAnsi" w:cstheme="minorHAnsi"/>
          <w:sz w:val="24"/>
          <w:szCs w:val="24"/>
        </w:rPr>
      </w:pPr>
      <w:r w:rsidRPr="00102CE8">
        <w:rPr>
          <w:rFonts w:asciiTheme="minorHAnsi" w:hAnsiTheme="minorHAnsi" w:cstheme="minorHAnsi"/>
          <w:sz w:val="24"/>
          <w:szCs w:val="24"/>
        </w:rPr>
        <w:t xml:space="preserve">This voluntary study is being collected by the Bureau of Labor Statistics under OMB No. 1220-0141. This survey will take approximately </w:t>
      </w:r>
      <w:r w:rsidR="005A3B14">
        <w:rPr>
          <w:rFonts w:asciiTheme="minorHAnsi" w:hAnsiTheme="minorHAnsi" w:cstheme="minorHAnsi"/>
          <w:sz w:val="24"/>
          <w:szCs w:val="24"/>
        </w:rPr>
        <w:t>[20</w:t>
      </w:r>
      <w:r w:rsidRPr="00102CE8">
        <w:rPr>
          <w:rFonts w:asciiTheme="minorHAnsi" w:hAnsiTheme="minorHAnsi" w:cstheme="minorHAnsi"/>
          <w:sz w:val="24"/>
          <w:szCs w:val="24"/>
        </w:rPr>
        <w:t xml:space="preserve"> minutes</w:t>
      </w:r>
      <w:r w:rsidR="005A3B14">
        <w:rPr>
          <w:rFonts w:asciiTheme="minorHAnsi" w:hAnsiTheme="minorHAnsi" w:cstheme="minorHAnsi"/>
          <w:sz w:val="24"/>
          <w:szCs w:val="24"/>
        </w:rPr>
        <w:t xml:space="preserve"> / 10 minutes]</w:t>
      </w:r>
      <w:r w:rsidRPr="00102CE8">
        <w:rPr>
          <w:rFonts w:asciiTheme="minorHAnsi" w:hAnsiTheme="minorHAnsi" w:cstheme="minorHAnsi"/>
          <w:sz w:val="24"/>
          <w:szCs w:val="24"/>
        </w:rPr>
        <w:t xml:space="preserve"> to complete.</w:t>
      </w:r>
      <w:r w:rsidR="005272F0" w:rsidRPr="00102CE8">
        <w:rPr>
          <w:rFonts w:asciiTheme="minorHAnsi" w:hAnsiTheme="minorHAnsi" w:cstheme="minorHAnsi"/>
          <w:sz w:val="24"/>
          <w:szCs w:val="24"/>
        </w:rPr>
        <w:t xml:space="preserve"> The BLS cannot guarantee the protection of survey responses and advises against the inclusion of sensitive personal information in any response</w:t>
      </w:r>
      <w:r w:rsidR="00B62B32">
        <w:rPr>
          <w:rFonts w:asciiTheme="minorHAnsi" w:hAnsiTheme="minorHAnsi" w:cstheme="minorHAnsi"/>
          <w:sz w:val="24"/>
          <w:szCs w:val="24"/>
        </w:rPr>
        <w:t>.</w:t>
      </w:r>
      <w:r w:rsidR="005272F0" w:rsidRPr="00102CE8">
        <w:rPr>
          <w:rFonts w:asciiTheme="minorHAnsi" w:hAnsiTheme="minorHAnsi" w:cstheme="minorHAnsi"/>
          <w:sz w:val="24"/>
          <w:szCs w:val="24"/>
        </w:rPr>
        <w:t xml:space="preserve"> </w:t>
      </w:r>
      <w:r w:rsidRPr="00102CE8">
        <w:rPr>
          <w:rFonts w:asciiTheme="minorHAnsi" w:hAnsiTheme="minorHAnsi" w:cstheme="minorHAnsi"/>
          <w:sz w:val="24"/>
          <w:szCs w:val="24"/>
        </w:rPr>
        <w:t xml:space="preserve">This survey is being administered by Qualtrics and resides on a server outside of the BLS Domain. </w:t>
      </w:r>
      <w:r w:rsidR="005272F0" w:rsidRPr="00102CE8">
        <w:rPr>
          <w:rFonts w:asciiTheme="minorHAnsi" w:hAnsiTheme="minorHAnsi" w:cstheme="minorHAnsi"/>
          <w:sz w:val="24"/>
          <w:szCs w:val="24"/>
        </w:rPr>
        <w:t>Your participation is voluntary, and you have the right to stop at any time.</w:t>
      </w:r>
    </w:p>
    <w:p w14:paraId="4258C8C8" w14:textId="77777777" w:rsidR="00EC4A08" w:rsidRPr="00102CE8" w:rsidRDefault="00EC4A08" w:rsidP="00EC4A08">
      <w:pPr>
        <w:pStyle w:val="BodyText"/>
        <w:spacing w:after="240" w:line="276" w:lineRule="auto"/>
        <w:ind w:left="720" w:right="720"/>
        <w:rPr>
          <w:rFonts w:asciiTheme="minorHAnsi" w:hAnsiTheme="minorHAnsi" w:cstheme="minorHAnsi"/>
          <w:sz w:val="24"/>
          <w:szCs w:val="24"/>
        </w:rPr>
      </w:pPr>
    </w:p>
    <w:p w14:paraId="631B7FBD" w14:textId="77777777" w:rsidR="006A16C7" w:rsidRPr="00102CE8" w:rsidRDefault="006A16C7" w:rsidP="00232DD4">
      <w:pPr>
        <w:pStyle w:val="BodyText"/>
        <w:numPr>
          <w:ilvl w:val="0"/>
          <w:numId w:val="2"/>
        </w:numPr>
        <w:spacing w:after="240" w:line="276" w:lineRule="auto"/>
        <w:ind w:left="0" w:firstLine="0"/>
        <w:rPr>
          <w:rFonts w:asciiTheme="minorHAnsi" w:hAnsiTheme="minorHAnsi" w:cstheme="minorHAnsi"/>
          <w:b/>
          <w:sz w:val="24"/>
          <w:szCs w:val="24"/>
        </w:rPr>
      </w:pPr>
      <w:r w:rsidRPr="00102CE8">
        <w:rPr>
          <w:rFonts w:asciiTheme="minorHAnsi" w:hAnsiTheme="minorHAnsi" w:cstheme="minorHAnsi"/>
          <w:b/>
          <w:sz w:val="24"/>
          <w:szCs w:val="24"/>
        </w:rPr>
        <w:t>Attachments</w:t>
      </w:r>
    </w:p>
    <w:p w14:paraId="49C97CAF" w14:textId="2059DAD7" w:rsidR="00B62B32" w:rsidRDefault="00232DD4"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A: </w:t>
      </w:r>
      <w:r w:rsidR="00045285">
        <w:rPr>
          <w:rFonts w:asciiTheme="minorHAnsi" w:hAnsiTheme="minorHAnsi" w:cstheme="minorHAnsi"/>
          <w:sz w:val="24"/>
          <w:szCs w:val="24"/>
        </w:rPr>
        <w:t>Pretesting Survey instrument</w:t>
      </w:r>
    </w:p>
    <w:p w14:paraId="196053D9" w14:textId="77AF6F9D" w:rsidR="00615131" w:rsidRDefault="000B41AF" w:rsidP="00C628F6">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Attachment </w:t>
      </w:r>
      <w:r w:rsidR="00232DD4">
        <w:rPr>
          <w:rFonts w:asciiTheme="minorHAnsi" w:hAnsiTheme="minorHAnsi" w:cstheme="minorHAnsi"/>
          <w:sz w:val="24"/>
          <w:szCs w:val="24"/>
        </w:rPr>
        <w:t>B</w:t>
      </w:r>
      <w:r w:rsidRPr="00102CE8">
        <w:rPr>
          <w:rFonts w:asciiTheme="minorHAnsi" w:hAnsiTheme="minorHAnsi" w:cstheme="minorHAnsi"/>
          <w:sz w:val="24"/>
          <w:szCs w:val="24"/>
        </w:rPr>
        <w:t xml:space="preserve">:  </w:t>
      </w:r>
      <w:r w:rsidR="00045285">
        <w:rPr>
          <w:rFonts w:asciiTheme="minorHAnsi" w:hAnsiTheme="minorHAnsi" w:cstheme="minorHAnsi"/>
          <w:sz w:val="24"/>
          <w:szCs w:val="24"/>
        </w:rPr>
        <w:t>Survey 1 instrument</w:t>
      </w:r>
    </w:p>
    <w:p w14:paraId="6403E9BB" w14:textId="322D26E0" w:rsidR="006D4EE6" w:rsidRDefault="006D4EE6"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w:t>
      </w:r>
      <w:r w:rsidR="00232DD4">
        <w:rPr>
          <w:rFonts w:asciiTheme="minorHAnsi" w:hAnsiTheme="minorHAnsi" w:cstheme="minorHAnsi"/>
          <w:sz w:val="24"/>
          <w:szCs w:val="24"/>
        </w:rPr>
        <w:t>C</w:t>
      </w:r>
      <w:r>
        <w:rPr>
          <w:rFonts w:asciiTheme="minorHAnsi" w:hAnsiTheme="minorHAnsi" w:cstheme="minorHAnsi"/>
          <w:sz w:val="24"/>
          <w:szCs w:val="24"/>
        </w:rPr>
        <w:t xml:space="preserve">: </w:t>
      </w:r>
      <w:r w:rsidR="00045285">
        <w:rPr>
          <w:rFonts w:asciiTheme="minorHAnsi" w:hAnsiTheme="minorHAnsi" w:cstheme="minorHAnsi"/>
          <w:sz w:val="24"/>
          <w:szCs w:val="24"/>
        </w:rPr>
        <w:t xml:space="preserve">Survey 2 instrument </w:t>
      </w:r>
    </w:p>
    <w:p w14:paraId="64CAD82D" w14:textId="72F23D45" w:rsidR="00B264EE" w:rsidRDefault="00B264EE"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w:t>
      </w:r>
      <w:r w:rsidR="00232DD4">
        <w:rPr>
          <w:rFonts w:asciiTheme="minorHAnsi" w:hAnsiTheme="minorHAnsi" w:cstheme="minorHAnsi"/>
          <w:sz w:val="24"/>
          <w:szCs w:val="24"/>
        </w:rPr>
        <w:t>D</w:t>
      </w:r>
      <w:r>
        <w:rPr>
          <w:rFonts w:asciiTheme="minorHAnsi" w:hAnsiTheme="minorHAnsi" w:cstheme="minorHAnsi"/>
          <w:sz w:val="24"/>
          <w:szCs w:val="24"/>
        </w:rPr>
        <w:t>: Email notification for invitation to complete Survey 2</w:t>
      </w:r>
    </w:p>
    <w:p w14:paraId="268024FD" w14:textId="32838713" w:rsidR="00F84C15" w:rsidRDefault="00F84C15"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E: Low burden advance letter </w:t>
      </w:r>
    </w:p>
    <w:p w14:paraId="1D17BB92" w14:textId="7AE1BA7B" w:rsidR="00F84C15" w:rsidRDefault="00F84C15"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F: High burden advance letter </w:t>
      </w:r>
    </w:p>
    <w:p w14:paraId="6FBE8C82" w14:textId="43961907" w:rsidR="00EE6CF6" w:rsidRPr="00102CE8" w:rsidRDefault="00EE6CF6" w:rsidP="00C628F6">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G: </w:t>
      </w:r>
      <w:r w:rsidR="00757D6B">
        <w:rPr>
          <w:rFonts w:asciiTheme="minorHAnsi" w:hAnsiTheme="minorHAnsi" w:cstheme="minorHAnsi"/>
          <w:sz w:val="24"/>
          <w:szCs w:val="24"/>
        </w:rPr>
        <w:t>Survey questions</w:t>
      </w:r>
    </w:p>
    <w:p w14:paraId="0E9CBD15" w14:textId="77777777" w:rsidR="0034314A" w:rsidRDefault="0034314A" w:rsidP="00232DD4">
      <w:pPr>
        <w:spacing w:after="160" w:line="259" w:lineRule="auto"/>
        <w:rPr>
          <w:rFonts w:asciiTheme="minorHAnsi" w:hAnsiTheme="minorHAnsi" w:cstheme="minorHAnsi"/>
          <w:sz w:val="24"/>
          <w:szCs w:val="24"/>
        </w:rPr>
      </w:pPr>
    </w:p>
    <w:p w14:paraId="074CC278" w14:textId="77777777" w:rsidR="00FA1F79" w:rsidRDefault="00FA1F79" w:rsidP="00232DD4">
      <w:pPr>
        <w:spacing w:after="160" w:line="259" w:lineRule="auto"/>
        <w:rPr>
          <w:rFonts w:asciiTheme="minorHAnsi" w:hAnsiTheme="minorHAnsi" w:cstheme="minorHAnsi"/>
          <w:sz w:val="24"/>
          <w:szCs w:val="24"/>
        </w:rPr>
      </w:pPr>
    </w:p>
    <w:p w14:paraId="27009EE2" w14:textId="77777777" w:rsidR="00232DD4" w:rsidRDefault="00232DD4" w:rsidP="00896A20">
      <w:pPr>
        <w:spacing w:after="160" w:line="259" w:lineRule="auto"/>
        <w:jc w:val="center"/>
        <w:rPr>
          <w:rFonts w:asciiTheme="minorHAnsi" w:hAnsiTheme="minorHAnsi" w:cstheme="minorHAnsi"/>
          <w:b/>
          <w:sz w:val="24"/>
          <w:szCs w:val="24"/>
        </w:rPr>
      </w:pPr>
      <w:r w:rsidRPr="00D454EF">
        <w:rPr>
          <w:rFonts w:asciiTheme="minorHAnsi" w:hAnsiTheme="minorHAnsi" w:cstheme="minorHAnsi"/>
          <w:b/>
          <w:sz w:val="24"/>
          <w:szCs w:val="24"/>
        </w:rPr>
        <w:t>References</w:t>
      </w:r>
    </w:p>
    <w:p w14:paraId="06DAD32A" w14:textId="3765E852" w:rsidR="00D95A8C" w:rsidRDefault="00D95A8C" w:rsidP="009049DD">
      <w:pPr>
        <w:spacing w:after="160" w:line="259" w:lineRule="auto"/>
        <w:rPr>
          <w:rFonts w:asciiTheme="minorHAnsi" w:hAnsiTheme="minorHAnsi" w:cstheme="minorHAnsi"/>
          <w:sz w:val="24"/>
          <w:szCs w:val="24"/>
        </w:rPr>
      </w:pPr>
      <w:r w:rsidRPr="00D95A8C">
        <w:rPr>
          <w:rFonts w:asciiTheme="minorHAnsi" w:hAnsiTheme="minorHAnsi" w:cstheme="minorHAnsi"/>
          <w:sz w:val="24"/>
          <w:szCs w:val="24"/>
        </w:rPr>
        <w:t>Al Baghal, T. (2014). Numeric estimation and response options: an examination of the accuracy of numeric and vague quantifier responses. </w:t>
      </w:r>
      <w:r w:rsidRPr="00D95A8C">
        <w:rPr>
          <w:rFonts w:asciiTheme="minorHAnsi" w:hAnsiTheme="minorHAnsi" w:cstheme="minorHAnsi"/>
          <w:i/>
          <w:iCs/>
          <w:sz w:val="24"/>
          <w:szCs w:val="24"/>
        </w:rPr>
        <w:t>Journal of Methods and Measurement in the Social Sciences</w:t>
      </w:r>
      <w:r w:rsidRPr="00D95A8C">
        <w:rPr>
          <w:rFonts w:asciiTheme="minorHAnsi" w:hAnsiTheme="minorHAnsi" w:cstheme="minorHAnsi"/>
          <w:sz w:val="24"/>
          <w:szCs w:val="24"/>
        </w:rPr>
        <w:t>, </w:t>
      </w:r>
      <w:r w:rsidRPr="00D95A8C">
        <w:rPr>
          <w:rFonts w:asciiTheme="minorHAnsi" w:hAnsiTheme="minorHAnsi" w:cstheme="minorHAnsi"/>
          <w:i/>
          <w:iCs/>
          <w:sz w:val="24"/>
          <w:szCs w:val="24"/>
        </w:rPr>
        <w:t>5</w:t>
      </w:r>
      <w:r w:rsidRPr="00D95A8C">
        <w:rPr>
          <w:rFonts w:asciiTheme="minorHAnsi" w:hAnsiTheme="minorHAnsi" w:cstheme="minorHAnsi"/>
          <w:sz w:val="24"/>
          <w:szCs w:val="24"/>
        </w:rPr>
        <w:t>(2), 58-75.</w:t>
      </w:r>
    </w:p>
    <w:p w14:paraId="129A913E" w14:textId="424DB458" w:rsidR="00D95A8C" w:rsidRDefault="00D95A8C" w:rsidP="009049DD">
      <w:pPr>
        <w:spacing w:after="160" w:line="259" w:lineRule="auto"/>
        <w:rPr>
          <w:rFonts w:asciiTheme="minorHAnsi" w:hAnsiTheme="minorHAnsi" w:cstheme="minorHAnsi"/>
          <w:sz w:val="24"/>
          <w:szCs w:val="24"/>
        </w:rPr>
      </w:pPr>
      <w:r w:rsidRPr="00D95A8C">
        <w:rPr>
          <w:rFonts w:asciiTheme="minorHAnsi" w:hAnsiTheme="minorHAnsi" w:cstheme="minorHAnsi"/>
          <w:sz w:val="24"/>
          <w:szCs w:val="24"/>
        </w:rPr>
        <w:t>Al Baghal, T. (2014). Is vague valid? The comparative predictive validity of vague quantifiers and numeric response options. In </w:t>
      </w:r>
      <w:r w:rsidRPr="00D95A8C">
        <w:rPr>
          <w:rFonts w:asciiTheme="minorHAnsi" w:hAnsiTheme="minorHAnsi" w:cstheme="minorHAnsi"/>
          <w:i/>
          <w:iCs/>
          <w:sz w:val="24"/>
          <w:szCs w:val="24"/>
        </w:rPr>
        <w:t>Survey Research Methods</w:t>
      </w:r>
      <w:r w:rsidRPr="00D95A8C">
        <w:rPr>
          <w:rFonts w:asciiTheme="minorHAnsi" w:hAnsiTheme="minorHAnsi" w:cstheme="minorHAnsi"/>
          <w:sz w:val="24"/>
          <w:szCs w:val="24"/>
        </w:rPr>
        <w:t> (Vol. 8, No. 3, pp. 169-179).</w:t>
      </w:r>
    </w:p>
    <w:p w14:paraId="7EC85F89" w14:textId="1E6F9970" w:rsidR="009049DD" w:rsidRDefault="009049DD" w:rsidP="009049DD">
      <w:pPr>
        <w:spacing w:after="160" w:line="259" w:lineRule="auto"/>
        <w:rPr>
          <w:rFonts w:asciiTheme="minorHAnsi" w:hAnsiTheme="minorHAnsi" w:cstheme="minorHAnsi"/>
          <w:sz w:val="24"/>
          <w:szCs w:val="24"/>
        </w:rPr>
      </w:pPr>
      <w:r w:rsidRPr="009049DD">
        <w:rPr>
          <w:rFonts w:asciiTheme="minorHAnsi" w:hAnsiTheme="minorHAnsi" w:cstheme="minorHAnsi"/>
          <w:sz w:val="24"/>
          <w:szCs w:val="24"/>
        </w:rPr>
        <w:t>Alexander, C. S., &amp; Becker, H. J. (1978). The use of vignettes in survey research. </w:t>
      </w:r>
      <w:r w:rsidRPr="009049DD">
        <w:rPr>
          <w:rFonts w:asciiTheme="minorHAnsi" w:hAnsiTheme="minorHAnsi" w:cstheme="minorHAnsi"/>
          <w:i/>
          <w:iCs/>
          <w:sz w:val="24"/>
          <w:szCs w:val="24"/>
        </w:rPr>
        <w:t>Public opinion quarterly</w:t>
      </w:r>
      <w:r w:rsidRPr="009049DD">
        <w:rPr>
          <w:rFonts w:asciiTheme="minorHAnsi" w:hAnsiTheme="minorHAnsi" w:cstheme="minorHAnsi"/>
          <w:sz w:val="24"/>
          <w:szCs w:val="24"/>
        </w:rPr>
        <w:t>, </w:t>
      </w:r>
      <w:r w:rsidRPr="009049DD">
        <w:rPr>
          <w:rFonts w:asciiTheme="minorHAnsi" w:hAnsiTheme="minorHAnsi" w:cstheme="minorHAnsi"/>
          <w:i/>
          <w:iCs/>
          <w:sz w:val="24"/>
          <w:szCs w:val="24"/>
        </w:rPr>
        <w:t>42</w:t>
      </w:r>
      <w:r w:rsidRPr="009049DD">
        <w:rPr>
          <w:rFonts w:asciiTheme="minorHAnsi" w:hAnsiTheme="minorHAnsi" w:cstheme="minorHAnsi"/>
          <w:sz w:val="24"/>
          <w:szCs w:val="24"/>
        </w:rPr>
        <w:t>(1), 93-104.</w:t>
      </w:r>
    </w:p>
    <w:p w14:paraId="70354E08" w14:textId="529AAA6A" w:rsidR="006C6ADA" w:rsidRPr="009049DD" w:rsidRDefault="006C6ADA" w:rsidP="009049DD">
      <w:pPr>
        <w:spacing w:after="160" w:line="259" w:lineRule="auto"/>
        <w:rPr>
          <w:rFonts w:asciiTheme="minorHAnsi" w:hAnsiTheme="minorHAnsi" w:cstheme="minorHAnsi"/>
          <w:sz w:val="24"/>
          <w:szCs w:val="24"/>
        </w:rPr>
      </w:pPr>
      <w:r w:rsidRPr="006C6ADA">
        <w:rPr>
          <w:rFonts w:asciiTheme="minorHAnsi" w:hAnsiTheme="minorHAnsi" w:cstheme="minorHAnsi"/>
          <w:sz w:val="24"/>
          <w:szCs w:val="24"/>
        </w:rPr>
        <w:t>Atzmüller, C., &amp; Steiner, P. M. (2010). Experimental vignette studies in survey research. </w:t>
      </w:r>
      <w:r w:rsidRPr="006C6ADA">
        <w:rPr>
          <w:rFonts w:asciiTheme="minorHAnsi" w:hAnsiTheme="minorHAnsi" w:cstheme="minorHAnsi"/>
          <w:i/>
          <w:iCs/>
          <w:sz w:val="24"/>
          <w:szCs w:val="24"/>
        </w:rPr>
        <w:t>Methodology: European Journal of Research Methods for the Behavioral and Social Sciences</w:t>
      </w:r>
      <w:r w:rsidRPr="006C6ADA">
        <w:rPr>
          <w:rFonts w:asciiTheme="minorHAnsi" w:hAnsiTheme="minorHAnsi" w:cstheme="minorHAnsi"/>
          <w:sz w:val="24"/>
          <w:szCs w:val="24"/>
        </w:rPr>
        <w:t>, </w:t>
      </w:r>
      <w:r w:rsidRPr="006C6ADA">
        <w:rPr>
          <w:rFonts w:asciiTheme="minorHAnsi" w:hAnsiTheme="minorHAnsi" w:cstheme="minorHAnsi"/>
          <w:i/>
          <w:iCs/>
          <w:sz w:val="24"/>
          <w:szCs w:val="24"/>
        </w:rPr>
        <w:t>6</w:t>
      </w:r>
      <w:r w:rsidRPr="006C6ADA">
        <w:rPr>
          <w:rFonts w:asciiTheme="minorHAnsi" w:hAnsiTheme="minorHAnsi" w:cstheme="minorHAnsi"/>
          <w:sz w:val="24"/>
          <w:szCs w:val="24"/>
        </w:rPr>
        <w:t>(3), 128.</w:t>
      </w:r>
    </w:p>
    <w:p w14:paraId="0D894BA5" w14:textId="5EBD3A6E" w:rsidR="00D32A78" w:rsidRDefault="00D32A78" w:rsidP="00232DD4">
      <w:pPr>
        <w:spacing w:after="160" w:line="259" w:lineRule="auto"/>
        <w:rPr>
          <w:rFonts w:asciiTheme="minorHAnsi" w:hAnsiTheme="minorHAnsi" w:cstheme="minorHAnsi"/>
          <w:sz w:val="24"/>
          <w:szCs w:val="24"/>
        </w:rPr>
      </w:pPr>
      <w:r w:rsidRPr="00D32A78">
        <w:rPr>
          <w:rFonts w:asciiTheme="minorHAnsi" w:hAnsiTheme="minorHAnsi" w:cstheme="minorHAnsi"/>
          <w:sz w:val="24"/>
          <w:szCs w:val="24"/>
        </w:rPr>
        <w:t>Berinsky, A.J., Huber, G.A. and Lenz, G.S. (2012) ‘Evaluating Online Labor Markets for Experimental Research: Amazon.com’s Mechanical Turk’, Political Analysis, 20(3), pp. 351–368. doi: 10.1093/pan/mpr057.</w:t>
      </w:r>
    </w:p>
    <w:p w14:paraId="4B56AD50" w14:textId="642DCC60" w:rsidR="00AB2EE5" w:rsidRDefault="00AB2EE5" w:rsidP="00232DD4">
      <w:pPr>
        <w:spacing w:after="160" w:line="259" w:lineRule="auto"/>
        <w:rPr>
          <w:rFonts w:asciiTheme="minorHAnsi" w:hAnsiTheme="minorHAnsi" w:cstheme="minorHAnsi"/>
          <w:sz w:val="24"/>
          <w:szCs w:val="24"/>
        </w:rPr>
      </w:pPr>
      <w:r w:rsidRPr="00AB2EE5">
        <w:rPr>
          <w:rFonts w:asciiTheme="minorHAnsi" w:hAnsiTheme="minorHAnsi" w:cstheme="minorHAnsi"/>
          <w:sz w:val="24"/>
          <w:szCs w:val="24"/>
        </w:rPr>
        <w:t>Bradburn, N. (1978, August). Respondent burden. In </w:t>
      </w:r>
      <w:r w:rsidRPr="00AB2EE5">
        <w:rPr>
          <w:rFonts w:asciiTheme="minorHAnsi" w:hAnsiTheme="minorHAnsi" w:cstheme="minorHAnsi"/>
          <w:i/>
          <w:iCs/>
          <w:sz w:val="24"/>
          <w:szCs w:val="24"/>
        </w:rPr>
        <w:t>Proceedings of the Survey Research Methods Section of the American Statistical Association</w:t>
      </w:r>
      <w:r w:rsidRPr="00AB2EE5">
        <w:rPr>
          <w:rFonts w:asciiTheme="minorHAnsi" w:hAnsiTheme="minorHAnsi" w:cstheme="minorHAnsi"/>
          <w:sz w:val="24"/>
          <w:szCs w:val="24"/>
        </w:rPr>
        <w:t> (Vol. 35, p. 40).</w:t>
      </w:r>
    </w:p>
    <w:p w14:paraId="5EC36BC0" w14:textId="77777777" w:rsidR="00232DD4" w:rsidRDefault="00232DD4" w:rsidP="00232DD4">
      <w:pPr>
        <w:spacing w:after="160" w:line="259" w:lineRule="auto"/>
        <w:rPr>
          <w:rFonts w:asciiTheme="minorHAnsi" w:hAnsiTheme="minorHAnsi" w:cstheme="minorHAnsi"/>
          <w:sz w:val="24"/>
          <w:szCs w:val="24"/>
        </w:rPr>
      </w:pPr>
      <w:r w:rsidRPr="00774BA0">
        <w:rPr>
          <w:rFonts w:asciiTheme="minorHAnsi" w:hAnsiTheme="minorHAnsi" w:cstheme="minorHAnsi"/>
          <w:sz w:val="24"/>
          <w:szCs w:val="24"/>
        </w:rPr>
        <w:t>Buchanan, T., Paine, C., Joinson, A. N., &amp; Reips, U. D. (2007). Development of measures of online privacy concern and protection for use on the Internet. </w:t>
      </w:r>
      <w:r w:rsidRPr="00774BA0">
        <w:rPr>
          <w:rFonts w:asciiTheme="minorHAnsi" w:hAnsiTheme="minorHAnsi" w:cstheme="minorHAnsi"/>
          <w:i/>
          <w:iCs/>
          <w:sz w:val="24"/>
          <w:szCs w:val="24"/>
        </w:rPr>
        <w:t>Journal of the American Society for Information Science and Technology</w:t>
      </w:r>
      <w:r w:rsidRPr="00774BA0">
        <w:rPr>
          <w:rFonts w:asciiTheme="minorHAnsi" w:hAnsiTheme="minorHAnsi" w:cstheme="minorHAnsi"/>
          <w:sz w:val="24"/>
          <w:szCs w:val="24"/>
        </w:rPr>
        <w:t>, </w:t>
      </w:r>
      <w:r w:rsidRPr="00774BA0">
        <w:rPr>
          <w:rFonts w:asciiTheme="minorHAnsi" w:hAnsiTheme="minorHAnsi" w:cstheme="minorHAnsi"/>
          <w:i/>
          <w:iCs/>
          <w:sz w:val="24"/>
          <w:szCs w:val="24"/>
        </w:rPr>
        <w:t>58</w:t>
      </w:r>
      <w:r w:rsidRPr="00774BA0">
        <w:rPr>
          <w:rFonts w:asciiTheme="minorHAnsi" w:hAnsiTheme="minorHAnsi" w:cstheme="minorHAnsi"/>
          <w:sz w:val="24"/>
          <w:szCs w:val="24"/>
        </w:rPr>
        <w:t>(2), 157-165.</w:t>
      </w:r>
    </w:p>
    <w:p w14:paraId="30947F28" w14:textId="1B85B4AF" w:rsidR="00DB28F1" w:rsidRDefault="00DB28F1" w:rsidP="00232DD4">
      <w:pPr>
        <w:spacing w:after="160" w:line="259" w:lineRule="auto"/>
        <w:rPr>
          <w:rFonts w:asciiTheme="minorHAnsi" w:hAnsiTheme="minorHAnsi" w:cstheme="minorHAnsi"/>
          <w:sz w:val="24"/>
          <w:szCs w:val="24"/>
        </w:rPr>
      </w:pPr>
      <w:r w:rsidRPr="00DB28F1">
        <w:rPr>
          <w:rFonts w:asciiTheme="minorHAnsi" w:hAnsiTheme="minorHAnsi" w:cstheme="minorHAnsi"/>
          <w:sz w:val="24"/>
          <w:szCs w:val="24"/>
        </w:rPr>
        <w:t>Crawford, S. D., Couper, M. P., &amp; Lamias, M. J. (2001). Web surveys: Perceptions of burden. </w:t>
      </w:r>
      <w:r w:rsidRPr="00DB28F1">
        <w:rPr>
          <w:rFonts w:asciiTheme="minorHAnsi" w:hAnsiTheme="minorHAnsi" w:cstheme="minorHAnsi"/>
          <w:i/>
          <w:iCs/>
          <w:sz w:val="24"/>
          <w:szCs w:val="24"/>
        </w:rPr>
        <w:t>Social science computer review</w:t>
      </w:r>
      <w:r w:rsidRPr="00DB28F1">
        <w:rPr>
          <w:rFonts w:asciiTheme="minorHAnsi" w:hAnsiTheme="minorHAnsi" w:cstheme="minorHAnsi"/>
          <w:sz w:val="24"/>
          <w:szCs w:val="24"/>
        </w:rPr>
        <w:t>, </w:t>
      </w:r>
      <w:r w:rsidRPr="00DB28F1">
        <w:rPr>
          <w:rFonts w:asciiTheme="minorHAnsi" w:hAnsiTheme="minorHAnsi" w:cstheme="minorHAnsi"/>
          <w:i/>
          <w:iCs/>
          <w:sz w:val="24"/>
          <w:szCs w:val="24"/>
        </w:rPr>
        <w:t>19</w:t>
      </w:r>
      <w:r w:rsidRPr="00DB28F1">
        <w:rPr>
          <w:rFonts w:asciiTheme="minorHAnsi" w:hAnsiTheme="minorHAnsi" w:cstheme="minorHAnsi"/>
          <w:sz w:val="24"/>
          <w:szCs w:val="24"/>
        </w:rPr>
        <w:t>(2), 146-162.</w:t>
      </w:r>
    </w:p>
    <w:p w14:paraId="0A09869C" w14:textId="77777777" w:rsidR="00232DD4" w:rsidRDefault="00232DD4" w:rsidP="00232DD4">
      <w:pPr>
        <w:spacing w:after="160" w:line="259" w:lineRule="auto"/>
        <w:rPr>
          <w:rFonts w:asciiTheme="minorHAnsi" w:hAnsiTheme="minorHAnsi" w:cstheme="minorHAnsi"/>
          <w:sz w:val="24"/>
          <w:szCs w:val="24"/>
        </w:rPr>
      </w:pPr>
      <w:r w:rsidRPr="00513959">
        <w:rPr>
          <w:rFonts w:asciiTheme="minorHAnsi" w:hAnsiTheme="minorHAnsi" w:cstheme="minorHAnsi"/>
          <w:sz w:val="24"/>
          <w:szCs w:val="24"/>
        </w:rPr>
        <w:t>de Leeuw, E. D., Hox, J. J., &amp; Boevé, A. (2015). Handling Do-Not-Know Answers Exploring New Approaches in Online and Mixed-Mode Surveys. </w:t>
      </w:r>
      <w:r w:rsidRPr="00513959">
        <w:rPr>
          <w:rFonts w:asciiTheme="minorHAnsi" w:hAnsiTheme="minorHAnsi" w:cstheme="minorHAnsi"/>
          <w:i/>
          <w:iCs/>
          <w:sz w:val="24"/>
          <w:szCs w:val="24"/>
        </w:rPr>
        <w:t>Social Science Computer Review</w:t>
      </w:r>
      <w:r w:rsidRPr="00513959">
        <w:rPr>
          <w:rFonts w:asciiTheme="minorHAnsi" w:hAnsiTheme="minorHAnsi" w:cstheme="minorHAnsi"/>
          <w:sz w:val="24"/>
          <w:szCs w:val="24"/>
        </w:rPr>
        <w:t>, 0894439315573744.</w:t>
      </w:r>
    </w:p>
    <w:p w14:paraId="57F34F94" w14:textId="759C94C3" w:rsidR="00777346" w:rsidRPr="008768D6" w:rsidRDefault="00777346" w:rsidP="00232DD4">
      <w:pPr>
        <w:spacing w:after="160" w:line="259" w:lineRule="auto"/>
        <w:rPr>
          <w:rFonts w:asciiTheme="minorHAnsi" w:hAnsiTheme="minorHAnsi" w:cstheme="minorHAnsi"/>
          <w:sz w:val="32"/>
          <w:szCs w:val="24"/>
        </w:rPr>
      </w:pPr>
      <w:r w:rsidRPr="008768D6">
        <w:rPr>
          <w:rFonts w:asciiTheme="minorHAnsi" w:hAnsiTheme="minorHAnsi" w:cstheme="minorHAnsi"/>
          <w:color w:val="222222"/>
          <w:sz w:val="24"/>
          <w:shd w:val="clear" w:color="auto" w:fill="FFFFFF"/>
        </w:rPr>
        <w:t>Fricker, S., Yan, T., &amp; Tsai, S. (2014, May). Response burden: What predicts it and who is burdened out. In </w:t>
      </w:r>
      <w:r w:rsidRPr="008768D6">
        <w:rPr>
          <w:rFonts w:asciiTheme="minorHAnsi" w:hAnsiTheme="minorHAnsi" w:cstheme="minorHAnsi"/>
          <w:i/>
          <w:iCs/>
          <w:color w:val="222222"/>
          <w:sz w:val="24"/>
          <w:shd w:val="clear" w:color="auto" w:fill="FFFFFF"/>
        </w:rPr>
        <w:t xml:space="preserve">JSM proceedings </w:t>
      </w:r>
      <w:r w:rsidRPr="008768D6">
        <w:rPr>
          <w:rFonts w:asciiTheme="minorHAnsi" w:hAnsiTheme="minorHAnsi" w:cstheme="minorHAnsi"/>
          <w:color w:val="222222"/>
          <w:sz w:val="24"/>
          <w:shd w:val="clear" w:color="auto" w:fill="FFFFFF"/>
        </w:rPr>
        <w:t>(pp. 4568-4577).</w:t>
      </w:r>
    </w:p>
    <w:p w14:paraId="14A3FF32" w14:textId="027A78C6" w:rsidR="001C5486" w:rsidRDefault="001C5486" w:rsidP="00232DD4">
      <w:pPr>
        <w:spacing w:after="160" w:line="259" w:lineRule="auto"/>
        <w:rPr>
          <w:rFonts w:asciiTheme="minorHAnsi" w:hAnsiTheme="minorHAnsi" w:cstheme="minorHAnsi"/>
          <w:sz w:val="24"/>
          <w:szCs w:val="24"/>
        </w:rPr>
      </w:pPr>
      <w:r w:rsidRPr="001C5486">
        <w:rPr>
          <w:rFonts w:asciiTheme="minorHAnsi" w:hAnsiTheme="minorHAnsi" w:cstheme="minorHAnsi"/>
          <w:sz w:val="24"/>
          <w:szCs w:val="24"/>
        </w:rPr>
        <w:t xml:space="preserve">Hall, H., N. Lewis, J. Chandler, and P. Ellsworth. Conducting Longitudinal Studies on Amazon’s Mechanical Turk: A Meta-analysis with Recommendations. Working Paper, 2016. </w:t>
      </w:r>
    </w:p>
    <w:p w14:paraId="22D67085" w14:textId="2D206BC0" w:rsidR="005C6373" w:rsidRDefault="005C6373" w:rsidP="00232DD4">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Holzberg, J., Katz, J., Morales, G., Davis, M. (2018). Assessing Respondents’ Perceptions of Burden in the American Community Survey. Presentation at the Federal Committee on Statistical Methodology Conference. </w:t>
      </w:r>
    </w:p>
    <w:p w14:paraId="2A7DCAB1" w14:textId="77777777" w:rsidR="00232DD4" w:rsidRDefault="00232DD4" w:rsidP="00232DD4">
      <w:pPr>
        <w:spacing w:after="160" w:line="259" w:lineRule="auto"/>
        <w:rPr>
          <w:rFonts w:asciiTheme="minorHAnsi" w:hAnsiTheme="minorHAnsi" w:cstheme="minorHAnsi"/>
          <w:sz w:val="24"/>
          <w:szCs w:val="24"/>
        </w:rPr>
      </w:pPr>
      <w:r w:rsidRPr="00A675DD">
        <w:rPr>
          <w:rFonts w:asciiTheme="minorHAnsi" w:hAnsiTheme="minorHAnsi" w:cstheme="minorHAnsi"/>
          <w:sz w:val="24"/>
          <w:szCs w:val="24"/>
        </w:rPr>
        <w:t>Joinson, A. N., Paine, C., Buchanan, T., &amp; Reips, U. D. (2008). Measuring self-disclosure online: Blurring and non-response to sensitive items in web-based surveys. </w:t>
      </w:r>
      <w:r w:rsidRPr="00A675DD">
        <w:rPr>
          <w:rFonts w:asciiTheme="minorHAnsi" w:hAnsiTheme="minorHAnsi" w:cstheme="minorHAnsi"/>
          <w:i/>
          <w:iCs/>
          <w:sz w:val="24"/>
          <w:szCs w:val="24"/>
        </w:rPr>
        <w:t>Computers in Human Behavior</w:t>
      </w:r>
      <w:r w:rsidRPr="00A675DD">
        <w:rPr>
          <w:rFonts w:asciiTheme="minorHAnsi" w:hAnsiTheme="minorHAnsi" w:cstheme="minorHAnsi"/>
          <w:sz w:val="24"/>
          <w:szCs w:val="24"/>
        </w:rPr>
        <w:t>, </w:t>
      </w:r>
      <w:r w:rsidRPr="00A675DD">
        <w:rPr>
          <w:rFonts w:asciiTheme="minorHAnsi" w:hAnsiTheme="minorHAnsi" w:cstheme="minorHAnsi"/>
          <w:i/>
          <w:iCs/>
          <w:sz w:val="24"/>
          <w:szCs w:val="24"/>
        </w:rPr>
        <w:t>24</w:t>
      </w:r>
      <w:r w:rsidRPr="00A675DD">
        <w:rPr>
          <w:rFonts w:asciiTheme="minorHAnsi" w:hAnsiTheme="minorHAnsi" w:cstheme="minorHAnsi"/>
          <w:sz w:val="24"/>
          <w:szCs w:val="24"/>
        </w:rPr>
        <w:t>(5), 2158-2171.</w:t>
      </w:r>
    </w:p>
    <w:p w14:paraId="1CCDB0DD" w14:textId="2919634E" w:rsidR="0059752E" w:rsidRDefault="0059752E" w:rsidP="00232DD4">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Kaplan, R.K. and Edgar, J. (2018). Priming confidentiality concerns: How reminders of privacy affect response rates and data quality in online data collection. Paper to be presented at AAPOR May of 2018. Denver, CO. </w:t>
      </w:r>
    </w:p>
    <w:p w14:paraId="36D5AEBC" w14:textId="77777777" w:rsidR="00232DD4" w:rsidRDefault="00232DD4" w:rsidP="00232DD4">
      <w:pPr>
        <w:spacing w:after="160" w:line="259" w:lineRule="auto"/>
        <w:rPr>
          <w:rFonts w:asciiTheme="minorHAnsi" w:hAnsiTheme="minorHAnsi" w:cstheme="minorHAnsi"/>
          <w:sz w:val="24"/>
          <w:szCs w:val="24"/>
        </w:rPr>
      </w:pPr>
      <w:r w:rsidRPr="00513959">
        <w:rPr>
          <w:rFonts w:asciiTheme="minorHAnsi" w:hAnsiTheme="minorHAnsi" w:cstheme="minorHAnsi"/>
          <w:sz w:val="24"/>
          <w:szCs w:val="24"/>
        </w:rPr>
        <w:t>Kreuter, F., Presser, S., &amp; Tourangeau, R. (2008). Social desirability bias in CATI, IVR, and Web surveys the effects of mode and question sensitivity. </w:t>
      </w:r>
      <w:r w:rsidRPr="00513959">
        <w:rPr>
          <w:rFonts w:asciiTheme="minorHAnsi" w:hAnsiTheme="minorHAnsi" w:cstheme="minorHAnsi"/>
          <w:i/>
          <w:iCs/>
          <w:sz w:val="24"/>
          <w:szCs w:val="24"/>
        </w:rPr>
        <w:t>Public Opinion Quarterly</w:t>
      </w:r>
      <w:r w:rsidRPr="00513959">
        <w:rPr>
          <w:rFonts w:asciiTheme="minorHAnsi" w:hAnsiTheme="minorHAnsi" w:cstheme="minorHAnsi"/>
          <w:sz w:val="24"/>
          <w:szCs w:val="24"/>
        </w:rPr>
        <w:t>, </w:t>
      </w:r>
      <w:r w:rsidRPr="00513959">
        <w:rPr>
          <w:rFonts w:asciiTheme="minorHAnsi" w:hAnsiTheme="minorHAnsi" w:cstheme="minorHAnsi"/>
          <w:i/>
          <w:iCs/>
          <w:sz w:val="24"/>
          <w:szCs w:val="24"/>
        </w:rPr>
        <w:t>72</w:t>
      </w:r>
      <w:r w:rsidRPr="00513959">
        <w:rPr>
          <w:rFonts w:asciiTheme="minorHAnsi" w:hAnsiTheme="minorHAnsi" w:cstheme="minorHAnsi"/>
          <w:sz w:val="24"/>
          <w:szCs w:val="24"/>
        </w:rPr>
        <w:t>(5), 847-865.</w:t>
      </w:r>
    </w:p>
    <w:p w14:paraId="400BCADC" w14:textId="162E5631" w:rsidR="005B037E" w:rsidRDefault="005B037E" w:rsidP="00232DD4">
      <w:pPr>
        <w:spacing w:after="160" w:line="259" w:lineRule="auto"/>
        <w:rPr>
          <w:rFonts w:asciiTheme="minorHAnsi" w:hAnsiTheme="minorHAnsi" w:cstheme="minorHAnsi"/>
          <w:sz w:val="24"/>
          <w:szCs w:val="24"/>
        </w:rPr>
      </w:pPr>
      <w:r w:rsidRPr="005B037E">
        <w:rPr>
          <w:rFonts w:asciiTheme="minorHAnsi" w:hAnsiTheme="minorHAnsi" w:cstheme="minorHAnsi"/>
          <w:sz w:val="24"/>
          <w:szCs w:val="24"/>
        </w:rPr>
        <w:t>McCarthy, J.S., Beckler, D.G., Qualey, S.M., (2006) “An Analysis of the Relationship Between Survey Burden and Nonresponse: If We Bother them More, Are They Less Cooperative?” Journal of Official Statistics, 22, 97-112.</w:t>
      </w:r>
    </w:p>
    <w:p w14:paraId="0A4F4E2A" w14:textId="5F2BCE98" w:rsidR="005C6373" w:rsidRDefault="005C6373" w:rsidP="00232DD4">
      <w:pPr>
        <w:spacing w:after="160" w:line="259" w:lineRule="auto"/>
        <w:rPr>
          <w:rFonts w:asciiTheme="minorHAnsi" w:hAnsiTheme="minorHAnsi" w:cstheme="minorHAnsi"/>
          <w:sz w:val="24"/>
          <w:szCs w:val="24"/>
        </w:rPr>
      </w:pPr>
      <w:r w:rsidRPr="005C6373">
        <w:rPr>
          <w:rFonts w:asciiTheme="minorHAnsi" w:hAnsiTheme="minorHAnsi" w:cstheme="minorHAnsi"/>
          <w:sz w:val="24"/>
          <w:szCs w:val="24"/>
        </w:rPr>
        <w:t>Miller, Peter V. 2017. "Is There a Future for Surveys?" </w:t>
      </w:r>
      <w:r w:rsidRPr="005C6373">
        <w:rPr>
          <w:rFonts w:asciiTheme="minorHAnsi" w:hAnsiTheme="minorHAnsi" w:cstheme="minorHAnsi"/>
          <w:i/>
          <w:iCs/>
          <w:sz w:val="24"/>
          <w:szCs w:val="24"/>
        </w:rPr>
        <w:t>Public Opinion Quarterly</w:t>
      </w:r>
      <w:r w:rsidRPr="005C6373">
        <w:rPr>
          <w:rFonts w:asciiTheme="minorHAnsi" w:hAnsiTheme="minorHAnsi" w:cstheme="minorHAnsi"/>
          <w:sz w:val="24"/>
          <w:szCs w:val="24"/>
        </w:rPr>
        <w:t> 81: 205-12.</w:t>
      </w:r>
    </w:p>
    <w:p w14:paraId="20E5D832" w14:textId="77777777" w:rsidR="00D32A78" w:rsidRPr="00D32A78" w:rsidRDefault="00D32A78" w:rsidP="00D32A78">
      <w:pPr>
        <w:spacing w:after="160" w:line="259" w:lineRule="auto"/>
        <w:rPr>
          <w:rFonts w:asciiTheme="minorHAnsi" w:hAnsiTheme="minorHAnsi" w:cstheme="minorHAnsi"/>
          <w:sz w:val="24"/>
          <w:szCs w:val="24"/>
        </w:rPr>
      </w:pPr>
      <w:r w:rsidRPr="00D32A78">
        <w:rPr>
          <w:rFonts w:asciiTheme="minorHAnsi" w:hAnsiTheme="minorHAnsi" w:cstheme="minorHAnsi"/>
          <w:sz w:val="24"/>
          <w:szCs w:val="24"/>
        </w:rPr>
        <w:t>Mullinix, K.J., Leeper, T.J., Druckman, J.N. and Freese, J. (2015) ‘The Generalizability of Survey Experiments’, </w:t>
      </w:r>
      <w:r w:rsidRPr="00D32A78">
        <w:rPr>
          <w:rFonts w:asciiTheme="minorHAnsi" w:hAnsiTheme="minorHAnsi" w:cstheme="minorHAnsi"/>
          <w:i/>
          <w:iCs/>
          <w:sz w:val="24"/>
          <w:szCs w:val="24"/>
        </w:rPr>
        <w:t>Journal of Experimental Political Science</w:t>
      </w:r>
      <w:r w:rsidRPr="00D32A78">
        <w:rPr>
          <w:rFonts w:asciiTheme="minorHAnsi" w:hAnsiTheme="minorHAnsi" w:cstheme="minorHAnsi"/>
          <w:sz w:val="24"/>
          <w:szCs w:val="24"/>
        </w:rPr>
        <w:t>, 2(2), pp. 109–138. doi: 10.1017/XPS.2015.19.</w:t>
      </w:r>
    </w:p>
    <w:p w14:paraId="0C65C524" w14:textId="77777777" w:rsidR="00BD760E" w:rsidRDefault="00BD760E" w:rsidP="00BD760E">
      <w:pPr>
        <w:spacing w:after="160" w:line="259" w:lineRule="auto"/>
        <w:rPr>
          <w:rFonts w:asciiTheme="minorHAnsi" w:hAnsiTheme="minorHAnsi" w:cstheme="minorHAnsi"/>
          <w:sz w:val="24"/>
          <w:szCs w:val="24"/>
        </w:rPr>
      </w:pPr>
      <w:r w:rsidRPr="00BD760E">
        <w:rPr>
          <w:rFonts w:asciiTheme="minorHAnsi" w:hAnsiTheme="minorHAnsi" w:cstheme="minorHAnsi"/>
          <w:sz w:val="24"/>
          <w:szCs w:val="24"/>
        </w:rPr>
        <w:t>Paolacci, G., and J. Chandler. “Inside the Turk: Understanding Mechanical Turk as a Participant Pool.” Current Directions in Psychological Science, vol. 23, no. 3, 2014, pp. 184–188.</w:t>
      </w:r>
    </w:p>
    <w:p w14:paraId="62051858" w14:textId="4A58F619" w:rsidR="006C0C74" w:rsidRDefault="008768D6" w:rsidP="00BD760E">
      <w:pPr>
        <w:spacing w:after="160" w:line="259" w:lineRule="auto"/>
        <w:rPr>
          <w:rFonts w:asciiTheme="minorHAnsi" w:hAnsiTheme="minorHAnsi" w:cstheme="minorHAnsi"/>
          <w:color w:val="0563C1" w:themeColor="hyperlink"/>
          <w:sz w:val="24"/>
          <w:szCs w:val="24"/>
          <w:u w:val="single"/>
        </w:rPr>
      </w:pPr>
      <w:r>
        <w:rPr>
          <w:rFonts w:asciiTheme="minorHAnsi" w:hAnsiTheme="minorHAnsi" w:cstheme="minorHAnsi"/>
          <w:sz w:val="24"/>
          <w:szCs w:val="24"/>
        </w:rPr>
        <w:t xml:space="preserve">Paperwork Reduction Act (PRA) Guide. (2011). Office of Personnel Management. Retrieved from: </w:t>
      </w:r>
      <w:r w:rsidR="006C0C74" w:rsidRPr="006C0C74">
        <w:rPr>
          <w:rFonts w:asciiTheme="minorHAnsi" w:hAnsiTheme="minorHAnsi" w:cstheme="minorHAnsi"/>
          <w:sz w:val="24"/>
          <w:szCs w:val="24"/>
        </w:rPr>
        <w:t>https://www.opm.gov/about-us/open-government/digital-government-strategy/fitara/paperwork-reduction-act-guide.pdf</w:t>
      </w:r>
    </w:p>
    <w:p w14:paraId="3D2A7DCD" w14:textId="77777777" w:rsidR="006E17CA" w:rsidRDefault="006E17CA" w:rsidP="006E17CA">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Rodhouse, J., Wilson, T., &amp; Ridolofo, H. (2018). </w:t>
      </w:r>
      <w:r w:rsidRPr="006C0C74">
        <w:rPr>
          <w:rFonts w:asciiTheme="minorHAnsi" w:hAnsiTheme="minorHAnsi" w:cstheme="minorHAnsi"/>
          <w:sz w:val="24"/>
          <w:szCs w:val="24"/>
        </w:rPr>
        <w:t>Response Likelihood to an Establishment Survey with a Simple Questionnaire Following an Establishment Survey with a Complex Questionnaire</w:t>
      </w:r>
      <w:r>
        <w:rPr>
          <w:rFonts w:asciiTheme="minorHAnsi" w:hAnsiTheme="minorHAnsi" w:cstheme="minorHAnsi"/>
          <w:sz w:val="24"/>
          <w:szCs w:val="24"/>
        </w:rPr>
        <w:t xml:space="preserve">. Presented at FCSM 2018, Washington, DC. </w:t>
      </w:r>
    </w:p>
    <w:p w14:paraId="7B4C73F0" w14:textId="77777777" w:rsidR="00DB28F1" w:rsidRDefault="00DB28F1" w:rsidP="00DB28F1">
      <w:pPr>
        <w:spacing w:after="160" w:line="259" w:lineRule="auto"/>
        <w:rPr>
          <w:rFonts w:asciiTheme="minorHAnsi" w:hAnsiTheme="minorHAnsi" w:cstheme="minorHAnsi"/>
          <w:sz w:val="24"/>
          <w:szCs w:val="24"/>
        </w:rPr>
      </w:pPr>
      <w:r w:rsidRPr="00DB28F1">
        <w:rPr>
          <w:rFonts w:asciiTheme="minorHAnsi" w:hAnsiTheme="minorHAnsi" w:cstheme="minorHAnsi"/>
          <w:sz w:val="24"/>
          <w:szCs w:val="24"/>
        </w:rPr>
        <w:t>Rolstad, S., Adler, J., &amp; Rydén, A. (2011). Response burden and questionnaire length: is shorter better? A review and meta-analysis. </w:t>
      </w:r>
      <w:r w:rsidRPr="00DB28F1">
        <w:rPr>
          <w:rFonts w:asciiTheme="minorHAnsi" w:hAnsiTheme="minorHAnsi" w:cstheme="minorHAnsi"/>
          <w:i/>
          <w:iCs/>
          <w:sz w:val="24"/>
          <w:szCs w:val="24"/>
        </w:rPr>
        <w:t>Value in Health</w:t>
      </w:r>
      <w:r w:rsidRPr="00DB28F1">
        <w:rPr>
          <w:rFonts w:asciiTheme="minorHAnsi" w:hAnsiTheme="minorHAnsi" w:cstheme="minorHAnsi"/>
          <w:sz w:val="24"/>
          <w:szCs w:val="24"/>
        </w:rPr>
        <w:t>, </w:t>
      </w:r>
      <w:r w:rsidRPr="00DB28F1">
        <w:rPr>
          <w:rFonts w:asciiTheme="minorHAnsi" w:hAnsiTheme="minorHAnsi" w:cstheme="minorHAnsi"/>
          <w:i/>
          <w:iCs/>
          <w:sz w:val="24"/>
          <w:szCs w:val="24"/>
        </w:rPr>
        <w:t>14</w:t>
      </w:r>
      <w:r w:rsidRPr="00DB28F1">
        <w:rPr>
          <w:rFonts w:asciiTheme="minorHAnsi" w:hAnsiTheme="minorHAnsi" w:cstheme="minorHAnsi"/>
          <w:sz w:val="24"/>
          <w:szCs w:val="24"/>
        </w:rPr>
        <w:t>(8), 1101-1108.</w:t>
      </w:r>
    </w:p>
    <w:p w14:paraId="0AAD5FC2" w14:textId="7A660D6C" w:rsidR="005B037E" w:rsidRPr="00DB28F1" w:rsidRDefault="005B037E" w:rsidP="00DB28F1">
      <w:pPr>
        <w:spacing w:after="160" w:line="259" w:lineRule="auto"/>
        <w:rPr>
          <w:rFonts w:asciiTheme="minorHAnsi" w:hAnsiTheme="minorHAnsi" w:cstheme="minorHAnsi"/>
          <w:sz w:val="24"/>
          <w:szCs w:val="24"/>
        </w:rPr>
      </w:pPr>
      <w:r w:rsidRPr="005B037E">
        <w:rPr>
          <w:rFonts w:asciiTheme="minorHAnsi" w:hAnsiTheme="minorHAnsi" w:cstheme="minorHAnsi"/>
          <w:sz w:val="24"/>
          <w:szCs w:val="24"/>
        </w:rPr>
        <w:t>Sinibaldi, J., Karlsson, A.O., (2016) “The Effect of Rest Period on Response Likelihood,” Journal   of Survey Statistic and Methodology, 00, 1-14.</w:t>
      </w:r>
    </w:p>
    <w:p w14:paraId="796680EF" w14:textId="6A1C3298" w:rsidR="00E708E4" w:rsidRPr="00B010D0" w:rsidRDefault="00E364C7">
      <w:pPr>
        <w:spacing w:after="160" w:line="259" w:lineRule="auto"/>
        <w:rPr>
          <w:rFonts w:asciiTheme="minorHAnsi" w:hAnsiTheme="minorHAnsi" w:cstheme="minorHAnsi"/>
          <w:sz w:val="32"/>
          <w:szCs w:val="24"/>
        </w:rPr>
      </w:pPr>
      <w:r w:rsidRPr="00E364C7">
        <w:rPr>
          <w:rFonts w:asciiTheme="minorHAnsi" w:hAnsiTheme="minorHAnsi" w:cstheme="minorHAnsi"/>
          <w:sz w:val="24"/>
        </w:rPr>
        <w:t>Wirtz, D., Kruger, J., Napa Scollon, C., &amp; Diener, E. (2003). What to do on spring break? The role of predicted, on-line, and remembered experience in future choice. Psychological Science, 14, 520 –524. http://dx .doi.org/10.1111/1467-9280.03455</w:t>
      </w:r>
    </w:p>
    <w:p w14:paraId="5D834215" w14:textId="5ED69B99" w:rsidR="00E708E4" w:rsidRDefault="00E708E4">
      <w:pPr>
        <w:spacing w:after="160" w:line="259" w:lineRule="auto"/>
        <w:rPr>
          <w:rFonts w:asciiTheme="minorHAnsi" w:hAnsiTheme="minorHAnsi" w:cstheme="minorHAnsi"/>
          <w:sz w:val="24"/>
          <w:szCs w:val="24"/>
        </w:rPr>
      </w:pPr>
    </w:p>
    <w:sectPr w:rsidR="00E708E4" w:rsidSect="007D15A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2755C" w14:textId="77777777" w:rsidR="00CB640B" w:rsidRDefault="00CB640B" w:rsidP="00847117">
      <w:r>
        <w:separator/>
      </w:r>
    </w:p>
  </w:endnote>
  <w:endnote w:type="continuationSeparator" w:id="0">
    <w:p w14:paraId="1FB18D9D" w14:textId="77777777" w:rsidR="00CB640B" w:rsidRDefault="00CB640B"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412840"/>
      <w:docPartObj>
        <w:docPartGallery w:val="Page Numbers (Bottom of Page)"/>
        <w:docPartUnique/>
      </w:docPartObj>
    </w:sdtPr>
    <w:sdtEndPr>
      <w:rPr>
        <w:noProof/>
      </w:rPr>
    </w:sdtEndPr>
    <w:sdtContent>
      <w:p w14:paraId="2C859DC6" w14:textId="77777777" w:rsidR="00660B1B" w:rsidRDefault="00660B1B">
        <w:pPr>
          <w:pStyle w:val="Footer"/>
          <w:jc w:val="center"/>
        </w:pPr>
        <w:r>
          <w:fldChar w:fldCharType="begin"/>
        </w:r>
        <w:r>
          <w:instrText xml:space="preserve"> PAGE   \* MERGEFORMAT </w:instrText>
        </w:r>
        <w:r>
          <w:fldChar w:fldCharType="separate"/>
        </w:r>
        <w:r w:rsidR="00E60663">
          <w:rPr>
            <w:noProof/>
          </w:rPr>
          <w:t>1</w:t>
        </w:r>
        <w:r>
          <w:rPr>
            <w:noProof/>
          </w:rPr>
          <w:fldChar w:fldCharType="end"/>
        </w:r>
      </w:p>
    </w:sdtContent>
  </w:sdt>
  <w:p w14:paraId="1D026F87" w14:textId="77777777" w:rsidR="00660B1B" w:rsidRDefault="00660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F0CEB" w14:textId="77777777" w:rsidR="00CB640B" w:rsidRDefault="00CB640B" w:rsidP="00847117">
      <w:r>
        <w:separator/>
      </w:r>
    </w:p>
  </w:footnote>
  <w:footnote w:type="continuationSeparator" w:id="0">
    <w:p w14:paraId="001ABD61" w14:textId="77777777" w:rsidR="00CB640B" w:rsidRDefault="00CB640B" w:rsidP="0084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50929" w14:textId="77777777" w:rsidR="00660B1B" w:rsidRPr="00544D5E" w:rsidRDefault="00660B1B" w:rsidP="00277667">
    <w:pPr>
      <w:jc w:val="right"/>
      <w:rPr>
        <w:sz w:val="24"/>
        <w:szCs w:val="24"/>
      </w:rPr>
    </w:pPr>
    <w:r w:rsidRPr="00544D5E">
      <w:rPr>
        <w:sz w:val="24"/>
        <w:szCs w:val="24"/>
      </w:rPr>
      <w:t>OMB Control Number: 1220-0141</w:t>
    </w:r>
  </w:p>
  <w:p w14:paraId="40BE3DB4" w14:textId="7F9DC3F5" w:rsidR="00660B1B" w:rsidRDefault="00660B1B" w:rsidP="003F1605">
    <w:pPr>
      <w:jc w:val="right"/>
    </w:pPr>
    <w:r w:rsidRPr="00544D5E">
      <w:rPr>
        <w:sz w:val="24"/>
        <w:szCs w:val="24"/>
      </w:rPr>
      <w:t xml:space="preserve">Expiration Date: </w:t>
    </w:r>
    <w:r w:rsidR="003F1605" w:rsidRPr="003D09BC">
      <w:rPr>
        <w:sz w:val="24"/>
        <w:szCs w:val="24"/>
      </w:rPr>
      <w:t>03/31/2021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962"/>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959CD"/>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03C9F"/>
    <w:multiLevelType w:val="hybridMultilevel"/>
    <w:tmpl w:val="E4FA05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3CF127B"/>
    <w:multiLevelType w:val="hybridMultilevel"/>
    <w:tmpl w:val="F9BC49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367D3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71E0A"/>
    <w:multiLevelType w:val="hybridMultilevel"/>
    <w:tmpl w:val="F9BC49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267739"/>
    <w:multiLevelType w:val="hybridMultilevel"/>
    <w:tmpl w:val="D72AEBEA"/>
    <w:lvl w:ilvl="0" w:tplc="FD7C2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D6B02"/>
    <w:multiLevelType w:val="hybridMultilevel"/>
    <w:tmpl w:val="067AB70C"/>
    <w:lvl w:ilvl="0" w:tplc="1CCE770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774FA"/>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FF0352"/>
    <w:multiLevelType w:val="hybridMultilevel"/>
    <w:tmpl w:val="D6A2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34E3E"/>
    <w:multiLevelType w:val="hybridMultilevel"/>
    <w:tmpl w:val="DA8E23F0"/>
    <w:lvl w:ilvl="0" w:tplc="9E5E1A2C">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39534C"/>
    <w:multiLevelType w:val="hybridMultilevel"/>
    <w:tmpl w:val="9FAAD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A1301"/>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086033"/>
    <w:multiLevelType w:val="hybridMultilevel"/>
    <w:tmpl w:val="DB6AFA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24E3550"/>
    <w:multiLevelType w:val="hybridMultilevel"/>
    <w:tmpl w:val="F0B25B9E"/>
    <w:lvl w:ilvl="0" w:tplc="A67A30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64485A"/>
    <w:multiLevelType w:val="hybridMultilevel"/>
    <w:tmpl w:val="DB6AFA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1B28A2"/>
    <w:multiLevelType w:val="hybridMultilevel"/>
    <w:tmpl w:val="15442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22A322D"/>
    <w:multiLevelType w:val="hybridMultilevel"/>
    <w:tmpl w:val="4F62F6B8"/>
    <w:lvl w:ilvl="0" w:tplc="9E5E1A2C">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FC42FF"/>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02167C"/>
    <w:multiLevelType w:val="hybridMultilevel"/>
    <w:tmpl w:val="A412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2F7D66"/>
    <w:multiLevelType w:val="hybridMultilevel"/>
    <w:tmpl w:val="052C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07AC8"/>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143C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C26B55"/>
    <w:multiLevelType w:val="hybridMultilevel"/>
    <w:tmpl w:val="E1D8B9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EC25523"/>
    <w:multiLevelType w:val="hybridMultilevel"/>
    <w:tmpl w:val="F28691C8"/>
    <w:lvl w:ilvl="0" w:tplc="3482B04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4500564B"/>
    <w:multiLevelType w:val="hybridMultilevel"/>
    <w:tmpl w:val="E1D8B9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C2E3D37"/>
    <w:multiLevelType w:val="hybridMultilevel"/>
    <w:tmpl w:val="463E3784"/>
    <w:lvl w:ilvl="0" w:tplc="4C9C60D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A21A78"/>
    <w:multiLevelType w:val="hybridMultilevel"/>
    <w:tmpl w:val="D1506B7A"/>
    <w:lvl w:ilvl="0" w:tplc="75B64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585DFA"/>
    <w:multiLevelType w:val="hybridMultilevel"/>
    <w:tmpl w:val="F6D62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1B1926"/>
    <w:multiLevelType w:val="hybridMultilevel"/>
    <w:tmpl w:val="0C72BFF2"/>
    <w:lvl w:ilvl="0" w:tplc="81E4919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C12B5C"/>
    <w:multiLevelType w:val="hybridMultilevel"/>
    <w:tmpl w:val="BC50F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D6351C"/>
    <w:multiLevelType w:val="hybridMultilevel"/>
    <w:tmpl w:val="6CB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3300DA"/>
    <w:multiLevelType w:val="hybridMultilevel"/>
    <w:tmpl w:val="B2E0E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6BC333E"/>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9D51598"/>
    <w:multiLevelType w:val="hybridMultilevel"/>
    <w:tmpl w:val="90C20CF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7">
    <w:nsid w:val="62371ECB"/>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26473DB"/>
    <w:multiLevelType w:val="hybridMultilevel"/>
    <w:tmpl w:val="CD8C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C12BBE"/>
    <w:multiLevelType w:val="hybridMultilevel"/>
    <w:tmpl w:val="8DCC3F2A"/>
    <w:lvl w:ilvl="0" w:tplc="0409000F">
      <w:start w:val="1"/>
      <w:numFmt w:val="decimal"/>
      <w:lvlText w:val="%1."/>
      <w:lvlJc w:val="left"/>
      <w:pPr>
        <w:ind w:left="720" w:hanging="360"/>
      </w:pPr>
      <w:rPr>
        <w:rFonts w:hint="default"/>
      </w:rPr>
    </w:lvl>
    <w:lvl w:ilvl="1" w:tplc="9E5E1A2C">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933D11"/>
    <w:multiLevelType w:val="hybridMultilevel"/>
    <w:tmpl w:val="D1506B7A"/>
    <w:lvl w:ilvl="0" w:tplc="75B64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DE79A1"/>
    <w:multiLevelType w:val="hybridMultilevel"/>
    <w:tmpl w:val="D9F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2B7EB0"/>
    <w:multiLevelType w:val="hybridMultilevel"/>
    <w:tmpl w:val="2B0268D8"/>
    <w:lvl w:ilvl="0" w:tplc="FD7C2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88415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C25ED8"/>
    <w:multiLevelType w:val="hybridMultilevel"/>
    <w:tmpl w:val="87D46686"/>
    <w:lvl w:ilvl="0" w:tplc="9E5E1A2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CE06EAC"/>
    <w:multiLevelType w:val="hybridMultilevel"/>
    <w:tmpl w:val="2BEA3EEC"/>
    <w:lvl w:ilvl="0" w:tplc="9FB0D1A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3"/>
  </w:num>
  <w:num w:numId="4">
    <w:abstractNumId w:val="43"/>
  </w:num>
  <w:num w:numId="5">
    <w:abstractNumId w:val="30"/>
  </w:num>
  <w:num w:numId="6">
    <w:abstractNumId w:val="21"/>
  </w:num>
  <w:num w:numId="7">
    <w:abstractNumId w:val="33"/>
  </w:num>
  <w:num w:numId="8">
    <w:abstractNumId w:val="2"/>
  </w:num>
  <w:num w:numId="9">
    <w:abstractNumId w:val="32"/>
  </w:num>
  <w:num w:numId="10">
    <w:abstractNumId w:val="5"/>
  </w:num>
  <w:num w:numId="11">
    <w:abstractNumId w:val="24"/>
  </w:num>
  <w:num w:numId="12">
    <w:abstractNumId w:val="35"/>
  </w:num>
  <w:num w:numId="13">
    <w:abstractNumId w:val="14"/>
  </w:num>
  <w:num w:numId="14">
    <w:abstractNumId w:val="20"/>
  </w:num>
  <w:num w:numId="15">
    <w:abstractNumId w:val="0"/>
  </w:num>
  <w:num w:numId="16">
    <w:abstractNumId w:val="16"/>
  </w:num>
  <w:num w:numId="17">
    <w:abstractNumId w:val="7"/>
  </w:num>
  <w:num w:numId="18">
    <w:abstractNumId w:val="12"/>
  </w:num>
  <w:num w:numId="19">
    <w:abstractNumId w:val="28"/>
  </w:num>
  <w:num w:numId="20">
    <w:abstractNumId w:val="42"/>
  </w:num>
  <w:num w:numId="21">
    <w:abstractNumId w:val="31"/>
  </w:num>
  <w:num w:numId="22">
    <w:abstractNumId w:val="40"/>
  </w:num>
  <w:num w:numId="23">
    <w:abstractNumId w:val="34"/>
  </w:num>
  <w:num w:numId="24">
    <w:abstractNumId w:val="17"/>
  </w:num>
  <w:num w:numId="25">
    <w:abstractNumId w:val="15"/>
  </w:num>
  <w:num w:numId="26">
    <w:abstractNumId w:val="25"/>
  </w:num>
  <w:num w:numId="27">
    <w:abstractNumId w:val="27"/>
  </w:num>
  <w:num w:numId="28">
    <w:abstractNumId w:val="26"/>
  </w:num>
  <w:num w:numId="29">
    <w:abstractNumId w:val="45"/>
  </w:num>
  <w:num w:numId="30">
    <w:abstractNumId w:val="29"/>
  </w:num>
  <w:num w:numId="31">
    <w:abstractNumId w:val="37"/>
  </w:num>
  <w:num w:numId="32">
    <w:abstractNumId w:val="6"/>
  </w:num>
  <w:num w:numId="33">
    <w:abstractNumId w:val="4"/>
  </w:num>
  <w:num w:numId="34">
    <w:abstractNumId w:val="9"/>
  </w:num>
  <w:num w:numId="35">
    <w:abstractNumId w:val="18"/>
  </w:num>
  <w:num w:numId="36">
    <w:abstractNumId w:val="19"/>
  </w:num>
  <w:num w:numId="37">
    <w:abstractNumId w:val="39"/>
  </w:num>
  <w:num w:numId="38">
    <w:abstractNumId w:val="11"/>
  </w:num>
  <w:num w:numId="39">
    <w:abstractNumId w:val="44"/>
  </w:num>
  <w:num w:numId="40">
    <w:abstractNumId w:val="3"/>
  </w:num>
  <w:num w:numId="41">
    <w:abstractNumId w:val="8"/>
  </w:num>
  <w:num w:numId="42">
    <w:abstractNumId w:val="10"/>
  </w:num>
  <w:num w:numId="43">
    <w:abstractNumId w:val="41"/>
  </w:num>
  <w:num w:numId="44">
    <w:abstractNumId w:val="38"/>
  </w:num>
  <w:num w:numId="45">
    <w:abstractNumId w:val="36"/>
  </w:num>
  <w:num w:numId="4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7B1B"/>
    <w:rsid w:val="00007D55"/>
    <w:rsid w:val="000213AD"/>
    <w:rsid w:val="000267B8"/>
    <w:rsid w:val="00032CA4"/>
    <w:rsid w:val="00037F41"/>
    <w:rsid w:val="00044967"/>
    <w:rsid w:val="00045285"/>
    <w:rsid w:val="0005751A"/>
    <w:rsid w:val="0006217C"/>
    <w:rsid w:val="0007009B"/>
    <w:rsid w:val="0007257B"/>
    <w:rsid w:val="00073A0F"/>
    <w:rsid w:val="000753A6"/>
    <w:rsid w:val="00087CAF"/>
    <w:rsid w:val="00090252"/>
    <w:rsid w:val="000922BB"/>
    <w:rsid w:val="000979AE"/>
    <w:rsid w:val="000A4DDB"/>
    <w:rsid w:val="000B3DD4"/>
    <w:rsid w:val="000B3E8A"/>
    <w:rsid w:val="000B41AF"/>
    <w:rsid w:val="000B490F"/>
    <w:rsid w:val="000B5F8C"/>
    <w:rsid w:val="000B7D5A"/>
    <w:rsid w:val="000C4BA2"/>
    <w:rsid w:val="000D3B4A"/>
    <w:rsid w:val="000D4C5D"/>
    <w:rsid w:val="000D510F"/>
    <w:rsid w:val="000D61F7"/>
    <w:rsid w:val="000E3EEB"/>
    <w:rsid w:val="000E510A"/>
    <w:rsid w:val="000E6CA6"/>
    <w:rsid w:val="000F5E06"/>
    <w:rsid w:val="000F69AF"/>
    <w:rsid w:val="000F6B3C"/>
    <w:rsid w:val="00102CE8"/>
    <w:rsid w:val="00103038"/>
    <w:rsid w:val="001210E9"/>
    <w:rsid w:val="001313C6"/>
    <w:rsid w:val="001322B7"/>
    <w:rsid w:val="001346E9"/>
    <w:rsid w:val="001352B6"/>
    <w:rsid w:val="001453D7"/>
    <w:rsid w:val="00157ABC"/>
    <w:rsid w:val="0016517D"/>
    <w:rsid w:val="001733C8"/>
    <w:rsid w:val="00183110"/>
    <w:rsid w:val="001837DE"/>
    <w:rsid w:val="00192783"/>
    <w:rsid w:val="001951AC"/>
    <w:rsid w:val="00195FFE"/>
    <w:rsid w:val="0019636F"/>
    <w:rsid w:val="001A1A91"/>
    <w:rsid w:val="001A56EE"/>
    <w:rsid w:val="001A6E1E"/>
    <w:rsid w:val="001A7B29"/>
    <w:rsid w:val="001B04AF"/>
    <w:rsid w:val="001B19F9"/>
    <w:rsid w:val="001C5486"/>
    <w:rsid w:val="001C78C3"/>
    <w:rsid w:val="001D2192"/>
    <w:rsid w:val="001E02D6"/>
    <w:rsid w:val="001E1314"/>
    <w:rsid w:val="001E3EC5"/>
    <w:rsid w:val="001E42DA"/>
    <w:rsid w:val="001E7163"/>
    <w:rsid w:val="001E74AB"/>
    <w:rsid w:val="001F24FC"/>
    <w:rsid w:val="001F32C2"/>
    <w:rsid w:val="001F42CA"/>
    <w:rsid w:val="001F5DA2"/>
    <w:rsid w:val="00200C10"/>
    <w:rsid w:val="00215CA4"/>
    <w:rsid w:val="00216A74"/>
    <w:rsid w:val="0022420C"/>
    <w:rsid w:val="00232DD4"/>
    <w:rsid w:val="00235E78"/>
    <w:rsid w:val="00261F97"/>
    <w:rsid w:val="00263C1F"/>
    <w:rsid w:val="00263D3A"/>
    <w:rsid w:val="00277667"/>
    <w:rsid w:val="00280AF2"/>
    <w:rsid w:val="002852CB"/>
    <w:rsid w:val="002A3C60"/>
    <w:rsid w:val="002A3DE2"/>
    <w:rsid w:val="002A5A38"/>
    <w:rsid w:val="002A6234"/>
    <w:rsid w:val="002B2F41"/>
    <w:rsid w:val="002B7A94"/>
    <w:rsid w:val="002D2438"/>
    <w:rsid w:val="002D6A39"/>
    <w:rsid w:val="002E11BB"/>
    <w:rsid w:val="002E4545"/>
    <w:rsid w:val="002F09AE"/>
    <w:rsid w:val="002F1CF0"/>
    <w:rsid w:val="00303DB3"/>
    <w:rsid w:val="003107B9"/>
    <w:rsid w:val="00313D35"/>
    <w:rsid w:val="00325C7B"/>
    <w:rsid w:val="00342E76"/>
    <w:rsid w:val="0034314A"/>
    <w:rsid w:val="00345173"/>
    <w:rsid w:val="0035064E"/>
    <w:rsid w:val="00362041"/>
    <w:rsid w:val="00363E19"/>
    <w:rsid w:val="00373B19"/>
    <w:rsid w:val="00374191"/>
    <w:rsid w:val="003803DC"/>
    <w:rsid w:val="00382A64"/>
    <w:rsid w:val="0038489A"/>
    <w:rsid w:val="00387A5F"/>
    <w:rsid w:val="003A0BFE"/>
    <w:rsid w:val="003A3B11"/>
    <w:rsid w:val="003A432E"/>
    <w:rsid w:val="003A4F00"/>
    <w:rsid w:val="003A6235"/>
    <w:rsid w:val="003A78A4"/>
    <w:rsid w:val="003B0831"/>
    <w:rsid w:val="003B418E"/>
    <w:rsid w:val="003C7C7A"/>
    <w:rsid w:val="003D008F"/>
    <w:rsid w:val="003D09BC"/>
    <w:rsid w:val="003D294F"/>
    <w:rsid w:val="003D6770"/>
    <w:rsid w:val="003F14E7"/>
    <w:rsid w:val="003F1605"/>
    <w:rsid w:val="003F47F6"/>
    <w:rsid w:val="003F616D"/>
    <w:rsid w:val="0040217D"/>
    <w:rsid w:val="00410066"/>
    <w:rsid w:val="004107F6"/>
    <w:rsid w:val="004216C3"/>
    <w:rsid w:val="00422F12"/>
    <w:rsid w:val="00423D69"/>
    <w:rsid w:val="00432DFD"/>
    <w:rsid w:val="004365C5"/>
    <w:rsid w:val="00436737"/>
    <w:rsid w:val="004367F9"/>
    <w:rsid w:val="00437D25"/>
    <w:rsid w:val="0044434F"/>
    <w:rsid w:val="004453C4"/>
    <w:rsid w:val="00446540"/>
    <w:rsid w:val="00461DEF"/>
    <w:rsid w:val="00474C77"/>
    <w:rsid w:val="00483663"/>
    <w:rsid w:val="00483C65"/>
    <w:rsid w:val="00484193"/>
    <w:rsid w:val="00492CFC"/>
    <w:rsid w:val="00496148"/>
    <w:rsid w:val="0049715C"/>
    <w:rsid w:val="004B25D4"/>
    <w:rsid w:val="004B4F51"/>
    <w:rsid w:val="004B588F"/>
    <w:rsid w:val="004B6677"/>
    <w:rsid w:val="004B6C74"/>
    <w:rsid w:val="004B761B"/>
    <w:rsid w:val="004C5A93"/>
    <w:rsid w:val="004D0FEB"/>
    <w:rsid w:val="004D32C8"/>
    <w:rsid w:val="004D6239"/>
    <w:rsid w:val="004E4418"/>
    <w:rsid w:val="004E6E5B"/>
    <w:rsid w:val="004F1F45"/>
    <w:rsid w:val="00502965"/>
    <w:rsid w:val="00513959"/>
    <w:rsid w:val="00513F44"/>
    <w:rsid w:val="005272F0"/>
    <w:rsid w:val="00532672"/>
    <w:rsid w:val="005337A2"/>
    <w:rsid w:val="00533E34"/>
    <w:rsid w:val="00537790"/>
    <w:rsid w:val="00543241"/>
    <w:rsid w:val="00543B11"/>
    <w:rsid w:val="00544D5E"/>
    <w:rsid w:val="00550F93"/>
    <w:rsid w:val="00552038"/>
    <w:rsid w:val="00554091"/>
    <w:rsid w:val="00561B79"/>
    <w:rsid w:val="00590D48"/>
    <w:rsid w:val="00597082"/>
    <w:rsid w:val="0059752E"/>
    <w:rsid w:val="00597625"/>
    <w:rsid w:val="005A3B0D"/>
    <w:rsid w:val="005A3B14"/>
    <w:rsid w:val="005A4268"/>
    <w:rsid w:val="005B037E"/>
    <w:rsid w:val="005B1D1A"/>
    <w:rsid w:val="005B2483"/>
    <w:rsid w:val="005B58F4"/>
    <w:rsid w:val="005B7044"/>
    <w:rsid w:val="005C3E39"/>
    <w:rsid w:val="005C45E6"/>
    <w:rsid w:val="005C6373"/>
    <w:rsid w:val="005C700F"/>
    <w:rsid w:val="005D17E6"/>
    <w:rsid w:val="005E030F"/>
    <w:rsid w:val="005E6783"/>
    <w:rsid w:val="005F1C4D"/>
    <w:rsid w:val="005F1EC9"/>
    <w:rsid w:val="005F5EDE"/>
    <w:rsid w:val="006012B4"/>
    <w:rsid w:val="0060220B"/>
    <w:rsid w:val="00605665"/>
    <w:rsid w:val="006058F7"/>
    <w:rsid w:val="00612414"/>
    <w:rsid w:val="00613979"/>
    <w:rsid w:val="00615131"/>
    <w:rsid w:val="00615B24"/>
    <w:rsid w:val="006179AD"/>
    <w:rsid w:val="00620B78"/>
    <w:rsid w:val="00620D49"/>
    <w:rsid w:val="006272FD"/>
    <w:rsid w:val="00632A11"/>
    <w:rsid w:val="0063365D"/>
    <w:rsid w:val="00641010"/>
    <w:rsid w:val="00643458"/>
    <w:rsid w:val="00643C43"/>
    <w:rsid w:val="00646AFE"/>
    <w:rsid w:val="00650EE4"/>
    <w:rsid w:val="00652992"/>
    <w:rsid w:val="0065579A"/>
    <w:rsid w:val="00656258"/>
    <w:rsid w:val="006577A0"/>
    <w:rsid w:val="00660B1B"/>
    <w:rsid w:val="00663E7B"/>
    <w:rsid w:val="0066437B"/>
    <w:rsid w:val="00671B4E"/>
    <w:rsid w:val="00672D4B"/>
    <w:rsid w:val="00677B08"/>
    <w:rsid w:val="00680D1A"/>
    <w:rsid w:val="00683F35"/>
    <w:rsid w:val="006A16C7"/>
    <w:rsid w:val="006A3633"/>
    <w:rsid w:val="006B308C"/>
    <w:rsid w:val="006B426A"/>
    <w:rsid w:val="006B736D"/>
    <w:rsid w:val="006C0C74"/>
    <w:rsid w:val="006C138A"/>
    <w:rsid w:val="006C6ADA"/>
    <w:rsid w:val="006C7446"/>
    <w:rsid w:val="006D0D3C"/>
    <w:rsid w:val="006D27D6"/>
    <w:rsid w:val="006D2BF4"/>
    <w:rsid w:val="006D4EE6"/>
    <w:rsid w:val="006E008A"/>
    <w:rsid w:val="006E17CA"/>
    <w:rsid w:val="006E2363"/>
    <w:rsid w:val="006E4C93"/>
    <w:rsid w:val="006E4D89"/>
    <w:rsid w:val="006E564D"/>
    <w:rsid w:val="006E6ADD"/>
    <w:rsid w:val="006F16ED"/>
    <w:rsid w:val="0070142E"/>
    <w:rsid w:val="00706F94"/>
    <w:rsid w:val="00707ED5"/>
    <w:rsid w:val="00725239"/>
    <w:rsid w:val="00725BE9"/>
    <w:rsid w:val="00740A96"/>
    <w:rsid w:val="0074584A"/>
    <w:rsid w:val="00745D2E"/>
    <w:rsid w:val="00746212"/>
    <w:rsid w:val="00750D7B"/>
    <w:rsid w:val="00752F5A"/>
    <w:rsid w:val="00756566"/>
    <w:rsid w:val="00757D6B"/>
    <w:rsid w:val="00761E88"/>
    <w:rsid w:val="00762E78"/>
    <w:rsid w:val="00766160"/>
    <w:rsid w:val="00767A1F"/>
    <w:rsid w:val="00773FEF"/>
    <w:rsid w:val="00774BA0"/>
    <w:rsid w:val="00775175"/>
    <w:rsid w:val="00777346"/>
    <w:rsid w:val="007928F0"/>
    <w:rsid w:val="00795269"/>
    <w:rsid w:val="00796705"/>
    <w:rsid w:val="007A2CB5"/>
    <w:rsid w:val="007A36AF"/>
    <w:rsid w:val="007B0090"/>
    <w:rsid w:val="007B17EE"/>
    <w:rsid w:val="007B25B0"/>
    <w:rsid w:val="007B6CBF"/>
    <w:rsid w:val="007C4553"/>
    <w:rsid w:val="007C5871"/>
    <w:rsid w:val="007D15AB"/>
    <w:rsid w:val="007D28AD"/>
    <w:rsid w:val="007D355A"/>
    <w:rsid w:val="007D6CCA"/>
    <w:rsid w:val="007E45B8"/>
    <w:rsid w:val="007E79A4"/>
    <w:rsid w:val="007E7DC3"/>
    <w:rsid w:val="007F680C"/>
    <w:rsid w:val="00802CA8"/>
    <w:rsid w:val="0081476C"/>
    <w:rsid w:val="00824124"/>
    <w:rsid w:val="00834D7B"/>
    <w:rsid w:val="0084128A"/>
    <w:rsid w:val="008420A7"/>
    <w:rsid w:val="0084577B"/>
    <w:rsid w:val="00847117"/>
    <w:rsid w:val="0084798B"/>
    <w:rsid w:val="0085019C"/>
    <w:rsid w:val="0086421A"/>
    <w:rsid w:val="008674C4"/>
    <w:rsid w:val="008734FD"/>
    <w:rsid w:val="008768D6"/>
    <w:rsid w:val="008769BC"/>
    <w:rsid w:val="00880511"/>
    <w:rsid w:val="00882AF8"/>
    <w:rsid w:val="00882DCA"/>
    <w:rsid w:val="00890061"/>
    <w:rsid w:val="00896A20"/>
    <w:rsid w:val="00897EDE"/>
    <w:rsid w:val="008A207F"/>
    <w:rsid w:val="008A3280"/>
    <w:rsid w:val="008B3F79"/>
    <w:rsid w:val="008B482E"/>
    <w:rsid w:val="008B4F77"/>
    <w:rsid w:val="008B7AC0"/>
    <w:rsid w:val="008C3D62"/>
    <w:rsid w:val="008C4B66"/>
    <w:rsid w:val="008C5802"/>
    <w:rsid w:val="008D5768"/>
    <w:rsid w:val="008E4A32"/>
    <w:rsid w:val="008E5518"/>
    <w:rsid w:val="008E5E24"/>
    <w:rsid w:val="008E71F6"/>
    <w:rsid w:val="008F303E"/>
    <w:rsid w:val="008F30B2"/>
    <w:rsid w:val="009049DD"/>
    <w:rsid w:val="009073CA"/>
    <w:rsid w:val="009079BB"/>
    <w:rsid w:val="009205C4"/>
    <w:rsid w:val="0092576F"/>
    <w:rsid w:val="00930B77"/>
    <w:rsid w:val="00936F7F"/>
    <w:rsid w:val="00941099"/>
    <w:rsid w:val="009503C5"/>
    <w:rsid w:val="00951A3B"/>
    <w:rsid w:val="00954B5B"/>
    <w:rsid w:val="00963D85"/>
    <w:rsid w:val="0096712E"/>
    <w:rsid w:val="00975583"/>
    <w:rsid w:val="0097648E"/>
    <w:rsid w:val="00987E66"/>
    <w:rsid w:val="00990031"/>
    <w:rsid w:val="0099052E"/>
    <w:rsid w:val="00991453"/>
    <w:rsid w:val="00994D97"/>
    <w:rsid w:val="009A2342"/>
    <w:rsid w:val="009A63A3"/>
    <w:rsid w:val="009C1A31"/>
    <w:rsid w:val="009C7E44"/>
    <w:rsid w:val="009E1683"/>
    <w:rsid w:val="009E3FCE"/>
    <w:rsid w:val="009E3FE0"/>
    <w:rsid w:val="009F043D"/>
    <w:rsid w:val="00A00471"/>
    <w:rsid w:val="00A02D13"/>
    <w:rsid w:val="00A10BFB"/>
    <w:rsid w:val="00A10E87"/>
    <w:rsid w:val="00A11129"/>
    <w:rsid w:val="00A112F5"/>
    <w:rsid w:val="00A1249C"/>
    <w:rsid w:val="00A129DE"/>
    <w:rsid w:val="00A12D09"/>
    <w:rsid w:val="00A16223"/>
    <w:rsid w:val="00A233A4"/>
    <w:rsid w:val="00A30235"/>
    <w:rsid w:val="00A31FB0"/>
    <w:rsid w:val="00A35654"/>
    <w:rsid w:val="00A3776C"/>
    <w:rsid w:val="00A42C41"/>
    <w:rsid w:val="00A461EF"/>
    <w:rsid w:val="00A54536"/>
    <w:rsid w:val="00A6304A"/>
    <w:rsid w:val="00A64080"/>
    <w:rsid w:val="00A675DD"/>
    <w:rsid w:val="00A71073"/>
    <w:rsid w:val="00A77FF7"/>
    <w:rsid w:val="00A8001A"/>
    <w:rsid w:val="00A8282F"/>
    <w:rsid w:val="00A83ADB"/>
    <w:rsid w:val="00A87CA1"/>
    <w:rsid w:val="00A90E46"/>
    <w:rsid w:val="00A93C86"/>
    <w:rsid w:val="00AA3194"/>
    <w:rsid w:val="00AB2EE5"/>
    <w:rsid w:val="00AC3AD8"/>
    <w:rsid w:val="00AD614F"/>
    <w:rsid w:val="00AD6B09"/>
    <w:rsid w:val="00AD7D20"/>
    <w:rsid w:val="00AE07C2"/>
    <w:rsid w:val="00AE3809"/>
    <w:rsid w:val="00AE7F19"/>
    <w:rsid w:val="00AF0357"/>
    <w:rsid w:val="00AF11C4"/>
    <w:rsid w:val="00AF5733"/>
    <w:rsid w:val="00B00B4E"/>
    <w:rsid w:val="00B010D0"/>
    <w:rsid w:val="00B02414"/>
    <w:rsid w:val="00B13BE6"/>
    <w:rsid w:val="00B14D7A"/>
    <w:rsid w:val="00B21860"/>
    <w:rsid w:val="00B2348E"/>
    <w:rsid w:val="00B264EE"/>
    <w:rsid w:val="00B34234"/>
    <w:rsid w:val="00B35587"/>
    <w:rsid w:val="00B3675A"/>
    <w:rsid w:val="00B36BA0"/>
    <w:rsid w:val="00B445CF"/>
    <w:rsid w:val="00B55F19"/>
    <w:rsid w:val="00B57069"/>
    <w:rsid w:val="00B603AC"/>
    <w:rsid w:val="00B62B32"/>
    <w:rsid w:val="00B72D3F"/>
    <w:rsid w:val="00B75616"/>
    <w:rsid w:val="00B75922"/>
    <w:rsid w:val="00B759ED"/>
    <w:rsid w:val="00B75F2C"/>
    <w:rsid w:val="00B77BD7"/>
    <w:rsid w:val="00B8339C"/>
    <w:rsid w:val="00B87BE8"/>
    <w:rsid w:val="00B90465"/>
    <w:rsid w:val="00B9494F"/>
    <w:rsid w:val="00BA5989"/>
    <w:rsid w:val="00BA6CBC"/>
    <w:rsid w:val="00BC006C"/>
    <w:rsid w:val="00BC0CE4"/>
    <w:rsid w:val="00BC65D8"/>
    <w:rsid w:val="00BD0BF4"/>
    <w:rsid w:val="00BD760E"/>
    <w:rsid w:val="00C118FD"/>
    <w:rsid w:val="00C3460B"/>
    <w:rsid w:val="00C350C9"/>
    <w:rsid w:val="00C356C7"/>
    <w:rsid w:val="00C40537"/>
    <w:rsid w:val="00C4156D"/>
    <w:rsid w:val="00C43F17"/>
    <w:rsid w:val="00C44525"/>
    <w:rsid w:val="00C533C8"/>
    <w:rsid w:val="00C55CE2"/>
    <w:rsid w:val="00C6280C"/>
    <w:rsid w:val="00C628F6"/>
    <w:rsid w:val="00C6627A"/>
    <w:rsid w:val="00C700B4"/>
    <w:rsid w:val="00C800EF"/>
    <w:rsid w:val="00C81737"/>
    <w:rsid w:val="00C90962"/>
    <w:rsid w:val="00C91B84"/>
    <w:rsid w:val="00C92B29"/>
    <w:rsid w:val="00C963EB"/>
    <w:rsid w:val="00CA050F"/>
    <w:rsid w:val="00CA6743"/>
    <w:rsid w:val="00CB1C86"/>
    <w:rsid w:val="00CB3811"/>
    <w:rsid w:val="00CB640B"/>
    <w:rsid w:val="00CC130A"/>
    <w:rsid w:val="00CC2322"/>
    <w:rsid w:val="00CC494F"/>
    <w:rsid w:val="00CC6245"/>
    <w:rsid w:val="00CD708D"/>
    <w:rsid w:val="00CD7988"/>
    <w:rsid w:val="00CE6128"/>
    <w:rsid w:val="00CF5733"/>
    <w:rsid w:val="00CF5D26"/>
    <w:rsid w:val="00CF623A"/>
    <w:rsid w:val="00D0272F"/>
    <w:rsid w:val="00D205B9"/>
    <w:rsid w:val="00D23A53"/>
    <w:rsid w:val="00D248CF"/>
    <w:rsid w:val="00D24A11"/>
    <w:rsid w:val="00D31F93"/>
    <w:rsid w:val="00D32A78"/>
    <w:rsid w:val="00D41DF1"/>
    <w:rsid w:val="00D422FE"/>
    <w:rsid w:val="00D454EF"/>
    <w:rsid w:val="00D47246"/>
    <w:rsid w:val="00D53AE8"/>
    <w:rsid w:val="00D562A0"/>
    <w:rsid w:val="00D671B8"/>
    <w:rsid w:val="00D757D5"/>
    <w:rsid w:val="00D95A8C"/>
    <w:rsid w:val="00DA78E8"/>
    <w:rsid w:val="00DB28F1"/>
    <w:rsid w:val="00DC3E72"/>
    <w:rsid w:val="00DC4A76"/>
    <w:rsid w:val="00DC763F"/>
    <w:rsid w:val="00DD0DBF"/>
    <w:rsid w:val="00E01250"/>
    <w:rsid w:val="00E026D5"/>
    <w:rsid w:val="00E10382"/>
    <w:rsid w:val="00E1070D"/>
    <w:rsid w:val="00E13F63"/>
    <w:rsid w:val="00E30657"/>
    <w:rsid w:val="00E30901"/>
    <w:rsid w:val="00E364C7"/>
    <w:rsid w:val="00E40FB5"/>
    <w:rsid w:val="00E46E46"/>
    <w:rsid w:val="00E56DB3"/>
    <w:rsid w:val="00E60663"/>
    <w:rsid w:val="00E625BA"/>
    <w:rsid w:val="00E62845"/>
    <w:rsid w:val="00E632FF"/>
    <w:rsid w:val="00E708E4"/>
    <w:rsid w:val="00E73DE2"/>
    <w:rsid w:val="00E83B2C"/>
    <w:rsid w:val="00E91A70"/>
    <w:rsid w:val="00E9325B"/>
    <w:rsid w:val="00E950E3"/>
    <w:rsid w:val="00E96A0A"/>
    <w:rsid w:val="00EA4A26"/>
    <w:rsid w:val="00EB11FE"/>
    <w:rsid w:val="00EB1C18"/>
    <w:rsid w:val="00EB346D"/>
    <w:rsid w:val="00EB5FF7"/>
    <w:rsid w:val="00EC4A08"/>
    <w:rsid w:val="00ED058D"/>
    <w:rsid w:val="00ED1986"/>
    <w:rsid w:val="00ED7399"/>
    <w:rsid w:val="00ED76C8"/>
    <w:rsid w:val="00EE045C"/>
    <w:rsid w:val="00EE0ACC"/>
    <w:rsid w:val="00EE2946"/>
    <w:rsid w:val="00EE352B"/>
    <w:rsid w:val="00EE6CF6"/>
    <w:rsid w:val="00EF55AD"/>
    <w:rsid w:val="00F05DA8"/>
    <w:rsid w:val="00F162C6"/>
    <w:rsid w:val="00F227B8"/>
    <w:rsid w:val="00F25058"/>
    <w:rsid w:val="00F27CA7"/>
    <w:rsid w:val="00F3093C"/>
    <w:rsid w:val="00F447B4"/>
    <w:rsid w:val="00F448D9"/>
    <w:rsid w:val="00F55F90"/>
    <w:rsid w:val="00F564E0"/>
    <w:rsid w:val="00F56B74"/>
    <w:rsid w:val="00F56FC7"/>
    <w:rsid w:val="00F7276D"/>
    <w:rsid w:val="00F734D1"/>
    <w:rsid w:val="00F74F05"/>
    <w:rsid w:val="00F84C15"/>
    <w:rsid w:val="00F91585"/>
    <w:rsid w:val="00F91DB0"/>
    <w:rsid w:val="00F9434D"/>
    <w:rsid w:val="00F95F84"/>
    <w:rsid w:val="00F97FC6"/>
    <w:rsid w:val="00FA1F79"/>
    <w:rsid w:val="00FA5264"/>
    <w:rsid w:val="00FA6492"/>
    <w:rsid w:val="00FA7D95"/>
    <w:rsid w:val="00FB0AE7"/>
    <w:rsid w:val="00FB1A32"/>
    <w:rsid w:val="00FB39BC"/>
    <w:rsid w:val="00FC3B6B"/>
    <w:rsid w:val="00FC54F0"/>
    <w:rsid w:val="00FD39E7"/>
    <w:rsid w:val="00FD7719"/>
    <w:rsid w:val="00FF04B6"/>
    <w:rsid w:val="00FF5CF4"/>
    <w:rsid w:val="00FF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73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4357">
      <w:bodyDiv w:val="1"/>
      <w:marLeft w:val="0"/>
      <w:marRight w:val="0"/>
      <w:marTop w:val="0"/>
      <w:marBottom w:val="0"/>
      <w:divBdr>
        <w:top w:val="none" w:sz="0" w:space="0" w:color="auto"/>
        <w:left w:val="none" w:sz="0" w:space="0" w:color="auto"/>
        <w:bottom w:val="none" w:sz="0" w:space="0" w:color="auto"/>
        <w:right w:val="none" w:sz="0" w:space="0" w:color="auto"/>
      </w:divBdr>
    </w:div>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294337177">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594368194">
      <w:bodyDiv w:val="1"/>
      <w:marLeft w:val="0"/>
      <w:marRight w:val="0"/>
      <w:marTop w:val="0"/>
      <w:marBottom w:val="0"/>
      <w:divBdr>
        <w:top w:val="none" w:sz="0" w:space="0" w:color="auto"/>
        <w:left w:val="none" w:sz="0" w:space="0" w:color="auto"/>
        <w:bottom w:val="none" w:sz="0" w:space="0" w:color="auto"/>
        <w:right w:val="none" w:sz="0" w:space="0" w:color="auto"/>
      </w:divBdr>
    </w:div>
    <w:div w:id="611672370">
      <w:bodyDiv w:val="1"/>
      <w:marLeft w:val="0"/>
      <w:marRight w:val="0"/>
      <w:marTop w:val="0"/>
      <w:marBottom w:val="0"/>
      <w:divBdr>
        <w:top w:val="none" w:sz="0" w:space="0" w:color="auto"/>
        <w:left w:val="none" w:sz="0" w:space="0" w:color="auto"/>
        <w:bottom w:val="none" w:sz="0" w:space="0" w:color="auto"/>
        <w:right w:val="none" w:sz="0" w:space="0" w:color="auto"/>
      </w:divBdr>
    </w:div>
    <w:div w:id="847645910">
      <w:bodyDiv w:val="1"/>
      <w:marLeft w:val="0"/>
      <w:marRight w:val="0"/>
      <w:marTop w:val="0"/>
      <w:marBottom w:val="0"/>
      <w:divBdr>
        <w:top w:val="none" w:sz="0" w:space="0" w:color="auto"/>
        <w:left w:val="none" w:sz="0" w:space="0" w:color="auto"/>
        <w:bottom w:val="none" w:sz="0" w:space="0" w:color="auto"/>
        <w:right w:val="none" w:sz="0" w:space="0" w:color="auto"/>
      </w:divBdr>
    </w:div>
    <w:div w:id="1148664215">
      <w:bodyDiv w:val="1"/>
      <w:marLeft w:val="0"/>
      <w:marRight w:val="0"/>
      <w:marTop w:val="0"/>
      <w:marBottom w:val="0"/>
      <w:divBdr>
        <w:top w:val="none" w:sz="0" w:space="0" w:color="auto"/>
        <w:left w:val="none" w:sz="0" w:space="0" w:color="auto"/>
        <w:bottom w:val="none" w:sz="0" w:space="0" w:color="auto"/>
        <w:right w:val="none" w:sz="0" w:space="0" w:color="auto"/>
      </w:divBdr>
    </w:div>
    <w:div w:id="1245336443">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270695029">
      <w:bodyDiv w:val="1"/>
      <w:marLeft w:val="0"/>
      <w:marRight w:val="0"/>
      <w:marTop w:val="0"/>
      <w:marBottom w:val="0"/>
      <w:divBdr>
        <w:top w:val="none" w:sz="0" w:space="0" w:color="auto"/>
        <w:left w:val="none" w:sz="0" w:space="0" w:color="auto"/>
        <w:bottom w:val="none" w:sz="0" w:space="0" w:color="auto"/>
        <w:right w:val="none" w:sz="0" w:space="0" w:color="auto"/>
      </w:divBdr>
    </w:div>
    <w:div w:id="1436830852">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694069005">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nfo.gov/public/do/PRAViewIC?ref_nbr=201608-1220-001&amp;icID=22595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eginfo.gov/public/do/PRAViewIC?ref_nbr=201608-1220-001&amp;icID=220047" TargetMode="External"/><Relationship Id="rId4" Type="http://schemas.microsoft.com/office/2007/relationships/stylesWithEffects" Target="stylesWithEffects.xml"/><Relationship Id="rId9" Type="http://schemas.openxmlformats.org/officeDocument/2006/relationships/hyperlink" Target="https://www.reginfo.gov/public/do/PRAViewIC?ref_nbr=201608-1220-001&amp;icID=2250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2582441-DAC2-4C61-91D3-5491CB92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2016-05-26T12:08:00Z</cp:lastPrinted>
  <dcterms:created xsi:type="dcterms:W3CDTF">2018-06-19T17:27:00Z</dcterms:created>
  <dcterms:modified xsi:type="dcterms:W3CDTF">2018-06-19T17:27:00Z</dcterms:modified>
</cp:coreProperties>
</file>