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id="0"/>
    <w:bookmarkEnd w:id="0"/>
    <w:p w:rsidRPr="00102CE8" w:rsidR="006A16C7" w:rsidP="000B41AF" w:rsidRDefault="00D81C83" w14:paraId="42F61E49" w14:textId="793D1173">
      <w:pPr>
        <w:pStyle w:val="Footer"/>
        <w:tabs>
          <w:tab w:val="clear" w:pos="4320"/>
          <w:tab w:val="clear" w:pos="8640"/>
        </w:tabs>
        <w:spacing w:after="240" w:line="276" w:lineRule="auto"/>
        <w:jc w:val="both"/>
        <w:rPr>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DATE \@ "M/d/yyyy" </w:instrText>
      </w:r>
      <w:r>
        <w:rPr>
          <w:rFonts w:asciiTheme="minorHAnsi" w:hAnsiTheme="minorHAnsi" w:cstheme="minorHAnsi"/>
          <w:sz w:val="24"/>
          <w:szCs w:val="24"/>
        </w:rPr>
        <w:fldChar w:fldCharType="separate"/>
      </w:r>
      <w:r w:rsidR="00005E15">
        <w:rPr>
          <w:rFonts w:asciiTheme="minorHAnsi" w:hAnsiTheme="minorHAnsi" w:cstheme="minorHAnsi"/>
          <w:noProof/>
          <w:sz w:val="24"/>
          <w:szCs w:val="24"/>
        </w:rPr>
        <w:t>7/15/2020</w:t>
      </w:r>
      <w:r>
        <w:rPr>
          <w:rFonts w:asciiTheme="minorHAnsi" w:hAnsiTheme="minorHAnsi" w:cstheme="minorHAnsi"/>
          <w:sz w:val="24"/>
          <w:szCs w:val="24"/>
        </w:rPr>
        <w:fldChar w:fldCharType="end"/>
      </w:r>
    </w:p>
    <w:tbl>
      <w:tblPr>
        <w:tblW w:w="0" w:type="auto"/>
        <w:tblLook w:val="0000" w:firstRow="0" w:lastRow="0" w:firstColumn="0" w:lastColumn="0" w:noHBand="0" w:noVBand="0"/>
      </w:tblPr>
      <w:tblGrid>
        <w:gridCol w:w="3888"/>
        <w:gridCol w:w="5022"/>
      </w:tblGrid>
      <w:tr w:rsidRPr="00102CE8" w:rsidR="006A16C7" w:rsidTr="00A83ADB" w14:paraId="1A5DAEF0" w14:textId="77777777">
        <w:trPr>
          <w:trHeight w:val="747"/>
        </w:trPr>
        <w:tc>
          <w:tcPr>
            <w:tcW w:w="3888" w:type="dxa"/>
          </w:tcPr>
          <w:p w:rsidRPr="00102CE8" w:rsidR="006A16C7" w:rsidP="000B41AF" w:rsidRDefault="006A16C7" w14:paraId="76F49F92" w14:textId="77777777">
            <w:p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NOTE TO THE </w:t>
            </w:r>
            <w:r w:rsidRPr="00102CE8" w:rsidR="00D41DF1">
              <w:rPr>
                <w:rFonts w:asciiTheme="minorHAnsi" w:hAnsiTheme="minorHAnsi" w:cstheme="minorHAnsi"/>
                <w:sz w:val="24"/>
                <w:szCs w:val="24"/>
              </w:rPr>
              <w:t>REVIEWER OF:</w:t>
            </w:r>
          </w:p>
          <w:p w:rsidRPr="00102CE8" w:rsidR="006A16C7" w:rsidP="000B41AF" w:rsidRDefault="006A16C7" w14:paraId="219AA811" w14:textId="77777777">
            <w:pPr>
              <w:spacing w:line="276" w:lineRule="auto"/>
              <w:rPr>
                <w:rFonts w:asciiTheme="minorHAnsi" w:hAnsiTheme="minorHAnsi" w:cstheme="minorHAnsi"/>
                <w:sz w:val="24"/>
                <w:szCs w:val="24"/>
              </w:rPr>
            </w:pPr>
          </w:p>
        </w:tc>
        <w:tc>
          <w:tcPr>
            <w:tcW w:w="5022" w:type="dxa"/>
          </w:tcPr>
          <w:p w:rsidRPr="00102CE8" w:rsidR="006A16C7" w:rsidP="000B41AF" w:rsidRDefault="006A16C7" w14:paraId="452E49C0" w14:textId="77777777">
            <w:pPr>
              <w:spacing w:line="276" w:lineRule="auto"/>
              <w:rPr>
                <w:rFonts w:asciiTheme="minorHAnsi" w:hAnsiTheme="minorHAnsi" w:cstheme="minorHAnsi"/>
                <w:sz w:val="24"/>
                <w:szCs w:val="24"/>
              </w:rPr>
            </w:pPr>
            <w:r w:rsidRPr="00102CE8">
              <w:rPr>
                <w:rFonts w:asciiTheme="minorHAnsi" w:hAnsiTheme="minorHAnsi" w:cstheme="minorHAnsi"/>
                <w:sz w:val="24"/>
                <w:szCs w:val="24"/>
              </w:rPr>
              <w:t>OMB CLEARANCE 1220-0141</w:t>
            </w:r>
          </w:p>
          <w:p w:rsidRPr="00102CE8" w:rsidR="006A16C7" w:rsidP="000B41AF" w:rsidRDefault="001C78C3" w14:paraId="1BD01FB9" w14:textId="77777777">
            <w:pPr>
              <w:spacing w:line="276" w:lineRule="auto"/>
              <w:rPr>
                <w:rFonts w:asciiTheme="minorHAnsi" w:hAnsiTheme="minorHAnsi" w:cstheme="minorHAnsi"/>
                <w:sz w:val="24"/>
                <w:szCs w:val="24"/>
              </w:rPr>
            </w:pPr>
            <w:r w:rsidRPr="00102CE8">
              <w:rPr>
                <w:rFonts w:asciiTheme="minorHAnsi" w:hAnsiTheme="minorHAnsi" w:cstheme="minorHAnsi"/>
                <w:sz w:val="24"/>
                <w:szCs w:val="24"/>
              </w:rPr>
              <w:t>“Cognitive and Psychological Research”</w:t>
            </w:r>
          </w:p>
        </w:tc>
      </w:tr>
      <w:tr w:rsidRPr="00102CE8" w:rsidR="006A16C7" w:rsidTr="00A83ADB" w14:paraId="4B97BBE1" w14:textId="77777777">
        <w:trPr>
          <w:trHeight w:val="1080"/>
        </w:trPr>
        <w:tc>
          <w:tcPr>
            <w:tcW w:w="3888" w:type="dxa"/>
          </w:tcPr>
          <w:p w:rsidRPr="00102CE8" w:rsidR="006A16C7" w:rsidP="000B41AF" w:rsidRDefault="006A16C7" w14:paraId="170CDF8B" w14:textId="77777777">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FROM:</w:t>
            </w:r>
          </w:p>
        </w:tc>
        <w:tc>
          <w:tcPr>
            <w:tcW w:w="5022" w:type="dxa"/>
          </w:tcPr>
          <w:p w:rsidRPr="00102CE8" w:rsidR="006A16C7" w:rsidP="000B41AF" w:rsidRDefault="008B482E" w14:paraId="63E88D5E" w14:textId="355268AF">
            <w:pPr>
              <w:spacing w:line="276" w:lineRule="auto"/>
              <w:rPr>
                <w:rFonts w:asciiTheme="minorHAnsi" w:hAnsiTheme="minorHAnsi" w:cstheme="minorHAnsi"/>
                <w:sz w:val="24"/>
                <w:szCs w:val="24"/>
              </w:rPr>
            </w:pPr>
            <w:r>
              <w:rPr>
                <w:rFonts w:asciiTheme="minorHAnsi" w:hAnsiTheme="minorHAnsi" w:cstheme="minorHAnsi"/>
                <w:sz w:val="24"/>
                <w:szCs w:val="24"/>
              </w:rPr>
              <w:t>Robin Kaplan</w:t>
            </w:r>
            <w:r w:rsidR="00D81C83">
              <w:rPr>
                <w:rFonts w:asciiTheme="minorHAnsi" w:hAnsiTheme="minorHAnsi" w:cstheme="minorHAnsi"/>
                <w:sz w:val="24"/>
                <w:szCs w:val="24"/>
              </w:rPr>
              <w:t xml:space="preserve"> and Erica Yu</w:t>
            </w:r>
          </w:p>
          <w:p w:rsidRPr="00102CE8" w:rsidR="006A16C7" w:rsidP="000B41AF" w:rsidRDefault="006A16C7" w14:paraId="6B843FFD" w14:textId="77777777">
            <w:pPr>
              <w:spacing w:line="276" w:lineRule="auto"/>
              <w:rPr>
                <w:rFonts w:asciiTheme="minorHAnsi" w:hAnsiTheme="minorHAnsi" w:cstheme="minorHAnsi"/>
                <w:sz w:val="24"/>
                <w:szCs w:val="24"/>
              </w:rPr>
            </w:pPr>
            <w:r w:rsidRPr="00102CE8">
              <w:rPr>
                <w:rFonts w:asciiTheme="minorHAnsi" w:hAnsiTheme="minorHAnsi" w:cstheme="minorHAnsi"/>
                <w:sz w:val="24"/>
                <w:szCs w:val="24"/>
              </w:rPr>
              <w:t>Office of Survey Methods Research</w:t>
            </w:r>
          </w:p>
        </w:tc>
      </w:tr>
      <w:tr w:rsidRPr="00102CE8" w:rsidR="006A16C7" w:rsidTr="00A83ADB" w14:paraId="4B00406C" w14:textId="77777777">
        <w:trPr>
          <w:trHeight w:val="720"/>
        </w:trPr>
        <w:tc>
          <w:tcPr>
            <w:tcW w:w="3888" w:type="dxa"/>
          </w:tcPr>
          <w:p w:rsidRPr="00102CE8" w:rsidR="006A16C7" w:rsidP="000B41AF" w:rsidRDefault="006A16C7" w14:paraId="170F8108" w14:textId="77777777">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SUBJECT:</w:t>
            </w:r>
          </w:p>
        </w:tc>
        <w:tc>
          <w:tcPr>
            <w:tcW w:w="5022" w:type="dxa"/>
          </w:tcPr>
          <w:p w:rsidRPr="00102CE8" w:rsidR="006A16C7" w:rsidP="00D81C83" w:rsidRDefault="006A16C7" w14:paraId="48D5BEA9" w14:textId="0D523496">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Submission of Materials for</w:t>
            </w:r>
            <w:r w:rsidRPr="00102CE8" w:rsidR="00B9494F">
              <w:rPr>
                <w:rFonts w:asciiTheme="minorHAnsi" w:hAnsiTheme="minorHAnsi" w:cstheme="minorHAnsi"/>
                <w:sz w:val="24"/>
                <w:szCs w:val="24"/>
              </w:rPr>
              <w:t xml:space="preserve"> </w:t>
            </w:r>
            <w:r w:rsidR="00D81C83">
              <w:rPr>
                <w:rFonts w:asciiTheme="minorHAnsi" w:hAnsiTheme="minorHAnsi" w:cstheme="minorHAnsi"/>
                <w:sz w:val="24"/>
                <w:szCs w:val="24"/>
              </w:rPr>
              <w:t>Online Testing of BLS surveys</w:t>
            </w:r>
          </w:p>
        </w:tc>
      </w:tr>
    </w:tbl>
    <w:p w:rsidRPr="00102CE8" w:rsidR="006A16C7" w:rsidP="000B41AF" w:rsidRDefault="006A16C7" w14:paraId="63B43FB5" w14:textId="77777777">
      <w:pPr>
        <w:tabs>
          <w:tab w:val="left" w:pos="7200"/>
        </w:tabs>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Please accept the enclosed materials for approval under the OMB clearance package 1220-0141 “Cognitive and Psychological Research.” In accordance with our agreement with OMB, we are submitting a brief description of the study.</w:t>
      </w:r>
    </w:p>
    <w:p w:rsidRPr="002A6234" w:rsidR="006A16C7" w:rsidP="000B41AF" w:rsidRDefault="006A16C7" w14:paraId="14FCDFBE" w14:textId="045F6497">
      <w:pPr>
        <w:spacing w:after="240" w:line="276" w:lineRule="auto"/>
        <w:rPr>
          <w:rFonts w:asciiTheme="minorHAnsi" w:hAnsiTheme="minorHAnsi" w:cstheme="minorHAnsi"/>
          <w:sz w:val="24"/>
          <w:szCs w:val="24"/>
        </w:rPr>
      </w:pPr>
      <w:r w:rsidRPr="002A6234">
        <w:rPr>
          <w:rFonts w:asciiTheme="minorHAnsi" w:hAnsiTheme="minorHAnsi" w:cstheme="minorHAnsi"/>
          <w:sz w:val="24"/>
          <w:szCs w:val="24"/>
        </w:rPr>
        <w:t>The total estimated</w:t>
      </w:r>
      <w:r w:rsidRPr="002A6234">
        <w:rPr>
          <w:rFonts w:asciiTheme="minorHAnsi" w:hAnsiTheme="minorHAnsi" w:cstheme="minorHAnsi"/>
          <w:i/>
          <w:sz w:val="24"/>
          <w:szCs w:val="24"/>
        </w:rPr>
        <w:t xml:space="preserve"> </w:t>
      </w:r>
      <w:r w:rsidRPr="002A6234">
        <w:rPr>
          <w:rFonts w:asciiTheme="minorHAnsi" w:hAnsiTheme="minorHAnsi" w:cstheme="minorHAnsi"/>
          <w:sz w:val="24"/>
          <w:szCs w:val="24"/>
        </w:rPr>
        <w:t>respondent burden for this study is</w:t>
      </w:r>
      <w:r w:rsidR="00AF089D">
        <w:rPr>
          <w:rFonts w:asciiTheme="minorHAnsi" w:hAnsiTheme="minorHAnsi" w:cstheme="minorHAnsi"/>
          <w:sz w:val="24"/>
          <w:szCs w:val="24"/>
        </w:rPr>
        <w:t xml:space="preserve"> 827 </w:t>
      </w:r>
      <w:r w:rsidRPr="00F91DB0">
        <w:rPr>
          <w:rFonts w:asciiTheme="minorHAnsi" w:hAnsiTheme="minorHAnsi" w:cstheme="minorHAnsi"/>
          <w:sz w:val="24"/>
          <w:szCs w:val="24"/>
        </w:rPr>
        <w:t>hours</w:t>
      </w:r>
      <w:r w:rsidRPr="00F91DB0" w:rsidR="00F91DB0">
        <w:rPr>
          <w:rFonts w:asciiTheme="minorHAnsi" w:hAnsiTheme="minorHAnsi" w:cstheme="minorHAnsi"/>
          <w:sz w:val="24"/>
          <w:szCs w:val="24"/>
        </w:rPr>
        <w:t>.</w:t>
      </w:r>
    </w:p>
    <w:p w:rsidRPr="00102CE8" w:rsidR="006A16C7" w:rsidP="000B41AF" w:rsidRDefault="006A16C7" w14:paraId="44203F75" w14:textId="23A66CDB">
      <w:pPr>
        <w:spacing w:after="240" w:line="276" w:lineRule="auto"/>
        <w:rPr>
          <w:rFonts w:asciiTheme="minorHAnsi" w:hAnsiTheme="minorHAnsi" w:cstheme="minorHAnsi"/>
          <w:sz w:val="24"/>
          <w:szCs w:val="24"/>
        </w:rPr>
      </w:pPr>
      <w:r w:rsidRPr="002A6234">
        <w:rPr>
          <w:rFonts w:asciiTheme="minorHAnsi" w:hAnsiTheme="minorHAnsi" w:cstheme="minorHAnsi"/>
          <w:sz w:val="24"/>
          <w:szCs w:val="24"/>
        </w:rPr>
        <w:t xml:space="preserve">If there are any questions regarding this project, please contact </w:t>
      </w:r>
      <w:r w:rsidR="008B482E">
        <w:rPr>
          <w:rFonts w:asciiTheme="minorHAnsi" w:hAnsiTheme="minorHAnsi" w:cstheme="minorHAnsi"/>
          <w:sz w:val="24"/>
          <w:szCs w:val="24"/>
        </w:rPr>
        <w:t xml:space="preserve">Robin Kaplan </w:t>
      </w:r>
      <w:r w:rsidRPr="00102CE8" w:rsidR="00387A5F">
        <w:rPr>
          <w:rFonts w:asciiTheme="minorHAnsi" w:hAnsiTheme="minorHAnsi" w:cstheme="minorHAnsi"/>
          <w:sz w:val="24"/>
          <w:szCs w:val="24"/>
        </w:rPr>
        <w:t>at 202-691-7</w:t>
      </w:r>
      <w:r w:rsidR="008B482E">
        <w:rPr>
          <w:rFonts w:asciiTheme="minorHAnsi" w:hAnsiTheme="minorHAnsi" w:cstheme="minorHAnsi"/>
          <w:sz w:val="24"/>
          <w:szCs w:val="24"/>
        </w:rPr>
        <w:t>383</w:t>
      </w:r>
      <w:r w:rsidRPr="00102CE8">
        <w:rPr>
          <w:rFonts w:asciiTheme="minorHAnsi" w:hAnsiTheme="minorHAnsi" w:cstheme="minorHAnsi"/>
          <w:sz w:val="24"/>
          <w:szCs w:val="24"/>
        </w:rPr>
        <w:t>.</w:t>
      </w:r>
    </w:p>
    <w:p w:rsidRPr="00102CE8" w:rsidR="006A16C7" w:rsidP="000B41AF" w:rsidRDefault="006A16C7" w14:paraId="242F57A1" w14:textId="77777777">
      <w:pPr>
        <w:spacing w:after="240" w:line="276" w:lineRule="auto"/>
        <w:rPr>
          <w:rFonts w:asciiTheme="minorHAnsi" w:hAnsiTheme="minorHAnsi" w:cstheme="minorHAnsi"/>
          <w:b/>
          <w:sz w:val="24"/>
          <w:szCs w:val="24"/>
        </w:rPr>
      </w:pPr>
      <w:r w:rsidRPr="00102CE8">
        <w:rPr>
          <w:rFonts w:asciiTheme="minorHAnsi" w:hAnsiTheme="minorHAnsi" w:cstheme="minorHAnsi"/>
          <w:b/>
          <w:sz w:val="24"/>
          <w:szCs w:val="24"/>
        </w:rPr>
        <w:br w:type="page"/>
      </w:r>
    </w:p>
    <w:p w:rsidR="00396696" w:rsidP="00396696" w:rsidRDefault="006A16C7" w14:paraId="54638513" w14:textId="77777777">
      <w:pPr>
        <w:pStyle w:val="BodyText"/>
        <w:numPr>
          <w:ilvl w:val="0"/>
          <w:numId w:val="1"/>
        </w:numPr>
        <w:spacing w:after="240" w:line="276" w:lineRule="auto"/>
        <w:ind w:left="0" w:right="990" w:firstLine="0"/>
        <w:jc w:val="both"/>
        <w:rPr>
          <w:rFonts w:asciiTheme="minorHAnsi" w:hAnsiTheme="minorHAnsi" w:cstheme="minorHAnsi"/>
          <w:b/>
          <w:sz w:val="24"/>
          <w:szCs w:val="24"/>
        </w:rPr>
      </w:pPr>
      <w:r w:rsidRPr="00102CE8">
        <w:rPr>
          <w:rFonts w:asciiTheme="minorHAnsi" w:hAnsiTheme="minorHAnsi" w:cstheme="minorHAnsi"/>
          <w:b/>
          <w:sz w:val="24"/>
          <w:szCs w:val="24"/>
        </w:rPr>
        <w:lastRenderedPageBreak/>
        <w:t>Introduction</w:t>
      </w:r>
    </w:p>
    <w:p w:rsidRPr="00BE7483" w:rsidR="00BE7483" w:rsidP="00BE7483" w:rsidRDefault="00BE7483" w14:paraId="5F9D7665" w14:textId="4E2A190F">
      <w:pPr>
        <w:pStyle w:val="BodyText"/>
        <w:spacing w:after="240" w:line="276" w:lineRule="auto"/>
        <w:rPr>
          <w:rFonts w:asciiTheme="minorHAnsi" w:hAnsiTheme="minorHAnsi" w:cstheme="minorHAnsi"/>
          <w:sz w:val="24"/>
          <w:szCs w:val="24"/>
        </w:rPr>
      </w:pPr>
      <w:r w:rsidRPr="00BE7483">
        <w:rPr>
          <w:rFonts w:asciiTheme="minorHAnsi" w:hAnsiTheme="minorHAnsi" w:cstheme="minorHAnsi"/>
          <w:sz w:val="24"/>
          <w:szCs w:val="24"/>
        </w:rPr>
        <w:t xml:space="preserve">With several </w:t>
      </w:r>
      <w:r>
        <w:rPr>
          <w:rFonts w:asciiTheme="minorHAnsi" w:hAnsiTheme="minorHAnsi" w:cstheme="minorHAnsi"/>
          <w:sz w:val="24"/>
          <w:szCs w:val="24"/>
        </w:rPr>
        <w:t xml:space="preserve">BLS </w:t>
      </w:r>
      <w:r w:rsidRPr="00BE7483">
        <w:rPr>
          <w:rFonts w:asciiTheme="minorHAnsi" w:hAnsiTheme="minorHAnsi" w:cstheme="minorHAnsi"/>
          <w:sz w:val="24"/>
          <w:szCs w:val="24"/>
        </w:rPr>
        <w:t xml:space="preserve">programs </w:t>
      </w:r>
      <w:r w:rsidR="00A609B8">
        <w:rPr>
          <w:rFonts w:asciiTheme="minorHAnsi" w:hAnsiTheme="minorHAnsi" w:cstheme="minorHAnsi"/>
          <w:sz w:val="24"/>
          <w:szCs w:val="24"/>
        </w:rPr>
        <w:t>(including the Current Population Survey</w:t>
      </w:r>
      <w:r w:rsidR="00F7328E">
        <w:rPr>
          <w:rFonts w:asciiTheme="minorHAnsi" w:hAnsiTheme="minorHAnsi" w:cstheme="minorHAnsi"/>
          <w:sz w:val="24"/>
          <w:szCs w:val="24"/>
        </w:rPr>
        <w:t>,</w:t>
      </w:r>
      <w:r w:rsidR="00A609B8">
        <w:rPr>
          <w:rFonts w:asciiTheme="minorHAnsi" w:hAnsiTheme="minorHAnsi" w:cstheme="minorHAnsi"/>
          <w:sz w:val="24"/>
          <w:szCs w:val="24"/>
        </w:rPr>
        <w:t xml:space="preserve"> </w:t>
      </w:r>
      <w:r w:rsidR="00487E07">
        <w:rPr>
          <w:rFonts w:asciiTheme="minorHAnsi" w:hAnsiTheme="minorHAnsi" w:cstheme="minorHAnsi"/>
          <w:sz w:val="24"/>
          <w:szCs w:val="24"/>
        </w:rPr>
        <w:t xml:space="preserve">American Time Use Survey, and </w:t>
      </w:r>
      <w:r w:rsidR="00A609B8">
        <w:rPr>
          <w:rFonts w:asciiTheme="minorHAnsi" w:hAnsiTheme="minorHAnsi" w:cstheme="minorHAnsi"/>
          <w:sz w:val="24"/>
          <w:szCs w:val="24"/>
        </w:rPr>
        <w:t xml:space="preserve">the Consumer Expenditure Survey) </w:t>
      </w:r>
      <w:r w:rsidRPr="00BE7483">
        <w:rPr>
          <w:rFonts w:asciiTheme="minorHAnsi" w:hAnsiTheme="minorHAnsi" w:cstheme="minorHAnsi"/>
          <w:sz w:val="24"/>
          <w:szCs w:val="24"/>
        </w:rPr>
        <w:t xml:space="preserve">interested in turning to online modes of data collection to supplement current interviewer-administered production data collection, we have identified </w:t>
      </w:r>
      <w:r w:rsidR="00EB2389">
        <w:rPr>
          <w:rFonts w:asciiTheme="minorHAnsi" w:hAnsiTheme="minorHAnsi" w:cstheme="minorHAnsi"/>
          <w:sz w:val="24"/>
          <w:szCs w:val="24"/>
        </w:rPr>
        <w:t xml:space="preserve">a </w:t>
      </w:r>
      <w:r w:rsidRPr="00BE7483">
        <w:rPr>
          <w:rFonts w:asciiTheme="minorHAnsi" w:hAnsiTheme="minorHAnsi" w:cstheme="minorHAnsi"/>
          <w:sz w:val="24"/>
          <w:szCs w:val="24"/>
        </w:rPr>
        <w:t xml:space="preserve">need to </w:t>
      </w:r>
      <w:r w:rsidR="00EB2389">
        <w:rPr>
          <w:rFonts w:asciiTheme="minorHAnsi" w:hAnsiTheme="minorHAnsi" w:cstheme="minorHAnsi"/>
          <w:sz w:val="24"/>
          <w:szCs w:val="24"/>
        </w:rPr>
        <w:t xml:space="preserve">begin </w:t>
      </w:r>
      <w:r w:rsidRPr="00BE7483">
        <w:rPr>
          <w:rFonts w:asciiTheme="minorHAnsi" w:hAnsiTheme="minorHAnsi" w:cstheme="minorHAnsi"/>
          <w:sz w:val="24"/>
          <w:szCs w:val="24"/>
        </w:rPr>
        <w:t>test</w:t>
      </w:r>
      <w:r w:rsidR="00EB2389">
        <w:rPr>
          <w:rFonts w:asciiTheme="minorHAnsi" w:hAnsiTheme="minorHAnsi" w:cstheme="minorHAnsi"/>
          <w:sz w:val="24"/>
          <w:szCs w:val="24"/>
        </w:rPr>
        <w:t>ing</w:t>
      </w:r>
      <w:r w:rsidRPr="00BE7483">
        <w:rPr>
          <w:rFonts w:asciiTheme="minorHAnsi" w:hAnsiTheme="minorHAnsi" w:cstheme="minorHAnsi"/>
          <w:sz w:val="24"/>
          <w:szCs w:val="24"/>
        </w:rPr>
        <w:t xml:space="preserve"> basic survey features to </w:t>
      </w:r>
      <w:r w:rsidR="000B39CB">
        <w:rPr>
          <w:rFonts w:asciiTheme="minorHAnsi" w:hAnsiTheme="minorHAnsi" w:cstheme="minorHAnsi"/>
          <w:sz w:val="24"/>
          <w:szCs w:val="24"/>
        </w:rPr>
        <w:t xml:space="preserve">ensure data collected in the self-administered online mode meets </w:t>
      </w:r>
      <w:r w:rsidRPr="00BE7483">
        <w:rPr>
          <w:rFonts w:asciiTheme="minorHAnsi" w:hAnsiTheme="minorHAnsi" w:cstheme="minorHAnsi"/>
          <w:sz w:val="24"/>
          <w:szCs w:val="24"/>
        </w:rPr>
        <w:t xml:space="preserve">data quality </w:t>
      </w:r>
      <w:r w:rsidR="000B39CB">
        <w:rPr>
          <w:rFonts w:asciiTheme="minorHAnsi" w:hAnsiTheme="minorHAnsi" w:cstheme="minorHAnsi"/>
          <w:sz w:val="24"/>
          <w:szCs w:val="24"/>
        </w:rPr>
        <w:t>standards</w:t>
      </w:r>
      <w:r w:rsidRPr="00BE7483">
        <w:rPr>
          <w:rFonts w:asciiTheme="minorHAnsi" w:hAnsiTheme="minorHAnsi" w:cstheme="minorHAnsi"/>
          <w:sz w:val="24"/>
          <w:szCs w:val="24"/>
        </w:rPr>
        <w:t xml:space="preserve">. While each BLS survey has its own unique features, many methodological issues apply across programs and </w:t>
      </w:r>
      <w:r w:rsidR="000B39CB">
        <w:rPr>
          <w:rFonts w:asciiTheme="minorHAnsi" w:hAnsiTheme="minorHAnsi" w:cstheme="minorHAnsi"/>
          <w:sz w:val="24"/>
          <w:szCs w:val="24"/>
        </w:rPr>
        <w:t>e</w:t>
      </w:r>
      <w:r w:rsidRPr="00BE7483">
        <w:rPr>
          <w:rFonts w:asciiTheme="minorHAnsi" w:hAnsiTheme="minorHAnsi" w:cstheme="minorHAnsi"/>
          <w:sz w:val="24"/>
          <w:szCs w:val="24"/>
        </w:rPr>
        <w:t>arly, coordinated online testing and a streamlined research program will benefit BLS programs as they move toward mixed-mode data collection.</w:t>
      </w:r>
      <w:r w:rsidR="00F7328E">
        <w:rPr>
          <w:rFonts w:asciiTheme="minorHAnsi" w:hAnsiTheme="minorHAnsi" w:cstheme="minorHAnsi"/>
          <w:sz w:val="24"/>
          <w:szCs w:val="24"/>
        </w:rPr>
        <w:t xml:space="preserve"> The Office of Survey Methods Research plans to study the following topics </w:t>
      </w:r>
      <w:r w:rsidR="00EB4034">
        <w:rPr>
          <w:rFonts w:asciiTheme="minorHAnsi" w:hAnsiTheme="minorHAnsi" w:cstheme="minorHAnsi"/>
          <w:sz w:val="24"/>
          <w:szCs w:val="24"/>
        </w:rPr>
        <w:t xml:space="preserve">in the future </w:t>
      </w:r>
      <w:r w:rsidR="00F7328E">
        <w:rPr>
          <w:rFonts w:asciiTheme="minorHAnsi" w:hAnsiTheme="minorHAnsi" w:cstheme="minorHAnsi"/>
          <w:sz w:val="24"/>
          <w:szCs w:val="24"/>
        </w:rPr>
        <w:t xml:space="preserve">to understand the transition </w:t>
      </w:r>
      <w:r w:rsidRPr="00BE7483" w:rsidR="00F7328E">
        <w:rPr>
          <w:rFonts w:asciiTheme="minorHAnsi" w:hAnsiTheme="minorHAnsi" w:cstheme="minorHAnsi"/>
          <w:sz w:val="24"/>
          <w:szCs w:val="24"/>
        </w:rPr>
        <w:t>from interviewer-administered to mixed mode and self-administered surveys</w:t>
      </w:r>
      <w:r w:rsidR="00F7328E">
        <w:rPr>
          <w:rFonts w:asciiTheme="minorHAnsi" w:hAnsiTheme="minorHAnsi" w:cstheme="minorHAnsi"/>
          <w:sz w:val="24"/>
          <w:szCs w:val="24"/>
        </w:rPr>
        <w:t>: how to encourage web mode responses, how to design for mobile response, and how to implement features of interviewer-administered data collection.</w:t>
      </w:r>
    </w:p>
    <w:p w:rsidRPr="000F0BCE" w:rsidR="000F0BCE" w:rsidP="000F0BCE" w:rsidRDefault="00F7328E" w14:paraId="0D95C726" w14:textId="77777777">
      <w:pPr>
        <w:pStyle w:val="BodyText"/>
        <w:rPr>
          <w:rFonts w:asciiTheme="minorHAnsi" w:hAnsiTheme="minorHAnsi" w:cstheme="minorHAnsi"/>
          <w:b/>
          <w:sz w:val="24"/>
          <w:szCs w:val="24"/>
        </w:rPr>
      </w:pPr>
      <w:r>
        <w:rPr>
          <w:rFonts w:asciiTheme="minorHAnsi" w:hAnsiTheme="minorHAnsi" w:cstheme="minorHAnsi"/>
          <w:sz w:val="24"/>
          <w:szCs w:val="24"/>
        </w:rPr>
        <w:t xml:space="preserve">The current study explores two features of interviewer-administered data collection: giving “don’t know” or “prefer not to say” answers and open-ended style questions. </w:t>
      </w:r>
    </w:p>
    <w:p w:rsidR="000F0BCE" w:rsidP="000F0BCE" w:rsidRDefault="000F0BCE" w14:paraId="66CC4359" w14:textId="77777777">
      <w:pPr>
        <w:pStyle w:val="BodyText"/>
        <w:rPr>
          <w:rFonts w:asciiTheme="minorHAnsi" w:hAnsiTheme="minorHAnsi" w:cstheme="minorHAnsi"/>
          <w:sz w:val="24"/>
          <w:szCs w:val="24"/>
        </w:rPr>
      </w:pPr>
    </w:p>
    <w:p w:rsidRPr="003A2EE0" w:rsidR="003A2EE0" w:rsidP="000F0BCE" w:rsidRDefault="003A2EE0" w14:paraId="46AC97EF" w14:textId="59A7FC79">
      <w:pPr>
        <w:pStyle w:val="BodyText"/>
        <w:numPr>
          <w:ilvl w:val="0"/>
          <w:numId w:val="14"/>
        </w:numPr>
        <w:rPr>
          <w:rFonts w:asciiTheme="minorHAnsi" w:hAnsiTheme="minorHAnsi" w:cstheme="minorHAnsi"/>
          <w:b/>
          <w:sz w:val="24"/>
          <w:szCs w:val="24"/>
        </w:rPr>
      </w:pPr>
      <w:r w:rsidRPr="003A2EE0">
        <w:rPr>
          <w:rFonts w:asciiTheme="minorHAnsi" w:hAnsiTheme="minorHAnsi" w:cstheme="minorHAnsi"/>
          <w:b/>
          <w:sz w:val="24"/>
          <w:szCs w:val="24"/>
        </w:rPr>
        <w:t xml:space="preserve">How to </w:t>
      </w:r>
      <w:r w:rsidR="00054D31">
        <w:rPr>
          <w:rFonts w:asciiTheme="minorHAnsi" w:hAnsiTheme="minorHAnsi" w:cstheme="minorHAnsi"/>
          <w:b/>
          <w:sz w:val="24"/>
          <w:szCs w:val="24"/>
        </w:rPr>
        <w:t xml:space="preserve">reduce item non-response </w:t>
      </w:r>
      <w:r w:rsidR="00F95AA7">
        <w:rPr>
          <w:rFonts w:asciiTheme="minorHAnsi" w:hAnsiTheme="minorHAnsi" w:cstheme="minorHAnsi"/>
          <w:b/>
          <w:sz w:val="24"/>
          <w:szCs w:val="24"/>
        </w:rPr>
        <w:t xml:space="preserve">when offering </w:t>
      </w:r>
      <w:r w:rsidR="00090058">
        <w:rPr>
          <w:rFonts w:asciiTheme="minorHAnsi" w:hAnsiTheme="minorHAnsi" w:cstheme="minorHAnsi"/>
          <w:b/>
          <w:sz w:val="24"/>
          <w:szCs w:val="24"/>
        </w:rPr>
        <w:t>‘</w:t>
      </w:r>
      <w:r w:rsidRPr="003A2EE0">
        <w:rPr>
          <w:rFonts w:asciiTheme="minorHAnsi" w:hAnsiTheme="minorHAnsi" w:cstheme="minorHAnsi"/>
          <w:b/>
          <w:sz w:val="24"/>
          <w:szCs w:val="24"/>
        </w:rPr>
        <w:t>don’t know</w:t>
      </w:r>
      <w:r w:rsidR="00090058">
        <w:rPr>
          <w:rFonts w:asciiTheme="minorHAnsi" w:hAnsiTheme="minorHAnsi" w:cstheme="minorHAnsi"/>
          <w:b/>
          <w:sz w:val="24"/>
          <w:szCs w:val="24"/>
        </w:rPr>
        <w:t>’</w:t>
      </w:r>
      <w:r w:rsidRPr="003A2EE0">
        <w:rPr>
          <w:rFonts w:asciiTheme="minorHAnsi" w:hAnsiTheme="minorHAnsi" w:cstheme="minorHAnsi"/>
          <w:b/>
          <w:sz w:val="24"/>
          <w:szCs w:val="24"/>
        </w:rPr>
        <w:t xml:space="preserve"> or </w:t>
      </w:r>
      <w:r w:rsidR="00090058">
        <w:rPr>
          <w:rFonts w:asciiTheme="minorHAnsi" w:hAnsiTheme="minorHAnsi" w:cstheme="minorHAnsi"/>
          <w:b/>
          <w:sz w:val="24"/>
          <w:szCs w:val="24"/>
        </w:rPr>
        <w:t>‘</w:t>
      </w:r>
      <w:r w:rsidRPr="003A2EE0">
        <w:rPr>
          <w:rFonts w:asciiTheme="minorHAnsi" w:hAnsiTheme="minorHAnsi" w:cstheme="minorHAnsi"/>
          <w:b/>
          <w:sz w:val="24"/>
          <w:szCs w:val="24"/>
        </w:rPr>
        <w:t xml:space="preserve">prefer not to </w:t>
      </w:r>
      <w:r w:rsidR="00F95AA7">
        <w:rPr>
          <w:rFonts w:asciiTheme="minorHAnsi" w:hAnsiTheme="minorHAnsi" w:cstheme="minorHAnsi"/>
          <w:b/>
          <w:sz w:val="24"/>
          <w:szCs w:val="24"/>
        </w:rPr>
        <w:t>say</w:t>
      </w:r>
      <w:r w:rsidR="00090058">
        <w:rPr>
          <w:rFonts w:asciiTheme="minorHAnsi" w:hAnsiTheme="minorHAnsi" w:cstheme="minorHAnsi"/>
          <w:b/>
          <w:sz w:val="24"/>
          <w:szCs w:val="24"/>
        </w:rPr>
        <w:t>’</w:t>
      </w:r>
      <w:r w:rsidR="00F95AA7">
        <w:rPr>
          <w:rFonts w:asciiTheme="minorHAnsi" w:hAnsiTheme="minorHAnsi" w:cstheme="minorHAnsi"/>
          <w:b/>
          <w:sz w:val="24"/>
          <w:szCs w:val="24"/>
        </w:rPr>
        <w:t xml:space="preserve"> response options in self-administered online surveys</w:t>
      </w:r>
    </w:p>
    <w:p w:rsidR="003A2EE0" w:rsidP="003A2EE0" w:rsidRDefault="003A2EE0" w14:paraId="782425B0" w14:textId="77777777">
      <w:pPr>
        <w:pStyle w:val="BodyText"/>
        <w:rPr>
          <w:rFonts w:asciiTheme="minorHAnsi" w:hAnsiTheme="minorHAnsi" w:cstheme="minorHAnsi"/>
          <w:sz w:val="24"/>
          <w:szCs w:val="24"/>
        </w:rPr>
      </w:pPr>
    </w:p>
    <w:p w:rsidR="00E146F9" w:rsidP="003A2EE0" w:rsidRDefault="003A2EE0" w14:paraId="06D111EF" w14:textId="7CE2D1D4">
      <w:pPr>
        <w:pStyle w:val="BodyText"/>
        <w:rPr>
          <w:rFonts w:asciiTheme="minorHAnsi" w:hAnsiTheme="minorHAnsi" w:cstheme="minorHAnsi"/>
          <w:sz w:val="24"/>
          <w:szCs w:val="24"/>
        </w:rPr>
      </w:pPr>
      <w:r w:rsidRPr="003A2EE0">
        <w:rPr>
          <w:rFonts w:asciiTheme="minorHAnsi" w:hAnsiTheme="minorHAnsi" w:cstheme="minorHAnsi"/>
          <w:sz w:val="24"/>
          <w:szCs w:val="24"/>
        </w:rPr>
        <w:t xml:space="preserve">Previous research has shown that web respondents will select </w:t>
      </w:r>
      <w:r w:rsidR="00F33667">
        <w:rPr>
          <w:rFonts w:asciiTheme="minorHAnsi" w:hAnsiTheme="minorHAnsi" w:cstheme="minorHAnsi"/>
          <w:sz w:val="24"/>
          <w:szCs w:val="24"/>
        </w:rPr>
        <w:t>‘</w:t>
      </w:r>
      <w:r w:rsidRPr="003A2EE0">
        <w:rPr>
          <w:rFonts w:asciiTheme="minorHAnsi" w:hAnsiTheme="minorHAnsi" w:cstheme="minorHAnsi"/>
          <w:sz w:val="24"/>
          <w:szCs w:val="24"/>
        </w:rPr>
        <w:t>Don’t know</w:t>
      </w:r>
      <w:r w:rsidR="00F33667">
        <w:rPr>
          <w:rFonts w:asciiTheme="minorHAnsi" w:hAnsiTheme="minorHAnsi" w:cstheme="minorHAnsi"/>
          <w:sz w:val="24"/>
          <w:szCs w:val="24"/>
        </w:rPr>
        <w:t>’</w:t>
      </w:r>
      <w:r w:rsidRPr="003A2EE0">
        <w:rPr>
          <w:rFonts w:asciiTheme="minorHAnsi" w:hAnsiTheme="minorHAnsi" w:cstheme="minorHAnsi"/>
          <w:sz w:val="24"/>
          <w:szCs w:val="24"/>
        </w:rPr>
        <w:t xml:space="preserve"> </w:t>
      </w:r>
      <w:r w:rsidR="0057769D">
        <w:rPr>
          <w:rFonts w:asciiTheme="minorHAnsi" w:hAnsiTheme="minorHAnsi" w:cstheme="minorHAnsi"/>
          <w:sz w:val="24"/>
          <w:szCs w:val="24"/>
        </w:rPr>
        <w:t xml:space="preserve">(DK) </w:t>
      </w:r>
      <w:r w:rsidRPr="003A2EE0">
        <w:rPr>
          <w:rFonts w:asciiTheme="minorHAnsi" w:hAnsiTheme="minorHAnsi" w:cstheme="minorHAnsi"/>
          <w:sz w:val="24"/>
          <w:szCs w:val="24"/>
        </w:rPr>
        <w:t xml:space="preserve">or </w:t>
      </w:r>
      <w:r w:rsidR="00F33667">
        <w:rPr>
          <w:rFonts w:asciiTheme="minorHAnsi" w:hAnsiTheme="minorHAnsi" w:cstheme="minorHAnsi"/>
          <w:sz w:val="24"/>
          <w:szCs w:val="24"/>
        </w:rPr>
        <w:t>‘</w:t>
      </w:r>
      <w:r w:rsidRPr="003A2EE0">
        <w:rPr>
          <w:rFonts w:asciiTheme="minorHAnsi" w:hAnsiTheme="minorHAnsi" w:cstheme="minorHAnsi"/>
          <w:sz w:val="24"/>
          <w:szCs w:val="24"/>
        </w:rPr>
        <w:t>Prefer not to say</w:t>
      </w:r>
      <w:r w:rsidR="00F33667">
        <w:rPr>
          <w:rFonts w:asciiTheme="minorHAnsi" w:hAnsiTheme="minorHAnsi" w:cstheme="minorHAnsi"/>
          <w:sz w:val="24"/>
          <w:szCs w:val="24"/>
        </w:rPr>
        <w:t>’</w:t>
      </w:r>
      <w:r w:rsidRPr="003A2EE0">
        <w:rPr>
          <w:rFonts w:asciiTheme="minorHAnsi" w:hAnsiTheme="minorHAnsi" w:cstheme="minorHAnsi"/>
          <w:sz w:val="24"/>
          <w:szCs w:val="24"/>
        </w:rPr>
        <w:t xml:space="preserve"> </w:t>
      </w:r>
      <w:r w:rsidR="000F0BCE">
        <w:rPr>
          <w:rFonts w:asciiTheme="minorHAnsi" w:hAnsiTheme="minorHAnsi" w:cstheme="minorHAnsi"/>
          <w:sz w:val="24"/>
          <w:szCs w:val="24"/>
        </w:rPr>
        <w:t xml:space="preserve">(i.e., a soft refusal) </w:t>
      </w:r>
      <w:r w:rsidRPr="003A2EE0">
        <w:rPr>
          <w:rFonts w:asciiTheme="minorHAnsi" w:hAnsiTheme="minorHAnsi" w:cstheme="minorHAnsi"/>
          <w:sz w:val="24"/>
          <w:szCs w:val="24"/>
        </w:rPr>
        <w:t>options when they are offered</w:t>
      </w:r>
      <w:r w:rsidR="009B0E1C">
        <w:rPr>
          <w:rFonts w:asciiTheme="minorHAnsi" w:hAnsiTheme="minorHAnsi" w:cstheme="minorHAnsi"/>
          <w:sz w:val="24"/>
          <w:szCs w:val="24"/>
        </w:rPr>
        <w:t xml:space="preserve"> explicitly on the screen</w:t>
      </w:r>
      <w:r w:rsidRPr="003A2EE0">
        <w:rPr>
          <w:rFonts w:asciiTheme="minorHAnsi" w:hAnsiTheme="minorHAnsi" w:cstheme="minorHAnsi"/>
          <w:sz w:val="24"/>
          <w:szCs w:val="24"/>
        </w:rPr>
        <w:t xml:space="preserve"> more often than when they are hidden</w:t>
      </w:r>
      <w:r w:rsidR="009B0E1C">
        <w:rPr>
          <w:rFonts w:asciiTheme="minorHAnsi" w:hAnsiTheme="minorHAnsi" w:cstheme="minorHAnsi"/>
          <w:sz w:val="24"/>
          <w:szCs w:val="24"/>
        </w:rPr>
        <w:t xml:space="preserve"> (that is, only visible after skipping an item). However,</w:t>
      </w:r>
      <w:r w:rsidRPr="003A2EE0">
        <w:rPr>
          <w:rFonts w:asciiTheme="minorHAnsi" w:hAnsiTheme="minorHAnsi" w:cstheme="minorHAnsi"/>
          <w:sz w:val="24"/>
          <w:szCs w:val="24"/>
        </w:rPr>
        <w:t xml:space="preserve"> hiding</w:t>
      </w:r>
      <w:r w:rsidR="009B0E1C">
        <w:rPr>
          <w:rFonts w:asciiTheme="minorHAnsi" w:hAnsiTheme="minorHAnsi" w:cstheme="minorHAnsi"/>
          <w:sz w:val="24"/>
          <w:szCs w:val="24"/>
        </w:rPr>
        <w:t xml:space="preserve"> response options might not be advisable in cases where ‘Don’t </w:t>
      </w:r>
      <w:r w:rsidR="000B5B4C">
        <w:rPr>
          <w:rFonts w:asciiTheme="minorHAnsi" w:hAnsiTheme="minorHAnsi" w:cstheme="minorHAnsi"/>
          <w:sz w:val="24"/>
          <w:szCs w:val="24"/>
        </w:rPr>
        <w:t xml:space="preserve">know’ could be a valid response; research has shown that omitting DK options </w:t>
      </w:r>
      <w:r w:rsidRPr="003A2EE0">
        <w:rPr>
          <w:rFonts w:asciiTheme="minorHAnsi" w:hAnsiTheme="minorHAnsi" w:cstheme="minorHAnsi"/>
          <w:sz w:val="24"/>
          <w:szCs w:val="24"/>
        </w:rPr>
        <w:t>lead</w:t>
      </w:r>
      <w:r w:rsidR="000B5B4C">
        <w:rPr>
          <w:rFonts w:asciiTheme="minorHAnsi" w:hAnsiTheme="minorHAnsi" w:cstheme="minorHAnsi"/>
          <w:sz w:val="24"/>
          <w:szCs w:val="24"/>
        </w:rPr>
        <w:t>s</w:t>
      </w:r>
      <w:r w:rsidRPr="003A2EE0">
        <w:rPr>
          <w:rFonts w:asciiTheme="minorHAnsi" w:hAnsiTheme="minorHAnsi" w:cstheme="minorHAnsi"/>
          <w:sz w:val="24"/>
          <w:szCs w:val="24"/>
        </w:rPr>
        <w:t xml:space="preserve"> to higher break-off rates</w:t>
      </w:r>
      <w:r w:rsidR="00C80BA1">
        <w:rPr>
          <w:rFonts w:asciiTheme="minorHAnsi" w:hAnsiTheme="minorHAnsi" w:cstheme="minorHAnsi"/>
          <w:sz w:val="24"/>
          <w:szCs w:val="24"/>
        </w:rPr>
        <w:t xml:space="preserve"> </w:t>
      </w:r>
      <w:r w:rsidRPr="00C80BA1" w:rsidR="00C80BA1">
        <w:rPr>
          <w:rFonts w:asciiTheme="minorHAnsi" w:hAnsiTheme="minorHAnsi" w:cstheme="minorHAnsi"/>
          <w:sz w:val="24"/>
          <w:szCs w:val="24"/>
        </w:rPr>
        <w:t>(e.g.,</w:t>
      </w:r>
      <w:r w:rsidR="00C80BA1">
        <w:rPr>
          <w:rFonts w:asciiTheme="minorHAnsi" w:hAnsiTheme="minorHAnsi" w:cstheme="minorHAnsi"/>
          <w:sz w:val="24"/>
          <w:szCs w:val="24"/>
        </w:rPr>
        <w:t xml:space="preserve"> Lemcke et al., 2019; McGee et al., 2019</w:t>
      </w:r>
      <w:r w:rsidRPr="00C80BA1" w:rsidR="00C80BA1">
        <w:rPr>
          <w:rFonts w:asciiTheme="minorHAnsi" w:hAnsiTheme="minorHAnsi" w:cstheme="minorHAnsi"/>
          <w:sz w:val="24"/>
          <w:szCs w:val="24"/>
        </w:rPr>
        <w:t>)</w:t>
      </w:r>
      <w:r w:rsidRPr="00C80BA1">
        <w:rPr>
          <w:rFonts w:asciiTheme="minorHAnsi" w:hAnsiTheme="minorHAnsi" w:cstheme="minorHAnsi"/>
          <w:sz w:val="24"/>
          <w:szCs w:val="24"/>
        </w:rPr>
        <w:t>.</w:t>
      </w:r>
      <w:r w:rsidRPr="003A2EE0">
        <w:rPr>
          <w:rFonts w:asciiTheme="minorHAnsi" w:hAnsiTheme="minorHAnsi" w:cstheme="minorHAnsi"/>
          <w:sz w:val="24"/>
          <w:szCs w:val="24"/>
        </w:rPr>
        <w:t xml:space="preserve"> </w:t>
      </w:r>
      <w:r w:rsidR="00F61D17">
        <w:rPr>
          <w:rFonts w:asciiTheme="minorHAnsi" w:hAnsiTheme="minorHAnsi" w:cstheme="minorHAnsi"/>
          <w:sz w:val="24"/>
          <w:szCs w:val="24"/>
        </w:rPr>
        <w:t>In many surveys, especially those using proxy response</w:t>
      </w:r>
      <w:r w:rsidR="007B6951">
        <w:rPr>
          <w:rFonts w:asciiTheme="minorHAnsi" w:hAnsiTheme="minorHAnsi" w:cstheme="minorHAnsi"/>
          <w:sz w:val="24"/>
          <w:szCs w:val="24"/>
        </w:rPr>
        <w:t xml:space="preserve"> where one household member reports for others</w:t>
      </w:r>
      <w:r w:rsidR="00F61D17">
        <w:rPr>
          <w:rFonts w:asciiTheme="minorHAnsi" w:hAnsiTheme="minorHAnsi" w:cstheme="minorHAnsi"/>
          <w:sz w:val="24"/>
          <w:szCs w:val="24"/>
        </w:rPr>
        <w:t xml:space="preserve">, </w:t>
      </w:r>
      <w:r w:rsidR="0057769D">
        <w:rPr>
          <w:rFonts w:asciiTheme="minorHAnsi" w:hAnsiTheme="minorHAnsi" w:cstheme="minorHAnsi"/>
          <w:sz w:val="24"/>
          <w:szCs w:val="24"/>
        </w:rPr>
        <w:t>DK</w:t>
      </w:r>
      <w:r w:rsidR="00F61D17">
        <w:rPr>
          <w:rFonts w:asciiTheme="minorHAnsi" w:hAnsiTheme="minorHAnsi" w:cstheme="minorHAnsi"/>
          <w:sz w:val="24"/>
          <w:szCs w:val="24"/>
        </w:rPr>
        <w:t xml:space="preserve"> is a valid response option</w:t>
      </w:r>
      <w:r w:rsidR="007B6951">
        <w:rPr>
          <w:rFonts w:asciiTheme="minorHAnsi" w:hAnsiTheme="minorHAnsi" w:cstheme="minorHAnsi"/>
          <w:sz w:val="24"/>
          <w:szCs w:val="24"/>
        </w:rPr>
        <w:t xml:space="preserve">. </w:t>
      </w:r>
      <w:r w:rsidR="00D8159D">
        <w:rPr>
          <w:rFonts w:asciiTheme="minorHAnsi" w:hAnsiTheme="minorHAnsi" w:cstheme="minorHAnsi"/>
          <w:sz w:val="24"/>
          <w:szCs w:val="24"/>
        </w:rPr>
        <w:t>Thus, i</w:t>
      </w:r>
      <w:r w:rsidR="00781788">
        <w:rPr>
          <w:rFonts w:asciiTheme="minorHAnsi" w:hAnsiTheme="minorHAnsi" w:cstheme="minorHAnsi"/>
          <w:sz w:val="24"/>
          <w:szCs w:val="24"/>
        </w:rPr>
        <w:t xml:space="preserve">nterviewer-administered surveys </w:t>
      </w:r>
      <w:r w:rsidR="00D8159D">
        <w:rPr>
          <w:rFonts w:asciiTheme="minorHAnsi" w:hAnsiTheme="minorHAnsi" w:cstheme="minorHAnsi"/>
          <w:sz w:val="24"/>
          <w:szCs w:val="24"/>
        </w:rPr>
        <w:t>always</w:t>
      </w:r>
      <w:r w:rsidR="00F61D17">
        <w:rPr>
          <w:rFonts w:asciiTheme="minorHAnsi" w:hAnsiTheme="minorHAnsi" w:cstheme="minorHAnsi"/>
          <w:sz w:val="24"/>
          <w:szCs w:val="24"/>
        </w:rPr>
        <w:t xml:space="preserve"> have an implicit </w:t>
      </w:r>
      <w:r w:rsidR="0057769D">
        <w:rPr>
          <w:rFonts w:asciiTheme="minorHAnsi" w:hAnsiTheme="minorHAnsi" w:cstheme="minorHAnsi"/>
          <w:sz w:val="24"/>
          <w:szCs w:val="24"/>
        </w:rPr>
        <w:t>DK</w:t>
      </w:r>
      <w:r w:rsidR="00F61D17">
        <w:rPr>
          <w:rFonts w:asciiTheme="minorHAnsi" w:hAnsiTheme="minorHAnsi" w:cstheme="minorHAnsi"/>
          <w:sz w:val="24"/>
          <w:szCs w:val="24"/>
        </w:rPr>
        <w:t xml:space="preserve"> response option (not read aloud, but that the interviewer can record). </w:t>
      </w:r>
      <w:r w:rsidR="0057769D">
        <w:rPr>
          <w:rFonts w:asciiTheme="minorHAnsi" w:hAnsiTheme="minorHAnsi" w:cstheme="minorHAnsi"/>
          <w:sz w:val="24"/>
          <w:szCs w:val="24"/>
        </w:rPr>
        <w:t xml:space="preserve">To make comparisons between interviewer-administered and online, self-administered surveys, including an explicit DK would also be necessary to collect valid DK responses and to also differentiate valid DK responses from refusals. </w:t>
      </w:r>
    </w:p>
    <w:p w:rsidR="00E146F9" w:rsidP="003A2EE0" w:rsidRDefault="00E146F9" w14:paraId="113D5192" w14:textId="77777777">
      <w:pPr>
        <w:pStyle w:val="BodyText"/>
        <w:rPr>
          <w:rFonts w:asciiTheme="minorHAnsi" w:hAnsiTheme="minorHAnsi" w:cstheme="minorHAnsi"/>
          <w:sz w:val="24"/>
          <w:szCs w:val="24"/>
        </w:rPr>
      </w:pPr>
    </w:p>
    <w:p w:rsidR="000B5B4C" w:rsidP="003A2EE0" w:rsidRDefault="0057769D" w14:paraId="082C4CAE" w14:textId="22B5B3FF">
      <w:pPr>
        <w:pStyle w:val="BodyText"/>
        <w:rPr>
          <w:rFonts w:asciiTheme="minorHAnsi" w:hAnsiTheme="minorHAnsi" w:cstheme="minorHAnsi"/>
          <w:sz w:val="24"/>
          <w:szCs w:val="24"/>
        </w:rPr>
      </w:pPr>
      <w:r>
        <w:rPr>
          <w:rFonts w:asciiTheme="minorHAnsi" w:hAnsiTheme="minorHAnsi" w:cstheme="minorHAnsi"/>
          <w:sz w:val="24"/>
          <w:szCs w:val="24"/>
        </w:rPr>
        <w:t>The literature has</w:t>
      </w:r>
      <w:r w:rsidR="00E146F9">
        <w:rPr>
          <w:rFonts w:asciiTheme="minorHAnsi" w:hAnsiTheme="minorHAnsi" w:cstheme="minorHAnsi"/>
          <w:sz w:val="24"/>
          <w:szCs w:val="24"/>
        </w:rPr>
        <w:t xml:space="preserve"> also</w:t>
      </w:r>
      <w:r>
        <w:rPr>
          <w:rFonts w:asciiTheme="minorHAnsi" w:hAnsiTheme="minorHAnsi" w:cstheme="minorHAnsi"/>
          <w:sz w:val="24"/>
          <w:szCs w:val="24"/>
        </w:rPr>
        <w:t xml:space="preserve"> shown that DK and ‘Prefer not to say’ options </w:t>
      </w:r>
      <w:r w:rsidR="00F33667">
        <w:rPr>
          <w:rFonts w:asciiTheme="minorHAnsi" w:hAnsiTheme="minorHAnsi" w:cstheme="minorHAnsi"/>
          <w:sz w:val="24"/>
          <w:szCs w:val="24"/>
        </w:rPr>
        <w:t>represent</w:t>
      </w:r>
      <w:r>
        <w:rPr>
          <w:rFonts w:asciiTheme="minorHAnsi" w:hAnsiTheme="minorHAnsi" w:cstheme="minorHAnsi"/>
          <w:sz w:val="24"/>
          <w:szCs w:val="24"/>
        </w:rPr>
        <w:t xml:space="preserve"> different</w:t>
      </w:r>
      <w:r w:rsidR="00F33667">
        <w:rPr>
          <w:rFonts w:asciiTheme="minorHAnsi" w:hAnsiTheme="minorHAnsi" w:cstheme="minorHAnsi"/>
          <w:sz w:val="24"/>
          <w:szCs w:val="24"/>
        </w:rPr>
        <w:t xml:space="preserve"> response types</w:t>
      </w:r>
      <w:r>
        <w:rPr>
          <w:rFonts w:asciiTheme="minorHAnsi" w:hAnsiTheme="minorHAnsi" w:cstheme="minorHAnsi"/>
          <w:sz w:val="24"/>
          <w:szCs w:val="24"/>
        </w:rPr>
        <w:t xml:space="preserve">, where DK maps onto knowledge issues (e.g., not knowing how much income someone in the household earns), whereas refusals map onto issues of sensitivity (e.g., not wanting to disclose someone’s disability status; Cobb 2018; </w:t>
      </w:r>
      <w:r w:rsidRPr="000838BE">
        <w:rPr>
          <w:rFonts w:asciiTheme="minorHAnsi" w:hAnsiTheme="minorHAnsi" w:cstheme="minorHAnsi"/>
          <w:sz w:val="24"/>
          <w:szCs w:val="24"/>
        </w:rPr>
        <w:t>Lee et al. 2004; Tourangeau, 1984; Bickart et al. 1990).</w:t>
      </w:r>
      <w:r w:rsidR="00E146F9">
        <w:rPr>
          <w:rFonts w:asciiTheme="minorHAnsi" w:hAnsiTheme="minorHAnsi" w:cstheme="minorHAnsi"/>
          <w:sz w:val="24"/>
          <w:szCs w:val="24"/>
        </w:rPr>
        <w:t xml:space="preserve"> Thus,</w:t>
      </w:r>
      <w:r>
        <w:rPr>
          <w:rFonts w:asciiTheme="minorHAnsi" w:hAnsiTheme="minorHAnsi" w:cstheme="minorHAnsi"/>
          <w:sz w:val="24"/>
          <w:szCs w:val="24"/>
        </w:rPr>
        <w:t xml:space="preserve"> </w:t>
      </w:r>
      <w:r w:rsidR="00E146F9">
        <w:rPr>
          <w:rFonts w:asciiTheme="minorHAnsi" w:hAnsiTheme="minorHAnsi" w:cstheme="minorHAnsi"/>
          <w:sz w:val="24"/>
          <w:szCs w:val="24"/>
        </w:rPr>
        <w:t>i</w:t>
      </w:r>
      <w:r>
        <w:rPr>
          <w:rFonts w:asciiTheme="minorHAnsi" w:hAnsiTheme="minorHAnsi" w:cstheme="minorHAnsi"/>
          <w:sz w:val="24"/>
          <w:szCs w:val="24"/>
        </w:rPr>
        <w:t>ncluding a refusal option (i.e., ‘</w:t>
      </w:r>
      <w:r w:rsidR="0079747D">
        <w:rPr>
          <w:rFonts w:asciiTheme="minorHAnsi" w:hAnsiTheme="minorHAnsi" w:cstheme="minorHAnsi"/>
          <w:sz w:val="24"/>
          <w:szCs w:val="24"/>
        </w:rPr>
        <w:t>p</w:t>
      </w:r>
      <w:r>
        <w:rPr>
          <w:rFonts w:asciiTheme="minorHAnsi" w:hAnsiTheme="minorHAnsi" w:cstheme="minorHAnsi"/>
          <w:sz w:val="24"/>
          <w:szCs w:val="24"/>
        </w:rPr>
        <w:t xml:space="preserve">refer not to say’) </w:t>
      </w:r>
      <w:r w:rsidR="00E146F9">
        <w:rPr>
          <w:rFonts w:asciiTheme="minorHAnsi" w:hAnsiTheme="minorHAnsi" w:cstheme="minorHAnsi"/>
          <w:sz w:val="24"/>
          <w:szCs w:val="24"/>
        </w:rPr>
        <w:t>enables differentiation</w:t>
      </w:r>
      <w:r>
        <w:rPr>
          <w:rFonts w:asciiTheme="minorHAnsi" w:hAnsiTheme="minorHAnsi" w:cstheme="minorHAnsi"/>
          <w:sz w:val="24"/>
          <w:szCs w:val="24"/>
        </w:rPr>
        <w:t xml:space="preserve"> of which questions elicited knowledge</w:t>
      </w:r>
      <w:r w:rsidR="00F33667">
        <w:rPr>
          <w:rFonts w:asciiTheme="minorHAnsi" w:hAnsiTheme="minorHAnsi" w:cstheme="minorHAnsi"/>
          <w:sz w:val="24"/>
          <w:szCs w:val="24"/>
        </w:rPr>
        <w:t xml:space="preserve"> challenges</w:t>
      </w:r>
      <w:r>
        <w:rPr>
          <w:rFonts w:asciiTheme="minorHAnsi" w:hAnsiTheme="minorHAnsi" w:cstheme="minorHAnsi"/>
          <w:sz w:val="24"/>
          <w:szCs w:val="24"/>
        </w:rPr>
        <w:t xml:space="preserve"> or difficulty arriving at an answer versus sensitivity issues, which may help design tailored probes to individual questions in the future. Further, </w:t>
      </w:r>
      <w:r w:rsidR="00E146F9">
        <w:rPr>
          <w:rFonts w:asciiTheme="minorHAnsi" w:hAnsiTheme="minorHAnsi" w:cstheme="minorHAnsi"/>
          <w:sz w:val="24"/>
          <w:szCs w:val="24"/>
        </w:rPr>
        <w:t>it allows for</w:t>
      </w:r>
      <w:r>
        <w:rPr>
          <w:rFonts w:asciiTheme="minorHAnsi" w:hAnsiTheme="minorHAnsi" w:cstheme="minorHAnsi"/>
          <w:sz w:val="24"/>
          <w:szCs w:val="24"/>
        </w:rPr>
        <w:t xml:space="preserve"> comparisons of distributions of item non</w:t>
      </w:r>
      <w:r w:rsidR="0079747D">
        <w:rPr>
          <w:rFonts w:asciiTheme="minorHAnsi" w:hAnsiTheme="minorHAnsi" w:cstheme="minorHAnsi"/>
          <w:sz w:val="24"/>
          <w:szCs w:val="24"/>
        </w:rPr>
        <w:t>-</w:t>
      </w:r>
      <w:r>
        <w:rPr>
          <w:rFonts w:asciiTheme="minorHAnsi" w:hAnsiTheme="minorHAnsi" w:cstheme="minorHAnsi"/>
          <w:sz w:val="24"/>
          <w:szCs w:val="24"/>
        </w:rPr>
        <w:t xml:space="preserve">response when a refusal option is offered explicitly versus when participants must skip the question altogether as </w:t>
      </w:r>
      <w:r>
        <w:rPr>
          <w:rFonts w:asciiTheme="minorHAnsi" w:hAnsiTheme="minorHAnsi" w:cstheme="minorHAnsi"/>
          <w:sz w:val="24"/>
          <w:szCs w:val="24"/>
        </w:rPr>
        <w:lastRenderedPageBreak/>
        <w:t xml:space="preserve">an implied refusal. This could provide insight into participants’ propensity to select the refusal option or to skip items they prefer not to answer, for example, sometimes it is difficult to know whether participants skipped a question because they wanted to “speed” through the survey versus did not want to answer a particular item.   </w:t>
      </w:r>
    </w:p>
    <w:p w:rsidR="000B5B4C" w:rsidP="003A2EE0" w:rsidRDefault="000B5B4C" w14:paraId="0C8D6B3A" w14:textId="77777777">
      <w:pPr>
        <w:pStyle w:val="BodyText"/>
        <w:rPr>
          <w:rFonts w:asciiTheme="minorHAnsi" w:hAnsiTheme="minorHAnsi" w:cstheme="minorHAnsi"/>
          <w:sz w:val="24"/>
          <w:szCs w:val="24"/>
        </w:rPr>
      </w:pPr>
    </w:p>
    <w:p w:rsidRPr="003A2EE0" w:rsidR="003A2EE0" w:rsidP="003A2EE0" w:rsidRDefault="00090058" w14:paraId="664D8C1B" w14:textId="70F9ABCF">
      <w:pPr>
        <w:pStyle w:val="BodyText"/>
        <w:rPr>
          <w:rFonts w:asciiTheme="minorHAnsi" w:hAnsiTheme="minorHAnsi" w:cstheme="minorHAnsi"/>
          <w:sz w:val="24"/>
          <w:szCs w:val="24"/>
        </w:rPr>
      </w:pPr>
      <w:r>
        <w:rPr>
          <w:rFonts w:asciiTheme="minorHAnsi" w:hAnsiTheme="minorHAnsi" w:cstheme="minorHAnsi"/>
          <w:sz w:val="24"/>
          <w:szCs w:val="24"/>
        </w:rPr>
        <w:t xml:space="preserve">How should an online survey be designed to encourage accurate, substantive responses even when DK and ‘prefer not to say’ options are offered? </w:t>
      </w:r>
      <w:r w:rsidRPr="003A2EE0" w:rsidR="003A2EE0">
        <w:rPr>
          <w:rFonts w:asciiTheme="minorHAnsi" w:hAnsiTheme="minorHAnsi" w:cstheme="minorHAnsi"/>
          <w:sz w:val="24"/>
          <w:szCs w:val="24"/>
        </w:rPr>
        <w:t>To test ways to reduce item non</w:t>
      </w:r>
      <w:r w:rsidR="0079747D">
        <w:rPr>
          <w:rFonts w:asciiTheme="minorHAnsi" w:hAnsiTheme="minorHAnsi" w:cstheme="minorHAnsi"/>
          <w:sz w:val="24"/>
          <w:szCs w:val="24"/>
        </w:rPr>
        <w:t>-</w:t>
      </w:r>
      <w:r w:rsidRPr="003A2EE0" w:rsidR="003A2EE0">
        <w:rPr>
          <w:rFonts w:asciiTheme="minorHAnsi" w:hAnsiTheme="minorHAnsi" w:cstheme="minorHAnsi"/>
          <w:sz w:val="24"/>
          <w:szCs w:val="24"/>
        </w:rPr>
        <w:t>response when offering the options, we propose an experiment where participants wh</w:t>
      </w:r>
      <w:r w:rsidR="009B0E1C">
        <w:rPr>
          <w:rFonts w:asciiTheme="minorHAnsi" w:hAnsiTheme="minorHAnsi" w:cstheme="minorHAnsi"/>
          <w:sz w:val="24"/>
          <w:szCs w:val="24"/>
        </w:rPr>
        <w:t xml:space="preserve">o initially select </w:t>
      </w:r>
      <w:r w:rsidR="00AF4C7B">
        <w:rPr>
          <w:rFonts w:asciiTheme="minorHAnsi" w:hAnsiTheme="minorHAnsi" w:cstheme="minorHAnsi"/>
          <w:sz w:val="24"/>
          <w:szCs w:val="24"/>
        </w:rPr>
        <w:t xml:space="preserve">DK, </w:t>
      </w:r>
      <w:r w:rsidR="00F33667">
        <w:rPr>
          <w:rFonts w:asciiTheme="minorHAnsi" w:hAnsiTheme="minorHAnsi" w:cstheme="minorHAnsi"/>
          <w:sz w:val="24"/>
          <w:szCs w:val="24"/>
        </w:rPr>
        <w:t>‘</w:t>
      </w:r>
      <w:r w:rsidRPr="003A2EE0" w:rsidR="003A2EE0">
        <w:rPr>
          <w:rFonts w:asciiTheme="minorHAnsi" w:hAnsiTheme="minorHAnsi" w:cstheme="minorHAnsi"/>
          <w:sz w:val="24"/>
          <w:szCs w:val="24"/>
        </w:rPr>
        <w:t>Prefer not to say</w:t>
      </w:r>
      <w:r w:rsidR="009B0E1C">
        <w:rPr>
          <w:rFonts w:asciiTheme="minorHAnsi" w:hAnsiTheme="minorHAnsi" w:cstheme="minorHAnsi"/>
          <w:sz w:val="24"/>
          <w:szCs w:val="24"/>
        </w:rPr>
        <w:t>,</w:t>
      </w:r>
      <w:r w:rsidR="00F33667">
        <w:rPr>
          <w:rFonts w:asciiTheme="minorHAnsi" w:hAnsiTheme="minorHAnsi" w:cstheme="minorHAnsi"/>
          <w:sz w:val="24"/>
          <w:szCs w:val="24"/>
        </w:rPr>
        <w:t>’</w:t>
      </w:r>
      <w:r w:rsidRPr="003A2EE0" w:rsidR="003A2EE0">
        <w:rPr>
          <w:rFonts w:asciiTheme="minorHAnsi" w:hAnsiTheme="minorHAnsi" w:cstheme="minorHAnsi"/>
          <w:sz w:val="24"/>
          <w:szCs w:val="24"/>
        </w:rPr>
        <w:t xml:space="preserve"> </w:t>
      </w:r>
      <w:r w:rsidR="009B0E1C">
        <w:rPr>
          <w:rFonts w:asciiTheme="minorHAnsi" w:hAnsiTheme="minorHAnsi" w:cstheme="minorHAnsi"/>
          <w:sz w:val="24"/>
          <w:szCs w:val="24"/>
        </w:rPr>
        <w:t xml:space="preserve">or skip items </w:t>
      </w:r>
      <w:r w:rsidRPr="003A2EE0" w:rsidR="003A2EE0">
        <w:rPr>
          <w:rFonts w:asciiTheme="minorHAnsi" w:hAnsiTheme="minorHAnsi" w:cstheme="minorHAnsi"/>
          <w:sz w:val="24"/>
          <w:szCs w:val="24"/>
        </w:rPr>
        <w:t>will be shown a probe an interviewer might use</w:t>
      </w:r>
      <w:r w:rsidR="00946BC7">
        <w:rPr>
          <w:rFonts w:asciiTheme="minorHAnsi" w:hAnsiTheme="minorHAnsi" w:cstheme="minorHAnsi"/>
          <w:sz w:val="24"/>
          <w:szCs w:val="24"/>
        </w:rPr>
        <w:t xml:space="preserve"> in the field</w:t>
      </w:r>
      <w:r w:rsidR="009B0E1C">
        <w:rPr>
          <w:rFonts w:asciiTheme="minorHAnsi" w:hAnsiTheme="minorHAnsi" w:cstheme="minorHAnsi"/>
          <w:sz w:val="24"/>
          <w:szCs w:val="24"/>
        </w:rPr>
        <w:t xml:space="preserve"> to encourage a substantive response</w:t>
      </w:r>
      <w:r w:rsidR="00357E51">
        <w:rPr>
          <w:rFonts w:asciiTheme="minorHAnsi" w:hAnsiTheme="minorHAnsi" w:cstheme="minorHAnsi"/>
          <w:sz w:val="24"/>
          <w:szCs w:val="24"/>
        </w:rPr>
        <w:t xml:space="preserve">, such as </w:t>
      </w:r>
      <w:r w:rsidRPr="003A2EE0" w:rsidR="003A2EE0">
        <w:rPr>
          <w:rFonts w:asciiTheme="minorHAnsi" w:hAnsiTheme="minorHAnsi" w:cstheme="minorHAnsi"/>
          <w:sz w:val="24"/>
          <w:szCs w:val="24"/>
        </w:rPr>
        <w:t xml:space="preserve">politely asking </w:t>
      </w:r>
      <w:r w:rsidR="009B0E1C">
        <w:rPr>
          <w:rFonts w:asciiTheme="minorHAnsi" w:hAnsiTheme="minorHAnsi" w:cstheme="minorHAnsi"/>
          <w:sz w:val="24"/>
          <w:szCs w:val="24"/>
        </w:rPr>
        <w:t xml:space="preserve">respondents </w:t>
      </w:r>
      <w:r w:rsidRPr="003A2EE0" w:rsidR="003A2EE0">
        <w:rPr>
          <w:rFonts w:asciiTheme="minorHAnsi" w:hAnsiTheme="minorHAnsi" w:cstheme="minorHAnsi"/>
          <w:sz w:val="24"/>
          <w:szCs w:val="24"/>
        </w:rPr>
        <w:t>to provide data</w:t>
      </w:r>
      <w:r w:rsidR="00357E51">
        <w:rPr>
          <w:rFonts w:asciiTheme="minorHAnsi" w:hAnsiTheme="minorHAnsi" w:cstheme="minorHAnsi"/>
          <w:sz w:val="24"/>
          <w:szCs w:val="24"/>
        </w:rPr>
        <w:t xml:space="preserve"> or</w:t>
      </w:r>
      <w:r w:rsidRPr="003A2EE0" w:rsidR="003A2EE0">
        <w:rPr>
          <w:rFonts w:asciiTheme="minorHAnsi" w:hAnsiTheme="minorHAnsi" w:cstheme="minorHAnsi"/>
          <w:sz w:val="24"/>
          <w:szCs w:val="24"/>
        </w:rPr>
        <w:t xml:space="preserve"> explaining the importance of the response. </w:t>
      </w:r>
      <w:r w:rsidR="003B3A1D">
        <w:rPr>
          <w:rFonts w:asciiTheme="minorHAnsi" w:hAnsiTheme="minorHAnsi" w:cstheme="minorHAnsi"/>
          <w:sz w:val="24"/>
          <w:szCs w:val="24"/>
        </w:rPr>
        <w:t xml:space="preserve">This mirrors what actual interviewers say to survey respondents; for instance, interviewers will often preface a survey interview by telling respondents that they do not have to answer any questions that they don’t want to, and provide reminders of this option when asking sensitive questions even though DK and ‘Prefer not to answer’ are not explicit response options (Kaplan &amp; Yu, 2020). </w:t>
      </w:r>
      <w:r w:rsidRPr="003A2EE0" w:rsidR="003A2EE0">
        <w:rPr>
          <w:rFonts w:asciiTheme="minorHAnsi" w:hAnsiTheme="minorHAnsi" w:cstheme="minorHAnsi"/>
          <w:sz w:val="24"/>
          <w:szCs w:val="24"/>
        </w:rPr>
        <w:t>Th</w:t>
      </w:r>
      <w:r w:rsidR="009B0E1C">
        <w:rPr>
          <w:rFonts w:asciiTheme="minorHAnsi" w:hAnsiTheme="minorHAnsi" w:cstheme="minorHAnsi"/>
          <w:sz w:val="24"/>
          <w:szCs w:val="24"/>
        </w:rPr>
        <w:t xml:space="preserve">ese types of interviewer </w:t>
      </w:r>
      <w:r w:rsidR="00357E51">
        <w:rPr>
          <w:rFonts w:asciiTheme="minorHAnsi" w:hAnsiTheme="minorHAnsi" w:cstheme="minorHAnsi"/>
          <w:sz w:val="24"/>
          <w:szCs w:val="24"/>
        </w:rPr>
        <w:t xml:space="preserve">probing </w:t>
      </w:r>
      <w:r w:rsidR="009B0E1C">
        <w:rPr>
          <w:rFonts w:asciiTheme="minorHAnsi" w:hAnsiTheme="minorHAnsi" w:cstheme="minorHAnsi"/>
          <w:sz w:val="24"/>
          <w:szCs w:val="24"/>
        </w:rPr>
        <w:t>strategies</w:t>
      </w:r>
      <w:r w:rsidRPr="003A2EE0" w:rsidR="003A2EE0">
        <w:rPr>
          <w:rFonts w:asciiTheme="minorHAnsi" w:hAnsiTheme="minorHAnsi" w:cstheme="minorHAnsi"/>
          <w:sz w:val="24"/>
          <w:szCs w:val="24"/>
        </w:rPr>
        <w:t xml:space="preserve"> may help increase responses to questions that typically have high item non</w:t>
      </w:r>
      <w:r w:rsidR="00F33667">
        <w:rPr>
          <w:rFonts w:asciiTheme="minorHAnsi" w:hAnsiTheme="minorHAnsi" w:cstheme="minorHAnsi"/>
          <w:sz w:val="24"/>
          <w:szCs w:val="24"/>
        </w:rPr>
        <w:t>-</w:t>
      </w:r>
      <w:r w:rsidRPr="003A2EE0" w:rsidR="003A2EE0">
        <w:rPr>
          <w:rFonts w:asciiTheme="minorHAnsi" w:hAnsiTheme="minorHAnsi" w:cstheme="minorHAnsi"/>
          <w:sz w:val="24"/>
          <w:szCs w:val="24"/>
        </w:rPr>
        <w:t>response in both online and interviewer-administered surveys, such as those about income or disability.</w:t>
      </w:r>
      <w:r w:rsidR="00946BC7">
        <w:rPr>
          <w:rFonts w:asciiTheme="minorHAnsi" w:hAnsiTheme="minorHAnsi" w:cstheme="minorHAnsi"/>
          <w:sz w:val="24"/>
          <w:szCs w:val="24"/>
        </w:rPr>
        <w:t xml:space="preserve"> </w:t>
      </w:r>
      <w:r w:rsidRPr="004245A6" w:rsidR="00946BC7">
        <w:rPr>
          <w:rFonts w:asciiTheme="minorHAnsi" w:hAnsiTheme="minorHAnsi" w:cstheme="minorHAnsi"/>
          <w:sz w:val="24"/>
          <w:szCs w:val="24"/>
        </w:rPr>
        <w:t>See Attachment A</w:t>
      </w:r>
      <w:r w:rsidR="00946BC7">
        <w:rPr>
          <w:rFonts w:asciiTheme="minorHAnsi" w:hAnsiTheme="minorHAnsi" w:cstheme="minorHAnsi"/>
          <w:sz w:val="24"/>
          <w:szCs w:val="24"/>
        </w:rPr>
        <w:t xml:space="preserve"> for a summary of research usin</w:t>
      </w:r>
      <w:r w:rsidR="00E757F0">
        <w:rPr>
          <w:rFonts w:asciiTheme="minorHAnsi" w:hAnsiTheme="minorHAnsi" w:cstheme="minorHAnsi"/>
          <w:sz w:val="24"/>
          <w:szCs w:val="24"/>
        </w:rPr>
        <w:t>g similar methodologies</w:t>
      </w:r>
      <w:r w:rsidR="009B0E1C">
        <w:rPr>
          <w:rFonts w:asciiTheme="minorHAnsi" w:hAnsiTheme="minorHAnsi" w:cstheme="minorHAnsi"/>
          <w:sz w:val="24"/>
          <w:szCs w:val="24"/>
        </w:rPr>
        <w:t xml:space="preserve"> with web surveys</w:t>
      </w:r>
      <w:r w:rsidR="00E757F0">
        <w:rPr>
          <w:rFonts w:asciiTheme="minorHAnsi" w:hAnsiTheme="minorHAnsi" w:cstheme="minorHAnsi"/>
          <w:sz w:val="24"/>
          <w:szCs w:val="24"/>
        </w:rPr>
        <w:t xml:space="preserve">, </w:t>
      </w:r>
      <w:r w:rsidR="00946BC7">
        <w:rPr>
          <w:rFonts w:asciiTheme="minorHAnsi" w:hAnsiTheme="minorHAnsi" w:cstheme="minorHAnsi"/>
          <w:sz w:val="24"/>
          <w:szCs w:val="24"/>
        </w:rPr>
        <w:t>the types of probes used</w:t>
      </w:r>
      <w:r w:rsidR="00E757F0">
        <w:rPr>
          <w:rFonts w:asciiTheme="minorHAnsi" w:hAnsiTheme="minorHAnsi" w:cstheme="minorHAnsi"/>
          <w:sz w:val="24"/>
          <w:szCs w:val="24"/>
        </w:rPr>
        <w:t>, and the main finding of each study</w:t>
      </w:r>
      <w:r w:rsidR="00946BC7">
        <w:rPr>
          <w:rFonts w:asciiTheme="minorHAnsi" w:hAnsiTheme="minorHAnsi" w:cstheme="minorHAnsi"/>
          <w:sz w:val="24"/>
          <w:szCs w:val="24"/>
        </w:rPr>
        <w:t xml:space="preserve">. </w:t>
      </w:r>
    </w:p>
    <w:p w:rsidR="003A2EE0" w:rsidP="003A2EE0" w:rsidRDefault="003A2EE0" w14:paraId="6CABC258" w14:textId="77777777">
      <w:pPr>
        <w:pStyle w:val="BodyText"/>
        <w:rPr>
          <w:rFonts w:asciiTheme="minorHAnsi" w:hAnsiTheme="minorHAnsi" w:cstheme="minorHAnsi"/>
          <w:sz w:val="24"/>
          <w:szCs w:val="24"/>
        </w:rPr>
      </w:pPr>
    </w:p>
    <w:p w:rsidRPr="003A2EE0" w:rsidR="003A2EE0" w:rsidP="00D713FE" w:rsidRDefault="003A2EE0" w14:paraId="4804D14F" w14:textId="51E14D64">
      <w:pPr>
        <w:pStyle w:val="BodyText"/>
        <w:numPr>
          <w:ilvl w:val="0"/>
          <w:numId w:val="14"/>
        </w:numPr>
        <w:rPr>
          <w:rFonts w:asciiTheme="minorHAnsi" w:hAnsiTheme="minorHAnsi" w:cstheme="minorHAnsi"/>
          <w:b/>
          <w:sz w:val="24"/>
          <w:szCs w:val="24"/>
        </w:rPr>
      </w:pPr>
      <w:r w:rsidRPr="003A2EE0">
        <w:rPr>
          <w:rFonts w:asciiTheme="minorHAnsi" w:hAnsiTheme="minorHAnsi" w:cstheme="minorHAnsi"/>
          <w:b/>
          <w:sz w:val="24"/>
          <w:szCs w:val="24"/>
        </w:rPr>
        <w:t xml:space="preserve">How to administer open-ended and field-coded questions in self-administered </w:t>
      </w:r>
      <w:r w:rsidR="00F95AA7">
        <w:rPr>
          <w:rFonts w:asciiTheme="minorHAnsi" w:hAnsiTheme="minorHAnsi" w:cstheme="minorHAnsi"/>
          <w:b/>
          <w:sz w:val="24"/>
          <w:szCs w:val="24"/>
        </w:rPr>
        <w:t>online surveys</w:t>
      </w:r>
    </w:p>
    <w:p w:rsidRPr="003A2EE0" w:rsidR="003A2EE0" w:rsidP="003A2EE0" w:rsidRDefault="003A2EE0" w14:paraId="4DBC73B2" w14:textId="77777777">
      <w:pPr>
        <w:pStyle w:val="BodyText"/>
        <w:ind w:left="360"/>
        <w:rPr>
          <w:rFonts w:asciiTheme="minorHAnsi" w:hAnsiTheme="minorHAnsi" w:cstheme="minorHAnsi"/>
          <w:sz w:val="24"/>
          <w:szCs w:val="24"/>
        </w:rPr>
      </w:pPr>
    </w:p>
    <w:p w:rsidR="0078449E" w:rsidP="003A2EE0" w:rsidRDefault="003A2EE0" w14:paraId="78FECB4C" w14:textId="37DC6B93">
      <w:pPr>
        <w:pStyle w:val="BodyText"/>
        <w:rPr>
          <w:rFonts w:asciiTheme="minorHAnsi" w:hAnsiTheme="minorHAnsi" w:cstheme="minorHAnsi"/>
          <w:sz w:val="24"/>
          <w:szCs w:val="24"/>
        </w:rPr>
      </w:pPr>
      <w:r w:rsidRPr="003A2EE0">
        <w:rPr>
          <w:rFonts w:asciiTheme="minorHAnsi" w:hAnsiTheme="minorHAnsi" w:cstheme="minorHAnsi"/>
          <w:sz w:val="24"/>
          <w:szCs w:val="24"/>
        </w:rPr>
        <w:t>Field-coded and open-ended questions require responses to be coded, a process often done by interviewers.</w:t>
      </w:r>
      <w:r w:rsidR="00C7143E">
        <w:rPr>
          <w:rFonts w:asciiTheme="minorHAnsi" w:hAnsiTheme="minorHAnsi" w:cstheme="minorHAnsi"/>
          <w:sz w:val="24"/>
          <w:szCs w:val="24"/>
        </w:rPr>
        <w:t xml:space="preserve"> One example of this is in the Current Population Survey (CPS) questions about job search strategies and distinguishing between active versu</w:t>
      </w:r>
      <w:r w:rsidR="0078449E">
        <w:rPr>
          <w:rFonts w:asciiTheme="minorHAnsi" w:hAnsiTheme="minorHAnsi" w:cstheme="minorHAnsi"/>
          <w:sz w:val="24"/>
          <w:szCs w:val="24"/>
        </w:rPr>
        <w:t>s passive job search strategies.</w:t>
      </w:r>
      <w:r w:rsidRPr="003A2EE0">
        <w:rPr>
          <w:rFonts w:asciiTheme="minorHAnsi" w:hAnsiTheme="minorHAnsi" w:cstheme="minorHAnsi"/>
          <w:sz w:val="24"/>
          <w:szCs w:val="24"/>
        </w:rPr>
        <w:t xml:space="preserve"> In addition to this coding, interviewers probe respondents when initial responses do not match the response categories. There is little research on how to collect data using this style of question in a self-administered mode without interviewers. To test ways to accurately collect data in self-administered modes for these questions, we propose </w:t>
      </w:r>
      <w:r w:rsidR="00264CE1">
        <w:rPr>
          <w:rFonts w:asciiTheme="minorHAnsi" w:hAnsiTheme="minorHAnsi" w:cstheme="minorHAnsi"/>
          <w:sz w:val="24"/>
          <w:szCs w:val="24"/>
        </w:rPr>
        <w:t>in the current research assessing how</w:t>
      </w:r>
      <w:r w:rsidRPr="003A2EE0">
        <w:rPr>
          <w:rFonts w:asciiTheme="minorHAnsi" w:hAnsiTheme="minorHAnsi" w:cstheme="minorHAnsi"/>
          <w:sz w:val="24"/>
          <w:szCs w:val="24"/>
        </w:rPr>
        <w:t xml:space="preserve"> different closed-ended processes </w:t>
      </w:r>
      <w:r w:rsidR="00264CE1">
        <w:rPr>
          <w:rFonts w:asciiTheme="minorHAnsi" w:hAnsiTheme="minorHAnsi" w:cstheme="minorHAnsi"/>
          <w:sz w:val="24"/>
          <w:szCs w:val="24"/>
        </w:rPr>
        <w:t>can be</w:t>
      </w:r>
      <w:r w:rsidRPr="003A2EE0">
        <w:rPr>
          <w:rFonts w:asciiTheme="minorHAnsi" w:hAnsiTheme="minorHAnsi" w:cstheme="minorHAnsi"/>
          <w:sz w:val="24"/>
          <w:szCs w:val="24"/>
        </w:rPr>
        <w:t xml:space="preserve"> used to </w:t>
      </w:r>
      <w:r w:rsidR="00D34010">
        <w:rPr>
          <w:rFonts w:asciiTheme="minorHAnsi" w:hAnsiTheme="minorHAnsi" w:cstheme="minorHAnsi"/>
          <w:sz w:val="24"/>
          <w:szCs w:val="24"/>
        </w:rPr>
        <w:t xml:space="preserve">prompt respondents to </w:t>
      </w:r>
      <w:r w:rsidRPr="003A2EE0">
        <w:rPr>
          <w:rFonts w:asciiTheme="minorHAnsi" w:hAnsiTheme="minorHAnsi" w:cstheme="minorHAnsi"/>
          <w:sz w:val="24"/>
          <w:szCs w:val="24"/>
        </w:rPr>
        <w:t xml:space="preserve">select codes. </w:t>
      </w:r>
    </w:p>
    <w:p w:rsidR="0078449E" w:rsidP="003A2EE0" w:rsidRDefault="0078449E" w14:paraId="23FC75C1" w14:textId="77777777">
      <w:pPr>
        <w:pStyle w:val="BodyText"/>
        <w:rPr>
          <w:rFonts w:asciiTheme="minorHAnsi" w:hAnsiTheme="minorHAnsi" w:cstheme="minorHAnsi"/>
          <w:sz w:val="24"/>
          <w:szCs w:val="24"/>
        </w:rPr>
      </w:pPr>
    </w:p>
    <w:p w:rsidR="0078449E" w:rsidP="0078449E" w:rsidRDefault="0078449E" w14:paraId="1B1B0221" w14:textId="77777777">
      <w:pPr>
        <w:pStyle w:val="BodyText"/>
        <w:rPr>
          <w:rFonts w:asciiTheme="minorHAnsi" w:hAnsiTheme="minorHAnsi" w:cstheme="minorHAnsi"/>
          <w:sz w:val="24"/>
          <w:szCs w:val="24"/>
        </w:rPr>
      </w:pPr>
      <w:r>
        <w:rPr>
          <w:rFonts w:asciiTheme="minorHAnsi" w:hAnsiTheme="minorHAnsi" w:cstheme="minorHAnsi"/>
          <w:sz w:val="24"/>
          <w:szCs w:val="24"/>
        </w:rPr>
        <w:t xml:space="preserve">Taking the example of the CPS, interviewers ask respondents the following question: </w:t>
      </w:r>
    </w:p>
    <w:p w:rsidR="0078449E" w:rsidP="0078449E" w:rsidRDefault="0078449E" w14:paraId="18FDBE5F" w14:textId="77777777">
      <w:pPr>
        <w:pStyle w:val="BodyText"/>
        <w:rPr>
          <w:rFonts w:asciiTheme="minorHAnsi" w:hAnsiTheme="minorHAnsi" w:cstheme="minorHAnsi"/>
          <w:i/>
          <w:sz w:val="24"/>
          <w:szCs w:val="24"/>
        </w:rPr>
      </w:pPr>
      <w:r w:rsidRPr="0078449E">
        <w:rPr>
          <w:rFonts w:asciiTheme="minorHAnsi" w:hAnsiTheme="minorHAnsi" w:cstheme="minorHAnsi"/>
          <w:i/>
          <w:sz w:val="24"/>
          <w:szCs w:val="24"/>
        </w:rPr>
        <w:t xml:space="preserve">“What are all of the things you have done to find work during the last 4 weeks?” </w:t>
      </w:r>
    </w:p>
    <w:p w:rsidRPr="0078449E" w:rsidR="0078449E" w:rsidP="0078449E" w:rsidRDefault="0078449E" w14:paraId="0F659B79" w14:textId="77777777">
      <w:pPr>
        <w:pStyle w:val="BodyText"/>
        <w:rPr>
          <w:rFonts w:asciiTheme="minorHAnsi" w:hAnsiTheme="minorHAnsi" w:cstheme="minorHAnsi"/>
          <w:i/>
          <w:sz w:val="24"/>
          <w:szCs w:val="24"/>
        </w:rPr>
      </w:pPr>
    </w:p>
    <w:p w:rsidR="0078449E" w:rsidP="0078449E" w:rsidRDefault="0078449E" w14:paraId="58B35C29" w14:textId="77777777">
      <w:pPr>
        <w:tabs>
          <w:tab w:val="left" w:pos="5616"/>
        </w:tabs>
        <w:ind w:left="720"/>
      </w:pPr>
      <w:r>
        <w:t>1 Contact employer directly/interview</w:t>
      </w:r>
    </w:p>
    <w:p w:rsidR="0078449E" w:rsidP="0078449E" w:rsidRDefault="0078449E" w14:paraId="73E37598" w14:textId="77777777">
      <w:pPr>
        <w:tabs>
          <w:tab w:val="left" w:pos="5616"/>
        </w:tabs>
        <w:ind w:left="720"/>
      </w:pPr>
      <w:r>
        <w:t>2 Contacted public employment agency</w:t>
      </w:r>
    </w:p>
    <w:p w:rsidR="0078449E" w:rsidP="0078449E" w:rsidRDefault="0078449E" w14:paraId="78234D37" w14:textId="77777777">
      <w:pPr>
        <w:tabs>
          <w:tab w:val="left" w:pos="5616"/>
        </w:tabs>
        <w:ind w:left="720"/>
      </w:pPr>
      <w:r>
        <w:t>3 Contacted private employment agency</w:t>
      </w:r>
    </w:p>
    <w:p w:rsidR="0078449E" w:rsidP="0078449E" w:rsidRDefault="0078449E" w14:paraId="7D5620B3" w14:textId="77777777">
      <w:pPr>
        <w:tabs>
          <w:tab w:val="left" w:pos="5616"/>
        </w:tabs>
        <w:ind w:left="720"/>
      </w:pPr>
      <w:r>
        <w:t>4 Contacted friends or relatives</w:t>
      </w:r>
    </w:p>
    <w:p w:rsidR="0078449E" w:rsidP="0078449E" w:rsidRDefault="0078449E" w14:paraId="6C317E9E" w14:textId="77777777">
      <w:pPr>
        <w:tabs>
          <w:tab w:val="left" w:pos="5616"/>
        </w:tabs>
        <w:ind w:left="720"/>
      </w:pPr>
      <w:r>
        <w:t>5 Contacted school/university employment center</w:t>
      </w:r>
    </w:p>
    <w:p w:rsidR="0078449E" w:rsidP="0078449E" w:rsidRDefault="0078449E" w14:paraId="41D35C86" w14:textId="77777777">
      <w:pPr>
        <w:tabs>
          <w:tab w:val="left" w:pos="5616"/>
        </w:tabs>
        <w:ind w:left="720"/>
      </w:pPr>
      <w:r>
        <w:t>6 Sent out resumes/filled out applications</w:t>
      </w:r>
    </w:p>
    <w:p w:rsidR="0078449E" w:rsidP="0078449E" w:rsidRDefault="0078449E" w14:paraId="64915486" w14:textId="77777777">
      <w:pPr>
        <w:tabs>
          <w:tab w:val="left" w:pos="5616"/>
        </w:tabs>
        <w:ind w:left="720"/>
      </w:pPr>
      <w:r>
        <w:t>7 Checked union/professional registers</w:t>
      </w:r>
    </w:p>
    <w:p w:rsidR="0078449E" w:rsidP="0078449E" w:rsidRDefault="0078449E" w14:paraId="36647C56" w14:textId="77777777">
      <w:pPr>
        <w:tabs>
          <w:tab w:val="left" w:pos="5616"/>
        </w:tabs>
        <w:ind w:left="720"/>
      </w:pPr>
      <w:r>
        <w:t>8 Placed or answered ads</w:t>
      </w:r>
    </w:p>
    <w:p w:rsidR="0078449E" w:rsidP="0078449E" w:rsidRDefault="0078449E" w14:paraId="4802B90C" w14:textId="77777777">
      <w:pPr>
        <w:tabs>
          <w:tab w:val="left" w:pos="5616"/>
        </w:tabs>
        <w:ind w:left="720"/>
      </w:pPr>
      <w:r>
        <w:t>9 Other active</w:t>
      </w:r>
    </w:p>
    <w:p w:rsidR="0078449E" w:rsidP="0078449E" w:rsidRDefault="0078449E" w14:paraId="2B81D7FA" w14:textId="77777777">
      <w:pPr>
        <w:tabs>
          <w:tab w:val="left" w:pos="5616"/>
        </w:tabs>
        <w:ind w:left="720"/>
      </w:pPr>
      <w:r>
        <w:t>10 Looked at ads</w:t>
      </w:r>
    </w:p>
    <w:p w:rsidR="0078449E" w:rsidP="0078449E" w:rsidRDefault="0078449E" w14:paraId="2F476AC3" w14:textId="77777777">
      <w:pPr>
        <w:tabs>
          <w:tab w:val="left" w:pos="5616"/>
        </w:tabs>
        <w:ind w:left="720"/>
      </w:pPr>
      <w:r>
        <w:lastRenderedPageBreak/>
        <w:t>11 Attended job training programs/courses</w:t>
      </w:r>
    </w:p>
    <w:p w:rsidR="0078449E" w:rsidP="0078449E" w:rsidRDefault="0078449E" w14:paraId="61D7859E" w14:textId="77777777">
      <w:pPr>
        <w:tabs>
          <w:tab w:val="left" w:pos="5616"/>
        </w:tabs>
        <w:ind w:left="720"/>
      </w:pPr>
      <w:r>
        <w:t>12 Other passive</w:t>
      </w:r>
    </w:p>
    <w:p w:rsidR="0078449E" w:rsidP="0078449E" w:rsidRDefault="0078449E" w14:paraId="242DE2E1" w14:textId="77777777">
      <w:pPr>
        <w:tabs>
          <w:tab w:val="left" w:pos="5616"/>
        </w:tabs>
        <w:ind w:left="720"/>
      </w:pPr>
      <w:r>
        <w:t xml:space="preserve">13 Nothing  </w:t>
      </w:r>
    </w:p>
    <w:p w:rsidR="0078449E" w:rsidP="0078449E" w:rsidRDefault="0078449E" w14:paraId="2D655502" w14:textId="77777777">
      <w:pPr>
        <w:pStyle w:val="BodyText"/>
        <w:rPr>
          <w:rFonts w:asciiTheme="minorHAnsi" w:hAnsiTheme="minorHAnsi" w:cstheme="minorHAnsi"/>
          <w:sz w:val="24"/>
          <w:szCs w:val="24"/>
        </w:rPr>
      </w:pPr>
    </w:p>
    <w:p w:rsidRPr="0078449E" w:rsidR="0078449E" w:rsidP="0078449E" w:rsidRDefault="0078449E" w14:paraId="02DAF027" w14:textId="3026ADA2">
      <w:pPr>
        <w:pStyle w:val="BodyText"/>
        <w:rPr>
          <w:rFonts w:asciiTheme="minorHAnsi" w:hAnsiTheme="minorHAnsi" w:cstheme="minorHAnsi"/>
          <w:sz w:val="24"/>
          <w:szCs w:val="24"/>
        </w:rPr>
      </w:pPr>
      <w:r>
        <w:rPr>
          <w:rFonts w:asciiTheme="minorHAnsi" w:hAnsiTheme="minorHAnsi" w:cstheme="minorHAnsi"/>
          <w:sz w:val="24"/>
          <w:szCs w:val="24"/>
        </w:rPr>
        <w:t xml:space="preserve">This is an open-ended question in that the response categories are not read to respondents, and interviewers must field code them into the above categories during the interview. </w:t>
      </w:r>
      <w:r w:rsidRPr="0078449E">
        <w:rPr>
          <w:rFonts w:asciiTheme="minorHAnsi" w:hAnsiTheme="minorHAnsi" w:cstheme="minorHAnsi"/>
          <w:sz w:val="24"/>
          <w:szCs w:val="24"/>
        </w:rPr>
        <w:t xml:space="preserve">These response options are not part of an existing, standardized framework but rather approximate bottom-up categories describing common job search activities. Given that no well-known structure exists for classifying job search activities, an open-ended format is likely too messy to be useful in auto-coding. For example, respondents may not understand the level of detail required to accurately classify the job search, such as responding that he or she “used the computer”, which is a response that does not distinguish between active and passive. This is currently observed in interviewer-administered surveys and is handled with interviewer probing. </w:t>
      </w:r>
      <w:r w:rsidR="00A52E92">
        <w:rPr>
          <w:rFonts w:asciiTheme="minorHAnsi" w:hAnsiTheme="minorHAnsi" w:cstheme="minorHAnsi"/>
          <w:sz w:val="24"/>
          <w:szCs w:val="24"/>
        </w:rPr>
        <w:t xml:space="preserve">Thus, the current research proposes embedding an experiment using this CPS question to assess two closed-ended approaches: asking a series of closed-ended questions that cover all possible response options, or prompt respondents to select a category themselves. </w:t>
      </w:r>
    </w:p>
    <w:p w:rsidR="0078449E" w:rsidP="003A2EE0" w:rsidRDefault="0078449E" w14:paraId="2539F73D" w14:textId="77777777">
      <w:pPr>
        <w:pStyle w:val="BodyText"/>
        <w:rPr>
          <w:rFonts w:asciiTheme="minorHAnsi" w:hAnsiTheme="minorHAnsi" w:cstheme="minorHAnsi"/>
          <w:sz w:val="24"/>
          <w:szCs w:val="24"/>
        </w:rPr>
      </w:pPr>
    </w:p>
    <w:p w:rsidRPr="00102CE8" w:rsidR="003A2EE0" w:rsidP="003A2EE0" w:rsidRDefault="003A2EE0" w14:paraId="4E8D7067" w14:textId="77777777">
      <w:pPr>
        <w:pStyle w:val="BodyText"/>
        <w:rPr>
          <w:rFonts w:asciiTheme="minorHAnsi" w:hAnsiTheme="minorHAnsi" w:cstheme="minorHAnsi"/>
          <w:sz w:val="24"/>
          <w:szCs w:val="24"/>
        </w:rPr>
      </w:pPr>
    </w:p>
    <w:p w:rsidRPr="00102CE8" w:rsidR="000D61F7" w:rsidP="000B41AF" w:rsidRDefault="006A16C7" w14:paraId="3727D6DD" w14:textId="77777777">
      <w:pPr>
        <w:pStyle w:val="BodyText"/>
        <w:numPr>
          <w:ilvl w:val="0"/>
          <w:numId w:val="1"/>
        </w:numPr>
        <w:spacing w:after="240" w:line="276" w:lineRule="auto"/>
        <w:ind w:left="0" w:right="1260" w:firstLine="0"/>
        <w:rPr>
          <w:rFonts w:asciiTheme="minorHAnsi" w:hAnsiTheme="minorHAnsi" w:cstheme="minorHAnsi"/>
          <w:b/>
          <w:sz w:val="24"/>
          <w:szCs w:val="24"/>
        </w:rPr>
      </w:pPr>
      <w:r w:rsidRPr="00102CE8">
        <w:rPr>
          <w:rFonts w:asciiTheme="minorHAnsi" w:hAnsiTheme="minorHAnsi" w:cstheme="minorHAnsi"/>
          <w:b/>
          <w:sz w:val="24"/>
          <w:szCs w:val="24"/>
        </w:rPr>
        <w:t xml:space="preserve">Methodology </w:t>
      </w:r>
    </w:p>
    <w:p w:rsidR="00D23A53" w:rsidP="00C36DFE" w:rsidRDefault="00504B24" w14:paraId="37BD383E" w14:textId="616F6983">
      <w:pPr>
        <w:pStyle w:val="BodyText"/>
        <w:spacing w:after="240" w:line="276" w:lineRule="auto"/>
        <w:rPr>
          <w:rFonts w:asciiTheme="minorHAnsi" w:hAnsiTheme="minorHAnsi" w:cstheme="minorHAnsi"/>
          <w:sz w:val="24"/>
          <w:szCs w:val="24"/>
        </w:rPr>
      </w:pPr>
      <w:r w:rsidRPr="00BE7483" w:rsidDel="000B39CB">
        <w:rPr>
          <w:rFonts w:asciiTheme="minorHAnsi" w:hAnsiTheme="minorHAnsi" w:cstheme="minorHAnsi"/>
          <w:sz w:val="24"/>
          <w:szCs w:val="24"/>
        </w:rPr>
        <w:t xml:space="preserve">The Office of Survey Methods Research (OSMR) has used online panels to pretest BLS survey questions and conduct small-scale survey methodological research (see this </w:t>
      </w:r>
      <w:hyperlink w:history="1" r:id="rId8">
        <w:r w:rsidRPr="00BE7483" w:rsidDel="000B39CB">
          <w:rPr>
            <w:rStyle w:val="Hyperlink"/>
            <w:rFonts w:asciiTheme="minorHAnsi" w:hAnsiTheme="minorHAnsi" w:cstheme="minorHAnsi"/>
            <w:sz w:val="24"/>
            <w:szCs w:val="24"/>
          </w:rPr>
          <w:t>White Paper</w:t>
        </w:r>
      </w:hyperlink>
      <w:r w:rsidRPr="00BE7483" w:rsidDel="000B39CB">
        <w:rPr>
          <w:rFonts w:asciiTheme="minorHAnsi" w:hAnsiTheme="minorHAnsi" w:cstheme="minorHAnsi"/>
          <w:sz w:val="24"/>
          <w:szCs w:val="24"/>
        </w:rPr>
        <w:t xml:space="preserve"> for more information and details).</w:t>
      </w:r>
      <w:r>
        <w:rPr>
          <w:rFonts w:asciiTheme="minorHAnsi" w:hAnsiTheme="minorHAnsi" w:cstheme="minorHAnsi"/>
          <w:sz w:val="24"/>
          <w:szCs w:val="24"/>
        </w:rPr>
        <w:t xml:space="preserve"> </w:t>
      </w:r>
      <w:r w:rsidR="00DC7BB7">
        <w:rPr>
          <w:rFonts w:asciiTheme="minorHAnsi" w:hAnsiTheme="minorHAnsi" w:cstheme="minorHAnsi"/>
          <w:sz w:val="24"/>
          <w:szCs w:val="24"/>
        </w:rPr>
        <w:t>In previous work, o</w:t>
      </w:r>
      <w:r w:rsidRPr="00BE7483" w:rsidR="00DC7BB7">
        <w:rPr>
          <w:rFonts w:asciiTheme="minorHAnsi" w:hAnsiTheme="minorHAnsi" w:cstheme="minorHAnsi"/>
          <w:sz w:val="24"/>
          <w:szCs w:val="24"/>
        </w:rPr>
        <w:t xml:space="preserve">nline testing </w:t>
      </w:r>
      <w:r w:rsidR="00DC7BB7">
        <w:rPr>
          <w:rFonts w:asciiTheme="minorHAnsi" w:hAnsiTheme="minorHAnsi" w:cstheme="minorHAnsi"/>
          <w:sz w:val="24"/>
          <w:szCs w:val="24"/>
        </w:rPr>
        <w:t>has allowed</w:t>
      </w:r>
      <w:r w:rsidRPr="00BE7483" w:rsidR="00DC7BB7">
        <w:rPr>
          <w:rFonts w:asciiTheme="minorHAnsi" w:hAnsiTheme="minorHAnsi" w:cstheme="minorHAnsi"/>
          <w:sz w:val="24"/>
          <w:szCs w:val="24"/>
        </w:rPr>
        <w:t xml:space="preserve"> for early and rapid testing of questionnaire design options to identify “showstoppers”</w:t>
      </w:r>
      <w:r w:rsidR="00DC7BB7">
        <w:rPr>
          <w:rFonts w:asciiTheme="minorHAnsi" w:hAnsiTheme="minorHAnsi" w:cstheme="minorHAnsi"/>
          <w:sz w:val="24"/>
          <w:szCs w:val="24"/>
        </w:rPr>
        <w:t>,</w:t>
      </w:r>
      <w:r w:rsidRPr="00BE7483" w:rsidR="00DC7BB7">
        <w:rPr>
          <w:rFonts w:asciiTheme="minorHAnsi" w:hAnsiTheme="minorHAnsi" w:cstheme="minorHAnsi"/>
          <w:sz w:val="24"/>
          <w:szCs w:val="24"/>
        </w:rPr>
        <w:t xml:space="preserve"> </w:t>
      </w:r>
      <w:r w:rsidR="00DC7BB7">
        <w:rPr>
          <w:rFonts w:asciiTheme="minorHAnsi" w:hAnsiTheme="minorHAnsi" w:cstheme="minorHAnsi"/>
          <w:sz w:val="24"/>
          <w:szCs w:val="24"/>
        </w:rPr>
        <w:t>iterative testing</w:t>
      </w:r>
      <w:r w:rsidRPr="00BE7483" w:rsidR="00DC7BB7">
        <w:rPr>
          <w:rFonts w:asciiTheme="minorHAnsi" w:hAnsiTheme="minorHAnsi" w:cstheme="minorHAnsi"/>
          <w:sz w:val="24"/>
          <w:szCs w:val="24"/>
        </w:rPr>
        <w:t xml:space="preserve"> to make improvements</w:t>
      </w:r>
      <w:r w:rsidR="00DC7BB7">
        <w:rPr>
          <w:rFonts w:asciiTheme="minorHAnsi" w:hAnsiTheme="minorHAnsi" w:cstheme="minorHAnsi"/>
          <w:sz w:val="24"/>
          <w:szCs w:val="24"/>
        </w:rPr>
        <w:t>, and a broad range of research participants</w:t>
      </w:r>
      <w:r w:rsidRPr="00BE7483" w:rsidR="00DC7BB7">
        <w:rPr>
          <w:rFonts w:asciiTheme="minorHAnsi" w:hAnsiTheme="minorHAnsi" w:cstheme="minorHAnsi"/>
          <w:sz w:val="24"/>
          <w:szCs w:val="24"/>
        </w:rPr>
        <w:t xml:space="preserve">. </w:t>
      </w:r>
      <w:r w:rsidR="00DC7BB7">
        <w:rPr>
          <w:rFonts w:asciiTheme="minorHAnsi" w:hAnsiTheme="minorHAnsi" w:cstheme="minorHAnsi"/>
          <w:sz w:val="24"/>
          <w:szCs w:val="24"/>
        </w:rPr>
        <w:t>With the current study’s focus on the online mode, recruiting participants from online panels is expected to provide these same benefits.</w:t>
      </w:r>
      <w:r w:rsidR="00C36DFE">
        <w:rPr>
          <w:rFonts w:asciiTheme="minorHAnsi" w:hAnsiTheme="minorHAnsi" w:cstheme="minorHAnsi"/>
          <w:sz w:val="24"/>
          <w:szCs w:val="24"/>
        </w:rPr>
        <w:t xml:space="preserve"> </w:t>
      </w:r>
      <w:r w:rsidR="007066FF">
        <w:rPr>
          <w:rFonts w:asciiTheme="minorHAnsi" w:hAnsiTheme="minorHAnsi" w:cstheme="minorHAnsi"/>
          <w:sz w:val="24"/>
          <w:szCs w:val="24"/>
        </w:rPr>
        <w:t>T</w:t>
      </w:r>
      <w:r w:rsidR="009E5657">
        <w:rPr>
          <w:rFonts w:asciiTheme="minorHAnsi" w:hAnsiTheme="minorHAnsi" w:cstheme="minorHAnsi"/>
          <w:sz w:val="24"/>
          <w:szCs w:val="24"/>
        </w:rPr>
        <w:t>his study will use participa</w:t>
      </w:r>
      <w:r w:rsidR="007066FF">
        <w:rPr>
          <w:rFonts w:asciiTheme="minorHAnsi" w:hAnsiTheme="minorHAnsi" w:cstheme="minorHAnsi"/>
          <w:sz w:val="24"/>
          <w:szCs w:val="24"/>
        </w:rPr>
        <w:t>n</w:t>
      </w:r>
      <w:r w:rsidR="009E5657">
        <w:rPr>
          <w:rFonts w:asciiTheme="minorHAnsi" w:hAnsiTheme="minorHAnsi" w:cstheme="minorHAnsi"/>
          <w:sz w:val="24"/>
          <w:szCs w:val="24"/>
        </w:rPr>
        <w:t xml:space="preserve">ts from </w:t>
      </w:r>
      <w:r w:rsidR="007066FF">
        <w:rPr>
          <w:rFonts w:asciiTheme="minorHAnsi" w:hAnsiTheme="minorHAnsi" w:cstheme="minorHAnsi"/>
          <w:sz w:val="24"/>
          <w:szCs w:val="24"/>
        </w:rPr>
        <w:t xml:space="preserve">Amazon Mechanical </w:t>
      </w:r>
      <w:r w:rsidR="009E5657">
        <w:rPr>
          <w:rFonts w:asciiTheme="minorHAnsi" w:hAnsiTheme="minorHAnsi" w:cstheme="minorHAnsi"/>
          <w:sz w:val="24"/>
          <w:szCs w:val="24"/>
        </w:rPr>
        <w:t>Turk (</w:t>
      </w:r>
      <w:r w:rsidR="007066FF">
        <w:rPr>
          <w:rFonts w:asciiTheme="minorHAnsi" w:hAnsiTheme="minorHAnsi" w:cstheme="minorHAnsi"/>
          <w:sz w:val="24"/>
          <w:szCs w:val="24"/>
        </w:rPr>
        <w:t xml:space="preserve">MTurk; </w:t>
      </w:r>
      <w:r w:rsidRPr="00D32A78" w:rsidR="00D32A78">
        <w:rPr>
          <w:rFonts w:asciiTheme="minorHAnsi" w:hAnsiTheme="minorHAnsi" w:cstheme="minorHAnsi"/>
          <w:sz w:val="24"/>
          <w:szCs w:val="24"/>
        </w:rPr>
        <w:t>Berinsky</w:t>
      </w:r>
      <w:r w:rsidR="00D32A78">
        <w:rPr>
          <w:rFonts w:asciiTheme="minorHAnsi" w:hAnsiTheme="minorHAnsi" w:cstheme="minorHAnsi"/>
          <w:sz w:val="24"/>
          <w:szCs w:val="24"/>
        </w:rPr>
        <w:t xml:space="preserve"> et al., 2012</w:t>
      </w:r>
      <w:r w:rsidR="00BD760E">
        <w:rPr>
          <w:rFonts w:asciiTheme="minorHAnsi" w:hAnsiTheme="minorHAnsi" w:cstheme="minorHAnsi"/>
          <w:sz w:val="24"/>
          <w:szCs w:val="24"/>
        </w:rPr>
        <w:t>; Paolacci &amp; Chandler, 2014</w:t>
      </w:r>
      <w:r w:rsidR="004B761B">
        <w:rPr>
          <w:rFonts w:asciiTheme="minorHAnsi" w:hAnsiTheme="minorHAnsi" w:cstheme="minorHAnsi"/>
          <w:sz w:val="24"/>
          <w:szCs w:val="24"/>
        </w:rPr>
        <w:t>)</w:t>
      </w:r>
      <w:r w:rsidR="001E7163">
        <w:rPr>
          <w:rFonts w:asciiTheme="minorHAnsi" w:hAnsiTheme="minorHAnsi" w:cstheme="minorHAnsi"/>
          <w:sz w:val="24"/>
          <w:szCs w:val="24"/>
        </w:rPr>
        <w:t xml:space="preserve">. </w:t>
      </w:r>
      <w:r w:rsidR="00FC3B6B">
        <w:rPr>
          <w:rFonts w:asciiTheme="minorHAnsi" w:hAnsiTheme="minorHAnsi" w:cstheme="minorHAnsi"/>
          <w:sz w:val="24"/>
          <w:szCs w:val="24"/>
        </w:rPr>
        <w:t xml:space="preserve">MTurk is an online marketplace where individuals can sign up to participate in short online research tasks for nominal compensation. </w:t>
      </w:r>
    </w:p>
    <w:p w:rsidR="00D50353" w:rsidP="00A66734" w:rsidRDefault="00F95AA7" w14:paraId="61D10CE6" w14:textId="69BAEA26">
      <w:pPr>
        <w:pStyle w:val="BodyText"/>
        <w:rPr>
          <w:rFonts w:asciiTheme="minorHAnsi" w:hAnsiTheme="minorHAnsi" w:cstheme="minorHAnsi"/>
          <w:sz w:val="24"/>
          <w:szCs w:val="24"/>
        </w:rPr>
      </w:pPr>
      <w:r w:rsidRPr="00002417">
        <w:rPr>
          <w:rFonts w:asciiTheme="minorHAnsi" w:hAnsiTheme="minorHAnsi" w:cstheme="minorHAnsi"/>
          <w:sz w:val="24"/>
          <w:szCs w:val="24"/>
        </w:rPr>
        <w:t>The</w:t>
      </w:r>
      <w:r w:rsidR="00C36DFE">
        <w:rPr>
          <w:rFonts w:asciiTheme="minorHAnsi" w:hAnsiTheme="minorHAnsi" w:cstheme="minorHAnsi"/>
          <w:sz w:val="24"/>
          <w:szCs w:val="24"/>
        </w:rPr>
        <w:t xml:space="preserve"> </w:t>
      </w:r>
      <w:r w:rsidRPr="00002417">
        <w:rPr>
          <w:rFonts w:asciiTheme="minorHAnsi" w:hAnsiTheme="minorHAnsi" w:cstheme="minorHAnsi"/>
          <w:sz w:val="24"/>
          <w:szCs w:val="24"/>
        </w:rPr>
        <w:t>two research objectives will be investigated independently in this study</w:t>
      </w:r>
      <w:r w:rsidR="006E3A94">
        <w:rPr>
          <w:rFonts w:asciiTheme="minorHAnsi" w:hAnsiTheme="minorHAnsi" w:cstheme="minorHAnsi"/>
          <w:sz w:val="24"/>
          <w:szCs w:val="24"/>
        </w:rPr>
        <w:t xml:space="preserve"> using the same set of participants</w:t>
      </w:r>
      <w:r w:rsidRPr="00002417">
        <w:rPr>
          <w:rFonts w:asciiTheme="minorHAnsi" w:hAnsiTheme="minorHAnsi" w:cstheme="minorHAnsi"/>
          <w:sz w:val="24"/>
          <w:szCs w:val="24"/>
        </w:rPr>
        <w:t xml:space="preserve">. The survey items used to explore </w:t>
      </w:r>
      <w:r w:rsidR="00002417">
        <w:rPr>
          <w:rFonts w:asciiTheme="minorHAnsi" w:hAnsiTheme="minorHAnsi" w:cstheme="minorHAnsi"/>
          <w:sz w:val="24"/>
          <w:szCs w:val="24"/>
        </w:rPr>
        <w:t xml:space="preserve">the first </w:t>
      </w:r>
      <w:r w:rsidRPr="00002417">
        <w:rPr>
          <w:rFonts w:asciiTheme="minorHAnsi" w:hAnsiTheme="minorHAnsi" w:cstheme="minorHAnsi"/>
          <w:sz w:val="24"/>
          <w:szCs w:val="24"/>
        </w:rPr>
        <w:t xml:space="preserve">research objective will be distinct from those used to explore </w:t>
      </w:r>
      <w:r w:rsidR="00002417">
        <w:rPr>
          <w:rFonts w:asciiTheme="minorHAnsi" w:hAnsiTheme="minorHAnsi" w:cstheme="minorHAnsi"/>
          <w:sz w:val="24"/>
          <w:szCs w:val="24"/>
        </w:rPr>
        <w:t xml:space="preserve">the second </w:t>
      </w:r>
      <w:r w:rsidRPr="00002417">
        <w:rPr>
          <w:rFonts w:asciiTheme="minorHAnsi" w:hAnsiTheme="minorHAnsi" w:cstheme="minorHAnsi"/>
          <w:sz w:val="24"/>
          <w:szCs w:val="24"/>
        </w:rPr>
        <w:t xml:space="preserve">research </w:t>
      </w:r>
      <w:r w:rsidR="00002417">
        <w:rPr>
          <w:rFonts w:asciiTheme="minorHAnsi" w:hAnsiTheme="minorHAnsi" w:cstheme="minorHAnsi"/>
          <w:sz w:val="24"/>
          <w:szCs w:val="24"/>
        </w:rPr>
        <w:t>objective</w:t>
      </w:r>
      <w:r w:rsidRPr="00002417">
        <w:rPr>
          <w:rFonts w:asciiTheme="minorHAnsi" w:hAnsiTheme="minorHAnsi" w:cstheme="minorHAnsi"/>
          <w:sz w:val="24"/>
          <w:szCs w:val="24"/>
        </w:rPr>
        <w:t xml:space="preserve">. </w:t>
      </w:r>
      <w:r w:rsidR="00D50353">
        <w:rPr>
          <w:rFonts w:asciiTheme="minorHAnsi" w:hAnsiTheme="minorHAnsi" w:cstheme="minorHAnsi"/>
          <w:sz w:val="24"/>
          <w:szCs w:val="24"/>
        </w:rPr>
        <w:t>Below, we include a description of the items to be included in the survey instrument. The items were selected to represent questions common to the BLS household surveys of interest, including those from the CPS and CE. Because both of these surveys also ask for proxy response and include some household-level questions, participants will answer the questions on behalf of themselves and up to one additional household member</w:t>
      </w:r>
      <w:r w:rsidR="002005A9">
        <w:rPr>
          <w:rFonts w:asciiTheme="minorHAnsi" w:hAnsiTheme="minorHAnsi" w:cstheme="minorHAnsi"/>
          <w:sz w:val="24"/>
          <w:szCs w:val="24"/>
        </w:rPr>
        <w:t xml:space="preserve"> (a very similar protocol was used and received approval in </w:t>
      </w:r>
      <w:r w:rsidR="005C4F42">
        <w:rPr>
          <w:rFonts w:asciiTheme="minorHAnsi" w:hAnsiTheme="minorHAnsi" w:cstheme="minorHAnsi"/>
          <w:sz w:val="24"/>
          <w:szCs w:val="24"/>
        </w:rPr>
        <w:t xml:space="preserve">a </w:t>
      </w:r>
      <w:hyperlink w:history="1" r:id="rId9">
        <w:r w:rsidRPr="002005A9" w:rsidR="002005A9">
          <w:rPr>
            <w:rStyle w:val="Hyperlink"/>
            <w:rFonts w:asciiTheme="minorHAnsi" w:hAnsiTheme="minorHAnsi" w:cstheme="minorHAnsi"/>
            <w:sz w:val="24"/>
            <w:szCs w:val="24"/>
          </w:rPr>
          <w:t>Previous study</w:t>
        </w:r>
      </w:hyperlink>
      <w:r w:rsidR="002005A9">
        <w:rPr>
          <w:rFonts w:asciiTheme="minorHAnsi" w:hAnsiTheme="minorHAnsi" w:cstheme="minorHAnsi"/>
          <w:sz w:val="24"/>
          <w:szCs w:val="24"/>
        </w:rPr>
        <w:t xml:space="preserve"> examining proxy responses</w:t>
      </w:r>
      <w:r w:rsidR="005C4F42">
        <w:rPr>
          <w:rFonts w:asciiTheme="minorHAnsi" w:hAnsiTheme="minorHAnsi" w:cstheme="minorHAnsi"/>
          <w:sz w:val="24"/>
          <w:szCs w:val="24"/>
        </w:rPr>
        <w:t xml:space="preserve"> and a </w:t>
      </w:r>
      <w:hyperlink w:history="1" r:id="rId10">
        <w:r w:rsidRPr="005C4F42" w:rsidR="005C4F42">
          <w:rPr>
            <w:rStyle w:val="Hyperlink"/>
            <w:rFonts w:asciiTheme="minorHAnsi" w:hAnsiTheme="minorHAnsi" w:cstheme="minorHAnsi"/>
            <w:sz w:val="24"/>
            <w:szCs w:val="24"/>
          </w:rPr>
          <w:t>Respondent burden study</w:t>
        </w:r>
      </w:hyperlink>
      <w:r w:rsidR="005C4F42">
        <w:rPr>
          <w:rFonts w:asciiTheme="minorHAnsi" w:hAnsiTheme="minorHAnsi" w:cstheme="minorHAnsi"/>
          <w:sz w:val="24"/>
          <w:szCs w:val="24"/>
        </w:rPr>
        <w:t>)</w:t>
      </w:r>
      <w:r w:rsidR="002005A9">
        <w:rPr>
          <w:rFonts w:asciiTheme="minorHAnsi" w:hAnsiTheme="minorHAnsi" w:cstheme="minorHAnsi"/>
          <w:sz w:val="24"/>
          <w:szCs w:val="24"/>
        </w:rPr>
        <w:t xml:space="preserve">. </w:t>
      </w:r>
      <w:r w:rsidR="003411F1">
        <w:rPr>
          <w:rFonts w:asciiTheme="minorHAnsi" w:hAnsiTheme="minorHAnsi" w:cstheme="minorHAnsi"/>
          <w:sz w:val="24"/>
          <w:szCs w:val="24"/>
        </w:rPr>
        <w:t>Taken together, these questions are representative of the types of questions BLS respondents encounter in production surveys.</w:t>
      </w:r>
      <w:r w:rsidR="00E931E8">
        <w:rPr>
          <w:rFonts w:asciiTheme="minorHAnsi" w:hAnsiTheme="minorHAnsi" w:cstheme="minorHAnsi"/>
          <w:sz w:val="24"/>
          <w:szCs w:val="24"/>
        </w:rPr>
        <w:t xml:space="preserve"> A comprehensive list of all questions included in the instrument and their source can be found in Attachment B (survey instrument)</w:t>
      </w:r>
    </w:p>
    <w:p w:rsidR="00E931E8" w:rsidP="00A66734" w:rsidRDefault="00E931E8" w14:paraId="642BE026" w14:textId="77777777">
      <w:pPr>
        <w:pStyle w:val="BodyText"/>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425"/>
        <w:gridCol w:w="2340"/>
        <w:gridCol w:w="4585"/>
      </w:tblGrid>
      <w:tr w:rsidR="004368F3" w:rsidTr="003411F1" w14:paraId="5502F74F" w14:textId="77777777">
        <w:tc>
          <w:tcPr>
            <w:tcW w:w="2425" w:type="dxa"/>
          </w:tcPr>
          <w:p w:rsidRPr="009C59BF" w:rsidR="004368F3" w:rsidP="009C59BF" w:rsidRDefault="004368F3" w14:paraId="2B66B54E" w14:textId="6140E8AA">
            <w:pPr>
              <w:pStyle w:val="BodyText"/>
              <w:jc w:val="center"/>
              <w:rPr>
                <w:rFonts w:asciiTheme="minorHAnsi" w:hAnsiTheme="minorHAnsi" w:cstheme="minorHAnsi"/>
                <w:b/>
                <w:sz w:val="24"/>
                <w:szCs w:val="24"/>
              </w:rPr>
            </w:pPr>
            <w:r w:rsidRPr="009C59BF">
              <w:rPr>
                <w:rFonts w:asciiTheme="minorHAnsi" w:hAnsiTheme="minorHAnsi" w:cstheme="minorHAnsi"/>
                <w:b/>
                <w:sz w:val="24"/>
                <w:szCs w:val="24"/>
              </w:rPr>
              <w:lastRenderedPageBreak/>
              <w:t>Question type</w:t>
            </w:r>
          </w:p>
        </w:tc>
        <w:tc>
          <w:tcPr>
            <w:tcW w:w="2340" w:type="dxa"/>
          </w:tcPr>
          <w:p w:rsidRPr="009C59BF" w:rsidR="004368F3" w:rsidP="009C59BF" w:rsidRDefault="004368F3" w14:paraId="1E463CB7" w14:textId="0CDE71DD">
            <w:pPr>
              <w:pStyle w:val="BodyText"/>
              <w:jc w:val="center"/>
              <w:rPr>
                <w:rFonts w:asciiTheme="minorHAnsi" w:hAnsiTheme="minorHAnsi" w:cstheme="minorHAnsi"/>
                <w:b/>
                <w:sz w:val="24"/>
                <w:szCs w:val="24"/>
              </w:rPr>
            </w:pPr>
            <w:r w:rsidRPr="009C59BF">
              <w:rPr>
                <w:rFonts w:asciiTheme="minorHAnsi" w:hAnsiTheme="minorHAnsi" w:cstheme="minorHAnsi"/>
                <w:b/>
                <w:sz w:val="24"/>
                <w:szCs w:val="24"/>
              </w:rPr>
              <w:t>Examples</w:t>
            </w:r>
          </w:p>
        </w:tc>
        <w:tc>
          <w:tcPr>
            <w:tcW w:w="4585" w:type="dxa"/>
          </w:tcPr>
          <w:p w:rsidRPr="009C59BF" w:rsidR="004368F3" w:rsidP="009C59BF" w:rsidRDefault="004368F3" w14:paraId="079407FC" w14:textId="0A598177">
            <w:pPr>
              <w:pStyle w:val="BodyText"/>
              <w:jc w:val="center"/>
              <w:rPr>
                <w:rFonts w:asciiTheme="minorHAnsi" w:hAnsiTheme="minorHAnsi" w:cstheme="minorHAnsi"/>
                <w:b/>
                <w:sz w:val="24"/>
                <w:szCs w:val="24"/>
              </w:rPr>
            </w:pPr>
            <w:r w:rsidRPr="009C59BF">
              <w:rPr>
                <w:rFonts w:asciiTheme="minorHAnsi" w:hAnsiTheme="minorHAnsi" w:cstheme="minorHAnsi"/>
                <w:b/>
                <w:sz w:val="24"/>
                <w:szCs w:val="24"/>
              </w:rPr>
              <w:t>Justification</w:t>
            </w:r>
          </w:p>
        </w:tc>
      </w:tr>
      <w:tr w:rsidR="004368F3" w:rsidTr="003411F1" w14:paraId="5D86D192" w14:textId="77777777">
        <w:tc>
          <w:tcPr>
            <w:tcW w:w="2425" w:type="dxa"/>
          </w:tcPr>
          <w:p w:rsidR="004368F3" w:rsidP="00A66734" w:rsidRDefault="009C59BF" w14:paraId="6DD66458" w14:textId="49116819">
            <w:pPr>
              <w:pStyle w:val="BodyText"/>
              <w:rPr>
                <w:rFonts w:asciiTheme="minorHAnsi" w:hAnsiTheme="minorHAnsi" w:cstheme="minorHAnsi"/>
                <w:sz w:val="24"/>
                <w:szCs w:val="24"/>
              </w:rPr>
            </w:pPr>
            <w:r>
              <w:rPr>
                <w:rFonts w:asciiTheme="minorHAnsi" w:hAnsiTheme="minorHAnsi" w:cstheme="minorHAnsi"/>
                <w:sz w:val="24"/>
                <w:szCs w:val="24"/>
              </w:rPr>
              <w:t>Demographics</w:t>
            </w:r>
          </w:p>
        </w:tc>
        <w:tc>
          <w:tcPr>
            <w:tcW w:w="2340" w:type="dxa"/>
          </w:tcPr>
          <w:p w:rsidR="004368F3" w:rsidP="00A66734" w:rsidRDefault="009C59BF" w14:paraId="54D46B38" w14:textId="3756F4BE">
            <w:pPr>
              <w:pStyle w:val="BodyText"/>
              <w:rPr>
                <w:rFonts w:asciiTheme="minorHAnsi" w:hAnsiTheme="minorHAnsi" w:cstheme="minorHAnsi"/>
                <w:sz w:val="24"/>
                <w:szCs w:val="24"/>
              </w:rPr>
            </w:pPr>
            <w:r>
              <w:rPr>
                <w:rFonts w:asciiTheme="minorHAnsi" w:hAnsiTheme="minorHAnsi" w:cstheme="minorHAnsi"/>
                <w:sz w:val="24"/>
                <w:szCs w:val="24"/>
              </w:rPr>
              <w:t xml:space="preserve">Age, sex, education, race, ethnicity </w:t>
            </w:r>
          </w:p>
        </w:tc>
        <w:tc>
          <w:tcPr>
            <w:tcW w:w="4585" w:type="dxa"/>
          </w:tcPr>
          <w:p w:rsidR="004368F3" w:rsidP="00A66734" w:rsidRDefault="003411F1" w14:paraId="742228DE" w14:textId="52CC8034">
            <w:pPr>
              <w:pStyle w:val="BodyText"/>
              <w:rPr>
                <w:rFonts w:asciiTheme="minorHAnsi" w:hAnsiTheme="minorHAnsi" w:cstheme="minorHAnsi"/>
                <w:sz w:val="24"/>
                <w:szCs w:val="24"/>
              </w:rPr>
            </w:pPr>
            <w:r>
              <w:rPr>
                <w:rFonts w:asciiTheme="minorHAnsi" w:hAnsiTheme="minorHAnsi" w:cstheme="minorHAnsi"/>
                <w:sz w:val="24"/>
                <w:szCs w:val="24"/>
              </w:rPr>
              <w:t xml:space="preserve">Demographic questions are common to all </w:t>
            </w:r>
            <w:r w:rsidRPr="00B87D32" w:rsidR="00B87D32">
              <w:rPr>
                <w:rFonts w:asciiTheme="minorHAnsi" w:hAnsiTheme="minorHAnsi" w:cstheme="minorHAnsi"/>
                <w:sz w:val="24"/>
                <w:szCs w:val="24"/>
              </w:rPr>
              <w:t>household surveys, and yet how respondents report ‘don’t know’ and ‘prefer not to say’ responses to these items in an online, self-adm</w:t>
            </w:r>
            <w:r w:rsidR="00B87D32">
              <w:rPr>
                <w:rFonts w:asciiTheme="minorHAnsi" w:hAnsiTheme="minorHAnsi" w:cstheme="minorHAnsi"/>
                <w:sz w:val="24"/>
                <w:szCs w:val="24"/>
              </w:rPr>
              <w:t>inistered mode is still unknown</w:t>
            </w:r>
            <w:r w:rsidRPr="00B87D32" w:rsidR="00B87D32">
              <w:rPr>
                <w:rFonts w:asciiTheme="minorHAnsi" w:hAnsiTheme="minorHAnsi" w:cstheme="minorHAnsi"/>
                <w:sz w:val="24"/>
                <w:szCs w:val="24"/>
              </w:rPr>
              <w:t xml:space="preserve"> </w:t>
            </w:r>
            <w:r w:rsidR="00D04A3B">
              <w:rPr>
                <w:rFonts w:asciiTheme="minorHAnsi" w:hAnsiTheme="minorHAnsi" w:cstheme="minorHAnsi"/>
                <w:sz w:val="24"/>
                <w:szCs w:val="24"/>
              </w:rPr>
              <w:t>(per research question 1)</w:t>
            </w:r>
            <w:r>
              <w:rPr>
                <w:rFonts w:asciiTheme="minorHAnsi" w:hAnsiTheme="minorHAnsi" w:cstheme="minorHAnsi"/>
                <w:sz w:val="24"/>
                <w:szCs w:val="24"/>
              </w:rPr>
              <w:t xml:space="preserve">. Including demographic questions will </w:t>
            </w:r>
            <w:r w:rsidR="00B87D32">
              <w:rPr>
                <w:rFonts w:asciiTheme="minorHAnsi" w:hAnsiTheme="minorHAnsi" w:cstheme="minorHAnsi"/>
                <w:sz w:val="24"/>
                <w:szCs w:val="24"/>
              </w:rPr>
              <w:t xml:space="preserve">also </w:t>
            </w:r>
            <w:r>
              <w:rPr>
                <w:rFonts w:asciiTheme="minorHAnsi" w:hAnsiTheme="minorHAnsi" w:cstheme="minorHAnsi"/>
                <w:sz w:val="24"/>
                <w:szCs w:val="24"/>
              </w:rPr>
              <w:t>allow the researchers to understand who participated in the research.</w:t>
            </w:r>
          </w:p>
        </w:tc>
      </w:tr>
      <w:tr w:rsidR="004368F3" w:rsidTr="003411F1" w14:paraId="583AE353" w14:textId="77777777">
        <w:tc>
          <w:tcPr>
            <w:tcW w:w="2425" w:type="dxa"/>
          </w:tcPr>
          <w:p w:rsidR="004368F3" w:rsidP="00A66734" w:rsidRDefault="003411F1" w14:paraId="1822B0DF" w14:textId="5FA01F76">
            <w:pPr>
              <w:pStyle w:val="BodyText"/>
              <w:rPr>
                <w:rFonts w:asciiTheme="minorHAnsi" w:hAnsiTheme="minorHAnsi" w:cstheme="minorHAnsi"/>
                <w:sz w:val="24"/>
                <w:szCs w:val="24"/>
              </w:rPr>
            </w:pPr>
            <w:r>
              <w:rPr>
                <w:rFonts w:asciiTheme="minorHAnsi" w:hAnsiTheme="minorHAnsi" w:cstheme="minorHAnsi"/>
                <w:sz w:val="24"/>
                <w:szCs w:val="24"/>
              </w:rPr>
              <w:t>Labor force questions</w:t>
            </w:r>
          </w:p>
        </w:tc>
        <w:tc>
          <w:tcPr>
            <w:tcW w:w="2340" w:type="dxa"/>
          </w:tcPr>
          <w:p w:rsidR="004368F3" w:rsidP="00A66734" w:rsidRDefault="003411F1" w14:paraId="05E824E5" w14:textId="1CE3CF75">
            <w:pPr>
              <w:pStyle w:val="BodyText"/>
              <w:rPr>
                <w:rFonts w:asciiTheme="minorHAnsi" w:hAnsiTheme="minorHAnsi" w:cstheme="minorHAnsi"/>
                <w:sz w:val="24"/>
                <w:szCs w:val="24"/>
              </w:rPr>
            </w:pPr>
            <w:r>
              <w:rPr>
                <w:rFonts w:asciiTheme="minorHAnsi" w:hAnsiTheme="minorHAnsi" w:cstheme="minorHAnsi"/>
                <w:sz w:val="24"/>
                <w:szCs w:val="24"/>
              </w:rPr>
              <w:t>Whether participants are currently working, looking for work, and what they have done to find work.</w:t>
            </w:r>
          </w:p>
        </w:tc>
        <w:tc>
          <w:tcPr>
            <w:tcW w:w="4585" w:type="dxa"/>
          </w:tcPr>
          <w:p w:rsidR="004368F3" w:rsidP="000C06A8" w:rsidRDefault="00A82930" w14:paraId="35DC1C6A" w14:textId="3C72FFEF">
            <w:pPr>
              <w:pStyle w:val="BodyText"/>
              <w:rPr>
                <w:rFonts w:asciiTheme="minorHAnsi" w:hAnsiTheme="minorHAnsi" w:cstheme="minorHAnsi"/>
                <w:sz w:val="24"/>
                <w:szCs w:val="24"/>
              </w:rPr>
            </w:pPr>
            <w:r>
              <w:rPr>
                <w:rFonts w:asciiTheme="minorHAnsi" w:hAnsiTheme="minorHAnsi" w:cstheme="minorHAnsi"/>
                <w:sz w:val="24"/>
                <w:szCs w:val="24"/>
              </w:rPr>
              <w:t>Developing ways to ask respondents about labor force participation in a self-administered mode is critical to evaluate as the CPS looks toward moving to a mixed-mode survey. Of key importance is getting respondents to correctly categorize themselves and/or other household members as in or out of the labor force, as well as acti</w:t>
            </w:r>
            <w:r w:rsidR="003F764D">
              <w:rPr>
                <w:rFonts w:asciiTheme="minorHAnsi" w:hAnsiTheme="minorHAnsi" w:cstheme="minorHAnsi"/>
                <w:sz w:val="24"/>
                <w:szCs w:val="24"/>
              </w:rPr>
              <w:t xml:space="preserve">vely or passively seeking work (per research question 2). </w:t>
            </w:r>
          </w:p>
        </w:tc>
      </w:tr>
      <w:tr w:rsidR="004368F3" w:rsidTr="003411F1" w14:paraId="2F6F70A3" w14:textId="77777777">
        <w:tc>
          <w:tcPr>
            <w:tcW w:w="2425" w:type="dxa"/>
          </w:tcPr>
          <w:p w:rsidR="004368F3" w:rsidP="00CB3075" w:rsidRDefault="001C3D03" w14:paraId="662FD8AB" w14:textId="15C8BE92">
            <w:pPr>
              <w:pStyle w:val="BodyText"/>
              <w:rPr>
                <w:rFonts w:asciiTheme="minorHAnsi" w:hAnsiTheme="minorHAnsi" w:cstheme="minorHAnsi"/>
                <w:sz w:val="24"/>
                <w:szCs w:val="24"/>
              </w:rPr>
            </w:pPr>
            <w:r>
              <w:rPr>
                <w:rFonts w:asciiTheme="minorHAnsi" w:hAnsiTheme="minorHAnsi" w:cstheme="minorHAnsi"/>
                <w:sz w:val="24"/>
                <w:szCs w:val="24"/>
              </w:rPr>
              <w:t xml:space="preserve">Items likely to have higher levels of </w:t>
            </w:r>
            <w:r w:rsidR="00E1096E">
              <w:rPr>
                <w:rFonts w:asciiTheme="minorHAnsi" w:hAnsiTheme="minorHAnsi" w:cstheme="minorHAnsi"/>
                <w:sz w:val="24"/>
                <w:szCs w:val="24"/>
              </w:rPr>
              <w:t xml:space="preserve">item nonresponse, indicative of potential question sensitivity </w:t>
            </w:r>
          </w:p>
        </w:tc>
        <w:tc>
          <w:tcPr>
            <w:tcW w:w="2340" w:type="dxa"/>
          </w:tcPr>
          <w:p w:rsidR="004368F3" w:rsidP="00A66734" w:rsidRDefault="001C3D03" w14:paraId="5497F914" w14:textId="3B103FE5">
            <w:pPr>
              <w:pStyle w:val="BodyText"/>
              <w:rPr>
                <w:rFonts w:asciiTheme="minorHAnsi" w:hAnsiTheme="minorHAnsi" w:cstheme="minorHAnsi"/>
                <w:sz w:val="24"/>
                <w:szCs w:val="24"/>
              </w:rPr>
            </w:pPr>
            <w:r>
              <w:rPr>
                <w:rFonts w:asciiTheme="minorHAnsi" w:hAnsiTheme="minorHAnsi" w:cstheme="minorHAnsi"/>
                <w:sz w:val="24"/>
                <w:szCs w:val="24"/>
              </w:rPr>
              <w:t>Income, disability status</w:t>
            </w:r>
            <w:r w:rsidR="00CB3075">
              <w:rPr>
                <w:rFonts w:asciiTheme="minorHAnsi" w:hAnsiTheme="minorHAnsi" w:cstheme="minorHAnsi"/>
                <w:sz w:val="24"/>
                <w:szCs w:val="24"/>
              </w:rPr>
              <w:t xml:space="preserve"> (CPS); </w:t>
            </w:r>
            <w:r>
              <w:rPr>
                <w:rFonts w:asciiTheme="minorHAnsi" w:hAnsiTheme="minorHAnsi" w:cstheme="minorHAnsi"/>
                <w:sz w:val="24"/>
                <w:szCs w:val="24"/>
              </w:rPr>
              <w:t>charitable contributions, alcohol expenditures</w:t>
            </w:r>
            <w:r w:rsidR="00CB3075">
              <w:rPr>
                <w:rFonts w:asciiTheme="minorHAnsi" w:hAnsiTheme="minorHAnsi" w:cstheme="minorHAnsi"/>
                <w:sz w:val="24"/>
                <w:szCs w:val="24"/>
              </w:rPr>
              <w:t xml:space="preserve"> (CE)</w:t>
            </w:r>
          </w:p>
        </w:tc>
        <w:tc>
          <w:tcPr>
            <w:tcW w:w="4585" w:type="dxa"/>
          </w:tcPr>
          <w:p w:rsidR="004368F3" w:rsidP="00493913" w:rsidRDefault="00A64E0C" w14:paraId="653B4FC0" w14:textId="5354BC7F">
            <w:pPr>
              <w:pStyle w:val="BodyText"/>
              <w:rPr>
                <w:rFonts w:asciiTheme="minorHAnsi" w:hAnsiTheme="minorHAnsi" w:cstheme="minorHAnsi"/>
                <w:sz w:val="24"/>
                <w:szCs w:val="24"/>
              </w:rPr>
            </w:pPr>
            <w:r>
              <w:rPr>
                <w:rFonts w:asciiTheme="minorHAnsi" w:hAnsiTheme="minorHAnsi" w:cstheme="minorHAnsi"/>
                <w:sz w:val="24"/>
                <w:szCs w:val="24"/>
              </w:rPr>
              <w:t xml:space="preserve">Previous research has indicated that sensitive items </w:t>
            </w:r>
            <w:r w:rsidR="00CB3075">
              <w:rPr>
                <w:rFonts w:asciiTheme="minorHAnsi" w:hAnsiTheme="minorHAnsi" w:cstheme="minorHAnsi"/>
                <w:sz w:val="24"/>
                <w:szCs w:val="24"/>
              </w:rPr>
              <w:t xml:space="preserve">respondents encounter in BLS surveys </w:t>
            </w:r>
            <w:r>
              <w:rPr>
                <w:rFonts w:asciiTheme="minorHAnsi" w:hAnsiTheme="minorHAnsi" w:cstheme="minorHAnsi"/>
                <w:sz w:val="24"/>
                <w:szCs w:val="24"/>
              </w:rPr>
              <w:t>(e.g., income) may have higher lev</w:t>
            </w:r>
            <w:r w:rsidR="00CB3075">
              <w:rPr>
                <w:rFonts w:asciiTheme="minorHAnsi" w:hAnsiTheme="minorHAnsi" w:cstheme="minorHAnsi"/>
                <w:sz w:val="24"/>
                <w:szCs w:val="24"/>
              </w:rPr>
              <w:t>els of item nonresponse</w:t>
            </w:r>
            <w:r w:rsidR="00E931E8">
              <w:rPr>
                <w:rFonts w:asciiTheme="minorHAnsi" w:hAnsiTheme="minorHAnsi" w:cstheme="minorHAnsi"/>
                <w:sz w:val="24"/>
                <w:szCs w:val="24"/>
              </w:rPr>
              <w:t xml:space="preserve"> due to sensitivity</w:t>
            </w:r>
            <w:r w:rsidR="00CB3075">
              <w:rPr>
                <w:rFonts w:asciiTheme="minorHAnsi" w:hAnsiTheme="minorHAnsi" w:cstheme="minorHAnsi"/>
                <w:sz w:val="24"/>
                <w:szCs w:val="24"/>
              </w:rPr>
              <w:t>. Thus, it is important to include these items to assess differences in item nonresponse between these items and the more basic demographic items in an online format</w:t>
            </w:r>
            <w:r w:rsidR="00B642C7">
              <w:rPr>
                <w:rFonts w:asciiTheme="minorHAnsi" w:hAnsiTheme="minorHAnsi" w:cstheme="minorHAnsi"/>
                <w:sz w:val="24"/>
                <w:szCs w:val="24"/>
              </w:rPr>
              <w:t xml:space="preserve"> and to fully represent the </w:t>
            </w:r>
            <w:r w:rsidR="00493913">
              <w:rPr>
                <w:rFonts w:asciiTheme="minorHAnsi" w:hAnsiTheme="minorHAnsi" w:cstheme="minorHAnsi"/>
                <w:sz w:val="24"/>
                <w:szCs w:val="24"/>
              </w:rPr>
              <w:t>range</w:t>
            </w:r>
            <w:r w:rsidR="00B642C7">
              <w:rPr>
                <w:rFonts w:asciiTheme="minorHAnsi" w:hAnsiTheme="minorHAnsi" w:cstheme="minorHAnsi"/>
                <w:sz w:val="24"/>
                <w:szCs w:val="24"/>
              </w:rPr>
              <w:t xml:space="preserve"> of questions respondents are like</w:t>
            </w:r>
            <w:r w:rsidR="00493913">
              <w:rPr>
                <w:rFonts w:asciiTheme="minorHAnsi" w:hAnsiTheme="minorHAnsi" w:cstheme="minorHAnsi"/>
                <w:sz w:val="24"/>
                <w:szCs w:val="24"/>
              </w:rPr>
              <w:t xml:space="preserve">ly to encounter in BLS surveys. </w:t>
            </w:r>
            <w:r w:rsidR="00B87D32">
              <w:rPr>
                <w:rFonts w:asciiTheme="minorHAnsi" w:hAnsiTheme="minorHAnsi" w:cstheme="minorHAnsi"/>
                <w:sz w:val="24"/>
                <w:szCs w:val="24"/>
              </w:rPr>
              <w:t>T</w:t>
            </w:r>
            <w:r w:rsidRPr="00B87D32" w:rsidR="00B87D32">
              <w:rPr>
                <w:rFonts w:asciiTheme="minorHAnsi" w:hAnsiTheme="minorHAnsi" w:cstheme="minorHAnsi"/>
                <w:sz w:val="24"/>
                <w:szCs w:val="24"/>
              </w:rPr>
              <w:t xml:space="preserve">hese items </w:t>
            </w:r>
            <w:r w:rsidR="00B87D32">
              <w:rPr>
                <w:rFonts w:asciiTheme="minorHAnsi" w:hAnsiTheme="minorHAnsi" w:cstheme="minorHAnsi"/>
                <w:sz w:val="24"/>
                <w:szCs w:val="24"/>
              </w:rPr>
              <w:t xml:space="preserve">also </w:t>
            </w:r>
            <w:r w:rsidRPr="00B87D32" w:rsidR="00B87D32">
              <w:rPr>
                <w:rFonts w:asciiTheme="minorHAnsi" w:hAnsiTheme="minorHAnsi" w:cstheme="minorHAnsi"/>
                <w:sz w:val="24"/>
                <w:szCs w:val="24"/>
              </w:rPr>
              <w:t>provide valuable opportunities to understand why</w:t>
            </w:r>
            <w:r w:rsidR="00B87D32">
              <w:rPr>
                <w:rFonts w:asciiTheme="minorHAnsi" w:hAnsiTheme="minorHAnsi" w:cstheme="minorHAnsi"/>
                <w:sz w:val="24"/>
                <w:szCs w:val="24"/>
              </w:rPr>
              <w:t xml:space="preserve"> participants respond DK or Prefer not to say</w:t>
            </w:r>
            <w:r w:rsidR="00A27B6F">
              <w:rPr>
                <w:rFonts w:asciiTheme="minorHAnsi" w:hAnsiTheme="minorHAnsi" w:cstheme="minorHAnsi"/>
                <w:sz w:val="24"/>
                <w:szCs w:val="24"/>
              </w:rPr>
              <w:t xml:space="preserve"> (per research question 1)</w:t>
            </w:r>
            <w:r w:rsidRPr="00B87D32" w:rsidR="00B87D32">
              <w:rPr>
                <w:rFonts w:asciiTheme="minorHAnsi" w:hAnsiTheme="minorHAnsi" w:cstheme="minorHAnsi"/>
                <w:sz w:val="24"/>
                <w:szCs w:val="24"/>
              </w:rPr>
              <w:t xml:space="preserve">. </w:t>
            </w:r>
          </w:p>
        </w:tc>
      </w:tr>
      <w:tr w:rsidR="00CB3075" w:rsidTr="003411F1" w14:paraId="64AF7C6C" w14:textId="77777777">
        <w:tc>
          <w:tcPr>
            <w:tcW w:w="2425" w:type="dxa"/>
          </w:tcPr>
          <w:p w:rsidR="00CB3075" w:rsidP="00CB3075" w:rsidRDefault="00CB3075" w14:paraId="444494A8" w14:textId="527B0AD0">
            <w:pPr>
              <w:pStyle w:val="BodyText"/>
              <w:rPr>
                <w:rFonts w:asciiTheme="minorHAnsi" w:hAnsiTheme="minorHAnsi" w:cstheme="minorHAnsi"/>
                <w:sz w:val="24"/>
                <w:szCs w:val="24"/>
              </w:rPr>
            </w:pPr>
            <w:r>
              <w:rPr>
                <w:rFonts w:asciiTheme="minorHAnsi" w:hAnsiTheme="minorHAnsi" w:cstheme="minorHAnsi"/>
                <w:sz w:val="24"/>
                <w:szCs w:val="24"/>
              </w:rPr>
              <w:t>Items likely to have higher levels of ‘don’t know’ responses</w:t>
            </w:r>
            <w:r w:rsidR="00E1096E">
              <w:rPr>
                <w:rFonts w:asciiTheme="minorHAnsi" w:hAnsiTheme="minorHAnsi" w:cstheme="minorHAnsi"/>
                <w:sz w:val="24"/>
                <w:szCs w:val="24"/>
              </w:rPr>
              <w:t>, indicative of knowledge issues or difficulty forming a response</w:t>
            </w:r>
          </w:p>
        </w:tc>
        <w:tc>
          <w:tcPr>
            <w:tcW w:w="2340" w:type="dxa"/>
          </w:tcPr>
          <w:p w:rsidR="00CB3075" w:rsidP="00A66734" w:rsidRDefault="00CB3075" w14:paraId="1607D4D7" w14:textId="08DB469F">
            <w:pPr>
              <w:pStyle w:val="BodyText"/>
              <w:rPr>
                <w:rFonts w:asciiTheme="minorHAnsi" w:hAnsiTheme="minorHAnsi" w:cstheme="minorHAnsi"/>
                <w:sz w:val="24"/>
                <w:szCs w:val="24"/>
              </w:rPr>
            </w:pPr>
            <w:r>
              <w:rPr>
                <w:rFonts w:asciiTheme="minorHAnsi" w:hAnsiTheme="minorHAnsi" w:cstheme="minorHAnsi"/>
                <w:sz w:val="24"/>
                <w:szCs w:val="24"/>
              </w:rPr>
              <w:t>Household level questions, proxy items</w:t>
            </w:r>
          </w:p>
        </w:tc>
        <w:tc>
          <w:tcPr>
            <w:tcW w:w="4585" w:type="dxa"/>
          </w:tcPr>
          <w:p w:rsidR="00CB3075" w:rsidP="00BE686C" w:rsidRDefault="00D064C4" w14:paraId="457CED7C" w14:textId="7F214CA9">
            <w:pPr>
              <w:pStyle w:val="BodyText"/>
              <w:rPr>
                <w:rFonts w:asciiTheme="minorHAnsi" w:hAnsiTheme="minorHAnsi" w:cstheme="minorHAnsi"/>
                <w:sz w:val="24"/>
                <w:szCs w:val="24"/>
              </w:rPr>
            </w:pPr>
            <w:r>
              <w:rPr>
                <w:rFonts w:asciiTheme="minorHAnsi" w:hAnsiTheme="minorHAnsi" w:cstheme="minorHAnsi"/>
                <w:sz w:val="24"/>
                <w:szCs w:val="24"/>
              </w:rPr>
              <w:t xml:space="preserve">The CPS and CE both have proxy responses where one household member answers on behalf of others in the household. </w:t>
            </w:r>
            <w:r w:rsidR="00A978E4">
              <w:rPr>
                <w:rFonts w:asciiTheme="minorHAnsi" w:hAnsiTheme="minorHAnsi" w:cstheme="minorHAnsi"/>
                <w:sz w:val="24"/>
                <w:szCs w:val="24"/>
              </w:rPr>
              <w:t xml:space="preserve">Previous research indicates that questions about other household members may pose unique </w:t>
            </w:r>
            <w:r w:rsidR="00E931E8">
              <w:rPr>
                <w:rFonts w:asciiTheme="minorHAnsi" w:hAnsiTheme="minorHAnsi" w:cstheme="minorHAnsi"/>
                <w:sz w:val="24"/>
                <w:szCs w:val="24"/>
              </w:rPr>
              <w:t>difficulty. R</w:t>
            </w:r>
            <w:r w:rsidR="00A978E4">
              <w:rPr>
                <w:rFonts w:asciiTheme="minorHAnsi" w:hAnsiTheme="minorHAnsi" w:cstheme="minorHAnsi"/>
                <w:sz w:val="24"/>
                <w:szCs w:val="24"/>
              </w:rPr>
              <w:t xml:space="preserve">espondents may not remember or have the knowledge to respond on another household member’s behalf, in particular if they are not closely related. This can lead to increased levels of </w:t>
            </w:r>
            <w:r w:rsidR="00BE686C">
              <w:rPr>
                <w:rFonts w:asciiTheme="minorHAnsi" w:hAnsiTheme="minorHAnsi" w:cstheme="minorHAnsi"/>
                <w:sz w:val="24"/>
                <w:szCs w:val="24"/>
              </w:rPr>
              <w:t xml:space="preserve">valid </w:t>
            </w:r>
            <w:r w:rsidR="00A978E4">
              <w:rPr>
                <w:rFonts w:asciiTheme="minorHAnsi" w:hAnsiTheme="minorHAnsi" w:cstheme="minorHAnsi"/>
                <w:sz w:val="24"/>
                <w:szCs w:val="24"/>
              </w:rPr>
              <w:t xml:space="preserve">‘don’t </w:t>
            </w:r>
            <w:r w:rsidR="00A978E4">
              <w:rPr>
                <w:rFonts w:asciiTheme="minorHAnsi" w:hAnsiTheme="minorHAnsi" w:cstheme="minorHAnsi"/>
                <w:sz w:val="24"/>
                <w:szCs w:val="24"/>
              </w:rPr>
              <w:lastRenderedPageBreak/>
              <w:t>know’ responses. By including proxy questions and collecting relationship between the respondent and household member, we can assess level of don’t know responses across these questions and also by relationship type</w:t>
            </w:r>
            <w:r w:rsidR="00A27B6F">
              <w:rPr>
                <w:rFonts w:asciiTheme="minorHAnsi" w:hAnsiTheme="minorHAnsi" w:cstheme="minorHAnsi"/>
                <w:sz w:val="24"/>
                <w:szCs w:val="24"/>
              </w:rPr>
              <w:t xml:space="preserve"> (per research question 1)</w:t>
            </w:r>
            <w:r w:rsidR="00A978E4">
              <w:rPr>
                <w:rFonts w:asciiTheme="minorHAnsi" w:hAnsiTheme="minorHAnsi" w:cstheme="minorHAnsi"/>
                <w:sz w:val="24"/>
                <w:szCs w:val="24"/>
              </w:rPr>
              <w:t xml:space="preserve">. </w:t>
            </w:r>
          </w:p>
        </w:tc>
      </w:tr>
    </w:tbl>
    <w:p w:rsidR="002A3A82" w:rsidP="00A66734" w:rsidRDefault="002A3A82" w14:paraId="3A907380" w14:textId="77777777">
      <w:pPr>
        <w:pStyle w:val="BodyText"/>
        <w:rPr>
          <w:rFonts w:asciiTheme="minorHAnsi" w:hAnsiTheme="minorHAnsi" w:cstheme="minorHAnsi"/>
          <w:b/>
          <w:sz w:val="24"/>
          <w:szCs w:val="24"/>
        </w:rPr>
      </w:pPr>
    </w:p>
    <w:p w:rsidR="00E415D8" w:rsidP="00A66734" w:rsidRDefault="00E415D8" w14:paraId="7CE57587" w14:textId="3E51035F">
      <w:pPr>
        <w:pStyle w:val="BodyText"/>
        <w:rPr>
          <w:rFonts w:asciiTheme="minorHAnsi" w:hAnsiTheme="minorHAnsi" w:cstheme="minorHAnsi"/>
          <w:b/>
          <w:sz w:val="24"/>
          <w:szCs w:val="24"/>
        </w:rPr>
      </w:pPr>
      <w:r>
        <w:rPr>
          <w:rFonts w:asciiTheme="minorHAnsi" w:hAnsiTheme="minorHAnsi" w:cstheme="minorHAnsi"/>
          <w:b/>
          <w:sz w:val="24"/>
          <w:szCs w:val="24"/>
        </w:rPr>
        <w:t xml:space="preserve">Research objective 1: </w:t>
      </w:r>
      <w:r w:rsidRPr="00C665F9" w:rsidR="00C665F9">
        <w:rPr>
          <w:rFonts w:asciiTheme="minorHAnsi" w:hAnsiTheme="minorHAnsi" w:cstheme="minorHAnsi"/>
          <w:b/>
          <w:sz w:val="24"/>
          <w:szCs w:val="24"/>
        </w:rPr>
        <w:t xml:space="preserve"> </w:t>
      </w:r>
      <w:r w:rsidRPr="003A2EE0" w:rsidR="00C665F9">
        <w:rPr>
          <w:rFonts w:asciiTheme="minorHAnsi" w:hAnsiTheme="minorHAnsi" w:cstheme="minorHAnsi"/>
          <w:b/>
          <w:sz w:val="24"/>
          <w:szCs w:val="24"/>
        </w:rPr>
        <w:t xml:space="preserve">How to </w:t>
      </w:r>
      <w:r w:rsidR="00C665F9">
        <w:rPr>
          <w:rFonts w:asciiTheme="minorHAnsi" w:hAnsiTheme="minorHAnsi" w:cstheme="minorHAnsi"/>
          <w:b/>
          <w:sz w:val="24"/>
          <w:szCs w:val="24"/>
        </w:rPr>
        <w:t xml:space="preserve">reduce item non-response when offering </w:t>
      </w:r>
      <w:r w:rsidR="00090058">
        <w:rPr>
          <w:rFonts w:asciiTheme="minorHAnsi" w:hAnsiTheme="minorHAnsi" w:cstheme="minorHAnsi"/>
          <w:b/>
          <w:sz w:val="24"/>
          <w:szCs w:val="24"/>
        </w:rPr>
        <w:t>‘</w:t>
      </w:r>
      <w:r w:rsidRPr="003A2EE0" w:rsidR="00C665F9">
        <w:rPr>
          <w:rFonts w:asciiTheme="minorHAnsi" w:hAnsiTheme="minorHAnsi" w:cstheme="minorHAnsi"/>
          <w:b/>
          <w:sz w:val="24"/>
          <w:szCs w:val="24"/>
        </w:rPr>
        <w:t>don’t know</w:t>
      </w:r>
      <w:r w:rsidR="00090058">
        <w:rPr>
          <w:rFonts w:asciiTheme="minorHAnsi" w:hAnsiTheme="minorHAnsi" w:cstheme="minorHAnsi"/>
          <w:b/>
          <w:sz w:val="24"/>
          <w:szCs w:val="24"/>
        </w:rPr>
        <w:t>’</w:t>
      </w:r>
      <w:r w:rsidRPr="003A2EE0" w:rsidR="00C665F9">
        <w:rPr>
          <w:rFonts w:asciiTheme="minorHAnsi" w:hAnsiTheme="minorHAnsi" w:cstheme="minorHAnsi"/>
          <w:b/>
          <w:sz w:val="24"/>
          <w:szCs w:val="24"/>
        </w:rPr>
        <w:t xml:space="preserve"> or </w:t>
      </w:r>
      <w:r w:rsidR="00090058">
        <w:rPr>
          <w:rFonts w:asciiTheme="minorHAnsi" w:hAnsiTheme="minorHAnsi" w:cstheme="minorHAnsi"/>
          <w:b/>
          <w:sz w:val="24"/>
          <w:szCs w:val="24"/>
        </w:rPr>
        <w:t>‘</w:t>
      </w:r>
      <w:r w:rsidRPr="003A2EE0" w:rsidR="00C665F9">
        <w:rPr>
          <w:rFonts w:asciiTheme="minorHAnsi" w:hAnsiTheme="minorHAnsi" w:cstheme="minorHAnsi"/>
          <w:b/>
          <w:sz w:val="24"/>
          <w:szCs w:val="24"/>
        </w:rPr>
        <w:t xml:space="preserve">prefer not to </w:t>
      </w:r>
      <w:r w:rsidR="00C665F9">
        <w:rPr>
          <w:rFonts w:asciiTheme="minorHAnsi" w:hAnsiTheme="minorHAnsi" w:cstheme="minorHAnsi"/>
          <w:b/>
          <w:sz w:val="24"/>
          <w:szCs w:val="24"/>
        </w:rPr>
        <w:t>say</w:t>
      </w:r>
      <w:r w:rsidR="00090058">
        <w:rPr>
          <w:rFonts w:asciiTheme="minorHAnsi" w:hAnsiTheme="minorHAnsi" w:cstheme="minorHAnsi"/>
          <w:b/>
          <w:sz w:val="24"/>
          <w:szCs w:val="24"/>
        </w:rPr>
        <w:t>’</w:t>
      </w:r>
      <w:r w:rsidR="00C665F9">
        <w:rPr>
          <w:rFonts w:asciiTheme="minorHAnsi" w:hAnsiTheme="minorHAnsi" w:cstheme="minorHAnsi"/>
          <w:b/>
          <w:sz w:val="24"/>
          <w:szCs w:val="24"/>
        </w:rPr>
        <w:t xml:space="preserve"> response options in self-administered online surveys</w:t>
      </w:r>
    </w:p>
    <w:p w:rsidR="00C36DFE" w:rsidP="00A66734" w:rsidRDefault="00C36DFE" w14:paraId="48F5FA92" w14:textId="77777777">
      <w:pPr>
        <w:pStyle w:val="BodyText"/>
        <w:rPr>
          <w:rFonts w:asciiTheme="minorHAnsi" w:hAnsiTheme="minorHAnsi" w:cstheme="minorHAnsi"/>
          <w:b/>
          <w:sz w:val="24"/>
          <w:szCs w:val="24"/>
        </w:rPr>
      </w:pPr>
    </w:p>
    <w:p w:rsidR="00002417" w:rsidP="00002417" w:rsidRDefault="008C3480" w14:paraId="5D3BE835" w14:textId="75D6CADA">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In </w:t>
      </w:r>
      <w:r w:rsidR="00BC3881">
        <w:rPr>
          <w:rFonts w:asciiTheme="minorHAnsi" w:hAnsiTheme="minorHAnsi" w:cstheme="minorHAnsi"/>
          <w:sz w:val="24"/>
          <w:szCs w:val="24"/>
        </w:rPr>
        <w:t xml:space="preserve">some </w:t>
      </w:r>
      <w:r w:rsidR="00BF5CBD">
        <w:rPr>
          <w:rFonts w:asciiTheme="minorHAnsi" w:hAnsiTheme="minorHAnsi" w:cstheme="minorHAnsi"/>
          <w:sz w:val="24"/>
          <w:szCs w:val="24"/>
        </w:rPr>
        <w:t>online</w:t>
      </w:r>
      <w:r>
        <w:rPr>
          <w:rFonts w:asciiTheme="minorHAnsi" w:hAnsiTheme="minorHAnsi" w:cstheme="minorHAnsi"/>
          <w:sz w:val="24"/>
          <w:szCs w:val="24"/>
        </w:rPr>
        <w:t xml:space="preserve"> surveys, </w:t>
      </w:r>
      <w:r w:rsidR="00C12E45">
        <w:rPr>
          <w:rFonts w:asciiTheme="minorHAnsi" w:hAnsiTheme="minorHAnsi" w:cstheme="minorHAnsi"/>
          <w:sz w:val="24"/>
          <w:szCs w:val="24"/>
        </w:rPr>
        <w:t xml:space="preserve">item non-response </w:t>
      </w:r>
      <w:r>
        <w:rPr>
          <w:rFonts w:asciiTheme="minorHAnsi" w:hAnsiTheme="minorHAnsi" w:cstheme="minorHAnsi"/>
          <w:sz w:val="24"/>
          <w:szCs w:val="24"/>
        </w:rPr>
        <w:t xml:space="preserve">rates </w:t>
      </w:r>
      <w:r w:rsidR="00BC3881">
        <w:rPr>
          <w:rFonts w:asciiTheme="minorHAnsi" w:hAnsiTheme="minorHAnsi" w:cstheme="minorHAnsi"/>
          <w:sz w:val="24"/>
          <w:szCs w:val="24"/>
        </w:rPr>
        <w:t xml:space="preserve">can be lower than in </w:t>
      </w:r>
      <w:r w:rsidR="008F7B5D">
        <w:rPr>
          <w:rFonts w:asciiTheme="minorHAnsi" w:hAnsiTheme="minorHAnsi" w:cstheme="minorHAnsi"/>
          <w:sz w:val="24"/>
          <w:szCs w:val="24"/>
        </w:rPr>
        <w:t>interviewer-administered modes.</w:t>
      </w:r>
      <w:r w:rsidR="00BC3881">
        <w:rPr>
          <w:rFonts w:asciiTheme="minorHAnsi" w:hAnsiTheme="minorHAnsi" w:cstheme="minorHAnsi"/>
          <w:sz w:val="24"/>
          <w:szCs w:val="24"/>
        </w:rPr>
        <w:t xml:space="preserve"> This may occur for a number of reasons, including online surveys being self-administered and anonymous, conditions that minimize social desirable responding (Kreuter et al., 2008). Further, </w:t>
      </w:r>
      <w:r w:rsidR="003D42C1">
        <w:rPr>
          <w:rFonts w:asciiTheme="minorHAnsi" w:hAnsiTheme="minorHAnsi" w:cstheme="minorHAnsi"/>
          <w:sz w:val="24"/>
          <w:szCs w:val="24"/>
        </w:rPr>
        <w:t xml:space="preserve">some </w:t>
      </w:r>
      <w:r w:rsidR="00BC3881">
        <w:rPr>
          <w:rFonts w:asciiTheme="minorHAnsi" w:hAnsiTheme="minorHAnsi" w:cstheme="minorHAnsi"/>
          <w:sz w:val="24"/>
          <w:szCs w:val="24"/>
        </w:rPr>
        <w:t xml:space="preserve">online respondents may be </w:t>
      </w:r>
      <w:r w:rsidR="00893AE3">
        <w:rPr>
          <w:rFonts w:asciiTheme="minorHAnsi" w:hAnsiTheme="minorHAnsi" w:cstheme="minorHAnsi"/>
          <w:sz w:val="24"/>
          <w:szCs w:val="24"/>
        </w:rPr>
        <w:t>more cooperative since they are</w:t>
      </w:r>
      <w:r w:rsidR="00BC3881">
        <w:rPr>
          <w:rFonts w:asciiTheme="minorHAnsi" w:hAnsiTheme="minorHAnsi" w:cstheme="minorHAnsi"/>
          <w:sz w:val="24"/>
          <w:szCs w:val="24"/>
        </w:rPr>
        <w:t xml:space="preserve"> volunteers receiving small incentives (e.g., Behr et al., 2017; Stewart et al., 2017)</w:t>
      </w:r>
      <w:r>
        <w:rPr>
          <w:rFonts w:asciiTheme="minorHAnsi" w:hAnsiTheme="minorHAnsi" w:cstheme="minorHAnsi"/>
          <w:sz w:val="24"/>
          <w:szCs w:val="24"/>
        </w:rPr>
        <w:t xml:space="preserve">. </w:t>
      </w:r>
      <w:r w:rsidR="003D42C1">
        <w:rPr>
          <w:rFonts w:asciiTheme="minorHAnsi" w:hAnsiTheme="minorHAnsi" w:cstheme="minorHAnsi"/>
          <w:sz w:val="24"/>
          <w:szCs w:val="24"/>
        </w:rPr>
        <w:t>Thus, i</w:t>
      </w:r>
      <w:r>
        <w:rPr>
          <w:rFonts w:asciiTheme="minorHAnsi" w:hAnsiTheme="minorHAnsi" w:cstheme="minorHAnsi"/>
          <w:sz w:val="24"/>
          <w:szCs w:val="24"/>
        </w:rPr>
        <w:t>n order to have sufficient power to detect potential differences in item non-response rates, w</w:t>
      </w:r>
      <w:r w:rsidR="00F564E0">
        <w:rPr>
          <w:rFonts w:asciiTheme="minorHAnsi" w:hAnsiTheme="minorHAnsi" w:cstheme="minorHAnsi"/>
          <w:sz w:val="24"/>
          <w:szCs w:val="24"/>
        </w:rPr>
        <w:t xml:space="preserve">e will include </w:t>
      </w:r>
      <w:r>
        <w:rPr>
          <w:rFonts w:asciiTheme="minorHAnsi" w:hAnsiTheme="minorHAnsi" w:cstheme="minorHAnsi"/>
          <w:sz w:val="24"/>
          <w:szCs w:val="24"/>
        </w:rPr>
        <w:t xml:space="preserve">items </w:t>
      </w:r>
      <w:r w:rsidR="00D02479">
        <w:rPr>
          <w:rFonts w:asciiTheme="minorHAnsi" w:hAnsiTheme="minorHAnsi" w:cstheme="minorHAnsi"/>
          <w:sz w:val="24"/>
          <w:szCs w:val="24"/>
        </w:rPr>
        <w:t>expected to have high item non-response rates:</w:t>
      </w:r>
      <w:r w:rsidR="00002417">
        <w:rPr>
          <w:rFonts w:asciiTheme="minorHAnsi" w:hAnsiTheme="minorHAnsi" w:cstheme="minorHAnsi"/>
          <w:sz w:val="24"/>
          <w:szCs w:val="24"/>
        </w:rPr>
        <w:t xml:space="preserve"> </w:t>
      </w:r>
      <w:r w:rsidR="00D02479">
        <w:rPr>
          <w:rFonts w:asciiTheme="minorHAnsi" w:hAnsiTheme="minorHAnsi" w:cstheme="minorHAnsi"/>
          <w:sz w:val="24"/>
          <w:szCs w:val="24"/>
        </w:rPr>
        <w:t xml:space="preserve">items </w:t>
      </w:r>
      <w:r w:rsidR="00002417">
        <w:rPr>
          <w:rFonts w:asciiTheme="minorHAnsi" w:hAnsiTheme="minorHAnsi" w:cstheme="minorHAnsi"/>
          <w:sz w:val="24"/>
          <w:szCs w:val="24"/>
        </w:rPr>
        <w:t xml:space="preserve">that respondents </w:t>
      </w:r>
      <w:r w:rsidR="00D02479">
        <w:rPr>
          <w:rFonts w:asciiTheme="minorHAnsi" w:hAnsiTheme="minorHAnsi" w:cstheme="minorHAnsi"/>
          <w:sz w:val="24"/>
          <w:szCs w:val="24"/>
        </w:rPr>
        <w:t xml:space="preserve">are </w:t>
      </w:r>
      <w:r w:rsidR="00002417">
        <w:rPr>
          <w:rFonts w:asciiTheme="minorHAnsi" w:hAnsiTheme="minorHAnsi" w:cstheme="minorHAnsi"/>
          <w:sz w:val="24"/>
          <w:szCs w:val="24"/>
        </w:rPr>
        <w:t>asked to answer on behalf of other household members and items that represent a mixture of response difficulty and sensitivity</w:t>
      </w:r>
      <w:r w:rsidR="00D02479">
        <w:rPr>
          <w:rFonts w:asciiTheme="minorHAnsi" w:hAnsiTheme="minorHAnsi" w:cstheme="minorHAnsi"/>
          <w:sz w:val="24"/>
          <w:szCs w:val="24"/>
        </w:rPr>
        <w:t xml:space="preserve">. The questions come from various Federal household surveys (including the Current Population Survey, Consumer Expenditure Interview Survey, and American Community Survey; </w:t>
      </w:r>
      <w:r w:rsidR="00FC040C">
        <w:rPr>
          <w:rFonts w:asciiTheme="minorHAnsi" w:hAnsiTheme="minorHAnsi" w:cstheme="minorHAnsi"/>
          <w:sz w:val="24"/>
          <w:szCs w:val="24"/>
        </w:rPr>
        <w:t xml:space="preserve">for the full instrument, </w:t>
      </w:r>
      <w:r w:rsidR="00002417">
        <w:rPr>
          <w:rFonts w:asciiTheme="minorHAnsi" w:hAnsiTheme="minorHAnsi" w:cstheme="minorHAnsi"/>
          <w:sz w:val="24"/>
          <w:szCs w:val="24"/>
        </w:rPr>
        <w:t>see Attachment B</w:t>
      </w:r>
      <w:r w:rsidR="005403BC">
        <w:rPr>
          <w:rFonts w:asciiTheme="minorHAnsi" w:hAnsiTheme="minorHAnsi" w:cstheme="minorHAnsi"/>
          <w:sz w:val="24"/>
          <w:szCs w:val="24"/>
        </w:rPr>
        <w:t>, along with an Appendix outlining the source of each question included on the instrument</w:t>
      </w:r>
      <w:r w:rsidR="00002417">
        <w:rPr>
          <w:rFonts w:asciiTheme="minorHAnsi" w:hAnsiTheme="minorHAnsi" w:cstheme="minorHAnsi"/>
          <w:sz w:val="24"/>
          <w:szCs w:val="24"/>
        </w:rPr>
        <w:t>)</w:t>
      </w:r>
      <w:r w:rsidR="0060581E">
        <w:rPr>
          <w:rFonts w:asciiTheme="minorHAnsi" w:hAnsiTheme="minorHAnsi" w:cstheme="minorHAnsi"/>
          <w:sz w:val="24"/>
          <w:szCs w:val="24"/>
        </w:rPr>
        <w:t xml:space="preserve">. </w:t>
      </w:r>
      <w:r w:rsidR="00002417">
        <w:rPr>
          <w:rFonts w:asciiTheme="minorHAnsi" w:hAnsiTheme="minorHAnsi" w:cstheme="minorHAnsi"/>
          <w:sz w:val="24"/>
          <w:szCs w:val="24"/>
        </w:rPr>
        <w:t xml:space="preserve">See the below links for work previously conducted at </w:t>
      </w:r>
      <w:r w:rsidRPr="004B761B" w:rsidR="00002417">
        <w:rPr>
          <w:rFonts w:asciiTheme="minorHAnsi" w:hAnsiTheme="minorHAnsi" w:cstheme="minorHAnsi"/>
          <w:sz w:val="24"/>
          <w:szCs w:val="24"/>
        </w:rPr>
        <w:t>BLS</w:t>
      </w:r>
      <w:r w:rsidR="00002417">
        <w:rPr>
          <w:rFonts w:asciiTheme="minorHAnsi" w:hAnsiTheme="minorHAnsi" w:cstheme="minorHAnsi"/>
          <w:sz w:val="24"/>
          <w:szCs w:val="24"/>
        </w:rPr>
        <w:t xml:space="preserve"> using similar methodologies and samples:</w:t>
      </w:r>
      <w:r w:rsidRPr="004B761B" w:rsidR="00002417">
        <w:rPr>
          <w:rFonts w:asciiTheme="minorHAnsi" w:hAnsiTheme="minorHAnsi" w:cstheme="minorHAnsi"/>
          <w:sz w:val="24"/>
          <w:szCs w:val="24"/>
        </w:rPr>
        <w:t xml:space="preserve"> </w:t>
      </w:r>
    </w:p>
    <w:p w:rsidRPr="00F85F10" w:rsidR="00F85F10" w:rsidP="00FC040C" w:rsidRDefault="00005E15" w14:paraId="55623176" w14:textId="32905DD3">
      <w:pPr>
        <w:pStyle w:val="BodyText"/>
        <w:numPr>
          <w:ilvl w:val="0"/>
          <w:numId w:val="4"/>
        </w:numPr>
        <w:rPr>
          <w:rStyle w:val="Hyperlink"/>
          <w:rFonts w:asciiTheme="minorHAnsi" w:hAnsiTheme="minorHAnsi" w:cstheme="minorHAnsi"/>
          <w:color w:val="auto"/>
          <w:sz w:val="24"/>
          <w:szCs w:val="24"/>
          <w:u w:val="none"/>
        </w:rPr>
      </w:pPr>
      <w:hyperlink w:history="1" r:id="rId11">
        <w:r w:rsidRPr="00F85F10" w:rsidR="00F85F10">
          <w:rPr>
            <w:rStyle w:val="Hyperlink"/>
            <w:rFonts w:asciiTheme="minorHAnsi" w:hAnsiTheme="minorHAnsi" w:cstheme="minorHAnsi"/>
            <w:sz w:val="24"/>
            <w:szCs w:val="24"/>
          </w:rPr>
          <w:t>CIPSEA research</w:t>
        </w:r>
      </w:hyperlink>
    </w:p>
    <w:p w:rsidRPr="00F85F10" w:rsidR="00BF5CBD" w:rsidP="00FC040C" w:rsidRDefault="00005E15" w14:paraId="311B624F" w14:textId="545C31CA">
      <w:pPr>
        <w:pStyle w:val="BodyText"/>
        <w:numPr>
          <w:ilvl w:val="0"/>
          <w:numId w:val="4"/>
        </w:numPr>
        <w:rPr>
          <w:rStyle w:val="Hyperlink"/>
          <w:rFonts w:asciiTheme="minorHAnsi" w:hAnsiTheme="minorHAnsi" w:cstheme="minorHAnsi"/>
          <w:color w:val="auto"/>
          <w:sz w:val="24"/>
          <w:szCs w:val="24"/>
          <w:u w:val="none"/>
        </w:rPr>
      </w:pPr>
      <w:hyperlink w:history="1" r:id="rId12">
        <w:r w:rsidRPr="00D23A53" w:rsidR="00002417">
          <w:rPr>
            <w:rStyle w:val="Hyperlink"/>
            <w:rFonts w:asciiTheme="minorHAnsi" w:hAnsiTheme="minorHAnsi" w:cstheme="minorHAnsi"/>
            <w:sz w:val="24"/>
            <w:szCs w:val="24"/>
          </w:rPr>
          <w:t>SOGI Online Proxy Survey</w:t>
        </w:r>
      </w:hyperlink>
    </w:p>
    <w:p w:rsidR="00F85F10" w:rsidP="00FC040C" w:rsidRDefault="00005E15" w14:paraId="6C888F14" w14:textId="47491BCD">
      <w:pPr>
        <w:pStyle w:val="BodyText"/>
        <w:numPr>
          <w:ilvl w:val="0"/>
          <w:numId w:val="4"/>
        </w:numPr>
        <w:rPr>
          <w:rFonts w:asciiTheme="minorHAnsi" w:hAnsiTheme="minorHAnsi" w:cstheme="minorHAnsi"/>
          <w:sz w:val="24"/>
          <w:szCs w:val="24"/>
        </w:rPr>
      </w:pPr>
      <w:hyperlink w:history="1" r:id="rId13">
        <w:r w:rsidRPr="00F85F10" w:rsidR="00F85F10">
          <w:rPr>
            <w:rStyle w:val="Hyperlink"/>
            <w:rFonts w:asciiTheme="minorHAnsi" w:hAnsiTheme="minorHAnsi" w:cstheme="minorHAnsi"/>
            <w:sz w:val="24"/>
            <w:szCs w:val="24"/>
          </w:rPr>
          <w:t>Respondent burden and proxy research</w:t>
        </w:r>
      </w:hyperlink>
    </w:p>
    <w:p w:rsidRPr="00FC040C" w:rsidR="00FC040C" w:rsidP="00FC040C" w:rsidRDefault="00FC040C" w14:paraId="6FEEE39A" w14:textId="77777777">
      <w:pPr>
        <w:pStyle w:val="BodyText"/>
        <w:ind w:left="720"/>
        <w:rPr>
          <w:rFonts w:asciiTheme="minorHAnsi" w:hAnsiTheme="minorHAnsi" w:cstheme="minorHAnsi"/>
          <w:sz w:val="24"/>
          <w:szCs w:val="24"/>
        </w:rPr>
      </w:pPr>
    </w:p>
    <w:p w:rsidR="0035064E" w:rsidP="00991453" w:rsidRDefault="00BF5CBD" w14:paraId="3B62F836" w14:textId="1FCEAEB0">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In addition, w</w:t>
      </w:r>
      <w:r w:rsidRPr="002A5A38">
        <w:rPr>
          <w:rFonts w:asciiTheme="minorHAnsi" w:hAnsiTheme="minorHAnsi" w:cstheme="minorHAnsi"/>
          <w:sz w:val="24"/>
          <w:szCs w:val="24"/>
        </w:rPr>
        <w:t xml:space="preserve">e will add language </w:t>
      </w:r>
      <w:r>
        <w:rPr>
          <w:rFonts w:asciiTheme="minorHAnsi" w:hAnsiTheme="minorHAnsi" w:cstheme="minorHAnsi"/>
          <w:sz w:val="24"/>
          <w:szCs w:val="24"/>
        </w:rPr>
        <w:t xml:space="preserve">for all participants (see Attachment B for the exact language) </w:t>
      </w:r>
      <w:r w:rsidRPr="002A5A38">
        <w:rPr>
          <w:rFonts w:asciiTheme="minorHAnsi" w:hAnsiTheme="minorHAnsi" w:cstheme="minorHAnsi"/>
          <w:sz w:val="24"/>
          <w:szCs w:val="24"/>
        </w:rPr>
        <w:t xml:space="preserve">to the beginning of the survey </w:t>
      </w:r>
      <w:r w:rsidR="00C449A0">
        <w:rPr>
          <w:rFonts w:asciiTheme="minorHAnsi" w:hAnsiTheme="minorHAnsi" w:cstheme="minorHAnsi"/>
          <w:sz w:val="24"/>
          <w:szCs w:val="24"/>
        </w:rPr>
        <w:t>to encourage a</w:t>
      </w:r>
      <w:r w:rsidR="0079747D">
        <w:rPr>
          <w:rFonts w:asciiTheme="minorHAnsi" w:hAnsiTheme="minorHAnsi" w:cstheme="minorHAnsi"/>
          <w:sz w:val="24"/>
          <w:szCs w:val="24"/>
        </w:rPr>
        <w:t>ccurate responses and explain</w:t>
      </w:r>
      <w:r w:rsidR="00C449A0">
        <w:rPr>
          <w:rFonts w:asciiTheme="minorHAnsi" w:hAnsiTheme="minorHAnsi" w:cstheme="minorHAnsi"/>
          <w:sz w:val="24"/>
          <w:szCs w:val="24"/>
        </w:rPr>
        <w:t xml:space="preserve"> to participants that they will have </w:t>
      </w:r>
      <w:r w:rsidR="00090058">
        <w:rPr>
          <w:rFonts w:asciiTheme="minorHAnsi" w:hAnsiTheme="minorHAnsi" w:cstheme="minorHAnsi"/>
          <w:sz w:val="24"/>
          <w:szCs w:val="24"/>
        </w:rPr>
        <w:t>DK</w:t>
      </w:r>
      <w:r w:rsidR="00C449A0">
        <w:rPr>
          <w:rFonts w:asciiTheme="minorHAnsi" w:hAnsiTheme="minorHAnsi" w:cstheme="minorHAnsi"/>
          <w:sz w:val="24"/>
          <w:szCs w:val="24"/>
        </w:rPr>
        <w:t xml:space="preserve"> and/or </w:t>
      </w:r>
      <w:r w:rsidR="00090058">
        <w:rPr>
          <w:rFonts w:asciiTheme="minorHAnsi" w:hAnsiTheme="minorHAnsi" w:cstheme="minorHAnsi"/>
          <w:sz w:val="24"/>
          <w:szCs w:val="24"/>
        </w:rPr>
        <w:t>‘</w:t>
      </w:r>
      <w:r w:rsidR="00C449A0">
        <w:rPr>
          <w:rFonts w:asciiTheme="minorHAnsi" w:hAnsiTheme="minorHAnsi" w:cstheme="minorHAnsi"/>
          <w:sz w:val="24"/>
          <w:szCs w:val="24"/>
        </w:rPr>
        <w:t>Prefer not to say</w:t>
      </w:r>
      <w:r w:rsidR="00090058">
        <w:rPr>
          <w:rFonts w:asciiTheme="minorHAnsi" w:hAnsiTheme="minorHAnsi" w:cstheme="minorHAnsi"/>
          <w:sz w:val="24"/>
          <w:szCs w:val="24"/>
        </w:rPr>
        <w:t>’</w:t>
      </w:r>
      <w:r w:rsidR="00C449A0">
        <w:rPr>
          <w:rFonts w:asciiTheme="minorHAnsi" w:hAnsiTheme="minorHAnsi" w:cstheme="minorHAnsi"/>
          <w:sz w:val="24"/>
          <w:szCs w:val="24"/>
        </w:rPr>
        <w:t xml:space="preserve"> options available to them. </w:t>
      </w:r>
      <w:r w:rsidR="00636B14">
        <w:rPr>
          <w:rFonts w:asciiTheme="minorHAnsi" w:hAnsiTheme="minorHAnsi" w:cstheme="minorHAnsi"/>
          <w:sz w:val="24"/>
          <w:szCs w:val="24"/>
        </w:rPr>
        <w:t>Research has shown that a</w:t>
      </w:r>
      <w:r w:rsidR="00C449A0">
        <w:rPr>
          <w:rFonts w:asciiTheme="minorHAnsi" w:hAnsiTheme="minorHAnsi" w:cstheme="minorHAnsi"/>
          <w:sz w:val="24"/>
          <w:szCs w:val="24"/>
        </w:rPr>
        <w:t xml:space="preserve">sking participants to </w:t>
      </w:r>
      <w:r w:rsidR="00636B14">
        <w:rPr>
          <w:rFonts w:asciiTheme="minorHAnsi" w:hAnsiTheme="minorHAnsi" w:cstheme="minorHAnsi"/>
          <w:sz w:val="24"/>
          <w:szCs w:val="24"/>
        </w:rPr>
        <w:t xml:space="preserve">check a box to </w:t>
      </w:r>
      <w:r w:rsidR="00C449A0">
        <w:rPr>
          <w:rFonts w:asciiTheme="minorHAnsi" w:hAnsiTheme="minorHAnsi" w:cstheme="minorHAnsi"/>
          <w:sz w:val="24"/>
          <w:szCs w:val="24"/>
        </w:rPr>
        <w:t>acknowledge they understand every question i</w:t>
      </w:r>
      <w:r w:rsidR="00090058">
        <w:rPr>
          <w:rFonts w:asciiTheme="minorHAnsi" w:hAnsiTheme="minorHAnsi" w:cstheme="minorHAnsi"/>
          <w:sz w:val="24"/>
          <w:szCs w:val="24"/>
        </w:rPr>
        <w:t>s</w:t>
      </w:r>
      <w:r w:rsidR="0079747D">
        <w:rPr>
          <w:rFonts w:asciiTheme="minorHAnsi" w:hAnsiTheme="minorHAnsi" w:cstheme="minorHAnsi"/>
          <w:sz w:val="24"/>
          <w:szCs w:val="24"/>
        </w:rPr>
        <w:t xml:space="preserve"> voluntary and commit</w:t>
      </w:r>
      <w:r w:rsidR="00C449A0">
        <w:rPr>
          <w:rFonts w:asciiTheme="minorHAnsi" w:hAnsiTheme="minorHAnsi" w:cstheme="minorHAnsi"/>
          <w:sz w:val="24"/>
          <w:szCs w:val="24"/>
        </w:rPr>
        <w:t xml:space="preserve"> to providing accurate responses </w:t>
      </w:r>
      <w:r w:rsidR="00636B14">
        <w:rPr>
          <w:rFonts w:asciiTheme="minorHAnsi" w:hAnsiTheme="minorHAnsi" w:cstheme="minorHAnsi"/>
          <w:sz w:val="24"/>
          <w:szCs w:val="24"/>
        </w:rPr>
        <w:t xml:space="preserve">can </w:t>
      </w:r>
      <w:r w:rsidR="00C449A0">
        <w:rPr>
          <w:rFonts w:asciiTheme="minorHAnsi" w:hAnsiTheme="minorHAnsi" w:cstheme="minorHAnsi"/>
          <w:sz w:val="24"/>
          <w:szCs w:val="24"/>
        </w:rPr>
        <w:t xml:space="preserve">increase data quality in online data collection </w:t>
      </w:r>
      <w:r w:rsidRPr="002A5A38">
        <w:rPr>
          <w:rFonts w:asciiTheme="minorHAnsi" w:hAnsiTheme="minorHAnsi" w:cstheme="minorHAnsi"/>
          <w:sz w:val="24"/>
          <w:szCs w:val="24"/>
        </w:rPr>
        <w:t>(de Leeuw et al., 2015; Joinson et al., 2008</w:t>
      </w:r>
      <w:r>
        <w:rPr>
          <w:rFonts w:asciiTheme="minorHAnsi" w:hAnsiTheme="minorHAnsi" w:cstheme="minorHAnsi"/>
          <w:sz w:val="24"/>
          <w:szCs w:val="24"/>
        </w:rPr>
        <w:t>; Kaplan &amp; Edgar, 2018</w:t>
      </w:r>
      <w:r w:rsidR="00C449A0">
        <w:rPr>
          <w:rFonts w:asciiTheme="minorHAnsi" w:hAnsiTheme="minorHAnsi" w:cstheme="minorHAnsi"/>
          <w:sz w:val="24"/>
          <w:szCs w:val="24"/>
        </w:rPr>
        <w:t>; Betts, 2016</w:t>
      </w:r>
      <w:r w:rsidRPr="002A5A38">
        <w:rPr>
          <w:rFonts w:asciiTheme="minorHAnsi" w:hAnsiTheme="minorHAnsi" w:cstheme="minorHAnsi"/>
          <w:sz w:val="24"/>
          <w:szCs w:val="24"/>
        </w:rPr>
        <w:t xml:space="preserve">). </w:t>
      </w:r>
      <w:r w:rsidR="00BF5017">
        <w:rPr>
          <w:rFonts w:asciiTheme="minorHAnsi" w:hAnsiTheme="minorHAnsi" w:cstheme="minorHAnsi"/>
          <w:sz w:val="24"/>
          <w:szCs w:val="24"/>
        </w:rPr>
        <w:t xml:space="preserve">This type of commitment statement is </w:t>
      </w:r>
      <w:r w:rsidR="000170FC">
        <w:rPr>
          <w:rFonts w:asciiTheme="minorHAnsi" w:hAnsiTheme="minorHAnsi" w:cstheme="minorHAnsi"/>
          <w:sz w:val="24"/>
          <w:szCs w:val="24"/>
        </w:rPr>
        <w:t xml:space="preserve">typically used </w:t>
      </w:r>
      <w:r w:rsidR="00BF5017">
        <w:rPr>
          <w:rFonts w:asciiTheme="minorHAnsi" w:hAnsiTheme="minorHAnsi" w:cstheme="minorHAnsi"/>
          <w:sz w:val="24"/>
          <w:szCs w:val="24"/>
        </w:rPr>
        <w:t xml:space="preserve">specifically for online testing and exploratory </w:t>
      </w:r>
      <w:r w:rsidR="006A2F79">
        <w:rPr>
          <w:rFonts w:asciiTheme="minorHAnsi" w:hAnsiTheme="minorHAnsi" w:cstheme="minorHAnsi"/>
          <w:sz w:val="24"/>
          <w:szCs w:val="24"/>
        </w:rPr>
        <w:t xml:space="preserve">research </w:t>
      </w:r>
      <w:r w:rsidR="00BF5017">
        <w:rPr>
          <w:rFonts w:asciiTheme="minorHAnsi" w:hAnsiTheme="minorHAnsi" w:cstheme="minorHAnsi"/>
          <w:sz w:val="24"/>
          <w:szCs w:val="24"/>
        </w:rPr>
        <w:t xml:space="preserve">using web-based panels. It would not be recommended for implementation in any production survey. </w:t>
      </w:r>
      <w:r w:rsidR="002005A9">
        <w:rPr>
          <w:rFonts w:asciiTheme="minorHAnsi" w:hAnsiTheme="minorHAnsi" w:cstheme="minorHAnsi"/>
          <w:sz w:val="24"/>
          <w:szCs w:val="24"/>
        </w:rPr>
        <w:t xml:space="preserve">An almost identical intervention was </w:t>
      </w:r>
      <w:r w:rsidR="007567D1">
        <w:rPr>
          <w:rFonts w:asciiTheme="minorHAnsi" w:hAnsiTheme="minorHAnsi" w:cstheme="minorHAnsi"/>
          <w:sz w:val="24"/>
          <w:szCs w:val="24"/>
        </w:rPr>
        <w:t xml:space="preserve">approved and used </w:t>
      </w:r>
      <w:r w:rsidR="002005A9">
        <w:rPr>
          <w:rFonts w:asciiTheme="minorHAnsi" w:hAnsiTheme="minorHAnsi" w:cstheme="minorHAnsi"/>
          <w:sz w:val="24"/>
          <w:szCs w:val="24"/>
        </w:rPr>
        <w:t xml:space="preserve">in the CIPSEA research study (linked above). </w:t>
      </w:r>
      <w:r w:rsidR="004957BA">
        <w:rPr>
          <w:rFonts w:asciiTheme="minorHAnsi" w:hAnsiTheme="minorHAnsi" w:cstheme="minorHAnsi"/>
          <w:sz w:val="24"/>
          <w:szCs w:val="24"/>
        </w:rPr>
        <w:t>Checking the box is not required to continue taking the survey, participants can proceed without doing so</w:t>
      </w:r>
      <w:r w:rsidR="00FD750E">
        <w:rPr>
          <w:rFonts w:asciiTheme="minorHAnsi" w:hAnsiTheme="minorHAnsi" w:cstheme="minorHAnsi"/>
          <w:sz w:val="24"/>
          <w:szCs w:val="24"/>
        </w:rPr>
        <w:t xml:space="preserve"> and is not expected to lead to an increase in break-offs, as MTurk </w:t>
      </w:r>
      <w:r w:rsidR="00FD750E">
        <w:rPr>
          <w:rFonts w:asciiTheme="minorHAnsi" w:hAnsiTheme="minorHAnsi" w:cstheme="minorHAnsi"/>
          <w:sz w:val="24"/>
          <w:szCs w:val="24"/>
        </w:rPr>
        <w:lastRenderedPageBreak/>
        <w:t>surveys generally have extremely low levels of breakoffs</w:t>
      </w:r>
      <w:r w:rsidR="004957BA">
        <w:rPr>
          <w:rFonts w:asciiTheme="minorHAnsi" w:hAnsiTheme="minorHAnsi" w:cstheme="minorHAnsi"/>
          <w:sz w:val="24"/>
          <w:szCs w:val="24"/>
        </w:rPr>
        <w:t>. This commitment device is common practice in online testing instruments (recently used in pretesting for the National Health Interview Survey, an</w:t>
      </w:r>
      <w:r w:rsidR="00444EFF">
        <w:rPr>
          <w:rFonts w:asciiTheme="minorHAnsi" w:hAnsiTheme="minorHAnsi" w:cstheme="minorHAnsi"/>
          <w:sz w:val="24"/>
          <w:szCs w:val="24"/>
        </w:rPr>
        <w:t>d Census Household Pulse Survey</w:t>
      </w:r>
      <w:r w:rsidR="004957BA">
        <w:rPr>
          <w:rFonts w:asciiTheme="minorHAnsi" w:hAnsiTheme="minorHAnsi" w:cstheme="minorHAnsi"/>
          <w:sz w:val="24"/>
          <w:szCs w:val="24"/>
        </w:rPr>
        <w:t xml:space="preserve">, and has been shown to increase data quality. </w:t>
      </w:r>
      <w:r w:rsidR="00FD750E">
        <w:rPr>
          <w:rFonts w:asciiTheme="minorHAnsi" w:hAnsiTheme="minorHAnsi" w:cstheme="minorHAnsi"/>
          <w:sz w:val="24"/>
          <w:szCs w:val="24"/>
        </w:rPr>
        <w:t xml:space="preserve">This instruction is also important to let participants know that they can opt-out of responding to items they do not want to answer. </w:t>
      </w:r>
      <w:r w:rsidR="00E9413E">
        <w:rPr>
          <w:rFonts w:asciiTheme="minorHAnsi" w:hAnsiTheme="minorHAnsi" w:cstheme="minorHAnsi"/>
          <w:sz w:val="24"/>
          <w:szCs w:val="24"/>
        </w:rPr>
        <w:t>As noted, t</w:t>
      </w:r>
      <w:r>
        <w:rPr>
          <w:rFonts w:asciiTheme="minorHAnsi" w:hAnsiTheme="minorHAnsi" w:cstheme="minorHAnsi"/>
          <w:sz w:val="24"/>
          <w:szCs w:val="24"/>
        </w:rPr>
        <w:t>his mirrors what actual interviewers say to survey respondents</w:t>
      </w:r>
      <w:r w:rsidR="00FD750E">
        <w:rPr>
          <w:rFonts w:asciiTheme="minorHAnsi" w:hAnsiTheme="minorHAnsi" w:cstheme="minorHAnsi"/>
          <w:sz w:val="24"/>
          <w:szCs w:val="24"/>
        </w:rPr>
        <w:t>. In previous OSMR research</w:t>
      </w:r>
      <w:r w:rsidR="00E046C5">
        <w:rPr>
          <w:rFonts w:asciiTheme="minorHAnsi" w:hAnsiTheme="minorHAnsi" w:cstheme="minorHAnsi"/>
          <w:sz w:val="24"/>
          <w:szCs w:val="24"/>
        </w:rPr>
        <w:t>,</w:t>
      </w:r>
      <w:r w:rsidR="00FD750E">
        <w:rPr>
          <w:rFonts w:asciiTheme="minorHAnsi" w:hAnsiTheme="minorHAnsi" w:cstheme="minorHAnsi"/>
          <w:sz w:val="24"/>
          <w:szCs w:val="24"/>
        </w:rPr>
        <w:t xml:space="preserve"> we found that</w:t>
      </w:r>
      <w:r w:rsidRPr="00FD750E" w:rsidR="00FD750E">
        <w:rPr>
          <w:rFonts w:asciiTheme="minorHAnsi" w:hAnsiTheme="minorHAnsi" w:cstheme="minorHAnsi"/>
          <w:sz w:val="24"/>
          <w:szCs w:val="24"/>
        </w:rPr>
        <w:t xml:space="preserve"> interviewers say something very similar at the beginning of their interviews (e.g., “If you don’t want to answer a question, just say no thank you and we will skip it”.) </w:t>
      </w:r>
      <w:r w:rsidR="00FD750E">
        <w:rPr>
          <w:rFonts w:asciiTheme="minorHAnsi" w:hAnsiTheme="minorHAnsi" w:cstheme="minorHAnsi"/>
          <w:sz w:val="24"/>
          <w:szCs w:val="24"/>
        </w:rPr>
        <w:t xml:space="preserve">In </w:t>
      </w:r>
      <w:r w:rsidR="00544C77">
        <w:rPr>
          <w:rFonts w:asciiTheme="minorHAnsi" w:hAnsiTheme="minorHAnsi" w:cstheme="minorHAnsi"/>
          <w:sz w:val="24"/>
          <w:szCs w:val="24"/>
        </w:rPr>
        <w:t>previous studies using online panels</w:t>
      </w:r>
      <w:r w:rsidR="00E046C5">
        <w:rPr>
          <w:rFonts w:asciiTheme="minorHAnsi" w:hAnsiTheme="minorHAnsi" w:cstheme="minorHAnsi"/>
          <w:sz w:val="24"/>
          <w:szCs w:val="24"/>
        </w:rPr>
        <w:t xml:space="preserve"> with similar methodology</w:t>
      </w:r>
      <w:r w:rsidR="00544C77">
        <w:rPr>
          <w:rFonts w:asciiTheme="minorHAnsi" w:hAnsiTheme="minorHAnsi" w:cstheme="minorHAnsi"/>
          <w:sz w:val="24"/>
          <w:szCs w:val="24"/>
        </w:rPr>
        <w:t>, we have found item non</w:t>
      </w:r>
      <w:r w:rsidR="0079747D">
        <w:rPr>
          <w:rFonts w:asciiTheme="minorHAnsi" w:hAnsiTheme="minorHAnsi" w:cstheme="minorHAnsi"/>
          <w:sz w:val="24"/>
          <w:szCs w:val="24"/>
        </w:rPr>
        <w:t>-</w:t>
      </w:r>
      <w:r w:rsidR="00544C77">
        <w:rPr>
          <w:rFonts w:asciiTheme="minorHAnsi" w:hAnsiTheme="minorHAnsi" w:cstheme="minorHAnsi"/>
          <w:sz w:val="24"/>
          <w:szCs w:val="24"/>
        </w:rPr>
        <w:t>response rates comparable to those obtained in Federal surveys</w:t>
      </w:r>
      <w:r w:rsidR="00FD750E">
        <w:rPr>
          <w:rFonts w:asciiTheme="minorHAnsi" w:hAnsiTheme="minorHAnsi" w:cstheme="minorHAnsi"/>
          <w:sz w:val="24"/>
          <w:szCs w:val="24"/>
        </w:rPr>
        <w:t xml:space="preserve"> using this method</w:t>
      </w:r>
      <w:r w:rsidR="00544C77">
        <w:rPr>
          <w:rFonts w:asciiTheme="minorHAnsi" w:hAnsiTheme="minorHAnsi" w:cstheme="minorHAnsi"/>
          <w:sz w:val="24"/>
          <w:szCs w:val="24"/>
        </w:rPr>
        <w:t xml:space="preserve"> (e.g., around 30% item non</w:t>
      </w:r>
      <w:r w:rsidR="0079747D">
        <w:rPr>
          <w:rFonts w:asciiTheme="minorHAnsi" w:hAnsiTheme="minorHAnsi" w:cstheme="minorHAnsi"/>
          <w:sz w:val="24"/>
          <w:szCs w:val="24"/>
        </w:rPr>
        <w:t>-</w:t>
      </w:r>
      <w:r w:rsidR="00544C77">
        <w:rPr>
          <w:rFonts w:asciiTheme="minorHAnsi" w:hAnsiTheme="minorHAnsi" w:cstheme="minorHAnsi"/>
          <w:sz w:val="24"/>
          <w:szCs w:val="24"/>
        </w:rPr>
        <w:t xml:space="preserve">response for individual and household income; see Kaplan &amp; Edgar, 2018). </w:t>
      </w:r>
    </w:p>
    <w:p w:rsidR="00FC040C" w:rsidP="00991453" w:rsidRDefault="004F68A2" w14:paraId="788EC332" w14:textId="44DACCFC">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In a between-subjects design, we will randomly assigned participants to </w:t>
      </w:r>
      <w:r w:rsidR="00054D31">
        <w:rPr>
          <w:rFonts w:asciiTheme="minorHAnsi" w:hAnsiTheme="minorHAnsi" w:cstheme="minorHAnsi"/>
          <w:sz w:val="24"/>
          <w:szCs w:val="24"/>
        </w:rPr>
        <w:t>be offered</w:t>
      </w:r>
      <w:r>
        <w:rPr>
          <w:rFonts w:asciiTheme="minorHAnsi" w:hAnsiTheme="minorHAnsi" w:cstheme="minorHAnsi"/>
          <w:sz w:val="24"/>
          <w:szCs w:val="24"/>
        </w:rPr>
        <w:t xml:space="preserve"> d</w:t>
      </w:r>
      <w:r w:rsidR="00090058">
        <w:rPr>
          <w:rFonts w:asciiTheme="minorHAnsi" w:hAnsiTheme="minorHAnsi" w:cstheme="minorHAnsi"/>
          <w:sz w:val="24"/>
          <w:szCs w:val="24"/>
        </w:rPr>
        <w:t>ifferent non-response options (DK</w:t>
      </w:r>
      <w:r>
        <w:rPr>
          <w:rFonts w:asciiTheme="minorHAnsi" w:hAnsiTheme="minorHAnsi" w:cstheme="minorHAnsi"/>
          <w:sz w:val="24"/>
          <w:szCs w:val="24"/>
        </w:rPr>
        <w:t xml:space="preserve"> only or </w:t>
      </w:r>
      <w:r w:rsidR="00090058">
        <w:rPr>
          <w:rFonts w:asciiTheme="minorHAnsi" w:hAnsiTheme="minorHAnsi" w:cstheme="minorHAnsi"/>
          <w:sz w:val="24"/>
          <w:szCs w:val="24"/>
        </w:rPr>
        <w:t>DK</w:t>
      </w:r>
      <w:r>
        <w:rPr>
          <w:rFonts w:asciiTheme="minorHAnsi" w:hAnsiTheme="minorHAnsi" w:cstheme="minorHAnsi"/>
          <w:sz w:val="24"/>
          <w:szCs w:val="24"/>
        </w:rPr>
        <w:t xml:space="preserve"> and </w:t>
      </w:r>
      <w:r w:rsidR="00090058">
        <w:rPr>
          <w:rFonts w:asciiTheme="minorHAnsi" w:hAnsiTheme="minorHAnsi" w:cstheme="minorHAnsi"/>
          <w:sz w:val="24"/>
          <w:szCs w:val="24"/>
        </w:rPr>
        <w:t>‘</w:t>
      </w:r>
      <w:r>
        <w:rPr>
          <w:rFonts w:asciiTheme="minorHAnsi" w:hAnsiTheme="minorHAnsi" w:cstheme="minorHAnsi"/>
          <w:sz w:val="24"/>
          <w:szCs w:val="24"/>
        </w:rPr>
        <w:t>prefer not to say</w:t>
      </w:r>
      <w:r w:rsidR="00090058">
        <w:rPr>
          <w:rFonts w:asciiTheme="minorHAnsi" w:hAnsiTheme="minorHAnsi" w:cstheme="minorHAnsi"/>
          <w:sz w:val="24"/>
          <w:szCs w:val="24"/>
        </w:rPr>
        <w:t>’</w:t>
      </w:r>
      <w:r>
        <w:rPr>
          <w:rFonts w:asciiTheme="minorHAnsi" w:hAnsiTheme="minorHAnsi" w:cstheme="minorHAnsi"/>
          <w:sz w:val="24"/>
          <w:szCs w:val="24"/>
        </w:rPr>
        <w:t xml:space="preserve">) </w:t>
      </w:r>
      <w:r w:rsidR="00BC3323">
        <w:rPr>
          <w:rFonts w:asciiTheme="minorHAnsi" w:hAnsiTheme="minorHAnsi" w:cstheme="minorHAnsi"/>
          <w:sz w:val="24"/>
          <w:szCs w:val="24"/>
        </w:rPr>
        <w:t xml:space="preserve">for selected items as appropriate, </w:t>
      </w:r>
      <w:r>
        <w:rPr>
          <w:rFonts w:asciiTheme="minorHAnsi" w:hAnsiTheme="minorHAnsi" w:cstheme="minorHAnsi"/>
          <w:sz w:val="24"/>
          <w:szCs w:val="24"/>
        </w:rPr>
        <w:t xml:space="preserve">and follow-up probes </w:t>
      </w:r>
      <w:r w:rsidR="00054D31">
        <w:rPr>
          <w:rFonts w:asciiTheme="minorHAnsi" w:hAnsiTheme="minorHAnsi" w:cstheme="minorHAnsi"/>
          <w:sz w:val="24"/>
          <w:szCs w:val="24"/>
        </w:rPr>
        <w:t xml:space="preserve">after either skipping the question or selecting a non-response option </w:t>
      </w:r>
      <w:r>
        <w:rPr>
          <w:rFonts w:asciiTheme="minorHAnsi" w:hAnsiTheme="minorHAnsi" w:cstheme="minorHAnsi"/>
          <w:sz w:val="24"/>
          <w:szCs w:val="24"/>
        </w:rPr>
        <w:t>(</w:t>
      </w:r>
      <w:r w:rsidR="00054D31">
        <w:rPr>
          <w:rFonts w:asciiTheme="minorHAnsi" w:hAnsiTheme="minorHAnsi" w:cstheme="minorHAnsi"/>
          <w:sz w:val="24"/>
          <w:szCs w:val="24"/>
        </w:rPr>
        <w:t xml:space="preserve">with probing or without probing). </w:t>
      </w:r>
      <w:r w:rsidR="002B1A3B">
        <w:rPr>
          <w:rFonts w:asciiTheme="minorHAnsi" w:hAnsiTheme="minorHAnsi" w:cstheme="minorHAnsi"/>
          <w:sz w:val="24"/>
          <w:szCs w:val="24"/>
        </w:rPr>
        <w:t>Given the survey programs</w:t>
      </w:r>
      <w:r w:rsidR="00636B14">
        <w:rPr>
          <w:rFonts w:asciiTheme="minorHAnsi" w:hAnsiTheme="minorHAnsi" w:cstheme="minorHAnsi"/>
          <w:sz w:val="24"/>
          <w:szCs w:val="24"/>
        </w:rPr>
        <w:t>’</w:t>
      </w:r>
      <w:r w:rsidR="002B1A3B">
        <w:rPr>
          <w:rFonts w:asciiTheme="minorHAnsi" w:hAnsiTheme="minorHAnsi" w:cstheme="minorHAnsi"/>
          <w:sz w:val="24"/>
          <w:szCs w:val="24"/>
        </w:rPr>
        <w:t xml:space="preserve"> needs</w:t>
      </w:r>
      <w:r w:rsidR="003970D5">
        <w:rPr>
          <w:rFonts w:asciiTheme="minorHAnsi" w:hAnsiTheme="minorHAnsi" w:cstheme="minorHAnsi"/>
          <w:sz w:val="24"/>
          <w:szCs w:val="24"/>
        </w:rPr>
        <w:t xml:space="preserve"> and the research goals for this study</w:t>
      </w:r>
      <w:r w:rsidR="002B1A3B">
        <w:rPr>
          <w:rFonts w:asciiTheme="minorHAnsi" w:hAnsiTheme="minorHAnsi" w:cstheme="minorHAnsi"/>
          <w:sz w:val="24"/>
          <w:szCs w:val="24"/>
        </w:rPr>
        <w:t xml:space="preserve">, offering a </w:t>
      </w:r>
      <w:r w:rsidR="00090058">
        <w:rPr>
          <w:rFonts w:asciiTheme="minorHAnsi" w:hAnsiTheme="minorHAnsi" w:cstheme="minorHAnsi"/>
          <w:sz w:val="24"/>
          <w:szCs w:val="24"/>
        </w:rPr>
        <w:t>DK</w:t>
      </w:r>
      <w:r w:rsidR="002B1A3B">
        <w:rPr>
          <w:rFonts w:asciiTheme="minorHAnsi" w:hAnsiTheme="minorHAnsi" w:cstheme="minorHAnsi"/>
          <w:sz w:val="24"/>
          <w:szCs w:val="24"/>
        </w:rPr>
        <w:t xml:space="preserve"> option will be required in any future online self-administered instrument</w:t>
      </w:r>
      <w:r w:rsidR="00BC3323">
        <w:rPr>
          <w:rStyle w:val="FootnoteReference"/>
          <w:rFonts w:asciiTheme="minorHAnsi" w:hAnsiTheme="minorHAnsi" w:cstheme="minorHAnsi"/>
          <w:sz w:val="24"/>
          <w:szCs w:val="24"/>
        </w:rPr>
        <w:footnoteReference w:id="1"/>
      </w:r>
      <w:r w:rsidR="008F10BD">
        <w:rPr>
          <w:rFonts w:asciiTheme="minorHAnsi" w:hAnsiTheme="minorHAnsi" w:cstheme="minorHAnsi"/>
          <w:sz w:val="24"/>
          <w:szCs w:val="24"/>
        </w:rPr>
        <w:t xml:space="preserve"> </w:t>
      </w:r>
      <w:r w:rsidR="002B1A3B">
        <w:rPr>
          <w:rFonts w:asciiTheme="minorHAnsi" w:hAnsiTheme="minorHAnsi" w:cstheme="minorHAnsi"/>
          <w:sz w:val="24"/>
          <w:szCs w:val="24"/>
        </w:rPr>
        <w:t xml:space="preserve">, and so the study design does not include any version without the option. </w:t>
      </w:r>
      <w:r w:rsidR="008F10BD">
        <w:rPr>
          <w:rFonts w:asciiTheme="minorHAnsi" w:hAnsiTheme="minorHAnsi" w:cstheme="minorHAnsi"/>
          <w:sz w:val="24"/>
          <w:szCs w:val="24"/>
        </w:rPr>
        <w:t>A</w:t>
      </w:r>
      <w:r w:rsidR="006441D3">
        <w:rPr>
          <w:rFonts w:asciiTheme="minorHAnsi" w:hAnsiTheme="minorHAnsi" w:cstheme="minorHAnsi"/>
          <w:sz w:val="24"/>
          <w:szCs w:val="24"/>
        </w:rPr>
        <w:t xml:space="preserve"> </w:t>
      </w:r>
      <w:r w:rsidR="008F10BD">
        <w:rPr>
          <w:rFonts w:asciiTheme="minorHAnsi" w:hAnsiTheme="minorHAnsi" w:cstheme="minorHAnsi"/>
          <w:sz w:val="24"/>
          <w:szCs w:val="24"/>
        </w:rPr>
        <w:t>‘</w:t>
      </w:r>
      <w:r w:rsidR="0079747D">
        <w:rPr>
          <w:rFonts w:asciiTheme="minorHAnsi" w:hAnsiTheme="minorHAnsi" w:cstheme="minorHAnsi"/>
          <w:sz w:val="24"/>
          <w:szCs w:val="24"/>
        </w:rPr>
        <w:t>p</w:t>
      </w:r>
      <w:r w:rsidR="006441D3">
        <w:rPr>
          <w:rFonts w:asciiTheme="minorHAnsi" w:hAnsiTheme="minorHAnsi" w:cstheme="minorHAnsi"/>
          <w:sz w:val="24"/>
          <w:szCs w:val="24"/>
        </w:rPr>
        <w:t>refer not to say</w:t>
      </w:r>
      <w:r w:rsidR="008F10BD">
        <w:rPr>
          <w:rFonts w:asciiTheme="minorHAnsi" w:hAnsiTheme="minorHAnsi" w:cstheme="minorHAnsi"/>
          <w:sz w:val="24"/>
          <w:szCs w:val="24"/>
        </w:rPr>
        <w:t>’, or explicit refusal</w:t>
      </w:r>
      <w:r w:rsidR="006441D3">
        <w:rPr>
          <w:rFonts w:asciiTheme="minorHAnsi" w:hAnsiTheme="minorHAnsi" w:cstheme="minorHAnsi"/>
          <w:sz w:val="24"/>
          <w:szCs w:val="24"/>
        </w:rPr>
        <w:t xml:space="preserve"> option</w:t>
      </w:r>
      <w:r w:rsidR="008F10BD">
        <w:rPr>
          <w:rFonts w:asciiTheme="minorHAnsi" w:hAnsiTheme="minorHAnsi" w:cstheme="minorHAnsi"/>
          <w:sz w:val="24"/>
          <w:szCs w:val="24"/>
        </w:rPr>
        <w:t>,</w:t>
      </w:r>
      <w:r w:rsidR="006441D3">
        <w:rPr>
          <w:rFonts w:asciiTheme="minorHAnsi" w:hAnsiTheme="minorHAnsi" w:cstheme="minorHAnsi"/>
          <w:sz w:val="24"/>
          <w:szCs w:val="24"/>
        </w:rPr>
        <w:t xml:space="preserve"> will be provided in half of the </w:t>
      </w:r>
      <w:r w:rsidR="008F10BD">
        <w:rPr>
          <w:rFonts w:asciiTheme="minorHAnsi" w:hAnsiTheme="minorHAnsi" w:cstheme="minorHAnsi"/>
          <w:sz w:val="24"/>
          <w:szCs w:val="24"/>
        </w:rPr>
        <w:t xml:space="preserve">study </w:t>
      </w:r>
      <w:r w:rsidR="006441D3">
        <w:rPr>
          <w:rFonts w:asciiTheme="minorHAnsi" w:hAnsiTheme="minorHAnsi" w:cstheme="minorHAnsi"/>
          <w:sz w:val="24"/>
          <w:szCs w:val="24"/>
        </w:rPr>
        <w:t>conditions</w:t>
      </w:r>
      <w:r w:rsidR="0079747D">
        <w:rPr>
          <w:rFonts w:asciiTheme="minorHAnsi" w:hAnsiTheme="minorHAnsi" w:cstheme="minorHAnsi"/>
          <w:sz w:val="24"/>
          <w:szCs w:val="24"/>
        </w:rPr>
        <w:t>, and be used to determine whether responses in the DK only condition represent knowledge</w:t>
      </w:r>
      <w:r w:rsidR="00E1096E">
        <w:rPr>
          <w:rFonts w:asciiTheme="minorHAnsi" w:hAnsiTheme="minorHAnsi" w:cstheme="minorHAnsi"/>
          <w:sz w:val="24"/>
          <w:szCs w:val="24"/>
        </w:rPr>
        <w:t>/difficulty</w:t>
      </w:r>
      <w:r w:rsidR="0079747D">
        <w:rPr>
          <w:rFonts w:asciiTheme="minorHAnsi" w:hAnsiTheme="minorHAnsi" w:cstheme="minorHAnsi"/>
          <w:sz w:val="24"/>
          <w:szCs w:val="24"/>
        </w:rPr>
        <w:t xml:space="preserve"> or sensitivity issues</w:t>
      </w:r>
      <w:r w:rsidR="006441D3">
        <w:rPr>
          <w:rFonts w:asciiTheme="minorHAnsi" w:hAnsiTheme="minorHAnsi" w:cstheme="minorHAnsi"/>
          <w:sz w:val="24"/>
          <w:szCs w:val="24"/>
        </w:rPr>
        <w:t xml:space="preserve">. </w:t>
      </w:r>
      <w:r w:rsidR="00E67D6D">
        <w:rPr>
          <w:rFonts w:asciiTheme="minorHAnsi" w:hAnsiTheme="minorHAnsi" w:cstheme="minorHAnsi"/>
          <w:sz w:val="24"/>
          <w:szCs w:val="24"/>
        </w:rPr>
        <w:t>The table below illustrates the conditions and number of participants in each group</w:t>
      </w:r>
      <w:r w:rsidR="00E415D8">
        <w:rPr>
          <w:rFonts w:asciiTheme="minorHAnsi" w:hAnsiTheme="minorHAnsi" w:cstheme="minorHAnsi"/>
          <w:sz w:val="24"/>
          <w:szCs w:val="24"/>
        </w:rPr>
        <w:t xml:space="preserve">: </w:t>
      </w:r>
    </w:p>
    <w:tbl>
      <w:tblPr>
        <w:tblStyle w:val="TableGrid"/>
        <w:tblW w:w="0" w:type="auto"/>
        <w:tblInd w:w="625" w:type="dxa"/>
        <w:tblLook w:val="04A0" w:firstRow="1" w:lastRow="0" w:firstColumn="1" w:lastColumn="0" w:noHBand="0" w:noVBand="1"/>
      </w:tblPr>
      <w:tblGrid>
        <w:gridCol w:w="1260"/>
        <w:gridCol w:w="2720"/>
        <w:gridCol w:w="2055"/>
        <w:gridCol w:w="1800"/>
      </w:tblGrid>
      <w:tr w:rsidR="00E04B31" w:rsidTr="00E04B31" w14:paraId="4711EE07" w14:textId="77777777">
        <w:tc>
          <w:tcPr>
            <w:tcW w:w="1260" w:type="dxa"/>
            <w:tcBorders>
              <w:top w:val="nil"/>
              <w:left w:val="nil"/>
              <w:bottom w:val="nil"/>
              <w:right w:val="nil"/>
            </w:tcBorders>
          </w:tcPr>
          <w:p w:rsidR="00E04B31" w:rsidP="00054D31" w:rsidRDefault="00E04B31" w14:paraId="1B08D714" w14:textId="77777777">
            <w:pPr>
              <w:pStyle w:val="BodyText"/>
              <w:rPr>
                <w:rFonts w:asciiTheme="minorHAnsi" w:hAnsiTheme="minorHAnsi" w:cstheme="minorHAnsi"/>
                <w:sz w:val="24"/>
                <w:szCs w:val="24"/>
              </w:rPr>
            </w:pPr>
          </w:p>
        </w:tc>
        <w:tc>
          <w:tcPr>
            <w:tcW w:w="2720" w:type="dxa"/>
            <w:tcBorders>
              <w:top w:val="nil"/>
              <w:left w:val="nil"/>
              <w:bottom w:val="nil"/>
              <w:right w:val="single" w:color="auto" w:sz="4" w:space="0"/>
            </w:tcBorders>
          </w:tcPr>
          <w:p w:rsidR="00E04B31" w:rsidP="00054D31" w:rsidRDefault="00E04B31" w14:paraId="3D2FE485" w14:textId="77777777">
            <w:pPr>
              <w:pStyle w:val="BodyText"/>
              <w:rPr>
                <w:rFonts w:asciiTheme="minorHAnsi" w:hAnsiTheme="minorHAnsi" w:cstheme="minorHAnsi"/>
                <w:sz w:val="24"/>
                <w:szCs w:val="24"/>
              </w:rPr>
            </w:pPr>
          </w:p>
        </w:tc>
        <w:tc>
          <w:tcPr>
            <w:tcW w:w="3855" w:type="dxa"/>
            <w:gridSpan w:val="2"/>
            <w:tcBorders>
              <w:left w:val="single" w:color="auto" w:sz="4" w:space="0"/>
            </w:tcBorders>
          </w:tcPr>
          <w:p w:rsidR="00E04B31" w:rsidP="00054D31" w:rsidRDefault="00E04B31" w14:paraId="01ABCCE4" w14:textId="77777777">
            <w:pPr>
              <w:pStyle w:val="BodyText"/>
              <w:jc w:val="center"/>
              <w:rPr>
                <w:rFonts w:asciiTheme="minorHAnsi" w:hAnsiTheme="minorHAnsi" w:cstheme="minorHAnsi"/>
                <w:b/>
                <w:sz w:val="24"/>
                <w:szCs w:val="24"/>
              </w:rPr>
            </w:pPr>
            <w:r w:rsidRPr="00247308">
              <w:rPr>
                <w:rFonts w:asciiTheme="minorHAnsi" w:hAnsiTheme="minorHAnsi" w:cstheme="minorHAnsi"/>
                <w:b/>
                <w:sz w:val="24"/>
                <w:szCs w:val="24"/>
              </w:rPr>
              <w:t xml:space="preserve">Follow-up </w:t>
            </w:r>
            <w:r>
              <w:rPr>
                <w:rFonts w:asciiTheme="minorHAnsi" w:hAnsiTheme="minorHAnsi" w:cstheme="minorHAnsi"/>
                <w:b/>
                <w:sz w:val="24"/>
                <w:szCs w:val="24"/>
              </w:rPr>
              <w:t>P</w:t>
            </w:r>
            <w:r w:rsidRPr="00247308">
              <w:rPr>
                <w:rFonts w:asciiTheme="minorHAnsi" w:hAnsiTheme="minorHAnsi" w:cstheme="minorHAnsi"/>
                <w:b/>
                <w:sz w:val="24"/>
                <w:szCs w:val="24"/>
              </w:rPr>
              <w:t>robes</w:t>
            </w:r>
            <w:r>
              <w:rPr>
                <w:rFonts w:asciiTheme="minorHAnsi" w:hAnsiTheme="minorHAnsi" w:cstheme="minorHAnsi"/>
                <w:b/>
                <w:sz w:val="24"/>
                <w:szCs w:val="24"/>
              </w:rPr>
              <w:t xml:space="preserve"> for </w:t>
            </w:r>
          </w:p>
          <w:p w:rsidR="00E04B31" w:rsidP="00054D31" w:rsidRDefault="004F68A2" w14:paraId="715E9C61" w14:textId="50009399">
            <w:pPr>
              <w:pStyle w:val="BodyText"/>
              <w:jc w:val="center"/>
              <w:rPr>
                <w:rFonts w:asciiTheme="minorHAnsi" w:hAnsiTheme="minorHAnsi" w:cstheme="minorHAnsi"/>
                <w:b/>
                <w:sz w:val="24"/>
                <w:szCs w:val="24"/>
              </w:rPr>
            </w:pPr>
            <w:r>
              <w:rPr>
                <w:rFonts w:asciiTheme="minorHAnsi" w:hAnsiTheme="minorHAnsi" w:cstheme="minorHAnsi"/>
                <w:b/>
                <w:sz w:val="24"/>
                <w:szCs w:val="24"/>
              </w:rPr>
              <w:t>Non-</w:t>
            </w:r>
            <w:r w:rsidR="00E04B31">
              <w:rPr>
                <w:rFonts w:asciiTheme="minorHAnsi" w:hAnsiTheme="minorHAnsi" w:cstheme="minorHAnsi"/>
                <w:b/>
                <w:sz w:val="24"/>
                <w:szCs w:val="24"/>
              </w:rPr>
              <w:t xml:space="preserve">Response Options </w:t>
            </w:r>
          </w:p>
          <w:p w:rsidRPr="00247308" w:rsidR="00E04B31" w:rsidP="00054D31" w:rsidRDefault="00E04B31" w14:paraId="55A21BD0" w14:textId="77777777">
            <w:pPr>
              <w:pStyle w:val="BodyText"/>
              <w:jc w:val="center"/>
              <w:rPr>
                <w:rFonts w:asciiTheme="minorHAnsi" w:hAnsiTheme="minorHAnsi" w:cstheme="minorHAnsi"/>
                <w:b/>
                <w:sz w:val="24"/>
                <w:szCs w:val="24"/>
              </w:rPr>
            </w:pPr>
            <w:r>
              <w:rPr>
                <w:rFonts w:asciiTheme="minorHAnsi" w:hAnsiTheme="minorHAnsi" w:cstheme="minorHAnsi"/>
                <w:b/>
                <w:sz w:val="24"/>
                <w:szCs w:val="24"/>
              </w:rPr>
              <w:t>and Skips</w:t>
            </w:r>
          </w:p>
        </w:tc>
      </w:tr>
      <w:tr w:rsidR="00E04B31" w:rsidTr="00E04B31" w14:paraId="7E789E6F" w14:textId="77777777">
        <w:tc>
          <w:tcPr>
            <w:tcW w:w="1260" w:type="dxa"/>
            <w:tcBorders>
              <w:top w:val="nil"/>
              <w:left w:val="nil"/>
              <w:bottom w:val="single" w:color="auto" w:sz="4" w:space="0"/>
              <w:right w:val="nil"/>
            </w:tcBorders>
          </w:tcPr>
          <w:p w:rsidRPr="00247308" w:rsidR="00E04B31" w:rsidP="00054D31" w:rsidRDefault="00E04B31" w14:paraId="15E558DD" w14:textId="77777777">
            <w:pPr>
              <w:pStyle w:val="BodyText"/>
              <w:rPr>
                <w:rFonts w:asciiTheme="minorHAnsi" w:hAnsiTheme="minorHAnsi" w:cstheme="minorHAnsi"/>
                <w:b/>
                <w:sz w:val="24"/>
                <w:szCs w:val="24"/>
              </w:rPr>
            </w:pPr>
          </w:p>
        </w:tc>
        <w:tc>
          <w:tcPr>
            <w:tcW w:w="2720" w:type="dxa"/>
            <w:tcBorders>
              <w:top w:val="nil"/>
              <w:left w:val="nil"/>
              <w:bottom w:val="single" w:color="auto" w:sz="4" w:space="0"/>
              <w:right w:val="single" w:color="auto" w:sz="4" w:space="0"/>
            </w:tcBorders>
          </w:tcPr>
          <w:p w:rsidR="00E04B31" w:rsidP="00054D31" w:rsidRDefault="00E04B31" w14:paraId="1A8ED35B" w14:textId="77777777">
            <w:pPr>
              <w:pStyle w:val="BodyText"/>
              <w:rPr>
                <w:rFonts w:asciiTheme="minorHAnsi" w:hAnsiTheme="minorHAnsi" w:cstheme="minorHAnsi"/>
                <w:sz w:val="24"/>
                <w:szCs w:val="24"/>
              </w:rPr>
            </w:pPr>
          </w:p>
        </w:tc>
        <w:tc>
          <w:tcPr>
            <w:tcW w:w="2055" w:type="dxa"/>
            <w:tcBorders>
              <w:left w:val="single" w:color="auto" w:sz="4" w:space="0"/>
            </w:tcBorders>
          </w:tcPr>
          <w:p w:rsidRPr="00247308" w:rsidR="00E04B31" w:rsidP="00054D31" w:rsidRDefault="00E04B31" w14:paraId="744EFEF5" w14:textId="77777777">
            <w:pPr>
              <w:pStyle w:val="BodyText"/>
              <w:jc w:val="center"/>
              <w:rPr>
                <w:rFonts w:asciiTheme="minorHAnsi" w:hAnsiTheme="minorHAnsi" w:cstheme="minorHAnsi"/>
                <w:i/>
                <w:sz w:val="24"/>
                <w:szCs w:val="24"/>
              </w:rPr>
            </w:pPr>
            <w:r w:rsidRPr="00247308">
              <w:rPr>
                <w:rFonts w:asciiTheme="minorHAnsi" w:hAnsiTheme="minorHAnsi" w:cstheme="minorHAnsi"/>
                <w:i/>
                <w:sz w:val="24"/>
                <w:szCs w:val="24"/>
              </w:rPr>
              <w:t>With Probes</w:t>
            </w:r>
          </w:p>
        </w:tc>
        <w:tc>
          <w:tcPr>
            <w:tcW w:w="1800" w:type="dxa"/>
          </w:tcPr>
          <w:p w:rsidRPr="00247308" w:rsidR="00E04B31" w:rsidP="00054D31" w:rsidRDefault="00E04B31" w14:paraId="1597DFFD" w14:textId="77777777">
            <w:pPr>
              <w:pStyle w:val="BodyText"/>
              <w:jc w:val="center"/>
              <w:rPr>
                <w:rFonts w:asciiTheme="minorHAnsi" w:hAnsiTheme="minorHAnsi" w:cstheme="minorHAnsi"/>
                <w:i/>
                <w:sz w:val="24"/>
                <w:szCs w:val="24"/>
              </w:rPr>
            </w:pPr>
            <w:r w:rsidRPr="00247308">
              <w:rPr>
                <w:rFonts w:asciiTheme="minorHAnsi" w:hAnsiTheme="minorHAnsi" w:cstheme="minorHAnsi"/>
                <w:i/>
                <w:sz w:val="24"/>
                <w:szCs w:val="24"/>
              </w:rPr>
              <w:t>No Probes</w:t>
            </w:r>
          </w:p>
        </w:tc>
      </w:tr>
      <w:tr w:rsidR="004F68A2" w:rsidTr="00E04B31" w14:paraId="42FEC2FB" w14:textId="77777777">
        <w:trPr>
          <w:trHeight w:val="314"/>
        </w:trPr>
        <w:tc>
          <w:tcPr>
            <w:tcW w:w="1260" w:type="dxa"/>
            <w:vMerge w:val="restart"/>
            <w:tcBorders>
              <w:top w:val="single" w:color="auto" w:sz="4" w:space="0"/>
            </w:tcBorders>
          </w:tcPr>
          <w:p w:rsidRPr="00247308" w:rsidR="00E04B31" w:rsidP="00054D31" w:rsidRDefault="004F68A2" w14:paraId="74630AFF" w14:textId="412B41C1">
            <w:pPr>
              <w:pStyle w:val="BodyText"/>
              <w:rPr>
                <w:rFonts w:asciiTheme="minorHAnsi" w:hAnsiTheme="minorHAnsi" w:cstheme="minorHAnsi"/>
                <w:b/>
                <w:sz w:val="24"/>
                <w:szCs w:val="24"/>
              </w:rPr>
            </w:pPr>
            <w:r>
              <w:rPr>
                <w:rFonts w:asciiTheme="minorHAnsi" w:hAnsiTheme="minorHAnsi" w:cstheme="minorHAnsi"/>
                <w:b/>
                <w:sz w:val="24"/>
                <w:szCs w:val="24"/>
              </w:rPr>
              <w:t>Non-</w:t>
            </w:r>
            <w:r w:rsidRPr="00247308" w:rsidR="00E04B31">
              <w:rPr>
                <w:rFonts w:asciiTheme="minorHAnsi" w:hAnsiTheme="minorHAnsi" w:cstheme="minorHAnsi"/>
                <w:b/>
                <w:sz w:val="24"/>
                <w:szCs w:val="24"/>
              </w:rPr>
              <w:t>Response Options</w:t>
            </w:r>
          </w:p>
        </w:tc>
        <w:tc>
          <w:tcPr>
            <w:tcW w:w="2720" w:type="dxa"/>
            <w:tcBorders>
              <w:top w:val="single" w:color="auto" w:sz="4" w:space="0"/>
            </w:tcBorders>
          </w:tcPr>
          <w:p w:rsidRPr="00247308" w:rsidR="00E04B31" w:rsidP="00054D31" w:rsidRDefault="00E04B31" w14:paraId="16A9D073" w14:textId="77777777">
            <w:pPr>
              <w:pStyle w:val="BodyText"/>
              <w:rPr>
                <w:rFonts w:asciiTheme="minorHAnsi" w:hAnsiTheme="minorHAnsi" w:cstheme="minorHAnsi"/>
                <w:i/>
                <w:sz w:val="24"/>
                <w:szCs w:val="24"/>
              </w:rPr>
            </w:pPr>
            <w:r w:rsidRPr="00247308">
              <w:rPr>
                <w:rFonts w:asciiTheme="minorHAnsi" w:hAnsiTheme="minorHAnsi" w:cstheme="minorHAnsi"/>
                <w:i/>
                <w:sz w:val="24"/>
                <w:szCs w:val="24"/>
              </w:rPr>
              <w:t>DK only</w:t>
            </w:r>
          </w:p>
        </w:tc>
        <w:tc>
          <w:tcPr>
            <w:tcW w:w="2055" w:type="dxa"/>
          </w:tcPr>
          <w:p w:rsidR="00E04B31" w:rsidP="00054D31" w:rsidRDefault="00E04B31" w14:paraId="19DEA974" w14:textId="77777777">
            <w:pPr>
              <w:pStyle w:val="BodyText"/>
              <w:jc w:val="center"/>
              <w:rPr>
                <w:rFonts w:asciiTheme="minorHAnsi" w:hAnsiTheme="minorHAnsi" w:cstheme="minorHAnsi"/>
                <w:sz w:val="24"/>
                <w:szCs w:val="24"/>
              </w:rPr>
            </w:pPr>
            <w:r>
              <w:rPr>
                <w:rFonts w:asciiTheme="minorHAnsi" w:hAnsiTheme="minorHAnsi" w:cstheme="minorHAnsi"/>
                <w:sz w:val="24"/>
                <w:szCs w:val="24"/>
              </w:rPr>
              <w:t>Condition 1</w:t>
            </w:r>
          </w:p>
          <w:p w:rsidR="00E04B31" w:rsidP="00054D31" w:rsidRDefault="00E04B31" w14:paraId="0BAE9057" w14:textId="63241E56">
            <w:pPr>
              <w:pStyle w:val="BodyText"/>
              <w:jc w:val="center"/>
              <w:rPr>
                <w:rFonts w:asciiTheme="minorHAnsi" w:hAnsiTheme="minorHAnsi" w:cstheme="minorHAnsi"/>
                <w:sz w:val="24"/>
                <w:szCs w:val="24"/>
              </w:rPr>
            </w:pPr>
            <w:r>
              <w:rPr>
                <w:rFonts w:asciiTheme="minorHAnsi" w:hAnsiTheme="minorHAnsi" w:cstheme="minorHAnsi"/>
                <w:sz w:val="24"/>
                <w:szCs w:val="24"/>
              </w:rPr>
              <w:t xml:space="preserve">n = </w:t>
            </w:r>
            <w:r w:rsidR="004C426C">
              <w:rPr>
                <w:rFonts w:asciiTheme="minorHAnsi" w:hAnsiTheme="minorHAnsi" w:cstheme="minorHAnsi"/>
                <w:sz w:val="24"/>
                <w:szCs w:val="24"/>
              </w:rPr>
              <w:t>1240</w:t>
            </w:r>
          </w:p>
        </w:tc>
        <w:tc>
          <w:tcPr>
            <w:tcW w:w="1800" w:type="dxa"/>
          </w:tcPr>
          <w:p w:rsidR="00E04B31" w:rsidP="00054D31" w:rsidRDefault="00E04B31" w14:paraId="352C980E" w14:textId="77777777">
            <w:pPr>
              <w:pStyle w:val="BodyText"/>
              <w:jc w:val="center"/>
              <w:rPr>
                <w:rFonts w:asciiTheme="minorHAnsi" w:hAnsiTheme="minorHAnsi" w:cstheme="minorHAnsi"/>
                <w:sz w:val="24"/>
                <w:szCs w:val="24"/>
              </w:rPr>
            </w:pPr>
            <w:r>
              <w:rPr>
                <w:rFonts w:asciiTheme="minorHAnsi" w:hAnsiTheme="minorHAnsi" w:cstheme="minorHAnsi"/>
                <w:sz w:val="24"/>
                <w:szCs w:val="24"/>
              </w:rPr>
              <w:t>Condition 2</w:t>
            </w:r>
          </w:p>
          <w:p w:rsidR="00E04B31" w:rsidP="00054D31" w:rsidRDefault="00E04B31" w14:paraId="42E414CD" w14:textId="1E721B75">
            <w:pPr>
              <w:pStyle w:val="BodyText"/>
              <w:jc w:val="center"/>
              <w:rPr>
                <w:rFonts w:asciiTheme="minorHAnsi" w:hAnsiTheme="minorHAnsi" w:cstheme="minorHAnsi"/>
                <w:sz w:val="24"/>
                <w:szCs w:val="24"/>
              </w:rPr>
            </w:pPr>
            <w:r>
              <w:rPr>
                <w:rFonts w:asciiTheme="minorHAnsi" w:hAnsiTheme="minorHAnsi" w:cstheme="minorHAnsi"/>
                <w:sz w:val="24"/>
                <w:szCs w:val="24"/>
              </w:rPr>
              <w:t xml:space="preserve">n = </w:t>
            </w:r>
            <w:r w:rsidR="004C426C">
              <w:rPr>
                <w:rFonts w:asciiTheme="minorHAnsi" w:hAnsiTheme="minorHAnsi" w:cstheme="minorHAnsi"/>
                <w:sz w:val="24"/>
                <w:szCs w:val="24"/>
              </w:rPr>
              <w:t>1240</w:t>
            </w:r>
          </w:p>
        </w:tc>
      </w:tr>
      <w:tr w:rsidR="00E04B31" w:rsidTr="00E04B31" w14:paraId="0BFBAF35" w14:textId="77777777">
        <w:trPr>
          <w:trHeight w:val="188"/>
        </w:trPr>
        <w:tc>
          <w:tcPr>
            <w:tcW w:w="1260" w:type="dxa"/>
            <w:vMerge/>
          </w:tcPr>
          <w:p w:rsidR="00E04B31" w:rsidP="00054D31" w:rsidRDefault="00E04B31" w14:paraId="428AEE1A" w14:textId="0AD222D6">
            <w:pPr>
              <w:pStyle w:val="BodyText"/>
              <w:rPr>
                <w:rFonts w:asciiTheme="minorHAnsi" w:hAnsiTheme="minorHAnsi" w:cstheme="minorHAnsi"/>
                <w:sz w:val="24"/>
                <w:szCs w:val="24"/>
              </w:rPr>
            </w:pPr>
          </w:p>
        </w:tc>
        <w:tc>
          <w:tcPr>
            <w:tcW w:w="2720" w:type="dxa"/>
          </w:tcPr>
          <w:p w:rsidRPr="00247308" w:rsidR="00E04B31" w:rsidP="00054D31" w:rsidRDefault="00E04B31" w14:paraId="66DD29E5" w14:textId="77777777">
            <w:pPr>
              <w:pStyle w:val="BodyText"/>
              <w:rPr>
                <w:rFonts w:asciiTheme="minorHAnsi" w:hAnsiTheme="minorHAnsi" w:cstheme="minorHAnsi"/>
                <w:i/>
                <w:sz w:val="24"/>
                <w:szCs w:val="24"/>
              </w:rPr>
            </w:pPr>
            <w:r w:rsidRPr="00247308">
              <w:rPr>
                <w:rFonts w:asciiTheme="minorHAnsi" w:hAnsiTheme="minorHAnsi" w:cstheme="minorHAnsi"/>
                <w:i/>
                <w:sz w:val="24"/>
                <w:szCs w:val="24"/>
              </w:rPr>
              <w:t>DK and Prefer not to say</w:t>
            </w:r>
          </w:p>
        </w:tc>
        <w:tc>
          <w:tcPr>
            <w:tcW w:w="2055" w:type="dxa"/>
          </w:tcPr>
          <w:p w:rsidR="00E04B31" w:rsidP="00054D31" w:rsidRDefault="00E04B31" w14:paraId="3A8F25BD" w14:textId="77777777">
            <w:pPr>
              <w:pStyle w:val="BodyText"/>
              <w:jc w:val="center"/>
              <w:rPr>
                <w:rFonts w:asciiTheme="minorHAnsi" w:hAnsiTheme="minorHAnsi" w:cstheme="minorHAnsi"/>
                <w:sz w:val="24"/>
                <w:szCs w:val="24"/>
              </w:rPr>
            </w:pPr>
            <w:r>
              <w:rPr>
                <w:rFonts w:asciiTheme="minorHAnsi" w:hAnsiTheme="minorHAnsi" w:cstheme="minorHAnsi"/>
                <w:sz w:val="24"/>
                <w:szCs w:val="24"/>
              </w:rPr>
              <w:t>Condition 3</w:t>
            </w:r>
          </w:p>
          <w:p w:rsidR="00E04B31" w:rsidP="00054D31" w:rsidRDefault="00E04B31" w14:paraId="4D9D16D9" w14:textId="2C1B2A38">
            <w:pPr>
              <w:pStyle w:val="BodyText"/>
              <w:jc w:val="center"/>
              <w:rPr>
                <w:rFonts w:asciiTheme="minorHAnsi" w:hAnsiTheme="minorHAnsi" w:cstheme="minorHAnsi"/>
                <w:sz w:val="24"/>
                <w:szCs w:val="24"/>
              </w:rPr>
            </w:pPr>
            <w:r>
              <w:rPr>
                <w:rFonts w:asciiTheme="minorHAnsi" w:hAnsiTheme="minorHAnsi" w:cstheme="minorHAnsi"/>
                <w:sz w:val="24"/>
                <w:szCs w:val="24"/>
              </w:rPr>
              <w:t xml:space="preserve">n = </w:t>
            </w:r>
            <w:r w:rsidR="004C426C">
              <w:rPr>
                <w:rFonts w:asciiTheme="minorHAnsi" w:hAnsiTheme="minorHAnsi" w:cstheme="minorHAnsi"/>
                <w:sz w:val="24"/>
                <w:szCs w:val="24"/>
              </w:rPr>
              <w:t>1240</w:t>
            </w:r>
          </w:p>
        </w:tc>
        <w:tc>
          <w:tcPr>
            <w:tcW w:w="1800" w:type="dxa"/>
          </w:tcPr>
          <w:p w:rsidR="00E04B31" w:rsidP="00054D31" w:rsidRDefault="00E04B31" w14:paraId="56F66454" w14:textId="77777777">
            <w:pPr>
              <w:pStyle w:val="BodyText"/>
              <w:jc w:val="center"/>
              <w:rPr>
                <w:rFonts w:asciiTheme="minorHAnsi" w:hAnsiTheme="minorHAnsi" w:cstheme="minorHAnsi"/>
                <w:sz w:val="24"/>
                <w:szCs w:val="24"/>
              </w:rPr>
            </w:pPr>
            <w:r>
              <w:rPr>
                <w:rFonts w:asciiTheme="minorHAnsi" w:hAnsiTheme="minorHAnsi" w:cstheme="minorHAnsi"/>
                <w:sz w:val="24"/>
                <w:szCs w:val="24"/>
              </w:rPr>
              <w:t>Condition 4</w:t>
            </w:r>
          </w:p>
          <w:p w:rsidR="00E04B31" w:rsidP="00054D31" w:rsidRDefault="00E04B31" w14:paraId="1E8268D0" w14:textId="3BF7968C">
            <w:pPr>
              <w:pStyle w:val="BodyText"/>
              <w:jc w:val="center"/>
              <w:rPr>
                <w:rFonts w:asciiTheme="minorHAnsi" w:hAnsiTheme="minorHAnsi" w:cstheme="minorHAnsi"/>
                <w:sz w:val="24"/>
                <w:szCs w:val="24"/>
              </w:rPr>
            </w:pPr>
            <w:r>
              <w:rPr>
                <w:rFonts w:asciiTheme="minorHAnsi" w:hAnsiTheme="minorHAnsi" w:cstheme="minorHAnsi"/>
                <w:sz w:val="24"/>
                <w:szCs w:val="24"/>
              </w:rPr>
              <w:t xml:space="preserve">n = </w:t>
            </w:r>
            <w:r w:rsidR="004C426C">
              <w:rPr>
                <w:rFonts w:asciiTheme="minorHAnsi" w:hAnsiTheme="minorHAnsi" w:cstheme="minorHAnsi"/>
                <w:sz w:val="24"/>
                <w:szCs w:val="24"/>
              </w:rPr>
              <w:t>1240</w:t>
            </w:r>
          </w:p>
        </w:tc>
      </w:tr>
    </w:tbl>
    <w:p w:rsidR="00CC1C96" w:rsidP="000B41AF" w:rsidRDefault="00CC1C96" w14:paraId="6FAF50F3" w14:textId="77777777">
      <w:pPr>
        <w:pStyle w:val="BodyText"/>
        <w:spacing w:after="240" w:line="276" w:lineRule="auto"/>
        <w:rPr>
          <w:rFonts w:asciiTheme="minorHAnsi" w:hAnsiTheme="minorHAnsi" w:cstheme="minorHAnsi"/>
          <w:sz w:val="24"/>
          <w:szCs w:val="24"/>
        </w:rPr>
      </w:pPr>
    </w:p>
    <w:p w:rsidR="008C782E" w:rsidP="000B41AF" w:rsidRDefault="008C782E" w14:paraId="5784C2DE" w14:textId="6EC4C44C">
      <w:pPr>
        <w:pStyle w:val="BodyText"/>
        <w:spacing w:after="240" w:line="276" w:lineRule="auto"/>
        <w:rPr>
          <w:rStyle w:val="Hyperlink"/>
          <w:rFonts w:asciiTheme="minorHAnsi" w:hAnsiTheme="minorHAnsi" w:cstheme="minorHAnsi"/>
          <w:color w:val="auto"/>
          <w:sz w:val="24"/>
          <w:szCs w:val="24"/>
          <w:u w:val="none"/>
        </w:rPr>
      </w:pPr>
      <w:r>
        <w:rPr>
          <w:rFonts w:asciiTheme="minorHAnsi" w:hAnsiTheme="minorHAnsi" w:cstheme="minorHAnsi"/>
          <w:sz w:val="24"/>
          <w:szCs w:val="24"/>
        </w:rPr>
        <w:lastRenderedPageBreak/>
        <w:t xml:space="preserve">Anytime that participants opt to select Don’t Know, Prefer Not to Say, or skip a question, they will be prompted with the following probe based on </w:t>
      </w:r>
      <w:r w:rsidRPr="008C782E">
        <w:rPr>
          <w:rStyle w:val="Hyperlink"/>
          <w:rFonts w:asciiTheme="minorHAnsi" w:hAnsiTheme="minorHAnsi" w:cstheme="minorHAnsi"/>
          <w:color w:val="auto"/>
          <w:sz w:val="24"/>
          <w:szCs w:val="24"/>
          <w:u w:val="none"/>
        </w:rPr>
        <w:t>Baghal and Lynn (2015</w:t>
      </w:r>
      <w:r>
        <w:rPr>
          <w:rStyle w:val="Hyperlink"/>
          <w:rFonts w:asciiTheme="minorHAnsi" w:hAnsiTheme="minorHAnsi" w:cstheme="minorHAnsi"/>
          <w:color w:val="auto"/>
          <w:sz w:val="24"/>
          <w:szCs w:val="24"/>
          <w:u w:val="none"/>
        </w:rPr>
        <w:t>, see Attachment A</w:t>
      </w:r>
      <w:r w:rsidRPr="008C782E">
        <w:rPr>
          <w:rStyle w:val="Hyperlink"/>
          <w:rFonts w:asciiTheme="minorHAnsi" w:hAnsiTheme="minorHAnsi" w:cstheme="minorHAnsi"/>
          <w:color w:val="auto"/>
          <w:sz w:val="24"/>
          <w:szCs w:val="24"/>
          <w:u w:val="none"/>
        </w:rPr>
        <w:t>)</w:t>
      </w:r>
      <w:r>
        <w:rPr>
          <w:rStyle w:val="Hyperlink"/>
          <w:rFonts w:asciiTheme="minorHAnsi" w:hAnsiTheme="minorHAnsi" w:cstheme="minorHAnsi"/>
          <w:color w:val="auto"/>
          <w:sz w:val="24"/>
          <w:szCs w:val="24"/>
          <w:u w:val="none"/>
        </w:rPr>
        <w:t>:</w:t>
      </w:r>
    </w:p>
    <w:p w:rsidR="008C782E" w:rsidP="000B41AF" w:rsidRDefault="008C782E" w14:paraId="2862AF11" w14:textId="0E21DC1F">
      <w:pPr>
        <w:pStyle w:val="BodyText"/>
        <w:spacing w:after="240" w:line="276" w:lineRule="auto"/>
        <w:rPr>
          <w:rFonts w:asciiTheme="minorHAnsi" w:hAnsiTheme="minorHAnsi" w:cstheme="minorHAnsi"/>
          <w:sz w:val="24"/>
          <w:szCs w:val="24"/>
        </w:rPr>
      </w:pPr>
      <w:r w:rsidRPr="00C741F8">
        <w:rPr>
          <w:rFonts w:asciiTheme="minorHAnsi" w:hAnsiTheme="minorHAnsi" w:cstheme="minorHAnsi"/>
          <w:sz w:val="24"/>
          <w:szCs w:val="24"/>
          <w:highlight w:val="cyan"/>
        </w:rPr>
        <w:t>“If possible, please provide an answer to this question, as this is one of the key questions in this survey.”</w:t>
      </w:r>
    </w:p>
    <w:p w:rsidR="008C782E" w:rsidP="000B41AF" w:rsidRDefault="007E4774" w14:paraId="44063BAC" w14:textId="7E4DB8C8">
      <w:pPr>
        <w:pStyle w:val="BodyText"/>
        <w:spacing w:after="240" w:line="276" w:lineRule="auto"/>
        <w:rPr>
          <w:rFonts w:asciiTheme="minorHAnsi" w:hAnsiTheme="minorHAnsi" w:cstheme="minorHAnsi"/>
          <w:sz w:val="24"/>
          <w:szCs w:val="24"/>
        </w:rPr>
      </w:pPr>
      <w:r>
        <w:rPr>
          <w:rFonts w:asciiTheme="minorHAnsi" w:hAnsiTheme="minorHAnsi" w:cstheme="minorHAnsi"/>
          <w:sz w:val="24"/>
          <w:szCs w:val="24"/>
        </w:rPr>
        <w:t>This prompt will be programmed in the instrument to be displayed throughout the survey for those in Conditions 1 and 3.</w:t>
      </w:r>
      <w:r w:rsidR="009C1E72">
        <w:rPr>
          <w:rFonts w:asciiTheme="minorHAnsi" w:hAnsiTheme="minorHAnsi" w:cstheme="minorHAnsi"/>
          <w:sz w:val="24"/>
          <w:szCs w:val="24"/>
        </w:rPr>
        <w:t xml:space="preserve"> </w:t>
      </w:r>
      <w:r w:rsidRPr="009C1E72" w:rsidR="009C1E72">
        <w:rPr>
          <w:rFonts w:asciiTheme="minorHAnsi" w:hAnsiTheme="minorHAnsi" w:cstheme="minorHAnsi"/>
          <w:sz w:val="24"/>
          <w:szCs w:val="24"/>
        </w:rPr>
        <w:t>Due to the way the skip logic has to be programmed, we cannot use a ‘go back’ option. Participants can proceed without selecting a response</w:t>
      </w:r>
      <w:r w:rsidR="009C1E72">
        <w:rPr>
          <w:rFonts w:asciiTheme="minorHAnsi" w:hAnsiTheme="minorHAnsi" w:cstheme="minorHAnsi"/>
          <w:sz w:val="24"/>
          <w:szCs w:val="24"/>
        </w:rPr>
        <w:t xml:space="preserve"> to the prompt</w:t>
      </w:r>
      <w:r w:rsidRPr="009C1E72" w:rsidR="009C1E72">
        <w:rPr>
          <w:rFonts w:asciiTheme="minorHAnsi" w:hAnsiTheme="minorHAnsi" w:cstheme="minorHAnsi"/>
          <w:sz w:val="24"/>
          <w:szCs w:val="24"/>
        </w:rPr>
        <w:t>, though.</w:t>
      </w:r>
      <w:r>
        <w:rPr>
          <w:rFonts w:asciiTheme="minorHAnsi" w:hAnsiTheme="minorHAnsi" w:cstheme="minorHAnsi"/>
          <w:sz w:val="24"/>
          <w:szCs w:val="24"/>
        </w:rPr>
        <w:t xml:space="preserve"> </w:t>
      </w:r>
      <w:r w:rsidR="008C782E">
        <w:rPr>
          <w:rFonts w:asciiTheme="minorHAnsi" w:hAnsiTheme="minorHAnsi" w:cstheme="minorHAnsi"/>
          <w:sz w:val="24"/>
          <w:szCs w:val="24"/>
        </w:rPr>
        <w:t xml:space="preserve">After viewing the prompt, </w:t>
      </w:r>
      <w:r w:rsidR="00F812E5">
        <w:rPr>
          <w:rFonts w:asciiTheme="minorHAnsi" w:hAnsiTheme="minorHAnsi" w:cstheme="minorHAnsi"/>
          <w:sz w:val="24"/>
          <w:szCs w:val="24"/>
        </w:rPr>
        <w:t xml:space="preserve">the question will be displayed again to </w:t>
      </w:r>
      <w:r w:rsidR="008C782E">
        <w:rPr>
          <w:rFonts w:asciiTheme="minorHAnsi" w:hAnsiTheme="minorHAnsi" w:cstheme="minorHAnsi"/>
          <w:sz w:val="24"/>
          <w:szCs w:val="24"/>
        </w:rPr>
        <w:t>participants</w:t>
      </w:r>
      <w:r w:rsidR="00F812E5">
        <w:rPr>
          <w:rFonts w:asciiTheme="minorHAnsi" w:hAnsiTheme="minorHAnsi" w:cstheme="minorHAnsi"/>
          <w:sz w:val="24"/>
          <w:szCs w:val="24"/>
        </w:rPr>
        <w:t>,</w:t>
      </w:r>
      <w:r w:rsidR="008C782E">
        <w:rPr>
          <w:rFonts w:asciiTheme="minorHAnsi" w:hAnsiTheme="minorHAnsi" w:cstheme="minorHAnsi"/>
          <w:sz w:val="24"/>
          <w:szCs w:val="24"/>
        </w:rPr>
        <w:t xml:space="preserve"> and </w:t>
      </w:r>
      <w:r w:rsidR="00F812E5">
        <w:rPr>
          <w:rFonts w:asciiTheme="minorHAnsi" w:hAnsiTheme="minorHAnsi" w:cstheme="minorHAnsi"/>
          <w:sz w:val="24"/>
          <w:szCs w:val="24"/>
        </w:rPr>
        <w:t xml:space="preserve">participants will be </w:t>
      </w:r>
      <w:r w:rsidR="008C782E">
        <w:rPr>
          <w:rFonts w:asciiTheme="minorHAnsi" w:hAnsiTheme="minorHAnsi" w:cstheme="minorHAnsi"/>
          <w:sz w:val="24"/>
          <w:szCs w:val="24"/>
        </w:rPr>
        <w:t xml:space="preserve">given the </w:t>
      </w:r>
      <w:r w:rsidR="00F812E5">
        <w:rPr>
          <w:rFonts w:asciiTheme="minorHAnsi" w:hAnsiTheme="minorHAnsi" w:cstheme="minorHAnsi"/>
          <w:sz w:val="24"/>
          <w:szCs w:val="24"/>
        </w:rPr>
        <w:t xml:space="preserve">same </w:t>
      </w:r>
      <w:r w:rsidR="008C782E">
        <w:rPr>
          <w:rFonts w:asciiTheme="minorHAnsi" w:hAnsiTheme="minorHAnsi" w:cstheme="minorHAnsi"/>
          <w:sz w:val="24"/>
          <w:szCs w:val="24"/>
        </w:rPr>
        <w:t>option</w:t>
      </w:r>
      <w:r w:rsidR="00F812E5">
        <w:rPr>
          <w:rFonts w:asciiTheme="minorHAnsi" w:hAnsiTheme="minorHAnsi" w:cstheme="minorHAnsi"/>
          <w:sz w:val="24"/>
          <w:szCs w:val="24"/>
        </w:rPr>
        <w:t>s</w:t>
      </w:r>
      <w:r w:rsidR="008C782E">
        <w:rPr>
          <w:rFonts w:asciiTheme="minorHAnsi" w:hAnsiTheme="minorHAnsi" w:cstheme="minorHAnsi"/>
          <w:sz w:val="24"/>
          <w:szCs w:val="24"/>
        </w:rPr>
        <w:t xml:space="preserve"> to provide a substantive response. They will not be prompted a second time if they opt not to provide a </w:t>
      </w:r>
      <w:r w:rsidR="00C741F8">
        <w:rPr>
          <w:rFonts w:asciiTheme="minorHAnsi" w:hAnsiTheme="minorHAnsi" w:cstheme="minorHAnsi"/>
          <w:sz w:val="24"/>
          <w:szCs w:val="24"/>
        </w:rPr>
        <w:t xml:space="preserve">substantive </w:t>
      </w:r>
      <w:r w:rsidR="008C782E">
        <w:rPr>
          <w:rFonts w:asciiTheme="minorHAnsi" w:hAnsiTheme="minorHAnsi" w:cstheme="minorHAnsi"/>
          <w:sz w:val="24"/>
          <w:szCs w:val="24"/>
        </w:rPr>
        <w:t>response following the prompt</w:t>
      </w:r>
      <w:r>
        <w:rPr>
          <w:rStyle w:val="FootnoteReference"/>
          <w:rFonts w:asciiTheme="minorHAnsi" w:hAnsiTheme="minorHAnsi" w:cstheme="minorHAnsi"/>
          <w:sz w:val="24"/>
          <w:szCs w:val="24"/>
        </w:rPr>
        <w:footnoteReference w:id="2"/>
      </w:r>
      <w:r w:rsidR="008C782E">
        <w:rPr>
          <w:rFonts w:asciiTheme="minorHAnsi" w:hAnsiTheme="minorHAnsi" w:cstheme="minorHAnsi"/>
          <w:sz w:val="24"/>
          <w:szCs w:val="24"/>
        </w:rPr>
        <w:t xml:space="preserve">. </w:t>
      </w:r>
    </w:p>
    <w:p w:rsidRPr="00CA6743" w:rsidR="00CA6743" w:rsidP="000B41AF" w:rsidRDefault="00CA6743" w14:paraId="0B0F4C66" w14:textId="64F2A471">
      <w:pPr>
        <w:pStyle w:val="BodyText"/>
        <w:spacing w:after="240" w:line="276" w:lineRule="auto"/>
        <w:rPr>
          <w:rFonts w:asciiTheme="minorHAnsi" w:hAnsiTheme="minorHAnsi" w:cstheme="minorHAnsi"/>
          <w:b/>
          <w:sz w:val="24"/>
          <w:szCs w:val="24"/>
          <w:u w:val="single"/>
        </w:rPr>
      </w:pPr>
      <w:r w:rsidRPr="00CA6743">
        <w:rPr>
          <w:rFonts w:asciiTheme="minorHAnsi" w:hAnsiTheme="minorHAnsi" w:cstheme="minorHAnsi"/>
          <w:b/>
          <w:sz w:val="24"/>
          <w:szCs w:val="24"/>
          <w:u w:val="single"/>
        </w:rPr>
        <w:t>Outcome Variables</w:t>
      </w:r>
    </w:p>
    <w:p w:rsidR="00EA4A26" w:rsidP="00E67D6D" w:rsidRDefault="00D36E71" w14:paraId="5667D18F" w14:textId="07E69E4C">
      <w:pPr>
        <w:pStyle w:val="BodyText"/>
        <w:numPr>
          <w:ilvl w:val="0"/>
          <w:numId w:val="3"/>
        </w:numPr>
        <w:rPr>
          <w:rFonts w:asciiTheme="minorHAnsi" w:hAnsiTheme="minorHAnsi" w:cstheme="minorHAnsi"/>
          <w:sz w:val="24"/>
          <w:szCs w:val="24"/>
        </w:rPr>
      </w:pPr>
      <w:r>
        <w:rPr>
          <w:rFonts w:asciiTheme="minorHAnsi" w:hAnsiTheme="minorHAnsi" w:cstheme="minorHAnsi"/>
          <w:sz w:val="24"/>
          <w:szCs w:val="24"/>
        </w:rPr>
        <w:t>Overall r</w:t>
      </w:r>
      <w:r w:rsidR="008C4E94">
        <w:rPr>
          <w:rFonts w:asciiTheme="minorHAnsi" w:hAnsiTheme="minorHAnsi" w:cstheme="minorHAnsi"/>
          <w:sz w:val="24"/>
          <w:szCs w:val="24"/>
        </w:rPr>
        <w:t xml:space="preserve">ate of DK, </w:t>
      </w:r>
      <w:r w:rsidR="00BC3323">
        <w:rPr>
          <w:rFonts w:asciiTheme="minorHAnsi" w:hAnsiTheme="minorHAnsi" w:cstheme="minorHAnsi"/>
          <w:sz w:val="24"/>
          <w:szCs w:val="24"/>
        </w:rPr>
        <w:t>’Prefer not to say’</w:t>
      </w:r>
      <w:r w:rsidR="008C4E94">
        <w:rPr>
          <w:rFonts w:asciiTheme="minorHAnsi" w:hAnsiTheme="minorHAnsi" w:cstheme="minorHAnsi"/>
          <w:sz w:val="24"/>
          <w:szCs w:val="24"/>
        </w:rPr>
        <w:t>, and skips</w:t>
      </w:r>
      <w:r w:rsidR="009937A7">
        <w:rPr>
          <w:rFonts w:asciiTheme="minorHAnsi" w:hAnsiTheme="minorHAnsi" w:cstheme="minorHAnsi"/>
          <w:sz w:val="24"/>
          <w:szCs w:val="24"/>
        </w:rPr>
        <w:t xml:space="preserve"> across </w:t>
      </w:r>
      <w:r>
        <w:rPr>
          <w:rFonts w:asciiTheme="minorHAnsi" w:hAnsiTheme="minorHAnsi" w:cstheme="minorHAnsi"/>
          <w:sz w:val="24"/>
          <w:szCs w:val="24"/>
        </w:rPr>
        <w:t>all conditions</w:t>
      </w:r>
    </w:p>
    <w:p w:rsidRPr="00D36E71" w:rsidR="00D36E71" w:rsidP="00E67D6D" w:rsidRDefault="008C4E94" w14:paraId="43739874" w14:textId="355391B1">
      <w:pPr>
        <w:pStyle w:val="BodyText"/>
        <w:numPr>
          <w:ilvl w:val="0"/>
          <w:numId w:val="3"/>
        </w:numPr>
        <w:rPr>
          <w:rFonts w:asciiTheme="minorHAnsi" w:hAnsiTheme="minorHAnsi" w:cstheme="minorHAnsi"/>
          <w:sz w:val="24"/>
          <w:szCs w:val="24"/>
        </w:rPr>
      </w:pPr>
      <w:r>
        <w:rPr>
          <w:rFonts w:asciiTheme="minorHAnsi" w:hAnsiTheme="minorHAnsi" w:cstheme="minorHAnsi"/>
          <w:sz w:val="24"/>
          <w:szCs w:val="24"/>
        </w:rPr>
        <w:t xml:space="preserve">Overall rate of DK, </w:t>
      </w:r>
      <w:r w:rsidR="00BC3323">
        <w:rPr>
          <w:rFonts w:asciiTheme="minorHAnsi" w:hAnsiTheme="minorHAnsi" w:cstheme="minorHAnsi"/>
          <w:sz w:val="24"/>
          <w:szCs w:val="24"/>
        </w:rPr>
        <w:t>’Prefer not to say’</w:t>
      </w:r>
      <w:r>
        <w:rPr>
          <w:rFonts w:asciiTheme="minorHAnsi" w:hAnsiTheme="minorHAnsi" w:cstheme="minorHAnsi"/>
          <w:sz w:val="24"/>
          <w:szCs w:val="24"/>
        </w:rPr>
        <w:t xml:space="preserve">, and </w:t>
      </w:r>
      <w:r w:rsidR="00BC3323">
        <w:rPr>
          <w:rFonts w:asciiTheme="minorHAnsi" w:hAnsiTheme="minorHAnsi" w:cstheme="minorHAnsi"/>
          <w:sz w:val="24"/>
          <w:szCs w:val="24"/>
        </w:rPr>
        <w:t>s</w:t>
      </w:r>
      <w:r>
        <w:rPr>
          <w:rFonts w:asciiTheme="minorHAnsi" w:hAnsiTheme="minorHAnsi" w:cstheme="minorHAnsi"/>
          <w:sz w:val="24"/>
          <w:szCs w:val="24"/>
        </w:rPr>
        <w:t>kips</w:t>
      </w:r>
      <w:r w:rsidR="00D36E71">
        <w:rPr>
          <w:rFonts w:asciiTheme="minorHAnsi" w:hAnsiTheme="minorHAnsi" w:cstheme="minorHAnsi"/>
          <w:sz w:val="24"/>
          <w:szCs w:val="24"/>
        </w:rPr>
        <w:t xml:space="preserve"> across each condition</w:t>
      </w:r>
    </w:p>
    <w:p w:rsidR="009937A7" w:rsidP="00E67D6D" w:rsidRDefault="00BF5CBD" w14:paraId="229BC735" w14:textId="0288D026">
      <w:pPr>
        <w:pStyle w:val="BodyText"/>
        <w:numPr>
          <w:ilvl w:val="1"/>
          <w:numId w:val="3"/>
        </w:numPr>
        <w:rPr>
          <w:rFonts w:asciiTheme="minorHAnsi" w:hAnsiTheme="minorHAnsi" w:cstheme="minorHAnsi"/>
          <w:sz w:val="24"/>
          <w:szCs w:val="24"/>
        </w:rPr>
      </w:pPr>
      <w:r>
        <w:rPr>
          <w:rFonts w:asciiTheme="minorHAnsi" w:hAnsiTheme="minorHAnsi" w:cstheme="minorHAnsi"/>
          <w:sz w:val="24"/>
          <w:szCs w:val="24"/>
        </w:rPr>
        <w:t>Main effect of adding ‘Prefer not to say’ as a response option (</w:t>
      </w:r>
      <w:r w:rsidR="009937A7">
        <w:rPr>
          <w:rFonts w:asciiTheme="minorHAnsi" w:hAnsiTheme="minorHAnsi" w:cstheme="minorHAnsi"/>
          <w:sz w:val="24"/>
          <w:szCs w:val="24"/>
        </w:rPr>
        <w:t>Comparison of Conditions 1 and 3 vs. Conditions 2 and 4</w:t>
      </w:r>
      <w:r>
        <w:rPr>
          <w:rFonts w:asciiTheme="minorHAnsi" w:hAnsiTheme="minorHAnsi" w:cstheme="minorHAnsi"/>
          <w:sz w:val="24"/>
          <w:szCs w:val="24"/>
        </w:rPr>
        <w:t>)</w:t>
      </w:r>
    </w:p>
    <w:p w:rsidR="00A66734" w:rsidP="00E67D6D" w:rsidRDefault="00BF5CBD" w14:paraId="29A0E89C" w14:textId="2A470DC1">
      <w:pPr>
        <w:pStyle w:val="BodyText"/>
        <w:numPr>
          <w:ilvl w:val="1"/>
          <w:numId w:val="3"/>
        </w:numPr>
        <w:rPr>
          <w:rFonts w:asciiTheme="minorHAnsi" w:hAnsiTheme="minorHAnsi" w:cstheme="minorHAnsi"/>
          <w:sz w:val="24"/>
          <w:szCs w:val="24"/>
        </w:rPr>
      </w:pPr>
      <w:r>
        <w:rPr>
          <w:rFonts w:asciiTheme="minorHAnsi" w:hAnsiTheme="minorHAnsi" w:cstheme="minorHAnsi"/>
          <w:sz w:val="24"/>
          <w:szCs w:val="24"/>
        </w:rPr>
        <w:t>Main effect of adding follow-up probes after non-response (</w:t>
      </w:r>
      <w:r w:rsidR="009937A7">
        <w:rPr>
          <w:rFonts w:asciiTheme="minorHAnsi" w:hAnsiTheme="minorHAnsi" w:cstheme="minorHAnsi"/>
          <w:sz w:val="24"/>
          <w:szCs w:val="24"/>
        </w:rPr>
        <w:t>Comparison of Conditions 1 and 2 vs. Conditions 3 vs. 4</w:t>
      </w:r>
      <w:r>
        <w:rPr>
          <w:rFonts w:asciiTheme="minorHAnsi" w:hAnsiTheme="minorHAnsi" w:cstheme="minorHAnsi"/>
          <w:sz w:val="24"/>
          <w:szCs w:val="24"/>
        </w:rPr>
        <w:t>)</w:t>
      </w:r>
    </w:p>
    <w:p w:rsidR="00A66734" w:rsidP="00A66734" w:rsidRDefault="00A66734" w14:paraId="49EAF1A2" w14:textId="77777777">
      <w:pPr>
        <w:pStyle w:val="BodyText"/>
        <w:rPr>
          <w:rFonts w:asciiTheme="minorHAnsi" w:hAnsiTheme="minorHAnsi" w:cstheme="minorHAnsi"/>
          <w:sz w:val="24"/>
          <w:szCs w:val="24"/>
        </w:rPr>
      </w:pPr>
    </w:p>
    <w:p w:rsidR="000104B7" w:rsidP="00A66734" w:rsidRDefault="00A66734" w14:paraId="39D9465E" w14:textId="5303B3E2">
      <w:pPr>
        <w:pStyle w:val="BodyText"/>
        <w:rPr>
          <w:rFonts w:asciiTheme="minorHAnsi" w:hAnsiTheme="minorHAnsi" w:cstheme="minorHAnsi"/>
          <w:b/>
          <w:sz w:val="24"/>
          <w:szCs w:val="24"/>
        </w:rPr>
      </w:pPr>
      <w:r>
        <w:rPr>
          <w:rFonts w:asciiTheme="minorHAnsi" w:hAnsiTheme="minorHAnsi" w:cstheme="minorHAnsi"/>
          <w:b/>
          <w:sz w:val="24"/>
          <w:szCs w:val="24"/>
        </w:rPr>
        <w:t xml:space="preserve">Research objective 2: </w:t>
      </w:r>
      <w:r w:rsidRPr="003A2EE0">
        <w:rPr>
          <w:rFonts w:asciiTheme="minorHAnsi" w:hAnsiTheme="minorHAnsi" w:cstheme="minorHAnsi"/>
          <w:b/>
          <w:sz w:val="24"/>
          <w:szCs w:val="24"/>
        </w:rPr>
        <w:t xml:space="preserve">How to administer open-ended and field-coded questions in self-administered </w:t>
      </w:r>
      <w:r w:rsidR="00F95AA7">
        <w:rPr>
          <w:rFonts w:asciiTheme="minorHAnsi" w:hAnsiTheme="minorHAnsi" w:cstheme="minorHAnsi"/>
          <w:b/>
          <w:sz w:val="24"/>
          <w:szCs w:val="24"/>
        </w:rPr>
        <w:t>online surveys</w:t>
      </w:r>
    </w:p>
    <w:p w:rsidR="00A66734" w:rsidP="00A66734" w:rsidRDefault="00A66734" w14:paraId="51853333" w14:textId="77777777">
      <w:pPr>
        <w:pStyle w:val="BodyText"/>
        <w:rPr>
          <w:rFonts w:asciiTheme="minorHAnsi" w:hAnsiTheme="minorHAnsi" w:cstheme="minorHAnsi"/>
          <w:b/>
          <w:sz w:val="24"/>
          <w:szCs w:val="24"/>
        </w:rPr>
      </w:pPr>
    </w:p>
    <w:p w:rsidRPr="00F509E5" w:rsidR="00F509E5" w:rsidP="00F509E5" w:rsidRDefault="00F509E5" w14:paraId="16EA65D1" w14:textId="622F1698">
      <w:pPr>
        <w:pStyle w:val="BodyText"/>
        <w:rPr>
          <w:rFonts w:asciiTheme="minorHAnsi" w:hAnsiTheme="minorHAnsi" w:cstheme="minorHAnsi"/>
          <w:sz w:val="24"/>
          <w:szCs w:val="24"/>
        </w:rPr>
      </w:pPr>
      <w:r>
        <w:rPr>
          <w:rFonts w:asciiTheme="minorHAnsi" w:hAnsiTheme="minorHAnsi" w:cstheme="minorHAnsi"/>
          <w:sz w:val="24"/>
          <w:szCs w:val="24"/>
        </w:rPr>
        <w:t>To assess the second research objective, this study will randomly assign</w:t>
      </w:r>
      <w:r w:rsidR="00A31D58">
        <w:rPr>
          <w:rStyle w:val="FootnoteReference"/>
          <w:rFonts w:asciiTheme="minorHAnsi" w:hAnsiTheme="minorHAnsi" w:cstheme="minorHAnsi"/>
          <w:sz w:val="24"/>
          <w:szCs w:val="24"/>
        </w:rPr>
        <w:footnoteReference w:id="3"/>
      </w:r>
      <w:r>
        <w:rPr>
          <w:rFonts w:asciiTheme="minorHAnsi" w:hAnsiTheme="minorHAnsi" w:cstheme="minorHAnsi"/>
          <w:sz w:val="24"/>
          <w:szCs w:val="24"/>
        </w:rPr>
        <w:t xml:space="preserve"> participants to one of two groups to answer the question about looking for work in the CPS (i.e., “</w:t>
      </w:r>
      <w:r w:rsidRPr="00F509E5">
        <w:rPr>
          <w:rFonts w:asciiTheme="minorHAnsi" w:hAnsiTheme="minorHAnsi" w:cstheme="minorHAnsi"/>
          <w:sz w:val="24"/>
          <w:szCs w:val="24"/>
        </w:rPr>
        <w:t>What are all the things you have done to find work during the last 4 weeks?</w:t>
      </w:r>
      <w:r>
        <w:rPr>
          <w:rFonts w:asciiTheme="minorHAnsi" w:hAnsiTheme="minorHAnsi" w:cstheme="minorHAnsi"/>
          <w:sz w:val="24"/>
          <w:szCs w:val="24"/>
        </w:rPr>
        <w:t>”):</w:t>
      </w:r>
    </w:p>
    <w:p w:rsidR="00A66734" w:rsidP="00A66734" w:rsidRDefault="00A66734" w14:paraId="7E0A0F54" w14:textId="2FF1BE67">
      <w:pPr>
        <w:pStyle w:val="BodyText"/>
        <w:rPr>
          <w:rFonts w:asciiTheme="minorHAnsi" w:hAnsiTheme="minorHAnsi" w:cstheme="minorHAnsi"/>
          <w:sz w:val="24"/>
          <w:szCs w:val="24"/>
        </w:rPr>
      </w:pPr>
    </w:p>
    <w:p w:rsidR="00F509E5" w:rsidP="00E67D6D" w:rsidRDefault="00F509E5" w14:paraId="47FDABBA" w14:textId="60ACB1DC">
      <w:pPr>
        <w:pStyle w:val="BodyText"/>
        <w:numPr>
          <w:ilvl w:val="1"/>
          <w:numId w:val="8"/>
        </w:numPr>
        <w:rPr>
          <w:rFonts w:asciiTheme="minorHAnsi" w:hAnsiTheme="minorHAnsi" w:cstheme="minorHAnsi"/>
          <w:sz w:val="24"/>
          <w:szCs w:val="24"/>
        </w:rPr>
      </w:pPr>
      <w:r w:rsidRPr="000104B7">
        <w:rPr>
          <w:rFonts w:asciiTheme="minorHAnsi" w:hAnsiTheme="minorHAnsi" w:cstheme="minorHAnsi"/>
          <w:i/>
          <w:sz w:val="24"/>
          <w:szCs w:val="24"/>
        </w:rPr>
        <w:t>Series of close-ended questions</w:t>
      </w:r>
      <w:r>
        <w:rPr>
          <w:rFonts w:asciiTheme="minorHAnsi" w:hAnsiTheme="minorHAnsi" w:cstheme="minorHAnsi"/>
          <w:sz w:val="24"/>
          <w:szCs w:val="24"/>
        </w:rPr>
        <w:t xml:space="preserve">: Respondents are </w:t>
      </w:r>
      <w:r w:rsidRPr="00F509E5">
        <w:rPr>
          <w:rFonts w:asciiTheme="minorHAnsi" w:hAnsiTheme="minorHAnsi" w:cstheme="minorHAnsi"/>
          <w:sz w:val="24"/>
          <w:szCs w:val="24"/>
        </w:rPr>
        <w:t>ask</w:t>
      </w:r>
      <w:r>
        <w:rPr>
          <w:rFonts w:asciiTheme="minorHAnsi" w:hAnsiTheme="minorHAnsi" w:cstheme="minorHAnsi"/>
          <w:sz w:val="24"/>
          <w:szCs w:val="24"/>
        </w:rPr>
        <w:t>ed</w:t>
      </w:r>
      <w:r w:rsidRPr="00F509E5">
        <w:rPr>
          <w:rFonts w:asciiTheme="minorHAnsi" w:hAnsiTheme="minorHAnsi" w:cstheme="minorHAnsi"/>
          <w:sz w:val="24"/>
          <w:szCs w:val="24"/>
        </w:rPr>
        <w:t xml:space="preserve"> a series of closed-ended questions that cover all possible response options</w:t>
      </w:r>
    </w:p>
    <w:p w:rsidR="00F509E5" w:rsidP="00E67D6D" w:rsidRDefault="00F509E5" w14:paraId="4745042E" w14:textId="5C302641">
      <w:pPr>
        <w:pStyle w:val="BodyText"/>
        <w:numPr>
          <w:ilvl w:val="1"/>
          <w:numId w:val="8"/>
        </w:numPr>
        <w:rPr>
          <w:rFonts w:asciiTheme="minorHAnsi" w:hAnsiTheme="minorHAnsi" w:cstheme="minorHAnsi"/>
          <w:sz w:val="24"/>
          <w:szCs w:val="24"/>
        </w:rPr>
      </w:pPr>
      <w:r w:rsidRPr="000104B7">
        <w:rPr>
          <w:rFonts w:asciiTheme="minorHAnsi" w:hAnsiTheme="minorHAnsi" w:cstheme="minorHAnsi"/>
          <w:i/>
          <w:sz w:val="24"/>
          <w:szCs w:val="24"/>
        </w:rPr>
        <w:t>Self-select code</w:t>
      </w:r>
      <w:r>
        <w:rPr>
          <w:rFonts w:asciiTheme="minorHAnsi" w:hAnsiTheme="minorHAnsi" w:cstheme="minorHAnsi"/>
          <w:sz w:val="24"/>
          <w:szCs w:val="24"/>
        </w:rPr>
        <w:t>: Respondents are</w:t>
      </w:r>
      <w:r w:rsidRPr="00F509E5">
        <w:rPr>
          <w:rFonts w:asciiTheme="minorHAnsi" w:hAnsiTheme="minorHAnsi" w:cstheme="minorHAnsi"/>
          <w:sz w:val="24"/>
          <w:szCs w:val="24"/>
        </w:rPr>
        <w:t xml:space="preserve"> prompt</w:t>
      </w:r>
      <w:r>
        <w:rPr>
          <w:rFonts w:asciiTheme="minorHAnsi" w:hAnsiTheme="minorHAnsi" w:cstheme="minorHAnsi"/>
          <w:sz w:val="24"/>
          <w:szCs w:val="24"/>
        </w:rPr>
        <w:t>ed</w:t>
      </w:r>
      <w:r w:rsidRPr="00F509E5">
        <w:rPr>
          <w:rFonts w:asciiTheme="minorHAnsi" w:hAnsiTheme="minorHAnsi" w:cstheme="minorHAnsi"/>
          <w:sz w:val="24"/>
          <w:szCs w:val="24"/>
        </w:rPr>
        <w:t xml:space="preserve"> </w:t>
      </w:r>
      <w:r>
        <w:rPr>
          <w:rFonts w:asciiTheme="minorHAnsi" w:hAnsiTheme="minorHAnsi" w:cstheme="minorHAnsi"/>
          <w:sz w:val="24"/>
          <w:szCs w:val="24"/>
        </w:rPr>
        <w:t>to</w:t>
      </w:r>
      <w:r w:rsidRPr="00F509E5">
        <w:rPr>
          <w:rFonts w:asciiTheme="minorHAnsi" w:hAnsiTheme="minorHAnsi" w:cstheme="minorHAnsi"/>
          <w:sz w:val="24"/>
          <w:szCs w:val="24"/>
        </w:rPr>
        <w:t xml:space="preserve"> select a category </w:t>
      </w:r>
      <w:r w:rsidR="004F68A2">
        <w:rPr>
          <w:rFonts w:asciiTheme="minorHAnsi" w:hAnsiTheme="minorHAnsi" w:cstheme="minorHAnsi"/>
          <w:sz w:val="24"/>
          <w:szCs w:val="24"/>
        </w:rPr>
        <w:t xml:space="preserve">code </w:t>
      </w:r>
      <w:r w:rsidRPr="00F509E5">
        <w:rPr>
          <w:rFonts w:asciiTheme="minorHAnsi" w:hAnsiTheme="minorHAnsi" w:cstheme="minorHAnsi"/>
          <w:sz w:val="24"/>
          <w:szCs w:val="24"/>
        </w:rPr>
        <w:t>themselves</w:t>
      </w:r>
    </w:p>
    <w:p w:rsidR="00F509E5" w:rsidP="00F509E5" w:rsidRDefault="00F509E5" w14:paraId="6742795D" w14:textId="77777777">
      <w:pPr>
        <w:pStyle w:val="BodyText"/>
        <w:rPr>
          <w:rFonts w:asciiTheme="minorHAnsi" w:hAnsiTheme="minorHAnsi" w:cstheme="minorHAnsi"/>
          <w:sz w:val="24"/>
          <w:szCs w:val="24"/>
        </w:rPr>
      </w:pPr>
    </w:p>
    <w:p w:rsidR="00F509E5" w:rsidP="00F509E5" w:rsidRDefault="00002417" w14:paraId="7C36DA6B" w14:textId="7A4A86E4">
      <w:pPr>
        <w:pStyle w:val="BodyText"/>
        <w:rPr>
          <w:rFonts w:asciiTheme="minorHAnsi" w:hAnsiTheme="minorHAnsi" w:cstheme="minorHAnsi"/>
          <w:sz w:val="24"/>
          <w:szCs w:val="24"/>
        </w:rPr>
      </w:pPr>
      <w:r>
        <w:rPr>
          <w:rFonts w:asciiTheme="minorHAnsi" w:hAnsiTheme="minorHAnsi" w:cstheme="minorHAnsi"/>
          <w:sz w:val="24"/>
          <w:szCs w:val="24"/>
        </w:rPr>
        <w:t xml:space="preserve">In addition to the </w:t>
      </w:r>
      <w:r w:rsidR="004D2133">
        <w:rPr>
          <w:rFonts w:asciiTheme="minorHAnsi" w:hAnsiTheme="minorHAnsi" w:cstheme="minorHAnsi"/>
          <w:sz w:val="24"/>
          <w:szCs w:val="24"/>
        </w:rPr>
        <w:t xml:space="preserve">two types of </w:t>
      </w:r>
      <w:r>
        <w:rPr>
          <w:rFonts w:asciiTheme="minorHAnsi" w:hAnsiTheme="minorHAnsi" w:cstheme="minorHAnsi"/>
          <w:sz w:val="24"/>
          <w:szCs w:val="24"/>
        </w:rPr>
        <w:t xml:space="preserve">closed-ended questions, </w:t>
      </w:r>
      <w:r w:rsidR="000104B7">
        <w:rPr>
          <w:rFonts w:asciiTheme="minorHAnsi" w:hAnsiTheme="minorHAnsi" w:cstheme="minorHAnsi"/>
          <w:sz w:val="24"/>
          <w:szCs w:val="24"/>
        </w:rPr>
        <w:t>participants will be asked to provide an open-ended description of what they have been doing to look for work</w:t>
      </w:r>
      <w:r>
        <w:rPr>
          <w:rFonts w:asciiTheme="minorHAnsi" w:hAnsiTheme="minorHAnsi" w:cstheme="minorHAnsi"/>
          <w:sz w:val="24"/>
          <w:szCs w:val="24"/>
        </w:rPr>
        <w:t>.</w:t>
      </w:r>
      <w:r w:rsidR="000104B7">
        <w:rPr>
          <w:rFonts w:asciiTheme="minorHAnsi" w:hAnsiTheme="minorHAnsi" w:cstheme="minorHAnsi"/>
          <w:sz w:val="24"/>
          <w:szCs w:val="24"/>
        </w:rPr>
        <w:t xml:space="preserve"> </w:t>
      </w:r>
      <w:r>
        <w:rPr>
          <w:rFonts w:asciiTheme="minorHAnsi" w:hAnsiTheme="minorHAnsi" w:cstheme="minorHAnsi"/>
          <w:sz w:val="24"/>
          <w:szCs w:val="24"/>
        </w:rPr>
        <w:t xml:space="preserve">The order of this open-ended probe will be counterbalanced such that half of participants will answer the open-ended question first and half will answer one of the closed-ended versions first. </w:t>
      </w:r>
      <w:r w:rsidR="00E67D6D">
        <w:rPr>
          <w:rFonts w:asciiTheme="minorHAnsi" w:hAnsiTheme="minorHAnsi" w:cstheme="minorHAnsi"/>
          <w:sz w:val="24"/>
          <w:szCs w:val="24"/>
        </w:rPr>
        <w:t>The table below illustrates the study design and number of participants in each group.</w:t>
      </w:r>
    </w:p>
    <w:p w:rsidR="00E67D6D" w:rsidP="00F509E5" w:rsidRDefault="00E67D6D" w14:paraId="42EE0F7C" w14:textId="77777777">
      <w:pPr>
        <w:pStyle w:val="BodyText"/>
        <w:rPr>
          <w:rFonts w:asciiTheme="minorHAnsi" w:hAnsiTheme="minorHAnsi" w:cstheme="minorHAnsi"/>
          <w:sz w:val="24"/>
          <w:szCs w:val="24"/>
        </w:rPr>
      </w:pPr>
    </w:p>
    <w:tbl>
      <w:tblPr>
        <w:tblStyle w:val="TableGrid"/>
        <w:tblW w:w="0" w:type="auto"/>
        <w:jc w:val="center"/>
        <w:tblLook w:val="04A0" w:firstRow="1" w:lastRow="0" w:firstColumn="1" w:lastColumn="0" w:noHBand="0" w:noVBand="1"/>
      </w:tblPr>
      <w:tblGrid>
        <w:gridCol w:w="1885"/>
        <w:gridCol w:w="2520"/>
        <w:gridCol w:w="2160"/>
        <w:gridCol w:w="2070"/>
      </w:tblGrid>
      <w:tr w:rsidR="00054D31" w:rsidTr="00CC1C96" w14:paraId="522F8739" w14:textId="77777777">
        <w:trPr>
          <w:jc w:val="center"/>
        </w:trPr>
        <w:tc>
          <w:tcPr>
            <w:tcW w:w="1885" w:type="dxa"/>
          </w:tcPr>
          <w:p w:rsidR="00054D31" w:rsidP="00054D31" w:rsidRDefault="00054D31" w14:paraId="722EC55F" w14:textId="77777777">
            <w:pPr>
              <w:pStyle w:val="BodyText"/>
              <w:jc w:val="center"/>
              <w:rPr>
                <w:rFonts w:asciiTheme="minorHAnsi" w:hAnsiTheme="minorHAnsi" w:cstheme="minorHAnsi"/>
                <w:b/>
                <w:sz w:val="24"/>
                <w:szCs w:val="24"/>
              </w:rPr>
            </w:pPr>
          </w:p>
        </w:tc>
        <w:tc>
          <w:tcPr>
            <w:tcW w:w="2520" w:type="dxa"/>
          </w:tcPr>
          <w:p w:rsidR="00054D31" w:rsidP="00054D31" w:rsidRDefault="00054D31" w14:paraId="0756C8C6" w14:textId="77777777">
            <w:pPr>
              <w:pStyle w:val="BodyText"/>
              <w:jc w:val="center"/>
              <w:rPr>
                <w:rFonts w:asciiTheme="minorHAnsi" w:hAnsiTheme="minorHAnsi" w:cstheme="minorHAnsi"/>
                <w:b/>
                <w:sz w:val="24"/>
                <w:szCs w:val="24"/>
              </w:rPr>
            </w:pPr>
          </w:p>
        </w:tc>
        <w:tc>
          <w:tcPr>
            <w:tcW w:w="4230" w:type="dxa"/>
            <w:gridSpan w:val="2"/>
          </w:tcPr>
          <w:p w:rsidR="00054D31" w:rsidP="00054D31" w:rsidRDefault="00054D31" w14:paraId="52B05812" w14:textId="32B26CFE">
            <w:pPr>
              <w:pStyle w:val="BodyText"/>
              <w:jc w:val="center"/>
              <w:rPr>
                <w:rFonts w:asciiTheme="minorHAnsi" w:hAnsiTheme="minorHAnsi" w:cstheme="minorHAnsi"/>
                <w:b/>
                <w:sz w:val="24"/>
                <w:szCs w:val="24"/>
              </w:rPr>
            </w:pPr>
            <w:r>
              <w:rPr>
                <w:rFonts w:asciiTheme="minorHAnsi" w:hAnsiTheme="minorHAnsi" w:cstheme="minorHAnsi"/>
                <w:b/>
                <w:sz w:val="24"/>
                <w:szCs w:val="24"/>
              </w:rPr>
              <w:t>Order</w:t>
            </w:r>
          </w:p>
        </w:tc>
      </w:tr>
      <w:tr w:rsidR="00054D31" w:rsidTr="00CC1C96" w14:paraId="1C1C5B67" w14:textId="77777777">
        <w:trPr>
          <w:jc w:val="center"/>
        </w:trPr>
        <w:tc>
          <w:tcPr>
            <w:tcW w:w="1885" w:type="dxa"/>
          </w:tcPr>
          <w:p w:rsidR="00054D31" w:rsidP="00054D31" w:rsidRDefault="00054D31" w14:paraId="77F255C1" w14:textId="77777777">
            <w:pPr>
              <w:pStyle w:val="BodyText"/>
              <w:jc w:val="center"/>
              <w:rPr>
                <w:rFonts w:asciiTheme="minorHAnsi" w:hAnsiTheme="minorHAnsi" w:cstheme="minorHAnsi"/>
                <w:b/>
                <w:sz w:val="24"/>
                <w:szCs w:val="24"/>
              </w:rPr>
            </w:pPr>
          </w:p>
        </w:tc>
        <w:tc>
          <w:tcPr>
            <w:tcW w:w="2520" w:type="dxa"/>
          </w:tcPr>
          <w:p w:rsidR="00054D31" w:rsidP="00054D31" w:rsidRDefault="00054D31" w14:paraId="5E8FCFE8" w14:textId="00AC9590">
            <w:pPr>
              <w:pStyle w:val="BodyText"/>
              <w:jc w:val="center"/>
              <w:rPr>
                <w:rFonts w:asciiTheme="minorHAnsi" w:hAnsiTheme="minorHAnsi" w:cstheme="minorHAnsi"/>
                <w:b/>
                <w:sz w:val="24"/>
                <w:szCs w:val="24"/>
              </w:rPr>
            </w:pPr>
          </w:p>
        </w:tc>
        <w:tc>
          <w:tcPr>
            <w:tcW w:w="2160" w:type="dxa"/>
          </w:tcPr>
          <w:p w:rsidRPr="00054D31" w:rsidR="00054D31" w:rsidP="00054D31" w:rsidRDefault="00054D31" w14:paraId="4E27CF9F" w14:textId="261C43D9">
            <w:pPr>
              <w:pStyle w:val="BodyText"/>
              <w:jc w:val="center"/>
              <w:rPr>
                <w:rFonts w:asciiTheme="minorHAnsi" w:hAnsiTheme="minorHAnsi" w:cstheme="minorHAnsi"/>
                <w:i/>
                <w:sz w:val="24"/>
                <w:szCs w:val="24"/>
              </w:rPr>
            </w:pPr>
            <w:r w:rsidRPr="00054D31">
              <w:rPr>
                <w:rFonts w:asciiTheme="minorHAnsi" w:hAnsiTheme="minorHAnsi" w:cstheme="minorHAnsi"/>
                <w:i/>
                <w:sz w:val="24"/>
                <w:szCs w:val="24"/>
              </w:rPr>
              <w:t xml:space="preserve">Open-Ended </w:t>
            </w:r>
            <w:r>
              <w:rPr>
                <w:rFonts w:asciiTheme="minorHAnsi" w:hAnsiTheme="minorHAnsi" w:cstheme="minorHAnsi"/>
                <w:i/>
                <w:sz w:val="24"/>
                <w:szCs w:val="24"/>
              </w:rPr>
              <w:t>F</w:t>
            </w:r>
            <w:r w:rsidRPr="00054D31">
              <w:rPr>
                <w:rFonts w:asciiTheme="minorHAnsi" w:hAnsiTheme="minorHAnsi" w:cstheme="minorHAnsi"/>
                <w:i/>
                <w:sz w:val="24"/>
                <w:szCs w:val="24"/>
              </w:rPr>
              <w:t>irst</w:t>
            </w:r>
          </w:p>
        </w:tc>
        <w:tc>
          <w:tcPr>
            <w:tcW w:w="2070" w:type="dxa"/>
          </w:tcPr>
          <w:p w:rsidRPr="00054D31" w:rsidR="00054D31" w:rsidP="00054D31" w:rsidRDefault="00054D31" w14:paraId="6854E685" w14:textId="7B4386EB">
            <w:pPr>
              <w:pStyle w:val="BodyText"/>
              <w:jc w:val="center"/>
              <w:rPr>
                <w:rFonts w:asciiTheme="minorHAnsi" w:hAnsiTheme="minorHAnsi" w:cstheme="minorHAnsi"/>
                <w:i/>
                <w:sz w:val="24"/>
                <w:szCs w:val="24"/>
              </w:rPr>
            </w:pPr>
            <w:r w:rsidRPr="00054D31">
              <w:rPr>
                <w:rFonts w:asciiTheme="minorHAnsi" w:hAnsiTheme="minorHAnsi" w:cstheme="minorHAnsi"/>
                <w:i/>
                <w:sz w:val="24"/>
                <w:szCs w:val="24"/>
              </w:rPr>
              <w:t xml:space="preserve">Closed-Ended </w:t>
            </w:r>
            <w:r>
              <w:rPr>
                <w:rFonts w:asciiTheme="minorHAnsi" w:hAnsiTheme="minorHAnsi" w:cstheme="minorHAnsi"/>
                <w:i/>
                <w:sz w:val="24"/>
                <w:szCs w:val="24"/>
              </w:rPr>
              <w:t>F</w:t>
            </w:r>
            <w:r w:rsidRPr="00054D31">
              <w:rPr>
                <w:rFonts w:asciiTheme="minorHAnsi" w:hAnsiTheme="minorHAnsi" w:cstheme="minorHAnsi"/>
                <w:i/>
                <w:sz w:val="24"/>
                <w:szCs w:val="24"/>
              </w:rPr>
              <w:t>irst</w:t>
            </w:r>
          </w:p>
        </w:tc>
      </w:tr>
      <w:tr w:rsidRPr="000928CC" w:rsidR="00054D31" w:rsidTr="00CC1C96" w14:paraId="631BA12F" w14:textId="77777777">
        <w:trPr>
          <w:jc w:val="center"/>
        </w:trPr>
        <w:tc>
          <w:tcPr>
            <w:tcW w:w="1885" w:type="dxa"/>
            <w:vMerge w:val="restart"/>
          </w:tcPr>
          <w:p w:rsidRPr="00054D31" w:rsidR="00054D31" w:rsidP="004F68A2" w:rsidRDefault="00054D31" w14:paraId="315EF0CA" w14:textId="1EC04B91">
            <w:pPr>
              <w:pStyle w:val="BodyText"/>
              <w:rPr>
                <w:rFonts w:asciiTheme="minorHAnsi" w:hAnsiTheme="minorHAnsi" w:cstheme="minorHAnsi"/>
                <w:b/>
                <w:sz w:val="24"/>
                <w:szCs w:val="24"/>
              </w:rPr>
            </w:pPr>
            <w:r w:rsidRPr="00054D31">
              <w:rPr>
                <w:rFonts w:asciiTheme="minorHAnsi" w:hAnsiTheme="minorHAnsi" w:cstheme="minorHAnsi"/>
                <w:b/>
                <w:sz w:val="24"/>
                <w:szCs w:val="24"/>
              </w:rPr>
              <w:t>Closed-Ended Version</w:t>
            </w:r>
          </w:p>
        </w:tc>
        <w:tc>
          <w:tcPr>
            <w:tcW w:w="2520" w:type="dxa"/>
          </w:tcPr>
          <w:p w:rsidRPr="00054D31" w:rsidR="00054D31" w:rsidP="004F68A2" w:rsidRDefault="00054D31" w14:paraId="06EB4527" w14:textId="26D0BFE8">
            <w:pPr>
              <w:pStyle w:val="BodyText"/>
              <w:rPr>
                <w:rFonts w:asciiTheme="minorHAnsi" w:hAnsiTheme="minorHAnsi" w:cstheme="minorHAnsi"/>
                <w:i/>
                <w:sz w:val="24"/>
                <w:szCs w:val="24"/>
              </w:rPr>
            </w:pPr>
            <w:r w:rsidRPr="00054D31">
              <w:rPr>
                <w:rFonts w:asciiTheme="minorHAnsi" w:hAnsiTheme="minorHAnsi" w:cstheme="minorHAnsi"/>
                <w:i/>
                <w:sz w:val="24"/>
                <w:szCs w:val="24"/>
              </w:rPr>
              <w:t>Series of closed-ends</w:t>
            </w:r>
          </w:p>
        </w:tc>
        <w:tc>
          <w:tcPr>
            <w:tcW w:w="2160" w:type="dxa"/>
          </w:tcPr>
          <w:p w:rsidRPr="000928CC" w:rsidR="00054D31" w:rsidP="00054D31" w:rsidRDefault="00054D31" w14:paraId="0AC8AEA1" w14:textId="0146D075">
            <w:pPr>
              <w:pStyle w:val="BodyText"/>
              <w:jc w:val="center"/>
              <w:rPr>
                <w:rFonts w:asciiTheme="minorHAnsi" w:hAnsiTheme="minorHAnsi" w:cstheme="minorHAnsi"/>
                <w:sz w:val="24"/>
                <w:szCs w:val="24"/>
              </w:rPr>
            </w:pPr>
            <w:r>
              <w:rPr>
                <w:rFonts w:asciiTheme="minorHAnsi" w:hAnsiTheme="minorHAnsi" w:cstheme="minorHAnsi"/>
                <w:sz w:val="24"/>
                <w:szCs w:val="24"/>
              </w:rPr>
              <w:t>n</w:t>
            </w:r>
            <w:r w:rsidRPr="000928CC">
              <w:rPr>
                <w:rFonts w:asciiTheme="minorHAnsi" w:hAnsiTheme="minorHAnsi" w:cstheme="minorHAnsi"/>
                <w:sz w:val="24"/>
                <w:szCs w:val="24"/>
              </w:rPr>
              <w:t>=</w:t>
            </w:r>
            <w:r w:rsidR="00D67080">
              <w:rPr>
                <w:rFonts w:asciiTheme="minorHAnsi" w:hAnsiTheme="minorHAnsi" w:cstheme="minorHAnsi"/>
                <w:sz w:val="24"/>
                <w:szCs w:val="24"/>
              </w:rPr>
              <w:t>1240</w:t>
            </w:r>
          </w:p>
        </w:tc>
        <w:tc>
          <w:tcPr>
            <w:tcW w:w="2070" w:type="dxa"/>
          </w:tcPr>
          <w:p w:rsidRPr="000928CC" w:rsidR="00054D31" w:rsidP="00054D31" w:rsidRDefault="00054D31" w14:paraId="4FE01893" w14:textId="6B74FE35">
            <w:pPr>
              <w:pStyle w:val="BodyText"/>
              <w:jc w:val="center"/>
              <w:rPr>
                <w:rFonts w:asciiTheme="minorHAnsi" w:hAnsiTheme="minorHAnsi" w:cstheme="minorHAnsi"/>
                <w:sz w:val="24"/>
                <w:szCs w:val="24"/>
              </w:rPr>
            </w:pPr>
            <w:r>
              <w:rPr>
                <w:rFonts w:asciiTheme="minorHAnsi" w:hAnsiTheme="minorHAnsi" w:cstheme="minorHAnsi"/>
                <w:sz w:val="24"/>
                <w:szCs w:val="24"/>
              </w:rPr>
              <w:t>n</w:t>
            </w:r>
            <w:r w:rsidRPr="000928CC">
              <w:rPr>
                <w:rFonts w:asciiTheme="minorHAnsi" w:hAnsiTheme="minorHAnsi" w:cstheme="minorHAnsi"/>
                <w:sz w:val="24"/>
                <w:szCs w:val="24"/>
              </w:rPr>
              <w:t>=</w:t>
            </w:r>
            <w:r w:rsidR="00D67080">
              <w:rPr>
                <w:rFonts w:asciiTheme="minorHAnsi" w:hAnsiTheme="minorHAnsi" w:cstheme="minorHAnsi"/>
                <w:sz w:val="24"/>
                <w:szCs w:val="24"/>
              </w:rPr>
              <w:t>1240</w:t>
            </w:r>
          </w:p>
        </w:tc>
      </w:tr>
      <w:tr w:rsidRPr="000928CC" w:rsidR="00054D31" w:rsidTr="00CC1C96" w14:paraId="79DD896D" w14:textId="77777777">
        <w:trPr>
          <w:jc w:val="center"/>
        </w:trPr>
        <w:tc>
          <w:tcPr>
            <w:tcW w:w="1885" w:type="dxa"/>
            <w:vMerge/>
          </w:tcPr>
          <w:p w:rsidRPr="000928CC" w:rsidR="00054D31" w:rsidP="004F68A2" w:rsidRDefault="00054D31" w14:paraId="466B250D" w14:textId="77777777">
            <w:pPr>
              <w:pStyle w:val="BodyText"/>
              <w:rPr>
                <w:rFonts w:asciiTheme="minorHAnsi" w:hAnsiTheme="minorHAnsi" w:cstheme="minorHAnsi"/>
                <w:sz w:val="24"/>
                <w:szCs w:val="24"/>
              </w:rPr>
            </w:pPr>
          </w:p>
        </w:tc>
        <w:tc>
          <w:tcPr>
            <w:tcW w:w="2520" w:type="dxa"/>
          </w:tcPr>
          <w:p w:rsidRPr="00054D31" w:rsidR="00054D31" w:rsidP="004F68A2" w:rsidRDefault="00054D31" w14:paraId="3603637D" w14:textId="22483021">
            <w:pPr>
              <w:pStyle w:val="BodyText"/>
              <w:rPr>
                <w:rFonts w:asciiTheme="minorHAnsi" w:hAnsiTheme="minorHAnsi" w:cstheme="minorHAnsi"/>
                <w:i/>
                <w:sz w:val="24"/>
                <w:szCs w:val="24"/>
              </w:rPr>
            </w:pPr>
            <w:r w:rsidRPr="00054D31">
              <w:rPr>
                <w:rFonts w:asciiTheme="minorHAnsi" w:hAnsiTheme="minorHAnsi" w:cstheme="minorHAnsi"/>
                <w:i/>
                <w:sz w:val="24"/>
                <w:szCs w:val="24"/>
              </w:rPr>
              <w:t>Self-select code</w:t>
            </w:r>
          </w:p>
        </w:tc>
        <w:tc>
          <w:tcPr>
            <w:tcW w:w="2160" w:type="dxa"/>
          </w:tcPr>
          <w:p w:rsidRPr="000928CC" w:rsidR="00054D31" w:rsidP="00054D31" w:rsidRDefault="00054D31" w14:paraId="3B0C7CF7" w14:textId="49CC7439">
            <w:pPr>
              <w:pStyle w:val="BodyText"/>
              <w:jc w:val="center"/>
              <w:rPr>
                <w:rFonts w:asciiTheme="minorHAnsi" w:hAnsiTheme="minorHAnsi" w:cstheme="minorHAnsi"/>
                <w:sz w:val="24"/>
                <w:szCs w:val="24"/>
              </w:rPr>
            </w:pPr>
            <w:r>
              <w:rPr>
                <w:rFonts w:asciiTheme="minorHAnsi" w:hAnsiTheme="minorHAnsi" w:cstheme="minorHAnsi"/>
                <w:sz w:val="24"/>
                <w:szCs w:val="24"/>
              </w:rPr>
              <w:t>n</w:t>
            </w:r>
            <w:r w:rsidRPr="000928CC">
              <w:rPr>
                <w:rFonts w:asciiTheme="minorHAnsi" w:hAnsiTheme="minorHAnsi" w:cstheme="minorHAnsi"/>
                <w:sz w:val="24"/>
                <w:szCs w:val="24"/>
              </w:rPr>
              <w:t>=</w:t>
            </w:r>
            <w:r w:rsidR="00D67080">
              <w:rPr>
                <w:rFonts w:asciiTheme="minorHAnsi" w:hAnsiTheme="minorHAnsi" w:cstheme="minorHAnsi"/>
                <w:sz w:val="24"/>
                <w:szCs w:val="24"/>
              </w:rPr>
              <w:t>1240</w:t>
            </w:r>
          </w:p>
        </w:tc>
        <w:tc>
          <w:tcPr>
            <w:tcW w:w="2070" w:type="dxa"/>
          </w:tcPr>
          <w:p w:rsidRPr="000928CC" w:rsidR="00054D31" w:rsidP="00054D31" w:rsidRDefault="00054D31" w14:paraId="6922DF4D" w14:textId="0EA52322">
            <w:pPr>
              <w:pStyle w:val="BodyText"/>
              <w:jc w:val="center"/>
              <w:rPr>
                <w:rFonts w:asciiTheme="minorHAnsi" w:hAnsiTheme="minorHAnsi" w:cstheme="minorHAnsi"/>
                <w:sz w:val="24"/>
                <w:szCs w:val="24"/>
              </w:rPr>
            </w:pPr>
            <w:r>
              <w:rPr>
                <w:rFonts w:asciiTheme="minorHAnsi" w:hAnsiTheme="minorHAnsi" w:cstheme="minorHAnsi"/>
                <w:sz w:val="24"/>
                <w:szCs w:val="24"/>
              </w:rPr>
              <w:t>n</w:t>
            </w:r>
            <w:r w:rsidRPr="000928CC">
              <w:rPr>
                <w:rFonts w:asciiTheme="minorHAnsi" w:hAnsiTheme="minorHAnsi" w:cstheme="minorHAnsi"/>
                <w:sz w:val="24"/>
                <w:szCs w:val="24"/>
              </w:rPr>
              <w:t>=</w:t>
            </w:r>
            <w:r w:rsidR="00D67080">
              <w:rPr>
                <w:rFonts w:asciiTheme="minorHAnsi" w:hAnsiTheme="minorHAnsi" w:cstheme="minorHAnsi"/>
                <w:sz w:val="24"/>
                <w:szCs w:val="24"/>
              </w:rPr>
              <w:t>1240</w:t>
            </w:r>
          </w:p>
        </w:tc>
      </w:tr>
      <w:tr w:rsidRPr="000928CC" w:rsidR="002B738F" w:rsidTr="00CC1C96" w14:paraId="73788640" w14:textId="77777777">
        <w:trPr>
          <w:jc w:val="center"/>
        </w:trPr>
        <w:tc>
          <w:tcPr>
            <w:tcW w:w="1885" w:type="dxa"/>
          </w:tcPr>
          <w:p w:rsidRPr="000928CC" w:rsidR="002B738F" w:rsidP="004F68A2" w:rsidRDefault="002B738F" w14:paraId="4C57FB32" w14:textId="77777777">
            <w:pPr>
              <w:pStyle w:val="BodyText"/>
              <w:rPr>
                <w:rFonts w:asciiTheme="minorHAnsi" w:hAnsiTheme="minorHAnsi" w:cstheme="minorHAnsi"/>
                <w:sz w:val="24"/>
                <w:szCs w:val="24"/>
              </w:rPr>
            </w:pPr>
          </w:p>
        </w:tc>
        <w:tc>
          <w:tcPr>
            <w:tcW w:w="2520" w:type="dxa"/>
          </w:tcPr>
          <w:p w:rsidRPr="00054D31" w:rsidR="002B738F" w:rsidP="004F68A2" w:rsidRDefault="002B738F" w14:paraId="664C92B1" w14:textId="77777777">
            <w:pPr>
              <w:pStyle w:val="BodyText"/>
              <w:rPr>
                <w:rFonts w:asciiTheme="minorHAnsi" w:hAnsiTheme="minorHAnsi" w:cstheme="minorHAnsi"/>
                <w:i/>
                <w:sz w:val="24"/>
                <w:szCs w:val="24"/>
              </w:rPr>
            </w:pPr>
          </w:p>
        </w:tc>
        <w:tc>
          <w:tcPr>
            <w:tcW w:w="2160" w:type="dxa"/>
          </w:tcPr>
          <w:p w:rsidR="002B738F" w:rsidP="00054D31" w:rsidRDefault="002B738F" w14:paraId="22A46EDD" w14:textId="77777777">
            <w:pPr>
              <w:pStyle w:val="BodyText"/>
              <w:jc w:val="center"/>
              <w:rPr>
                <w:rFonts w:asciiTheme="minorHAnsi" w:hAnsiTheme="minorHAnsi" w:cstheme="minorHAnsi"/>
                <w:sz w:val="24"/>
                <w:szCs w:val="24"/>
              </w:rPr>
            </w:pPr>
          </w:p>
        </w:tc>
        <w:tc>
          <w:tcPr>
            <w:tcW w:w="2070" w:type="dxa"/>
          </w:tcPr>
          <w:p w:rsidR="002B738F" w:rsidP="00054D31" w:rsidRDefault="002B738F" w14:paraId="193DD09B" w14:textId="77777777">
            <w:pPr>
              <w:pStyle w:val="BodyText"/>
              <w:jc w:val="center"/>
              <w:rPr>
                <w:rFonts w:asciiTheme="minorHAnsi" w:hAnsiTheme="minorHAnsi" w:cstheme="minorHAnsi"/>
                <w:sz w:val="24"/>
                <w:szCs w:val="24"/>
              </w:rPr>
            </w:pPr>
          </w:p>
        </w:tc>
      </w:tr>
    </w:tbl>
    <w:p w:rsidR="00E67D6D" w:rsidP="00F509E5" w:rsidRDefault="00E67D6D" w14:paraId="2C47EE5A" w14:textId="77777777">
      <w:pPr>
        <w:pStyle w:val="BodyText"/>
        <w:rPr>
          <w:rFonts w:asciiTheme="minorHAnsi" w:hAnsiTheme="minorHAnsi" w:cstheme="minorHAnsi"/>
          <w:sz w:val="24"/>
          <w:szCs w:val="24"/>
        </w:rPr>
      </w:pPr>
    </w:p>
    <w:p w:rsidR="0079747D" w:rsidP="00F509E5" w:rsidRDefault="00DF7B33" w14:paraId="5FE3A8C7" w14:textId="19980D00">
      <w:pPr>
        <w:pStyle w:val="BodyText"/>
        <w:rPr>
          <w:rFonts w:asciiTheme="minorHAnsi" w:hAnsiTheme="minorHAnsi" w:cstheme="minorHAnsi"/>
          <w:sz w:val="24"/>
          <w:szCs w:val="24"/>
        </w:rPr>
      </w:pPr>
      <w:r>
        <w:rPr>
          <w:rFonts w:asciiTheme="minorHAnsi" w:hAnsiTheme="minorHAnsi" w:cstheme="minorHAnsi"/>
          <w:sz w:val="24"/>
          <w:szCs w:val="24"/>
        </w:rPr>
        <w:t>Because participating on MTurk can be considered doing work for pay, it is highly likely that few participants in this study will</w:t>
      </w:r>
      <w:r w:rsidR="00002417">
        <w:rPr>
          <w:rFonts w:asciiTheme="minorHAnsi" w:hAnsiTheme="minorHAnsi" w:cstheme="minorHAnsi"/>
          <w:sz w:val="24"/>
          <w:szCs w:val="24"/>
        </w:rPr>
        <w:t xml:space="preserve"> respond that they have not done any work for pay in the last week and therefore only few participants will</w:t>
      </w:r>
      <w:r>
        <w:rPr>
          <w:rFonts w:asciiTheme="minorHAnsi" w:hAnsiTheme="minorHAnsi" w:cstheme="minorHAnsi"/>
          <w:sz w:val="24"/>
          <w:szCs w:val="24"/>
        </w:rPr>
        <w:t xml:space="preserve"> be administered the </w:t>
      </w:r>
      <w:r w:rsidR="00002417">
        <w:rPr>
          <w:rFonts w:asciiTheme="minorHAnsi" w:hAnsiTheme="minorHAnsi" w:cstheme="minorHAnsi"/>
          <w:sz w:val="24"/>
          <w:szCs w:val="24"/>
        </w:rPr>
        <w:t xml:space="preserve">target </w:t>
      </w:r>
      <w:r>
        <w:rPr>
          <w:rFonts w:asciiTheme="minorHAnsi" w:hAnsiTheme="minorHAnsi" w:cstheme="minorHAnsi"/>
          <w:sz w:val="24"/>
          <w:szCs w:val="24"/>
        </w:rPr>
        <w:t>question about what they are doing to look for work. Thus</w:t>
      </w:r>
      <w:r w:rsidR="0079747D">
        <w:rPr>
          <w:rFonts w:asciiTheme="minorHAnsi" w:hAnsiTheme="minorHAnsi" w:cstheme="minorHAnsi"/>
          <w:sz w:val="24"/>
          <w:szCs w:val="24"/>
        </w:rPr>
        <w:t>, participants will be instructed to exclude their MTurk work for the purposes of this question</w:t>
      </w:r>
      <w:r w:rsidR="008C58DF">
        <w:rPr>
          <w:rStyle w:val="FootnoteReference"/>
          <w:rFonts w:asciiTheme="minorHAnsi" w:hAnsiTheme="minorHAnsi" w:cstheme="minorHAnsi"/>
          <w:sz w:val="24"/>
          <w:szCs w:val="24"/>
        </w:rPr>
        <w:footnoteReference w:id="4"/>
      </w:r>
      <w:r w:rsidR="0079747D">
        <w:rPr>
          <w:rFonts w:asciiTheme="minorHAnsi" w:hAnsiTheme="minorHAnsi" w:cstheme="minorHAnsi"/>
          <w:sz w:val="24"/>
          <w:szCs w:val="24"/>
        </w:rPr>
        <w:t xml:space="preserve">. </w:t>
      </w:r>
    </w:p>
    <w:p w:rsidR="0079747D" w:rsidP="00F509E5" w:rsidRDefault="0079747D" w14:paraId="0490A623" w14:textId="77777777">
      <w:pPr>
        <w:pStyle w:val="BodyText"/>
        <w:rPr>
          <w:rFonts w:asciiTheme="minorHAnsi" w:hAnsiTheme="minorHAnsi" w:cstheme="minorHAnsi"/>
          <w:sz w:val="24"/>
          <w:szCs w:val="24"/>
        </w:rPr>
      </w:pPr>
    </w:p>
    <w:p w:rsidR="00DF7B33" w:rsidP="00F509E5" w:rsidRDefault="0079747D" w14:paraId="292B5FFE" w14:textId="3C4D99E7">
      <w:pPr>
        <w:pStyle w:val="BodyText"/>
        <w:rPr>
          <w:rFonts w:asciiTheme="minorHAnsi" w:hAnsiTheme="minorHAnsi" w:cstheme="minorHAnsi"/>
          <w:sz w:val="24"/>
          <w:szCs w:val="24"/>
        </w:rPr>
      </w:pPr>
      <w:r>
        <w:rPr>
          <w:rFonts w:asciiTheme="minorHAnsi" w:hAnsiTheme="minorHAnsi" w:cstheme="minorHAnsi"/>
          <w:sz w:val="24"/>
          <w:szCs w:val="24"/>
        </w:rPr>
        <w:t>In addition</w:t>
      </w:r>
      <w:r w:rsidR="00DF7B33">
        <w:rPr>
          <w:rFonts w:asciiTheme="minorHAnsi" w:hAnsiTheme="minorHAnsi" w:cstheme="minorHAnsi"/>
          <w:sz w:val="24"/>
          <w:szCs w:val="24"/>
        </w:rPr>
        <w:t>, we will show all participants</w:t>
      </w:r>
      <w:r w:rsidR="002B738F">
        <w:rPr>
          <w:rFonts w:asciiTheme="minorHAnsi" w:hAnsiTheme="minorHAnsi" w:cstheme="minorHAnsi"/>
          <w:sz w:val="24"/>
          <w:szCs w:val="24"/>
        </w:rPr>
        <w:t xml:space="preserve"> two</w:t>
      </w:r>
      <w:r w:rsidR="00DF7B33">
        <w:rPr>
          <w:rFonts w:asciiTheme="minorHAnsi" w:hAnsiTheme="minorHAnsi" w:cstheme="minorHAnsi"/>
          <w:sz w:val="24"/>
          <w:szCs w:val="24"/>
        </w:rPr>
        <w:t xml:space="preserve"> vignettes about other people who are currently looking for work and ask them to answer the questions using the design above</w:t>
      </w:r>
      <w:r w:rsidR="00B8239C">
        <w:rPr>
          <w:rFonts w:asciiTheme="minorHAnsi" w:hAnsiTheme="minorHAnsi" w:cstheme="minorHAnsi"/>
          <w:sz w:val="24"/>
          <w:szCs w:val="24"/>
        </w:rPr>
        <w:t xml:space="preserve"> (except they will not answer the open-ended portion since we already know the correct coding categories per CPS)</w:t>
      </w:r>
      <w:r w:rsidR="00DF7B33">
        <w:rPr>
          <w:rFonts w:asciiTheme="minorHAnsi" w:hAnsiTheme="minorHAnsi" w:cstheme="minorHAnsi"/>
          <w:sz w:val="24"/>
          <w:szCs w:val="24"/>
        </w:rPr>
        <w:t>.</w:t>
      </w:r>
      <w:r w:rsidR="00420584">
        <w:rPr>
          <w:rFonts w:asciiTheme="minorHAnsi" w:hAnsiTheme="minorHAnsi" w:cstheme="minorHAnsi"/>
          <w:sz w:val="24"/>
          <w:szCs w:val="24"/>
        </w:rPr>
        <w:t xml:space="preserve"> Vignettes are an effective tool to use in</w:t>
      </w:r>
      <w:r w:rsidRPr="00420584" w:rsidR="00420584">
        <w:rPr>
          <w:rFonts w:asciiTheme="minorHAnsi" w:hAnsiTheme="minorHAnsi" w:cstheme="minorHAnsi"/>
          <w:sz w:val="24"/>
          <w:szCs w:val="24"/>
        </w:rPr>
        <w:t xml:space="preserve"> exploratory work to </w:t>
      </w:r>
      <w:r w:rsidR="00420584">
        <w:rPr>
          <w:rFonts w:asciiTheme="minorHAnsi" w:hAnsiTheme="minorHAnsi" w:cstheme="minorHAnsi"/>
          <w:sz w:val="24"/>
          <w:szCs w:val="24"/>
        </w:rPr>
        <w:t>assess</w:t>
      </w:r>
      <w:r w:rsidRPr="00420584" w:rsidR="00420584">
        <w:rPr>
          <w:rFonts w:asciiTheme="minorHAnsi" w:hAnsiTheme="minorHAnsi" w:cstheme="minorHAnsi"/>
          <w:sz w:val="24"/>
          <w:szCs w:val="24"/>
        </w:rPr>
        <w:t xml:space="preserve"> respondents’ interpretations</w:t>
      </w:r>
      <w:r w:rsidR="00420584">
        <w:rPr>
          <w:rFonts w:asciiTheme="minorHAnsi" w:hAnsiTheme="minorHAnsi" w:cstheme="minorHAnsi"/>
          <w:sz w:val="24"/>
          <w:szCs w:val="24"/>
        </w:rPr>
        <w:t xml:space="preserve"> and understanding of new survey </w:t>
      </w:r>
      <w:r w:rsidRPr="00420584" w:rsidR="00420584">
        <w:rPr>
          <w:rFonts w:asciiTheme="minorHAnsi" w:hAnsiTheme="minorHAnsi" w:cstheme="minorHAnsi"/>
          <w:sz w:val="24"/>
          <w:szCs w:val="24"/>
        </w:rPr>
        <w:t xml:space="preserve">questions and contexts (e.g., Beck, 2010). They also provide the benefit of reducing socially desirable responding (e.g., Lee, 1993). </w:t>
      </w:r>
      <w:r w:rsidR="00DF7B33">
        <w:rPr>
          <w:rFonts w:asciiTheme="minorHAnsi" w:hAnsiTheme="minorHAnsi" w:cstheme="minorHAnsi"/>
          <w:sz w:val="24"/>
          <w:szCs w:val="24"/>
        </w:rPr>
        <w:t>The vignettes will cover the following circumstances:</w:t>
      </w:r>
    </w:p>
    <w:p w:rsidR="00DF7B33" w:rsidP="00DF7B33" w:rsidRDefault="00002417" w14:paraId="048F0719" w14:textId="5269C66E">
      <w:pPr>
        <w:pStyle w:val="BodyText"/>
        <w:numPr>
          <w:ilvl w:val="0"/>
          <w:numId w:val="10"/>
        </w:numPr>
        <w:rPr>
          <w:rFonts w:asciiTheme="minorHAnsi" w:hAnsiTheme="minorHAnsi" w:cstheme="minorHAnsi"/>
          <w:sz w:val="24"/>
          <w:szCs w:val="24"/>
        </w:rPr>
      </w:pPr>
      <w:r>
        <w:rPr>
          <w:rFonts w:asciiTheme="minorHAnsi" w:hAnsiTheme="minorHAnsi" w:cstheme="minorHAnsi"/>
          <w:sz w:val="24"/>
          <w:szCs w:val="24"/>
        </w:rPr>
        <w:t xml:space="preserve">A person who is looking for work and has done passive </w:t>
      </w:r>
      <w:r w:rsidR="005C16CE">
        <w:rPr>
          <w:rFonts w:asciiTheme="minorHAnsi" w:hAnsiTheme="minorHAnsi" w:cstheme="minorHAnsi"/>
          <w:sz w:val="24"/>
          <w:szCs w:val="24"/>
        </w:rPr>
        <w:t>job search only</w:t>
      </w:r>
    </w:p>
    <w:p w:rsidR="005C16CE" w:rsidP="00DF7B33" w:rsidRDefault="00002417" w14:paraId="04BD492D" w14:textId="57D6A82F">
      <w:pPr>
        <w:pStyle w:val="BodyText"/>
        <w:numPr>
          <w:ilvl w:val="0"/>
          <w:numId w:val="10"/>
        </w:numPr>
        <w:rPr>
          <w:rFonts w:asciiTheme="minorHAnsi" w:hAnsiTheme="minorHAnsi" w:cstheme="minorHAnsi"/>
          <w:sz w:val="24"/>
          <w:szCs w:val="24"/>
        </w:rPr>
      </w:pPr>
      <w:r>
        <w:rPr>
          <w:rFonts w:asciiTheme="minorHAnsi" w:hAnsiTheme="minorHAnsi" w:cstheme="minorHAnsi"/>
          <w:sz w:val="24"/>
          <w:szCs w:val="24"/>
        </w:rPr>
        <w:t>A person who is looking for work and has done b</w:t>
      </w:r>
      <w:r w:rsidR="005C16CE">
        <w:rPr>
          <w:rFonts w:asciiTheme="minorHAnsi" w:hAnsiTheme="minorHAnsi" w:cstheme="minorHAnsi"/>
          <w:sz w:val="24"/>
          <w:szCs w:val="24"/>
        </w:rPr>
        <w:t>oth passive and active job search</w:t>
      </w:r>
    </w:p>
    <w:p w:rsidR="005C16CE" w:rsidP="005C16CE" w:rsidRDefault="00897BED" w14:paraId="42BF4BBD" w14:textId="7F951CBD">
      <w:pPr>
        <w:pStyle w:val="BodyText"/>
        <w:rPr>
          <w:rFonts w:asciiTheme="minorHAnsi" w:hAnsiTheme="minorHAnsi" w:cstheme="minorHAnsi"/>
          <w:sz w:val="24"/>
          <w:szCs w:val="24"/>
        </w:rPr>
      </w:pPr>
      <w:r>
        <w:rPr>
          <w:rFonts w:asciiTheme="minorHAnsi" w:hAnsiTheme="minorHAnsi" w:cstheme="minorHAnsi"/>
          <w:sz w:val="24"/>
          <w:szCs w:val="24"/>
        </w:rPr>
        <w:t xml:space="preserve">No vignettes for </w:t>
      </w:r>
      <w:r w:rsidR="009954FA">
        <w:rPr>
          <w:rFonts w:asciiTheme="minorHAnsi" w:hAnsiTheme="minorHAnsi" w:cstheme="minorHAnsi"/>
          <w:sz w:val="24"/>
          <w:szCs w:val="24"/>
        </w:rPr>
        <w:t xml:space="preserve">active-only </w:t>
      </w:r>
      <w:r>
        <w:rPr>
          <w:rFonts w:asciiTheme="minorHAnsi" w:hAnsiTheme="minorHAnsi" w:cstheme="minorHAnsi"/>
          <w:sz w:val="24"/>
          <w:szCs w:val="24"/>
        </w:rPr>
        <w:t xml:space="preserve">search </w:t>
      </w:r>
      <w:r w:rsidR="009954FA">
        <w:rPr>
          <w:rFonts w:asciiTheme="minorHAnsi" w:hAnsiTheme="minorHAnsi" w:cstheme="minorHAnsi"/>
          <w:sz w:val="24"/>
          <w:szCs w:val="24"/>
        </w:rPr>
        <w:t xml:space="preserve">activities </w:t>
      </w:r>
      <w:r>
        <w:rPr>
          <w:rFonts w:asciiTheme="minorHAnsi" w:hAnsiTheme="minorHAnsi" w:cstheme="minorHAnsi"/>
          <w:sz w:val="24"/>
          <w:szCs w:val="24"/>
        </w:rPr>
        <w:t>are included in the study because space is limited in the survey and we expect that active search</w:t>
      </w:r>
      <w:r w:rsidR="009954FA">
        <w:rPr>
          <w:rFonts w:asciiTheme="minorHAnsi" w:hAnsiTheme="minorHAnsi" w:cstheme="minorHAnsi"/>
          <w:sz w:val="24"/>
          <w:szCs w:val="24"/>
        </w:rPr>
        <w:t xml:space="preserve"> activities</w:t>
      </w:r>
      <w:r>
        <w:rPr>
          <w:rFonts w:asciiTheme="minorHAnsi" w:hAnsiTheme="minorHAnsi" w:cstheme="minorHAnsi"/>
          <w:sz w:val="24"/>
          <w:szCs w:val="24"/>
        </w:rPr>
        <w:t xml:space="preserve"> are simpler to categorize. </w:t>
      </w:r>
      <w:r w:rsidR="008A0F74">
        <w:rPr>
          <w:rFonts w:asciiTheme="minorHAnsi" w:hAnsiTheme="minorHAnsi" w:cstheme="minorHAnsi"/>
          <w:sz w:val="24"/>
          <w:szCs w:val="24"/>
        </w:rPr>
        <w:t>Based on the findings from this study, we may conduct research with active search activities in the future.</w:t>
      </w:r>
    </w:p>
    <w:p w:rsidR="00897BED" w:rsidP="005C16CE" w:rsidRDefault="00897BED" w14:paraId="1D5B0F8F" w14:textId="77777777">
      <w:pPr>
        <w:pStyle w:val="BodyText"/>
        <w:rPr>
          <w:rFonts w:asciiTheme="minorHAnsi" w:hAnsiTheme="minorHAnsi" w:cstheme="minorHAnsi"/>
          <w:sz w:val="24"/>
          <w:szCs w:val="24"/>
        </w:rPr>
      </w:pPr>
    </w:p>
    <w:p w:rsidR="005C16CE" w:rsidP="005C16CE" w:rsidRDefault="005C16CE" w14:paraId="08BC7510" w14:textId="4107AFFA">
      <w:pPr>
        <w:pStyle w:val="BodyText"/>
        <w:rPr>
          <w:rFonts w:asciiTheme="minorHAnsi" w:hAnsiTheme="minorHAnsi" w:cstheme="minorHAnsi"/>
          <w:sz w:val="24"/>
          <w:szCs w:val="24"/>
        </w:rPr>
      </w:pPr>
      <w:r>
        <w:rPr>
          <w:rFonts w:asciiTheme="minorHAnsi" w:hAnsiTheme="minorHAnsi" w:cstheme="minorHAnsi"/>
          <w:sz w:val="24"/>
          <w:szCs w:val="24"/>
        </w:rPr>
        <w:t xml:space="preserve">The vignettes </w:t>
      </w:r>
      <w:r w:rsidR="001D0151">
        <w:rPr>
          <w:rFonts w:asciiTheme="minorHAnsi" w:hAnsiTheme="minorHAnsi" w:cstheme="minorHAnsi"/>
          <w:sz w:val="24"/>
          <w:szCs w:val="24"/>
        </w:rPr>
        <w:t xml:space="preserve">and follow-up questions </w:t>
      </w:r>
      <w:r>
        <w:rPr>
          <w:rFonts w:asciiTheme="minorHAnsi" w:hAnsiTheme="minorHAnsi" w:cstheme="minorHAnsi"/>
          <w:sz w:val="24"/>
          <w:szCs w:val="24"/>
        </w:rPr>
        <w:t xml:space="preserve">can be found in </w:t>
      </w:r>
      <w:r w:rsidR="00E86243">
        <w:rPr>
          <w:rFonts w:asciiTheme="minorHAnsi" w:hAnsiTheme="minorHAnsi" w:cstheme="minorHAnsi"/>
          <w:sz w:val="24"/>
          <w:szCs w:val="24"/>
        </w:rPr>
        <w:t xml:space="preserve">Attachment </w:t>
      </w:r>
      <w:r w:rsidR="00A474BB">
        <w:rPr>
          <w:rFonts w:asciiTheme="minorHAnsi" w:hAnsiTheme="minorHAnsi" w:cstheme="minorHAnsi"/>
          <w:sz w:val="24"/>
          <w:szCs w:val="24"/>
        </w:rPr>
        <w:t>C</w:t>
      </w:r>
      <w:r>
        <w:rPr>
          <w:rFonts w:asciiTheme="minorHAnsi" w:hAnsiTheme="minorHAnsi" w:cstheme="minorHAnsi"/>
          <w:sz w:val="24"/>
          <w:szCs w:val="24"/>
        </w:rPr>
        <w:t xml:space="preserve">. </w:t>
      </w:r>
    </w:p>
    <w:p w:rsidR="005C16CE" w:rsidP="005C16CE" w:rsidRDefault="005C16CE" w14:paraId="751BEC24" w14:textId="77777777">
      <w:pPr>
        <w:pStyle w:val="BodyText"/>
        <w:rPr>
          <w:rFonts w:asciiTheme="minorHAnsi" w:hAnsiTheme="minorHAnsi" w:cstheme="minorHAnsi"/>
          <w:sz w:val="24"/>
          <w:szCs w:val="24"/>
        </w:rPr>
      </w:pPr>
    </w:p>
    <w:p w:rsidR="005C16CE" w:rsidP="005C16CE" w:rsidRDefault="005C16CE" w14:paraId="2C47E985" w14:textId="75EC0FFC">
      <w:pPr>
        <w:pStyle w:val="BodyText"/>
        <w:rPr>
          <w:rFonts w:asciiTheme="minorHAnsi" w:hAnsiTheme="minorHAnsi" w:cstheme="minorHAnsi"/>
          <w:sz w:val="24"/>
          <w:szCs w:val="24"/>
        </w:rPr>
      </w:pPr>
      <w:r>
        <w:rPr>
          <w:rFonts w:asciiTheme="minorHAnsi" w:hAnsiTheme="minorHAnsi" w:cstheme="minorHAnsi"/>
          <w:sz w:val="24"/>
          <w:szCs w:val="24"/>
        </w:rPr>
        <w:t>Finally, we will collect ratings of subjective burden to supplement paradata collected in the survey instrument on objective time spent on each page.</w:t>
      </w:r>
      <w:r w:rsidR="002B7B4E">
        <w:rPr>
          <w:rFonts w:asciiTheme="minorHAnsi" w:hAnsiTheme="minorHAnsi" w:cstheme="minorHAnsi"/>
          <w:sz w:val="24"/>
          <w:szCs w:val="24"/>
        </w:rPr>
        <w:t xml:space="preserve"> It will be important to understand the level of burden associated with each of the</w:t>
      </w:r>
      <w:r w:rsidR="00E86243">
        <w:rPr>
          <w:rFonts w:asciiTheme="minorHAnsi" w:hAnsiTheme="minorHAnsi" w:cstheme="minorHAnsi"/>
          <w:sz w:val="24"/>
          <w:szCs w:val="24"/>
        </w:rPr>
        <w:t xml:space="preserve"> closed-ended</w:t>
      </w:r>
      <w:r w:rsidR="002B7B4E">
        <w:rPr>
          <w:rFonts w:asciiTheme="minorHAnsi" w:hAnsiTheme="minorHAnsi" w:cstheme="minorHAnsi"/>
          <w:sz w:val="24"/>
          <w:szCs w:val="24"/>
        </w:rPr>
        <w:t xml:space="preserve"> approaches since these questions </w:t>
      </w:r>
      <w:r w:rsidR="002B7B4E">
        <w:rPr>
          <w:rFonts w:asciiTheme="minorHAnsi" w:hAnsiTheme="minorHAnsi" w:cstheme="minorHAnsi"/>
          <w:sz w:val="24"/>
          <w:szCs w:val="24"/>
        </w:rPr>
        <w:lastRenderedPageBreak/>
        <w:t xml:space="preserve">have not yet been tested via self-response </w:t>
      </w:r>
      <w:r w:rsidR="00A474BB">
        <w:rPr>
          <w:rFonts w:asciiTheme="minorHAnsi" w:hAnsiTheme="minorHAnsi" w:cstheme="minorHAnsi"/>
          <w:sz w:val="24"/>
          <w:szCs w:val="24"/>
        </w:rPr>
        <w:t>and may</w:t>
      </w:r>
      <w:r w:rsidR="002B7B4E">
        <w:rPr>
          <w:rFonts w:asciiTheme="minorHAnsi" w:hAnsiTheme="minorHAnsi" w:cstheme="minorHAnsi"/>
          <w:sz w:val="24"/>
          <w:szCs w:val="24"/>
        </w:rPr>
        <w:t xml:space="preserve"> have implications for response and data quality. </w:t>
      </w:r>
    </w:p>
    <w:p w:rsidR="00395A9C" w:rsidP="005C16CE" w:rsidRDefault="00395A9C" w14:paraId="0E4926DC" w14:textId="77777777">
      <w:pPr>
        <w:pStyle w:val="BodyText"/>
        <w:rPr>
          <w:rFonts w:asciiTheme="minorHAnsi" w:hAnsiTheme="minorHAnsi" w:cstheme="minorHAnsi"/>
          <w:sz w:val="24"/>
          <w:szCs w:val="24"/>
        </w:rPr>
      </w:pPr>
    </w:p>
    <w:p w:rsidR="00395A9C" w:rsidP="005C16CE" w:rsidRDefault="00395A9C" w14:paraId="27647A26" w14:textId="51324EDE">
      <w:pPr>
        <w:pStyle w:val="BodyText"/>
        <w:rPr>
          <w:rFonts w:asciiTheme="minorHAnsi" w:hAnsiTheme="minorHAnsi" w:cstheme="minorHAnsi"/>
          <w:sz w:val="24"/>
          <w:szCs w:val="24"/>
        </w:rPr>
      </w:pPr>
      <w:r>
        <w:rPr>
          <w:rFonts w:asciiTheme="minorHAnsi" w:hAnsiTheme="minorHAnsi" w:cstheme="minorHAnsi"/>
          <w:sz w:val="24"/>
          <w:szCs w:val="24"/>
        </w:rPr>
        <w:t>Outcome variables:</w:t>
      </w:r>
    </w:p>
    <w:p w:rsidR="00395A9C" w:rsidP="00395A9C" w:rsidRDefault="00395A9C" w14:paraId="54AECE6F" w14:textId="477FCF4D">
      <w:pPr>
        <w:pStyle w:val="BodyText"/>
        <w:numPr>
          <w:ilvl w:val="0"/>
          <w:numId w:val="11"/>
        </w:numPr>
        <w:rPr>
          <w:rFonts w:asciiTheme="minorHAnsi" w:hAnsiTheme="minorHAnsi" w:cstheme="minorHAnsi"/>
          <w:sz w:val="24"/>
          <w:szCs w:val="24"/>
        </w:rPr>
      </w:pPr>
      <w:r>
        <w:rPr>
          <w:rFonts w:asciiTheme="minorHAnsi" w:hAnsiTheme="minorHAnsi" w:cstheme="minorHAnsi"/>
          <w:sz w:val="24"/>
          <w:szCs w:val="24"/>
        </w:rPr>
        <w:t>Compare</w:t>
      </w:r>
      <w:r w:rsidR="00E86243">
        <w:rPr>
          <w:rFonts w:asciiTheme="minorHAnsi" w:hAnsiTheme="minorHAnsi" w:cstheme="minorHAnsi"/>
          <w:sz w:val="24"/>
          <w:szCs w:val="24"/>
        </w:rPr>
        <w:t xml:space="preserve"> within-subject</w:t>
      </w:r>
      <w:r>
        <w:rPr>
          <w:rFonts w:asciiTheme="minorHAnsi" w:hAnsiTheme="minorHAnsi" w:cstheme="minorHAnsi"/>
          <w:sz w:val="24"/>
          <w:szCs w:val="24"/>
        </w:rPr>
        <w:t xml:space="preserve"> open-ended responses to </w:t>
      </w:r>
      <w:r w:rsidR="00E86243">
        <w:rPr>
          <w:rFonts w:asciiTheme="minorHAnsi" w:hAnsiTheme="minorHAnsi" w:cstheme="minorHAnsi"/>
          <w:sz w:val="24"/>
          <w:szCs w:val="24"/>
        </w:rPr>
        <w:t xml:space="preserve">the same participant’s own </w:t>
      </w:r>
      <w:r>
        <w:rPr>
          <w:rFonts w:asciiTheme="minorHAnsi" w:hAnsiTheme="minorHAnsi" w:cstheme="minorHAnsi"/>
          <w:sz w:val="24"/>
          <w:szCs w:val="24"/>
        </w:rPr>
        <w:t>close</w:t>
      </w:r>
      <w:r w:rsidR="009954FA">
        <w:rPr>
          <w:rFonts w:asciiTheme="minorHAnsi" w:hAnsiTheme="minorHAnsi" w:cstheme="minorHAnsi"/>
          <w:sz w:val="24"/>
          <w:szCs w:val="24"/>
        </w:rPr>
        <w:t>d</w:t>
      </w:r>
      <w:r>
        <w:rPr>
          <w:rFonts w:asciiTheme="minorHAnsi" w:hAnsiTheme="minorHAnsi" w:cstheme="minorHAnsi"/>
          <w:sz w:val="24"/>
          <w:szCs w:val="24"/>
        </w:rPr>
        <w:t>-ended responses to determine how well they match one another</w:t>
      </w:r>
    </w:p>
    <w:p w:rsidR="00395A9C" w:rsidP="00395A9C" w:rsidRDefault="00395A9C" w14:paraId="0E415E02" w14:textId="00B0D81F">
      <w:pPr>
        <w:pStyle w:val="BodyText"/>
        <w:numPr>
          <w:ilvl w:val="0"/>
          <w:numId w:val="11"/>
        </w:numPr>
        <w:rPr>
          <w:rFonts w:asciiTheme="minorHAnsi" w:hAnsiTheme="minorHAnsi" w:cstheme="minorHAnsi"/>
          <w:sz w:val="24"/>
          <w:szCs w:val="24"/>
        </w:rPr>
      </w:pPr>
      <w:r>
        <w:rPr>
          <w:rFonts w:asciiTheme="minorHAnsi" w:hAnsiTheme="minorHAnsi" w:cstheme="minorHAnsi"/>
          <w:sz w:val="24"/>
          <w:szCs w:val="24"/>
        </w:rPr>
        <w:t xml:space="preserve">Compare </w:t>
      </w:r>
      <w:r w:rsidR="0064281C">
        <w:rPr>
          <w:rFonts w:asciiTheme="minorHAnsi" w:hAnsiTheme="minorHAnsi" w:cstheme="minorHAnsi"/>
          <w:sz w:val="24"/>
          <w:szCs w:val="24"/>
        </w:rPr>
        <w:t xml:space="preserve">responses </w:t>
      </w:r>
      <w:r w:rsidR="00E86243">
        <w:rPr>
          <w:rFonts w:asciiTheme="minorHAnsi" w:hAnsiTheme="minorHAnsi" w:cstheme="minorHAnsi"/>
          <w:sz w:val="24"/>
          <w:szCs w:val="24"/>
        </w:rPr>
        <w:t>across the</w:t>
      </w:r>
      <w:r>
        <w:rPr>
          <w:rFonts w:asciiTheme="minorHAnsi" w:hAnsiTheme="minorHAnsi" w:cstheme="minorHAnsi"/>
          <w:sz w:val="24"/>
          <w:szCs w:val="24"/>
        </w:rPr>
        <w:t xml:space="preserve"> </w:t>
      </w:r>
      <w:r w:rsidR="00E86243">
        <w:rPr>
          <w:rFonts w:asciiTheme="minorHAnsi" w:hAnsiTheme="minorHAnsi" w:cstheme="minorHAnsi"/>
          <w:sz w:val="24"/>
          <w:szCs w:val="24"/>
        </w:rPr>
        <w:t>two closed-ended groups</w:t>
      </w:r>
      <w:r>
        <w:rPr>
          <w:rFonts w:asciiTheme="minorHAnsi" w:hAnsiTheme="minorHAnsi" w:cstheme="minorHAnsi"/>
          <w:sz w:val="24"/>
          <w:szCs w:val="24"/>
        </w:rPr>
        <w:t xml:space="preserve"> to determine whether one </w:t>
      </w:r>
      <w:r w:rsidR="00E86243">
        <w:rPr>
          <w:rFonts w:asciiTheme="minorHAnsi" w:hAnsiTheme="minorHAnsi" w:cstheme="minorHAnsi"/>
          <w:sz w:val="24"/>
          <w:szCs w:val="24"/>
        </w:rPr>
        <w:t xml:space="preserve">group’s closed-ended responses </w:t>
      </w:r>
      <w:r>
        <w:rPr>
          <w:rFonts w:asciiTheme="minorHAnsi" w:hAnsiTheme="minorHAnsi" w:cstheme="minorHAnsi"/>
          <w:sz w:val="24"/>
          <w:szCs w:val="24"/>
        </w:rPr>
        <w:t>aligns more closely to the open-ended response</w:t>
      </w:r>
    </w:p>
    <w:p w:rsidRPr="00A474BB" w:rsidR="0064281C" w:rsidP="00A474BB" w:rsidRDefault="00E86243" w14:paraId="6D66D64E" w14:textId="3B65558D">
      <w:pPr>
        <w:pStyle w:val="BodyText"/>
        <w:numPr>
          <w:ilvl w:val="0"/>
          <w:numId w:val="11"/>
        </w:numPr>
        <w:rPr>
          <w:rFonts w:asciiTheme="minorHAnsi" w:hAnsiTheme="minorHAnsi" w:cstheme="minorHAnsi"/>
          <w:sz w:val="24"/>
          <w:szCs w:val="24"/>
        </w:rPr>
      </w:pPr>
      <w:r>
        <w:rPr>
          <w:rFonts w:asciiTheme="minorHAnsi" w:hAnsiTheme="minorHAnsi" w:cstheme="minorHAnsi"/>
          <w:sz w:val="24"/>
          <w:szCs w:val="24"/>
        </w:rPr>
        <w:t>C</w:t>
      </w:r>
      <w:r w:rsidR="0064281C">
        <w:rPr>
          <w:rFonts w:asciiTheme="minorHAnsi" w:hAnsiTheme="minorHAnsi" w:cstheme="minorHAnsi"/>
          <w:sz w:val="24"/>
          <w:szCs w:val="24"/>
        </w:rPr>
        <w:t xml:space="preserve">ompare responses </w:t>
      </w:r>
      <w:r>
        <w:rPr>
          <w:rFonts w:asciiTheme="minorHAnsi" w:hAnsiTheme="minorHAnsi" w:cstheme="minorHAnsi"/>
          <w:sz w:val="24"/>
          <w:szCs w:val="24"/>
        </w:rPr>
        <w:t>across the two closed-ended</w:t>
      </w:r>
      <w:r w:rsidR="0064281C">
        <w:rPr>
          <w:rFonts w:asciiTheme="minorHAnsi" w:hAnsiTheme="minorHAnsi" w:cstheme="minorHAnsi"/>
          <w:sz w:val="24"/>
          <w:szCs w:val="24"/>
        </w:rPr>
        <w:t xml:space="preserve"> groups to determine whether one </w:t>
      </w:r>
      <w:r>
        <w:rPr>
          <w:rFonts w:asciiTheme="minorHAnsi" w:hAnsiTheme="minorHAnsi" w:cstheme="minorHAnsi"/>
          <w:sz w:val="24"/>
          <w:szCs w:val="24"/>
        </w:rPr>
        <w:t xml:space="preserve">group’s closed-ended responses </w:t>
      </w:r>
      <w:r w:rsidR="0064281C">
        <w:rPr>
          <w:rFonts w:asciiTheme="minorHAnsi" w:hAnsiTheme="minorHAnsi" w:cstheme="minorHAnsi"/>
          <w:sz w:val="24"/>
          <w:szCs w:val="24"/>
        </w:rPr>
        <w:t xml:space="preserve">aligns more closely with the “true value” (or the correct codes) </w:t>
      </w:r>
      <w:r>
        <w:rPr>
          <w:rFonts w:asciiTheme="minorHAnsi" w:hAnsiTheme="minorHAnsi" w:cstheme="minorHAnsi"/>
          <w:sz w:val="24"/>
          <w:szCs w:val="24"/>
        </w:rPr>
        <w:t xml:space="preserve">for </w:t>
      </w:r>
      <w:r w:rsidR="0064281C">
        <w:rPr>
          <w:rFonts w:asciiTheme="minorHAnsi" w:hAnsiTheme="minorHAnsi" w:cstheme="minorHAnsi"/>
          <w:sz w:val="24"/>
          <w:szCs w:val="24"/>
        </w:rPr>
        <w:t>the vignette descriptions</w:t>
      </w:r>
    </w:p>
    <w:p w:rsidR="00387FB8" w:rsidP="002852CB" w:rsidRDefault="00387FB8" w14:paraId="2C65513E" w14:textId="77777777">
      <w:pPr>
        <w:pStyle w:val="BodyText"/>
        <w:ind w:left="720"/>
        <w:rPr>
          <w:rFonts w:asciiTheme="minorHAnsi" w:hAnsiTheme="minorHAnsi" w:cstheme="minorHAnsi"/>
          <w:sz w:val="24"/>
          <w:szCs w:val="24"/>
        </w:rPr>
      </w:pPr>
    </w:p>
    <w:p w:rsidR="00387FB8" w:rsidP="00A37AD5" w:rsidRDefault="00A37AD5" w14:paraId="45EA7AE2" w14:textId="10B13C83">
      <w:pPr>
        <w:pStyle w:val="BodyText"/>
        <w:rPr>
          <w:rFonts w:asciiTheme="minorHAnsi" w:hAnsiTheme="minorHAnsi" w:cstheme="minorHAnsi"/>
          <w:b/>
          <w:sz w:val="24"/>
          <w:szCs w:val="24"/>
        </w:rPr>
      </w:pPr>
      <w:r w:rsidRPr="00A37AD5">
        <w:rPr>
          <w:rFonts w:asciiTheme="minorHAnsi" w:hAnsiTheme="minorHAnsi" w:cstheme="minorHAnsi"/>
          <w:b/>
          <w:sz w:val="24"/>
          <w:szCs w:val="24"/>
        </w:rPr>
        <w:t>Debriefing section</w:t>
      </w:r>
    </w:p>
    <w:p w:rsidR="00A37AD5" w:rsidP="00A37AD5" w:rsidRDefault="00A37AD5" w14:paraId="7A6B3239" w14:textId="77777777">
      <w:pPr>
        <w:pStyle w:val="BodyText"/>
        <w:rPr>
          <w:rFonts w:asciiTheme="minorHAnsi" w:hAnsiTheme="minorHAnsi" w:cstheme="minorHAnsi"/>
          <w:b/>
          <w:sz w:val="24"/>
          <w:szCs w:val="24"/>
        </w:rPr>
      </w:pPr>
    </w:p>
    <w:p w:rsidR="0063403D" w:rsidP="00A37AD5" w:rsidRDefault="00E15E6B" w14:paraId="27002896" w14:textId="77777777">
      <w:pPr>
        <w:pStyle w:val="BodyText"/>
        <w:rPr>
          <w:rFonts w:asciiTheme="minorHAnsi" w:hAnsiTheme="minorHAnsi" w:cstheme="minorHAnsi"/>
          <w:sz w:val="24"/>
          <w:szCs w:val="24"/>
        </w:rPr>
      </w:pPr>
      <w:r>
        <w:rPr>
          <w:rFonts w:asciiTheme="minorHAnsi" w:hAnsiTheme="minorHAnsi" w:cstheme="minorHAnsi"/>
          <w:sz w:val="24"/>
          <w:szCs w:val="24"/>
        </w:rPr>
        <w:t xml:space="preserve">To gain a better understanding of the reasons participants opted to select Don’t know, Prefer not to say, or skip a question, we included a debriefing section at the end of the survey. </w:t>
      </w:r>
      <w:r w:rsidR="00557E1E">
        <w:rPr>
          <w:rFonts w:asciiTheme="minorHAnsi" w:hAnsiTheme="minorHAnsi" w:cstheme="minorHAnsi"/>
          <w:sz w:val="24"/>
          <w:szCs w:val="24"/>
        </w:rPr>
        <w:t xml:space="preserve">This debriefing is important for the first research question, to better understand ways to reduce item nonresponse. Question categories were adapted from previous research using similar closed-ended </w:t>
      </w:r>
      <w:r w:rsidR="0063403D">
        <w:rPr>
          <w:rFonts w:asciiTheme="minorHAnsi" w:hAnsiTheme="minorHAnsi" w:cstheme="minorHAnsi"/>
          <w:sz w:val="24"/>
          <w:szCs w:val="24"/>
        </w:rPr>
        <w:t>categories</w:t>
      </w:r>
      <w:r w:rsidR="00557E1E">
        <w:rPr>
          <w:rFonts w:asciiTheme="minorHAnsi" w:hAnsiTheme="minorHAnsi" w:cstheme="minorHAnsi"/>
          <w:sz w:val="24"/>
          <w:szCs w:val="24"/>
        </w:rPr>
        <w:t xml:space="preserve"> </w:t>
      </w:r>
      <w:r w:rsidR="0063403D">
        <w:rPr>
          <w:rFonts w:asciiTheme="minorHAnsi" w:hAnsiTheme="minorHAnsi" w:cstheme="minorHAnsi"/>
          <w:sz w:val="24"/>
          <w:szCs w:val="24"/>
        </w:rPr>
        <w:t>(adapted from Steen et al., 2019). Some of the categories get at respondent difficulty (e.g., being unsure of an answer, the answer could vary, having insufficient information to answer) or respondent sensitivity (e.g., concerns about privacy,  being uncomfortable responding). This will allow us to assess whether certain questions or types of questions elicit different reasons for nonresponse, and allow for tailored nonresponse follow-up prompts in future research. For example, if a certain question always leads to nonresponse due to privacy concerns, a prompt could be designed to remind respondents that their answers will be kept confidential.</w:t>
      </w:r>
    </w:p>
    <w:p w:rsidR="0063403D" w:rsidP="00A37AD5" w:rsidRDefault="0063403D" w14:paraId="498760A1" w14:textId="77777777">
      <w:pPr>
        <w:pStyle w:val="BodyText"/>
        <w:rPr>
          <w:rFonts w:asciiTheme="minorHAnsi" w:hAnsiTheme="minorHAnsi" w:cstheme="minorHAnsi"/>
          <w:sz w:val="24"/>
          <w:szCs w:val="24"/>
        </w:rPr>
      </w:pPr>
    </w:p>
    <w:p w:rsidR="00A37AD5" w:rsidP="00A37AD5" w:rsidRDefault="00557E1E" w14:paraId="7D729D3B" w14:textId="6992DBC0">
      <w:pPr>
        <w:pStyle w:val="BodyText"/>
        <w:rPr>
          <w:rFonts w:asciiTheme="minorHAnsi" w:hAnsiTheme="minorHAnsi" w:cstheme="minorHAnsi"/>
          <w:sz w:val="24"/>
          <w:szCs w:val="24"/>
        </w:rPr>
      </w:pPr>
      <w:r>
        <w:rPr>
          <w:rFonts w:asciiTheme="minorHAnsi" w:hAnsiTheme="minorHAnsi" w:cstheme="minorHAnsi"/>
          <w:sz w:val="24"/>
          <w:szCs w:val="24"/>
        </w:rPr>
        <w:t xml:space="preserve"> </w:t>
      </w:r>
      <w:r w:rsidR="00E15E6B">
        <w:rPr>
          <w:rFonts w:asciiTheme="minorHAnsi" w:hAnsiTheme="minorHAnsi" w:cstheme="minorHAnsi"/>
          <w:sz w:val="24"/>
          <w:szCs w:val="24"/>
        </w:rPr>
        <w:t>In this section, participants will see a prompt for each item they did not provide a substantive response to, and they will be asked to identify the reason(s) for doing so, as follows:</w:t>
      </w:r>
    </w:p>
    <w:p w:rsidR="00E15E6B" w:rsidP="00A37AD5" w:rsidRDefault="00E15E6B" w14:paraId="59085284" w14:textId="77777777">
      <w:pPr>
        <w:pStyle w:val="BodyText"/>
        <w:rPr>
          <w:rFonts w:asciiTheme="minorHAnsi" w:hAnsiTheme="minorHAnsi" w:cstheme="minorHAnsi"/>
          <w:sz w:val="24"/>
          <w:szCs w:val="24"/>
        </w:rPr>
      </w:pPr>
    </w:p>
    <w:p w:rsidRPr="00E15E6B" w:rsidR="00E15E6B" w:rsidP="00E15E6B" w:rsidRDefault="00E15E6B" w14:paraId="1C43421F" w14:textId="77777777">
      <w:pPr>
        <w:pStyle w:val="BodyText"/>
        <w:rPr>
          <w:rFonts w:asciiTheme="minorHAnsi" w:hAnsiTheme="minorHAnsi" w:cstheme="minorHAnsi"/>
          <w:sz w:val="24"/>
          <w:szCs w:val="24"/>
        </w:rPr>
      </w:pPr>
      <w:r w:rsidRPr="00E15E6B">
        <w:rPr>
          <w:rFonts w:asciiTheme="minorHAnsi" w:hAnsiTheme="minorHAnsi" w:cstheme="minorHAnsi"/>
          <w:sz w:val="24"/>
          <w:szCs w:val="24"/>
        </w:rPr>
        <w:t>[For each question that was originally answered “DK” or “Prefer not to say” or skipped:]</w:t>
      </w:r>
    </w:p>
    <w:p w:rsidRPr="00E15E6B" w:rsidR="00E15E6B" w:rsidP="00E15E6B" w:rsidRDefault="00E15E6B" w14:paraId="5B4C70B5" w14:textId="77777777">
      <w:pPr>
        <w:pStyle w:val="BodyText"/>
        <w:rPr>
          <w:rFonts w:asciiTheme="minorHAnsi" w:hAnsiTheme="minorHAnsi" w:cstheme="minorHAnsi"/>
          <w:sz w:val="24"/>
          <w:szCs w:val="24"/>
        </w:rPr>
      </w:pPr>
    </w:p>
    <w:p w:rsidRPr="00E15E6B" w:rsidR="00E15E6B" w:rsidP="00E15E6B" w:rsidRDefault="00E15E6B" w14:paraId="1E8CBA9B" w14:textId="505B418F">
      <w:pPr>
        <w:pStyle w:val="BodyText"/>
        <w:rPr>
          <w:rFonts w:asciiTheme="minorHAnsi" w:hAnsiTheme="minorHAnsi" w:cstheme="minorHAnsi"/>
          <w:sz w:val="24"/>
          <w:szCs w:val="24"/>
        </w:rPr>
      </w:pPr>
      <w:r w:rsidRPr="00E15E6B">
        <w:rPr>
          <w:rFonts w:asciiTheme="minorHAnsi" w:hAnsiTheme="minorHAnsi" w:cstheme="minorHAnsi"/>
          <w:sz w:val="24"/>
          <w:szCs w:val="24"/>
        </w:rPr>
        <w:t xml:space="preserve">Earlier, you either answered </w:t>
      </w:r>
      <w:r w:rsidRPr="00E15E6B">
        <w:rPr>
          <w:rFonts w:asciiTheme="minorHAnsi" w:hAnsiTheme="minorHAnsi" w:cstheme="minorHAnsi"/>
          <w:i/>
          <w:sz w:val="24"/>
          <w:szCs w:val="24"/>
        </w:rPr>
        <w:t>Don’t Know, Prefer not to say, or skipped</w:t>
      </w:r>
      <w:r w:rsidRPr="00E15E6B">
        <w:rPr>
          <w:rFonts w:asciiTheme="minorHAnsi" w:hAnsiTheme="minorHAnsi" w:cstheme="minorHAnsi"/>
          <w:sz w:val="24"/>
          <w:szCs w:val="24"/>
        </w:rPr>
        <w:t xml:space="preserve"> the following question [in</w:t>
      </w:r>
      <w:r>
        <w:rPr>
          <w:rFonts w:asciiTheme="minorHAnsi" w:hAnsiTheme="minorHAnsi" w:cstheme="minorHAnsi"/>
          <w:sz w:val="24"/>
          <w:szCs w:val="24"/>
        </w:rPr>
        <w:t>sert question stem].</w:t>
      </w:r>
    </w:p>
    <w:p w:rsidRPr="00E15E6B" w:rsidR="00E15E6B" w:rsidP="00E15E6B" w:rsidRDefault="00E15E6B" w14:paraId="17DF8089" w14:textId="77777777">
      <w:pPr>
        <w:pStyle w:val="BodyText"/>
        <w:rPr>
          <w:rFonts w:asciiTheme="minorHAnsi" w:hAnsiTheme="minorHAnsi" w:cstheme="minorHAnsi"/>
          <w:sz w:val="24"/>
          <w:szCs w:val="24"/>
        </w:rPr>
      </w:pPr>
    </w:p>
    <w:p w:rsidRPr="00E15E6B" w:rsidR="00E15E6B" w:rsidP="00E15E6B" w:rsidRDefault="00E15E6B" w14:paraId="7452D265" w14:textId="77777777">
      <w:pPr>
        <w:pStyle w:val="BodyText"/>
        <w:rPr>
          <w:rFonts w:asciiTheme="minorHAnsi" w:hAnsiTheme="minorHAnsi" w:cstheme="minorHAnsi"/>
          <w:sz w:val="24"/>
          <w:szCs w:val="24"/>
        </w:rPr>
      </w:pPr>
      <w:r w:rsidRPr="00E15E6B">
        <w:rPr>
          <w:rFonts w:asciiTheme="minorHAnsi" w:hAnsiTheme="minorHAnsi" w:cstheme="minorHAnsi"/>
          <w:sz w:val="24"/>
          <w:szCs w:val="24"/>
        </w:rPr>
        <w:t>For what reason(s) did you select this response? Select all that apply.</w:t>
      </w:r>
    </w:p>
    <w:p w:rsidRPr="00E15E6B" w:rsidR="00E15E6B" w:rsidP="00E15E6B" w:rsidRDefault="00E15E6B" w14:paraId="285E6999" w14:textId="77777777">
      <w:pPr>
        <w:pStyle w:val="BodyText"/>
        <w:rPr>
          <w:rFonts w:asciiTheme="minorHAnsi" w:hAnsiTheme="minorHAnsi" w:cstheme="minorHAnsi"/>
          <w:sz w:val="24"/>
          <w:szCs w:val="24"/>
        </w:rPr>
      </w:pPr>
      <w:r w:rsidRPr="00E15E6B">
        <w:rPr>
          <w:rFonts w:asciiTheme="minorHAnsi" w:hAnsiTheme="minorHAnsi" w:cstheme="minorHAnsi"/>
          <w:sz w:val="24"/>
          <w:szCs w:val="24"/>
        </w:rPr>
        <w:t>□</w:t>
      </w:r>
      <w:r w:rsidRPr="00E15E6B">
        <w:rPr>
          <w:rFonts w:asciiTheme="minorHAnsi" w:hAnsiTheme="minorHAnsi" w:cstheme="minorHAnsi"/>
          <w:sz w:val="24"/>
          <w:szCs w:val="24"/>
        </w:rPr>
        <w:tab/>
        <w:t>I was unsure of the answer</w:t>
      </w:r>
    </w:p>
    <w:p w:rsidRPr="00E15E6B" w:rsidR="00E15E6B" w:rsidP="00E15E6B" w:rsidRDefault="00E15E6B" w14:paraId="4905E4A1" w14:textId="77777777">
      <w:pPr>
        <w:pStyle w:val="BodyText"/>
        <w:rPr>
          <w:rFonts w:asciiTheme="minorHAnsi" w:hAnsiTheme="minorHAnsi" w:cstheme="minorHAnsi"/>
          <w:sz w:val="24"/>
          <w:szCs w:val="24"/>
        </w:rPr>
      </w:pPr>
      <w:r w:rsidRPr="00E15E6B">
        <w:rPr>
          <w:rFonts w:asciiTheme="minorHAnsi" w:hAnsiTheme="minorHAnsi" w:cstheme="minorHAnsi"/>
          <w:sz w:val="24"/>
          <w:szCs w:val="24"/>
        </w:rPr>
        <w:t>□</w:t>
      </w:r>
      <w:r w:rsidRPr="00E15E6B">
        <w:rPr>
          <w:rFonts w:asciiTheme="minorHAnsi" w:hAnsiTheme="minorHAnsi" w:cstheme="minorHAnsi"/>
          <w:sz w:val="24"/>
          <w:szCs w:val="24"/>
        </w:rPr>
        <w:tab/>
        <w:t>My answer could vary depending on the situation</w:t>
      </w:r>
    </w:p>
    <w:p w:rsidRPr="00E15E6B" w:rsidR="00E15E6B" w:rsidP="00E15E6B" w:rsidRDefault="00E15E6B" w14:paraId="0220CA5C" w14:textId="77777777">
      <w:pPr>
        <w:pStyle w:val="BodyText"/>
        <w:rPr>
          <w:rFonts w:asciiTheme="minorHAnsi" w:hAnsiTheme="minorHAnsi" w:cstheme="minorHAnsi"/>
          <w:sz w:val="24"/>
          <w:szCs w:val="24"/>
        </w:rPr>
      </w:pPr>
      <w:r w:rsidRPr="00E15E6B">
        <w:rPr>
          <w:rFonts w:asciiTheme="minorHAnsi" w:hAnsiTheme="minorHAnsi" w:cstheme="minorHAnsi"/>
          <w:sz w:val="24"/>
          <w:szCs w:val="24"/>
        </w:rPr>
        <w:t>□</w:t>
      </w:r>
      <w:r w:rsidRPr="00E15E6B">
        <w:rPr>
          <w:rFonts w:asciiTheme="minorHAnsi" w:hAnsiTheme="minorHAnsi" w:cstheme="minorHAnsi"/>
          <w:sz w:val="24"/>
          <w:szCs w:val="24"/>
        </w:rPr>
        <w:tab/>
        <w:t>The question was unclear</w:t>
      </w:r>
    </w:p>
    <w:p w:rsidRPr="00E15E6B" w:rsidR="00E15E6B" w:rsidP="00E15E6B" w:rsidRDefault="00E15E6B" w14:paraId="3EFFE50B" w14:textId="77777777">
      <w:pPr>
        <w:pStyle w:val="BodyText"/>
        <w:rPr>
          <w:rFonts w:asciiTheme="minorHAnsi" w:hAnsiTheme="minorHAnsi" w:cstheme="minorHAnsi"/>
          <w:sz w:val="24"/>
          <w:szCs w:val="24"/>
        </w:rPr>
      </w:pPr>
      <w:r w:rsidRPr="00E15E6B">
        <w:rPr>
          <w:rFonts w:asciiTheme="minorHAnsi" w:hAnsiTheme="minorHAnsi" w:cstheme="minorHAnsi"/>
          <w:sz w:val="24"/>
          <w:szCs w:val="24"/>
        </w:rPr>
        <w:t>□</w:t>
      </w:r>
      <w:r w:rsidRPr="00E15E6B">
        <w:rPr>
          <w:rFonts w:asciiTheme="minorHAnsi" w:hAnsiTheme="minorHAnsi" w:cstheme="minorHAnsi"/>
          <w:sz w:val="24"/>
          <w:szCs w:val="24"/>
        </w:rPr>
        <w:tab/>
        <w:t>The response categories were unclear</w:t>
      </w:r>
    </w:p>
    <w:p w:rsidRPr="00E15E6B" w:rsidR="00E15E6B" w:rsidP="00E15E6B" w:rsidRDefault="00E15E6B" w14:paraId="7A02A49F" w14:textId="77777777">
      <w:pPr>
        <w:pStyle w:val="BodyText"/>
        <w:rPr>
          <w:rFonts w:asciiTheme="minorHAnsi" w:hAnsiTheme="minorHAnsi" w:cstheme="minorHAnsi"/>
          <w:sz w:val="24"/>
          <w:szCs w:val="24"/>
        </w:rPr>
      </w:pPr>
      <w:r w:rsidRPr="00E15E6B">
        <w:rPr>
          <w:rFonts w:asciiTheme="minorHAnsi" w:hAnsiTheme="minorHAnsi" w:cstheme="minorHAnsi"/>
          <w:sz w:val="24"/>
          <w:szCs w:val="24"/>
        </w:rPr>
        <w:t>□</w:t>
      </w:r>
      <w:r w:rsidRPr="00E15E6B">
        <w:rPr>
          <w:rFonts w:asciiTheme="minorHAnsi" w:hAnsiTheme="minorHAnsi" w:cstheme="minorHAnsi"/>
          <w:sz w:val="24"/>
          <w:szCs w:val="24"/>
        </w:rPr>
        <w:tab/>
        <w:t>I didn’t have the information needed to answer</w:t>
      </w:r>
    </w:p>
    <w:p w:rsidRPr="00E15E6B" w:rsidR="00E15E6B" w:rsidP="00E15E6B" w:rsidRDefault="00E15E6B" w14:paraId="52725F7F" w14:textId="77777777">
      <w:pPr>
        <w:pStyle w:val="BodyText"/>
        <w:rPr>
          <w:rFonts w:asciiTheme="minorHAnsi" w:hAnsiTheme="minorHAnsi" w:cstheme="minorHAnsi"/>
          <w:sz w:val="24"/>
          <w:szCs w:val="24"/>
        </w:rPr>
      </w:pPr>
      <w:r w:rsidRPr="00E15E6B">
        <w:rPr>
          <w:rFonts w:asciiTheme="minorHAnsi" w:hAnsiTheme="minorHAnsi" w:cstheme="minorHAnsi"/>
          <w:sz w:val="24"/>
          <w:szCs w:val="24"/>
        </w:rPr>
        <w:t>□</w:t>
      </w:r>
      <w:r w:rsidRPr="00E15E6B">
        <w:rPr>
          <w:rFonts w:asciiTheme="minorHAnsi" w:hAnsiTheme="minorHAnsi" w:cstheme="minorHAnsi"/>
          <w:sz w:val="24"/>
          <w:szCs w:val="24"/>
        </w:rPr>
        <w:tab/>
        <w:t xml:space="preserve">I thought the question invaded privacy or confidentiality </w:t>
      </w:r>
    </w:p>
    <w:p w:rsidRPr="00E15E6B" w:rsidR="00E15E6B" w:rsidP="00E15E6B" w:rsidRDefault="00E15E6B" w14:paraId="08C66F2B" w14:textId="77777777">
      <w:pPr>
        <w:pStyle w:val="BodyText"/>
        <w:rPr>
          <w:rFonts w:asciiTheme="minorHAnsi" w:hAnsiTheme="minorHAnsi" w:cstheme="minorHAnsi"/>
          <w:sz w:val="24"/>
          <w:szCs w:val="24"/>
        </w:rPr>
      </w:pPr>
      <w:r w:rsidRPr="00E15E6B">
        <w:rPr>
          <w:rFonts w:asciiTheme="minorHAnsi" w:hAnsiTheme="minorHAnsi" w:cstheme="minorHAnsi"/>
          <w:sz w:val="24"/>
          <w:szCs w:val="24"/>
        </w:rPr>
        <w:t>□</w:t>
      </w:r>
      <w:r w:rsidRPr="00E15E6B">
        <w:rPr>
          <w:rFonts w:asciiTheme="minorHAnsi" w:hAnsiTheme="minorHAnsi" w:cstheme="minorHAnsi"/>
          <w:sz w:val="24"/>
          <w:szCs w:val="24"/>
        </w:rPr>
        <w:tab/>
        <w:t>I thought the question was too sensitive or personal</w:t>
      </w:r>
    </w:p>
    <w:p w:rsidRPr="00E15E6B" w:rsidR="00E15E6B" w:rsidP="00E15E6B" w:rsidRDefault="00E15E6B" w14:paraId="3FA38AE7" w14:textId="77777777">
      <w:pPr>
        <w:pStyle w:val="BodyText"/>
        <w:rPr>
          <w:rFonts w:asciiTheme="minorHAnsi" w:hAnsiTheme="minorHAnsi" w:cstheme="minorHAnsi"/>
          <w:sz w:val="24"/>
          <w:szCs w:val="24"/>
        </w:rPr>
      </w:pPr>
      <w:r w:rsidRPr="00E15E6B">
        <w:rPr>
          <w:rFonts w:asciiTheme="minorHAnsi" w:hAnsiTheme="minorHAnsi" w:cstheme="minorHAnsi"/>
          <w:sz w:val="24"/>
          <w:szCs w:val="24"/>
        </w:rPr>
        <w:t>□</w:t>
      </w:r>
      <w:r w:rsidRPr="00E15E6B">
        <w:rPr>
          <w:rFonts w:asciiTheme="minorHAnsi" w:hAnsiTheme="minorHAnsi" w:cstheme="minorHAnsi"/>
          <w:sz w:val="24"/>
          <w:szCs w:val="24"/>
        </w:rPr>
        <w:tab/>
        <w:t>I thought the question was not something the government should be asking</w:t>
      </w:r>
    </w:p>
    <w:p w:rsidRPr="00E15E6B" w:rsidR="00E15E6B" w:rsidP="00E15E6B" w:rsidRDefault="00E15E6B" w14:paraId="0014A84C" w14:textId="77777777">
      <w:pPr>
        <w:pStyle w:val="BodyText"/>
        <w:rPr>
          <w:rFonts w:asciiTheme="minorHAnsi" w:hAnsiTheme="minorHAnsi" w:cstheme="minorHAnsi"/>
          <w:sz w:val="24"/>
          <w:szCs w:val="24"/>
        </w:rPr>
      </w:pPr>
      <w:r w:rsidRPr="00E15E6B">
        <w:rPr>
          <w:rFonts w:asciiTheme="minorHAnsi" w:hAnsiTheme="minorHAnsi" w:cstheme="minorHAnsi"/>
          <w:sz w:val="24"/>
          <w:szCs w:val="24"/>
        </w:rPr>
        <w:lastRenderedPageBreak/>
        <w:t>□</w:t>
      </w:r>
      <w:r w:rsidRPr="00E15E6B">
        <w:rPr>
          <w:rFonts w:asciiTheme="minorHAnsi" w:hAnsiTheme="minorHAnsi" w:cstheme="minorHAnsi"/>
          <w:sz w:val="24"/>
          <w:szCs w:val="24"/>
        </w:rPr>
        <w:tab/>
        <w:t>I wasn’t comfortable providing that information in an online survey</w:t>
      </w:r>
    </w:p>
    <w:p w:rsidR="00E15E6B" w:rsidP="00E15E6B" w:rsidRDefault="00E15E6B" w14:paraId="09A4A969" w14:textId="3389200F">
      <w:pPr>
        <w:pStyle w:val="BodyText"/>
        <w:rPr>
          <w:rFonts w:asciiTheme="minorHAnsi" w:hAnsiTheme="minorHAnsi" w:cstheme="minorHAnsi"/>
          <w:sz w:val="24"/>
          <w:szCs w:val="24"/>
        </w:rPr>
      </w:pPr>
      <w:r w:rsidRPr="00E15E6B">
        <w:rPr>
          <w:rFonts w:asciiTheme="minorHAnsi" w:hAnsiTheme="minorHAnsi" w:cstheme="minorHAnsi"/>
          <w:sz w:val="24"/>
          <w:szCs w:val="24"/>
        </w:rPr>
        <w:t>□</w:t>
      </w:r>
      <w:r w:rsidRPr="00E15E6B">
        <w:rPr>
          <w:rFonts w:asciiTheme="minorHAnsi" w:hAnsiTheme="minorHAnsi" w:cstheme="minorHAnsi"/>
          <w:sz w:val="24"/>
          <w:szCs w:val="24"/>
        </w:rPr>
        <w:tab/>
        <w:t>Other reason, specify: ______</w:t>
      </w:r>
    </w:p>
    <w:p w:rsidR="00E15E6B" w:rsidP="00A37AD5" w:rsidRDefault="00E15E6B" w14:paraId="4C73544E" w14:textId="77777777">
      <w:pPr>
        <w:pStyle w:val="BodyText"/>
        <w:rPr>
          <w:rFonts w:asciiTheme="minorHAnsi" w:hAnsiTheme="minorHAnsi" w:cstheme="minorHAnsi"/>
          <w:sz w:val="24"/>
          <w:szCs w:val="24"/>
        </w:rPr>
      </w:pPr>
    </w:p>
    <w:p w:rsidRPr="00E15E6B" w:rsidR="00E15E6B" w:rsidP="00A37AD5" w:rsidRDefault="00E15E6B" w14:paraId="6E9A8B10" w14:textId="39D5C58C">
      <w:pPr>
        <w:pStyle w:val="BodyText"/>
        <w:rPr>
          <w:rFonts w:asciiTheme="minorHAnsi" w:hAnsiTheme="minorHAnsi" w:cstheme="minorHAnsi"/>
          <w:b/>
          <w:sz w:val="24"/>
          <w:szCs w:val="24"/>
        </w:rPr>
      </w:pPr>
      <w:r w:rsidRPr="00E15E6B">
        <w:rPr>
          <w:rFonts w:asciiTheme="minorHAnsi" w:hAnsiTheme="minorHAnsi" w:cstheme="minorHAnsi"/>
          <w:b/>
          <w:sz w:val="24"/>
          <w:szCs w:val="24"/>
        </w:rPr>
        <w:t>Burden section</w:t>
      </w:r>
    </w:p>
    <w:p w:rsidR="00387FB8" w:rsidP="0082397F" w:rsidRDefault="00387FB8" w14:paraId="4F791541" w14:textId="77777777">
      <w:pPr>
        <w:pStyle w:val="BodyText"/>
        <w:rPr>
          <w:rFonts w:asciiTheme="minorHAnsi" w:hAnsiTheme="minorHAnsi" w:cstheme="minorHAnsi"/>
          <w:sz w:val="24"/>
          <w:szCs w:val="24"/>
        </w:rPr>
      </w:pPr>
    </w:p>
    <w:p w:rsidR="003413A0" w:rsidP="0082397F" w:rsidRDefault="00C3622C" w14:paraId="45CB76E9" w14:textId="0816AD9F">
      <w:pPr>
        <w:pStyle w:val="BodyText"/>
        <w:rPr>
          <w:rFonts w:asciiTheme="minorHAnsi" w:hAnsiTheme="minorHAnsi" w:cstheme="minorHAnsi"/>
          <w:sz w:val="24"/>
          <w:szCs w:val="24"/>
        </w:rPr>
      </w:pPr>
      <w:r>
        <w:rPr>
          <w:rFonts w:asciiTheme="minorHAnsi" w:hAnsiTheme="minorHAnsi" w:cstheme="minorHAnsi"/>
          <w:sz w:val="24"/>
          <w:szCs w:val="24"/>
        </w:rPr>
        <w:t xml:space="preserve">The end of the survey will ask participants a set of questions about how burdensome the survey was to complete. </w:t>
      </w:r>
      <w:r w:rsidR="00B87D32">
        <w:rPr>
          <w:rFonts w:asciiTheme="minorHAnsi" w:hAnsiTheme="minorHAnsi" w:cstheme="minorHAnsi"/>
          <w:sz w:val="24"/>
          <w:szCs w:val="24"/>
        </w:rPr>
        <w:t xml:space="preserve">While these items are borrowed from production survey debriefings, our goal is not to compare the data to those surveys. </w:t>
      </w:r>
      <w:r w:rsidR="003413A0">
        <w:rPr>
          <w:rFonts w:asciiTheme="minorHAnsi" w:hAnsiTheme="minorHAnsi" w:cstheme="minorHAnsi"/>
          <w:sz w:val="24"/>
          <w:szCs w:val="24"/>
        </w:rPr>
        <w:t>Rather than assessing level of overall burden across all participants, the analysis of the burden questions will parallel the analysis conducted on the other outcome variables, that is, we will use these data to make between-group comparisons across the treatment conditions they affected the experience of responding to the survey:</w:t>
      </w:r>
    </w:p>
    <w:p w:rsidR="003413A0" w:rsidP="0082397F" w:rsidRDefault="003413A0" w14:paraId="20F90F01" w14:textId="77777777">
      <w:pPr>
        <w:pStyle w:val="BodyText"/>
        <w:rPr>
          <w:rFonts w:asciiTheme="minorHAnsi" w:hAnsiTheme="minorHAnsi" w:cstheme="minorHAnsi"/>
          <w:sz w:val="24"/>
          <w:szCs w:val="24"/>
        </w:rPr>
      </w:pPr>
    </w:p>
    <w:p w:rsidR="003413A0" w:rsidP="0082397F" w:rsidRDefault="003413A0" w14:paraId="0DC15742" w14:textId="77777777">
      <w:pPr>
        <w:pStyle w:val="BodyText"/>
        <w:rPr>
          <w:rFonts w:asciiTheme="minorHAnsi" w:hAnsiTheme="minorHAnsi" w:cstheme="minorHAnsi"/>
          <w:sz w:val="24"/>
          <w:szCs w:val="24"/>
        </w:rPr>
      </w:pPr>
    </w:p>
    <w:p w:rsidR="003413A0" w:rsidP="003413A0" w:rsidRDefault="003413A0" w14:paraId="10D1A50A" w14:textId="0A16C91C">
      <w:pPr>
        <w:pStyle w:val="BodyText"/>
        <w:numPr>
          <w:ilvl w:val="1"/>
          <w:numId w:val="3"/>
        </w:numPr>
        <w:rPr>
          <w:rFonts w:asciiTheme="minorHAnsi" w:hAnsiTheme="minorHAnsi" w:cstheme="minorHAnsi"/>
          <w:sz w:val="24"/>
          <w:szCs w:val="24"/>
        </w:rPr>
      </w:pPr>
      <w:r>
        <w:rPr>
          <w:rFonts w:asciiTheme="minorHAnsi" w:hAnsiTheme="minorHAnsi" w:cstheme="minorHAnsi"/>
          <w:sz w:val="24"/>
          <w:szCs w:val="24"/>
        </w:rPr>
        <w:t>Main effect of adding ‘Prefer not to say’ as a response option (Comparison of Conditions 1 and 3 vs. Conditions 2 and 4) on burden metrics</w:t>
      </w:r>
    </w:p>
    <w:p w:rsidR="003413A0" w:rsidP="003413A0" w:rsidRDefault="003413A0" w14:paraId="55B53497" w14:textId="272DF1C5">
      <w:pPr>
        <w:pStyle w:val="BodyText"/>
        <w:numPr>
          <w:ilvl w:val="1"/>
          <w:numId w:val="3"/>
        </w:numPr>
        <w:rPr>
          <w:rFonts w:asciiTheme="minorHAnsi" w:hAnsiTheme="minorHAnsi" w:cstheme="minorHAnsi"/>
          <w:sz w:val="24"/>
          <w:szCs w:val="24"/>
        </w:rPr>
      </w:pPr>
      <w:r>
        <w:rPr>
          <w:rFonts w:asciiTheme="minorHAnsi" w:hAnsiTheme="minorHAnsi" w:cstheme="minorHAnsi"/>
          <w:sz w:val="24"/>
          <w:szCs w:val="24"/>
        </w:rPr>
        <w:t xml:space="preserve">Main effect of adding follow-up probes after non-response (Comparison of Conditions 1 and 2 vs. Conditions 3 vs. 4) on burden metrics </w:t>
      </w:r>
    </w:p>
    <w:p w:rsidR="003413A0" w:rsidP="0082397F" w:rsidRDefault="003413A0" w14:paraId="4D3D33CD" w14:textId="77777777">
      <w:pPr>
        <w:pStyle w:val="BodyText"/>
        <w:rPr>
          <w:rFonts w:asciiTheme="minorHAnsi" w:hAnsiTheme="minorHAnsi" w:cstheme="minorHAnsi"/>
          <w:sz w:val="24"/>
          <w:szCs w:val="24"/>
        </w:rPr>
      </w:pPr>
    </w:p>
    <w:p w:rsidR="003413A0" w:rsidP="0082397F" w:rsidRDefault="003413A0" w14:paraId="3FF91B7C" w14:textId="77777777">
      <w:pPr>
        <w:pStyle w:val="BodyText"/>
        <w:rPr>
          <w:rFonts w:asciiTheme="minorHAnsi" w:hAnsiTheme="minorHAnsi" w:cstheme="minorHAnsi"/>
          <w:sz w:val="24"/>
          <w:szCs w:val="24"/>
        </w:rPr>
      </w:pPr>
    </w:p>
    <w:p w:rsidR="002620C0" w:rsidP="0082397F" w:rsidRDefault="003413A0" w14:paraId="1E010A61" w14:textId="43A99647">
      <w:pPr>
        <w:pStyle w:val="BodyText"/>
        <w:rPr>
          <w:rFonts w:asciiTheme="minorHAnsi" w:hAnsiTheme="minorHAnsi" w:cstheme="minorHAnsi"/>
          <w:sz w:val="24"/>
          <w:szCs w:val="24"/>
        </w:rPr>
      </w:pPr>
      <w:r>
        <w:rPr>
          <w:rFonts w:asciiTheme="minorHAnsi" w:hAnsiTheme="minorHAnsi" w:cstheme="minorHAnsi"/>
          <w:sz w:val="24"/>
          <w:szCs w:val="24"/>
        </w:rPr>
        <w:t xml:space="preserve"> </w:t>
      </w:r>
      <w:r w:rsidR="002F40F8">
        <w:rPr>
          <w:rFonts w:asciiTheme="minorHAnsi" w:hAnsiTheme="minorHAnsi" w:cstheme="minorHAnsi"/>
          <w:sz w:val="24"/>
          <w:szCs w:val="24"/>
        </w:rPr>
        <w:t xml:space="preserve">Four questions </w:t>
      </w:r>
      <w:r>
        <w:rPr>
          <w:rFonts w:asciiTheme="minorHAnsi" w:hAnsiTheme="minorHAnsi" w:cstheme="minorHAnsi"/>
          <w:sz w:val="24"/>
          <w:szCs w:val="24"/>
        </w:rPr>
        <w:t xml:space="preserve">designed to assess subjective burden </w:t>
      </w:r>
      <w:r w:rsidR="002F40F8">
        <w:rPr>
          <w:rFonts w:asciiTheme="minorHAnsi" w:hAnsiTheme="minorHAnsi" w:cstheme="minorHAnsi"/>
          <w:sz w:val="24"/>
          <w:szCs w:val="24"/>
        </w:rPr>
        <w:t xml:space="preserve">will be included, and the full wording is available in Attachment B. </w:t>
      </w:r>
    </w:p>
    <w:p w:rsidR="002620C0" w:rsidP="002620C0" w:rsidRDefault="002F40F8" w14:paraId="35ED673A" w14:textId="77777777">
      <w:pPr>
        <w:pStyle w:val="BodyText"/>
        <w:numPr>
          <w:ilvl w:val="0"/>
          <w:numId w:val="15"/>
        </w:numPr>
        <w:rPr>
          <w:rFonts w:asciiTheme="minorHAnsi" w:hAnsiTheme="minorHAnsi" w:cstheme="minorHAnsi"/>
          <w:sz w:val="24"/>
          <w:szCs w:val="24"/>
        </w:rPr>
      </w:pPr>
      <w:r>
        <w:rPr>
          <w:rFonts w:asciiTheme="minorHAnsi" w:hAnsiTheme="minorHAnsi" w:cstheme="minorHAnsi"/>
          <w:sz w:val="24"/>
          <w:szCs w:val="24"/>
        </w:rPr>
        <w:t>A general burden question will be asked first to gauge how burdensome participants found the survey in general. Prior research has shown that a general burden question is valid and reliable in measuring respondents’ subjective perceptions of the burden of the survey, and can be predictive of future survey participation (</w:t>
      </w:r>
      <w:r w:rsidR="003854E4">
        <w:rPr>
          <w:rFonts w:asciiTheme="minorHAnsi" w:hAnsiTheme="minorHAnsi" w:cstheme="minorHAnsi"/>
          <w:sz w:val="24"/>
          <w:szCs w:val="24"/>
        </w:rPr>
        <w:t>Fricker et al., 2014</w:t>
      </w:r>
      <w:r>
        <w:rPr>
          <w:rFonts w:asciiTheme="minorHAnsi" w:hAnsiTheme="minorHAnsi" w:cstheme="minorHAnsi"/>
          <w:sz w:val="24"/>
          <w:szCs w:val="24"/>
        </w:rPr>
        <w:t xml:space="preserve">). </w:t>
      </w:r>
    </w:p>
    <w:p w:rsidR="002620C0" w:rsidP="002620C0" w:rsidRDefault="002F40F8" w14:paraId="1B1D8FBD" w14:textId="77777777">
      <w:pPr>
        <w:pStyle w:val="BodyText"/>
        <w:numPr>
          <w:ilvl w:val="0"/>
          <w:numId w:val="15"/>
        </w:numPr>
        <w:rPr>
          <w:rFonts w:asciiTheme="minorHAnsi" w:hAnsiTheme="minorHAnsi" w:cstheme="minorHAnsi"/>
          <w:sz w:val="24"/>
          <w:szCs w:val="24"/>
        </w:rPr>
      </w:pPr>
      <w:r>
        <w:rPr>
          <w:rFonts w:asciiTheme="minorHAnsi" w:hAnsiTheme="minorHAnsi" w:cstheme="minorHAnsi"/>
          <w:sz w:val="24"/>
          <w:szCs w:val="24"/>
        </w:rPr>
        <w:t xml:space="preserve">The second question gauges participants’ level of enjoyment in completing the survey. </w:t>
      </w:r>
      <w:r w:rsidRPr="002F40F8">
        <w:rPr>
          <w:rFonts w:asciiTheme="minorHAnsi" w:hAnsiTheme="minorHAnsi" w:cstheme="minorHAnsi"/>
          <w:sz w:val="24"/>
          <w:szCs w:val="24"/>
        </w:rPr>
        <w:t xml:space="preserve">Some researchers </w:t>
      </w:r>
      <w:r>
        <w:rPr>
          <w:rFonts w:asciiTheme="minorHAnsi" w:hAnsiTheme="minorHAnsi" w:cstheme="minorHAnsi"/>
          <w:sz w:val="24"/>
          <w:szCs w:val="24"/>
        </w:rPr>
        <w:t xml:space="preserve">and experts in respondent burden who attended international conferences </w:t>
      </w:r>
      <w:r w:rsidRPr="002F40F8">
        <w:rPr>
          <w:rFonts w:asciiTheme="minorHAnsi" w:hAnsiTheme="minorHAnsi" w:cstheme="minorHAnsi"/>
          <w:sz w:val="24"/>
          <w:szCs w:val="24"/>
        </w:rPr>
        <w:t xml:space="preserve">have </w:t>
      </w:r>
      <w:r>
        <w:rPr>
          <w:rFonts w:asciiTheme="minorHAnsi" w:hAnsiTheme="minorHAnsi" w:cstheme="minorHAnsi"/>
          <w:sz w:val="24"/>
          <w:szCs w:val="24"/>
        </w:rPr>
        <w:t>discussed preliminary work</w:t>
      </w:r>
      <w:r w:rsidRPr="002F40F8">
        <w:rPr>
          <w:rFonts w:asciiTheme="minorHAnsi" w:hAnsiTheme="minorHAnsi" w:cstheme="minorHAnsi"/>
          <w:sz w:val="24"/>
          <w:szCs w:val="24"/>
        </w:rPr>
        <w:t xml:space="preserve"> that using a more positive burden metric (enjoyment) is a complementary measure and so we included it as an exploratory question to see how it compares to more traditional burden metrics.</w:t>
      </w:r>
      <w:r>
        <w:rPr>
          <w:rFonts w:asciiTheme="minorHAnsi" w:hAnsiTheme="minorHAnsi" w:cstheme="minorHAnsi"/>
          <w:sz w:val="24"/>
          <w:szCs w:val="24"/>
        </w:rPr>
        <w:t xml:space="preserve"> </w:t>
      </w:r>
    </w:p>
    <w:p w:rsidR="002620C0" w:rsidP="002620C0" w:rsidRDefault="002F40F8" w14:paraId="181C705B" w14:textId="77777777">
      <w:pPr>
        <w:pStyle w:val="BodyText"/>
        <w:numPr>
          <w:ilvl w:val="0"/>
          <w:numId w:val="15"/>
        </w:numPr>
        <w:rPr>
          <w:rFonts w:asciiTheme="minorHAnsi" w:hAnsiTheme="minorHAnsi" w:cstheme="minorHAnsi"/>
          <w:sz w:val="24"/>
          <w:szCs w:val="24"/>
        </w:rPr>
      </w:pPr>
      <w:r>
        <w:rPr>
          <w:rFonts w:asciiTheme="minorHAnsi" w:hAnsiTheme="minorHAnsi" w:cstheme="minorHAnsi"/>
          <w:sz w:val="24"/>
          <w:szCs w:val="24"/>
        </w:rPr>
        <w:t xml:space="preserve">The third </w:t>
      </w:r>
      <w:r w:rsidR="002620C0">
        <w:rPr>
          <w:rFonts w:asciiTheme="minorHAnsi" w:hAnsiTheme="minorHAnsi" w:cstheme="minorHAnsi"/>
          <w:sz w:val="24"/>
          <w:szCs w:val="24"/>
        </w:rPr>
        <w:t>question</w:t>
      </w:r>
      <w:r>
        <w:rPr>
          <w:rFonts w:asciiTheme="minorHAnsi" w:hAnsiTheme="minorHAnsi" w:cstheme="minorHAnsi"/>
          <w:sz w:val="24"/>
          <w:szCs w:val="24"/>
        </w:rPr>
        <w:t xml:space="preserve"> gets at sensitivity of the questions – as noted, questions including those about income are often perceived as sensitive and elicit a higher level of nonresponse than other items. Crossing the level of sensitivity participants rate the survey with levels of item nonresponse could provide evidence suggesting that sensitivity leads to higher levels of nonresponse. </w:t>
      </w:r>
    </w:p>
    <w:p w:rsidR="002620C0" w:rsidP="002620C0" w:rsidRDefault="002F40F8" w14:paraId="593B4A49" w14:textId="77777777">
      <w:pPr>
        <w:pStyle w:val="BodyText"/>
        <w:numPr>
          <w:ilvl w:val="0"/>
          <w:numId w:val="15"/>
        </w:numPr>
        <w:rPr>
          <w:rFonts w:asciiTheme="minorHAnsi" w:hAnsiTheme="minorHAnsi" w:cstheme="minorHAnsi"/>
          <w:sz w:val="24"/>
          <w:szCs w:val="24"/>
        </w:rPr>
      </w:pPr>
      <w:r>
        <w:rPr>
          <w:rFonts w:asciiTheme="minorHAnsi" w:hAnsiTheme="minorHAnsi" w:cstheme="minorHAnsi"/>
          <w:sz w:val="24"/>
          <w:szCs w:val="24"/>
        </w:rPr>
        <w:t xml:space="preserve">The fourth </w:t>
      </w:r>
      <w:r w:rsidR="002620C0">
        <w:rPr>
          <w:rFonts w:asciiTheme="minorHAnsi" w:hAnsiTheme="minorHAnsi" w:cstheme="minorHAnsi"/>
          <w:sz w:val="24"/>
          <w:szCs w:val="24"/>
        </w:rPr>
        <w:t>question</w:t>
      </w:r>
      <w:r>
        <w:rPr>
          <w:rFonts w:asciiTheme="minorHAnsi" w:hAnsiTheme="minorHAnsi" w:cstheme="minorHAnsi"/>
          <w:sz w:val="24"/>
          <w:szCs w:val="24"/>
        </w:rPr>
        <w:t xml:space="preserve"> gets at difficulty, like the sensitivity metric, questions included on the survey may be perceived as more difficult to answer, especially those about other household members. Crossing the level of difficulty participants rate the survey with the level of don’t know responses could suggest that difficulty is associated with higher levels of don’t know responses. </w:t>
      </w:r>
    </w:p>
    <w:p w:rsidR="0082397F" w:rsidP="002620C0" w:rsidRDefault="002F40F8" w14:paraId="0B54BBFF" w14:textId="529DB9D8">
      <w:pPr>
        <w:pStyle w:val="BodyText"/>
        <w:ind w:left="360"/>
        <w:rPr>
          <w:rFonts w:asciiTheme="minorHAnsi" w:hAnsiTheme="minorHAnsi" w:cstheme="minorHAnsi"/>
          <w:sz w:val="24"/>
          <w:szCs w:val="24"/>
        </w:rPr>
      </w:pPr>
      <w:r>
        <w:rPr>
          <w:rFonts w:asciiTheme="minorHAnsi" w:hAnsiTheme="minorHAnsi" w:cstheme="minorHAnsi"/>
          <w:sz w:val="24"/>
          <w:szCs w:val="24"/>
        </w:rPr>
        <w:t xml:space="preserve">Taken together, these metrics would provide an indicator of how burdensome it is for respondents to answer these questions in an online, self-administered mode and help target the reasons for experienced burden. </w:t>
      </w:r>
      <w:r w:rsidRPr="002F40F8">
        <w:rPr>
          <w:rFonts w:asciiTheme="minorHAnsi" w:hAnsiTheme="minorHAnsi" w:cstheme="minorHAnsi"/>
          <w:sz w:val="24"/>
          <w:szCs w:val="24"/>
        </w:rPr>
        <w:t>While the questions</w:t>
      </w:r>
      <w:r>
        <w:rPr>
          <w:rFonts w:asciiTheme="minorHAnsi" w:hAnsiTheme="minorHAnsi" w:cstheme="minorHAnsi"/>
          <w:sz w:val="24"/>
          <w:szCs w:val="24"/>
        </w:rPr>
        <w:t xml:space="preserve"> included in this research</w:t>
      </w:r>
      <w:r w:rsidRPr="002F40F8">
        <w:rPr>
          <w:rFonts w:asciiTheme="minorHAnsi" w:hAnsiTheme="minorHAnsi" w:cstheme="minorHAnsi"/>
          <w:sz w:val="24"/>
          <w:szCs w:val="24"/>
        </w:rPr>
        <w:t xml:space="preserve"> </w:t>
      </w:r>
      <w:r w:rsidRPr="002F40F8">
        <w:rPr>
          <w:rFonts w:asciiTheme="minorHAnsi" w:hAnsiTheme="minorHAnsi" w:cstheme="minorHAnsi"/>
          <w:sz w:val="24"/>
          <w:szCs w:val="24"/>
        </w:rPr>
        <w:lastRenderedPageBreak/>
        <w:t xml:space="preserve">are drawn from different surveys, they include a representative mix of topics (demographics, sensitive questions that could yield refusals, questions that could pose knowledge issues and don’t know responses) that many respondents would encounter in actual </w:t>
      </w:r>
      <w:r>
        <w:rPr>
          <w:rFonts w:asciiTheme="minorHAnsi" w:hAnsiTheme="minorHAnsi" w:cstheme="minorHAnsi"/>
          <w:sz w:val="24"/>
          <w:szCs w:val="24"/>
        </w:rPr>
        <w:t xml:space="preserve">BLS </w:t>
      </w:r>
      <w:r w:rsidRPr="002F40F8">
        <w:rPr>
          <w:rFonts w:asciiTheme="minorHAnsi" w:hAnsiTheme="minorHAnsi" w:cstheme="minorHAnsi"/>
          <w:sz w:val="24"/>
          <w:szCs w:val="24"/>
        </w:rPr>
        <w:t>production surveys.</w:t>
      </w:r>
    </w:p>
    <w:p w:rsidRPr="00A93C86" w:rsidR="00387FB8" w:rsidP="002852CB" w:rsidRDefault="00387FB8" w14:paraId="733140B1" w14:textId="77777777">
      <w:pPr>
        <w:pStyle w:val="BodyText"/>
        <w:ind w:left="720"/>
        <w:rPr>
          <w:rFonts w:asciiTheme="minorHAnsi" w:hAnsiTheme="minorHAnsi" w:cstheme="minorHAnsi"/>
          <w:sz w:val="24"/>
          <w:szCs w:val="24"/>
        </w:rPr>
      </w:pPr>
    </w:p>
    <w:p w:rsidRPr="00102CE8" w:rsidR="006A16C7" w:rsidP="000B41AF" w:rsidRDefault="0070142E" w14:paraId="4E155BF2" w14:textId="77777777">
      <w:pPr>
        <w:pStyle w:val="BodyText"/>
        <w:numPr>
          <w:ilvl w:val="0"/>
          <w:numId w:val="1"/>
        </w:numPr>
        <w:spacing w:after="240" w:line="276" w:lineRule="auto"/>
        <w:ind w:left="0" w:right="1260" w:firstLine="0"/>
        <w:rPr>
          <w:rFonts w:asciiTheme="minorHAnsi" w:hAnsiTheme="minorHAnsi" w:cstheme="minorHAnsi"/>
          <w:b/>
          <w:sz w:val="24"/>
          <w:szCs w:val="24"/>
        </w:rPr>
      </w:pPr>
      <w:r w:rsidRPr="00102CE8">
        <w:rPr>
          <w:rFonts w:asciiTheme="minorHAnsi" w:hAnsiTheme="minorHAnsi" w:cstheme="minorHAnsi"/>
          <w:b/>
          <w:sz w:val="24"/>
          <w:szCs w:val="24"/>
        </w:rPr>
        <w:t xml:space="preserve">Participants </w:t>
      </w:r>
    </w:p>
    <w:p w:rsidRPr="00102CE8" w:rsidR="00620B78" w:rsidP="000B41AF" w:rsidRDefault="00620B78" w14:paraId="1CE929E8" w14:textId="7972B746">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Up to</w:t>
      </w:r>
      <w:r w:rsidR="000A35E7">
        <w:rPr>
          <w:rFonts w:asciiTheme="minorHAnsi" w:hAnsiTheme="minorHAnsi" w:cstheme="minorHAnsi"/>
          <w:sz w:val="24"/>
          <w:szCs w:val="24"/>
        </w:rPr>
        <w:t xml:space="preserve"> 4960 </w:t>
      </w:r>
      <w:r w:rsidRPr="00102CE8" w:rsidR="00683F35">
        <w:rPr>
          <w:rFonts w:asciiTheme="minorHAnsi" w:hAnsiTheme="minorHAnsi" w:cstheme="minorHAnsi"/>
          <w:sz w:val="24"/>
          <w:szCs w:val="24"/>
        </w:rPr>
        <w:t xml:space="preserve">Amazon Mechanical Turk </w:t>
      </w:r>
      <w:r w:rsidRPr="00102CE8">
        <w:rPr>
          <w:rFonts w:asciiTheme="minorHAnsi" w:hAnsiTheme="minorHAnsi" w:cstheme="minorHAnsi"/>
          <w:sz w:val="24"/>
          <w:szCs w:val="24"/>
        </w:rPr>
        <w:t xml:space="preserve">participants will be recruited. </w:t>
      </w:r>
      <w:r w:rsidR="003B418E">
        <w:rPr>
          <w:rFonts w:asciiTheme="minorHAnsi" w:hAnsiTheme="minorHAnsi" w:cstheme="minorHAnsi"/>
          <w:sz w:val="24"/>
          <w:szCs w:val="24"/>
        </w:rPr>
        <w:t>This sample size was determined to</w:t>
      </w:r>
      <w:r w:rsidRPr="003B418E" w:rsidR="003B418E">
        <w:rPr>
          <w:rFonts w:asciiTheme="minorHAnsi" w:hAnsiTheme="minorHAnsi" w:cstheme="minorHAnsi"/>
          <w:sz w:val="24"/>
          <w:szCs w:val="24"/>
        </w:rPr>
        <w:t xml:space="preserve"> sufficiently explore the range of variables of interest</w:t>
      </w:r>
      <w:r w:rsidR="003B418E">
        <w:rPr>
          <w:rFonts w:asciiTheme="minorHAnsi" w:hAnsiTheme="minorHAnsi" w:cstheme="minorHAnsi"/>
          <w:sz w:val="24"/>
          <w:szCs w:val="24"/>
        </w:rPr>
        <w:t>,</w:t>
      </w:r>
      <w:r w:rsidRPr="003B418E" w:rsidR="003B418E">
        <w:rPr>
          <w:rFonts w:asciiTheme="minorHAnsi" w:hAnsiTheme="minorHAnsi" w:cstheme="minorHAnsi"/>
          <w:sz w:val="24"/>
          <w:szCs w:val="24"/>
        </w:rPr>
        <w:t xml:space="preserve"> and because we expect a very small effect size as the study </w:t>
      </w:r>
      <w:r w:rsidR="00E86243">
        <w:rPr>
          <w:rFonts w:asciiTheme="minorHAnsi" w:hAnsiTheme="minorHAnsi" w:cstheme="minorHAnsi"/>
          <w:sz w:val="24"/>
          <w:szCs w:val="24"/>
        </w:rPr>
        <w:t>design</w:t>
      </w:r>
      <w:r w:rsidRPr="003B418E" w:rsidR="00E86243">
        <w:rPr>
          <w:rFonts w:asciiTheme="minorHAnsi" w:hAnsiTheme="minorHAnsi" w:cstheme="minorHAnsi"/>
          <w:sz w:val="24"/>
          <w:szCs w:val="24"/>
        </w:rPr>
        <w:t xml:space="preserve"> </w:t>
      </w:r>
      <w:r w:rsidR="00E86243">
        <w:rPr>
          <w:rFonts w:asciiTheme="minorHAnsi" w:hAnsiTheme="minorHAnsi" w:cstheme="minorHAnsi"/>
          <w:sz w:val="24"/>
          <w:szCs w:val="24"/>
        </w:rPr>
        <w:t xml:space="preserve">is </w:t>
      </w:r>
      <w:r w:rsidRPr="003B418E" w:rsidR="003B418E">
        <w:rPr>
          <w:rFonts w:asciiTheme="minorHAnsi" w:hAnsiTheme="minorHAnsi" w:cstheme="minorHAnsi"/>
          <w:sz w:val="24"/>
          <w:szCs w:val="24"/>
        </w:rPr>
        <w:t>subtle for online surveys of this nature</w:t>
      </w:r>
      <w:r w:rsidR="00725BE9">
        <w:rPr>
          <w:rFonts w:asciiTheme="minorHAnsi" w:hAnsiTheme="minorHAnsi" w:cstheme="minorHAnsi"/>
          <w:sz w:val="24"/>
          <w:szCs w:val="24"/>
        </w:rPr>
        <w:t xml:space="preserve"> (e.g., Hill et al., 2016)</w:t>
      </w:r>
      <w:r w:rsidRPr="003B418E" w:rsidR="003B418E">
        <w:rPr>
          <w:rFonts w:asciiTheme="minorHAnsi" w:hAnsiTheme="minorHAnsi" w:cstheme="minorHAnsi"/>
          <w:sz w:val="24"/>
          <w:szCs w:val="24"/>
        </w:rPr>
        <w:t xml:space="preserve">. This sample size also takes into account break-offs, incomplete data, and participants who do not follow the task instructions, similar to other </w:t>
      </w:r>
      <w:r w:rsidR="0007257B">
        <w:rPr>
          <w:rFonts w:asciiTheme="minorHAnsi" w:hAnsiTheme="minorHAnsi" w:cstheme="minorHAnsi"/>
          <w:sz w:val="24"/>
          <w:szCs w:val="24"/>
        </w:rPr>
        <w:t xml:space="preserve">OMB-approved </w:t>
      </w:r>
      <w:r w:rsidRPr="003B418E" w:rsidR="003B418E">
        <w:rPr>
          <w:rFonts w:asciiTheme="minorHAnsi" w:hAnsiTheme="minorHAnsi" w:cstheme="minorHAnsi"/>
          <w:sz w:val="24"/>
          <w:szCs w:val="24"/>
        </w:rPr>
        <w:t>samples used for studies of this nature</w:t>
      </w:r>
      <w:r w:rsidR="00BF5CBD">
        <w:rPr>
          <w:rFonts w:asciiTheme="minorHAnsi" w:hAnsiTheme="minorHAnsi" w:cstheme="minorHAnsi"/>
          <w:sz w:val="24"/>
          <w:szCs w:val="24"/>
        </w:rPr>
        <w:t xml:space="preserve"> linked in the Research Objective 1 section.</w:t>
      </w:r>
    </w:p>
    <w:p w:rsidRPr="00102CE8" w:rsidR="006A16C7" w:rsidP="00EC4A08" w:rsidRDefault="009503C5" w14:paraId="364DE65B" w14:textId="77777777">
      <w:pPr>
        <w:pStyle w:val="BodyText"/>
        <w:spacing w:after="240" w:line="276" w:lineRule="auto"/>
        <w:rPr>
          <w:rFonts w:asciiTheme="minorHAnsi" w:hAnsiTheme="minorHAnsi" w:cstheme="minorHAnsi"/>
          <w:b/>
          <w:sz w:val="24"/>
          <w:szCs w:val="24"/>
        </w:rPr>
      </w:pPr>
      <w:r w:rsidRPr="00102CE8">
        <w:rPr>
          <w:rFonts w:asciiTheme="minorHAnsi" w:hAnsiTheme="minorHAnsi" w:cstheme="minorHAnsi"/>
          <w:b/>
          <w:sz w:val="24"/>
          <w:szCs w:val="24"/>
        </w:rPr>
        <w:t xml:space="preserve">IV.  </w:t>
      </w:r>
      <w:r w:rsidRPr="00102CE8" w:rsidR="006A16C7">
        <w:rPr>
          <w:rFonts w:asciiTheme="minorHAnsi" w:hAnsiTheme="minorHAnsi" w:cstheme="minorHAnsi"/>
          <w:b/>
          <w:sz w:val="24"/>
          <w:szCs w:val="24"/>
        </w:rPr>
        <w:t>Burden Hours</w:t>
      </w:r>
    </w:p>
    <w:p w:rsidRPr="00102CE8" w:rsidR="001E74AB" w:rsidP="006179AD" w:rsidRDefault="00EA4A26" w14:paraId="48BA1B7A" w14:textId="0B598496">
      <w:pPr>
        <w:spacing w:after="240" w:line="276" w:lineRule="auto"/>
        <w:rPr>
          <w:rFonts w:asciiTheme="minorHAnsi" w:hAnsiTheme="minorHAnsi" w:cstheme="minorHAnsi"/>
          <w:sz w:val="24"/>
          <w:szCs w:val="24"/>
        </w:rPr>
      </w:pPr>
      <w:r>
        <w:rPr>
          <w:rFonts w:asciiTheme="minorHAnsi" w:hAnsiTheme="minorHAnsi" w:cstheme="minorHAnsi"/>
          <w:sz w:val="24"/>
          <w:szCs w:val="24"/>
        </w:rPr>
        <w:t xml:space="preserve">The </w:t>
      </w:r>
      <w:r w:rsidR="007E5FF9">
        <w:rPr>
          <w:rFonts w:asciiTheme="minorHAnsi" w:hAnsiTheme="minorHAnsi" w:cstheme="minorHAnsi"/>
          <w:sz w:val="24"/>
          <w:szCs w:val="24"/>
        </w:rPr>
        <w:t xml:space="preserve">survey is expected to take an average of </w:t>
      </w:r>
      <w:r>
        <w:rPr>
          <w:rFonts w:asciiTheme="minorHAnsi" w:hAnsiTheme="minorHAnsi" w:cstheme="minorHAnsi"/>
          <w:sz w:val="24"/>
          <w:szCs w:val="24"/>
        </w:rPr>
        <w:t>10 minutes</w:t>
      </w:r>
      <w:r w:rsidR="007E5FF9">
        <w:rPr>
          <w:rFonts w:asciiTheme="minorHAnsi" w:hAnsiTheme="minorHAnsi" w:cstheme="minorHAnsi"/>
          <w:sz w:val="24"/>
          <w:szCs w:val="24"/>
        </w:rPr>
        <w:t xml:space="preserve"> to complete for a total of up to 827 burden hours.</w:t>
      </w:r>
      <w:r w:rsidR="000E5852">
        <w:rPr>
          <w:rFonts w:asciiTheme="minorHAnsi" w:hAnsiTheme="minorHAnsi" w:cstheme="minorHAnsi"/>
          <w:sz w:val="24"/>
          <w:szCs w:val="24"/>
        </w:rPr>
        <w:t xml:space="preserve"> This estimate was determined from data on a similar survey with the same questions where the median time to complete the survey was 9 minutes. </w:t>
      </w:r>
    </w:p>
    <w:p w:rsidRPr="00102CE8" w:rsidR="00C6280C" w:rsidP="000B41AF" w:rsidRDefault="00C6280C" w14:paraId="26BD00E5" w14:textId="77777777">
      <w:pPr>
        <w:keepNext/>
        <w:keepLines/>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Table 1.  </w:t>
      </w:r>
      <w:r w:rsidRPr="002852CB">
        <w:rPr>
          <w:rFonts w:asciiTheme="minorHAnsi" w:hAnsiTheme="minorHAnsi" w:cstheme="minorHAnsi"/>
          <w:sz w:val="24"/>
          <w:szCs w:val="24"/>
        </w:rPr>
        <w:t>Estimated Burden Hours</w:t>
      </w:r>
    </w:p>
    <w:tbl>
      <w:tblPr>
        <w:tblStyle w:val="TableGrid"/>
        <w:tblW w:w="9869" w:type="dxa"/>
        <w:jc w:val="center"/>
        <w:tblLook w:val="04A0" w:firstRow="1" w:lastRow="0" w:firstColumn="1" w:lastColumn="0" w:noHBand="0" w:noVBand="1"/>
      </w:tblPr>
      <w:tblGrid>
        <w:gridCol w:w="2183"/>
        <w:gridCol w:w="1325"/>
        <w:gridCol w:w="1171"/>
        <w:gridCol w:w="1373"/>
        <w:gridCol w:w="1305"/>
        <w:gridCol w:w="1190"/>
        <w:gridCol w:w="1322"/>
      </w:tblGrid>
      <w:tr w:rsidRPr="00102CE8" w:rsidR="007E5FF9" w:rsidTr="007E5FF9" w14:paraId="1F2DAF59" w14:textId="77777777">
        <w:trPr>
          <w:jc w:val="center"/>
        </w:trPr>
        <w:tc>
          <w:tcPr>
            <w:tcW w:w="2183" w:type="dxa"/>
            <w:vAlign w:val="bottom"/>
          </w:tcPr>
          <w:p w:rsidRPr="00102CE8" w:rsidR="007E5FF9" w:rsidP="000B41AF" w:rsidRDefault="007E5FF9" w14:paraId="6E93081A" w14:textId="77777777">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 of Participants Screened</w:t>
            </w:r>
          </w:p>
        </w:tc>
        <w:tc>
          <w:tcPr>
            <w:tcW w:w="1325" w:type="dxa"/>
            <w:vAlign w:val="bottom"/>
          </w:tcPr>
          <w:p w:rsidRPr="00102CE8" w:rsidR="007E5FF9" w:rsidP="000B41AF" w:rsidRDefault="007E5FF9" w14:paraId="19AAC3FC" w14:textId="77777777">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Minutes per participant for Screening</w:t>
            </w:r>
          </w:p>
        </w:tc>
        <w:tc>
          <w:tcPr>
            <w:tcW w:w="1171" w:type="dxa"/>
            <w:vAlign w:val="bottom"/>
          </w:tcPr>
          <w:p w:rsidRPr="00102CE8" w:rsidR="007E5FF9" w:rsidP="000B41AF" w:rsidRDefault="007E5FF9" w14:paraId="472D5BCF" w14:textId="77777777">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Total Screening Burden</w:t>
            </w:r>
          </w:p>
        </w:tc>
        <w:tc>
          <w:tcPr>
            <w:tcW w:w="1373" w:type="dxa"/>
            <w:vAlign w:val="bottom"/>
          </w:tcPr>
          <w:p w:rsidRPr="00102CE8" w:rsidR="007E5FF9" w:rsidP="000B41AF" w:rsidRDefault="007E5FF9" w14:paraId="3227F60F" w14:textId="77777777">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Maximum number of Participants</w:t>
            </w:r>
          </w:p>
        </w:tc>
        <w:tc>
          <w:tcPr>
            <w:tcW w:w="1305" w:type="dxa"/>
            <w:vAlign w:val="bottom"/>
          </w:tcPr>
          <w:p w:rsidRPr="00102CE8" w:rsidR="007E5FF9" w:rsidP="000B41AF" w:rsidRDefault="007E5FF9" w14:paraId="42175978" w14:textId="77777777">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Minutes per participant for data collection</w:t>
            </w:r>
          </w:p>
        </w:tc>
        <w:tc>
          <w:tcPr>
            <w:tcW w:w="1190" w:type="dxa"/>
            <w:vAlign w:val="bottom"/>
          </w:tcPr>
          <w:p w:rsidRPr="00102CE8" w:rsidR="007E5FF9" w:rsidP="000B41AF" w:rsidRDefault="007E5FF9" w14:paraId="14D01708" w14:textId="77777777">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Total Collection Burden</w:t>
            </w:r>
          </w:p>
        </w:tc>
        <w:tc>
          <w:tcPr>
            <w:tcW w:w="1322" w:type="dxa"/>
            <w:vAlign w:val="bottom"/>
          </w:tcPr>
          <w:p w:rsidRPr="00102CE8" w:rsidR="007E5FF9" w:rsidP="000B41AF" w:rsidRDefault="007E5FF9" w14:paraId="0E10377F" w14:textId="77777777">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Total Burden (Screening + Collection)</w:t>
            </w:r>
          </w:p>
        </w:tc>
      </w:tr>
      <w:tr w:rsidRPr="00102CE8" w:rsidR="007E5FF9" w:rsidTr="007E5FF9" w14:paraId="6E5C5DC8" w14:textId="77777777">
        <w:trPr>
          <w:jc w:val="center"/>
        </w:trPr>
        <w:tc>
          <w:tcPr>
            <w:tcW w:w="2183" w:type="dxa"/>
            <w:vAlign w:val="center"/>
          </w:tcPr>
          <w:p w:rsidR="007E5FF9" w:rsidP="000B41AF" w:rsidRDefault="007E5FF9" w14:paraId="2258AB17" w14:textId="124BFDD1">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4960</w:t>
            </w:r>
          </w:p>
        </w:tc>
        <w:tc>
          <w:tcPr>
            <w:tcW w:w="1325" w:type="dxa"/>
            <w:vAlign w:val="center"/>
          </w:tcPr>
          <w:p w:rsidRPr="00102CE8" w:rsidR="007E5FF9" w:rsidP="007B17EE" w:rsidRDefault="007E5FF9" w14:paraId="3EA85A90" w14:textId="372EE635">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0</w:t>
            </w:r>
          </w:p>
        </w:tc>
        <w:tc>
          <w:tcPr>
            <w:tcW w:w="1171" w:type="dxa"/>
            <w:vAlign w:val="center"/>
          </w:tcPr>
          <w:p w:rsidRPr="00102CE8" w:rsidR="007E5FF9" w:rsidP="000B41AF" w:rsidRDefault="007E5FF9" w14:paraId="5BA70B8B" w14:textId="1D4240D2">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0</w:t>
            </w:r>
          </w:p>
        </w:tc>
        <w:tc>
          <w:tcPr>
            <w:tcW w:w="1373" w:type="dxa"/>
            <w:vAlign w:val="center"/>
          </w:tcPr>
          <w:p w:rsidR="007E5FF9" w:rsidP="000B41AF" w:rsidRDefault="007E5FF9" w14:paraId="3272CD68" w14:textId="3EC905E4">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4960</w:t>
            </w:r>
          </w:p>
        </w:tc>
        <w:tc>
          <w:tcPr>
            <w:tcW w:w="1305" w:type="dxa"/>
            <w:vAlign w:val="center"/>
          </w:tcPr>
          <w:p w:rsidR="007E5FF9" w:rsidP="00CD708D" w:rsidRDefault="007E5FF9" w14:paraId="793ED68F" w14:textId="2A7D3425">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 xml:space="preserve">10 </w:t>
            </w:r>
          </w:p>
        </w:tc>
        <w:tc>
          <w:tcPr>
            <w:tcW w:w="1190" w:type="dxa"/>
            <w:vAlign w:val="center"/>
          </w:tcPr>
          <w:p w:rsidR="007E5FF9" w:rsidP="000B41AF" w:rsidRDefault="007E5FF9" w14:paraId="7ABA2C99" w14:textId="63A10694">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827</w:t>
            </w:r>
          </w:p>
        </w:tc>
        <w:tc>
          <w:tcPr>
            <w:tcW w:w="1322" w:type="dxa"/>
            <w:vAlign w:val="center"/>
          </w:tcPr>
          <w:p w:rsidR="007E5FF9" w:rsidP="000B41AF" w:rsidRDefault="007E5FF9" w14:paraId="534DE523" w14:textId="413310EB">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827</w:t>
            </w:r>
          </w:p>
        </w:tc>
      </w:tr>
    </w:tbl>
    <w:p w:rsidRPr="00102CE8" w:rsidR="001E74AB" w:rsidRDefault="001E74AB" w14:paraId="16045002" w14:textId="6E2BF350">
      <w:pPr>
        <w:spacing w:after="160" w:line="259" w:lineRule="auto"/>
        <w:rPr>
          <w:rFonts w:asciiTheme="minorHAnsi" w:hAnsiTheme="minorHAnsi" w:cstheme="minorHAnsi"/>
          <w:sz w:val="24"/>
          <w:szCs w:val="24"/>
          <w:highlight w:val="yellow"/>
        </w:rPr>
      </w:pPr>
    </w:p>
    <w:p w:rsidRPr="003A3B11" w:rsidR="00B2348E" w:rsidP="003A3B11" w:rsidRDefault="009503C5" w14:paraId="4C5B4AF0" w14:textId="37F6F553">
      <w:pPr>
        <w:pStyle w:val="BodyText"/>
        <w:tabs>
          <w:tab w:val="left" w:pos="720"/>
        </w:tabs>
        <w:spacing w:after="240" w:line="276" w:lineRule="auto"/>
        <w:rPr>
          <w:rFonts w:asciiTheme="minorHAnsi" w:hAnsiTheme="minorHAnsi" w:cstheme="minorHAnsi"/>
          <w:b/>
          <w:sz w:val="24"/>
          <w:szCs w:val="24"/>
        </w:rPr>
      </w:pPr>
      <w:r w:rsidRPr="00102CE8">
        <w:rPr>
          <w:rFonts w:asciiTheme="minorHAnsi" w:hAnsiTheme="minorHAnsi" w:cstheme="minorHAnsi"/>
          <w:b/>
          <w:sz w:val="24"/>
          <w:szCs w:val="24"/>
        </w:rPr>
        <w:t xml:space="preserve">V.  </w:t>
      </w:r>
      <w:r w:rsidRPr="00102CE8" w:rsidR="00613979">
        <w:rPr>
          <w:rFonts w:asciiTheme="minorHAnsi" w:hAnsiTheme="minorHAnsi" w:cstheme="minorHAnsi"/>
          <w:b/>
          <w:sz w:val="24"/>
          <w:szCs w:val="24"/>
        </w:rPr>
        <w:t>Payment to Participants</w:t>
      </w:r>
    </w:p>
    <w:p w:rsidR="00B14D7A" w:rsidP="001C0B11" w:rsidRDefault="00B2348E" w14:paraId="41A26A01" w14:textId="5C0E1EF2">
      <w:p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Participants will receive </w:t>
      </w:r>
      <w:r w:rsidR="00AC3AD8">
        <w:rPr>
          <w:rFonts w:asciiTheme="minorHAnsi" w:hAnsiTheme="minorHAnsi" w:cstheme="minorHAnsi"/>
          <w:sz w:val="24"/>
          <w:szCs w:val="24"/>
        </w:rPr>
        <w:t xml:space="preserve">$1.00 for participation in the </w:t>
      </w:r>
      <w:r w:rsidR="001C0B11">
        <w:rPr>
          <w:rFonts w:asciiTheme="minorHAnsi" w:hAnsiTheme="minorHAnsi" w:cstheme="minorHAnsi"/>
          <w:sz w:val="24"/>
          <w:szCs w:val="24"/>
        </w:rPr>
        <w:t xml:space="preserve">survey, a </w:t>
      </w:r>
      <w:r w:rsidR="00AC3AD8">
        <w:rPr>
          <w:rFonts w:asciiTheme="minorHAnsi" w:hAnsiTheme="minorHAnsi" w:cstheme="minorHAnsi"/>
          <w:sz w:val="24"/>
          <w:szCs w:val="24"/>
        </w:rPr>
        <w:t xml:space="preserve">typical rate for similar MTurk tasks </w:t>
      </w:r>
      <w:r w:rsidR="005C6373">
        <w:rPr>
          <w:rFonts w:asciiTheme="minorHAnsi" w:hAnsiTheme="minorHAnsi" w:cstheme="minorHAnsi"/>
          <w:sz w:val="24"/>
          <w:szCs w:val="24"/>
        </w:rPr>
        <w:t>(</w:t>
      </w:r>
      <w:r w:rsidRPr="00BD760E" w:rsidR="005C6373">
        <w:rPr>
          <w:rFonts w:asciiTheme="minorHAnsi" w:hAnsiTheme="minorHAnsi" w:cstheme="minorHAnsi"/>
          <w:sz w:val="24"/>
          <w:szCs w:val="24"/>
        </w:rPr>
        <w:t>Paolacci</w:t>
      </w:r>
      <w:r w:rsidR="005C6373">
        <w:rPr>
          <w:rFonts w:asciiTheme="minorHAnsi" w:hAnsiTheme="minorHAnsi" w:cstheme="minorHAnsi"/>
          <w:sz w:val="24"/>
          <w:szCs w:val="24"/>
        </w:rPr>
        <w:t xml:space="preserve"> &amp; Chandler, 2014). </w:t>
      </w:r>
      <w:r w:rsidRPr="00102CE8" w:rsidR="00613979">
        <w:rPr>
          <w:rFonts w:asciiTheme="minorHAnsi" w:hAnsiTheme="minorHAnsi" w:cstheme="minorHAnsi"/>
          <w:sz w:val="24"/>
          <w:szCs w:val="24"/>
        </w:rPr>
        <w:t>Recruiting of participants will be handled by Amazon Mechanical Turk. Once participants are recruited into the study, they will be given a link to the survey, which is hosted by Qualtrics.</w:t>
      </w:r>
      <w:r w:rsidR="00FF5CF4">
        <w:rPr>
          <w:rFonts w:asciiTheme="minorHAnsi" w:hAnsiTheme="minorHAnsi" w:cstheme="minorHAnsi"/>
          <w:sz w:val="24"/>
          <w:szCs w:val="24"/>
        </w:rPr>
        <w:t>com.</w:t>
      </w:r>
      <w:r w:rsidRPr="00102CE8" w:rsidR="00613979">
        <w:rPr>
          <w:rFonts w:asciiTheme="minorHAnsi" w:hAnsiTheme="minorHAnsi" w:cstheme="minorHAnsi"/>
          <w:sz w:val="24"/>
          <w:szCs w:val="24"/>
        </w:rPr>
        <w:t xml:space="preserve"> The data collected as part of this study will be stored on Qualtrics servers. </w:t>
      </w:r>
    </w:p>
    <w:p w:rsidRPr="00102CE8" w:rsidR="001C0B11" w:rsidP="001C0B11" w:rsidRDefault="001C0B11" w14:paraId="24C6052E" w14:textId="77777777">
      <w:pPr>
        <w:spacing w:line="276" w:lineRule="auto"/>
        <w:rPr>
          <w:rFonts w:asciiTheme="minorHAnsi" w:hAnsiTheme="minorHAnsi" w:cstheme="minorHAnsi"/>
          <w:sz w:val="24"/>
          <w:szCs w:val="24"/>
        </w:rPr>
      </w:pPr>
    </w:p>
    <w:p w:rsidRPr="00102CE8" w:rsidR="00F227B8" w:rsidP="00F227B8" w:rsidRDefault="00F227B8" w14:paraId="0EC98594" w14:textId="77777777">
      <w:pPr>
        <w:pStyle w:val="BodyText"/>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Participants will be informed of the OMB number and the voluntary nature of the study.  </w:t>
      </w:r>
    </w:p>
    <w:p w:rsidRPr="00102CE8" w:rsidR="00EC4A08" w:rsidP="00DB7B47" w:rsidRDefault="00F227B8" w14:paraId="4258C8C8" w14:textId="1B0AD78D">
      <w:pPr>
        <w:pStyle w:val="BodyText"/>
        <w:spacing w:after="240" w:line="276" w:lineRule="auto"/>
        <w:ind w:left="720" w:right="720"/>
        <w:rPr>
          <w:rFonts w:asciiTheme="minorHAnsi" w:hAnsiTheme="minorHAnsi" w:cstheme="minorHAnsi"/>
          <w:sz w:val="24"/>
          <w:szCs w:val="24"/>
        </w:rPr>
      </w:pPr>
      <w:r w:rsidRPr="00102CE8">
        <w:rPr>
          <w:rFonts w:asciiTheme="minorHAnsi" w:hAnsiTheme="minorHAnsi" w:cstheme="minorHAnsi"/>
          <w:sz w:val="24"/>
          <w:szCs w:val="24"/>
        </w:rPr>
        <w:lastRenderedPageBreak/>
        <w:t>This voluntary study is being collected by the Bureau of Labor Statistics under OMB No. 1220-0141</w:t>
      </w:r>
      <w:r w:rsidR="006E51A5">
        <w:rPr>
          <w:rFonts w:asciiTheme="minorHAnsi" w:hAnsiTheme="minorHAnsi" w:cstheme="minorHAnsi"/>
          <w:sz w:val="24"/>
          <w:szCs w:val="24"/>
        </w:rPr>
        <w:t xml:space="preserve"> </w:t>
      </w:r>
      <w:r w:rsidR="00E86243">
        <w:rPr>
          <w:i/>
          <w:sz w:val="24"/>
          <w:szCs w:val="24"/>
        </w:rPr>
        <w:t>(</w:t>
      </w:r>
      <w:r w:rsidRPr="00D26886" w:rsidR="00E86243">
        <w:rPr>
          <w:i/>
          <w:sz w:val="24"/>
          <w:szCs w:val="24"/>
        </w:rPr>
        <w:t>Expiration Date: March 31, 2021).</w:t>
      </w:r>
      <w:r w:rsidRPr="00897BED" w:rsidR="00E86243">
        <w:rPr>
          <w:sz w:val="24"/>
          <w:szCs w:val="24"/>
        </w:rPr>
        <w:t xml:space="preserve"> </w:t>
      </w:r>
      <w:r w:rsidRPr="00897BED" w:rsidR="00E86243">
        <w:rPr>
          <w:rFonts w:asciiTheme="minorHAnsi" w:hAnsiTheme="minorHAnsi" w:cstheme="minorHAnsi"/>
          <w:sz w:val="24"/>
          <w:szCs w:val="24"/>
        </w:rPr>
        <w:t>Without this currently approved number, we</w:t>
      </w:r>
      <w:r w:rsidRPr="00897BED" w:rsidR="006E51A5">
        <w:rPr>
          <w:rFonts w:asciiTheme="minorHAnsi" w:hAnsiTheme="minorHAnsi" w:cstheme="minorHAnsi"/>
          <w:sz w:val="24"/>
          <w:szCs w:val="24"/>
        </w:rPr>
        <w:t xml:space="preserve"> could not conduct this survey.</w:t>
      </w:r>
      <w:r w:rsidRPr="00897BED">
        <w:rPr>
          <w:rFonts w:asciiTheme="minorHAnsi" w:hAnsiTheme="minorHAnsi" w:cstheme="minorHAnsi"/>
          <w:sz w:val="24"/>
          <w:szCs w:val="24"/>
        </w:rPr>
        <w:t xml:space="preserve"> </w:t>
      </w:r>
      <w:r w:rsidRPr="00102CE8">
        <w:rPr>
          <w:rFonts w:asciiTheme="minorHAnsi" w:hAnsiTheme="minorHAnsi" w:cstheme="minorHAnsi"/>
          <w:sz w:val="24"/>
          <w:szCs w:val="24"/>
        </w:rPr>
        <w:t xml:space="preserve">This survey will take approximately </w:t>
      </w:r>
      <w:r w:rsidR="005A3B14">
        <w:rPr>
          <w:rFonts w:asciiTheme="minorHAnsi" w:hAnsiTheme="minorHAnsi" w:cstheme="minorHAnsi"/>
          <w:sz w:val="24"/>
          <w:szCs w:val="24"/>
        </w:rPr>
        <w:t>10 minutes</w:t>
      </w:r>
      <w:r w:rsidRPr="00102CE8">
        <w:rPr>
          <w:rFonts w:asciiTheme="minorHAnsi" w:hAnsiTheme="minorHAnsi" w:cstheme="minorHAnsi"/>
          <w:sz w:val="24"/>
          <w:szCs w:val="24"/>
        </w:rPr>
        <w:t xml:space="preserve"> to complete.</w:t>
      </w:r>
      <w:r w:rsidRPr="00102CE8" w:rsidR="005272F0">
        <w:rPr>
          <w:rFonts w:asciiTheme="minorHAnsi" w:hAnsiTheme="minorHAnsi" w:cstheme="minorHAnsi"/>
          <w:sz w:val="24"/>
          <w:szCs w:val="24"/>
        </w:rPr>
        <w:t xml:space="preserve"> The BLS cannot guarantee the protection of survey responses and advises against the inclusion of sensitive personal information in any response</w:t>
      </w:r>
      <w:r w:rsidR="00B62B32">
        <w:rPr>
          <w:rFonts w:asciiTheme="minorHAnsi" w:hAnsiTheme="minorHAnsi" w:cstheme="minorHAnsi"/>
          <w:sz w:val="24"/>
          <w:szCs w:val="24"/>
        </w:rPr>
        <w:t>.</w:t>
      </w:r>
      <w:r w:rsidRPr="00102CE8" w:rsidR="005272F0">
        <w:rPr>
          <w:rFonts w:asciiTheme="minorHAnsi" w:hAnsiTheme="minorHAnsi" w:cstheme="minorHAnsi"/>
          <w:sz w:val="24"/>
          <w:szCs w:val="24"/>
        </w:rPr>
        <w:t xml:space="preserve"> </w:t>
      </w:r>
      <w:r w:rsidRPr="00102CE8">
        <w:rPr>
          <w:rFonts w:asciiTheme="minorHAnsi" w:hAnsiTheme="minorHAnsi" w:cstheme="minorHAnsi"/>
          <w:sz w:val="24"/>
          <w:szCs w:val="24"/>
        </w:rPr>
        <w:t xml:space="preserve">This survey is being administered by Qualtrics and resides on a server outside of the BLS Domain. </w:t>
      </w:r>
      <w:r w:rsidRPr="00102CE8" w:rsidR="005272F0">
        <w:rPr>
          <w:rFonts w:asciiTheme="minorHAnsi" w:hAnsiTheme="minorHAnsi" w:cstheme="minorHAnsi"/>
          <w:sz w:val="24"/>
          <w:szCs w:val="24"/>
        </w:rPr>
        <w:t>Your participation is voluntary, and you have the right to stop at any time.</w:t>
      </w:r>
    </w:p>
    <w:p w:rsidRPr="00102CE8" w:rsidR="006A16C7" w:rsidP="00232DD4" w:rsidRDefault="006A16C7" w14:paraId="631B7FBD" w14:textId="77777777">
      <w:pPr>
        <w:pStyle w:val="BodyText"/>
        <w:numPr>
          <w:ilvl w:val="0"/>
          <w:numId w:val="2"/>
        </w:numPr>
        <w:spacing w:after="240" w:line="276" w:lineRule="auto"/>
        <w:ind w:left="0" w:firstLine="0"/>
        <w:rPr>
          <w:rFonts w:asciiTheme="minorHAnsi" w:hAnsiTheme="minorHAnsi" w:cstheme="minorHAnsi"/>
          <w:b/>
          <w:sz w:val="24"/>
          <w:szCs w:val="24"/>
        </w:rPr>
      </w:pPr>
      <w:r w:rsidRPr="00102CE8">
        <w:rPr>
          <w:rFonts w:asciiTheme="minorHAnsi" w:hAnsiTheme="minorHAnsi" w:cstheme="minorHAnsi"/>
          <w:b/>
          <w:sz w:val="24"/>
          <w:szCs w:val="24"/>
        </w:rPr>
        <w:t>Attachments</w:t>
      </w:r>
    </w:p>
    <w:p w:rsidR="00B62B32" w:rsidP="00C628F6" w:rsidRDefault="00232DD4" w14:paraId="49C97CAF" w14:textId="40100247">
      <w:pPr>
        <w:spacing w:after="160" w:line="276" w:lineRule="auto"/>
        <w:ind w:left="360"/>
        <w:rPr>
          <w:rFonts w:asciiTheme="minorHAnsi" w:hAnsiTheme="minorHAnsi" w:cstheme="minorHAnsi"/>
          <w:sz w:val="24"/>
          <w:szCs w:val="24"/>
        </w:rPr>
      </w:pPr>
      <w:r>
        <w:rPr>
          <w:rFonts w:asciiTheme="minorHAnsi" w:hAnsiTheme="minorHAnsi" w:cstheme="minorHAnsi"/>
          <w:sz w:val="24"/>
          <w:szCs w:val="24"/>
        </w:rPr>
        <w:t xml:space="preserve">Attachment A: </w:t>
      </w:r>
      <w:r w:rsidR="001C0B11">
        <w:rPr>
          <w:rFonts w:asciiTheme="minorHAnsi" w:hAnsiTheme="minorHAnsi" w:cstheme="minorHAnsi"/>
          <w:sz w:val="24"/>
          <w:szCs w:val="24"/>
        </w:rPr>
        <w:t>Review of previous studies using web probes</w:t>
      </w:r>
    </w:p>
    <w:p w:rsidR="0025436C" w:rsidP="0025436C" w:rsidRDefault="000B41AF" w14:paraId="5978B612" w14:textId="7EBDAFA3">
      <w:pPr>
        <w:spacing w:after="160" w:line="276" w:lineRule="auto"/>
        <w:ind w:left="360"/>
        <w:rPr>
          <w:rFonts w:asciiTheme="minorHAnsi" w:hAnsiTheme="minorHAnsi" w:cstheme="minorHAnsi"/>
          <w:sz w:val="24"/>
          <w:szCs w:val="24"/>
        </w:rPr>
      </w:pPr>
      <w:r w:rsidRPr="00102CE8">
        <w:rPr>
          <w:rFonts w:asciiTheme="minorHAnsi" w:hAnsiTheme="minorHAnsi" w:cstheme="minorHAnsi"/>
          <w:sz w:val="24"/>
          <w:szCs w:val="24"/>
        </w:rPr>
        <w:t xml:space="preserve">Attachment </w:t>
      </w:r>
      <w:r w:rsidR="00232DD4">
        <w:rPr>
          <w:rFonts w:asciiTheme="minorHAnsi" w:hAnsiTheme="minorHAnsi" w:cstheme="minorHAnsi"/>
          <w:sz w:val="24"/>
          <w:szCs w:val="24"/>
        </w:rPr>
        <w:t>B</w:t>
      </w:r>
      <w:r w:rsidRPr="00102CE8">
        <w:rPr>
          <w:rFonts w:asciiTheme="minorHAnsi" w:hAnsiTheme="minorHAnsi" w:cstheme="minorHAnsi"/>
          <w:sz w:val="24"/>
          <w:szCs w:val="24"/>
        </w:rPr>
        <w:t xml:space="preserve">:  </w:t>
      </w:r>
      <w:r w:rsidR="001C0B11">
        <w:rPr>
          <w:rFonts w:asciiTheme="minorHAnsi" w:hAnsiTheme="minorHAnsi" w:cstheme="minorHAnsi"/>
          <w:sz w:val="24"/>
          <w:szCs w:val="24"/>
        </w:rPr>
        <w:t>Survey</w:t>
      </w:r>
      <w:r w:rsidR="00045285">
        <w:rPr>
          <w:rFonts w:asciiTheme="minorHAnsi" w:hAnsiTheme="minorHAnsi" w:cstheme="minorHAnsi"/>
          <w:sz w:val="24"/>
          <w:szCs w:val="24"/>
        </w:rPr>
        <w:t xml:space="preserve"> instrument</w:t>
      </w:r>
      <w:r w:rsidR="00C14B3F">
        <w:rPr>
          <w:rFonts w:asciiTheme="minorHAnsi" w:hAnsiTheme="minorHAnsi" w:cstheme="minorHAnsi"/>
          <w:sz w:val="24"/>
          <w:szCs w:val="24"/>
        </w:rPr>
        <w:t xml:space="preserve"> (with Appendix showing </w:t>
      </w:r>
      <w:r w:rsidR="005024DD">
        <w:rPr>
          <w:rFonts w:asciiTheme="minorHAnsi" w:hAnsiTheme="minorHAnsi" w:cstheme="minorHAnsi"/>
          <w:sz w:val="24"/>
          <w:szCs w:val="24"/>
        </w:rPr>
        <w:t xml:space="preserve">the </w:t>
      </w:r>
      <w:r w:rsidR="00C14B3F">
        <w:rPr>
          <w:rFonts w:asciiTheme="minorHAnsi" w:hAnsiTheme="minorHAnsi" w:cstheme="minorHAnsi"/>
          <w:sz w:val="24"/>
          <w:szCs w:val="24"/>
        </w:rPr>
        <w:t>source of each question)</w:t>
      </w:r>
    </w:p>
    <w:p w:rsidR="00315489" w:rsidP="00795751" w:rsidRDefault="006E64B4" w14:paraId="1DFF7C35" w14:textId="14B7FC8C">
      <w:pPr>
        <w:spacing w:after="160" w:line="276" w:lineRule="auto"/>
        <w:ind w:left="360"/>
        <w:rPr>
          <w:rFonts w:asciiTheme="minorHAnsi" w:hAnsiTheme="minorHAnsi" w:cstheme="minorHAnsi"/>
          <w:sz w:val="24"/>
          <w:szCs w:val="24"/>
        </w:rPr>
      </w:pPr>
      <w:r>
        <w:rPr>
          <w:rFonts w:asciiTheme="minorHAnsi" w:hAnsiTheme="minorHAnsi" w:cstheme="minorHAnsi"/>
          <w:sz w:val="24"/>
          <w:szCs w:val="24"/>
        </w:rPr>
        <w:t xml:space="preserve">Attachment C: Vignettes </w:t>
      </w:r>
    </w:p>
    <w:p w:rsidRPr="00795751" w:rsidR="00DB7B47" w:rsidP="00795751" w:rsidRDefault="00DB7B47" w14:paraId="09FBF074" w14:textId="77777777">
      <w:pPr>
        <w:spacing w:after="160" w:line="276" w:lineRule="auto"/>
        <w:ind w:left="360"/>
        <w:rPr>
          <w:rFonts w:asciiTheme="minorHAnsi" w:hAnsiTheme="minorHAnsi" w:cstheme="minorHAnsi"/>
          <w:sz w:val="24"/>
          <w:szCs w:val="24"/>
        </w:rPr>
      </w:pPr>
    </w:p>
    <w:p w:rsidR="00232DD4" w:rsidP="00896A20" w:rsidRDefault="00232DD4" w14:paraId="27009EE2" w14:textId="77777777">
      <w:pPr>
        <w:spacing w:after="160" w:line="259" w:lineRule="auto"/>
        <w:jc w:val="center"/>
        <w:rPr>
          <w:rFonts w:asciiTheme="minorHAnsi" w:hAnsiTheme="minorHAnsi" w:cstheme="minorHAnsi"/>
          <w:b/>
          <w:sz w:val="24"/>
          <w:szCs w:val="24"/>
        </w:rPr>
      </w:pPr>
      <w:r w:rsidRPr="00D454EF">
        <w:rPr>
          <w:rFonts w:asciiTheme="minorHAnsi" w:hAnsiTheme="minorHAnsi" w:cstheme="minorHAnsi"/>
          <w:b/>
          <w:sz w:val="24"/>
          <w:szCs w:val="24"/>
        </w:rPr>
        <w:t>References</w:t>
      </w:r>
    </w:p>
    <w:p w:rsidR="00562C86" w:rsidP="00562C86" w:rsidRDefault="00562C86" w14:paraId="6756814A" w14:textId="77777777">
      <w:pPr>
        <w:spacing w:after="160" w:line="259" w:lineRule="auto"/>
        <w:rPr>
          <w:rFonts w:asciiTheme="minorHAnsi" w:hAnsiTheme="minorHAnsi" w:cstheme="minorHAnsi"/>
          <w:sz w:val="24"/>
          <w:szCs w:val="24"/>
        </w:rPr>
      </w:pPr>
      <w:r w:rsidRPr="0025436C">
        <w:rPr>
          <w:rFonts w:asciiTheme="minorHAnsi" w:hAnsiTheme="minorHAnsi" w:cstheme="minorHAnsi"/>
          <w:sz w:val="24"/>
          <w:szCs w:val="24"/>
          <w:lang w:val="en-CA"/>
        </w:rPr>
        <w:t>Beck, J. (2010). On the Usefulness of Pretesting Vignettes in Exploratory Research. </w:t>
      </w:r>
      <w:r w:rsidRPr="0025436C">
        <w:rPr>
          <w:rFonts w:asciiTheme="minorHAnsi" w:hAnsiTheme="minorHAnsi" w:cstheme="minorHAnsi"/>
          <w:i/>
          <w:iCs/>
          <w:sz w:val="24"/>
          <w:szCs w:val="24"/>
          <w:lang w:val="en-CA"/>
        </w:rPr>
        <w:t>Survey Methodology</w:t>
      </w:r>
      <w:r w:rsidRPr="0025436C">
        <w:rPr>
          <w:rFonts w:asciiTheme="minorHAnsi" w:hAnsiTheme="minorHAnsi" w:cstheme="minorHAnsi"/>
          <w:sz w:val="24"/>
          <w:szCs w:val="24"/>
          <w:lang w:val="en-CA"/>
        </w:rPr>
        <w:t>, 02.</w:t>
      </w:r>
    </w:p>
    <w:p w:rsidR="00562C86" w:rsidP="00562C86" w:rsidRDefault="00562C86" w14:paraId="7CAAEB64" w14:textId="77777777">
      <w:pPr>
        <w:spacing w:after="160" w:line="259" w:lineRule="auto"/>
        <w:rPr>
          <w:rFonts w:asciiTheme="minorHAnsi" w:hAnsiTheme="minorHAnsi" w:cstheme="minorHAnsi"/>
          <w:sz w:val="24"/>
          <w:szCs w:val="24"/>
        </w:rPr>
      </w:pPr>
      <w:r w:rsidRPr="00D32A78">
        <w:rPr>
          <w:rFonts w:asciiTheme="minorHAnsi" w:hAnsiTheme="minorHAnsi" w:cstheme="minorHAnsi"/>
          <w:sz w:val="24"/>
          <w:szCs w:val="24"/>
        </w:rPr>
        <w:t>Berinsky, A.J., Huber, G.A. and Lenz, G.S. (2012) ‘Evaluating Online Labor Markets for Experimental Research: Amazon.com’s Mechanical Turk’, Political Analysis, 20(3), pp. 351–368. doi: 10.1093/pan/mpr057.</w:t>
      </w:r>
    </w:p>
    <w:p w:rsidRPr="007445D4" w:rsidR="00562C86" w:rsidP="00562C86" w:rsidRDefault="00562C86" w14:paraId="441550AA" w14:textId="77777777">
      <w:pPr>
        <w:autoSpaceDE w:val="0"/>
        <w:autoSpaceDN w:val="0"/>
        <w:adjustRightInd w:val="0"/>
        <w:rPr>
          <w:rFonts w:asciiTheme="minorHAnsi" w:hAnsiTheme="minorHAnsi" w:eastAsiaTheme="minorHAnsi" w:cstheme="minorHAnsi"/>
          <w:sz w:val="24"/>
        </w:rPr>
      </w:pPr>
      <w:r w:rsidRPr="007445D4">
        <w:rPr>
          <w:rFonts w:asciiTheme="minorHAnsi" w:hAnsiTheme="minorHAnsi" w:eastAsiaTheme="minorHAnsi" w:cstheme="minorHAnsi"/>
          <w:sz w:val="24"/>
        </w:rPr>
        <w:t>Bickart, B.A., J. Blair, G. Menon, and S. Sudman. 1990. “Cognitive Aspects of Proxy</w:t>
      </w:r>
    </w:p>
    <w:p w:rsidRPr="007445D4" w:rsidR="00562C86" w:rsidP="00562C86" w:rsidRDefault="00562C86" w14:paraId="00C474FC" w14:textId="77777777">
      <w:pPr>
        <w:autoSpaceDE w:val="0"/>
        <w:autoSpaceDN w:val="0"/>
        <w:adjustRightInd w:val="0"/>
        <w:rPr>
          <w:rFonts w:asciiTheme="minorHAnsi" w:hAnsiTheme="minorHAnsi" w:eastAsiaTheme="minorHAnsi" w:cstheme="minorHAnsi"/>
          <w:sz w:val="24"/>
        </w:rPr>
      </w:pPr>
      <w:r w:rsidRPr="007445D4">
        <w:rPr>
          <w:rFonts w:asciiTheme="minorHAnsi" w:hAnsiTheme="minorHAnsi" w:eastAsiaTheme="minorHAnsi" w:cstheme="minorHAnsi"/>
          <w:sz w:val="24"/>
        </w:rPr>
        <w:t>Reporting of Behavior.” In Advances in Consumer Research 17, edited by M. Goldberg,</w:t>
      </w:r>
    </w:p>
    <w:p w:rsidRPr="007445D4" w:rsidR="00562C86" w:rsidP="00562C86" w:rsidRDefault="00562C86" w14:paraId="0BC89841" w14:textId="77777777">
      <w:pPr>
        <w:spacing w:after="160" w:line="259" w:lineRule="auto"/>
        <w:rPr>
          <w:rFonts w:asciiTheme="minorHAnsi" w:hAnsiTheme="minorHAnsi" w:cstheme="minorHAnsi"/>
          <w:sz w:val="32"/>
          <w:szCs w:val="24"/>
        </w:rPr>
      </w:pPr>
      <w:r w:rsidRPr="007445D4">
        <w:rPr>
          <w:rFonts w:asciiTheme="minorHAnsi" w:hAnsiTheme="minorHAnsi" w:eastAsiaTheme="minorHAnsi" w:cstheme="minorHAnsi"/>
          <w:sz w:val="24"/>
        </w:rPr>
        <w:t>G. Gorn, and R. Pollay, 198–206. Provo, UT: Association for Consumer Research.</w:t>
      </w:r>
    </w:p>
    <w:p w:rsidRPr="00D76E65" w:rsidR="00562C86" w:rsidP="00562C86" w:rsidRDefault="00562C86" w14:paraId="2985ABA4" w14:textId="77777777">
      <w:pPr>
        <w:autoSpaceDE w:val="0"/>
        <w:autoSpaceDN w:val="0"/>
        <w:adjustRightInd w:val="0"/>
        <w:rPr>
          <w:rFonts w:asciiTheme="minorHAnsi" w:hAnsiTheme="minorHAnsi" w:eastAsiaTheme="minorHAnsi" w:cstheme="minorHAnsi"/>
          <w:color w:val="000000"/>
          <w:sz w:val="24"/>
        </w:rPr>
      </w:pPr>
      <w:r w:rsidRPr="00D76E65">
        <w:rPr>
          <w:rFonts w:asciiTheme="minorHAnsi" w:hAnsiTheme="minorHAnsi" w:eastAsiaTheme="minorHAnsi" w:cstheme="minorHAnsi"/>
          <w:color w:val="000000"/>
          <w:sz w:val="24"/>
        </w:rPr>
        <w:t>Cobb, C. 2018. “Answering for Someone Else: Proxy Reports in Survey Research.” In The</w:t>
      </w:r>
    </w:p>
    <w:p w:rsidRPr="00D76E65" w:rsidR="00562C86" w:rsidP="00562C86" w:rsidRDefault="00562C86" w14:paraId="08167023" w14:textId="77777777">
      <w:pPr>
        <w:autoSpaceDE w:val="0"/>
        <w:autoSpaceDN w:val="0"/>
        <w:adjustRightInd w:val="0"/>
        <w:rPr>
          <w:rFonts w:asciiTheme="minorHAnsi" w:hAnsiTheme="minorHAnsi" w:eastAsiaTheme="minorHAnsi" w:cstheme="minorHAnsi"/>
          <w:color w:val="000000"/>
          <w:sz w:val="24"/>
        </w:rPr>
      </w:pPr>
      <w:r w:rsidRPr="00D76E65">
        <w:rPr>
          <w:rFonts w:asciiTheme="minorHAnsi" w:hAnsiTheme="minorHAnsi" w:eastAsiaTheme="minorHAnsi" w:cstheme="minorHAnsi"/>
          <w:color w:val="000000"/>
          <w:sz w:val="24"/>
        </w:rPr>
        <w:t>Palgrave Handbook of Survey Research, edited by D.L. Vannette and J.A. Krosnick,</w:t>
      </w:r>
    </w:p>
    <w:p w:rsidRPr="00D76E65" w:rsidR="00562C86" w:rsidP="00562C86" w:rsidRDefault="00562C86" w14:paraId="5FD8975D" w14:textId="77777777">
      <w:pPr>
        <w:spacing w:after="160" w:line="259" w:lineRule="auto"/>
        <w:rPr>
          <w:rFonts w:asciiTheme="minorHAnsi" w:hAnsiTheme="minorHAnsi" w:cstheme="minorHAnsi"/>
          <w:sz w:val="32"/>
          <w:szCs w:val="24"/>
        </w:rPr>
      </w:pPr>
      <w:r w:rsidRPr="00D76E65">
        <w:rPr>
          <w:rFonts w:asciiTheme="minorHAnsi" w:hAnsiTheme="minorHAnsi" w:eastAsiaTheme="minorHAnsi" w:cstheme="minorHAnsi"/>
          <w:color w:val="000000"/>
          <w:sz w:val="24"/>
        </w:rPr>
        <w:t xml:space="preserve">87–93. Cham: Palgrave Macmillan. DOI: </w:t>
      </w:r>
      <w:r w:rsidRPr="00D76E65">
        <w:rPr>
          <w:rFonts w:asciiTheme="minorHAnsi" w:hAnsiTheme="minorHAnsi" w:eastAsiaTheme="minorHAnsi" w:cstheme="minorHAnsi"/>
          <w:color w:val="0000FF"/>
          <w:sz w:val="24"/>
        </w:rPr>
        <w:t>https://doi.org/10.1007/978-3-319-54395-6</w:t>
      </w:r>
      <w:r w:rsidRPr="00D76E65">
        <w:rPr>
          <w:rFonts w:asciiTheme="minorHAnsi" w:hAnsiTheme="minorHAnsi" w:eastAsiaTheme="minorHAnsi" w:cstheme="minorHAnsi"/>
          <w:color w:val="000000"/>
          <w:sz w:val="24"/>
        </w:rPr>
        <w:t>.</w:t>
      </w:r>
    </w:p>
    <w:p w:rsidR="00562C86" w:rsidP="00562C86" w:rsidRDefault="00562C86" w14:paraId="1333A62A" w14:textId="77777777">
      <w:pPr>
        <w:spacing w:after="160" w:line="259" w:lineRule="auto"/>
        <w:rPr>
          <w:rFonts w:asciiTheme="minorHAnsi" w:hAnsiTheme="minorHAnsi" w:cstheme="minorHAnsi"/>
          <w:sz w:val="24"/>
          <w:szCs w:val="24"/>
        </w:rPr>
      </w:pPr>
      <w:r w:rsidRPr="00513959">
        <w:rPr>
          <w:rFonts w:asciiTheme="minorHAnsi" w:hAnsiTheme="minorHAnsi" w:cstheme="minorHAnsi"/>
          <w:sz w:val="24"/>
          <w:szCs w:val="24"/>
        </w:rPr>
        <w:t>de Leeuw, E. D., Hox, J. J., &amp; Boevé, A. (2015). Handling Do-Not-Know Answers Exploring New Approaches in Online and Mixed-Mode Surveys. </w:t>
      </w:r>
      <w:r w:rsidRPr="00513959">
        <w:rPr>
          <w:rFonts w:asciiTheme="minorHAnsi" w:hAnsiTheme="minorHAnsi" w:cstheme="minorHAnsi"/>
          <w:i/>
          <w:iCs/>
          <w:sz w:val="24"/>
          <w:szCs w:val="24"/>
        </w:rPr>
        <w:t>Social Science Computer Review</w:t>
      </w:r>
      <w:r w:rsidRPr="00513959">
        <w:rPr>
          <w:rFonts w:asciiTheme="minorHAnsi" w:hAnsiTheme="minorHAnsi" w:cstheme="minorHAnsi"/>
          <w:sz w:val="24"/>
          <w:szCs w:val="24"/>
        </w:rPr>
        <w:t>, 0894439315573744.</w:t>
      </w:r>
    </w:p>
    <w:p w:rsidR="00562C86" w:rsidP="00562C86" w:rsidRDefault="00562C86" w14:paraId="3F7A4D1C" w14:textId="77777777">
      <w:pPr>
        <w:spacing w:after="160" w:line="259" w:lineRule="auto"/>
        <w:rPr>
          <w:rFonts w:asciiTheme="minorHAnsi" w:hAnsiTheme="minorHAnsi" w:cstheme="minorHAnsi"/>
          <w:sz w:val="24"/>
          <w:szCs w:val="24"/>
        </w:rPr>
      </w:pPr>
      <w:r w:rsidRPr="001C5486">
        <w:rPr>
          <w:rFonts w:asciiTheme="minorHAnsi" w:hAnsiTheme="minorHAnsi" w:cstheme="minorHAnsi"/>
          <w:sz w:val="24"/>
          <w:szCs w:val="24"/>
        </w:rPr>
        <w:t xml:space="preserve">Hall, H., N. Lewis, J. Chandler, and P. Ellsworth. Conducting Longitudinal Studies on Amazon’s Mechanical Turk: A Meta-analysis with Recommendations. Working Paper, 2016. </w:t>
      </w:r>
    </w:p>
    <w:p w:rsidR="00562C86" w:rsidP="00562C86" w:rsidRDefault="00562C86" w14:paraId="51ECF952" w14:textId="77777777">
      <w:p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Kaplan, R.K. and Edgar, J. (2018). Priming confidentiality concerns: How reminders of privacy affect response rates and data quality in online data collection. Paper presented at AAPOR May of 2018. Denver, CO. </w:t>
      </w:r>
    </w:p>
    <w:p w:rsidR="00562C86" w:rsidP="00562C86" w:rsidRDefault="00562C86" w14:paraId="0B25A9F1" w14:textId="77777777">
      <w:pPr>
        <w:spacing w:after="160" w:line="259" w:lineRule="auto"/>
        <w:rPr>
          <w:rFonts w:asciiTheme="minorHAnsi" w:hAnsiTheme="minorHAnsi" w:cstheme="minorHAnsi"/>
          <w:sz w:val="24"/>
          <w:szCs w:val="24"/>
        </w:rPr>
      </w:pPr>
      <w:r w:rsidRPr="00513959">
        <w:rPr>
          <w:rFonts w:asciiTheme="minorHAnsi" w:hAnsiTheme="minorHAnsi" w:cstheme="minorHAnsi"/>
          <w:sz w:val="24"/>
          <w:szCs w:val="24"/>
        </w:rPr>
        <w:lastRenderedPageBreak/>
        <w:t>Kreuter, F., Presser, S., &amp; Tourangeau, R. (2008). Social desirability bias in CATI, IVR, and Web surveys the effects of mode and question sensitivity. </w:t>
      </w:r>
      <w:r w:rsidRPr="00513959">
        <w:rPr>
          <w:rFonts w:asciiTheme="minorHAnsi" w:hAnsiTheme="minorHAnsi" w:cstheme="minorHAnsi"/>
          <w:i/>
          <w:iCs/>
          <w:sz w:val="24"/>
          <w:szCs w:val="24"/>
        </w:rPr>
        <w:t>Public Opinion Quarterly</w:t>
      </w:r>
      <w:r w:rsidRPr="00513959">
        <w:rPr>
          <w:rFonts w:asciiTheme="minorHAnsi" w:hAnsiTheme="minorHAnsi" w:cstheme="minorHAnsi"/>
          <w:sz w:val="24"/>
          <w:szCs w:val="24"/>
        </w:rPr>
        <w:t>, </w:t>
      </w:r>
      <w:r w:rsidRPr="00513959">
        <w:rPr>
          <w:rFonts w:asciiTheme="minorHAnsi" w:hAnsiTheme="minorHAnsi" w:cstheme="minorHAnsi"/>
          <w:i/>
          <w:iCs/>
          <w:sz w:val="24"/>
          <w:szCs w:val="24"/>
        </w:rPr>
        <w:t>72</w:t>
      </w:r>
      <w:r w:rsidRPr="00513959">
        <w:rPr>
          <w:rFonts w:asciiTheme="minorHAnsi" w:hAnsiTheme="minorHAnsi" w:cstheme="minorHAnsi"/>
          <w:sz w:val="24"/>
          <w:szCs w:val="24"/>
        </w:rPr>
        <w:t>(5), 847-865.</w:t>
      </w:r>
    </w:p>
    <w:p w:rsidR="00562C86" w:rsidP="00562C86" w:rsidRDefault="00562C86" w14:paraId="3EF52C49" w14:textId="77777777">
      <w:pPr>
        <w:spacing w:after="160" w:line="259" w:lineRule="auto"/>
        <w:rPr>
          <w:rFonts w:asciiTheme="minorHAnsi" w:hAnsiTheme="minorHAnsi" w:cstheme="minorHAnsi"/>
          <w:sz w:val="24"/>
          <w:szCs w:val="24"/>
        </w:rPr>
      </w:pPr>
      <w:r w:rsidRPr="0025436C">
        <w:rPr>
          <w:rFonts w:asciiTheme="minorHAnsi" w:hAnsiTheme="minorHAnsi" w:cstheme="minorHAnsi"/>
          <w:sz w:val="24"/>
          <w:szCs w:val="24"/>
        </w:rPr>
        <w:t>Lee, R. (1993). Doing Research on Sensitive Topics, Thousand Oaks, CA: Sage.</w:t>
      </w:r>
    </w:p>
    <w:p w:rsidRPr="009129D0" w:rsidR="00562C86" w:rsidP="00562C86" w:rsidRDefault="00562C86" w14:paraId="5EB0CD07" w14:textId="77777777">
      <w:pPr>
        <w:autoSpaceDE w:val="0"/>
        <w:autoSpaceDN w:val="0"/>
        <w:adjustRightInd w:val="0"/>
        <w:rPr>
          <w:rFonts w:asciiTheme="minorHAnsi" w:hAnsiTheme="minorHAnsi" w:eastAsiaTheme="minorHAnsi" w:cstheme="minorHAnsi"/>
          <w:sz w:val="24"/>
        </w:rPr>
      </w:pPr>
      <w:r w:rsidRPr="009129D0">
        <w:rPr>
          <w:rFonts w:asciiTheme="minorHAnsi" w:hAnsiTheme="minorHAnsi" w:eastAsiaTheme="minorHAnsi" w:cstheme="minorHAnsi"/>
          <w:sz w:val="24"/>
        </w:rPr>
        <w:t>Lee, S., N.A. Mathiowetz, and R. Tourangeau. 2004. “Perceptions of Disability: The</w:t>
      </w:r>
    </w:p>
    <w:p w:rsidRPr="009129D0" w:rsidR="00562C86" w:rsidP="00562C86" w:rsidRDefault="00562C86" w14:paraId="3FB65D96" w14:textId="77777777">
      <w:pPr>
        <w:spacing w:after="160" w:line="259" w:lineRule="auto"/>
        <w:rPr>
          <w:rFonts w:asciiTheme="minorHAnsi" w:hAnsiTheme="minorHAnsi" w:cstheme="minorHAnsi"/>
          <w:sz w:val="32"/>
          <w:szCs w:val="24"/>
        </w:rPr>
      </w:pPr>
      <w:r w:rsidRPr="009129D0">
        <w:rPr>
          <w:rFonts w:asciiTheme="minorHAnsi" w:hAnsiTheme="minorHAnsi" w:eastAsiaTheme="minorHAnsi" w:cstheme="minorHAnsi"/>
          <w:sz w:val="24"/>
        </w:rPr>
        <w:t>Effect of Self-and Proxy Response.” Journal of Official Statistics 20: 671–686.</w:t>
      </w:r>
    </w:p>
    <w:p w:rsidR="00562C86" w:rsidP="00562C86" w:rsidRDefault="00562C86" w14:paraId="52310760" w14:textId="77777777">
      <w:p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Lemcke, J., Albrecht, S., Schertell, S., and Wetzstein, M. (2019). </w:t>
      </w:r>
      <w:r w:rsidRPr="005E15FD">
        <w:rPr>
          <w:rFonts w:asciiTheme="minorHAnsi" w:hAnsiTheme="minorHAnsi" w:cstheme="minorHAnsi"/>
          <w:sz w:val="24"/>
          <w:szCs w:val="24"/>
        </w:rPr>
        <w:t>The Effects of Forced Choice, Soft Prompt and No Prompt Option on Data Quality in Web Surveys - Results of a Methodological Experiment</w:t>
      </w:r>
      <w:r>
        <w:rPr>
          <w:rFonts w:asciiTheme="minorHAnsi" w:hAnsiTheme="minorHAnsi" w:cstheme="minorHAnsi"/>
          <w:sz w:val="24"/>
          <w:szCs w:val="24"/>
        </w:rPr>
        <w:t>. Paper presented at the European Survey Research Conference in Zagreb, Croatia.</w:t>
      </w:r>
    </w:p>
    <w:p w:rsidR="00562C86" w:rsidP="00562C86" w:rsidRDefault="00562C86" w14:paraId="3DF4DD72" w14:textId="77777777">
      <w:p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McGee, A M., Hanson, T., and Taylor, L. (2019). </w:t>
      </w:r>
      <w:r w:rsidRPr="00E3455B">
        <w:rPr>
          <w:rFonts w:asciiTheme="minorHAnsi" w:hAnsiTheme="minorHAnsi" w:cstheme="minorHAnsi"/>
          <w:sz w:val="24"/>
          <w:szCs w:val="24"/>
        </w:rPr>
        <w:t>Do We Know What to Do With “Don’t Know”?</w:t>
      </w:r>
      <w:r>
        <w:rPr>
          <w:rFonts w:asciiTheme="minorHAnsi" w:hAnsiTheme="minorHAnsi" w:cstheme="minorHAnsi"/>
          <w:sz w:val="24"/>
          <w:szCs w:val="24"/>
        </w:rPr>
        <w:t xml:space="preserve"> Paper presented at the European Survey Research Conference in Zagreb, Croatia. </w:t>
      </w:r>
    </w:p>
    <w:p w:rsidR="00562C86" w:rsidP="00562C86" w:rsidRDefault="00562C86" w14:paraId="75E023A5" w14:textId="77777777">
      <w:pPr>
        <w:spacing w:after="160" w:line="259" w:lineRule="auto"/>
        <w:rPr>
          <w:rFonts w:asciiTheme="minorHAnsi" w:hAnsiTheme="minorHAnsi" w:cstheme="minorHAnsi"/>
          <w:sz w:val="24"/>
          <w:szCs w:val="24"/>
        </w:rPr>
      </w:pPr>
      <w:r w:rsidRPr="00BD760E">
        <w:rPr>
          <w:rFonts w:asciiTheme="minorHAnsi" w:hAnsiTheme="minorHAnsi" w:cstheme="minorHAnsi"/>
          <w:sz w:val="24"/>
          <w:szCs w:val="24"/>
        </w:rPr>
        <w:t>Paolacci, G., and J. Chandler. “Inside the Turk: Understanding Mechanical Turk as a Participant Pool.” Current Directions in Psychological Science, vol. 23, no. 3, 2014, pp. 184–188.</w:t>
      </w:r>
    </w:p>
    <w:p w:rsidR="0063403D" w:rsidP="00562C86" w:rsidRDefault="0063403D" w14:paraId="5C428416" w14:textId="38604CA7">
      <w:p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Steen et al. (2019). </w:t>
      </w:r>
      <w:r w:rsidRPr="0063403D">
        <w:rPr>
          <w:rFonts w:asciiTheme="minorHAnsi" w:hAnsiTheme="minorHAnsi" w:cstheme="minorHAnsi"/>
          <w:sz w:val="24"/>
          <w:szCs w:val="24"/>
        </w:rPr>
        <w:t>The Presentation of Don't Know Answer Options in Web Surveys: An Experiment with the NatCen Panel</w:t>
      </w:r>
      <w:r>
        <w:rPr>
          <w:rFonts w:asciiTheme="minorHAnsi" w:hAnsiTheme="minorHAnsi" w:cstheme="minorHAnsi"/>
          <w:sz w:val="24"/>
          <w:szCs w:val="24"/>
        </w:rPr>
        <w:t xml:space="preserve">. Presented at the European Survey Research Association Conference: </w:t>
      </w:r>
      <w:hyperlink w:history="1" r:id="rId14">
        <w:r>
          <w:rPr>
            <w:rStyle w:val="Hyperlink"/>
          </w:rPr>
          <w:t>https://www.europeansurveyresearch.org/conferences/programme?sess=97</w:t>
        </w:r>
      </w:hyperlink>
    </w:p>
    <w:p w:rsidRPr="005D03B4" w:rsidR="00562C86" w:rsidP="00562C86" w:rsidRDefault="00562C86" w14:paraId="32C46ADA" w14:textId="77777777">
      <w:pPr>
        <w:autoSpaceDE w:val="0"/>
        <w:autoSpaceDN w:val="0"/>
        <w:adjustRightInd w:val="0"/>
        <w:rPr>
          <w:rFonts w:asciiTheme="minorHAnsi" w:hAnsiTheme="minorHAnsi" w:eastAsiaTheme="minorHAnsi" w:cstheme="minorHAnsi"/>
          <w:sz w:val="24"/>
        </w:rPr>
      </w:pPr>
      <w:r w:rsidRPr="005D03B4">
        <w:rPr>
          <w:rFonts w:asciiTheme="minorHAnsi" w:hAnsiTheme="minorHAnsi" w:eastAsiaTheme="minorHAnsi" w:cstheme="minorHAnsi"/>
          <w:sz w:val="24"/>
        </w:rPr>
        <w:t>Tourangeau, R. 1984. “Cognitive Sciences and Survey Methods.” In Cognitive Aspects of</w:t>
      </w:r>
    </w:p>
    <w:p w:rsidRPr="005D03B4" w:rsidR="00562C86" w:rsidP="00562C86" w:rsidRDefault="00562C86" w14:paraId="3443F50D" w14:textId="77777777">
      <w:pPr>
        <w:autoSpaceDE w:val="0"/>
        <w:autoSpaceDN w:val="0"/>
        <w:adjustRightInd w:val="0"/>
        <w:rPr>
          <w:rFonts w:asciiTheme="minorHAnsi" w:hAnsiTheme="minorHAnsi" w:eastAsiaTheme="minorHAnsi" w:cstheme="minorHAnsi"/>
          <w:sz w:val="24"/>
        </w:rPr>
      </w:pPr>
      <w:r w:rsidRPr="005D03B4">
        <w:rPr>
          <w:rFonts w:asciiTheme="minorHAnsi" w:hAnsiTheme="minorHAnsi" w:eastAsiaTheme="minorHAnsi" w:cstheme="minorHAnsi"/>
          <w:sz w:val="24"/>
        </w:rPr>
        <w:t>Survey Methodology: Building a Bridge Between Disciplines, edited by T. Jabine, M.L.</w:t>
      </w:r>
    </w:p>
    <w:p w:rsidRPr="005D03B4" w:rsidR="00562C86" w:rsidP="00562C86" w:rsidRDefault="00562C86" w14:paraId="2E1CD4FB" w14:textId="77777777">
      <w:pPr>
        <w:autoSpaceDE w:val="0"/>
        <w:autoSpaceDN w:val="0"/>
        <w:adjustRightInd w:val="0"/>
        <w:rPr>
          <w:rFonts w:asciiTheme="minorHAnsi" w:hAnsiTheme="minorHAnsi" w:eastAsiaTheme="minorHAnsi" w:cstheme="minorHAnsi"/>
          <w:sz w:val="24"/>
        </w:rPr>
      </w:pPr>
      <w:r w:rsidRPr="005D03B4">
        <w:rPr>
          <w:rFonts w:asciiTheme="minorHAnsi" w:hAnsiTheme="minorHAnsi" w:eastAsiaTheme="minorHAnsi" w:cstheme="minorHAnsi"/>
          <w:sz w:val="24"/>
        </w:rPr>
        <w:t>Straf, J.M. Tanur, and R. Tourangeau, 73–100. Washington, D.C. National Academy</w:t>
      </w:r>
    </w:p>
    <w:p w:rsidRPr="005D03B4" w:rsidR="00562C86" w:rsidP="00562C86" w:rsidRDefault="00562C86" w14:paraId="2323722F" w14:textId="77777777">
      <w:pPr>
        <w:spacing w:after="160" w:line="259" w:lineRule="auto"/>
        <w:rPr>
          <w:rFonts w:asciiTheme="minorHAnsi" w:hAnsiTheme="minorHAnsi" w:cstheme="minorHAnsi"/>
          <w:sz w:val="32"/>
          <w:szCs w:val="24"/>
        </w:rPr>
      </w:pPr>
      <w:r w:rsidRPr="005D03B4">
        <w:rPr>
          <w:rFonts w:asciiTheme="minorHAnsi" w:hAnsiTheme="minorHAnsi" w:eastAsiaTheme="minorHAnsi" w:cstheme="minorHAnsi"/>
          <w:sz w:val="24"/>
        </w:rPr>
        <w:t>Press.</w:t>
      </w:r>
    </w:p>
    <w:p w:rsidR="00AB5C4C" w:rsidP="000744EF" w:rsidRDefault="00AB5C4C" w14:paraId="14C0307B" w14:textId="77777777">
      <w:pPr>
        <w:rPr>
          <w:rFonts w:asciiTheme="minorHAnsi" w:hAnsiTheme="minorHAnsi" w:cstheme="minorHAnsi"/>
          <w:b/>
          <w:sz w:val="24"/>
          <w:szCs w:val="24"/>
        </w:rPr>
      </w:pPr>
    </w:p>
    <w:p w:rsidR="006D3C59" w:rsidP="000744EF" w:rsidRDefault="006D3C59" w14:paraId="3397817E" w14:textId="77777777">
      <w:pPr>
        <w:rPr>
          <w:rFonts w:asciiTheme="minorHAnsi" w:hAnsiTheme="minorHAnsi" w:cstheme="minorHAnsi"/>
          <w:b/>
          <w:sz w:val="24"/>
          <w:szCs w:val="24"/>
        </w:rPr>
      </w:pPr>
    </w:p>
    <w:p w:rsidR="006D3C59" w:rsidP="000744EF" w:rsidRDefault="006D3C59" w14:paraId="564F89DA" w14:textId="77777777">
      <w:pPr>
        <w:rPr>
          <w:rFonts w:asciiTheme="minorHAnsi" w:hAnsiTheme="minorHAnsi" w:cstheme="minorHAnsi"/>
          <w:b/>
          <w:sz w:val="24"/>
          <w:szCs w:val="24"/>
        </w:rPr>
      </w:pPr>
    </w:p>
    <w:p w:rsidR="006D3C59" w:rsidP="000744EF" w:rsidRDefault="006D3C59" w14:paraId="44684A2F" w14:textId="77777777">
      <w:pPr>
        <w:rPr>
          <w:rFonts w:asciiTheme="minorHAnsi" w:hAnsiTheme="minorHAnsi" w:cstheme="minorHAnsi"/>
          <w:b/>
          <w:sz w:val="24"/>
          <w:szCs w:val="24"/>
        </w:rPr>
      </w:pPr>
    </w:p>
    <w:p w:rsidR="001E3D2D" w:rsidP="000744EF" w:rsidRDefault="001E3D2D" w14:paraId="76865026" w14:textId="77777777">
      <w:pPr>
        <w:rPr>
          <w:rFonts w:asciiTheme="minorHAnsi" w:hAnsiTheme="minorHAnsi" w:cstheme="minorHAnsi"/>
          <w:b/>
          <w:sz w:val="24"/>
          <w:szCs w:val="24"/>
        </w:rPr>
      </w:pPr>
    </w:p>
    <w:sectPr w:rsidR="001E3D2D" w:rsidSect="007D15A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28D2A" w14:textId="77777777" w:rsidR="00FB6CE2" w:rsidRDefault="00FB6CE2" w:rsidP="00847117">
      <w:r>
        <w:separator/>
      </w:r>
    </w:p>
  </w:endnote>
  <w:endnote w:type="continuationSeparator" w:id="0">
    <w:p w14:paraId="73E73D7A" w14:textId="77777777" w:rsidR="00FB6CE2" w:rsidRDefault="00FB6CE2"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412840"/>
      <w:docPartObj>
        <w:docPartGallery w:val="Page Numbers (Bottom of Page)"/>
        <w:docPartUnique/>
      </w:docPartObj>
    </w:sdtPr>
    <w:sdtEndPr>
      <w:rPr>
        <w:noProof/>
      </w:rPr>
    </w:sdtEndPr>
    <w:sdtContent>
      <w:p w14:paraId="2C859DC6" w14:textId="57FE0CF9" w:rsidR="00054D31" w:rsidRDefault="00054D31">
        <w:pPr>
          <w:pStyle w:val="Footer"/>
          <w:jc w:val="center"/>
        </w:pPr>
        <w:r>
          <w:fldChar w:fldCharType="begin"/>
        </w:r>
        <w:r>
          <w:instrText xml:space="preserve"> PAGE   \* MERGEFORMAT </w:instrText>
        </w:r>
        <w:r>
          <w:fldChar w:fldCharType="separate"/>
        </w:r>
        <w:r w:rsidR="00005E15">
          <w:rPr>
            <w:noProof/>
          </w:rPr>
          <w:t>14</w:t>
        </w:r>
        <w:r>
          <w:rPr>
            <w:noProof/>
          </w:rPr>
          <w:fldChar w:fldCharType="end"/>
        </w:r>
      </w:p>
    </w:sdtContent>
  </w:sdt>
  <w:p w14:paraId="1D026F87" w14:textId="77777777" w:rsidR="00054D31" w:rsidRDefault="00054D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5F85E" w14:textId="77777777" w:rsidR="00FB6CE2" w:rsidRDefault="00FB6CE2" w:rsidP="00847117">
      <w:r>
        <w:separator/>
      </w:r>
    </w:p>
  </w:footnote>
  <w:footnote w:type="continuationSeparator" w:id="0">
    <w:p w14:paraId="1474458D" w14:textId="77777777" w:rsidR="00FB6CE2" w:rsidRDefault="00FB6CE2" w:rsidP="00847117">
      <w:r>
        <w:continuationSeparator/>
      </w:r>
    </w:p>
  </w:footnote>
  <w:footnote w:id="1">
    <w:p w14:paraId="77F04D68" w14:textId="74D03524" w:rsidR="00BC3323" w:rsidRDefault="00BC3323">
      <w:pPr>
        <w:pStyle w:val="FootnoteText"/>
      </w:pPr>
      <w:r>
        <w:rPr>
          <w:rStyle w:val="FootnoteReference"/>
        </w:rPr>
        <w:footnoteRef/>
      </w:r>
      <w:r>
        <w:t xml:space="preserve"> A DK response </w:t>
      </w:r>
      <w:r w:rsidRPr="00BC3323">
        <w:t>is often a valid response for many survey questions</w:t>
      </w:r>
      <w:r>
        <w:t xml:space="preserve"> and therefore will be required for some items in self-administered </w:t>
      </w:r>
      <w:r w:rsidR="00506DE1">
        <w:t xml:space="preserve">BLS </w:t>
      </w:r>
      <w:r>
        <w:t>surveys. In interviewer-administered surveys, respondents do have the option to say “don’t know” even if it’s not included in the offered response options, and this study aims to mimic that.</w:t>
      </w:r>
    </w:p>
    <w:p w14:paraId="34F905E9" w14:textId="354C6E1C" w:rsidR="00BC3323" w:rsidRDefault="00892091">
      <w:pPr>
        <w:pStyle w:val="FootnoteText"/>
      </w:pPr>
      <w:r>
        <w:t xml:space="preserve">Some of the demographic questions (i.e., race/ethnicity and sex) are currently being explored by other interagency groups and have broader research implications. Thus, these items will not include offered DK and prefer not to say response options, but participants may skip those questions as-needed. They are included in this research for demographic purposes and analysis of the sample.  </w:t>
      </w:r>
    </w:p>
  </w:footnote>
  <w:footnote w:id="2">
    <w:p w14:paraId="3579DFB7" w14:textId="4C2850D2" w:rsidR="007E4774" w:rsidRPr="00A31D58" w:rsidRDefault="007E4774">
      <w:pPr>
        <w:pStyle w:val="FootnoteText"/>
        <w:rPr>
          <w:rFonts w:asciiTheme="minorHAnsi" w:hAnsiTheme="minorHAnsi" w:cstheme="minorHAnsi"/>
        </w:rPr>
      </w:pPr>
      <w:r w:rsidRPr="00A31D58">
        <w:rPr>
          <w:rStyle w:val="FootnoteReference"/>
          <w:rFonts w:asciiTheme="minorHAnsi" w:hAnsiTheme="minorHAnsi" w:cstheme="minorHAnsi"/>
        </w:rPr>
        <w:footnoteRef/>
      </w:r>
      <w:r w:rsidRPr="00A31D58">
        <w:rPr>
          <w:rFonts w:asciiTheme="minorHAnsi" w:hAnsiTheme="minorHAnsi" w:cstheme="minorHAnsi"/>
        </w:rPr>
        <w:t xml:space="preserve"> We acknowledge that it is possible that after seeing the same prompt, its effectiveness may wear off. However, two of the conditions will be controls without use of any prompt, where we can assess the differences in drop-offs by prompt. In previous research, we’ve observed that participants do not respond with DK, Prefer not to say, or skips at high rates, so it is unlikely that the same participants will get the prompt repeatedly or even more than a handful of times.</w:t>
      </w:r>
    </w:p>
  </w:footnote>
  <w:footnote w:id="3">
    <w:p w14:paraId="4382B47D" w14:textId="1825D2F7" w:rsidR="00A31D58" w:rsidRDefault="00A31D58">
      <w:pPr>
        <w:pStyle w:val="FootnoteText"/>
      </w:pPr>
      <w:r w:rsidRPr="00A31D58">
        <w:rPr>
          <w:rStyle w:val="FootnoteReference"/>
          <w:sz w:val="16"/>
        </w:rPr>
        <w:footnoteRef/>
      </w:r>
      <w:r w:rsidRPr="00A31D58">
        <w:rPr>
          <w:sz w:val="16"/>
        </w:rPr>
        <w:t xml:space="preserve"> </w:t>
      </w:r>
      <w:r w:rsidRPr="00A31D58">
        <w:rPr>
          <w:rFonts w:asciiTheme="minorHAnsi" w:hAnsiTheme="minorHAnsi" w:cstheme="minorHAnsi"/>
          <w:szCs w:val="24"/>
        </w:rPr>
        <w:t>We did not ask participants to answer both types of questions above (close-ends and self-selections). This is because answers to one set of questions would potentially bias the response to the other set, and would not be representative of their responses had they not previously been exposed to one version of the questions. The included open-ended probe was designed to help validate the response to the question set participants were assigned to.</w:t>
      </w:r>
    </w:p>
  </w:footnote>
  <w:footnote w:id="4">
    <w:p w14:paraId="793775D7" w14:textId="5DD8CCDF" w:rsidR="008C58DF" w:rsidRDefault="008C58DF">
      <w:pPr>
        <w:pStyle w:val="FootnoteText"/>
      </w:pPr>
      <w:r>
        <w:rPr>
          <w:rStyle w:val="FootnoteReference"/>
        </w:rPr>
        <w:footnoteRef/>
      </w:r>
      <w:r>
        <w:t xml:space="preserve"> We anticipate a low incidence rate of participants who are looking for work, even after instructing participants to exclude any MTurk work from the question and we are not screening out anyone based on job status. It is likely that most participants will be skipped out of the labor force section of the protocol, however,</w:t>
      </w:r>
      <w:r w:rsidR="00567614">
        <w:t xml:space="preserve"> we can still collect responses from anyone who is looking for work outside of the work they perform on MTurk.</w:t>
      </w:r>
      <w:r>
        <w:t xml:space="preserve"> </w:t>
      </w:r>
      <w:r w:rsidR="00567614">
        <w:t>T</w:t>
      </w:r>
      <w:r>
        <w:t>his is</w:t>
      </w:r>
      <w:r w:rsidR="00567614">
        <w:t xml:space="preserve"> also</w:t>
      </w:r>
      <w:r>
        <w:t xml:space="preserve"> why the vignettes were included so that participants could still respond to the labor force questions critical to Research Question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50929" w14:textId="77777777" w:rsidR="00054D31" w:rsidRPr="00544D5E" w:rsidRDefault="00054D31" w:rsidP="00277667">
    <w:pPr>
      <w:jc w:val="right"/>
      <w:rPr>
        <w:sz w:val="24"/>
        <w:szCs w:val="24"/>
      </w:rPr>
    </w:pPr>
    <w:r w:rsidRPr="00544D5E">
      <w:rPr>
        <w:sz w:val="24"/>
        <w:szCs w:val="24"/>
      </w:rPr>
      <w:t>OMB Control Number: 1220-0141</w:t>
    </w:r>
  </w:p>
  <w:p w14:paraId="40BE3DB4" w14:textId="7F9DC3F5" w:rsidR="00054D31" w:rsidRDefault="00054D31" w:rsidP="003F1605">
    <w:pPr>
      <w:jc w:val="right"/>
    </w:pPr>
    <w:r w:rsidRPr="00544D5E">
      <w:rPr>
        <w:sz w:val="24"/>
        <w:szCs w:val="24"/>
      </w:rPr>
      <w:t xml:space="preserve">Expiration Date: </w:t>
    </w:r>
    <w:r w:rsidRPr="003D09BC">
      <w:rPr>
        <w:sz w:val="24"/>
        <w:szCs w:val="24"/>
      </w:rPr>
      <w:t>03/31/2021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E476C"/>
    <w:multiLevelType w:val="hybridMultilevel"/>
    <w:tmpl w:val="5982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E5735"/>
    <w:multiLevelType w:val="hybridMultilevel"/>
    <w:tmpl w:val="4A8430F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8653C"/>
    <w:multiLevelType w:val="hybridMultilevel"/>
    <w:tmpl w:val="4A8430F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32748F"/>
    <w:multiLevelType w:val="hybridMultilevel"/>
    <w:tmpl w:val="BFB4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8683B"/>
    <w:multiLevelType w:val="hybridMultilevel"/>
    <w:tmpl w:val="B7B2A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4FBE"/>
    <w:multiLevelType w:val="hybridMultilevel"/>
    <w:tmpl w:val="2EBA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D7C0B"/>
    <w:multiLevelType w:val="hybridMultilevel"/>
    <w:tmpl w:val="60C01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12755"/>
    <w:multiLevelType w:val="hybridMultilevel"/>
    <w:tmpl w:val="2B3AC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11B2B"/>
    <w:multiLevelType w:val="hybridMultilevel"/>
    <w:tmpl w:val="E478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420FB"/>
    <w:multiLevelType w:val="hybridMultilevel"/>
    <w:tmpl w:val="4A8430F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5C3F03"/>
    <w:multiLevelType w:val="hybridMultilevel"/>
    <w:tmpl w:val="119C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70375"/>
    <w:multiLevelType w:val="hybridMultilevel"/>
    <w:tmpl w:val="7A9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473DB"/>
    <w:multiLevelType w:val="hybridMultilevel"/>
    <w:tmpl w:val="CD8C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E79A1"/>
    <w:multiLevelType w:val="hybridMultilevel"/>
    <w:tmpl w:val="D9FAF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4"/>
  </w:num>
  <w:num w:numId="4">
    <w:abstractNumId w:val="13"/>
  </w:num>
  <w:num w:numId="5">
    <w:abstractNumId w:val="1"/>
  </w:num>
  <w:num w:numId="6">
    <w:abstractNumId w:val="4"/>
  </w:num>
  <w:num w:numId="7">
    <w:abstractNumId w:val="6"/>
  </w:num>
  <w:num w:numId="8">
    <w:abstractNumId w:val="3"/>
  </w:num>
  <w:num w:numId="9">
    <w:abstractNumId w:val="10"/>
  </w:num>
  <w:num w:numId="10">
    <w:abstractNumId w:val="11"/>
  </w:num>
  <w:num w:numId="11">
    <w:abstractNumId w:val="5"/>
  </w:num>
  <w:num w:numId="12">
    <w:abstractNumId w:val="9"/>
  </w:num>
  <w:num w:numId="13">
    <w:abstractNumId w:val="0"/>
  </w:num>
  <w:num w:numId="14">
    <w:abstractNumId w:val="7"/>
  </w:num>
  <w:num w:numId="1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01DE3"/>
    <w:rsid w:val="00002417"/>
    <w:rsid w:val="00002653"/>
    <w:rsid w:val="00005A2E"/>
    <w:rsid w:val="00005E15"/>
    <w:rsid w:val="00007B1B"/>
    <w:rsid w:val="00007D55"/>
    <w:rsid w:val="000104B7"/>
    <w:rsid w:val="000170FC"/>
    <w:rsid w:val="000213AD"/>
    <w:rsid w:val="000267B8"/>
    <w:rsid w:val="00027FA8"/>
    <w:rsid w:val="00032CA4"/>
    <w:rsid w:val="000351B8"/>
    <w:rsid w:val="00037F41"/>
    <w:rsid w:val="00044283"/>
    <w:rsid w:val="00044967"/>
    <w:rsid w:val="00045285"/>
    <w:rsid w:val="0004557D"/>
    <w:rsid w:val="00054D31"/>
    <w:rsid w:val="0005751A"/>
    <w:rsid w:val="0006217C"/>
    <w:rsid w:val="0007009B"/>
    <w:rsid w:val="0007040A"/>
    <w:rsid w:val="0007257B"/>
    <w:rsid w:val="00073A0F"/>
    <w:rsid w:val="000744EF"/>
    <w:rsid w:val="000753A6"/>
    <w:rsid w:val="00087CAF"/>
    <w:rsid w:val="00090058"/>
    <w:rsid w:val="00090252"/>
    <w:rsid w:val="000922BB"/>
    <w:rsid w:val="000928CC"/>
    <w:rsid w:val="000979AE"/>
    <w:rsid w:val="000A35E7"/>
    <w:rsid w:val="000A4DDB"/>
    <w:rsid w:val="000B39CB"/>
    <w:rsid w:val="000B3DD4"/>
    <w:rsid w:val="000B3E8A"/>
    <w:rsid w:val="000B41AF"/>
    <w:rsid w:val="000B490F"/>
    <w:rsid w:val="000B5B4C"/>
    <w:rsid w:val="000B5F8C"/>
    <w:rsid w:val="000B7D5A"/>
    <w:rsid w:val="000C06A8"/>
    <w:rsid w:val="000C4BA2"/>
    <w:rsid w:val="000D3B4A"/>
    <w:rsid w:val="000D4C5D"/>
    <w:rsid w:val="000D510F"/>
    <w:rsid w:val="000D61F7"/>
    <w:rsid w:val="000E39EB"/>
    <w:rsid w:val="000E3EEB"/>
    <w:rsid w:val="000E510A"/>
    <w:rsid w:val="000E5852"/>
    <w:rsid w:val="000E6CA6"/>
    <w:rsid w:val="000F0BCE"/>
    <w:rsid w:val="000F2CF6"/>
    <w:rsid w:val="000F5E06"/>
    <w:rsid w:val="000F69AF"/>
    <w:rsid w:val="000F6B3C"/>
    <w:rsid w:val="00102CE8"/>
    <w:rsid w:val="00103038"/>
    <w:rsid w:val="00106942"/>
    <w:rsid w:val="00110FD0"/>
    <w:rsid w:val="00114311"/>
    <w:rsid w:val="001145D7"/>
    <w:rsid w:val="001210E9"/>
    <w:rsid w:val="001272C0"/>
    <w:rsid w:val="001313C6"/>
    <w:rsid w:val="001322B7"/>
    <w:rsid w:val="0013314E"/>
    <w:rsid w:val="001346E9"/>
    <w:rsid w:val="001352B6"/>
    <w:rsid w:val="0014078B"/>
    <w:rsid w:val="001453D7"/>
    <w:rsid w:val="00157ABC"/>
    <w:rsid w:val="0016517D"/>
    <w:rsid w:val="001733C8"/>
    <w:rsid w:val="00183110"/>
    <w:rsid w:val="001837DE"/>
    <w:rsid w:val="00192783"/>
    <w:rsid w:val="001951AC"/>
    <w:rsid w:val="00195FFE"/>
    <w:rsid w:val="0019636F"/>
    <w:rsid w:val="001A1A91"/>
    <w:rsid w:val="001A56EE"/>
    <w:rsid w:val="001A6E1E"/>
    <w:rsid w:val="001A7B29"/>
    <w:rsid w:val="001B04AF"/>
    <w:rsid w:val="001B19F9"/>
    <w:rsid w:val="001B7D0D"/>
    <w:rsid w:val="001C0B11"/>
    <w:rsid w:val="001C3D03"/>
    <w:rsid w:val="001C5486"/>
    <w:rsid w:val="001C78C3"/>
    <w:rsid w:val="001D0151"/>
    <w:rsid w:val="001D2192"/>
    <w:rsid w:val="001D7575"/>
    <w:rsid w:val="001E02D6"/>
    <w:rsid w:val="001E1314"/>
    <w:rsid w:val="001E3D2D"/>
    <w:rsid w:val="001E3EC5"/>
    <w:rsid w:val="001E42DA"/>
    <w:rsid w:val="001E7163"/>
    <w:rsid w:val="001E74AB"/>
    <w:rsid w:val="001F24FC"/>
    <w:rsid w:val="001F2AAB"/>
    <w:rsid w:val="001F32C2"/>
    <w:rsid w:val="001F42CA"/>
    <w:rsid w:val="001F5DA2"/>
    <w:rsid w:val="001F72FC"/>
    <w:rsid w:val="002005A9"/>
    <w:rsid w:val="00200C10"/>
    <w:rsid w:val="00215CA4"/>
    <w:rsid w:val="00216A74"/>
    <w:rsid w:val="002207C7"/>
    <w:rsid w:val="0022420C"/>
    <w:rsid w:val="00232DD4"/>
    <w:rsid w:val="00233B61"/>
    <w:rsid w:val="00235E78"/>
    <w:rsid w:val="00247308"/>
    <w:rsid w:val="0025436C"/>
    <w:rsid w:val="00261F97"/>
    <w:rsid w:val="002620C0"/>
    <w:rsid w:val="00263C1F"/>
    <w:rsid w:val="00263D3A"/>
    <w:rsid w:val="00264CE1"/>
    <w:rsid w:val="00277667"/>
    <w:rsid w:val="00280AF2"/>
    <w:rsid w:val="002852CB"/>
    <w:rsid w:val="00290209"/>
    <w:rsid w:val="002A16AE"/>
    <w:rsid w:val="002A23B9"/>
    <w:rsid w:val="002A3A82"/>
    <w:rsid w:val="002A3C60"/>
    <w:rsid w:val="002A3DE2"/>
    <w:rsid w:val="002A5A38"/>
    <w:rsid w:val="002A6234"/>
    <w:rsid w:val="002B1A3B"/>
    <w:rsid w:val="002B2F41"/>
    <w:rsid w:val="002B738F"/>
    <w:rsid w:val="002B7A94"/>
    <w:rsid w:val="002B7B4E"/>
    <w:rsid w:val="002C29B8"/>
    <w:rsid w:val="002D2438"/>
    <w:rsid w:val="002D6A39"/>
    <w:rsid w:val="002E11BB"/>
    <w:rsid w:val="002E4545"/>
    <w:rsid w:val="002E6E44"/>
    <w:rsid w:val="002F09AE"/>
    <w:rsid w:val="002F1CF0"/>
    <w:rsid w:val="002F3762"/>
    <w:rsid w:val="002F40F8"/>
    <w:rsid w:val="00303DB3"/>
    <w:rsid w:val="003107B9"/>
    <w:rsid w:val="00313D35"/>
    <w:rsid w:val="00315489"/>
    <w:rsid w:val="0031719E"/>
    <w:rsid w:val="00323496"/>
    <w:rsid w:val="00325C7B"/>
    <w:rsid w:val="00337F01"/>
    <w:rsid w:val="003411F1"/>
    <w:rsid w:val="003413A0"/>
    <w:rsid w:val="00342E76"/>
    <w:rsid w:val="0034314A"/>
    <w:rsid w:val="00345173"/>
    <w:rsid w:val="0035064E"/>
    <w:rsid w:val="00357E51"/>
    <w:rsid w:val="00362041"/>
    <w:rsid w:val="00363E19"/>
    <w:rsid w:val="00373B19"/>
    <w:rsid w:val="00374191"/>
    <w:rsid w:val="003803DC"/>
    <w:rsid w:val="00382A64"/>
    <w:rsid w:val="0038489A"/>
    <w:rsid w:val="003854E4"/>
    <w:rsid w:val="00387A5F"/>
    <w:rsid w:val="00387D72"/>
    <w:rsid w:val="00387FB8"/>
    <w:rsid w:val="00395A9C"/>
    <w:rsid w:val="00396696"/>
    <w:rsid w:val="003970D5"/>
    <w:rsid w:val="003A0BFE"/>
    <w:rsid w:val="003A2EE0"/>
    <w:rsid w:val="003A3B11"/>
    <w:rsid w:val="003A432E"/>
    <w:rsid w:val="003A49EA"/>
    <w:rsid w:val="003A4F00"/>
    <w:rsid w:val="003A6235"/>
    <w:rsid w:val="003A78A4"/>
    <w:rsid w:val="003B0831"/>
    <w:rsid w:val="003B3A1D"/>
    <w:rsid w:val="003B3B42"/>
    <w:rsid w:val="003B418E"/>
    <w:rsid w:val="003B6E8F"/>
    <w:rsid w:val="003C7C7A"/>
    <w:rsid w:val="003D008F"/>
    <w:rsid w:val="003D09BC"/>
    <w:rsid w:val="003D294F"/>
    <w:rsid w:val="003D42C1"/>
    <w:rsid w:val="003D6770"/>
    <w:rsid w:val="003E4BA4"/>
    <w:rsid w:val="003F14E7"/>
    <w:rsid w:val="003F1605"/>
    <w:rsid w:val="003F47F6"/>
    <w:rsid w:val="003F616D"/>
    <w:rsid w:val="003F764D"/>
    <w:rsid w:val="0040217D"/>
    <w:rsid w:val="00403DBB"/>
    <w:rsid w:val="00406C82"/>
    <w:rsid w:val="00410066"/>
    <w:rsid w:val="004107F6"/>
    <w:rsid w:val="00413D1B"/>
    <w:rsid w:val="00420584"/>
    <w:rsid w:val="004216C3"/>
    <w:rsid w:val="00422F12"/>
    <w:rsid w:val="00423D69"/>
    <w:rsid w:val="004245A6"/>
    <w:rsid w:val="00432DFD"/>
    <w:rsid w:val="00433FC2"/>
    <w:rsid w:val="004365C5"/>
    <w:rsid w:val="00436737"/>
    <w:rsid w:val="004367F9"/>
    <w:rsid w:val="004368F3"/>
    <w:rsid w:val="00437317"/>
    <w:rsid w:val="00437D25"/>
    <w:rsid w:val="0044434F"/>
    <w:rsid w:val="00444EFF"/>
    <w:rsid w:val="004453C4"/>
    <w:rsid w:val="00446540"/>
    <w:rsid w:val="004467F8"/>
    <w:rsid w:val="00452187"/>
    <w:rsid w:val="00461DEF"/>
    <w:rsid w:val="00474C77"/>
    <w:rsid w:val="00483663"/>
    <w:rsid w:val="00483C65"/>
    <w:rsid w:val="00484193"/>
    <w:rsid w:val="00487E07"/>
    <w:rsid w:val="00492CFC"/>
    <w:rsid w:val="00493913"/>
    <w:rsid w:val="004957BA"/>
    <w:rsid w:val="00496148"/>
    <w:rsid w:val="00496C92"/>
    <w:rsid w:val="0049715C"/>
    <w:rsid w:val="004B25D4"/>
    <w:rsid w:val="004B2E26"/>
    <w:rsid w:val="004B4F51"/>
    <w:rsid w:val="004B588F"/>
    <w:rsid w:val="004B6677"/>
    <w:rsid w:val="004B6C74"/>
    <w:rsid w:val="004B761B"/>
    <w:rsid w:val="004C426C"/>
    <w:rsid w:val="004C5A93"/>
    <w:rsid w:val="004D0FEB"/>
    <w:rsid w:val="004D1235"/>
    <w:rsid w:val="004D2133"/>
    <w:rsid w:val="004D32C8"/>
    <w:rsid w:val="004D6239"/>
    <w:rsid w:val="004E439C"/>
    <w:rsid w:val="004E4418"/>
    <w:rsid w:val="004E6E5B"/>
    <w:rsid w:val="004E7944"/>
    <w:rsid w:val="004F1F45"/>
    <w:rsid w:val="004F68A2"/>
    <w:rsid w:val="005024DD"/>
    <w:rsid w:val="00502965"/>
    <w:rsid w:val="00504B24"/>
    <w:rsid w:val="00506DE1"/>
    <w:rsid w:val="00513959"/>
    <w:rsid w:val="00513F44"/>
    <w:rsid w:val="00525C37"/>
    <w:rsid w:val="005272F0"/>
    <w:rsid w:val="00530EBB"/>
    <w:rsid w:val="00532672"/>
    <w:rsid w:val="005337A2"/>
    <w:rsid w:val="00533E34"/>
    <w:rsid w:val="00537790"/>
    <w:rsid w:val="0054037C"/>
    <w:rsid w:val="005403BC"/>
    <w:rsid w:val="00543241"/>
    <w:rsid w:val="00543B11"/>
    <w:rsid w:val="00544C77"/>
    <w:rsid w:val="00544D5E"/>
    <w:rsid w:val="00550F93"/>
    <w:rsid w:val="00552038"/>
    <w:rsid w:val="00554091"/>
    <w:rsid w:val="00557E1E"/>
    <w:rsid w:val="00561B79"/>
    <w:rsid w:val="00562C86"/>
    <w:rsid w:val="00567614"/>
    <w:rsid w:val="005730AB"/>
    <w:rsid w:val="0057769D"/>
    <w:rsid w:val="00582EFD"/>
    <w:rsid w:val="00585ABD"/>
    <w:rsid w:val="00590D48"/>
    <w:rsid w:val="00597082"/>
    <w:rsid w:val="0059744C"/>
    <w:rsid w:val="0059752E"/>
    <w:rsid w:val="00597625"/>
    <w:rsid w:val="005A3B0D"/>
    <w:rsid w:val="005A3B14"/>
    <w:rsid w:val="005A4268"/>
    <w:rsid w:val="005B037E"/>
    <w:rsid w:val="005B1D1A"/>
    <w:rsid w:val="005B2483"/>
    <w:rsid w:val="005B58F4"/>
    <w:rsid w:val="005B7044"/>
    <w:rsid w:val="005C0D7D"/>
    <w:rsid w:val="005C16CE"/>
    <w:rsid w:val="005C3E39"/>
    <w:rsid w:val="005C45E6"/>
    <w:rsid w:val="005C4F42"/>
    <w:rsid w:val="005C6373"/>
    <w:rsid w:val="005C700F"/>
    <w:rsid w:val="005D17E6"/>
    <w:rsid w:val="005D7956"/>
    <w:rsid w:val="005E030F"/>
    <w:rsid w:val="005E15FD"/>
    <w:rsid w:val="005E6783"/>
    <w:rsid w:val="005F0951"/>
    <w:rsid w:val="005F1C4D"/>
    <w:rsid w:val="005F1EC9"/>
    <w:rsid w:val="005F5EDE"/>
    <w:rsid w:val="006012B4"/>
    <w:rsid w:val="0060220B"/>
    <w:rsid w:val="00605665"/>
    <w:rsid w:val="0060581E"/>
    <w:rsid w:val="006058F7"/>
    <w:rsid w:val="00612414"/>
    <w:rsid w:val="00613979"/>
    <w:rsid w:val="00613C3F"/>
    <w:rsid w:val="00615131"/>
    <w:rsid w:val="00615B24"/>
    <w:rsid w:val="006179AD"/>
    <w:rsid w:val="00620B78"/>
    <w:rsid w:val="00620D49"/>
    <w:rsid w:val="00624D70"/>
    <w:rsid w:val="006272FD"/>
    <w:rsid w:val="00627791"/>
    <w:rsid w:val="00632A11"/>
    <w:rsid w:val="0063365D"/>
    <w:rsid w:val="0063403D"/>
    <w:rsid w:val="00636B14"/>
    <w:rsid w:val="00641010"/>
    <w:rsid w:val="0064281C"/>
    <w:rsid w:val="00643458"/>
    <w:rsid w:val="00643C43"/>
    <w:rsid w:val="006441D3"/>
    <w:rsid w:val="00646AFE"/>
    <w:rsid w:val="00650EE4"/>
    <w:rsid w:val="00652992"/>
    <w:rsid w:val="0065378E"/>
    <w:rsid w:val="0065579A"/>
    <w:rsid w:val="00656258"/>
    <w:rsid w:val="006577A0"/>
    <w:rsid w:val="00660B1B"/>
    <w:rsid w:val="00663B7A"/>
    <w:rsid w:val="00663E7B"/>
    <w:rsid w:val="0066437B"/>
    <w:rsid w:val="00671B4E"/>
    <w:rsid w:val="00672D4B"/>
    <w:rsid w:val="00677B08"/>
    <w:rsid w:val="00680D1A"/>
    <w:rsid w:val="00683F35"/>
    <w:rsid w:val="00697DC3"/>
    <w:rsid w:val="006A16C7"/>
    <w:rsid w:val="006A2F79"/>
    <w:rsid w:val="006A3633"/>
    <w:rsid w:val="006B308C"/>
    <w:rsid w:val="006B426A"/>
    <w:rsid w:val="006B4A90"/>
    <w:rsid w:val="006B6600"/>
    <w:rsid w:val="006B736D"/>
    <w:rsid w:val="006C0C74"/>
    <w:rsid w:val="006C138A"/>
    <w:rsid w:val="006C6ADA"/>
    <w:rsid w:val="006C7446"/>
    <w:rsid w:val="006D0D3C"/>
    <w:rsid w:val="006D27D6"/>
    <w:rsid w:val="006D2BF4"/>
    <w:rsid w:val="006D3C59"/>
    <w:rsid w:val="006D4EE6"/>
    <w:rsid w:val="006E008A"/>
    <w:rsid w:val="006E17CA"/>
    <w:rsid w:val="006E1C26"/>
    <w:rsid w:val="006E2363"/>
    <w:rsid w:val="006E3A94"/>
    <w:rsid w:val="006E4C93"/>
    <w:rsid w:val="006E4D89"/>
    <w:rsid w:val="006E51A5"/>
    <w:rsid w:val="006E564D"/>
    <w:rsid w:val="006E64B4"/>
    <w:rsid w:val="006E6ADD"/>
    <w:rsid w:val="006F16ED"/>
    <w:rsid w:val="0070142E"/>
    <w:rsid w:val="007066FF"/>
    <w:rsid w:val="00706F94"/>
    <w:rsid w:val="00707ED5"/>
    <w:rsid w:val="00717F5E"/>
    <w:rsid w:val="00725239"/>
    <w:rsid w:val="00725BE9"/>
    <w:rsid w:val="00732A41"/>
    <w:rsid w:val="00740A96"/>
    <w:rsid w:val="00740CE8"/>
    <w:rsid w:val="0074584A"/>
    <w:rsid w:val="00745D2E"/>
    <w:rsid w:val="00746212"/>
    <w:rsid w:val="007475B7"/>
    <w:rsid w:val="00750D7B"/>
    <w:rsid w:val="00752F5A"/>
    <w:rsid w:val="00756566"/>
    <w:rsid w:val="007567D1"/>
    <w:rsid w:val="00757D6B"/>
    <w:rsid w:val="00761C7F"/>
    <w:rsid w:val="00761E88"/>
    <w:rsid w:val="00762E78"/>
    <w:rsid w:val="00764B33"/>
    <w:rsid w:val="00766160"/>
    <w:rsid w:val="00767A1F"/>
    <w:rsid w:val="00773FEF"/>
    <w:rsid w:val="00774BA0"/>
    <w:rsid w:val="00775175"/>
    <w:rsid w:val="00777346"/>
    <w:rsid w:val="00781788"/>
    <w:rsid w:val="0078392B"/>
    <w:rsid w:val="0078449E"/>
    <w:rsid w:val="007928F0"/>
    <w:rsid w:val="00793DB7"/>
    <w:rsid w:val="00795269"/>
    <w:rsid w:val="00795751"/>
    <w:rsid w:val="00796705"/>
    <w:rsid w:val="0079747D"/>
    <w:rsid w:val="007A2CB5"/>
    <w:rsid w:val="007A36AF"/>
    <w:rsid w:val="007B0090"/>
    <w:rsid w:val="007B17EE"/>
    <w:rsid w:val="007B25B0"/>
    <w:rsid w:val="007B5F37"/>
    <w:rsid w:val="007B6951"/>
    <w:rsid w:val="007B6CBF"/>
    <w:rsid w:val="007C4553"/>
    <w:rsid w:val="007C5871"/>
    <w:rsid w:val="007C7420"/>
    <w:rsid w:val="007D15AB"/>
    <w:rsid w:val="007D28AD"/>
    <w:rsid w:val="007D355A"/>
    <w:rsid w:val="007D6CCA"/>
    <w:rsid w:val="007E45B8"/>
    <w:rsid w:val="007E4774"/>
    <w:rsid w:val="007E5FF9"/>
    <w:rsid w:val="007E79A4"/>
    <w:rsid w:val="007E7DC3"/>
    <w:rsid w:val="007F680C"/>
    <w:rsid w:val="007F724D"/>
    <w:rsid w:val="008026A5"/>
    <w:rsid w:val="00802CA8"/>
    <w:rsid w:val="008120DA"/>
    <w:rsid w:val="0081476C"/>
    <w:rsid w:val="0082397F"/>
    <w:rsid w:val="00824124"/>
    <w:rsid w:val="008333A5"/>
    <w:rsid w:val="00834D7B"/>
    <w:rsid w:val="0084128A"/>
    <w:rsid w:val="008420A7"/>
    <w:rsid w:val="00844AD5"/>
    <w:rsid w:val="0084577B"/>
    <w:rsid w:val="00847117"/>
    <w:rsid w:val="0084798B"/>
    <w:rsid w:val="0085019C"/>
    <w:rsid w:val="00850940"/>
    <w:rsid w:val="0086421A"/>
    <w:rsid w:val="00864A95"/>
    <w:rsid w:val="008674C4"/>
    <w:rsid w:val="008734FD"/>
    <w:rsid w:val="008768D6"/>
    <w:rsid w:val="008769BC"/>
    <w:rsid w:val="00880511"/>
    <w:rsid w:val="00882AF8"/>
    <w:rsid w:val="00882DCA"/>
    <w:rsid w:val="00890061"/>
    <w:rsid w:val="00892091"/>
    <w:rsid w:val="00893AE3"/>
    <w:rsid w:val="00896A20"/>
    <w:rsid w:val="00897BED"/>
    <w:rsid w:val="00897EDE"/>
    <w:rsid w:val="008A0F74"/>
    <w:rsid w:val="008A207F"/>
    <w:rsid w:val="008A3280"/>
    <w:rsid w:val="008B2BD4"/>
    <w:rsid w:val="008B3F79"/>
    <w:rsid w:val="008B482E"/>
    <w:rsid w:val="008B4F77"/>
    <w:rsid w:val="008B7AC0"/>
    <w:rsid w:val="008C3480"/>
    <w:rsid w:val="008C3D62"/>
    <w:rsid w:val="008C4B66"/>
    <w:rsid w:val="008C4E94"/>
    <w:rsid w:val="008C5802"/>
    <w:rsid w:val="008C58DF"/>
    <w:rsid w:val="008C782E"/>
    <w:rsid w:val="008D5768"/>
    <w:rsid w:val="008E4A32"/>
    <w:rsid w:val="008E5518"/>
    <w:rsid w:val="008E5E24"/>
    <w:rsid w:val="008E71F6"/>
    <w:rsid w:val="008F10BD"/>
    <w:rsid w:val="008F303E"/>
    <w:rsid w:val="008F30B2"/>
    <w:rsid w:val="008F5DF8"/>
    <w:rsid w:val="008F7B5D"/>
    <w:rsid w:val="009049DD"/>
    <w:rsid w:val="009073CA"/>
    <w:rsid w:val="009079BB"/>
    <w:rsid w:val="00915ECE"/>
    <w:rsid w:val="00917538"/>
    <w:rsid w:val="00920336"/>
    <w:rsid w:val="009205C4"/>
    <w:rsid w:val="0092576F"/>
    <w:rsid w:val="00930B77"/>
    <w:rsid w:val="00936F7F"/>
    <w:rsid w:val="00941099"/>
    <w:rsid w:val="00941861"/>
    <w:rsid w:val="00946BC7"/>
    <w:rsid w:val="009503C5"/>
    <w:rsid w:val="00951A3B"/>
    <w:rsid w:val="00954B5B"/>
    <w:rsid w:val="00963D85"/>
    <w:rsid w:val="0096712E"/>
    <w:rsid w:val="00970E09"/>
    <w:rsid w:val="00975583"/>
    <w:rsid w:val="0097648E"/>
    <w:rsid w:val="00977040"/>
    <w:rsid w:val="00981E1D"/>
    <w:rsid w:val="00987E66"/>
    <w:rsid w:val="00990031"/>
    <w:rsid w:val="0099052E"/>
    <w:rsid w:val="00991453"/>
    <w:rsid w:val="00992646"/>
    <w:rsid w:val="009937A7"/>
    <w:rsid w:val="00994D97"/>
    <w:rsid w:val="009954FA"/>
    <w:rsid w:val="009A2342"/>
    <w:rsid w:val="009A63A3"/>
    <w:rsid w:val="009B0E1C"/>
    <w:rsid w:val="009B7EC2"/>
    <w:rsid w:val="009C1A31"/>
    <w:rsid w:val="009C1E3F"/>
    <w:rsid w:val="009C1E72"/>
    <w:rsid w:val="009C59BF"/>
    <w:rsid w:val="009C7E44"/>
    <w:rsid w:val="009D0F35"/>
    <w:rsid w:val="009D5352"/>
    <w:rsid w:val="009E1683"/>
    <w:rsid w:val="009E3FCE"/>
    <w:rsid w:val="009E3FE0"/>
    <w:rsid w:val="009E5657"/>
    <w:rsid w:val="009F043D"/>
    <w:rsid w:val="00A00471"/>
    <w:rsid w:val="00A02D13"/>
    <w:rsid w:val="00A06FE1"/>
    <w:rsid w:val="00A10BFB"/>
    <w:rsid w:val="00A10E87"/>
    <w:rsid w:val="00A11129"/>
    <w:rsid w:val="00A112F5"/>
    <w:rsid w:val="00A1249C"/>
    <w:rsid w:val="00A129DE"/>
    <w:rsid w:val="00A12D09"/>
    <w:rsid w:val="00A13BAE"/>
    <w:rsid w:val="00A15510"/>
    <w:rsid w:val="00A16223"/>
    <w:rsid w:val="00A233A4"/>
    <w:rsid w:val="00A2781A"/>
    <w:rsid w:val="00A27B6F"/>
    <w:rsid w:val="00A30235"/>
    <w:rsid w:val="00A31D58"/>
    <w:rsid w:val="00A31FB0"/>
    <w:rsid w:val="00A34C01"/>
    <w:rsid w:val="00A35654"/>
    <w:rsid w:val="00A3776C"/>
    <w:rsid w:val="00A37AD5"/>
    <w:rsid w:val="00A42C41"/>
    <w:rsid w:val="00A44C79"/>
    <w:rsid w:val="00A4594E"/>
    <w:rsid w:val="00A461EF"/>
    <w:rsid w:val="00A474BB"/>
    <w:rsid w:val="00A47CF4"/>
    <w:rsid w:val="00A51E6E"/>
    <w:rsid w:val="00A52E92"/>
    <w:rsid w:val="00A54536"/>
    <w:rsid w:val="00A57584"/>
    <w:rsid w:val="00A609B8"/>
    <w:rsid w:val="00A6304A"/>
    <w:rsid w:val="00A64080"/>
    <w:rsid w:val="00A64E0C"/>
    <w:rsid w:val="00A66734"/>
    <w:rsid w:val="00A675DD"/>
    <w:rsid w:val="00A71073"/>
    <w:rsid w:val="00A77FF7"/>
    <w:rsid w:val="00A8001A"/>
    <w:rsid w:val="00A8282F"/>
    <w:rsid w:val="00A82930"/>
    <w:rsid w:val="00A83ADB"/>
    <w:rsid w:val="00A87CA1"/>
    <w:rsid w:val="00A90E46"/>
    <w:rsid w:val="00A93C86"/>
    <w:rsid w:val="00A978E4"/>
    <w:rsid w:val="00AA3194"/>
    <w:rsid w:val="00AB2EE5"/>
    <w:rsid w:val="00AB5C4C"/>
    <w:rsid w:val="00AC3AD8"/>
    <w:rsid w:val="00AD614F"/>
    <w:rsid w:val="00AD6B09"/>
    <w:rsid w:val="00AD7D20"/>
    <w:rsid w:val="00AE07C2"/>
    <w:rsid w:val="00AE3809"/>
    <w:rsid w:val="00AE6A79"/>
    <w:rsid w:val="00AE7F19"/>
    <w:rsid w:val="00AF0357"/>
    <w:rsid w:val="00AF089D"/>
    <w:rsid w:val="00AF11C4"/>
    <w:rsid w:val="00AF4C7B"/>
    <w:rsid w:val="00AF5733"/>
    <w:rsid w:val="00B00B4E"/>
    <w:rsid w:val="00B010D0"/>
    <w:rsid w:val="00B02414"/>
    <w:rsid w:val="00B13BE6"/>
    <w:rsid w:val="00B147C1"/>
    <w:rsid w:val="00B14D7A"/>
    <w:rsid w:val="00B21860"/>
    <w:rsid w:val="00B21941"/>
    <w:rsid w:val="00B2348E"/>
    <w:rsid w:val="00B264EE"/>
    <w:rsid w:val="00B34234"/>
    <w:rsid w:val="00B35587"/>
    <w:rsid w:val="00B3675A"/>
    <w:rsid w:val="00B36BA0"/>
    <w:rsid w:val="00B445CF"/>
    <w:rsid w:val="00B55F19"/>
    <w:rsid w:val="00B57069"/>
    <w:rsid w:val="00B603AC"/>
    <w:rsid w:val="00B62B32"/>
    <w:rsid w:val="00B642C7"/>
    <w:rsid w:val="00B677A7"/>
    <w:rsid w:val="00B72D3F"/>
    <w:rsid w:val="00B75616"/>
    <w:rsid w:val="00B75922"/>
    <w:rsid w:val="00B759ED"/>
    <w:rsid w:val="00B75F2C"/>
    <w:rsid w:val="00B77B6D"/>
    <w:rsid w:val="00B77BD7"/>
    <w:rsid w:val="00B8239C"/>
    <w:rsid w:val="00B8339C"/>
    <w:rsid w:val="00B87BE8"/>
    <w:rsid w:val="00B87D32"/>
    <w:rsid w:val="00B90465"/>
    <w:rsid w:val="00B9494F"/>
    <w:rsid w:val="00BA5989"/>
    <w:rsid w:val="00BA6CBC"/>
    <w:rsid w:val="00BB2A2B"/>
    <w:rsid w:val="00BB7A77"/>
    <w:rsid w:val="00BC006C"/>
    <w:rsid w:val="00BC0CE4"/>
    <w:rsid w:val="00BC3323"/>
    <w:rsid w:val="00BC3881"/>
    <w:rsid w:val="00BC65D8"/>
    <w:rsid w:val="00BC7D71"/>
    <w:rsid w:val="00BD0BF4"/>
    <w:rsid w:val="00BD760E"/>
    <w:rsid w:val="00BE686C"/>
    <w:rsid w:val="00BE7483"/>
    <w:rsid w:val="00BF5017"/>
    <w:rsid w:val="00BF5CBD"/>
    <w:rsid w:val="00BF7C66"/>
    <w:rsid w:val="00C118FD"/>
    <w:rsid w:val="00C12E45"/>
    <w:rsid w:val="00C14B3F"/>
    <w:rsid w:val="00C33EFB"/>
    <w:rsid w:val="00C3460B"/>
    <w:rsid w:val="00C350C9"/>
    <w:rsid w:val="00C356C7"/>
    <w:rsid w:val="00C3622C"/>
    <w:rsid w:val="00C36DFE"/>
    <w:rsid w:val="00C4156D"/>
    <w:rsid w:val="00C43F17"/>
    <w:rsid w:val="00C44525"/>
    <w:rsid w:val="00C449A0"/>
    <w:rsid w:val="00C533C8"/>
    <w:rsid w:val="00C55CE2"/>
    <w:rsid w:val="00C60C53"/>
    <w:rsid w:val="00C6280C"/>
    <w:rsid w:val="00C628F6"/>
    <w:rsid w:val="00C6627A"/>
    <w:rsid w:val="00C665F9"/>
    <w:rsid w:val="00C700B4"/>
    <w:rsid w:val="00C7143E"/>
    <w:rsid w:val="00C72172"/>
    <w:rsid w:val="00C741F8"/>
    <w:rsid w:val="00C800EF"/>
    <w:rsid w:val="00C80BA1"/>
    <w:rsid w:val="00C81737"/>
    <w:rsid w:val="00C90962"/>
    <w:rsid w:val="00C91B84"/>
    <w:rsid w:val="00C92B29"/>
    <w:rsid w:val="00C963EB"/>
    <w:rsid w:val="00CA050F"/>
    <w:rsid w:val="00CA6743"/>
    <w:rsid w:val="00CB1C86"/>
    <w:rsid w:val="00CB2379"/>
    <w:rsid w:val="00CB3075"/>
    <w:rsid w:val="00CB3811"/>
    <w:rsid w:val="00CB5CF4"/>
    <w:rsid w:val="00CB640B"/>
    <w:rsid w:val="00CC130A"/>
    <w:rsid w:val="00CC1C96"/>
    <w:rsid w:val="00CC2322"/>
    <w:rsid w:val="00CC494F"/>
    <w:rsid w:val="00CC6245"/>
    <w:rsid w:val="00CD708D"/>
    <w:rsid w:val="00CD7988"/>
    <w:rsid w:val="00CE1BC4"/>
    <w:rsid w:val="00CE6128"/>
    <w:rsid w:val="00CE77E6"/>
    <w:rsid w:val="00CF2D47"/>
    <w:rsid w:val="00CF30C9"/>
    <w:rsid w:val="00CF386A"/>
    <w:rsid w:val="00CF5733"/>
    <w:rsid w:val="00CF5D26"/>
    <w:rsid w:val="00CF623A"/>
    <w:rsid w:val="00D02479"/>
    <w:rsid w:val="00D0272F"/>
    <w:rsid w:val="00D04A3B"/>
    <w:rsid w:val="00D064C4"/>
    <w:rsid w:val="00D205B9"/>
    <w:rsid w:val="00D23A53"/>
    <w:rsid w:val="00D248CF"/>
    <w:rsid w:val="00D24A11"/>
    <w:rsid w:val="00D31F93"/>
    <w:rsid w:val="00D32A78"/>
    <w:rsid w:val="00D34010"/>
    <w:rsid w:val="00D36E71"/>
    <w:rsid w:val="00D41C12"/>
    <w:rsid w:val="00D41DF1"/>
    <w:rsid w:val="00D422FE"/>
    <w:rsid w:val="00D454EF"/>
    <w:rsid w:val="00D47246"/>
    <w:rsid w:val="00D50353"/>
    <w:rsid w:val="00D53AE8"/>
    <w:rsid w:val="00D562A0"/>
    <w:rsid w:val="00D63813"/>
    <w:rsid w:val="00D67080"/>
    <w:rsid w:val="00D671B8"/>
    <w:rsid w:val="00D713FE"/>
    <w:rsid w:val="00D757D5"/>
    <w:rsid w:val="00D76060"/>
    <w:rsid w:val="00D8159D"/>
    <w:rsid w:val="00D81C83"/>
    <w:rsid w:val="00D9176D"/>
    <w:rsid w:val="00D95A8C"/>
    <w:rsid w:val="00DA78E8"/>
    <w:rsid w:val="00DB28F1"/>
    <w:rsid w:val="00DB3801"/>
    <w:rsid w:val="00DB4E99"/>
    <w:rsid w:val="00DB71CC"/>
    <w:rsid w:val="00DB7B47"/>
    <w:rsid w:val="00DC38BC"/>
    <w:rsid w:val="00DC3E72"/>
    <w:rsid w:val="00DC4A76"/>
    <w:rsid w:val="00DC7630"/>
    <w:rsid w:val="00DC763F"/>
    <w:rsid w:val="00DC7BB7"/>
    <w:rsid w:val="00DD0DBF"/>
    <w:rsid w:val="00DD2435"/>
    <w:rsid w:val="00DD2966"/>
    <w:rsid w:val="00DE571A"/>
    <w:rsid w:val="00DF2EF9"/>
    <w:rsid w:val="00DF7B33"/>
    <w:rsid w:val="00E01250"/>
    <w:rsid w:val="00E026D5"/>
    <w:rsid w:val="00E046C5"/>
    <w:rsid w:val="00E04B31"/>
    <w:rsid w:val="00E06D11"/>
    <w:rsid w:val="00E10382"/>
    <w:rsid w:val="00E1070D"/>
    <w:rsid w:val="00E1096E"/>
    <w:rsid w:val="00E13F63"/>
    <w:rsid w:val="00E146F9"/>
    <w:rsid w:val="00E15E6B"/>
    <w:rsid w:val="00E30657"/>
    <w:rsid w:val="00E30901"/>
    <w:rsid w:val="00E3455B"/>
    <w:rsid w:val="00E364C7"/>
    <w:rsid w:val="00E40FB5"/>
    <w:rsid w:val="00E415D8"/>
    <w:rsid w:val="00E46E46"/>
    <w:rsid w:val="00E543C7"/>
    <w:rsid w:val="00E56C63"/>
    <w:rsid w:val="00E56DB3"/>
    <w:rsid w:val="00E625BA"/>
    <w:rsid w:val="00E62845"/>
    <w:rsid w:val="00E632FF"/>
    <w:rsid w:val="00E67D6D"/>
    <w:rsid w:val="00E708E4"/>
    <w:rsid w:val="00E73DE2"/>
    <w:rsid w:val="00E757F0"/>
    <w:rsid w:val="00E7727E"/>
    <w:rsid w:val="00E81FAD"/>
    <w:rsid w:val="00E83B2C"/>
    <w:rsid w:val="00E85B88"/>
    <w:rsid w:val="00E86243"/>
    <w:rsid w:val="00E91A70"/>
    <w:rsid w:val="00E931E8"/>
    <w:rsid w:val="00E9325B"/>
    <w:rsid w:val="00E9413E"/>
    <w:rsid w:val="00E950E3"/>
    <w:rsid w:val="00E96A0A"/>
    <w:rsid w:val="00EA4A26"/>
    <w:rsid w:val="00EB11FE"/>
    <w:rsid w:val="00EB1C18"/>
    <w:rsid w:val="00EB2389"/>
    <w:rsid w:val="00EB346D"/>
    <w:rsid w:val="00EB4034"/>
    <w:rsid w:val="00EB5FF7"/>
    <w:rsid w:val="00EC4A08"/>
    <w:rsid w:val="00ED058D"/>
    <w:rsid w:val="00ED1986"/>
    <w:rsid w:val="00ED6231"/>
    <w:rsid w:val="00ED7399"/>
    <w:rsid w:val="00ED76C8"/>
    <w:rsid w:val="00EE045C"/>
    <w:rsid w:val="00EE0ACC"/>
    <w:rsid w:val="00EE2946"/>
    <w:rsid w:val="00EE352B"/>
    <w:rsid w:val="00EE6CF6"/>
    <w:rsid w:val="00EF55AD"/>
    <w:rsid w:val="00F05DA8"/>
    <w:rsid w:val="00F162C6"/>
    <w:rsid w:val="00F227B8"/>
    <w:rsid w:val="00F25058"/>
    <w:rsid w:val="00F27CA7"/>
    <w:rsid w:val="00F3093C"/>
    <w:rsid w:val="00F33667"/>
    <w:rsid w:val="00F447B4"/>
    <w:rsid w:val="00F448D9"/>
    <w:rsid w:val="00F509E5"/>
    <w:rsid w:val="00F50A5A"/>
    <w:rsid w:val="00F55F90"/>
    <w:rsid w:val="00F564E0"/>
    <w:rsid w:val="00F56B74"/>
    <w:rsid w:val="00F56FC7"/>
    <w:rsid w:val="00F61D17"/>
    <w:rsid w:val="00F7276D"/>
    <w:rsid w:val="00F7328E"/>
    <w:rsid w:val="00F734D1"/>
    <w:rsid w:val="00F74F05"/>
    <w:rsid w:val="00F812E5"/>
    <w:rsid w:val="00F84C15"/>
    <w:rsid w:val="00F852AA"/>
    <w:rsid w:val="00F85F10"/>
    <w:rsid w:val="00F91585"/>
    <w:rsid w:val="00F91853"/>
    <w:rsid w:val="00F91DB0"/>
    <w:rsid w:val="00F9434D"/>
    <w:rsid w:val="00F95AA7"/>
    <w:rsid w:val="00F95F84"/>
    <w:rsid w:val="00F97FC6"/>
    <w:rsid w:val="00FA1F79"/>
    <w:rsid w:val="00FA5264"/>
    <w:rsid w:val="00FA6492"/>
    <w:rsid w:val="00FA6B47"/>
    <w:rsid w:val="00FA7D95"/>
    <w:rsid w:val="00FB0AE7"/>
    <w:rsid w:val="00FB1A32"/>
    <w:rsid w:val="00FB3306"/>
    <w:rsid w:val="00FB39BC"/>
    <w:rsid w:val="00FB6CE2"/>
    <w:rsid w:val="00FC040C"/>
    <w:rsid w:val="00FC3B6B"/>
    <w:rsid w:val="00FC4D67"/>
    <w:rsid w:val="00FC54F0"/>
    <w:rsid w:val="00FD228C"/>
    <w:rsid w:val="00FD39E7"/>
    <w:rsid w:val="00FD750E"/>
    <w:rsid w:val="00FD7719"/>
    <w:rsid w:val="00FF04B6"/>
    <w:rsid w:val="00FF4D72"/>
    <w:rsid w:val="00FF5CF4"/>
    <w:rsid w:val="00FF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0735B8C"/>
  <w15:chartTrackingRefBased/>
  <w15:docId w15:val="{6D499242-B655-4D84-BC88-ED56535A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paragraph" w:styleId="Heading3">
    <w:name w:val="heading 3"/>
    <w:basedOn w:val="Normal"/>
    <w:next w:val="Normal"/>
    <w:link w:val="Heading3Char"/>
    <w:uiPriority w:val="9"/>
    <w:semiHidden/>
    <w:unhideWhenUsed/>
    <w:qFormat/>
    <w:rsid w:val="0063403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 w:type="character" w:styleId="FollowedHyperlink">
    <w:name w:val="FollowedHyperlink"/>
    <w:basedOn w:val="DefaultParagraphFont"/>
    <w:uiPriority w:val="99"/>
    <w:semiHidden/>
    <w:unhideWhenUsed/>
    <w:rsid w:val="00A87CA1"/>
    <w:rPr>
      <w:color w:val="954F72" w:themeColor="followedHyperlink"/>
      <w:u w:val="single"/>
    </w:rPr>
  </w:style>
  <w:style w:type="character" w:styleId="PlaceholderText">
    <w:name w:val="Placeholder Text"/>
    <w:basedOn w:val="DefaultParagraphFont"/>
    <w:uiPriority w:val="99"/>
    <w:semiHidden/>
    <w:rsid w:val="00897BED"/>
    <w:rPr>
      <w:color w:val="808080"/>
    </w:rPr>
  </w:style>
  <w:style w:type="paragraph" w:styleId="FootnoteText">
    <w:name w:val="footnote text"/>
    <w:basedOn w:val="Normal"/>
    <w:link w:val="FootnoteTextChar"/>
    <w:uiPriority w:val="99"/>
    <w:semiHidden/>
    <w:unhideWhenUsed/>
    <w:rsid w:val="00BC3323"/>
  </w:style>
  <w:style w:type="character" w:customStyle="1" w:styleId="FootnoteTextChar">
    <w:name w:val="Footnote Text Char"/>
    <w:basedOn w:val="DefaultParagraphFont"/>
    <w:link w:val="FootnoteText"/>
    <w:uiPriority w:val="99"/>
    <w:semiHidden/>
    <w:rsid w:val="00BC33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3323"/>
    <w:rPr>
      <w:vertAlign w:val="superscript"/>
    </w:rPr>
  </w:style>
  <w:style w:type="character" w:customStyle="1" w:styleId="Heading3Char">
    <w:name w:val="Heading 3 Char"/>
    <w:basedOn w:val="DefaultParagraphFont"/>
    <w:link w:val="Heading3"/>
    <w:uiPriority w:val="9"/>
    <w:semiHidden/>
    <w:rsid w:val="0063403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4357">
      <w:bodyDiv w:val="1"/>
      <w:marLeft w:val="0"/>
      <w:marRight w:val="0"/>
      <w:marTop w:val="0"/>
      <w:marBottom w:val="0"/>
      <w:divBdr>
        <w:top w:val="none" w:sz="0" w:space="0" w:color="auto"/>
        <w:left w:val="none" w:sz="0" w:space="0" w:color="auto"/>
        <w:bottom w:val="none" w:sz="0" w:space="0" w:color="auto"/>
        <w:right w:val="none" w:sz="0" w:space="0" w:color="auto"/>
      </w:divBdr>
    </w:div>
    <w:div w:id="157113582">
      <w:bodyDiv w:val="1"/>
      <w:marLeft w:val="0"/>
      <w:marRight w:val="0"/>
      <w:marTop w:val="0"/>
      <w:marBottom w:val="0"/>
      <w:divBdr>
        <w:top w:val="none" w:sz="0" w:space="0" w:color="auto"/>
        <w:left w:val="none" w:sz="0" w:space="0" w:color="auto"/>
        <w:bottom w:val="none" w:sz="0" w:space="0" w:color="auto"/>
        <w:right w:val="none" w:sz="0" w:space="0" w:color="auto"/>
      </w:divBdr>
    </w:div>
    <w:div w:id="294337177">
      <w:bodyDiv w:val="1"/>
      <w:marLeft w:val="0"/>
      <w:marRight w:val="0"/>
      <w:marTop w:val="0"/>
      <w:marBottom w:val="0"/>
      <w:divBdr>
        <w:top w:val="none" w:sz="0" w:space="0" w:color="auto"/>
        <w:left w:val="none" w:sz="0" w:space="0" w:color="auto"/>
        <w:bottom w:val="none" w:sz="0" w:space="0" w:color="auto"/>
        <w:right w:val="none" w:sz="0" w:space="0" w:color="auto"/>
      </w:divBdr>
    </w:div>
    <w:div w:id="458961700">
      <w:bodyDiv w:val="1"/>
      <w:marLeft w:val="0"/>
      <w:marRight w:val="0"/>
      <w:marTop w:val="0"/>
      <w:marBottom w:val="0"/>
      <w:divBdr>
        <w:top w:val="none" w:sz="0" w:space="0" w:color="auto"/>
        <w:left w:val="none" w:sz="0" w:space="0" w:color="auto"/>
        <w:bottom w:val="none" w:sz="0" w:space="0" w:color="auto"/>
        <w:right w:val="none" w:sz="0" w:space="0" w:color="auto"/>
      </w:divBdr>
    </w:div>
    <w:div w:id="594368194">
      <w:bodyDiv w:val="1"/>
      <w:marLeft w:val="0"/>
      <w:marRight w:val="0"/>
      <w:marTop w:val="0"/>
      <w:marBottom w:val="0"/>
      <w:divBdr>
        <w:top w:val="none" w:sz="0" w:space="0" w:color="auto"/>
        <w:left w:val="none" w:sz="0" w:space="0" w:color="auto"/>
        <w:bottom w:val="none" w:sz="0" w:space="0" w:color="auto"/>
        <w:right w:val="none" w:sz="0" w:space="0" w:color="auto"/>
      </w:divBdr>
    </w:div>
    <w:div w:id="611672370">
      <w:bodyDiv w:val="1"/>
      <w:marLeft w:val="0"/>
      <w:marRight w:val="0"/>
      <w:marTop w:val="0"/>
      <w:marBottom w:val="0"/>
      <w:divBdr>
        <w:top w:val="none" w:sz="0" w:space="0" w:color="auto"/>
        <w:left w:val="none" w:sz="0" w:space="0" w:color="auto"/>
        <w:bottom w:val="none" w:sz="0" w:space="0" w:color="auto"/>
        <w:right w:val="none" w:sz="0" w:space="0" w:color="auto"/>
      </w:divBdr>
    </w:div>
    <w:div w:id="847645910">
      <w:bodyDiv w:val="1"/>
      <w:marLeft w:val="0"/>
      <w:marRight w:val="0"/>
      <w:marTop w:val="0"/>
      <w:marBottom w:val="0"/>
      <w:divBdr>
        <w:top w:val="none" w:sz="0" w:space="0" w:color="auto"/>
        <w:left w:val="none" w:sz="0" w:space="0" w:color="auto"/>
        <w:bottom w:val="none" w:sz="0" w:space="0" w:color="auto"/>
        <w:right w:val="none" w:sz="0" w:space="0" w:color="auto"/>
      </w:divBdr>
    </w:div>
    <w:div w:id="1008678610">
      <w:bodyDiv w:val="1"/>
      <w:marLeft w:val="0"/>
      <w:marRight w:val="0"/>
      <w:marTop w:val="0"/>
      <w:marBottom w:val="0"/>
      <w:divBdr>
        <w:top w:val="none" w:sz="0" w:space="0" w:color="auto"/>
        <w:left w:val="none" w:sz="0" w:space="0" w:color="auto"/>
        <w:bottom w:val="none" w:sz="0" w:space="0" w:color="auto"/>
        <w:right w:val="none" w:sz="0" w:space="0" w:color="auto"/>
      </w:divBdr>
    </w:div>
    <w:div w:id="1148664215">
      <w:bodyDiv w:val="1"/>
      <w:marLeft w:val="0"/>
      <w:marRight w:val="0"/>
      <w:marTop w:val="0"/>
      <w:marBottom w:val="0"/>
      <w:divBdr>
        <w:top w:val="none" w:sz="0" w:space="0" w:color="auto"/>
        <w:left w:val="none" w:sz="0" w:space="0" w:color="auto"/>
        <w:bottom w:val="none" w:sz="0" w:space="0" w:color="auto"/>
        <w:right w:val="none" w:sz="0" w:space="0" w:color="auto"/>
      </w:divBdr>
    </w:div>
    <w:div w:id="1245336443">
      <w:bodyDiv w:val="1"/>
      <w:marLeft w:val="0"/>
      <w:marRight w:val="0"/>
      <w:marTop w:val="0"/>
      <w:marBottom w:val="0"/>
      <w:divBdr>
        <w:top w:val="none" w:sz="0" w:space="0" w:color="auto"/>
        <w:left w:val="none" w:sz="0" w:space="0" w:color="auto"/>
        <w:bottom w:val="none" w:sz="0" w:space="0" w:color="auto"/>
        <w:right w:val="none" w:sz="0" w:space="0" w:color="auto"/>
      </w:divBdr>
    </w:div>
    <w:div w:id="1259823861">
      <w:bodyDiv w:val="1"/>
      <w:marLeft w:val="0"/>
      <w:marRight w:val="0"/>
      <w:marTop w:val="0"/>
      <w:marBottom w:val="0"/>
      <w:divBdr>
        <w:top w:val="none" w:sz="0" w:space="0" w:color="auto"/>
        <w:left w:val="none" w:sz="0" w:space="0" w:color="auto"/>
        <w:bottom w:val="none" w:sz="0" w:space="0" w:color="auto"/>
        <w:right w:val="none" w:sz="0" w:space="0" w:color="auto"/>
      </w:divBdr>
    </w:div>
    <w:div w:id="1270695029">
      <w:bodyDiv w:val="1"/>
      <w:marLeft w:val="0"/>
      <w:marRight w:val="0"/>
      <w:marTop w:val="0"/>
      <w:marBottom w:val="0"/>
      <w:divBdr>
        <w:top w:val="none" w:sz="0" w:space="0" w:color="auto"/>
        <w:left w:val="none" w:sz="0" w:space="0" w:color="auto"/>
        <w:bottom w:val="none" w:sz="0" w:space="0" w:color="auto"/>
        <w:right w:val="none" w:sz="0" w:space="0" w:color="auto"/>
      </w:divBdr>
    </w:div>
    <w:div w:id="1436830852">
      <w:bodyDiv w:val="1"/>
      <w:marLeft w:val="0"/>
      <w:marRight w:val="0"/>
      <w:marTop w:val="0"/>
      <w:marBottom w:val="0"/>
      <w:divBdr>
        <w:top w:val="none" w:sz="0" w:space="0" w:color="auto"/>
        <w:left w:val="none" w:sz="0" w:space="0" w:color="auto"/>
        <w:bottom w:val="none" w:sz="0" w:space="0" w:color="auto"/>
        <w:right w:val="none" w:sz="0" w:space="0" w:color="auto"/>
      </w:divBdr>
    </w:div>
    <w:div w:id="1690450113">
      <w:bodyDiv w:val="1"/>
      <w:marLeft w:val="0"/>
      <w:marRight w:val="0"/>
      <w:marTop w:val="0"/>
      <w:marBottom w:val="0"/>
      <w:divBdr>
        <w:top w:val="none" w:sz="0" w:space="0" w:color="auto"/>
        <w:left w:val="none" w:sz="0" w:space="0" w:color="auto"/>
        <w:bottom w:val="none" w:sz="0" w:space="0" w:color="auto"/>
        <w:right w:val="none" w:sz="0" w:space="0" w:color="auto"/>
      </w:divBdr>
    </w:div>
    <w:div w:id="1694069005">
      <w:bodyDiv w:val="1"/>
      <w:marLeft w:val="0"/>
      <w:marRight w:val="0"/>
      <w:marTop w:val="0"/>
      <w:marBottom w:val="0"/>
      <w:divBdr>
        <w:top w:val="none" w:sz="0" w:space="0" w:color="auto"/>
        <w:left w:val="none" w:sz="0" w:space="0" w:color="auto"/>
        <w:bottom w:val="none" w:sz="0" w:space="0" w:color="auto"/>
        <w:right w:val="none" w:sz="0" w:space="0" w:color="auto"/>
      </w:divBdr>
    </w:div>
    <w:div w:id="1820344859">
      <w:bodyDiv w:val="1"/>
      <w:marLeft w:val="0"/>
      <w:marRight w:val="0"/>
      <w:marTop w:val="0"/>
      <w:marBottom w:val="0"/>
      <w:divBdr>
        <w:top w:val="none" w:sz="0" w:space="0" w:color="auto"/>
        <w:left w:val="none" w:sz="0" w:space="0" w:color="auto"/>
        <w:bottom w:val="none" w:sz="0" w:space="0" w:color="auto"/>
        <w:right w:val="none" w:sz="0" w:space="0" w:color="auto"/>
      </w:divBdr>
    </w:div>
    <w:div w:id="19978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smr/research-papers/2019/st190010.htm" TargetMode="External"/><Relationship Id="rId13" Type="http://schemas.openxmlformats.org/officeDocument/2006/relationships/hyperlink" Target="https://www.reginfo.gov/public/do/PRAViewIC?ref_nbr=201708-1220-004&amp;icID=2318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nfo.gov/public/do/PRAViewIC?ref_nbr=201608-1220-001&amp;icID=22595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nfo.gov/public/do/PRAViewIC?ref_nbr=201706-1220-008&amp;icID=22506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ginfo.gov/public/do/PRAViewIC?ref_nbr=201708-1220-004&amp;icID=231851" TargetMode="External"/><Relationship Id="rId4" Type="http://schemas.openxmlformats.org/officeDocument/2006/relationships/settings" Target="settings.xml"/><Relationship Id="rId9" Type="http://schemas.openxmlformats.org/officeDocument/2006/relationships/hyperlink" Target="https://www.reginfo.gov/public/do/PRAViewIC?ref_nbr=201608-1220-001&amp;icID=225959" TargetMode="External"/><Relationship Id="rId14" Type="http://schemas.openxmlformats.org/officeDocument/2006/relationships/hyperlink" Target="https://www.europeansurveyresearch.org/conferences/programme?sess=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A4943E8-EAE4-4E2B-B307-7D36FA965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14</Pages>
  <Words>4899</Words>
  <Characters>27926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Kaplan, Robin - BLS</cp:lastModifiedBy>
  <cp:revision>88</cp:revision>
  <cp:lastPrinted>2016-05-26T12:08:00Z</cp:lastPrinted>
  <dcterms:created xsi:type="dcterms:W3CDTF">2020-07-09T14:51:00Z</dcterms:created>
  <dcterms:modified xsi:type="dcterms:W3CDTF">2020-07-15T20:10:00Z</dcterms:modified>
</cp:coreProperties>
</file>