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FF" w:rsidRDefault="00F72AFF">
      <w:pPr>
        <w:pStyle w:val="Default"/>
        <w:jc w:val="center"/>
        <w:rPr>
          <w:sz w:val="23"/>
          <w:szCs w:val="23"/>
        </w:rPr>
      </w:pPr>
      <w:bookmarkStart w:id="0" w:name="_GoBack"/>
      <w:bookmarkEnd w:id="0"/>
      <w:r>
        <w:rPr>
          <w:b/>
          <w:bCs/>
          <w:sz w:val="23"/>
          <w:szCs w:val="23"/>
        </w:rPr>
        <w:t xml:space="preserve">SUPPORTING STATEMENT FOR THE </w:t>
      </w:r>
    </w:p>
    <w:p w:rsidR="00F72AFF" w:rsidRDefault="00F72AFF">
      <w:pPr>
        <w:pStyle w:val="Default"/>
        <w:jc w:val="center"/>
        <w:rPr>
          <w:sz w:val="23"/>
          <w:szCs w:val="23"/>
        </w:rPr>
      </w:pPr>
      <w:r>
        <w:rPr>
          <w:b/>
          <w:bCs/>
          <w:sz w:val="23"/>
          <w:szCs w:val="23"/>
        </w:rPr>
        <w:t xml:space="preserve">INFORMATION COLLECTION REQUIREMENTS OF THE </w:t>
      </w:r>
    </w:p>
    <w:p w:rsidR="00F72AFF" w:rsidRDefault="00F72AFF">
      <w:pPr>
        <w:pStyle w:val="Default"/>
        <w:jc w:val="center"/>
        <w:rPr>
          <w:sz w:val="23"/>
          <w:szCs w:val="23"/>
        </w:rPr>
      </w:pPr>
      <w:r>
        <w:rPr>
          <w:b/>
          <w:bCs/>
          <w:sz w:val="23"/>
          <w:szCs w:val="23"/>
        </w:rPr>
        <w:t xml:space="preserve">GRANTEE QUARTERLY PROGRESS REPORT </w:t>
      </w:r>
    </w:p>
    <w:p w:rsidR="00F434A0" w:rsidRDefault="00F434A0">
      <w:pPr>
        <w:pStyle w:val="Default"/>
        <w:jc w:val="center"/>
        <w:rPr>
          <w:b/>
          <w:bCs/>
          <w:sz w:val="23"/>
          <w:szCs w:val="23"/>
        </w:rPr>
      </w:pPr>
      <w:r>
        <w:rPr>
          <w:b/>
          <w:bCs/>
          <w:sz w:val="23"/>
          <w:szCs w:val="23"/>
        </w:rPr>
        <w:t xml:space="preserve"> OFFICE OF MANAGEMENT AND BUDGET</w:t>
      </w:r>
    </w:p>
    <w:p w:rsidR="005C5BCC" w:rsidRDefault="00F434A0">
      <w:pPr>
        <w:pStyle w:val="Default"/>
        <w:jc w:val="center"/>
        <w:rPr>
          <w:b/>
          <w:bCs/>
          <w:sz w:val="23"/>
          <w:szCs w:val="23"/>
        </w:rPr>
      </w:pPr>
      <w:r>
        <w:rPr>
          <w:b/>
          <w:bCs/>
          <w:sz w:val="23"/>
          <w:szCs w:val="23"/>
        </w:rPr>
        <w:t>(</w:t>
      </w:r>
      <w:r w:rsidR="00F72AFF">
        <w:rPr>
          <w:b/>
          <w:bCs/>
          <w:sz w:val="23"/>
          <w:szCs w:val="23"/>
        </w:rPr>
        <w:t>OMB</w:t>
      </w:r>
      <w:r>
        <w:rPr>
          <w:b/>
          <w:bCs/>
          <w:sz w:val="23"/>
          <w:szCs w:val="23"/>
        </w:rPr>
        <w:t>)</w:t>
      </w:r>
      <w:r w:rsidR="00F72AFF">
        <w:rPr>
          <w:b/>
          <w:bCs/>
          <w:sz w:val="23"/>
          <w:szCs w:val="23"/>
        </w:rPr>
        <w:t xml:space="preserve"> CONTROL N</w:t>
      </w:r>
      <w:r>
        <w:rPr>
          <w:b/>
          <w:bCs/>
          <w:sz w:val="23"/>
          <w:szCs w:val="23"/>
        </w:rPr>
        <w:t>O.</w:t>
      </w:r>
      <w:r w:rsidR="00F72AFF">
        <w:rPr>
          <w:b/>
          <w:bCs/>
          <w:sz w:val="23"/>
          <w:szCs w:val="23"/>
        </w:rPr>
        <w:t xml:space="preserve"> </w:t>
      </w:r>
      <w:r w:rsidR="00F72AFF" w:rsidRPr="00FB4797">
        <w:rPr>
          <w:b/>
          <w:bCs/>
          <w:sz w:val="23"/>
          <w:szCs w:val="23"/>
        </w:rPr>
        <w:t>1218-0100</w:t>
      </w:r>
      <w:r w:rsidR="00F72AFF">
        <w:rPr>
          <w:b/>
          <w:bCs/>
          <w:sz w:val="23"/>
          <w:szCs w:val="23"/>
        </w:rPr>
        <w:t xml:space="preserve"> </w:t>
      </w:r>
    </w:p>
    <w:p w:rsidR="00F72AFF" w:rsidRDefault="0065210A">
      <w:pPr>
        <w:pStyle w:val="Default"/>
        <w:jc w:val="center"/>
        <w:rPr>
          <w:sz w:val="23"/>
          <w:szCs w:val="23"/>
        </w:rPr>
      </w:pPr>
      <w:r>
        <w:rPr>
          <w:b/>
          <w:bCs/>
          <w:sz w:val="23"/>
          <w:szCs w:val="23"/>
        </w:rPr>
        <w:t xml:space="preserve">(August </w:t>
      </w:r>
      <w:r w:rsidR="008F023E" w:rsidRPr="00702E27">
        <w:rPr>
          <w:b/>
          <w:bCs/>
          <w:sz w:val="23"/>
          <w:szCs w:val="23"/>
        </w:rPr>
        <w:t>2017</w:t>
      </w:r>
      <w:r w:rsidR="00F72AFF" w:rsidRPr="00702E27">
        <w:rPr>
          <w:b/>
          <w:bCs/>
          <w:sz w:val="23"/>
          <w:szCs w:val="23"/>
        </w:rPr>
        <w:t>)</w:t>
      </w:r>
      <w:r w:rsidR="00F72AFF">
        <w:rPr>
          <w:sz w:val="23"/>
          <w:szCs w:val="23"/>
        </w:rPr>
        <w:t xml:space="preserve"> </w:t>
      </w:r>
    </w:p>
    <w:p w:rsidR="00F72AFF" w:rsidRDefault="00F72AFF">
      <w:pPr>
        <w:pStyle w:val="Default"/>
        <w:rPr>
          <w:sz w:val="23"/>
          <w:szCs w:val="23"/>
        </w:rPr>
      </w:pPr>
      <w:r>
        <w:rPr>
          <w:sz w:val="23"/>
          <w:szCs w:val="23"/>
        </w:rPr>
        <w:t xml:space="preserve">  </w:t>
      </w:r>
    </w:p>
    <w:p w:rsidR="00523CE9" w:rsidRDefault="00523CE9">
      <w:pPr>
        <w:pStyle w:val="Default"/>
        <w:rPr>
          <w:b/>
          <w:bCs/>
          <w:sz w:val="23"/>
          <w:szCs w:val="23"/>
        </w:rPr>
      </w:pPr>
    </w:p>
    <w:p w:rsidR="00F72AFF" w:rsidRDefault="00F72AFF" w:rsidP="00EC501A">
      <w:pPr>
        <w:pStyle w:val="Default"/>
        <w:numPr>
          <w:ilvl w:val="0"/>
          <w:numId w:val="4"/>
        </w:numPr>
        <w:rPr>
          <w:sz w:val="23"/>
          <w:szCs w:val="23"/>
        </w:rPr>
      </w:pPr>
      <w:r>
        <w:rPr>
          <w:b/>
          <w:bCs/>
          <w:sz w:val="23"/>
          <w:szCs w:val="23"/>
        </w:rPr>
        <w:t>JUSTIFICATION</w:t>
      </w:r>
      <w:r>
        <w:rPr>
          <w:sz w:val="23"/>
          <w:szCs w:val="23"/>
        </w:rPr>
        <w:t xml:space="preserve"> </w:t>
      </w:r>
    </w:p>
    <w:p w:rsidR="00F72AFF" w:rsidRDefault="00F72AFF">
      <w:pPr>
        <w:pStyle w:val="Default"/>
        <w:rPr>
          <w:sz w:val="23"/>
          <w:szCs w:val="23"/>
        </w:rPr>
      </w:pPr>
      <w:r>
        <w:rPr>
          <w:b/>
          <w:bCs/>
          <w:sz w:val="23"/>
          <w:szCs w:val="23"/>
        </w:rPr>
        <w:t xml:space="preserve"> </w:t>
      </w:r>
    </w:p>
    <w:p w:rsidR="00F72AFF" w:rsidRDefault="00F72AFF">
      <w:pPr>
        <w:pStyle w:val="Default"/>
        <w:rPr>
          <w:sz w:val="23"/>
          <w:szCs w:val="23"/>
        </w:rPr>
      </w:pPr>
      <w:r>
        <w:rPr>
          <w:sz w:val="23"/>
          <w:szCs w:val="23"/>
        </w:rPr>
        <w:t xml:space="preserve"> </w:t>
      </w:r>
    </w:p>
    <w:p w:rsidR="00F72AFF" w:rsidRDefault="00F72AFF">
      <w:pPr>
        <w:pStyle w:val="Default"/>
        <w:ind w:left="260" w:hanging="260"/>
        <w:rPr>
          <w:sz w:val="23"/>
          <w:szCs w:val="23"/>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3"/>
          <w:szCs w:val="23"/>
        </w:rPr>
        <w:t xml:space="preserve"> </w:t>
      </w:r>
    </w:p>
    <w:p w:rsidR="00F72AFF" w:rsidRDefault="00F72AFF">
      <w:pPr>
        <w:pStyle w:val="Default"/>
        <w:rPr>
          <w:sz w:val="23"/>
          <w:szCs w:val="23"/>
        </w:rPr>
      </w:pPr>
      <w:r>
        <w:rPr>
          <w:sz w:val="23"/>
          <w:szCs w:val="23"/>
        </w:rPr>
        <w:t xml:space="preserve"> </w:t>
      </w:r>
    </w:p>
    <w:p w:rsidR="00F72AFF" w:rsidRPr="00523CE9" w:rsidRDefault="00F72AFF">
      <w:pPr>
        <w:pStyle w:val="Default"/>
      </w:pPr>
      <w:r w:rsidRPr="00523CE9">
        <w:t xml:space="preserve">Section 21 of the Occupational Safety and Health Act of 1970 (the “OSH Act”) (29 U.S.C. 670) authorizes the Occupational Safety and Health Administration (OSHA) to conduct directly, or through grants and contracts, education and training courses.  These courses must ensure an adequate number of qualified personnel to fulfill the purposes of the Act, provide them with short-term training, inform them of the importance and proper use of safety and health equipment, and train employers and </w:t>
      </w:r>
      <w:r w:rsidR="00455804" w:rsidRPr="00523CE9">
        <w:t xml:space="preserve">workers </w:t>
      </w:r>
      <w:r w:rsidRPr="00523CE9">
        <w:t xml:space="preserve">to recognize, avoid, and prevent unsafe and unhealthful working conditions. </w:t>
      </w:r>
    </w:p>
    <w:p w:rsidR="00F72AFF" w:rsidRPr="00523CE9" w:rsidRDefault="00F72AFF">
      <w:pPr>
        <w:pStyle w:val="Default"/>
      </w:pPr>
      <w:r w:rsidRPr="00523CE9">
        <w:t xml:space="preserve"> </w:t>
      </w:r>
    </w:p>
    <w:p w:rsidR="00F72AFF" w:rsidRPr="00523CE9" w:rsidRDefault="00F72AFF">
      <w:pPr>
        <w:pStyle w:val="Default"/>
      </w:pPr>
      <w:r w:rsidRPr="00523CE9">
        <w:t>Under Section 21, the Agency awards training grants to nonprofit organizations to provide part of the required training.  Organizations that receive these grants must submit the Grantee Quarterly Progress Report (GQPR; OSHA 171</w:t>
      </w:r>
      <w:r w:rsidR="000C4873">
        <w:t>,</w:t>
      </w:r>
      <w:r w:rsidR="00187F00">
        <w:t xml:space="preserve"> Revised 5</w:t>
      </w:r>
      <w:r w:rsidRPr="00523CE9">
        <w:t>/</w:t>
      </w:r>
      <w:r w:rsidR="00187F00">
        <w:t>14</w:t>
      </w:r>
      <w:r w:rsidRPr="00523CE9">
        <w:t xml:space="preserve">) as required by the Department of Labor under 29 CFR 95.51.  This regulation states that grant recipients (grantees) must submit progress reports to the awarding agency at least annually, but no more than quarterly.  The reports must contain a comparison of actual accomplishments with goals and objectives established for the reporting period and, if appropriate, the output of the program.  Therefore, the GQPR allows OSHA to monitor a grantee’s performance and to determine if a recipient is using funds as specified in its grant application. </w:t>
      </w:r>
    </w:p>
    <w:p w:rsidR="00F72AFF" w:rsidRPr="00523CE9" w:rsidRDefault="00F72AFF">
      <w:pPr>
        <w:pStyle w:val="Default"/>
      </w:pPr>
      <w:r w:rsidRPr="00523CE9">
        <w:t xml:space="preserve"> </w:t>
      </w:r>
    </w:p>
    <w:p w:rsidR="00F72AFF" w:rsidRDefault="00F72AFF">
      <w:pPr>
        <w:pStyle w:val="Default"/>
        <w:ind w:left="360" w:hanging="360"/>
        <w:rPr>
          <w:sz w:val="20"/>
          <w:szCs w:val="20"/>
        </w:rPr>
      </w:pPr>
      <w:r>
        <w:rPr>
          <w:rFonts w:ascii="Arial" w:hAnsi="Arial" w:cs="Arial"/>
          <w:b/>
          <w:bCs/>
          <w:sz w:val="20"/>
          <w:szCs w:val="20"/>
        </w:rPr>
        <w:t xml:space="preserve"> </w:t>
      </w:r>
      <w:r>
        <w:rPr>
          <w:b/>
          <w:bCs/>
          <w:sz w:val="20"/>
          <w:szCs w:val="20"/>
        </w:rPr>
        <w:t xml:space="preserve">2.  Indicate how, by whom, and for what purpose the information is to be used.  Except for a new collection, indicate the actual use the Agency has made of the information received from the current collection. </w:t>
      </w:r>
    </w:p>
    <w:p w:rsidR="00F72AFF" w:rsidRDefault="00F72AFF">
      <w:pPr>
        <w:pStyle w:val="Default"/>
        <w:rPr>
          <w:sz w:val="23"/>
          <w:szCs w:val="23"/>
        </w:rPr>
      </w:pPr>
      <w:r>
        <w:rPr>
          <w:sz w:val="23"/>
          <w:szCs w:val="23"/>
        </w:rPr>
        <w:t xml:space="preserve"> </w:t>
      </w:r>
    </w:p>
    <w:p w:rsidR="00F72AFF" w:rsidRPr="007331B3" w:rsidRDefault="00F72AFF" w:rsidP="005C5BCC">
      <w:pPr>
        <w:pStyle w:val="Default"/>
      </w:pPr>
      <w:r w:rsidRPr="007331B3">
        <w:t xml:space="preserve">After </w:t>
      </w:r>
      <w:r w:rsidR="00F96A8F">
        <w:t>the grant recipient</w:t>
      </w:r>
      <w:r w:rsidR="008F023E">
        <w:t xml:space="preserve"> submits</w:t>
      </w:r>
      <w:r w:rsidRPr="007331B3">
        <w:t xml:space="preserve"> a GQPR, the Agency compares the information provided</w:t>
      </w:r>
      <w:r w:rsidR="00EE0DC4">
        <w:t xml:space="preserve"> by the grant recipient</w:t>
      </w:r>
      <w:r w:rsidRPr="007331B3">
        <w:t xml:space="preserve"> in the report to the quarterly milestones proposed by the grant recipient in the work plan and budget that accompanied its grant application.  This information includes:  </w:t>
      </w:r>
      <w:r w:rsidR="00860249">
        <w:t>i</w:t>
      </w:r>
      <w:r w:rsidRPr="007331B3">
        <w:t>dentif</w:t>
      </w:r>
      <w:r w:rsidR="007E2502">
        <w:t xml:space="preserve">ier data (organization name, </w:t>
      </w:r>
      <w:r w:rsidRPr="007331B3">
        <w:t>grant number</w:t>
      </w:r>
      <w:r w:rsidR="007E2502">
        <w:t>, and period covered by the report</w:t>
      </w:r>
      <w:r w:rsidRPr="007331B3">
        <w:t xml:space="preserve">); the date and location where the training occurred; the number of </w:t>
      </w:r>
      <w:r w:rsidR="00455804" w:rsidRPr="007331B3">
        <w:t>workers</w:t>
      </w:r>
      <w:r w:rsidRPr="007331B3">
        <w:t xml:space="preserve"> and employers attending training sessions provided by the organization during the quarter;</w:t>
      </w:r>
      <w:r w:rsidR="007E2502">
        <w:t xml:space="preserve"> the class length (in quarter hours);</w:t>
      </w:r>
      <w:r w:rsidRPr="007331B3">
        <w:t xml:space="preserve"> a description of the training provided; a narrative account of grant activities during the quarter</w:t>
      </w:r>
      <w:r w:rsidR="007E2502">
        <w:t xml:space="preserve"> (including capacity building activities, needs assessment activities, development of training materials/curriculum, evaluation activities, and other educational activities)</w:t>
      </w:r>
      <w:r w:rsidRPr="007331B3">
        <w:t xml:space="preserve">; and an evaluation of progress regarding planned versus actual work accomplished.  Using this information, OSHA can determine if the grant recipient is </w:t>
      </w:r>
      <w:r w:rsidR="005C5BCC" w:rsidRPr="007331B3">
        <w:t>m</w:t>
      </w:r>
      <w:r w:rsidRPr="007331B3">
        <w:t>eeting the proposed program goals and objectives</w:t>
      </w:r>
      <w:r w:rsidR="00722785">
        <w:t>,</w:t>
      </w:r>
      <w:r w:rsidRPr="007331B3">
        <w:t xml:space="preserve"> as described in the grant proposal, and </w:t>
      </w:r>
      <w:r w:rsidR="00722785">
        <w:t>is</w:t>
      </w:r>
      <w:r w:rsidRPr="007331B3">
        <w:t xml:space="preserve"> spending funds consistent with the proposed budget. </w:t>
      </w:r>
    </w:p>
    <w:p w:rsidR="00F72AFF" w:rsidRPr="007331B3" w:rsidRDefault="00F72AFF">
      <w:pPr>
        <w:pStyle w:val="Default"/>
      </w:pPr>
      <w:r w:rsidRPr="007331B3">
        <w:t xml:space="preserve"> </w:t>
      </w:r>
    </w:p>
    <w:p w:rsidR="00F72AFF" w:rsidRPr="007331B3" w:rsidRDefault="00F72AFF">
      <w:pPr>
        <w:pStyle w:val="Default"/>
        <w:rPr>
          <w:color w:val="auto"/>
        </w:rPr>
      </w:pPr>
      <w:r w:rsidRPr="007331B3">
        <w:rPr>
          <w:color w:val="auto"/>
        </w:rPr>
        <w:lastRenderedPageBreak/>
        <w:t xml:space="preserve">Requiring these reports on a quarterly basis enables the Agency to identify training and expenditure discrepancies in a timely fashion so that it can implement appropriate action.  In </w:t>
      </w:r>
      <w:r w:rsidR="00DC3830">
        <w:rPr>
          <w:color w:val="auto"/>
        </w:rPr>
        <w:br/>
      </w:r>
      <w:r w:rsidRPr="007331B3">
        <w:rPr>
          <w:color w:val="auto"/>
        </w:rPr>
        <w:t xml:space="preserve">addition, this information permits OSHA to assess a grant recipient’s ability to meet projected milestones and expenditures.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Grant recipients</w:t>
      </w:r>
      <w:r w:rsidR="00722785">
        <w:rPr>
          <w:color w:val="auto"/>
        </w:rPr>
        <w:t xml:space="preserve"> are provided access to an electronic copy of the </w:t>
      </w:r>
      <w:r w:rsidR="004D7F0E">
        <w:rPr>
          <w:color w:val="auto"/>
        </w:rPr>
        <w:t>GQPR via the OSHA Regional Office and may</w:t>
      </w:r>
      <w:r w:rsidRPr="007331B3">
        <w:rPr>
          <w:color w:val="auto"/>
        </w:rPr>
        <w:t xml:space="preserve"> compile the required information using personal computers.  </w:t>
      </w:r>
      <w:r w:rsidR="00302995">
        <w:rPr>
          <w:color w:val="auto"/>
        </w:rPr>
        <w:t>Grant recipients may send</w:t>
      </w:r>
      <w:r w:rsidRPr="007331B3">
        <w:rPr>
          <w:color w:val="auto"/>
        </w:rPr>
        <w:t xml:space="preserve"> the GQPR to OSHA (us</w:t>
      </w:r>
      <w:r w:rsidR="00302995">
        <w:rPr>
          <w:color w:val="auto"/>
        </w:rPr>
        <w:t xml:space="preserve">ually an OSHA Regional Office) </w:t>
      </w:r>
      <w:r w:rsidRPr="007331B3">
        <w:rPr>
          <w:color w:val="auto"/>
        </w:rPr>
        <w:t xml:space="preserve">via e-mail or facsimile.  </w:t>
      </w:r>
      <w:r w:rsidR="004D7F0E">
        <w:rPr>
          <w:color w:val="auto"/>
        </w:rPr>
        <w:t>The use of electronic format reduces the burden of double entry and errors in data transfer.  In addition, it aids OSHA in meeting their reporting requirements as required by the Department of Labor under 29 CFR 95.51.</w:t>
      </w:r>
      <w:r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b/>
          <w:bCs/>
          <w:color w:val="auto"/>
          <w:sz w:val="20"/>
          <w:szCs w:val="20"/>
        </w:rPr>
        <w:t xml:space="preserve">4.  Describe efforts to identify duplication.  Show specifically why any similar information already available cannot be used or modified for use for the purposes described in Item 2 above.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The paperwork requirements of the GQPR are specific to each grant recipient, and no other source or agency duplicates these requirements or can make the required information available to OSHA (i.e., the required information is available only from the grant recipient).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3"/>
          <w:szCs w:val="23"/>
        </w:rPr>
      </w:pPr>
      <w:r>
        <w:rPr>
          <w:b/>
          <w:bCs/>
          <w:color w:val="auto"/>
          <w:sz w:val="20"/>
          <w:szCs w:val="20"/>
        </w:rPr>
        <w:t>5.  If the collection of information impacts small businesses or other small entities, describe any methods used to minimize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rPr>
      </w:pPr>
      <w:r w:rsidRPr="007331B3">
        <w:rPr>
          <w:color w:val="auto"/>
        </w:rPr>
        <w:t>The GQPR obtains only the minimum information necessary</w:t>
      </w:r>
      <w:r w:rsidR="00983A04">
        <w:rPr>
          <w:color w:val="auto"/>
        </w:rPr>
        <w:t xml:space="preserve"> from the grant recipient</w:t>
      </w:r>
      <w:r w:rsidRPr="007331B3">
        <w:rPr>
          <w:color w:val="auto"/>
        </w:rPr>
        <w:t xml:space="preserve"> for OSHA to monitor program goals and objectives, as well as grant expenditures, in a timely manner as required by Department of Labor regulation 29 CFR 95.51</w:t>
      </w:r>
      <w:r w:rsidR="004A6A65">
        <w:rPr>
          <w:color w:val="auto"/>
        </w:rPr>
        <w:t>.</w:t>
      </w:r>
      <w:r w:rsidRPr="007331B3">
        <w:rPr>
          <w:color w:val="auto"/>
        </w:rPr>
        <w:t xml:space="preserve">  OSHA</w:t>
      </w:r>
      <w:r w:rsidR="00983A04">
        <w:rPr>
          <w:color w:val="auto"/>
        </w:rPr>
        <w:t xml:space="preserve"> grants are issued to approximately </w:t>
      </w:r>
      <w:r w:rsidR="00F96A8F">
        <w:rPr>
          <w:color w:val="auto"/>
        </w:rPr>
        <w:t xml:space="preserve">80 </w:t>
      </w:r>
      <w:r w:rsidR="00983A04">
        <w:rPr>
          <w:color w:val="auto"/>
        </w:rPr>
        <w:t xml:space="preserve">non-profit organizations annually.  Grant recipients are both </w:t>
      </w:r>
      <w:r w:rsidRPr="007331B3">
        <w:rPr>
          <w:color w:val="auto"/>
        </w:rPr>
        <w:t>large and small</w:t>
      </w:r>
      <w:r w:rsidR="00983A04">
        <w:rPr>
          <w:color w:val="auto"/>
        </w:rPr>
        <w:t xml:space="preserve"> entities</w:t>
      </w:r>
      <w:r w:rsidRPr="007331B3">
        <w:rPr>
          <w:color w:val="auto"/>
        </w:rPr>
        <w:t xml:space="preserve">. </w:t>
      </w:r>
      <w:r w:rsidR="00F96A8F">
        <w:rPr>
          <w:color w:val="auto"/>
        </w:rPr>
        <w:t xml:space="preserve"> </w:t>
      </w:r>
      <w:r w:rsidR="00983A04">
        <w:rPr>
          <w:color w:val="auto"/>
        </w:rPr>
        <w:t xml:space="preserve">Information collected only impacts the grant recipients.  </w:t>
      </w:r>
    </w:p>
    <w:p w:rsidR="00983A04" w:rsidRDefault="00983A04">
      <w:pPr>
        <w:pStyle w:val="Default"/>
        <w:rPr>
          <w:color w:val="auto"/>
          <w:sz w:val="23"/>
          <w:szCs w:val="23"/>
        </w:rPr>
      </w:pPr>
    </w:p>
    <w:p w:rsidR="00F72AFF" w:rsidRDefault="00F72AFF">
      <w:pPr>
        <w:pStyle w:val="Default"/>
        <w:ind w:left="260" w:hanging="260"/>
        <w:rPr>
          <w:color w:val="auto"/>
          <w:sz w:val="23"/>
          <w:szCs w:val="23"/>
        </w:rPr>
      </w:pPr>
      <w:r>
        <w:rPr>
          <w:b/>
          <w:bCs/>
          <w:color w:val="auto"/>
          <w:sz w:val="20"/>
          <w:szCs w:val="20"/>
        </w:rPr>
        <w:t xml:space="preserve">6.  Describe the consequence to </w:t>
      </w:r>
      <w:r w:rsidR="004F4261">
        <w:rPr>
          <w:b/>
          <w:bCs/>
          <w:color w:val="auto"/>
          <w:sz w:val="20"/>
          <w:szCs w:val="20"/>
        </w:rPr>
        <w:t>f</w:t>
      </w:r>
      <w:r>
        <w:rPr>
          <w:b/>
          <w:bCs/>
          <w:color w:val="auto"/>
          <w:sz w:val="20"/>
          <w:szCs w:val="20"/>
        </w:rPr>
        <w:t>ederal program or policy activities if the collection is not conducted or is conducted less frequently, as well as any technical or legal obstacles to reducing burden.</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If OSHA could not collect the information provided on the GQPR, or </w:t>
      </w:r>
      <w:r w:rsidR="00983A04">
        <w:rPr>
          <w:color w:val="auto"/>
        </w:rPr>
        <w:t>if it was obtained</w:t>
      </w:r>
      <w:r w:rsidRPr="007331B3">
        <w:rPr>
          <w:color w:val="auto"/>
        </w:rPr>
        <w:t xml:space="preserve"> less frequently (</w:t>
      </w:r>
      <w:r w:rsidR="00983A04">
        <w:rPr>
          <w:color w:val="auto"/>
        </w:rPr>
        <w:t xml:space="preserve">greater </w:t>
      </w:r>
      <w:r w:rsidRPr="007331B3">
        <w:rPr>
          <w:color w:val="auto"/>
        </w:rPr>
        <w:t>than quarterly), it could not intervene in a timely manner if the grant recipient fails t</w:t>
      </w:r>
      <w:r w:rsidR="00983A04">
        <w:rPr>
          <w:color w:val="auto"/>
        </w:rPr>
        <w:t xml:space="preserve">o meet program goals or </w:t>
      </w:r>
      <w:r w:rsidRPr="007331B3">
        <w:rPr>
          <w:color w:val="auto"/>
        </w:rPr>
        <w:t>spend</w:t>
      </w:r>
      <w:r w:rsidR="00983A04">
        <w:rPr>
          <w:color w:val="auto"/>
        </w:rPr>
        <w:t>s</w:t>
      </w:r>
      <w:r w:rsidRPr="007331B3">
        <w:rPr>
          <w:color w:val="auto"/>
        </w:rPr>
        <w:t xml:space="preserve"> funds </w:t>
      </w:r>
      <w:r w:rsidR="00983A04">
        <w:rPr>
          <w:color w:val="auto"/>
        </w:rPr>
        <w:t>inappropriately</w:t>
      </w:r>
      <w:r w:rsidRPr="007331B3">
        <w:rPr>
          <w:color w:val="auto"/>
        </w:rPr>
        <w:t xml:space="preserve">.  </w:t>
      </w:r>
    </w:p>
    <w:p w:rsidR="00F72AFF" w:rsidRDefault="00F72AFF">
      <w:pPr>
        <w:pStyle w:val="Default"/>
        <w:rPr>
          <w:color w:val="auto"/>
          <w:sz w:val="23"/>
          <w:szCs w:val="23"/>
        </w:rPr>
      </w:pPr>
      <w:r>
        <w:rPr>
          <w:color w:val="auto"/>
          <w:sz w:val="23"/>
          <w:szCs w:val="23"/>
        </w:rPr>
        <w:t xml:space="preserve"> </w:t>
      </w:r>
    </w:p>
    <w:p w:rsidR="00F72AFF" w:rsidRDefault="00F72AFF" w:rsidP="00512549">
      <w:pPr>
        <w:pStyle w:val="Default"/>
        <w:ind w:left="360" w:hanging="360"/>
        <w:rPr>
          <w:color w:val="auto"/>
          <w:sz w:val="20"/>
          <w:szCs w:val="20"/>
        </w:rPr>
      </w:pPr>
      <w:r>
        <w:rPr>
          <w:b/>
          <w:bCs/>
          <w:color w:val="auto"/>
          <w:sz w:val="20"/>
          <w:szCs w:val="20"/>
        </w:rPr>
        <w:t xml:space="preserve">7.  Explain any special circumstances that would cause an information collection to be conducted in a manner: </w:t>
      </w:r>
    </w:p>
    <w:p w:rsidR="00F72AFF" w:rsidRDefault="00F72AFF">
      <w:pPr>
        <w:pStyle w:val="Default"/>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report information to the Agency more often than quarterly;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prepare a written response to a collection of information in fewer than </w:t>
      </w:r>
    </w:p>
    <w:p w:rsidR="00F72AFF" w:rsidRDefault="00F72AFF" w:rsidP="00C40DD1">
      <w:pPr>
        <w:pStyle w:val="Default"/>
        <w:ind w:left="720"/>
        <w:rPr>
          <w:color w:val="auto"/>
          <w:sz w:val="20"/>
          <w:szCs w:val="20"/>
        </w:rPr>
      </w:pPr>
      <w:r>
        <w:rPr>
          <w:b/>
          <w:bCs/>
          <w:color w:val="auto"/>
          <w:sz w:val="20"/>
          <w:szCs w:val="20"/>
        </w:rPr>
        <w:t xml:space="preserve">30 days after receipt of it;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submit more than an original and two copies of any document;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retain records, other than health, medical, government contract, grant- </w:t>
      </w:r>
    </w:p>
    <w:p w:rsidR="00F72AFF" w:rsidRDefault="00F72AFF" w:rsidP="00C40DD1">
      <w:pPr>
        <w:pStyle w:val="Default"/>
        <w:ind w:left="720"/>
        <w:rPr>
          <w:color w:val="auto"/>
          <w:sz w:val="20"/>
          <w:szCs w:val="20"/>
        </w:rPr>
      </w:pPr>
      <w:r>
        <w:rPr>
          <w:b/>
          <w:bCs/>
          <w:color w:val="auto"/>
          <w:sz w:val="20"/>
          <w:szCs w:val="20"/>
        </w:rPr>
        <w:lastRenderedPageBreak/>
        <w:t xml:space="preserve">in-aid, or tax records for more than three years;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i</w:t>
      </w:r>
      <w:r>
        <w:rPr>
          <w:b/>
          <w:bCs/>
          <w:color w:val="auto"/>
          <w:sz w:val="20"/>
          <w:szCs w:val="20"/>
        </w:rPr>
        <w:t xml:space="preserve">n connection with a statistical survey, that is not designed to produce valid and reliable results </w:t>
      </w:r>
    </w:p>
    <w:p w:rsidR="00F72AFF" w:rsidRDefault="00F72AFF" w:rsidP="00C40DD1">
      <w:pPr>
        <w:pStyle w:val="Default"/>
        <w:ind w:left="720"/>
        <w:rPr>
          <w:color w:val="auto"/>
          <w:sz w:val="20"/>
          <w:szCs w:val="20"/>
        </w:rPr>
      </w:pPr>
      <w:r>
        <w:rPr>
          <w:b/>
          <w:bCs/>
          <w:color w:val="auto"/>
          <w:sz w:val="20"/>
          <w:szCs w:val="20"/>
        </w:rPr>
        <w:t xml:space="preserve">that can be generalized to the universe of study;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the use of a statistical data classification that has not been reviewed and approved by </w:t>
      </w:r>
    </w:p>
    <w:p w:rsidR="00F72AFF" w:rsidRDefault="00F72AFF" w:rsidP="00C40DD1">
      <w:pPr>
        <w:pStyle w:val="Default"/>
        <w:ind w:left="720"/>
        <w:rPr>
          <w:color w:val="auto"/>
          <w:sz w:val="20"/>
          <w:szCs w:val="20"/>
        </w:rPr>
      </w:pPr>
      <w:r>
        <w:rPr>
          <w:b/>
          <w:bCs/>
          <w:color w:val="auto"/>
          <w:sz w:val="20"/>
          <w:szCs w:val="20"/>
        </w:rPr>
        <w:t xml:space="preserve">OMB;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sidR="005C5BCC">
        <w:rPr>
          <w:b/>
          <w:bCs/>
          <w:color w:val="auto"/>
          <w:sz w:val="20"/>
          <w:szCs w:val="20"/>
        </w:rPr>
        <w:t>t</w:t>
      </w:r>
      <w:r>
        <w:rPr>
          <w:b/>
          <w:bCs/>
          <w:color w:val="auto"/>
          <w:sz w:val="20"/>
          <w:szCs w:val="20"/>
        </w:rPr>
        <w:t xml:space="preserve">hat includes a pledge of confidentiality that is not supported by authority established in statute </w:t>
      </w:r>
    </w:p>
    <w:p w:rsidR="00F72AFF" w:rsidRDefault="00F72AFF" w:rsidP="00C40DD1">
      <w:pPr>
        <w:pStyle w:val="Default"/>
        <w:ind w:left="720"/>
        <w:rPr>
          <w:color w:val="auto"/>
          <w:sz w:val="20"/>
          <w:szCs w:val="20"/>
        </w:rPr>
      </w:pPr>
      <w:r>
        <w:rPr>
          <w:b/>
          <w:bCs/>
          <w:color w:val="auto"/>
          <w:sz w:val="20"/>
          <w:szCs w:val="20"/>
        </w:rPr>
        <w:t xml:space="preserve">or regulation, that is not supported by disclosure and data security policies that are consistent with the pledge, or which unnecessarily impedes sharing of data with other agencies for compatible confidential use; or </w:t>
      </w:r>
    </w:p>
    <w:p w:rsidR="00F72AFF" w:rsidRDefault="00F72AFF" w:rsidP="00C40DD1">
      <w:pPr>
        <w:pStyle w:val="Default"/>
        <w:ind w:left="720"/>
        <w:rPr>
          <w:color w:val="auto"/>
          <w:sz w:val="20"/>
          <w:szCs w:val="20"/>
        </w:rPr>
      </w:pPr>
      <w:r>
        <w:rPr>
          <w:b/>
          <w:bCs/>
          <w:color w:val="auto"/>
          <w:sz w:val="20"/>
          <w:szCs w:val="20"/>
        </w:rPr>
        <w:t xml:space="preserve"> </w:t>
      </w:r>
    </w:p>
    <w:p w:rsidR="00F72AFF" w:rsidRDefault="00F72AFF" w:rsidP="00C40DD1">
      <w:pPr>
        <w:pStyle w:val="Default"/>
        <w:ind w:left="720"/>
        <w:rPr>
          <w:color w:val="auto"/>
          <w:sz w:val="20"/>
          <w:szCs w:val="20"/>
        </w:rPr>
      </w:pPr>
      <w:r>
        <w:rPr>
          <w:rFonts w:ascii="MS Mincho" w:eastAsia="MS Mincho" w:hAnsi="MS Mincho" w:cs="MS Mincho" w:hint="eastAsia"/>
          <w:color w:val="auto"/>
          <w:sz w:val="20"/>
          <w:szCs w:val="20"/>
        </w:rPr>
        <w:t>⋅</w:t>
      </w:r>
      <w:r>
        <w:rPr>
          <w:b/>
          <w:bCs/>
          <w:color w:val="auto"/>
          <w:sz w:val="20"/>
          <w:szCs w:val="20"/>
        </w:rPr>
        <w:t xml:space="preserve"> </w:t>
      </w:r>
      <w:r w:rsidR="005C5BCC">
        <w:rPr>
          <w:b/>
          <w:bCs/>
          <w:color w:val="auto"/>
          <w:sz w:val="20"/>
          <w:szCs w:val="20"/>
        </w:rPr>
        <w:t>r</w:t>
      </w:r>
      <w:r>
        <w:rPr>
          <w:b/>
          <w:bCs/>
          <w:color w:val="auto"/>
          <w:sz w:val="20"/>
          <w:szCs w:val="20"/>
        </w:rPr>
        <w:t xml:space="preserve">equiring respondents to submit proprietary trade secret, or other confidential information unless </w:t>
      </w:r>
    </w:p>
    <w:p w:rsidR="00F72AFF" w:rsidRDefault="00F72AFF" w:rsidP="00C40DD1">
      <w:pPr>
        <w:pStyle w:val="Default"/>
        <w:ind w:left="720"/>
        <w:rPr>
          <w:color w:val="auto"/>
          <w:sz w:val="20"/>
          <w:szCs w:val="20"/>
        </w:rPr>
      </w:pPr>
      <w:r>
        <w:rPr>
          <w:b/>
          <w:bCs/>
          <w:color w:val="auto"/>
          <w:sz w:val="20"/>
          <w:szCs w:val="20"/>
        </w:rPr>
        <w:t>the Agency can demonstrate that it has instituted procedures to protect the information's confidentiality to the extent permitted by law.</w:t>
      </w:r>
      <w:r>
        <w:rPr>
          <w:color w:val="auto"/>
          <w:sz w:val="20"/>
          <w:szCs w:val="20"/>
        </w:rPr>
        <w:t xml:space="preserve"> </w:t>
      </w:r>
    </w:p>
    <w:p w:rsidR="00F72AFF" w:rsidRDefault="00F72AFF">
      <w:pPr>
        <w:pStyle w:val="Default"/>
        <w:rPr>
          <w:color w:val="auto"/>
          <w:sz w:val="20"/>
          <w:szCs w:val="20"/>
        </w:rPr>
      </w:pPr>
      <w:r>
        <w:rPr>
          <w:color w:val="auto"/>
          <w:sz w:val="20"/>
          <w:szCs w:val="20"/>
        </w:rPr>
        <w:t xml:space="preserve"> </w:t>
      </w:r>
    </w:p>
    <w:p w:rsidR="00F72AFF" w:rsidRPr="007331B3" w:rsidRDefault="00F72AFF">
      <w:pPr>
        <w:pStyle w:val="Default"/>
        <w:rPr>
          <w:color w:val="auto"/>
        </w:rPr>
      </w:pPr>
      <w:r w:rsidRPr="007331B3">
        <w:rPr>
          <w:color w:val="auto"/>
        </w:rPr>
        <w:t xml:space="preserve">The Agency believes that no special circumstances exist that would cause it to collect the information required by the GQPR in a manner, or using procedures, that differ from the description provided in Item 2 above.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ind w:left="260" w:hanging="260"/>
        <w:rPr>
          <w:color w:val="auto"/>
          <w:sz w:val="20"/>
          <w:szCs w:val="20"/>
        </w:rPr>
      </w:pPr>
      <w:r>
        <w:rPr>
          <w:color w:val="auto"/>
          <w:sz w:val="20"/>
          <w:szCs w:val="20"/>
        </w:rPr>
        <w:t xml:space="preserve"> </w:t>
      </w:r>
      <w:r>
        <w:rPr>
          <w:b/>
          <w:bCs/>
          <w:color w:val="auto"/>
          <w:sz w:val="20"/>
          <w:szCs w:val="20"/>
        </w:rPr>
        <w:t xml:space="preserve">8.  If applicable, provide a copy and identify the data and page number of publication in the </w:t>
      </w:r>
      <w:r w:rsidRPr="00585597">
        <w:rPr>
          <w:b/>
          <w:bCs/>
          <w:color w:val="auto"/>
          <w:sz w:val="20"/>
          <w:szCs w:val="20"/>
        </w:rPr>
        <w:t>Federal Register</w:t>
      </w:r>
      <w:r w:rsidRPr="00515D39">
        <w:rPr>
          <w:rFonts w:ascii="Informal Roman" w:hAnsi="Informal Roman"/>
          <w:b/>
          <w:bCs/>
          <w:color w:val="auto"/>
          <w:sz w:val="20"/>
          <w:szCs w:val="20"/>
        </w:rPr>
        <w:t xml:space="preserve"> </w:t>
      </w:r>
      <w:r>
        <w:rPr>
          <w:b/>
          <w:bCs/>
          <w:color w:val="auto"/>
          <w:sz w:val="20"/>
          <w:szCs w:val="20"/>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72AFF" w:rsidRDefault="00F72AFF">
      <w:pPr>
        <w:pStyle w:val="Default"/>
        <w:rPr>
          <w:color w:val="auto"/>
          <w:sz w:val="20"/>
          <w:szCs w:val="20"/>
        </w:rPr>
      </w:pPr>
      <w:r>
        <w:rPr>
          <w:b/>
          <w:bCs/>
          <w:color w:val="auto"/>
          <w:sz w:val="20"/>
          <w:szCs w:val="20"/>
        </w:rPr>
        <w:t xml:space="preserve"> </w:t>
      </w:r>
    </w:p>
    <w:p w:rsidR="00F72AFF" w:rsidRDefault="00F72AFF">
      <w:pPr>
        <w:pStyle w:val="Default"/>
        <w:ind w:left="260"/>
        <w:rPr>
          <w:color w:val="auto"/>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72AFF" w:rsidRDefault="00F72AFF">
      <w:pPr>
        <w:pStyle w:val="Default"/>
        <w:rPr>
          <w:color w:val="auto"/>
          <w:sz w:val="20"/>
          <w:szCs w:val="20"/>
        </w:rPr>
      </w:pPr>
      <w:r>
        <w:rPr>
          <w:b/>
          <w:bCs/>
          <w:color w:val="auto"/>
          <w:sz w:val="20"/>
          <w:szCs w:val="20"/>
        </w:rPr>
        <w:t xml:space="preserve"> </w:t>
      </w:r>
    </w:p>
    <w:p w:rsidR="00A655F3" w:rsidRDefault="00F72AFF" w:rsidP="00A655F3">
      <w:pPr>
        <w:pStyle w:val="Default"/>
        <w:ind w:left="260"/>
        <w:rPr>
          <w:color w:val="auto"/>
          <w:sz w:val="23"/>
          <w:szCs w:val="23"/>
        </w:rPr>
      </w:pPr>
      <w:r>
        <w:rPr>
          <w:b/>
          <w:bCs/>
          <w:color w:val="auto"/>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color w:val="auto"/>
          <w:sz w:val="20"/>
          <w:szCs w:val="20"/>
        </w:rPr>
        <w:t xml:space="preserve"> </w:t>
      </w:r>
    </w:p>
    <w:p w:rsidR="00A655F3" w:rsidRDefault="00A655F3" w:rsidP="00A655F3">
      <w:pPr>
        <w:pStyle w:val="Default"/>
        <w:ind w:left="260"/>
        <w:rPr>
          <w:color w:val="auto"/>
          <w:sz w:val="23"/>
          <w:szCs w:val="23"/>
        </w:rPr>
      </w:pPr>
    </w:p>
    <w:p w:rsidR="00CF7240" w:rsidRDefault="00CF7240" w:rsidP="00A775B9">
      <w:pPr>
        <w:pStyle w:val="Default"/>
        <w:ind w:left="90"/>
      </w:pPr>
      <w:r>
        <w:t>As required by the Paperwork Reduction Act of 1995 (44 U.S.C. 3506(c)(2)(A)), OSHA</w:t>
      </w:r>
      <w:r w:rsidR="00B33AF5">
        <w:t xml:space="preserve"> </w:t>
      </w:r>
      <w:r w:rsidR="001254B8">
        <w:t xml:space="preserve"> </w:t>
      </w:r>
      <w:r>
        <w:t>publish</w:t>
      </w:r>
      <w:r w:rsidR="00B33AF5">
        <w:t>ed</w:t>
      </w:r>
      <w:r>
        <w:t xml:space="preserve"> a notice in the </w:t>
      </w:r>
      <w:r w:rsidRPr="00975E90">
        <w:rPr>
          <w:i/>
        </w:rPr>
        <w:t>Federal</w:t>
      </w:r>
      <w:r w:rsidRPr="00975E90">
        <w:rPr>
          <w:b/>
        </w:rPr>
        <w:t xml:space="preserve"> </w:t>
      </w:r>
      <w:r w:rsidRPr="00975E90">
        <w:rPr>
          <w:i/>
        </w:rPr>
        <w:t>Register</w:t>
      </w:r>
      <w:r w:rsidRPr="008D6EA7">
        <w:t xml:space="preserve"> </w:t>
      </w:r>
      <w:r w:rsidR="00975E90">
        <w:t xml:space="preserve"> on May 22, 2017 (82 FR 23315) </w:t>
      </w:r>
      <w:r>
        <w:t xml:space="preserve">requesting public comment on its </w:t>
      </w:r>
      <w:r w:rsidR="001254B8">
        <w:t xml:space="preserve">proposed extension </w:t>
      </w:r>
      <w:r>
        <w:t xml:space="preserve"> </w:t>
      </w:r>
      <w:r w:rsidR="00E96CE7">
        <w:t xml:space="preserve">of the information collection </w:t>
      </w:r>
      <w:r>
        <w:t xml:space="preserve">requirements specified by the </w:t>
      </w:r>
      <w:r w:rsidR="00C40DD1">
        <w:t>GQPR</w:t>
      </w:r>
      <w:r>
        <w:t xml:space="preserve">.  This notice </w:t>
      </w:r>
      <w:r w:rsidR="00975E90">
        <w:t>was</w:t>
      </w:r>
      <w:r w:rsidR="00E96CE7">
        <w:t xml:space="preserve"> </w:t>
      </w:r>
      <w:r>
        <w:t xml:space="preserve">part of a preclearance consultation program </w:t>
      </w:r>
      <w:r w:rsidR="00E96CE7">
        <w:t xml:space="preserve">intended to </w:t>
      </w:r>
      <w:r>
        <w:t xml:space="preserve">provide </w:t>
      </w:r>
      <w:r w:rsidR="00E96CE7">
        <w:t xml:space="preserve">interested parties the opportunity to comment on OSHA’s request for an extension by the Office of Management and Budget (OMB) of a previous approval of the information collection requirements contained in the </w:t>
      </w:r>
      <w:r w:rsidR="00C40DD1">
        <w:t>GQPR</w:t>
      </w:r>
      <w:r w:rsidR="00E96CE7">
        <w:t>.</w:t>
      </w:r>
      <w:r w:rsidR="00975E90">
        <w:t xml:space="preserve"> </w:t>
      </w:r>
      <w:r w:rsidR="00B33AF5">
        <w:t xml:space="preserve"> The Agency </w:t>
      </w:r>
      <w:r w:rsidR="00975E90">
        <w:t>did not receive any</w:t>
      </w:r>
      <w:r w:rsidR="00B33AF5">
        <w:t xml:space="preserve"> comments in response to this notice.</w:t>
      </w:r>
    </w:p>
    <w:p w:rsidR="003F0A85" w:rsidRDefault="003F0A85" w:rsidP="00A775B9">
      <w:pPr>
        <w:pStyle w:val="Default"/>
        <w:ind w:left="90"/>
      </w:pPr>
    </w:p>
    <w:p w:rsidR="00F72AFF" w:rsidRDefault="00F72AFF" w:rsidP="00CF7240">
      <w:pPr>
        <w:pStyle w:val="Default"/>
        <w:ind w:left="90"/>
        <w:rPr>
          <w:color w:val="auto"/>
          <w:sz w:val="23"/>
          <w:szCs w:val="23"/>
        </w:rPr>
      </w:pPr>
      <w:r>
        <w:rPr>
          <w:color w:val="auto"/>
          <w:sz w:val="20"/>
          <w:szCs w:val="20"/>
        </w:rPr>
        <w:t xml:space="preserve"> </w:t>
      </w:r>
      <w:r>
        <w:rPr>
          <w:b/>
          <w:bCs/>
          <w:color w:val="auto"/>
          <w:sz w:val="20"/>
          <w:szCs w:val="20"/>
        </w:rPr>
        <w:t>9.  Explain any decision to provide any payment or gift to respondents, other than remuneration of contractors or grantees.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OSHA will </w:t>
      </w:r>
      <w:r w:rsidRPr="007331B3">
        <w:rPr>
          <w:color w:val="auto"/>
          <w:u w:val="single"/>
        </w:rPr>
        <w:t>not</w:t>
      </w:r>
      <w:r w:rsidRPr="007331B3">
        <w:rPr>
          <w:color w:val="auto"/>
        </w:rPr>
        <w:t xml:space="preserve"> provide payments or gifts to any grantee to complete the GQPR.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3"/>
          <w:szCs w:val="23"/>
        </w:rPr>
      </w:pPr>
      <w:r>
        <w:rPr>
          <w:b/>
          <w:bCs/>
          <w:color w:val="auto"/>
          <w:sz w:val="20"/>
          <w:szCs w:val="20"/>
        </w:rPr>
        <w:t>10.  Describe any assurance of confidentiality provided to respondents and the basis for the assurance in statute, regulation, or Agency policy.</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4D7F0E" w:rsidRDefault="00F72AFF">
      <w:pPr>
        <w:pStyle w:val="Default"/>
        <w:rPr>
          <w:color w:val="auto"/>
        </w:rPr>
      </w:pPr>
      <w:r w:rsidRPr="007331B3">
        <w:rPr>
          <w:color w:val="auto"/>
        </w:rPr>
        <w:t xml:space="preserve">The Agency provides no assurance of confidentiality regarding the information collected in the GQPR because it believes that none of this information is confidential. </w:t>
      </w:r>
    </w:p>
    <w:p w:rsidR="004D7F0E" w:rsidRDefault="004D7F0E">
      <w:pPr>
        <w:pStyle w:val="Default"/>
        <w:rPr>
          <w:color w:val="auto"/>
        </w:rPr>
      </w:pPr>
    </w:p>
    <w:p w:rsidR="007331B3" w:rsidRDefault="00F72AFF">
      <w:pPr>
        <w:pStyle w:val="Default"/>
        <w:rPr>
          <w:b/>
          <w:bCs/>
          <w:color w:val="auto"/>
          <w:sz w:val="20"/>
          <w:szCs w:val="20"/>
        </w:rPr>
      </w:pPr>
      <w:r>
        <w:rPr>
          <w:b/>
          <w:bCs/>
          <w:color w:val="auto"/>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p>
    <w:p w:rsidR="00F72AFF" w:rsidRDefault="00F72AFF">
      <w:pPr>
        <w:pStyle w:val="Default"/>
        <w:rPr>
          <w:color w:val="auto"/>
          <w:sz w:val="23"/>
          <w:szCs w:val="23"/>
        </w:rPr>
      </w:pPr>
      <w:r>
        <w:rPr>
          <w:b/>
          <w:bCs/>
          <w:color w:val="auto"/>
          <w:sz w:val="20"/>
          <w:szCs w:val="20"/>
        </w:rPr>
        <w:t>information, the explanation to be given to persons form whom the information is requested, and any steps to be taken to obtain their consent.</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F72AFF" w:rsidRPr="007331B3" w:rsidRDefault="00F72AFF">
      <w:pPr>
        <w:pStyle w:val="Default"/>
        <w:rPr>
          <w:color w:val="auto"/>
        </w:rPr>
      </w:pPr>
      <w:r w:rsidRPr="007331B3">
        <w:rPr>
          <w:color w:val="auto"/>
        </w:rPr>
        <w:t xml:space="preserve">The Agency believes that none of the information collected in the GQPR is sensitive. </w:t>
      </w:r>
    </w:p>
    <w:p w:rsidR="00F72AFF" w:rsidRDefault="00F72AFF">
      <w:pPr>
        <w:pStyle w:val="Default"/>
        <w:rPr>
          <w:color w:val="auto"/>
          <w:sz w:val="23"/>
          <w:szCs w:val="23"/>
        </w:rPr>
      </w:pPr>
      <w:r>
        <w:rPr>
          <w:color w:val="auto"/>
          <w:sz w:val="23"/>
          <w:szCs w:val="23"/>
        </w:rPr>
        <w:t xml:space="preserve"> </w:t>
      </w:r>
    </w:p>
    <w:p w:rsidR="00F72AFF" w:rsidRDefault="00F72AFF">
      <w:pPr>
        <w:pStyle w:val="Default"/>
        <w:rPr>
          <w:color w:val="auto"/>
          <w:sz w:val="20"/>
          <w:szCs w:val="20"/>
        </w:rPr>
      </w:pPr>
      <w:r>
        <w:rPr>
          <w:b/>
          <w:bCs/>
          <w:color w:val="auto"/>
          <w:sz w:val="20"/>
          <w:szCs w:val="20"/>
        </w:rPr>
        <w:t xml:space="preserve">12.  Provide estimates of the hour burden of the collection of information.  The statement should: </w:t>
      </w:r>
    </w:p>
    <w:p w:rsidR="00F72AFF" w:rsidRDefault="00F72AFF">
      <w:pPr>
        <w:pStyle w:val="Default"/>
        <w:rPr>
          <w:color w:val="auto"/>
          <w:sz w:val="20"/>
          <w:szCs w:val="20"/>
        </w:rPr>
      </w:pPr>
      <w:r>
        <w:rPr>
          <w:b/>
          <w:bCs/>
          <w:color w:val="auto"/>
          <w:sz w:val="20"/>
          <w:szCs w:val="20"/>
        </w:rPr>
        <w:t xml:space="preserve"> </w:t>
      </w:r>
    </w:p>
    <w:p w:rsidR="00F72AFF" w:rsidRDefault="00F72AFF" w:rsidP="0099608A">
      <w:pPr>
        <w:pStyle w:val="Default"/>
        <w:numPr>
          <w:ilvl w:val="0"/>
          <w:numId w:val="2"/>
        </w:numPr>
        <w:rPr>
          <w:color w:val="auto"/>
          <w:sz w:val="20"/>
          <w:szCs w:val="20"/>
        </w:rPr>
      </w:pPr>
      <w:r>
        <w:rPr>
          <w:b/>
          <w:bCs/>
          <w:color w:val="auto"/>
          <w:sz w:val="20"/>
          <w:szCs w:val="20"/>
        </w:rPr>
        <w:t xml:space="preserve">Indicate the number of respondents, frequency of response, annual hour burden, and an </w:t>
      </w:r>
    </w:p>
    <w:p w:rsidR="00F72AFF" w:rsidRDefault="00F72AFF" w:rsidP="00642E50">
      <w:pPr>
        <w:pStyle w:val="Default"/>
        <w:ind w:left="720"/>
        <w:rPr>
          <w:color w:val="auto"/>
          <w:sz w:val="20"/>
          <w:szCs w:val="20"/>
        </w:rPr>
      </w:pPr>
      <w:r>
        <w:rPr>
          <w:b/>
          <w:bCs/>
          <w:color w:val="auto"/>
          <w:sz w:val="20"/>
          <w:szCs w:val="20"/>
        </w:rPr>
        <w:t xml:space="preserve">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72AFF" w:rsidRPr="00642E50" w:rsidRDefault="00F72AFF" w:rsidP="00642E50">
      <w:pPr>
        <w:pStyle w:val="Default"/>
        <w:numPr>
          <w:ilvl w:val="0"/>
          <w:numId w:val="2"/>
        </w:numPr>
        <w:rPr>
          <w:color w:val="auto"/>
          <w:sz w:val="20"/>
          <w:szCs w:val="20"/>
        </w:rPr>
      </w:pPr>
      <w:r>
        <w:rPr>
          <w:b/>
          <w:bCs/>
          <w:color w:val="auto"/>
          <w:sz w:val="20"/>
          <w:szCs w:val="20"/>
        </w:rPr>
        <w:t xml:space="preserve"> If this request for approval covers more than one form, provide separate hour burden estimate for estimates for each form</w:t>
      </w:r>
      <w:r w:rsidR="00242AA3">
        <w:rPr>
          <w:b/>
          <w:bCs/>
          <w:color w:val="auto"/>
          <w:sz w:val="20"/>
          <w:szCs w:val="20"/>
        </w:rPr>
        <w:t>.</w:t>
      </w:r>
    </w:p>
    <w:p w:rsidR="00642E50" w:rsidRDefault="00642E50" w:rsidP="00642E50">
      <w:pPr>
        <w:pStyle w:val="Default"/>
        <w:rPr>
          <w:color w:val="auto"/>
          <w:sz w:val="20"/>
          <w:szCs w:val="20"/>
        </w:rPr>
      </w:pPr>
    </w:p>
    <w:p w:rsidR="00F72AFF" w:rsidRDefault="00F72AFF" w:rsidP="00642E50">
      <w:pPr>
        <w:pStyle w:val="Default"/>
        <w:numPr>
          <w:ilvl w:val="0"/>
          <w:numId w:val="2"/>
        </w:numPr>
        <w:tabs>
          <w:tab w:val="left" w:pos="720"/>
        </w:tabs>
        <w:rPr>
          <w:color w:val="auto"/>
          <w:sz w:val="20"/>
          <w:szCs w:val="20"/>
        </w:rPr>
      </w:pPr>
      <w:r>
        <w:rPr>
          <w:b/>
          <w:bCs/>
          <w:color w:val="auto"/>
          <w:sz w:val="20"/>
          <w:szCs w:val="20"/>
        </w:rPr>
        <w:t xml:space="preserve">Provide estimates of annualized cost to respondents for the hour burdens for collection of </w:t>
      </w:r>
    </w:p>
    <w:p w:rsidR="00F72AFF" w:rsidRDefault="00CF7240" w:rsidP="00642E50">
      <w:pPr>
        <w:pStyle w:val="Default"/>
        <w:ind w:left="720"/>
        <w:rPr>
          <w:color w:val="auto"/>
          <w:sz w:val="23"/>
          <w:szCs w:val="23"/>
        </w:rPr>
      </w:pPr>
      <w:r>
        <w:rPr>
          <w:b/>
          <w:bCs/>
          <w:color w:val="auto"/>
          <w:sz w:val="20"/>
          <w:szCs w:val="20"/>
        </w:rPr>
        <w:t>i</w:t>
      </w:r>
      <w:r w:rsidR="00F72AFF">
        <w:rPr>
          <w:b/>
          <w:bCs/>
          <w:color w:val="auto"/>
          <w:sz w:val="20"/>
          <w:szCs w:val="20"/>
        </w:rPr>
        <w:t>nformation</w:t>
      </w:r>
      <w:r w:rsidR="00242AA3">
        <w:rPr>
          <w:b/>
          <w:bCs/>
          <w:color w:val="auto"/>
          <w:sz w:val="20"/>
          <w:szCs w:val="20"/>
        </w:rPr>
        <w:t xml:space="preserve">, identifying and using appropriate wage rate </w:t>
      </w:r>
      <w:r w:rsidR="00585597">
        <w:rPr>
          <w:b/>
          <w:bCs/>
          <w:color w:val="auto"/>
          <w:sz w:val="20"/>
          <w:szCs w:val="20"/>
        </w:rPr>
        <w:t>categories</w:t>
      </w:r>
      <w:r w:rsidR="00242AA3">
        <w:rPr>
          <w:b/>
          <w:bCs/>
          <w:color w:val="auto"/>
          <w:sz w:val="20"/>
          <w:szCs w:val="20"/>
        </w:rPr>
        <w:t xml:space="preserve">.  The cost of contracting out paying outside parties for </w:t>
      </w:r>
      <w:r w:rsidR="00585597">
        <w:rPr>
          <w:b/>
          <w:bCs/>
          <w:color w:val="auto"/>
          <w:sz w:val="20"/>
          <w:szCs w:val="20"/>
        </w:rPr>
        <w:t>information</w:t>
      </w:r>
      <w:r w:rsidR="00242AA3">
        <w:rPr>
          <w:b/>
          <w:bCs/>
          <w:color w:val="auto"/>
          <w:sz w:val="20"/>
          <w:szCs w:val="20"/>
        </w:rPr>
        <w:t xml:space="preserve"> collection </w:t>
      </w:r>
      <w:r w:rsidR="00585597">
        <w:rPr>
          <w:b/>
          <w:bCs/>
          <w:color w:val="auto"/>
          <w:sz w:val="20"/>
          <w:szCs w:val="20"/>
        </w:rPr>
        <w:t>activities</w:t>
      </w:r>
      <w:r w:rsidR="00242AA3">
        <w:rPr>
          <w:b/>
          <w:bCs/>
          <w:color w:val="auto"/>
          <w:sz w:val="20"/>
          <w:szCs w:val="20"/>
        </w:rPr>
        <w:t xml:space="preserve"> should not be included here.  Instead, this cost should be included in Item 14.</w:t>
      </w:r>
      <w:r w:rsidR="00F72AFF">
        <w:rPr>
          <w:b/>
          <w:bCs/>
          <w:color w:val="auto"/>
          <w:sz w:val="20"/>
          <w:szCs w:val="20"/>
        </w:rPr>
        <w:t xml:space="preserve"> </w:t>
      </w:r>
    </w:p>
    <w:p w:rsidR="00642E50" w:rsidRDefault="00642E50">
      <w:pPr>
        <w:pStyle w:val="Default"/>
        <w:rPr>
          <w:color w:val="auto"/>
        </w:rPr>
      </w:pPr>
    </w:p>
    <w:p w:rsidR="006067F3" w:rsidRDefault="008F6D56">
      <w:pPr>
        <w:pStyle w:val="Default"/>
        <w:rPr>
          <w:color w:val="auto"/>
        </w:rPr>
      </w:pPr>
      <w:r w:rsidRPr="00830B4C">
        <w:rPr>
          <w:color w:val="auto"/>
        </w:rPr>
        <w:t>Over the last three years, (</w:t>
      </w:r>
      <w:r>
        <w:rPr>
          <w:color w:val="auto"/>
        </w:rPr>
        <w:t>FY</w:t>
      </w:r>
      <w:r w:rsidR="006F53F2">
        <w:rPr>
          <w:color w:val="auto"/>
        </w:rPr>
        <w:t>14</w:t>
      </w:r>
      <w:r>
        <w:rPr>
          <w:color w:val="auto"/>
        </w:rPr>
        <w:t>-FY</w:t>
      </w:r>
      <w:r w:rsidR="006F53F2">
        <w:rPr>
          <w:color w:val="auto"/>
        </w:rPr>
        <w:t>16</w:t>
      </w:r>
      <w:r w:rsidRPr="00830B4C">
        <w:rPr>
          <w:color w:val="auto"/>
        </w:rPr>
        <w:t xml:space="preserve">), OSHA managed an average of </w:t>
      </w:r>
      <w:r w:rsidR="006F53F2">
        <w:rPr>
          <w:color w:val="auto"/>
        </w:rPr>
        <w:t>109</w:t>
      </w:r>
      <w:r w:rsidRPr="00830B4C">
        <w:rPr>
          <w:color w:val="auto"/>
        </w:rPr>
        <w:t xml:space="preserve"> grants per year.  The Agency estimates that </w:t>
      </w:r>
      <w:r>
        <w:rPr>
          <w:color w:val="auto"/>
        </w:rPr>
        <w:t>it takes each grant recipient 14 hours per quarter, or 56</w:t>
      </w:r>
      <w:r w:rsidRPr="00830B4C">
        <w:rPr>
          <w:color w:val="auto"/>
        </w:rPr>
        <w:t xml:space="preserve"> hours per year, to collect, compile, and maintain the information specified on the GQPR, including the narrative description of progress made in achieving program goals and objectives.  </w:t>
      </w:r>
    </w:p>
    <w:p w:rsidR="006067F3" w:rsidRDefault="006067F3">
      <w:pPr>
        <w:pStyle w:val="Default"/>
        <w:rPr>
          <w:color w:val="auto"/>
        </w:rPr>
      </w:pPr>
    </w:p>
    <w:p w:rsidR="006067F3" w:rsidRDefault="006067F3" w:rsidP="006067F3">
      <w:pPr>
        <w:pStyle w:val="Default"/>
      </w:pPr>
      <w:r>
        <w:t xml:space="preserve">The Agency determined average wage rates from mean hourly wage earnings to represent the cost of employee time.  For the relevant occupational category, OSHA adjusted the earnings reported in the Occupational Employment Statistics (OES), Occupational Employment and Wages, May 2016, Bureau of Labor Statistics, U.S. Department of Labor. (OES data is available at: </w:t>
      </w:r>
      <w:hyperlink r:id="rId9" w:history="1">
        <w:r w:rsidR="007B7D65" w:rsidRPr="006125F2">
          <w:rPr>
            <w:rStyle w:val="Hyperlink"/>
          </w:rPr>
          <w:t>https://www.bls.gov/oes/tables.htm</w:t>
        </w:r>
      </w:hyperlink>
      <w:r w:rsidR="007B7D65">
        <w:t>.</w:t>
      </w:r>
      <w:r>
        <w:t xml:space="preserve"> To access a wage rate, select the year, “Occupation Profiles,” and the Standard Occupational Classification (SOC) code.)</w:t>
      </w:r>
    </w:p>
    <w:p w:rsidR="006067F3" w:rsidRDefault="006067F3" w:rsidP="006067F3">
      <w:pPr>
        <w:pStyle w:val="Default"/>
      </w:pPr>
    </w:p>
    <w:p w:rsidR="006067F3" w:rsidRDefault="006067F3" w:rsidP="006067F3">
      <w:pPr>
        <w:pStyle w:val="Default"/>
      </w:pPr>
      <w:r>
        <w:t xml:space="preserve">To account for fringe benefits, the Agency used the benefit rate reported in the Economic News Release, Employer Costs for Employee Compensation – </w:t>
      </w:r>
      <w:r w:rsidR="003004CC">
        <w:t>March 2017</w:t>
      </w:r>
      <w:r>
        <w:t>, Bureau of Labor Statistics (BLS), U.S. Department of Labor (</w:t>
      </w:r>
      <w:hyperlink r:id="rId10" w:history="1">
        <w:r w:rsidR="003004CC" w:rsidRPr="003004CC">
          <w:rPr>
            <w:rStyle w:val="Hyperlink"/>
          </w:rPr>
          <w:t>https://www.bls.gov/news.release/ecec.nr0.htm</w:t>
        </w:r>
      </w:hyperlink>
      <w:r>
        <w:t>).  BLS reported that for private industry, fringe benefits accounted for 31.</w:t>
      </w:r>
      <w:r w:rsidR="003004CC">
        <w:t>7</w:t>
      </w:r>
      <w:r>
        <w:t xml:space="preserve"> percent of total compensation and wages accounted for the remaining 68.</w:t>
      </w:r>
      <w:r w:rsidR="003004CC">
        <w:t>3</w:t>
      </w:r>
      <w:r>
        <w:t xml:space="preserve"> percent.  To calculate the loaded hourly wage for each occupation, thus the Agency divided the mean hourly wage by 68.</w:t>
      </w:r>
      <w:r w:rsidR="003004CC">
        <w:t>3</w:t>
      </w:r>
      <w:r>
        <w:t xml:space="preserve"> percent. </w:t>
      </w:r>
    </w:p>
    <w:p w:rsidR="006067F3" w:rsidRDefault="006067F3" w:rsidP="006067F3">
      <w:pPr>
        <w:pStyle w:val="Default"/>
      </w:pPr>
    </w:p>
    <w:p w:rsidR="006067F3" w:rsidRDefault="006067F3" w:rsidP="006067F3">
      <w:pPr>
        <w:pStyle w:val="Default"/>
      </w:pPr>
      <w:r>
        <w:t xml:space="preserve">•   </w:t>
      </w:r>
      <w:r w:rsidR="007B7D65">
        <w:t>Occupational Health and Safety Specialist</w:t>
      </w:r>
      <w:r>
        <w:t xml:space="preserve"> (SOC </w:t>
      </w:r>
      <w:r w:rsidR="007B7D65">
        <w:t>29</w:t>
      </w:r>
      <w:r w:rsidR="00EB3750">
        <w:t>-</w:t>
      </w:r>
      <w:r w:rsidR="007B7D65">
        <w:t xml:space="preserve"> 9011</w:t>
      </w:r>
      <w:r>
        <w:t>)</w:t>
      </w:r>
      <w:r w:rsidR="00954D78">
        <w:t xml:space="preserve">        $</w:t>
      </w:r>
      <w:r w:rsidR="007B7D65">
        <w:t>34.85/.68</w:t>
      </w:r>
      <w:r w:rsidR="003004CC">
        <w:t>3</w:t>
      </w:r>
      <w:r w:rsidR="007B7D65">
        <w:t xml:space="preserve"> = $5</w:t>
      </w:r>
      <w:r w:rsidR="003004CC">
        <w:t>1</w:t>
      </w:r>
      <w:r w:rsidR="007B7D65">
        <w:t>.</w:t>
      </w:r>
      <w:r w:rsidR="003004CC">
        <w:t>02</w:t>
      </w:r>
      <w:r>
        <w:t xml:space="preserve"> </w:t>
      </w:r>
    </w:p>
    <w:p w:rsidR="006067F3" w:rsidRDefault="006067F3" w:rsidP="006067F3">
      <w:pPr>
        <w:pStyle w:val="Default"/>
      </w:pPr>
      <w:r>
        <w:t xml:space="preserve">•  </w:t>
      </w:r>
      <w:r w:rsidR="00954D78">
        <w:t xml:space="preserve"> </w:t>
      </w:r>
      <w:r>
        <w:t>Secretar</w:t>
      </w:r>
      <w:r w:rsidR="00954D78">
        <w:t xml:space="preserve">ies &amp; Administrative Assistants </w:t>
      </w:r>
      <w:r>
        <w:t xml:space="preserve">(SOC 43-6014)           </w:t>
      </w:r>
      <w:r w:rsidR="00954D78">
        <w:t>$17.38/.68</w:t>
      </w:r>
      <w:r w:rsidR="003004CC">
        <w:t>3</w:t>
      </w:r>
      <w:r w:rsidR="00954D78">
        <w:t xml:space="preserve"> = $25.</w:t>
      </w:r>
      <w:r w:rsidR="003004CC">
        <w:t>45</w:t>
      </w:r>
      <w:r>
        <w:t xml:space="preserve"> </w:t>
      </w:r>
    </w:p>
    <w:p w:rsidR="006067F3" w:rsidRDefault="006067F3" w:rsidP="006067F3">
      <w:pPr>
        <w:pStyle w:val="Default"/>
      </w:pPr>
    </w:p>
    <w:p w:rsidR="00CD55A2" w:rsidRDefault="00CD55A2" w:rsidP="00EC501A">
      <w:pPr>
        <w:pStyle w:val="Default"/>
        <w:jc w:val="center"/>
        <w:rPr>
          <w:b/>
        </w:rPr>
      </w:pPr>
    </w:p>
    <w:p w:rsidR="00CD55A2" w:rsidRDefault="00CD55A2" w:rsidP="00EC501A">
      <w:pPr>
        <w:pStyle w:val="Default"/>
        <w:jc w:val="center"/>
        <w:rPr>
          <w:b/>
        </w:rPr>
      </w:pPr>
    </w:p>
    <w:p w:rsidR="00954D78" w:rsidRPr="00EC501A" w:rsidRDefault="00954D78" w:rsidP="00EC501A">
      <w:pPr>
        <w:pStyle w:val="Default"/>
        <w:jc w:val="center"/>
        <w:rPr>
          <w:b/>
        </w:rPr>
      </w:pPr>
      <w:r w:rsidRPr="00EC501A">
        <w:rPr>
          <w:b/>
        </w:rPr>
        <w:t>Table 1</w:t>
      </w:r>
    </w:p>
    <w:p w:rsidR="00175116" w:rsidRPr="00EC501A" w:rsidRDefault="00954D78" w:rsidP="00EC501A">
      <w:pPr>
        <w:pStyle w:val="Default"/>
        <w:jc w:val="center"/>
        <w:rPr>
          <w:b/>
        </w:rPr>
      </w:pPr>
      <w:r w:rsidRPr="00EC501A">
        <w:rPr>
          <w:b/>
        </w:rPr>
        <w:t>Summary of Responses, Burden Hours,</w:t>
      </w:r>
    </w:p>
    <w:p w:rsidR="00175116" w:rsidRDefault="00954D78" w:rsidP="008F6D56">
      <w:pPr>
        <w:pStyle w:val="Default"/>
        <w:jc w:val="center"/>
        <w:rPr>
          <w:b/>
        </w:rPr>
      </w:pPr>
      <w:r w:rsidRPr="00EC501A">
        <w:rPr>
          <w:b/>
        </w:rPr>
        <w:t>And Costs</w:t>
      </w:r>
      <w:r w:rsidR="008F6D56">
        <w:rPr>
          <w:b/>
        </w:rPr>
        <w:t xml:space="preserve">  </w:t>
      </w:r>
    </w:p>
    <w:p w:rsidR="00175116" w:rsidRDefault="00175116" w:rsidP="008F6D56">
      <w:pPr>
        <w:pStyle w:val="Default"/>
        <w:jc w:val="center"/>
        <w:rPr>
          <w:b/>
        </w:rPr>
      </w:pPr>
    </w:p>
    <w:p w:rsidR="008F6D56" w:rsidRPr="00830B4C" w:rsidRDefault="008F6D56" w:rsidP="00EC501A">
      <w:pPr>
        <w:pStyle w:val="Default"/>
        <w:rPr>
          <w:color w:val="auto"/>
        </w:rPr>
      </w:pPr>
      <w:r w:rsidRPr="00830B4C">
        <w:t xml:space="preserve">OSHA divides the </w:t>
      </w:r>
      <w:r>
        <w:rPr>
          <w:color w:val="auto"/>
        </w:rPr>
        <w:t>56</w:t>
      </w:r>
      <w:r w:rsidRPr="00830B4C">
        <w:rPr>
          <w:color w:val="auto"/>
        </w:rPr>
        <w:t xml:space="preserve"> hours required annually </w:t>
      </w:r>
      <w:r w:rsidR="00175116">
        <w:rPr>
          <w:color w:val="auto"/>
        </w:rPr>
        <w:t>int</w:t>
      </w:r>
      <w:r w:rsidRPr="00830B4C">
        <w:rPr>
          <w:color w:val="auto"/>
        </w:rPr>
        <w:t xml:space="preserve">o </w:t>
      </w:r>
      <w:r w:rsidR="00175116">
        <w:rPr>
          <w:color w:val="auto"/>
        </w:rPr>
        <w:t>14 hours per quarter consisting of seven hours for both Safety and Health specialist and Administrative assistant.</w:t>
      </w:r>
    </w:p>
    <w:p w:rsidR="006067F3" w:rsidRDefault="006067F3" w:rsidP="00175116">
      <w:pPr>
        <w:pStyle w:val="Default"/>
        <w:rPr>
          <w:color w:val="auto"/>
          <w:highlight w:val="yellow"/>
        </w:rPr>
      </w:pPr>
    </w:p>
    <w:tbl>
      <w:tblPr>
        <w:tblW w:w="9454" w:type="dxa"/>
        <w:tblInd w:w="104" w:type="dxa"/>
        <w:tblLayout w:type="fixed"/>
        <w:tblLook w:val="04A0" w:firstRow="1" w:lastRow="0" w:firstColumn="1" w:lastColumn="0" w:noHBand="0" w:noVBand="1"/>
      </w:tblPr>
      <w:tblGrid>
        <w:gridCol w:w="1444"/>
        <w:gridCol w:w="1350"/>
        <w:gridCol w:w="1710"/>
        <w:gridCol w:w="900"/>
        <w:gridCol w:w="1530"/>
        <w:gridCol w:w="900"/>
        <w:gridCol w:w="1620"/>
      </w:tblGrid>
      <w:tr w:rsidR="006067F3" w:rsidTr="00E36D24">
        <w:trPr>
          <w:trHeight w:val="600"/>
        </w:trPr>
        <w:tc>
          <w:tcPr>
            <w:tcW w:w="14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7BFC" w:rsidRDefault="00AF7BFC">
            <w:pPr>
              <w:rPr>
                <w:rFonts w:ascii="Calibri" w:hAnsi="Calibri"/>
                <w:b/>
                <w:bCs/>
                <w:color w:val="000000"/>
                <w:sz w:val="22"/>
                <w:szCs w:val="22"/>
              </w:rPr>
            </w:pPr>
            <w:r>
              <w:rPr>
                <w:rFonts w:ascii="Calibri" w:hAnsi="Calibri"/>
                <w:b/>
                <w:bCs/>
                <w:color w:val="000000"/>
                <w:sz w:val="22"/>
                <w:szCs w:val="22"/>
              </w:rPr>
              <w:t>Respondents</w:t>
            </w:r>
          </w:p>
          <w:p w:rsidR="004B4811" w:rsidRPr="00EC501A" w:rsidRDefault="004B4811">
            <w:pPr>
              <w:rPr>
                <w:rFonts w:ascii="Calibri" w:hAnsi="Calibri"/>
                <w:bCs/>
                <w:i/>
                <w:color w:val="000000"/>
                <w:sz w:val="22"/>
                <w:szCs w:val="22"/>
              </w:rPr>
            </w:pPr>
            <w:r w:rsidRPr="00EC501A">
              <w:rPr>
                <w:rFonts w:ascii="Calibri" w:hAnsi="Calibri"/>
                <w:bCs/>
                <w:i/>
                <w:color w:val="000000"/>
                <w:sz w:val="22"/>
                <w:szCs w:val="22"/>
              </w:rPr>
              <w:t>(a)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AF7BFC" w:rsidRDefault="00AF7BFC">
            <w:pPr>
              <w:rPr>
                <w:rFonts w:ascii="Calibri" w:hAnsi="Calibri"/>
                <w:b/>
                <w:bCs/>
                <w:color w:val="000000"/>
                <w:sz w:val="22"/>
                <w:szCs w:val="22"/>
              </w:rPr>
            </w:pPr>
            <w:r>
              <w:rPr>
                <w:rFonts w:ascii="Calibri" w:hAnsi="Calibri"/>
                <w:b/>
                <w:bCs/>
                <w:color w:val="000000"/>
                <w:sz w:val="22"/>
                <w:szCs w:val="22"/>
              </w:rPr>
              <w:t xml:space="preserve">Frequency/ </w:t>
            </w:r>
            <w:r w:rsidR="006067F3">
              <w:rPr>
                <w:rFonts w:ascii="Calibri" w:hAnsi="Calibri"/>
                <w:b/>
                <w:bCs/>
                <w:color w:val="000000"/>
                <w:sz w:val="22"/>
                <w:szCs w:val="22"/>
              </w:rPr>
              <w:t>(</w:t>
            </w:r>
            <w:r>
              <w:rPr>
                <w:rFonts w:ascii="Calibri" w:hAnsi="Calibri"/>
                <w:b/>
                <w:bCs/>
                <w:color w:val="000000"/>
                <w:sz w:val="22"/>
                <w:szCs w:val="22"/>
              </w:rPr>
              <w:t>Quarterly</w:t>
            </w:r>
            <w:r w:rsidR="006067F3">
              <w:rPr>
                <w:rFonts w:ascii="Calibri" w:hAnsi="Calibri"/>
                <w:b/>
                <w:bCs/>
                <w:color w:val="000000"/>
                <w:sz w:val="22"/>
                <w:szCs w:val="22"/>
              </w:rPr>
              <w:t>)</w:t>
            </w:r>
            <w:r>
              <w:rPr>
                <w:rFonts w:ascii="Calibri" w:hAnsi="Calibri"/>
                <w:b/>
                <w:bCs/>
                <w:color w:val="000000"/>
                <w:sz w:val="22"/>
                <w:szCs w:val="22"/>
              </w:rPr>
              <w:t xml:space="preserve"> </w:t>
            </w:r>
          </w:p>
          <w:p w:rsidR="004B4811" w:rsidRPr="00EC501A" w:rsidRDefault="004B4811">
            <w:pPr>
              <w:rPr>
                <w:rFonts w:ascii="Calibri" w:hAnsi="Calibri"/>
                <w:bCs/>
                <w:i/>
                <w:color w:val="000000"/>
                <w:sz w:val="22"/>
                <w:szCs w:val="22"/>
              </w:rPr>
            </w:pPr>
            <w:r>
              <w:rPr>
                <w:rFonts w:ascii="Calibri" w:hAnsi="Calibri"/>
                <w:b/>
                <w:bCs/>
                <w:color w:val="000000"/>
                <w:sz w:val="22"/>
                <w:szCs w:val="22"/>
              </w:rPr>
              <w:t xml:space="preserve"> </w:t>
            </w:r>
            <w:r w:rsidRPr="00EC501A">
              <w:rPr>
                <w:rFonts w:ascii="Calibri" w:hAnsi="Calibri"/>
                <w:bCs/>
                <w:i/>
                <w:color w:val="000000"/>
                <w:sz w:val="22"/>
                <w:szCs w:val="22"/>
              </w:rPr>
              <w:t>(b)</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4B4811" w:rsidRDefault="00AF7BFC">
            <w:pPr>
              <w:rPr>
                <w:rFonts w:ascii="Calibri" w:hAnsi="Calibri"/>
                <w:b/>
                <w:bCs/>
                <w:i/>
                <w:iCs/>
                <w:color w:val="000000"/>
                <w:sz w:val="22"/>
                <w:szCs w:val="22"/>
              </w:rPr>
            </w:pPr>
            <w:r>
              <w:rPr>
                <w:rFonts w:ascii="Calibri" w:hAnsi="Calibri"/>
                <w:b/>
                <w:bCs/>
                <w:i/>
                <w:iCs/>
                <w:color w:val="000000"/>
                <w:sz w:val="22"/>
                <w:szCs w:val="22"/>
              </w:rPr>
              <w:t xml:space="preserve">Responses </w:t>
            </w:r>
          </w:p>
          <w:p w:rsidR="004B4811" w:rsidRDefault="004B4811">
            <w:pPr>
              <w:rPr>
                <w:rFonts w:ascii="Calibri" w:hAnsi="Calibri"/>
                <w:b/>
                <w:bCs/>
                <w:i/>
                <w:iCs/>
                <w:color w:val="000000"/>
                <w:sz w:val="22"/>
                <w:szCs w:val="22"/>
              </w:rPr>
            </w:pPr>
            <w:r>
              <w:rPr>
                <w:rFonts w:ascii="Calibri" w:hAnsi="Calibri"/>
                <w:b/>
                <w:bCs/>
                <w:i/>
                <w:iCs/>
                <w:color w:val="000000"/>
                <w:sz w:val="22"/>
                <w:szCs w:val="22"/>
              </w:rPr>
              <w:t>(Total Number of Quarters)</w:t>
            </w:r>
          </w:p>
          <w:p w:rsidR="004B4811" w:rsidRPr="00EC501A" w:rsidRDefault="004B4811" w:rsidP="00852762">
            <w:pPr>
              <w:rPr>
                <w:rFonts w:ascii="Calibri" w:hAnsi="Calibri"/>
                <w:bCs/>
                <w:i/>
                <w:iCs/>
                <w:color w:val="000000"/>
                <w:sz w:val="22"/>
                <w:szCs w:val="22"/>
              </w:rPr>
            </w:pPr>
            <w:r w:rsidRPr="00EC501A">
              <w:rPr>
                <w:rFonts w:ascii="Calibri" w:hAnsi="Calibri"/>
                <w:bCs/>
                <w:i/>
                <w:iCs/>
                <w:color w:val="000000"/>
                <w:sz w:val="22"/>
                <w:szCs w:val="22"/>
              </w:rPr>
              <w:t>a x b</w:t>
            </w:r>
            <w:r w:rsidR="00852762">
              <w:rPr>
                <w:rFonts w:ascii="Calibri" w:hAnsi="Calibri"/>
                <w:bCs/>
                <w:i/>
                <w:iCs/>
                <w:color w:val="000000"/>
                <w:sz w:val="22"/>
                <w:szCs w:val="22"/>
              </w:rPr>
              <w:t xml:space="preserve"> </w:t>
            </w:r>
            <w:r w:rsidR="00852762" w:rsidRPr="00852762">
              <w:rPr>
                <w:rFonts w:ascii="Calibri" w:hAnsi="Calibri"/>
                <w:bCs/>
                <w:i/>
                <w:iCs/>
                <w:color w:val="000000"/>
                <w:sz w:val="22"/>
                <w:szCs w:val="22"/>
              </w:rPr>
              <w:t>=</w:t>
            </w:r>
            <w:r w:rsidR="00852762">
              <w:rPr>
                <w:rFonts w:ascii="Calibri" w:hAnsi="Calibri"/>
                <w:bCs/>
                <w:i/>
                <w:iCs/>
                <w:color w:val="000000"/>
                <w:sz w:val="22"/>
                <w:szCs w:val="22"/>
              </w:rPr>
              <w:t>(c)</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F7BFC" w:rsidRDefault="006067F3">
            <w:pPr>
              <w:rPr>
                <w:rFonts w:ascii="Calibri" w:hAnsi="Calibri"/>
                <w:b/>
                <w:bCs/>
                <w:color w:val="000000"/>
                <w:sz w:val="22"/>
                <w:szCs w:val="22"/>
              </w:rPr>
            </w:pPr>
            <w:r>
              <w:rPr>
                <w:rFonts w:ascii="Calibri" w:hAnsi="Calibri"/>
                <w:b/>
                <w:bCs/>
                <w:color w:val="000000"/>
                <w:sz w:val="22"/>
                <w:szCs w:val="22"/>
              </w:rPr>
              <w:t>Time</w:t>
            </w:r>
            <w:r w:rsidR="00AF7BFC">
              <w:rPr>
                <w:rFonts w:ascii="Calibri" w:hAnsi="Calibri"/>
                <w:b/>
                <w:bCs/>
                <w:color w:val="000000"/>
                <w:sz w:val="22"/>
                <w:szCs w:val="22"/>
              </w:rPr>
              <w:t xml:space="preserve"> </w:t>
            </w:r>
            <w:r>
              <w:rPr>
                <w:rFonts w:ascii="Calibri" w:hAnsi="Calibri"/>
                <w:b/>
                <w:bCs/>
                <w:color w:val="000000"/>
                <w:sz w:val="22"/>
                <w:szCs w:val="22"/>
              </w:rPr>
              <w:t>(</w:t>
            </w:r>
            <w:r w:rsidR="00AF7BFC">
              <w:rPr>
                <w:rFonts w:ascii="Calibri" w:hAnsi="Calibri"/>
                <w:b/>
                <w:bCs/>
                <w:color w:val="000000"/>
                <w:sz w:val="22"/>
                <w:szCs w:val="22"/>
              </w:rPr>
              <w:t>Hours</w:t>
            </w:r>
            <w:r>
              <w:rPr>
                <w:rFonts w:ascii="Calibri" w:hAnsi="Calibri"/>
                <w:b/>
                <w:bCs/>
                <w:color w:val="000000"/>
                <w:sz w:val="22"/>
                <w:szCs w:val="22"/>
              </w:rPr>
              <w:t>)</w:t>
            </w:r>
          </w:p>
          <w:p w:rsidR="004B4811" w:rsidRPr="00EC501A" w:rsidRDefault="004B4811">
            <w:pPr>
              <w:rPr>
                <w:rFonts w:ascii="Calibri" w:hAnsi="Calibri"/>
                <w:bCs/>
                <w:color w:val="000000"/>
                <w:sz w:val="22"/>
                <w:szCs w:val="22"/>
              </w:rPr>
            </w:pPr>
            <w:r w:rsidRPr="00EC501A">
              <w:rPr>
                <w:rFonts w:ascii="Calibri" w:hAnsi="Calibri"/>
                <w:bCs/>
                <w:color w:val="000000"/>
                <w:sz w:val="22"/>
                <w:szCs w:val="22"/>
              </w:rPr>
              <w:t>(d)</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AF7BFC" w:rsidRDefault="00AF7BFC">
            <w:pPr>
              <w:rPr>
                <w:rFonts w:ascii="Calibri" w:hAnsi="Calibri"/>
                <w:b/>
                <w:bCs/>
                <w:i/>
                <w:iCs/>
                <w:color w:val="000000"/>
                <w:sz w:val="22"/>
                <w:szCs w:val="22"/>
              </w:rPr>
            </w:pPr>
            <w:r>
              <w:rPr>
                <w:rFonts w:ascii="Calibri" w:hAnsi="Calibri"/>
                <w:b/>
                <w:bCs/>
                <w:i/>
                <w:iCs/>
                <w:color w:val="000000"/>
                <w:sz w:val="22"/>
                <w:szCs w:val="22"/>
              </w:rPr>
              <w:t>Burden Hours</w:t>
            </w:r>
          </w:p>
          <w:p w:rsidR="004B4811" w:rsidRPr="00EC501A" w:rsidRDefault="00852762" w:rsidP="004B4811">
            <w:pPr>
              <w:rPr>
                <w:rFonts w:ascii="Calibri" w:hAnsi="Calibri"/>
                <w:bCs/>
                <w:i/>
                <w:iCs/>
                <w:color w:val="000000"/>
                <w:sz w:val="22"/>
                <w:szCs w:val="22"/>
              </w:rPr>
            </w:pPr>
            <w:r>
              <w:rPr>
                <w:rFonts w:ascii="Calibri" w:hAnsi="Calibri"/>
                <w:b/>
                <w:bCs/>
                <w:i/>
                <w:iCs/>
                <w:color w:val="000000"/>
                <w:sz w:val="22"/>
                <w:szCs w:val="22"/>
              </w:rPr>
              <w:t xml:space="preserve"> </w:t>
            </w:r>
            <w:r w:rsidRPr="00EC501A">
              <w:rPr>
                <w:rFonts w:ascii="Calibri" w:hAnsi="Calibri"/>
                <w:bCs/>
                <w:i/>
                <w:iCs/>
                <w:color w:val="000000"/>
                <w:sz w:val="22"/>
                <w:szCs w:val="22"/>
              </w:rPr>
              <w:t>(c)x(d) =  (e)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AF7BFC" w:rsidRDefault="00AF7BFC">
            <w:pPr>
              <w:rPr>
                <w:rFonts w:ascii="Calibri" w:hAnsi="Calibri"/>
                <w:b/>
                <w:bCs/>
                <w:color w:val="000000"/>
                <w:sz w:val="22"/>
                <w:szCs w:val="22"/>
              </w:rPr>
            </w:pPr>
            <w:r>
              <w:rPr>
                <w:rFonts w:ascii="Calibri" w:hAnsi="Calibri"/>
                <w:b/>
                <w:bCs/>
                <w:color w:val="000000"/>
                <w:sz w:val="22"/>
                <w:szCs w:val="22"/>
              </w:rPr>
              <w:t>Wage Rate</w:t>
            </w:r>
            <w:r w:rsidR="00954D78">
              <w:rPr>
                <w:rFonts w:ascii="Calibri" w:hAnsi="Calibri"/>
                <w:b/>
                <w:bCs/>
                <w:color w:val="000000"/>
                <w:sz w:val="22"/>
                <w:szCs w:val="22"/>
              </w:rPr>
              <w:t>s</w:t>
            </w:r>
          </w:p>
          <w:p w:rsidR="004B4811" w:rsidRPr="00EC501A" w:rsidRDefault="004B4811">
            <w:pPr>
              <w:rPr>
                <w:rFonts w:ascii="Calibri" w:hAnsi="Calibri"/>
                <w:bCs/>
                <w:i/>
                <w:color w:val="000000"/>
                <w:sz w:val="22"/>
                <w:szCs w:val="22"/>
              </w:rPr>
            </w:pPr>
            <w:r w:rsidRPr="00EC501A">
              <w:rPr>
                <w:rFonts w:ascii="Calibri" w:hAnsi="Calibri"/>
                <w:bCs/>
                <w:i/>
                <w:color w:val="000000"/>
                <w:sz w:val="22"/>
                <w:szCs w:val="22"/>
              </w:rPr>
              <w:t xml:space="preserve">(f)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AF7BFC" w:rsidRDefault="00AF7BFC">
            <w:pPr>
              <w:rPr>
                <w:rFonts w:ascii="Calibri" w:hAnsi="Calibri"/>
                <w:b/>
                <w:bCs/>
                <w:i/>
                <w:iCs/>
                <w:color w:val="000000"/>
                <w:sz w:val="22"/>
                <w:szCs w:val="22"/>
              </w:rPr>
            </w:pPr>
            <w:r>
              <w:rPr>
                <w:rFonts w:ascii="Calibri" w:hAnsi="Calibri"/>
                <w:b/>
                <w:bCs/>
                <w:i/>
                <w:iCs/>
                <w:color w:val="000000"/>
                <w:sz w:val="22"/>
                <w:szCs w:val="22"/>
              </w:rPr>
              <w:t xml:space="preserve">Item 12 Costs </w:t>
            </w:r>
          </w:p>
          <w:p w:rsidR="004B4811" w:rsidRPr="00EC501A" w:rsidRDefault="00852762">
            <w:pPr>
              <w:rPr>
                <w:rFonts w:ascii="Calibri" w:hAnsi="Calibri"/>
                <w:bCs/>
                <w:i/>
                <w:iCs/>
                <w:color w:val="000000"/>
                <w:sz w:val="22"/>
                <w:szCs w:val="22"/>
              </w:rPr>
            </w:pPr>
            <w:r>
              <w:rPr>
                <w:rFonts w:ascii="Calibri" w:hAnsi="Calibri"/>
                <w:bCs/>
                <w:i/>
                <w:iCs/>
                <w:color w:val="000000"/>
                <w:sz w:val="22"/>
                <w:szCs w:val="22"/>
              </w:rPr>
              <w:t>(</w:t>
            </w:r>
            <w:r w:rsidRPr="00852762">
              <w:rPr>
                <w:rFonts w:ascii="Calibri" w:hAnsi="Calibri"/>
                <w:bCs/>
                <w:i/>
                <w:iCs/>
                <w:color w:val="000000"/>
                <w:sz w:val="22"/>
                <w:szCs w:val="22"/>
              </w:rPr>
              <w:t>e</w:t>
            </w:r>
            <w:r>
              <w:rPr>
                <w:rFonts w:ascii="Calibri" w:hAnsi="Calibri"/>
                <w:bCs/>
                <w:i/>
                <w:iCs/>
                <w:color w:val="000000"/>
                <w:sz w:val="22"/>
                <w:szCs w:val="22"/>
              </w:rPr>
              <w:t>)</w:t>
            </w:r>
            <w:r w:rsidR="004B4811" w:rsidRPr="00EC501A">
              <w:rPr>
                <w:rFonts w:ascii="Calibri" w:hAnsi="Calibri"/>
                <w:bCs/>
                <w:i/>
                <w:iCs/>
                <w:color w:val="000000"/>
                <w:sz w:val="22"/>
                <w:szCs w:val="22"/>
              </w:rPr>
              <w:t>x</w:t>
            </w:r>
            <w:r>
              <w:rPr>
                <w:rFonts w:ascii="Calibri" w:hAnsi="Calibri"/>
                <w:bCs/>
                <w:i/>
                <w:iCs/>
                <w:color w:val="000000"/>
                <w:sz w:val="22"/>
                <w:szCs w:val="22"/>
              </w:rPr>
              <w:t>(</w:t>
            </w:r>
            <w:r w:rsidR="004B4811" w:rsidRPr="00EC501A">
              <w:rPr>
                <w:rFonts w:ascii="Calibri" w:hAnsi="Calibri"/>
                <w:bCs/>
                <w:i/>
                <w:iCs/>
                <w:color w:val="000000"/>
                <w:sz w:val="22"/>
                <w:szCs w:val="22"/>
              </w:rPr>
              <w:t xml:space="preserve"> f</w:t>
            </w:r>
            <w:r>
              <w:rPr>
                <w:rFonts w:ascii="Calibri" w:hAnsi="Calibri"/>
                <w:bCs/>
                <w:i/>
                <w:iCs/>
                <w:color w:val="000000"/>
                <w:sz w:val="22"/>
                <w:szCs w:val="22"/>
              </w:rPr>
              <w:t>) =(g)</w:t>
            </w:r>
          </w:p>
        </w:tc>
      </w:tr>
      <w:tr w:rsidR="00AF7BFC" w:rsidTr="00E36D24">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109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436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8F57D2" w:rsidP="004B4811">
            <w:pPr>
              <w:jc w:val="right"/>
              <w:rPr>
                <w:rFonts w:ascii="Calibri" w:hAnsi="Calibri"/>
                <w:color w:val="000000"/>
                <w:sz w:val="22"/>
                <w:szCs w:val="22"/>
              </w:rPr>
            </w:pPr>
            <w:r>
              <w:rPr>
                <w:rFonts w:ascii="Calibri" w:hAnsi="Calibri"/>
                <w:color w:val="000000"/>
                <w:sz w:val="22"/>
                <w:szCs w:val="22"/>
              </w:rPr>
              <w:t>7</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465BE7">
            <w:pPr>
              <w:jc w:val="right"/>
              <w:rPr>
                <w:rFonts w:ascii="Calibri" w:hAnsi="Calibri"/>
                <w:color w:val="000000"/>
                <w:sz w:val="22"/>
                <w:szCs w:val="22"/>
              </w:rPr>
            </w:pPr>
            <w:r>
              <w:rPr>
                <w:rFonts w:ascii="Calibri" w:hAnsi="Calibri"/>
                <w:color w:val="000000"/>
                <w:sz w:val="22"/>
                <w:szCs w:val="22"/>
              </w:rPr>
              <w:t>3,052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7B7D65" w:rsidP="003004CC">
            <w:pPr>
              <w:jc w:val="right"/>
              <w:rPr>
                <w:rFonts w:ascii="Calibri" w:hAnsi="Calibri"/>
                <w:color w:val="000000"/>
                <w:sz w:val="22"/>
                <w:szCs w:val="22"/>
              </w:rPr>
            </w:pPr>
            <w:r>
              <w:rPr>
                <w:rFonts w:ascii="Calibri" w:hAnsi="Calibri"/>
                <w:color w:val="000000"/>
                <w:sz w:val="22"/>
                <w:szCs w:val="22"/>
              </w:rPr>
              <w:t>$5</w:t>
            </w:r>
            <w:r w:rsidR="003004CC">
              <w:rPr>
                <w:rFonts w:ascii="Calibri" w:hAnsi="Calibri"/>
                <w:color w:val="000000"/>
                <w:sz w:val="22"/>
                <w:szCs w:val="22"/>
              </w:rPr>
              <w:t>1.02</w:t>
            </w:r>
            <w:r>
              <w:rPr>
                <w:rFonts w:ascii="Calibri" w:hAnsi="Calibri"/>
                <w:color w:val="000000"/>
                <w:sz w:val="22"/>
                <w:szCs w:val="22"/>
              </w:rPr>
              <w:t xml:space="preserve"> </w:t>
            </w:r>
            <w:r w:rsidR="00AF7BFC">
              <w:rPr>
                <w:rFonts w:ascii="Calibri" w:hAnsi="Calibri"/>
                <w:color w:val="000000"/>
                <w:sz w:val="22"/>
                <w:szCs w:val="22"/>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F7BFC" w:rsidRPr="00EC501A" w:rsidRDefault="000C77BD" w:rsidP="004B4811">
            <w:pPr>
              <w:jc w:val="right"/>
              <w:rPr>
                <w:rFonts w:asciiTheme="minorHAnsi" w:hAnsiTheme="minorHAnsi"/>
                <w:color w:val="000000"/>
                <w:sz w:val="22"/>
                <w:szCs w:val="22"/>
              </w:rPr>
            </w:pPr>
            <w:r w:rsidRPr="00EC501A">
              <w:rPr>
                <w:rFonts w:asciiTheme="minorHAnsi" w:hAnsiTheme="minorHAnsi"/>
                <w:color w:val="000000"/>
                <w:sz w:val="22"/>
                <w:szCs w:val="22"/>
              </w:rPr>
              <w:t>$</w:t>
            </w:r>
            <w:r w:rsidR="003E73BA">
              <w:rPr>
                <w:rStyle w:val="CommentReference"/>
                <w:rFonts w:asciiTheme="minorHAnsi" w:hAnsiTheme="minorHAnsi"/>
                <w:sz w:val="22"/>
                <w:szCs w:val="22"/>
              </w:rPr>
              <w:t>155,</w:t>
            </w:r>
            <w:r w:rsidR="003004CC">
              <w:rPr>
                <w:rStyle w:val="CommentReference"/>
                <w:rFonts w:asciiTheme="minorHAnsi" w:hAnsiTheme="minorHAnsi"/>
                <w:sz w:val="22"/>
                <w:szCs w:val="22"/>
              </w:rPr>
              <w:t>713</w:t>
            </w:r>
          </w:p>
        </w:tc>
      </w:tr>
      <w:tr w:rsidR="00AF7BFC" w:rsidTr="00E36D24">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109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AF7BFC">
            <w:pPr>
              <w:jc w:val="right"/>
              <w:rPr>
                <w:rFonts w:ascii="Calibri" w:hAnsi="Calibri"/>
                <w:color w:val="000000"/>
                <w:sz w:val="22"/>
                <w:szCs w:val="22"/>
              </w:rPr>
            </w:pPr>
            <w:r>
              <w:rPr>
                <w:rFonts w:ascii="Calibri" w:hAnsi="Calibri"/>
                <w:color w:val="000000"/>
                <w:sz w:val="22"/>
                <w:szCs w:val="22"/>
              </w:rPr>
              <w:t>436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8F57D2" w:rsidP="004B4811">
            <w:pPr>
              <w:jc w:val="right"/>
              <w:rPr>
                <w:rFonts w:ascii="Calibri" w:hAnsi="Calibri"/>
                <w:color w:val="000000"/>
                <w:sz w:val="22"/>
                <w:szCs w:val="22"/>
              </w:rPr>
            </w:pPr>
            <w:r>
              <w:rPr>
                <w:rFonts w:ascii="Calibri" w:hAnsi="Calibri"/>
                <w:color w:val="000000"/>
                <w:sz w:val="22"/>
                <w:szCs w:val="22"/>
              </w:rPr>
              <w:t>7</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465BE7">
            <w:pPr>
              <w:jc w:val="right"/>
              <w:rPr>
                <w:rFonts w:ascii="Calibri" w:hAnsi="Calibri"/>
                <w:color w:val="000000"/>
                <w:sz w:val="22"/>
                <w:szCs w:val="22"/>
              </w:rPr>
            </w:pPr>
            <w:r>
              <w:rPr>
                <w:rFonts w:ascii="Calibri" w:hAnsi="Calibri"/>
                <w:color w:val="000000"/>
                <w:sz w:val="22"/>
                <w:szCs w:val="22"/>
              </w:rPr>
              <w:t>3,052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954D78">
            <w:pPr>
              <w:jc w:val="right"/>
              <w:rPr>
                <w:rFonts w:ascii="Calibri" w:hAnsi="Calibri"/>
                <w:color w:val="000000"/>
                <w:sz w:val="22"/>
                <w:szCs w:val="22"/>
              </w:rPr>
            </w:pPr>
            <w:r>
              <w:rPr>
                <w:rFonts w:ascii="Calibri" w:hAnsi="Calibri"/>
                <w:color w:val="000000"/>
                <w:sz w:val="22"/>
                <w:szCs w:val="22"/>
              </w:rPr>
              <w:t>$</w:t>
            </w:r>
            <w:r w:rsidR="003004CC">
              <w:rPr>
                <w:rFonts w:ascii="Calibri" w:hAnsi="Calibri"/>
                <w:color w:val="000000"/>
                <w:sz w:val="22"/>
                <w:szCs w:val="22"/>
              </w:rPr>
              <w:t>25.45</w:t>
            </w:r>
            <w:r w:rsidR="00AF7BFC">
              <w:rPr>
                <w:rFonts w:ascii="Calibri" w:hAnsi="Calibri"/>
                <w:color w:val="000000"/>
                <w:sz w:val="22"/>
                <w:szCs w:val="22"/>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0C77BD">
            <w:pPr>
              <w:jc w:val="right"/>
              <w:rPr>
                <w:rFonts w:ascii="Calibri" w:hAnsi="Calibri"/>
                <w:color w:val="000000"/>
                <w:sz w:val="22"/>
                <w:szCs w:val="22"/>
              </w:rPr>
            </w:pPr>
            <w:r>
              <w:rPr>
                <w:rFonts w:ascii="Calibri" w:hAnsi="Calibri"/>
                <w:color w:val="000000"/>
                <w:sz w:val="22"/>
                <w:szCs w:val="22"/>
              </w:rPr>
              <w:t>$</w:t>
            </w:r>
            <w:r w:rsidR="003004CC">
              <w:rPr>
                <w:rFonts w:ascii="Calibri" w:hAnsi="Calibri"/>
                <w:color w:val="000000"/>
                <w:sz w:val="22"/>
                <w:szCs w:val="22"/>
              </w:rPr>
              <w:t>77,673</w:t>
            </w:r>
            <w:r w:rsidR="00AF7BFC">
              <w:rPr>
                <w:rFonts w:ascii="Calibri" w:hAnsi="Calibri"/>
                <w:color w:val="000000"/>
                <w:sz w:val="22"/>
                <w:szCs w:val="22"/>
              </w:rPr>
              <w:t xml:space="preserve"> </w:t>
            </w:r>
          </w:p>
        </w:tc>
      </w:tr>
      <w:tr w:rsidR="00AF7BFC" w:rsidTr="00E36D24">
        <w:trPr>
          <w:trHeight w:val="300"/>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BFC" w:rsidRDefault="00E36D24">
            <w:pPr>
              <w:rPr>
                <w:rFonts w:ascii="Calibri" w:hAnsi="Calibri"/>
                <w:color w:val="000000"/>
                <w:sz w:val="22"/>
                <w:szCs w:val="22"/>
              </w:rPr>
            </w:pPr>
            <w:r>
              <w:rPr>
                <w:rFonts w:ascii="Calibri" w:hAnsi="Calibri"/>
                <w:color w:val="000000"/>
                <w:sz w:val="22"/>
                <w:szCs w:val="22"/>
              </w:rPr>
              <w:t xml:space="preserve">Unduplicated </w:t>
            </w:r>
            <w:r w:rsidR="00AF7BFC">
              <w:rPr>
                <w:rFonts w:ascii="Calibri" w:hAnsi="Calibri"/>
                <w:color w:val="000000"/>
                <w:sz w:val="22"/>
                <w:szCs w:val="22"/>
              </w:rPr>
              <w:t>Totals</w:t>
            </w:r>
            <w:r w:rsidR="009A7B94">
              <w:rPr>
                <w:rFonts w:ascii="Calibri" w:hAnsi="Calibri"/>
                <w:color w:val="000000"/>
                <w:sz w:val="22"/>
                <w:szCs w:val="22"/>
              </w:rPr>
              <w:t xml:space="preserve">       109</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AF7BFC" w:rsidP="00E36D24">
            <w:pPr>
              <w:jc w:val="right"/>
              <w:rPr>
                <w:rFonts w:ascii="Calibri" w:hAnsi="Calibri"/>
                <w:color w:val="000000"/>
                <w:sz w:val="22"/>
                <w:szCs w:val="22"/>
              </w:rPr>
            </w:pPr>
            <w:r>
              <w:rPr>
                <w:rFonts w:ascii="Calibri" w:hAnsi="Calibri"/>
                <w:color w:val="000000"/>
                <w:sz w:val="22"/>
                <w:szCs w:val="22"/>
              </w:rPr>
              <w:t> </w:t>
            </w:r>
            <w:r w:rsidR="00E36D24">
              <w:rPr>
                <w:rFonts w:ascii="Calibri" w:hAnsi="Calibri"/>
                <w:color w:val="000000"/>
                <w:sz w:val="22"/>
                <w:szCs w:val="22"/>
              </w:rPr>
              <w:t>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AF7BFC" w:rsidRPr="00EC501A" w:rsidRDefault="009A7B94">
            <w:pPr>
              <w:jc w:val="right"/>
              <w:rPr>
                <w:rFonts w:ascii="Calibri" w:hAnsi="Calibri"/>
                <w:b/>
                <w:color w:val="000000"/>
                <w:sz w:val="22"/>
                <w:szCs w:val="22"/>
              </w:rPr>
            </w:pPr>
            <w:r>
              <w:rPr>
                <w:rFonts w:ascii="Calibri" w:hAnsi="Calibri"/>
                <w:b/>
                <w:color w:val="000000"/>
                <w:sz w:val="22"/>
                <w:szCs w:val="22"/>
              </w:rPr>
              <w:t>436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9A7B94" w:rsidP="009A7B94">
            <w:pPr>
              <w:rPr>
                <w:rFonts w:ascii="Calibri" w:hAnsi="Calibri"/>
                <w:color w:val="000000"/>
                <w:sz w:val="22"/>
                <w:szCs w:val="22"/>
              </w:rPr>
            </w:pPr>
            <w:r>
              <w:rPr>
                <w:rFonts w:ascii="Calibri" w:hAnsi="Calibri"/>
                <w:color w:val="000000"/>
                <w:sz w:val="22"/>
                <w:szCs w:val="22"/>
              </w:rPr>
              <w:t xml:space="preserve">         14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465BE7">
            <w:pPr>
              <w:jc w:val="right"/>
              <w:rPr>
                <w:rFonts w:ascii="Calibri" w:hAnsi="Calibri"/>
                <w:b/>
                <w:bCs/>
                <w:color w:val="000000"/>
                <w:sz w:val="22"/>
                <w:szCs w:val="22"/>
              </w:rPr>
            </w:pPr>
            <w:r>
              <w:rPr>
                <w:rFonts w:ascii="Calibri" w:hAnsi="Calibri"/>
                <w:b/>
                <w:bCs/>
                <w:color w:val="000000"/>
                <w:sz w:val="22"/>
                <w:szCs w:val="22"/>
              </w:rPr>
              <w:t>6,104</w:t>
            </w:r>
          </w:p>
        </w:tc>
        <w:tc>
          <w:tcPr>
            <w:tcW w:w="900"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AF7BFC" w:rsidRDefault="00AF7BFC">
            <w:pPr>
              <w:rPr>
                <w:rFonts w:ascii="Calibri" w:hAnsi="Calibri"/>
                <w:color w:val="000000"/>
                <w:sz w:val="22"/>
                <w:szCs w:val="22"/>
              </w:rPr>
            </w:pPr>
            <w:r>
              <w:rPr>
                <w:rFonts w:ascii="Calibri" w:hAnsi="Calibri"/>
                <w:color w:val="000000"/>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F7BFC" w:rsidRDefault="00852762">
            <w:pPr>
              <w:jc w:val="right"/>
              <w:rPr>
                <w:rFonts w:ascii="Calibri" w:hAnsi="Calibri"/>
                <w:b/>
                <w:bCs/>
                <w:color w:val="000000"/>
                <w:sz w:val="22"/>
                <w:szCs w:val="22"/>
              </w:rPr>
            </w:pPr>
            <w:r>
              <w:rPr>
                <w:rFonts w:ascii="Calibri" w:hAnsi="Calibri"/>
                <w:b/>
                <w:bCs/>
                <w:color w:val="000000"/>
                <w:sz w:val="22"/>
                <w:szCs w:val="22"/>
              </w:rPr>
              <w:t>$</w:t>
            </w:r>
            <w:r w:rsidR="003004CC">
              <w:rPr>
                <w:rFonts w:ascii="Calibri" w:hAnsi="Calibri"/>
                <w:b/>
                <w:bCs/>
                <w:color w:val="000000"/>
                <w:sz w:val="22"/>
                <w:szCs w:val="22"/>
              </w:rPr>
              <w:t>233,386</w:t>
            </w:r>
            <w:r w:rsidR="00AF7BFC">
              <w:rPr>
                <w:rFonts w:ascii="Calibri" w:hAnsi="Calibri"/>
                <w:b/>
                <w:bCs/>
                <w:color w:val="000000"/>
                <w:sz w:val="22"/>
                <w:szCs w:val="22"/>
              </w:rPr>
              <w:t xml:space="preserve"> </w:t>
            </w:r>
          </w:p>
        </w:tc>
      </w:tr>
      <w:tr w:rsidR="00AF7BFC" w:rsidTr="00E36D24">
        <w:trPr>
          <w:trHeight w:val="300"/>
        </w:trPr>
        <w:tc>
          <w:tcPr>
            <w:tcW w:w="1444"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171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153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c>
          <w:tcPr>
            <w:tcW w:w="1620" w:type="dxa"/>
            <w:tcBorders>
              <w:top w:val="single" w:sz="4" w:space="0" w:color="auto"/>
              <w:left w:val="nil"/>
              <w:bottom w:val="nil"/>
              <w:right w:val="nil"/>
            </w:tcBorders>
            <w:shd w:val="clear" w:color="auto" w:fill="auto"/>
            <w:noWrap/>
            <w:vAlign w:val="bottom"/>
            <w:hideMark/>
          </w:tcPr>
          <w:p w:rsidR="00AF7BFC" w:rsidRDefault="00AF7BFC">
            <w:pPr>
              <w:rPr>
                <w:rFonts w:ascii="Calibri" w:hAnsi="Calibri"/>
                <w:color w:val="000000"/>
                <w:sz w:val="22"/>
                <w:szCs w:val="22"/>
              </w:rPr>
            </w:pPr>
          </w:p>
        </w:tc>
      </w:tr>
    </w:tbl>
    <w:p w:rsidR="00F72AFF" w:rsidRDefault="00F72AFF">
      <w:pPr>
        <w:pStyle w:val="Default"/>
        <w:rPr>
          <w:color w:val="auto"/>
          <w:sz w:val="23"/>
          <w:szCs w:val="23"/>
        </w:rPr>
      </w:pPr>
    </w:p>
    <w:p w:rsidR="00F72AFF" w:rsidRDefault="00F72AFF">
      <w:pPr>
        <w:pStyle w:val="Default"/>
        <w:rPr>
          <w:color w:val="auto"/>
          <w:sz w:val="20"/>
          <w:szCs w:val="20"/>
        </w:rPr>
      </w:pPr>
      <w:r>
        <w:rPr>
          <w:b/>
          <w:bCs/>
          <w:color w:val="auto"/>
          <w:sz w:val="20"/>
          <w:szCs w:val="20"/>
        </w:rPr>
        <w:t xml:space="preserve">13.  Provide an estimate of the total annual cost burden to respondents or recordkeepers resulting from the collection of information.  (Do not include the cost of any hour burden shown in Items 12 and 14.) </w:t>
      </w:r>
    </w:p>
    <w:p w:rsidR="00F72AFF" w:rsidRDefault="00F72AFF">
      <w:pPr>
        <w:pStyle w:val="Default"/>
        <w:rPr>
          <w:color w:val="auto"/>
          <w:sz w:val="20"/>
          <w:szCs w:val="20"/>
        </w:rPr>
      </w:pPr>
      <w:r>
        <w:rPr>
          <w:b/>
          <w:bCs/>
          <w:color w:val="auto"/>
          <w:sz w:val="20"/>
          <w:szCs w:val="20"/>
        </w:rPr>
        <w:t xml:space="preserve"> </w:t>
      </w:r>
    </w:p>
    <w:p w:rsidR="00F72AFF" w:rsidRDefault="00F72AFF" w:rsidP="00242AA3">
      <w:pPr>
        <w:pStyle w:val="Default"/>
        <w:numPr>
          <w:ilvl w:val="0"/>
          <w:numId w:val="1"/>
        </w:numPr>
        <w:rPr>
          <w:color w:val="auto"/>
          <w:sz w:val="20"/>
          <w:szCs w:val="20"/>
        </w:rPr>
      </w:pPr>
      <w:r>
        <w:rPr>
          <w:b/>
          <w:bCs/>
          <w:color w:val="auto"/>
          <w:sz w:val="2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72AFF" w:rsidRDefault="00F72AFF">
      <w:pPr>
        <w:pStyle w:val="Default"/>
        <w:ind w:firstLine="720"/>
        <w:rPr>
          <w:color w:val="auto"/>
          <w:sz w:val="20"/>
          <w:szCs w:val="20"/>
        </w:rPr>
      </w:pPr>
      <w:r>
        <w:rPr>
          <w:b/>
          <w:bCs/>
          <w:color w:val="auto"/>
          <w:sz w:val="20"/>
          <w:szCs w:val="20"/>
        </w:rPr>
        <w:t xml:space="preserve"> </w:t>
      </w:r>
    </w:p>
    <w:p w:rsidR="00523CE9" w:rsidRDefault="00F72AFF" w:rsidP="00242AA3">
      <w:pPr>
        <w:pStyle w:val="Default"/>
        <w:numPr>
          <w:ilvl w:val="0"/>
          <w:numId w:val="1"/>
        </w:numPr>
        <w:rPr>
          <w:b/>
          <w:bCs/>
          <w:color w:val="auto"/>
          <w:sz w:val="20"/>
          <w:szCs w:val="20"/>
        </w:rPr>
      </w:pPr>
      <w:r>
        <w:rPr>
          <w:b/>
          <w:bCs/>
          <w:color w:val="auto"/>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F0246E">
        <w:rPr>
          <w:b/>
          <w:bCs/>
          <w:color w:val="auto"/>
          <w:sz w:val="20"/>
          <w:szCs w:val="20"/>
        </w:rPr>
        <w:t>han 10), utilize the 60-day pre-</w:t>
      </w:r>
      <w:r>
        <w:rPr>
          <w:b/>
          <w:bCs/>
          <w:color w:val="auto"/>
          <w:sz w:val="20"/>
          <w:szCs w:val="20"/>
        </w:rPr>
        <w:t xml:space="preserve">OMB </w:t>
      </w:r>
    </w:p>
    <w:p w:rsidR="00F72AFF" w:rsidRPr="00242AA3" w:rsidRDefault="00F72AFF" w:rsidP="002F42B9">
      <w:pPr>
        <w:pStyle w:val="Default"/>
        <w:ind w:left="720"/>
        <w:rPr>
          <w:color w:val="auto"/>
          <w:sz w:val="20"/>
          <w:szCs w:val="20"/>
        </w:rPr>
      </w:pPr>
      <w:r>
        <w:rPr>
          <w:b/>
          <w:bCs/>
          <w:color w:val="auto"/>
          <w:sz w:val="20"/>
          <w:szCs w:val="20"/>
        </w:rPr>
        <w:t xml:space="preserve">submission public comment process and use existing economic or regulatory impact analysis associated with the rulemaking containing the information collection, as appropriate. </w:t>
      </w:r>
    </w:p>
    <w:p w:rsidR="00242AA3" w:rsidRDefault="00242AA3" w:rsidP="00242AA3">
      <w:pPr>
        <w:pStyle w:val="Default"/>
        <w:rPr>
          <w:color w:val="auto"/>
          <w:sz w:val="20"/>
          <w:szCs w:val="20"/>
        </w:rPr>
      </w:pPr>
    </w:p>
    <w:p w:rsidR="00F72AFF" w:rsidRDefault="00F72AFF" w:rsidP="00242AA3">
      <w:pPr>
        <w:pStyle w:val="Default"/>
        <w:numPr>
          <w:ilvl w:val="0"/>
          <w:numId w:val="1"/>
        </w:numPr>
        <w:rPr>
          <w:color w:val="auto"/>
          <w:sz w:val="23"/>
          <w:szCs w:val="23"/>
        </w:rPr>
      </w:pPr>
      <w:r>
        <w:rPr>
          <w:b/>
          <w:bCs/>
          <w:color w:val="auto"/>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795D6B" w:rsidRDefault="00795D6B">
      <w:pPr>
        <w:pStyle w:val="Default"/>
        <w:rPr>
          <w:color w:val="auto"/>
        </w:rPr>
      </w:pPr>
      <w:r w:rsidRPr="00795D6B">
        <w:rPr>
          <w:color w:val="auto"/>
        </w:rPr>
        <w:t>There are no additional costs to the respondents other than their time.</w:t>
      </w:r>
    </w:p>
    <w:p w:rsidR="00F72AFF" w:rsidRDefault="00F72AFF">
      <w:pPr>
        <w:pStyle w:val="Default"/>
        <w:rPr>
          <w:color w:val="auto"/>
          <w:sz w:val="23"/>
          <w:szCs w:val="23"/>
        </w:rPr>
      </w:pPr>
    </w:p>
    <w:p w:rsidR="00F72AFF" w:rsidRDefault="00F72AFF">
      <w:pPr>
        <w:pStyle w:val="Default"/>
        <w:rPr>
          <w:color w:val="auto"/>
          <w:sz w:val="23"/>
          <w:szCs w:val="23"/>
        </w:rPr>
      </w:pPr>
      <w:r>
        <w:rPr>
          <w:b/>
          <w:bCs/>
          <w:color w:val="auto"/>
          <w:sz w:val="20"/>
          <w:szCs w:val="20"/>
        </w:rPr>
        <w:t>14.  Provide estimates of the annualized cost to the Federal Government.  Also provide a description of the</w:t>
      </w:r>
      <w:r>
        <w:rPr>
          <w:color w:val="auto"/>
          <w:sz w:val="20"/>
          <w:szCs w:val="20"/>
        </w:rPr>
        <w:t xml:space="preserve"> </w:t>
      </w:r>
      <w:r>
        <w:rPr>
          <w:b/>
          <w:bCs/>
          <w:color w:val="auto"/>
          <w:sz w:val="20"/>
          <w:szCs w:val="20"/>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r>
        <w:rPr>
          <w:color w:val="auto"/>
          <w:sz w:val="23"/>
          <w:szCs w:val="23"/>
        </w:rPr>
        <w:t xml:space="preserve"> </w:t>
      </w:r>
    </w:p>
    <w:p w:rsidR="00F72AFF" w:rsidRDefault="00F72AFF">
      <w:pPr>
        <w:pStyle w:val="Default"/>
        <w:rPr>
          <w:color w:val="auto"/>
          <w:sz w:val="23"/>
          <w:szCs w:val="23"/>
        </w:rPr>
      </w:pPr>
      <w:r>
        <w:rPr>
          <w:color w:val="auto"/>
          <w:sz w:val="23"/>
          <w:szCs w:val="23"/>
        </w:rPr>
        <w:t xml:space="preserve"> </w:t>
      </w:r>
    </w:p>
    <w:p w:rsidR="00B33AF5" w:rsidRDefault="00B33AF5" w:rsidP="00B33AF5">
      <w:r>
        <w:rPr>
          <w:sz w:val="23"/>
          <w:szCs w:val="23"/>
        </w:rPr>
        <w:t xml:space="preserve">The </w:t>
      </w:r>
      <w:r>
        <w:t xml:space="preserve">Agency has no annualized cost associated </w:t>
      </w:r>
      <w:r w:rsidR="003E73BA">
        <w:t>the Grantee Quarterly Progress Report.</w:t>
      </w:r>
    </w:p>
    <w:p w:rsidR="00512549" w:rsidRDefault="00512549" w:rsidP="00512549">
      <w:pPr>
        <w:pStyle w:val="Default"/>
        <w:rPr>
          <w:color w:val="auto"/>
          <w:sz w:val="23"/>
          <w:szCs w:val="23"/>
        </w:rPr>
      </w:pPr>
    </w:p>
    <w:p w:rsidR="00512549" w:rsidRDefault="00512549" w:rsidP="00512549">
      <w:pPr>
        <w:pStyle w:val="Default"/>
        <w:rPr>
          <w:color w:val="auto"/>
          <w:sz w:val="23"/>
          <w:szCs w:val="23"/>
        </w:rPr>
      </w:pPr>
      <w:r>
        <w:rPr>
          <w:b/>
          <w:bCs/>
          <w:color w:val="auto"/>
          <w:sz w:val="20"/>
          <w:szCs w:val="20"/>
        </w:rPr>
        <w:t>15.  Explain the reasons for any program changes or adjustments.</w:t>
      </w:r>
      <w:r>
        <w:rPr>
          <w:color w:val="auto"/>
          <w:sz w:val="23"/>
          <w:szCs w:val="23"/>
        </w:rPr>
        <w:t xml:space="preserve"> </w:t>
      </w:r>
    </w:p>
    <w:p w:rsidR="00512549" w:rsidRDefault="00512549" w:rsidP="00512549">
      <w:pPr>
        <w:pStyle w:val="Default"/>
        <w:rPr>
          <w:color w:val="auto"/>
          <w:sz w:val="23"/>
          <w:szCs w:val="23"/>
        </w:rPr>
      </w:pPr>
      <w:r>
        <w:rPr>
          <w:color w:val="auto"/>
          <w:sz w:val="23"/>
          <w:szCs w:val="23"/>
        </w:rPr>
        <w:t xml:space="preserve"> </w:t>
      </w:r>
    </w:p>
    <w:p w:rsidR="004B4811" w:rsidRDefault="003E73BA" w:rsidP="00512549">
      <w:pPr>
        <w:pStyle w:val="Default"/>
        <w:rPr>
          <w:color w:val="auto"/>
          <w:sz w:val="23"/>
          <w:szCs w:val="23"/>
        </w:rPr>
      </w:pPr>
      <w:r>
        <w:rPr>
          <w:color w:val="auto"/>
        </w:rPr>
        <w:t>As a result of an increase in the number of grants per year 91 to 109, the Agency request</w:t>
      </w:r>
      <w:r w:rsidR="00175116">
        <w:rPr>
          <w:color w:val="auto"/>
        </w:rPr>
        <w:t>s</w:t>
      </w:r>
      <w:r>
        <w:rPr>
          <w:color w:val="auto"/>
        </w:rPr>
        <w:t xml:space="preserve"> an increase of</w:t>
      </w:r>
      <w:r w:rsidR="00175116">
        <w:rPr>
          <w:color w:val="auto"/>
        </w:rPr>
        <w:t xml:space="preserve"> 1,008 hours, from 5,096 to </w:t>
      </w:r>
      <w:r w:rsidR="002E6055">
        <w:rPr>
          <w:color w:val="auto"/>
        </w:rPr>
        <w:t>6,104</w:t>
      </w:r>
      <w:r w:rsidR="00175116">
        <w:rPr>
          <w:color w:val="auto"/>
        </w:rPr>
        <w:t xml:space="preserve"> hours.</w:t>
      </w:r>
    </w:p>
    <w:p w:rsidR="009A7956" w:rsidRDefault="009A7956" w:rsidP="00512549">
      <w:pPr>
        <w:pStyle w:val="Default"/>
        <w:rPr>
          <w:color w:val="auto"/>
          <w:sz w:val="23"/>
          <w:szCs w:val="23"/>
        </w:rPr>
      </w:pPr>
    </w:p>
    <w:p w:rsidR="00512549" w:rsidRDefault="00512549" w:rsidP="00512549">
      <w:pPr>
        <w:pStyle w:val="Default"/>
        <w:rPr>
          <w:color w:val="auto"/>
          <w:sz w:val="20"/>
          <w:szCs w:val="20"/>
        </w:rPr>
      </w:pPr>
      <w:r>
        <w:rPr>
          <w:b/>
          <w:bCs/>
          <w:color w:val="auto"/>
          <w:sz w:val="20"/>
          <w:szCs w:val="20"/>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rPr>
          <w:color w:val="auto"/>
        </w:rPr>
      </w:pPr>
      <w:r w:rsidRPr="00523CE9">
        <w:rPr>
          <w:color w:val="auto"/>
        </w:rPr>
        <w:t>OSHA will not publ</w:t>
      </w:r>
      <w:r w:rsidR="00722785">
        <w:rPr>
          <w:color w:val="auto"/>
        </w:rPr>
        <w:t>ish the information collected in</w:t>
      </w:r>
      <w:r w:rsidRPr="00523CE9">
        <w:rPr>
          <w:color w:val="auto"/>
        </w:rPr>
        <w:t xml:space="preserve"> the GQPR. </w:t>
      </w:r>
    </w:p>
    <w:p w:rsidR="00512549" w:rsidRDefault="00512549" w:rsidP="00512549">
      <w:pPr>
        <w:pStyle w:val="Default"/>
        <w:rPr>
          <w:color w:val="auto"/>
          <w:sz w:val="20"/>
          <w:szCs w:val="20"/>
        </w:rPr>
      </w:pPr>
      <w:r>
        <w:rPr>
          <w:color w:val="auto"/>
          <w:sz w:val="20"/>
          <w:szCs w:val="20"/>
        </w:rPr>
        <w:t xml:space="preserve"> </w:t>
      </w:r>
    </w:p>
    <w:p w:rsidR="00512549" w:rsidRDefault="00512549" w:rsidP="00512549">
      <w:pPr>
        <w:pStyle w:val="Default"/>
        <w:rPr>
          <w:color w:val="auto"/>
          <w:sz w:val="20"/>
          <w:szCs w:val="20"/>
        </w:rPr>
      </w:pPr>
      <w:r>
        <w:rPr>
          <w:b/>
          <w:bCs/>
          <w:color w:val="auto"/>
          <w:sz w:val="20"/>
          <w:szCs w:val="20"/>
        </w:rPr>
        <w:t>17.  If seeking approval to not display the expiration date for OMB approval of the information collection, explain the reasons that display would be inappropriate.</w:t>
      </w:r>
      <w:r>
        <w:rPr>
          <w:color w:val="auto"/>
          <w:sz w:val="20"/>
          <w:szCs w:val="20"/>
        </w:rPr>
        <w:t xml:space="preserve"> </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rPr>
          <w:color w:val="auto"/>
        </w:rPr>
      </w:pPr>
      <w:r w:rsidRPr="00523CE9">
        <w:rPr>
          <w:color w:val="auto"/>
        </w:rPr>
        <w:t xml:space="preserve">The expiration date is displayed on the </w:t>
      </w:r>
      <w:r w:rsidR="00EE0DC4">
        <w:rPr>
          <w:color w:val="auto"/>
        </w:rPr>
        <w:t>GQPR</w:t>
      </w:r>
      <w:r w:rsidRPr="00523CE9">
        <w:rPr>
          <w:color w:val="auto"/>
        </w:rPr>
        <w:t xml:space="preserve">. </w:t>
      </w:r>
    </w:p>
    <w:p w:rsidR="00512549" w:rsidRDefault="00512549" w:rsidP="00512549">
      <w:pPr>
        <w:pStyle w:val="Default"/>
        <w:rPr>
          <w:color w:val="auto"/>
          <w:sz w:val="20"/>
          <w:szCs w:val="20"/>
        </w:rPr>
      </w:pPr>
      <w:r>
        <w:rPr>
          <w:color w:val="auto"/>
          <w:sz w:val="20"/>
          <w:szCs w:val="20"/>
        </w:rPr>
        <w:t xml:space="preserve"> </w:t>
      </w:r>
    </w:p>
    <w:p w:rsidR="00512549" w:rsidRDefault="00512549" w:rsidP="00512549">
      <w:pPr>
        <w:pStyle w:val="Default"/>
        <w:rPr>
          <w:color w:val="auto"/>
          <w:sz w:val="20"/>
          <w:szCs w:val="20"/>
        </w:rPr>
      </w:pPr>
      <w:r>
        <w:rPr>
          <w:b/>
          <w:bCs/>
          <w:color w:val="auto"/>
          <w:sz w:val="20"/>
          <w:szCs w:val="20"/>
        </w:rPr>
        <w:t>18.  Explain each exception to the certification statement</w:t>
      </w:r>
      <w:r w:rsidR="00CF7240">
        <w:rPr>
          <w:b/>
          <w:bCs/>
          <w:color w:val="auto"/>
          <w:sz w:val="20"/>
          <w:szCs w:val="20"/>
        </w:rPr>
        <w:t xml:space="preserve"> in ROCIS</w:t>
      </w:r>
      <w:r>
        <w:rPr>
          <w:b/>
          <w:bCs/>
          <w:color w:val="auto"/>
          <w:sz w:val="20"/>
          <w:szCs w:val="20"/>
        </w:rPr>
        <w:t>.</w:t>
      </w:r>
    </w:p>
    <w:p w:rsidR="00512549" w:rsidRDefault="00512549" w:rsidP="00512549">
      <w:pPr>
        <w:pStyle w:val="Default"/>
        <w:rPr>
          <w:color w:val="auto"/>
          <w:sz w:val="20"/>
          <w:szCs w:val="20"/>
        </w:rPr>
      </w:pPr>
      <w:r>
        <w:rPr>
          <w:color w:val="auto"/>
          <w:sz w:val="20"/>
          <w:szCs w:val="20"/>
        </w:rPr>
        <w:t xml:space="preserve"> </w:t>
      </w:r>
    </w:p>
    <w:p w:rsidR="00512549" w:rsidRPr="00523CE9" w:rsidRDefault="00512549" w:rsidP="00512549">
      <w:pPr>
        <w:pStyle w:val="Default"/>
      </w:pPr>
      <w:r w:rsidRPr="00523CE9">
        <w:rPr>
          <w:color w:val="auto"/>
        </w:rPr>
        <w:t>OSHA is not seeking an exception to the certification statement</w:t>
      </w:r>
      <w:r w:rsidR="00CF7240">
        <w:rPr>
          <w:color w:val="auto"/>
        </w:rPr>
        <w:t xml:space="preserve"> in ROCIS</w:t>
      </w:r>
      <w:r w:rsidR="00523CE9">
        <w:rPr>
          <w:color w:val="auto"/>
        </w:rPr>
        <w:t>.</w:t>
      </w:r>
    </w:p>
    <w:p w:rsidR="00512549" w:rsidRDefault="00512549">
      <w:pPr>
        <w:pStyle w:val="Default"/>
        <w:rPr>
          <w:sz w:val="20"/>
          <w:szCs w:val="20"/>
        </w:rPr>
      </w:pPr>
    </w:p>
    <w:p w:rsidR="00F72AFF" w:rsidRPr="00EC501A" w:rsidRDefault="00954D78" w:rsidP="00EC501A">
      <w:pPr>
        <w:pStyle w:val="Default"/>
        <w:numPr>
          <w:ilvl w:val="0"/>
          <w:numId w:val="4"/>
        </w:numPr>
        <w:rPr>
          <w:b/>
          <w:color w:val="auto"/>
          <w:sz w:val="23"/>
          <w:szCs w:val="23"/>
        </w:rPr>
      </w:pPr>
      <w:r w:rsidRPr="00EC501A">
        <w:rPr>
          <w:b/>
          <w:color w:val="auto"/>
          <w:sz w:val="23"/>
          <w:szCs w:val="23"/>
        </w:rPr>
        <w:t>COLLECTION OF INFORMATION EMPLOYING STATISTICAL METHODS</w:t>
      </w:r>
    </w:p>
    <w:p w:rsidR="00954D78" w:rsidRPr="00EC501A" w:rsidRDefault="00954D78">
      <w:pPr>
        <w:pStyle w:val="Default"/>
        <w:rPr>
          <w:b/>
          <w:color w:val="auto"/>
          <w:sz w:val="23"/>
          <w:szCs w:val="23"/>
        </w:rPr>
      </w:pPr>
    </w:p>
    <w:p w:rsidR="00954D78" w:rsidRDefault="00954D78">
      <w:pPr>
        <w:pStyle w:val="Default"/>
        <w:rPr>
          <w:color w:val="auto"/>
          <w:sz w:val="23"/>
          <w:szCs w:val="23"/>
        </w:rPr>
      </w:pPr>
      <w:r>
        <w:rPr>
          <w:color w:val="auto"/>
          <w:sz w:val="23"/>
          <w:szCs w:val="23"/>
        </w:rPr>
        <w:t xml:space="preserve">These Grant form employs no statistical methods. </w:t>
      </w:r>
    </w:p>
    <w:sectPr w:rsidR="00954D78">
      <w:headerReference w:type="default" r:id="rId11"/>
      <w:footerReference w:type="even" r:id="rId12"/>
      <w:footerReference w:type="default" r:id="rId13"/>
      <w:headerReference w:type="first" r:id="rId14"/>
      <w:footerReference w:type="first" r:id="rId15"/>
      <w:pgSz w:w="12240" w:h="163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E7C" w:rsidRDefault="00D37E7C">
      <w:r>
        <w:separator/>
      </w:r>
    </w:p>
  </w:endnote>
  <w:endnote w:type="continuationSeparator" w:id="0">
    <w:p w:rsidR="00D37E7C" w:rsidRDefault="00D3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formal Roman">
    <w:panose1 w:val="030604020304060B02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1B3" w:rsidRDefault="00733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365E">
      <w:rPr>
        <w:rStyle w:val="PageNumber"/>
        <w:noProof/>
      </w:rPr>
      <w:t>2</w:t>
    </w:r>
    <w:r>
      <w:rPr>
        <w:rStyle w:val="PageNumber"/>
      </w:rPr>
      <w:fldChar w:fldCharType="end"/>
    </w:r>
  </w:p>
  <w:p w:rsidR="007331B3" w:rsidRDefault="007331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0E" w:rsidRDefault="004D7F0E">
    <w:pPr>
      <w:pStyle w:val="Footer"/>
      <w:jc w:val="center"/>
    </w:pPr>
    <w:r>
      <w:fldChar w:fldCharType="begin"/>
    </w:r>
    <w:r>
      <w:instrText xml:space="preserve"> PAGE   \* MERGEFORMAT </w:instrText>
    </w:r>
    <w:r>
      <w:fldChar w:fldCharType="separate"/>
    </w:r>
    <w:r w:rsidR="0027365E">
      <w:rPr>
        <w:noProof/>
      </w:rPr>
      <w:t>1</w:t>
    </w:r>
    <w:r>
      <w:rPr>
        <w:noProof/>
      </w:rPr>
      <w:fldChar w:fldCharType="end"/>
    </w:r>
  </w:p>
  <w:p w:rsidR="004D7F0E" w:rsidRDefault="004D7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E7C" w:rsidRDefault="00D37E7C">
      <w:r>
        <w:separator/>
      </w:r>
    </w:p>
  </w:footnote>
  <w:footnote w:type="continuationSeparator" w:id="0">
    <w:p w:rsidR="00D37E7C" w:rsidRDefault="00D3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90" w:rsidRPr="00975E90" w:rsidRDefault="00975E90" w:rsidP="00975E90">
    <w:pPr>
      <w:pStyle w:val="Header"/>
      <w:rPr>
        <w:sz w:val="20"/>
        <w:szCs w:val="20"/>
      </w:rPr>
    </w:pPr>
    <w:r w:rsidRPr="00975E90">
      <w:rPr>
        <w:sz w:val="20"/>
        <w:szCs w:val="20"/>
      </w:rPr>
      <w:t>Occupational Safety and Health Administration Grantee Quarterly Progress Report</w:t>
    </w:r>
  </w:p>
  <w:p w:rsidR="00975E90" w:rsidRPr="00975E90" w:rsidRDefault="00975E90" w:rsidP="00975E90">
    <w:pPr>
      <w:pStyle w:val="Header"/>
      <w:rPr>
        <w:sz w:val="20"/>
        <w:szCs w:val="20"/>
      </w:rPr>
    </w:pPr>
    <w:r w:rsidRPr="00975E90">
      <w:rPr>
        <w:sz w:val="20"/>
        <w:szCs w:val="20"/>
      </w:rPr>
      <w:t>1218-0100</w:t>
    </w:r>
  </w:p>
  <w:p w:rsidR="00F92588" w:rsidRPr="00975E90" w:rsidRDefault="00975E90" w:rsidP="00975E90">
    <w:pPr>
      <w:pStyle w:val="Header"/>
    </w:pPr>
    <w:r w:rsidRPr="00975E90">
      <w:rPr>
        <w:sz w:val="20"/>
        <w:szCs w:val="20"/>
      </w:rPr>
      <w:t>August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9C" w:rsidRPr="00975E90" w:rsidRDefault="00DB7BDD">
    <w:pPr>
      <w:pStyle w:val="Header"/>
      <w:rPr>
        <w:sz w:val="20"/>
        <w:szCs w:val="20"/>
      </w:rPr>
    </w:pPr>
    <w:r w:rsidRPr="00975E90">
      <w:rPr>
        <w:sz w:val="20"/>
        <w:szCs w:val="20"/>
      </w:rPr>
      <w:t>Occupational Safety and Health</w:t>
    </w:r>
    <w:r w:rsidR="00975E90" w:rsidRPr="00975E90">
      <w:rPr>
        <w:sz w:val="20"/>
        <w:szCs w:val="20"/>
      </w:rPr>
      <w:t xml:space="preserve"> Administration Grantee Quarterly Progress Report</w:t>
    </w:r>
  </w:p>
  <w:p w:rsidR="00975E90" w:rsidRPr="00975E90" w:rsidRDefault="00975E90">
    <w:pPr>
      <w:pStyle w:val="Header"/>
      <w:rPr>
        <w:sz w:val="20"/>
        <w:szCs w:val="20"/>
      </w:rPr>
    </w:pPr>
    <w:r w:rsidRPr="00975E90">
      <w:rPr>
        <w:sz w:val="20"/>
        <w:szCs w:val="20"/>
      </w:rPr>
      <w:t>1218-0100</w:t>
    </w:r>
  </w:p>
  <w:p w:rsidR="00975E90" w:rsidRPr="00975E90" w:rsidRDefault="00975E90">
    <w:pPr>
      <w:pStyle w:val="Header"/>
      <w:rPr>
        <w:sz w:val="20"/>
        <w:szCs w:val="20"/>
      </w:rPr>
    </w:pPr>
    <w:r w:rsidRPr="00975E90">
      <w:rPr>
        <w:sz w:val="20"/>
        <w:szCs w:val="20"/>
      </w:rPr>
      <w:t>August 2017</w:t>
    </w:r>
  </w:p>
  <w:p w:rsidR="00975E90" w:rsidRDefault="00975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C70C99"/>
    <w:multiLevelType w:val="hybridMultilevel"/>
    <w:tmpl w:val="0044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3E0685"/>
    <w:multiLevelType w:val="hybridMultilevel"/>
    <w:tmpl w:val="C4FEDC42"/>
    <w:lvl w:ilvl="0" w:tplc="4D60F2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BCC"/>
    <w:rsid w:val="00002731"/>
    <w:rsid w:val="0000432F"/>
    <w:rsid w:val="000131FC"/>
    <w:rsid w:val="0002180E"/>
    <w:rsid w:val="00022248"/>
    <w:rsid w:val="00046554"/>
    <w:rsid w:val="000507E8"/>
    <w:rsid w:val="000B1098"/>
    <w:rsid w:val="000B3FB1"/>
    <w:rsid w:val="000B546F"/>
    <w:rsid w:val="000C4873"/>
    <w:rsid w:val="000C77BD"/>
    <w:rsid w:val="000F6C9C"/>
    <w:rsid w:val="00100338"/>
    <w:rsid w:val="001254B8"/>
    <w:rsid w:val="00131E00"/>
    <w:rsid w:val="00175116"/>
    <w:rsid w:val="00183C31"/>
    <w:rsid w:val="00187F00"/>
    <w:rsid w:val="001913EC"/>
    <w:rsid w:val="001C607F"/>
    <w:rsid w:val="001D6B5B"/>
    <w:rsid w:val="001F1387"/>
    <w:rsid w:val="001F61BE"/>
    <w:rsid w:val="00242AA3"/>
    <w:rsid w:val="002517DB"/>
    <w:rsid w:val="0027365E"/>
    <w:rsid w:val="002E2FEA"/>
    <w:rsid w:val="002E6055"/>
    <w:rsid w:val="002E6A60"/>
    <w:rsid w:val="002F42B9"/>
    <w:rsid w:val="003004CC"/>
    <w:rsid w:val="00302995"/>
    <w:rsid w:val="00302F9C"/>
    <w:rsid w:val="003510F8"/>
    <w:rsid w:val="003E73BA"/>
    <w:rsid w:val="003F0A85"/>
    <w:rsid w:val="00406B2D"/>
    <w:rsid w:val="0043659E"/>
    <w:rsid w:val="0043696B"/>
    <w:rsid w:val="00455804"/>
    <w:rsid w:val="00465BE7"/>
    <w:rsid w:val="00497FB3"/>
    <w:rsid w:val="004A6A65"/>
    <w:rsid w:val="004B4811"/>
    <w:rsid w:val="004C6BA3"/>
    <w:rsid w:val="004D7F0E"/>
    <w:rsid w:val="004F4261"/>
    <w:rsid w:val="004F6F8C"/>
    <w:rsid w:val="00512549"/>
    <w:rsid w:val="00515D39"/>
    <w:rsid w:val="00523CE9"/>
    <w:rsid w:val="005244B7"/>
    <w:rsid w:val="00566D65"/>
    <w:rsid w:val="0057257E"/>
    <w:rsid w:val="00585597"/>
    <w:rsid w:val="005B3ED8"/>
    <w:rsid w:val="005C5BCC"/>
    <w:rsid w:val="005C63B2"/>
    <w:rsid w:val="005F1ECA"/>
    <w:rsid w:val="00600016"/>
    <w:rsid w:val="006067F3"/>
    <w:rsid w:val="00621F84"/>
    <w:rsid w:val="00642E50"/>
    <w:rsid w:val="0065210A"/>
    <w:rsid w:val="00684335"/>
    <w:rsid w:val="006846FE"/>
    <w:rsid w:val="006A6D49"/>
    <w:rsid w:val="006F53F2"/>
    <w:rsid w:val="00702E27"/>
    <w:rsid w:val="00722785"/>
    <w:rsid w:val="0072750B"/>
    <w:rsid w:val="007331B3"/>
    <w:rsid w:val="00767EDA"/>
    <w:rsid w:val="00795D6B"/>
    <w:rsid w:val="007B7D65"/>
    <w:rsid w:val="007C15C1"/>
    <w:rsid w:val="007C792A"/>
    <w:rsid w:val="007D5D3D"/>
    <w:rsid w:val="007E2502"/>
    <w:rsid w:val="007F412B"/>
    <w:rsid w:val="007F700F"/>
    <w:rsid w:val="00800465"/>
    <w:rsid w:val="00830B4C"/>
    <w:rsid w:val="00852762"/>
    <w:rsid w:val="00860249"/>
    <w:rsid w:val="008876E3"/>
    <w:rsid w:val="00890D1D"/>
    <w:rsid w:val="008D6EA7"/>
    <w:rsid w:val="008F023E"/>
    <w:rsid w:val="008F57D2"/>
    <w:rsid w:val="008F6D56"/>
    <w:rsid w:val="0090675B"/>
    <w:rsid w:val="00922AB3"/>
    <w:rsid w:val="00935533"/>
    <w:rsid w:val="009517F7"/>
    <w:rsid w:val="00954D78"/>
    <w:rsid w:val="009631D3"/>
    <w:rsid w:val="009704D6"/>
    <w:rsid w:val="00975E90"/>
    <w:rsid w:val="00983A04"/>
    <w:rsid w:val="0099608A"/>
    <w:rsid w:val="009A7956"/>
    <w:rsid w:val="009A7B94"/>
    <w:rsid w:val="009D1022"/>
    <w:rsid w:val="00A014F5"/>
    <w:rsid w:val="00A37CD8"/>
    <w:rsid w:val="00A4335C"/>
    <w:rsid w:val="00A565B0"/>
    <w:rsid w:val="00A567FE"/>
    <w:rsid w:val="00A655F3"/>
    <w:rsid w:val="00A775B9"/>
    <w:rsid w:val="00AC03DF"/>
    <w:rsid w:val="00AC622D"/>
    <w:rsid w:val="00AD5348"/>
    <w:rsid w:val="00AE0D55"/>
    <w:rsid w:val="00AE5859"/>
    <w:rsid w:val="00AF7BFC"/>
    <w:rsid w:val="00B33AF5"/>
    <w:rsid w:val="00BA3E71"/>
    <w:rsid w:val="00BB6318"/>
    <w:rsid w:val="00BD0DE9"/>
    <w:rsid w:val="00C22BBC"/>
    <w:rsid w:val="00C40DD1"/>
    <w:rsid w:val="00C46D06"/>
    <w:rsid w:val="00C736F7"/>
    <w:rsid w:val="00C808FA"/>
    <w:rsid w:val="00CA7558"/>
    <w:rsid w:val="00CB064F"/>
    <w:rsid w:val="00CB15D1"/>
    <w:rsid w:val="00CD1D7E"/>
    <w:rsid w:val="00CD55A2"/>
    <w:rsid w:val="00CF7240"/>
    <w:rsid w:val="00D274E1"/>
    <w:rsid w:val="00D37E7C"/>
    <w:rsid w:val="00D563F2"/>
    <w:rsid w:val="00D76516"/>
    <w:rsid w:val="00DA1999"/>
    <w:rsid w:val="00DB7BDD"/>
    <w:rsid w:val="00DC3830"/>
    <w:rsid w:val="00DD37F0"/>
    <w:rsid w:val="00DE547E"/>
    <w:rsid w:val="00DF238D"/>
    <w:rsid w:val="00E36D24"/>
    <w:rsid w:val="00E82420"/>
    <w:rsid w:val="00E96CE7"/>
    <w:rsid w:val="00EB3750"/>
    <w:rsid w:val="00EB4FD2"/>
    <w:rsid w:val="00EC501A"/>
    <w:rsid w:val="00EE0DC4"/>
    <w:rsid w:val="00EE60FA"/>
    <w:rsid w:val="00F0246E"/>
    <w:rsid w:val="00F14611"/>
    <w:rsid w:val="00F169B7"/>
    <w:rsid w:val="00F434A0"/>
    <w:rsid w:val="00F72AFF"/>
    <w:rsid w:val="00F922D8"/>
    <w:rsid w:val="00F92588"/>
    <w:rsid w:val="00F9424B"/>
    <w:rsid w:val="00F96A8F"/>
    <w:rsid w:val="00F9765C"/>
    <w:rsid w:val="00FB4797"/>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rPr>
      <w:sz w:val="24"/>
      <w:szCs w:val="24"/>
    </w:rPr>
  </w:style>
  <w:style w:type="character" w:styleId="CommentReference">
    <w:name w:val="annotation reference"/>
    <w:basedOn w:val="DefaultParagraphFont"/>
    <w:uiPriority w:val="99"/>
    <w:semiHidden/>
    <w:unhideWhenUsed/>
    <w:rsid w:val="00C40DD1"/>
    <w:rPr>
      <w:sz w:val="16"/>
      <w:szCs w:val="16"/>
    </w:rPr>
  </w:style>
  <w:style w:type="paragraph" w:styleId="CommentText">
    <w:name w:val="annotation text"/>
    <w:basedOn w:val="Normal"/>
    <w:link w:val="CommentTextChar"/>
    <w:uiPriority w:val="99"/>
    <w:semiHidden/>
    <w:unhideWhenUsed/>
    <w:rsid w:val="00C40DD1"/>
    <w:rPr>
      <w:sz w:val="20"/>
      <w:szCs w:val="20"/>
    </w:rPr>
  </w:style>
  <w:style w:type="character" w:customStyle="1" w:styleId="CommentTextChar">
    <w:name w:val="Comment Text Char"/>
    <w:basedOn w:val="DefaultParagraphFont"/>
    <w:link w:val="CommentText"/>
    <w:uiPriority w:val="99"/>
    <w:semiHidden/>
    <w:rsid w:val="00C40DD1"/>
  </w:style>
  <w:style w:type="paragraph" w:styleId="CommentSubject">
    <w:name w:val="annotation subject"/>
    <w:basedOn w:val="CommentText"/>
    <w:next w:val="CommentText"/>
    <w:link w:val="CommentSubjectChar"/>
    <w:uiPriority w:val="99"/>
    <w:semiHidden/>
    <w:unhideWhenUsed/>
    <w:rsid w:val="00C40DD1"/>
    <w:rPr>
      <w:b/>
      <w:bCs/>
    </w:rPr>
  </w:style>
  <w:style w:type="character" w:customStyle="1" w:styleId="CommentSubjectChar">
    <w:name w:val="Comment Subject Char"/>
    <w:basedOn w:val="CommentTextChar"/>
    <w:link w:val="CommentSubject"/>
    <w:uiPriority w:val="99"/>
    <w:semiHidden/>
    <w:rsid w:val="00C40DD1"/>
    <w:rPr>
      <w:b/>
      <w:bCs/>
    </w:rPr>
  </w:style>
  <w:style w:type="paragraph" w:styleId="Revision">
    <w:name w:val="Revision"/>
    <w:hidden/>
    <w:uiPriority w:val="99"/>
    <w:semiHidden/>
    <w:rsid w:val="000F6C9C"/>
    <w:rPr>
      <w:sz w:val="24"/>
      <w:szCs w:val="24"/>
    </w:rPr>
  </w:style>
  <w:style w:type="character" w:styleId="Hyperlink">
    <w:name w:val="Hyperlink"/>
    <w:basedOn w:val="DefaultParagraphFont"/>
    <w:uiPriority w:val="99"/>
    <w:unhideWhenUsed/>
    <w:rsid w:val="0072750B"/>
    <w:rPr>
      <w:color w:val="0000FF" w:themeColor="hyperlink"/>
      <w:u w:val="single"/>
    </w:rPr>
  </w:style>
  <w:style w:type="character" w:styleId="FollowedHyperlink">
    <w:name w:val="FollowedHyperlink"/>
    <w:basedOn w:val="DefaultParagraphFont"/>
    <w:uiPriority w:val="99"/>
    <w:semiHidden/>
    <w:unhideWhenUsed/>
    <w:rsid w:val="007B7D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uiPriority w:val="99"/>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rPr>
      <w:sz w:val="24"/>
      <w:szCs w:val="24"/>
    </w:rPr>
  </w:style>
  <w:style w:type="character" w:styleId="CommentReference">
    <w:name w:val="annotation reference"/>
    <w:basedOn w:val="DefaultParagraphFont"/>
    <w:uiPriority w:val="99"/>
    <w:semiHidden/>
    <w:unhideWhenUsed/>
    <w:rsid w:val="00C40DD1"/>
    <w:rPr>
      <w:sz w:val="16"/>
      <w:szCs w:val="16"/>
    </w:rPr>
  </w:style>
  <w:style w:type="paragraph" w:styleId="CommentText">
    <w:name w:val="annotation text"/>
    <w:basedOn w:val="Normal"/>
    <w:link w:val="CommentTextChar"/>
    <w:uiPriority w:val="99"/>
    <w:semiHidden/>
    <w:unhideWhenUsed/>
    <w:rsid w:val="00C40DD1"/>
    <w:rPr>
      <w:sz w:val="20"/>
      <w:szCs w:val="20"/>
    </w:rPr>
  </w:style>
  <w:style w:type="character" w:customStyle="1" w:styleId="CommentTextChar">
    <w:name w:val="Comment Text Char"/>
    <w:basedOn w:val="DefaultParagraphFont"/>
    <w:link w:val="CommentText"/>
    <w:uiPriority w:val="99"/>
    <w:semiHidden/>
    <w:rsid w:val="00C40DD1"/>
  </w:style>
  <w:style w:type="paragraph" w:styleId="CommentSubject">
    <w:name w:val="annotation subject"/>
    <w:basedOn w:val="CommentText"/>
    <w:next w:val="CommentText"/>
    <w:link w:val="CommentSubjectChar"/>
    <w:uiPriority w:val="99"/>
    <w:semiHidden/>
    <w:unhideWhenUsed/>
    <w:rsid w:val="00C40DD1"/>
    <w:rPr>
      <w:b/>
      <w:bCs/>
    </w:rPr>
  </w:style>
  <w:style w:type="character" w:customStyle="1" w:styleId="CommentSubjectChar">
    <w:name w:val="Comment Subject Char"/>
    <w:basedOn w:val="CommentTextChar"/>
    <w:link w:val="CommentSubject"/>
    <w:uiPriority w:val="99"/>
    <w:semiHidden/>
    <w:rsid w:val="00C40DD1"/>
    <w:rPr>
      <w:b/>
      <w:bCs/>
    </w:rPr>
  </w:style>
  <w:style w:type="paragraph" w:styleId="Revision">
    <w:name w:val="Revision"/>
    <w:hidden/>
    <w:uiPriority w:val="99"/>
    <w:semiHidden/>
    <w:rsid w:val="000F6C9C"/>
    <w:rPr>
      <w:sz w:val="24"/>
      <w:szCs w:val="24"/>
    </w:rPr>
  </w:style>
  <w:style w:type="character" w:styleId="Hyperlink">
    <w:name w:val="Hyperlink"/>
    <w:basedOn w:val="DefaultParagraphFont"/>
    <w:uiPriority w:val="99"/>
    <w:unhideWhenUsed/>
    <w:rsid w:val="0072750B"/>
    <w:rPr>
      <w:color w:val="0000FF" w:themeColor="hyperlink"/>
      <w:u w:val="single"/>
    </w:rPr>
  </w:style>
  <w:style w:type="character" w:styleId="FollowedHyperlink">
    <w:name w:val="FollowedHyperlink"/>
    <w:basedOn w:val="DefaultParagraphFont"/>
    <w:uiPriority w:val="99"/>
    <w:semiHidden/>
    <w:unhideWhenUsed/>
    <w:rsid w:val="007B7D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76496">
      <w:bodyDiv w:val="1"/>
      <w:marLeft w:val="0"/>
      <w:marRight w:val="0"/>
      <w:marTop w:val="0"/>
      <w:marBottom w:val="0"/>
      <w:divBdr>
        <w:top w:val="none" w:sz="0" w:space="0" w:color="auto"/>
        <w:left w:val="none" w:sz="0" w:space="0" w:color="auto"/>
        <w:bottom w:val="none" w:sz="0" w:space="0" w:color="auto"/>
        <w:right w:val="none" w:sz="0" w:space="0" w:color="auto"/>
      </w:divBdr>
    </w:div>
    <w:div w:id="4101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178D-2501-47A4-ABBA-E65C5077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SYSTEM</cp:lastModifiedBy>
  <cp:revision>2</cp:revision>
  <cp:lastPrinted>2017-08-16T12:02:00Z</cp:lastPrinted>
  <dcterms:created xsi:type="dcterms:W3CDTF">2017-08-24T21:55:00Z</dcterms:created>
  <dcterms:modified xsi:type="dcterms:W3CDTF">2017-08-24T21:55:00Z</dcterms:modified>
</cp:coreProperties>
</file>