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9F0" w:rsidRPr="007629F0" w:rsidRDefault="00A007E2" w:rsidP="007629F0">
      <w:pPr>
        <w:jc w:val="center"/>
        <w:rPr>
          <w:b/>
        </w:rPr>
      </w:pPr>
      <w:r>
        <w:rPr>
          <w:b/>
        </w:rPr>
        <w:t>Justification for Nonmaterial/</w:t>
      </w:r>
      <w:proofErr w:type="spellStart"/>
      <w:r>
        <w:rPr>
          <w:b/>
        </w:rPr>
        <w:t>Nonsubstantive</w:t>
      </w:r>
      <w:proofErr w:type="spellEnd"/>
      <w:r>
        <w:rPr>
          <w:b/>
        </w:rPr>
        <w:t xml:space="preserve"> Change</w:t>
      </w:r>
    </w:p>
    <w:p w:rsidR="00C34B5B" w:rsidRDefault="00C34B5B" w:rsidP="00D91EFE">
      <w:pPr>
        <w:ind w:firstLine="720"/>
      </w:pPr>
    </w:p>
    <w:p w:rsidR="00C34B5B" w:rsidRDefault="00C34B5B" w:rsidP="00C34B5B">
      <w:pPr>
        <w:ind w:firstLine="720"/>
      </w:pPr>
      <w:r>
        <w:t>The</w:t>
      </w:r>
      <w:r w:rsidR="00FF240A">
        <w:t xml:space="preserve"> Principal Transaction Exemption</w:t>
      </w:r>
      <w:r>
        <w:t xml:space="preserve"> </w:t>
      </w:r>
      <w:r w:rsidR="00416564">
        <w:t xml:space="preserve">(the </w:t>
      </w:r>
      <w:r w:rsidR="00321BB4">
        <w:t>E</w:t>
      </w:r>
      <w:r w:rsidR="00416564">
        <w:t xml:space="preserve">xemption) </w:t>
      </w:r>
      <w:r>
        <w:t xml:space="preserve">was </w:t>
      </w:r>
      <w:r w:rsidR="00B84D1D" w:rsidRPr="00B84D1D">
        <w:t>published in the Federal Register on April 8, 2016 (81 FR 21002)</w:t>
      </w:r>
      <w:r w:rsidR="004F38A4">
        <w:t xml:space="preserve"> </w:t>
      </w:r>
      <w:r>
        <w:t xml:space="preserve">pursuant to ERISA section 408(a) and Code section 4975(c)(2), and in accordance with the procedures set forth in 29 CFR part 2570, subpart B (76 FR 66637 (October 27, 2011)).  It was </w:t>
      </w:r>
      <w:r w:rsidR="00B84D1D">
        <w:t xml:space="preserve">granted </w:t>
      </w:r>
      <w:r>
        <w:t>by the Department in connection with the publi</w:t>
      </w:r>
      <w:bookmarkStart w:id="0" w:name="_GoBack"/>
      <w:bookmarkEnd w:id="0"/>
      <w:r>
        <w:t>cation of a final regulation defining who is a fiduciary of an employee benefit plan under ERISA as a result of giving investment advice to a plan or its participants or beneficiaries</w:t>
      </w:r>
      <w:r w:rsidR="004C3E69" w:rsidRPr="008C7959">
        <w:rPr>
          <w:rStyle w:val="FootnoteReference"/>
          <w:vertAlign w:val="superscript"/>
        </w:rPr>
        <w:footnoteReference w:id="1"/>
      </w:r>
      <w:r w:rsidR="004C3E69" w:rsidRPr="00DD0964">
        <w:t xml:space="preserve"> </w:t>
      </w:r>
      <w:r>
        <w:t>(Regulation).</w:t>
      </w:r>
      <w:r w:rsidR="00321BB4">
        <w:t xml:space="preserve">  </w:t>
      </w:r>
      <w:r>
        <w:t xml:space="preserve">The Regulation also applies to the definition of a “fiduciary” of a plan (including an IRA) under the Code.  </w:t>
      </w:r>
    </w:p>
    <w:p w:rsidR="002775E3" w:rsidRDefault="002775E3" w:rsidP="00C34B5B">
      <w:pPr>
        <w:ind w:firstLine="720"/>
      </w:pPr>
    </w:p>
    <w:p w:rsidR="00C34B5B" w:rsidRDefault="0091692A" w:rsidP="00C34B5B">
      <w:pPr>
        <w:ind w:firstLine="720"/>
      </w:pPr>
      <w:r w:rsidRPr="0091692A">
        <w:t>The Exemption permits principal transactions and riskless principal transactions in certain investments between a plan, plan participant or beneficiary account, or an IRA, and a fiduciary that provides investment advice to the plan or IRA, under conditions to safeguard the interests of these investors.  The corrections either fix typographical errors or make minor clarifications to provisions that might otherwise be confusing.</w:t>
      </w:r>
    </w:p>
    <w:p w:rsidR="0091692A" w:rsidRDefault="0091692A" w:rsidP="00C34B5B">
      <w:pPr>
        <w:ind w:firstLine="720"/>
      </w:pPr>
    </w:p>
    <w:p w:rsidR="001E5F86" w:rsidRDefault="008C7959" w:rsidP="008C7959">
      <w:pPr>
        <w:ind w:firstLine="720"/>
      </w:pPr>
      <w:r w:rsidRPr="00B5328C">
        <w:t>The collections of information for the</w:t>
      </w:r>
      <w:r w:rsidR="00321BB4">
        <w:t xml:space="preserve"> E</w:t>
      </w:r>
      <w:r w:rsidRPr="00B5328C">
        <w:t>xemption were approved under OMB control number 1210-015</w:t>
      </w:r>
      <w:r w:rsidR="0091692A">
        <w:t>7</w:t>
      </w:r>
      <w:r w:rsidRPr="00B5328C">
        <w:t>, which is currently scheduled to expire on June 30, 2019.</w:t>
      </w:r>
      <w:r>
        <w:t xml:space="preserve"> </w:t>
      </w:r>
      <w:r w:rsidR="00B5328C">
        <w:t xml:space="preserve">The Department is hereby submitting </w:t>
      </w:r>
      <w:r w:rsidR="001E6EBD" w:rsidRPr="001E6EBD">
        <w:t xml:space="preserve">a non-material change request to OMB </w:t>
      </w:r>
      <w:r w:rsidR="001E6EBD">
        <w:t xml:space="preserve">for </w:t>
      </w:r>
      <w:r w:rsidR="00B5328C">
        <w:t>PTE 2016-</w:t>
      </w:r>
      <w:r w:rsidR="00EB664B">
        <w:t>0</w:t>
      </w:r>
      <w:r w:rsidR="009B2169">
        <w:t>2</w:t>
      </w:r>
      <w:r w:rsidR="00B5328C">
        <w:t>, which makes technical corrections to the Exemption</w:t>
      </w:r>
      <w:r w:rsidR="001E6EBD">
        <w:t>.  Al</w:t>
      </w:r>
      <w:r w:rsidR="00B5328C" w:rsidRPr="00B5328C">
        <w:t xml:space="preserve">l of the corrections either correct typographical errors, clarify provisions that might otherwise be confusing, or bring the text of the exemption into agreement with the Department’s intent, as expressed in the PRA analyses for the </w:t>
      </w:r>
      <w:r w:rsidR="00EE367B">
        <w:t>Regulation and E</w:t>
      </w:r>
      <w:r w:rsidR="00B5328C" w:rsidRPr="00B5328C">
        <w:t xml:space="preserve">xemption. </w:t>
      </w:r>
      <w:r w:rsidR="00771125">
        <w:t xml:space="preserve"> </w:t>
      </w:r>
      <w:r w:rsidR="00B5328C" w:rsidRPr="00B5328C">
        <w:t xml:space="preserve">   </w:t>
      </w:r>
    </w:p>
    <w:p w:rsidR="00880154" w:rsidRDefault="00880154" w:rsidP="00880154"/>
    <w:p w:rsidR="00880154" w:rsidRDefault="00880154" w:rsidP="00880154"/>
    <w:sectPr w:rsidR="00880154" w:rsidSect="00132090">
      <w:headerReference w:type="default" r:id="rId8"/>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1315" w:rsidRDefault="00C61315">
      <w:r>
        <w:separator/>
      </w:r>
    </w:p>
  </w:endnote>
  <w:endnote w:type="continuationSeparator" w:id="0">
    <w:p w:rsidR="00C61315" w:rsidRDefault="00C61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1315" w:rsidRDefault="00C61315">
      <w:r>
        <w:separator/>
      </w:r>
    </w:p>
  </w:footnote>
  <w:footnote w:type="continuationSeparator" w:id="0">
    <w:p w:rsidR="00C61315" w:rsidRDefault="00C61315">
      <w:r>
        <w:continuationSeparator/>
      </w:r>
    </w:p>
  </w:footnote>
  <w:footnote w:id="1">
    <w:p w:rsidR="004C3E69" w:rsidRDefault="004C3E69" w:rsidP="004C3E69">
      <w:pPr>
        <w:pStyle w:val="FootnoteText"/>
      </w:pPr>
      <w:r w:rsidRPr="008C7959">
        <w:rPr>
          <w:rStyle w:val="FootnoteReference"/>
          <w:vertAlign w:val="superscript"/>
        </w:rPr>
        <w:footnoteRef/>
      </w:r>
      <w:r>
        <w:t xml:space="preserve"> 81 FR 20945 (April 8, 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136" w:rsidRDefault="00CC4892" w:rsidP="007629F0">
    <w:pPr>
      <w:jc w:val="right"/>
      <w:rPr>
        <w:rFonts w:ascii="CG Times" w:hAnsi="CG Times"/>
        <w:b/>
        <w:bCs/>
        <w:sz w:val="20"/>
        <w:szCs w:val="20"/>
      </w:rPr>
    </w:pPr>
    <w:r>
      <w:rPr>
        <w:rFonts w:ascii="CG Times" w:hAnsi="CG Times"/>
        <w:b/>
        <w:bCs/>
        <w:sz w:val="20"/>
        <w:szCs w:val="20"/>
      </w:rPr>
      <w:t xml:space="preserve">Principal Transactions </w:t>
    </w:r>
    <w:r w:rsidR="00116511">
      <w:rPr>
        <w:rFonts w:ascii="CG Times" w:hAnsi="CG Times"/>
        <w:b/>
        <w:bCs/>
        <w:sz w:val="20"/>
        <w:szCs w:val="20"/>
      </w:rPr>
      <w:t>Exemption</w:t>
    </w:r>
  </w:p>
  <w:p w:rsidR="00175136" w:rsidRDefault="00175136" w:rsidP="007629F0">
    <w:pPr>
      <w:jc w:val="right"/>
      <w:rPr>
        <w:rFonts w:ascii="CG Times" w:hAnsi="CG Times"/>
        <w:b/>
        <w:bCs/>
        <w:sz w:val="20"/>
        <w:szCs w:val="20"/>
      </w:rPr>
    </w:pPr>
    <w:r>
      <w:rPr>
        <w:rFonts w:ascii="CG Times" w:hAnsi="CG Times"/>
        <w:b/>
        <w:bCs/>
        <w:sz w:val="20"/>
        <w:szCs w:val="20"/>
      </w:rPr>
      <w:t>OMB Number 1210-01</w:t>
    </w:r>
    <w:r w:rsidR="00116511">
      <w:rPr>
        <w:rFonts w:ascii="CG Times" w:hAnsi="CG Times"/>
        <w:b/>
        <w:bCs/>
        <w:sz w:val="20"/>
        <w:szCs w:val="20"/>
      </w:rPr>
      <w:t>5</w:t>
    </w:r>
    <w:r w:rsidR="00CC4892">
      <w:rPr>
        <w:rFonts w:ascii="CG Times" w:hAnsi="CG Times"/>
        <w:b/>
        <w:bCs/>
        <w:sz w:val="20"/>
        <w:szCs w:val="20"/>
      </w:rPr>
      <w:t>7</w:t>
    </w:r>
  </w:p>
  <w:p w:rsidR="00175136" w:rsidRDefault="00116511" w:rsidP="007629F0">
    <w:pPr>
      <w:jc w:val="right"/>
      <w:rPr>
        <w:rFonts w:ascii="CG Times" w:hAnsi="CG Times"/>
        <w:b/>
        <w:bCs/>
        <w:sz w:val="20"/>
        <w:szCs w:val="20"/>
      </w:rPr>
    </w:pPr>
    <w:r>
      <w:rPr>
        <w:rFonts w:ascii="CG Times" w:hAnsi="CG Times"/>
        <w:b/>
        <w:bCs/>
        <w:sz w:val="20"/>
        <w:szCs w:val="20"/>
      </w:rPr>
      <w:t>Ju</w:t>
    </w:r>
    <w:r w:rsidR="00CC4892">
      <w:rPr>
        <w:rFonts w:ascii="CG Times" w:hAnsi="CG Times"/>
        <w:b/>
        <w:bCs/>
        <w:sz w:val="20"/>
        <w:szCs w:val="20"/>
      </w:rPr>
      <w:t>ly</w:t>
    </w:r>
    <w:r w:rsidR="00175136">
      <w:rPr>
        <w:rFonts w:ascii="CG Times" w:hAnsi="CG Times"/>
        <w:b/>
        <w:bCs/>
        <w:sz w:val="20"/>
        <w:szCs w:val="20"/>
      </w:rPr>
      <w:t xml:space="preserve"> 201</w:t>
    </w:r>
    <w:r>
      <w:rPr>
        <w:rFonts w:ascii="CG Times" w:hAnsi="CG Times"/>
        <w:b/>
        <w:bCs/>
        <w:sz w:val="20"/>
        <w:szCs w:val="20"/>
      </w:rPr>
      <w:t>6</w:t>
    </w:r>
  </w:p>
  <w:p w:rsidR="00175136" w:rsidRDefault="001751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5D75FA"/>
    <w:multiLevelType w:val="hybridMultilevel"/>
    <w:tmpl w:val="38E6303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0EF5066"/>
    <w:multiLevelType w:val="hybridMultilevel"/>
    <w:tmpl w:val="32A8E3F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6316134"/>
    <w:multiLevelType w:val="hybridMultilevel"/>
    <w:tmpl w:val="388CC772"/>
    <w:lvl w:ilvl="0" w:tplc="3D102204">
      <w:start w:val="1"/>
      <w:numFmt w:val="bullet"/>
      <w:pStyle w:val="bulletlist"/>
      <w:lvlText w:val=""/>
      <w:lvlJc w:val="left"/>
      <w:pPr>
        <w:tabs>
          <w:tab w:val="num" w:pos="1440"/>
        </w:tabs>
        <w:ind w:left="1440" w:hanging="720"/>
      </w:pPr>
      <w:rPr>
        <w:rFonts w:ascii="Symbol" w:hAnsi="Symbol" w:hint="default"/>
      </w:rPr>
    </w:lvl>
    <w:lvl w:ilvl="1" w:tplc="00010409">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9F0"/>
    <w:rsid w:val="00003CB0"/>
    <w:rsid w:val="000236C4"/>
    <w:rsid w:val="000349E5"/>
    <w:rsid w:val="00086844"/>
    <w:rsid w:val="000B7383"/>
    <w:rsid w:val="000C5B3F"/>
    <w:rsid w:val="000F7FB6"/>
    <w:rsid w:val="001003A8"/>
    <w:rsid w:val="00116511"/>
    <w:rsid w:val="00131D06"/>
    <w:rsid w:val="00132090"/>
    <w:rsid w:val="00133169"/>
    <w:rsid w:val="00175136"/>
    <w:rsid w:val="001C1DE9"/>
    <w:rsid w:val="001D55C2"/>
    <w:rsid w:val="001E5F86"/>
    <w:rsid w:val="001E6EBD"/>
    <w:rsid w:val="00231119"/>
    <w:rsid w:val="00247C72"/>
    <w:rsid w:val="002775E3"/>
    <w:rsid w:val="002C20E9"/>
    <w:rsid w:val="002C5444"/>
    <w:rsid w:val="002E76DF"/>
    <w:rsid w:val="002E7C19"/>
    <w:rsid w:val="00321BB4"/>
    <w:rsid w:val="00322A2F"/>
    <w:rsid w:val="003345E6"/>
    <w:rsid w:val="00337596"/>
    <w:rsid w:val="00346B69"/>
    <w:rsid w:val="0035170D"/>
    <w:rsid w:val="00356F8B"/>
    <w:rsid w:val="003919BD"/>
    <w:rsid w:val="003B0B1B"/>
    <w:rsid w:val="003C305A"/>
    <w:rsid w:val="003E2AC0"/>
    <w:rsid w:val="004026D6"/>
    <w:rsid w:val="00412335"/>
    <w:rsid w:val="004160AF"/>
    <w:rsid w:val="00416564"/>
    <w:rsid w:val="0042547D"/>
    <w:rsid w:val="004527DA"/>
    <w:rsid w:val="00455844"/>
    <w:rsid w:val="0047548D"/>
    <w:rsid w:val="00482E44"/>
    <w:rsid w:val="004A377D"/>
    <w:rsid w:val="004B00A7"/>
    <w:rsid w:val="004C3E69"/>
    <w:rsid w:val="004D2DD1"/>
    <w:rsid w:val="004D7783"/>
    <w:rsid w:val="004F38A4"/>
    <w:rsid w:val="00522727"/>
    <w:rsid w:val="00552243"/>
    <w:rsid w:val="005745BE"/>
    <w:rsid w:val="00593983"/>
    <w:rsid w:val="00595C2B"/>
    <w:rsid w:val="005E1EF3"/>
    <w:rsid w:val="00682FC4"/>
    <w:rsid w:val="0068710A"/>
    <w:rsid w:val="00696E8A"/>
    <w:rsid w:val="006B2B5E"/>
    <w:rsid w:val="006E26B3"/>
    <w:rsid w:val="006E648E"/>
    <w:rsid w:val="00702A44"/>
    <w:rsid w:val="0071614B"/>
    <w:rsid w:val="0072416C"/>
    <w:rsid w:val="00752EC7"/>
    <w:rsid w:val="00762089"/>
    <w:rsid w:val="007629F0"/>
    <w:rsid w:val="00771125"/>
    <w:rsid w:val="007936AA"/>
    <w:rsid w:val="00797564"/>
    <w:rsid w:val="007A6B35"/>
    <w:rsid w:val="007C4804"/>
    <w:rsid w:val="00801A3B"/>
    <w:rsid w:val="00820F09"/>
    <w:rsid w:val="00827E45"/>
    <w:rsid w:val="0084235E"/>
    <w:rsid w:val="00880154"/>
    <w:rsid w:val="00895C0C"/>
    <w:rsid w:val="008B09A7"/>
    <w:rsid w:val="008C17DB"/>
    <w:rsid w:val="008C7959"/>
    <w:rsid w:val="008D238F"/>
    <w:rsid w:val="008D5890"/>
    <w:rsid w:val="008D7E1F"/>
    <w:rsid w:val="008F05EB"/>
    <w:rsid w:val="00905CE3"/>
    <w:rsid w:val="0091122F"/>
    <w:rsid w:val="0091692A"/>
    <w:rsid w:val="009305A4"/>
    <w:rsid w:val="0094731C"/>
    <w:rsid w:val="00953E1A"/>
    <w:rsid w:val="0095697B"/>
    <w:rsid w:val="00960C86"/>
    <w:rsid w:val="0096366F"/>
    <w:rsid w:val="0096794D"/>
    <w:rsid w:val="00975A56"/>
    <w:rsid w:val="00977156"/>
    <w:rsid w:val="0098738E"/>
    <w:rsid w:val="00987AEE"/>
    <w:rsid w:val="00987B77"/>
    <w:rsid w:val="009B2169"/>
    <w:rsid w:val="00A007E2"/>
    <w:rsid w:val="00A1448C"/>
    <w:rsid w:val="00A259F7"/>
    <w:rsid w:val="00A30886"/>
    <w:rsid w:val="00A42C4A"/>
    <w:rsid w:val="00A86E82"/>
    <w:rsid w:val="00AB6A9F"/>
    <w:rsid w:val="00AF7730"/>
    <w:rsid w:val="00B05043"/>
    <w:rsid w:val="00B309C1"/>
    <w:rsid w:val="00B5328C"/>
    <w:rsid w:val="00B84D1D"/>
    <w:rsid w:val="00B921F9"/>
    <w:rsid w:val="00BE1D8A"/>
    <w:rsid w:val="00BE26C7"/>
    <w:rsid w:val="00C34B5B"/>
    <w:rsid w:val="00C61315"/>
    <w:rsid w:val="00C7066F"/>
    <w:rsid w:val="00CC4892"/>
    <w:rsid w:val="00CD163A"/>
    <w:rsid w:val="00CE1C1B"/>
    <w:rsid w:val="00CE71A6"/>
    <w:rsid w:val="00CF3611"/>
    <w:rsid w:val="00D0260C"/>
    <w:rsid w:val="00D22DD3"/>
    <w:rsid w:val="00D379E1"/>
    <w:rsid w:val="00D605CC"/>
    <w:rsid w:val="00D80CBF"/>
    <w:rsid w:val="00D91EFE"/>
    <w:rsid w:val="00DB0225"/>
    <w:rsid w:val="00DC15BA"/>
    <w:rsid w:val="00DC5500"/>
    <w:rsid w:val="00DC5A3A"/>
    <w:rsid w:val="00DF5059"/>
    <w:rsid w:val="00E003CC"/>
    <w:rsid w:val="00E10E12"/>
    <w:rsid w:val="00E20E73"/>
    <w:rsid w:val="00E62E29"/>
    <w:rsid w:val="00E70034"/>
    <w:rsid w:val="00E72FAD"/>
    <w:rsid w:val="00E91989"/>
    <w:rsid w:val="00E946A1"/>
    <w:rsid w:val="00E96DB2"/>
    <w:rsid w:val="00EA51EE"/>
    <w:rsid w:val="00EB4211"/>
    <w:rsid w:val="00EB664B"/>
    <w:rsid w:val="00EC36A2"/>
    <w:rsid w:val="00ED5CED"/>
    <w:rsid w:val="00EE367B"/>
    <w:rsid w:val="00EF6A32"/>
    <w:rsid w:val="00F02DD5"/>
    <w:rsid w:val="00F04BB1"/>
    <w:rsid w:val="00F173E7"/>
    <w:rsid w:val="00F304B9"/>
    <w:rsid w:val="00F67C5B"/>
    <w:rsid w:val="00F73C86"/>
    <w:rsid w:val="00FA4A72"/>
    <w:rsid w:val="00FB0EC8"/>
    <w:rsid w:val="00FE3551"/>
    <w:rsid w:val="00FF240A"/>
    <w:rsid w:val="00FF4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29F0"/>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7629F0"/>
  </w:style>
  <w:style w:type="paragraph" w:customStyle="1" w:styleId="bulletlist">
    <w:name w:val="bullet list"/>
    <w:basedOn w:val="Normal"/>
    <w:rsid w:val="007629F0"/>
    <w:pPr>
      <w:numPr>
        <w:numId w:val="1"/>
      </w:numPr>
    </w:pPr>
  </w:style>
  <w:style w:type="paragraph" w:styleId="FootnoteText">
    <w:name w:val="footnote text"/>
    <w:basedOn w:val="Normal"/>
    <w:link w:val="FootnoteTextChar"/>
    <w:uiPriority w:val="99"/>
    <w:semiHidden/>
    <w:rsid w:val="007629F0"/>
    <w:rPr>
      <w:sz w:val="20"/>
      <w:szCs w:val="20"/>
    </w:rPr>
  </w:style>
  <w:style w:type="paragraph" w:styleId="Header">
    <w:name w:val="header"/>
    <w:basedOn w:val="Normal"/>
    <w:rsid w:val="007629F0"/>
    <w:pPr>
      <w:tabs>
        <w:tab w:val="center" w:pos="4320"/>
        <w:tab w:val="right" w:pos="8640"/>
      </w:tabs>
    </w:pPr>
  </w:style>
  <w:style w:type="paragraph" w:styleId="Footer">
    <w:name w:val="footer"/>
    <w:basedOn w:val="Normal"/>
    <w:rsid w:val="007629F0"/>
    <w:pPr>
      <w:tabs>
        <w:tab w:val="center" w:pos="4320"/>
        <w:tab w:val="right" w:pos="8640"/>
      </w:tabs>
    </w:pPr>
  </w:style>
  <w:style w:type="paragraph" w:styleId="BalloonText">
    <w:name w:val="Balloon Text"/>
    <w:basedOn w:val="Normal"/>
    <w:semiHidden/>
    <w:rsid w:val="00337596"/>
    <w:rPr>
      <w:rFonts w:ascii="Tahoma" w:hAnsi="Tahoma" w:cs="Tahoma"/>
      <w:sz w:val="16"/>
      <w:szCs w:val="16"/>
    </w:rPr>
  </w:style>
  <w:style w:type="character" w:styleId="CommentReference">
    <w:name w:val="annotation reference"/>
    <w:semiHidden/>
    <w:rsid w:val="0072416C"/>
    <w:rPr>
      <w:sz w:val="16"/>
      <w:szCs w:val="16"/>
    </w:rPr>
  </w:style>
  <w:style w:type="paragraph" w:styleId="CommentText">
    <w:name w:val="annotation text"/>
    <w:basedOn w:val="Normal"/>
    <w:semiHidden/>
    <w:rsid w:val="0072416C"/>
    <w:rPr>
      <w:sz w:val="20"/>
      <w:szCs w:val="20"/>
    </w:rPr>
  </w:style>
  <w:style w:type="paragraph" w:styleId="CommentSubject">
    <w:name w:val="annotation subject"/>
    <w:basedOn w:val="CommentText"/>
    <w:next w:val="CommentText"/>
    <w:semiHidden/>
    <w:rsid w:val="0072416C"/>
    <w:rPr>
      <w:b/>
      <w:bCs/>
    </w:rPr>
  </w:style>
  <w:style w:type="character" w:customStyle="1" w:styleId="FootnoteTextChar">
    <w:name w:val="Footnote Text Char"/>
    <w:basedOn w:val="DefaultParagraphFont"/>
    <w:link w:val="FootnoteText"/>
    <w:uiPriority w:val="99"/>
    <w:semiHidden/>
    <w:rsid w:val="004C3E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29F0"/>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7629F0"/>
  </w:style>
  <w:style w:type="paragraph" w:customStyle="1" w:styleId="bulletlist">
    <w:name w:val="bullet list"/>
    <w:basedOn w:val="Normal"/>
    <w:rsid w:val="007629F0"/>
    <w:pPr>
      <w:numPr>
        <w:numId w:val="1"/>
      </w:numPr>
    </w:pPr>
  </w:style>
  <w:style w:type="paragraph" w:styleId="FootnoteText">
    <w:name w:val="footnote text"/>
    <w:basedOn w:val="Normal"/>
    <w:link w:val="FootnoteTextChar"/>
    <w:uiPriority w:val="99"/>
    <w:semiHidden/>
    <w:rsid w:val="007629F0"/>
    <w:rPr>
      <w:sz w:val="20"/>
      <w:szCs w:val="20"/>
    </w:rPr>
  </w:style>
  <w:style w:type="paragraph" w:styleId="Header">
    <w:name w:val="header"/>
    <w:basedOn w:val="Normal"/>
    <w:rsid w:val="007629F0"/>
    <w:pPr>
      <w:tabs>
        <w:tab w:val="center" w:pos="4320"/>
        <w:tab w:val="right" w:pos="8640"/>
      </w:tabs>
    </w:pPr>
  </w:style>
  <w:style w:type="paragraph" w:styleId="Footer">
    <w:name w:val="footer"/>
    <w:basedOn w:val="Normal"/>
    <w:rsid w:val="007629F0"/>
    <w:pPr>
      <w:tabs>
        <w:tab w:val="center" w:pos="4320"/>
        <w:tab w:val="right" w:pos="8640"/>
      </w:tabs>
    </w:pPr>
  </w:style>
  <w:style w:type="paragraph" w:styleId="BalloonText">
    <w:name w:val="Balloon Text"/>
    <w:basedOn w:val="Normal"/>
    <w:semiHidden/>
    <w:rsid w:val="00337596"/>
    <w:rPr>
      <w:rFonts w:ascii="Tahoma" w:hAnsi="Tahoma" w:cs="Tahoma"/>
      <w:sz w:val="16"/>
      <w:szCs w:val="16"/>
    </w:rPr>
  </w:style>
  <w:style w:type="character" w:styleId="CommentReference">
    <w:name w:val="annotation reference"/>
    <w:semiHidden/>
    <w:rsid w:val="0072416C"/>
    <w:rPr>
      <w:sz w:val="16"/>
      <w:szCs w:val="16"/>
    </w:rPr>
  </w:style>
  <w:style w:type="paragraph" w:styleId="CommentText">
    <w:name w:val="annotation text"/>
    <w:basedOn w:val="Normal"/>
    <w:semiHidden/>
    <w:rsid w:val="0072416C"/>
    <w:rPr>
      <w:sz w:val="20"/>
      <w:szCs w:val="20"/>
    </w:rPr>
  </w:style>
  <w:style w:type="paragraph" w:styleId="CommentSubject">
    <w:name w:val="annotation subject"/>
    <w:basedOn w:val="CommentText"/>
    <w:next w:val="CommentText"/>
    <w:semiHidden/>
    <w:rsid w:val="0072416C"/>
    <w:rPr>
      <w:b/>
      <w:bCs/>
    </w:rPr>
  </w:style>
  <w:style w:type="character" w:customStyle="1" w:styleId="FootnoteTextChar">
    <w:name w:val="Footnote Text Char"/>
    <w:basedOn w:val="DefaultParagraphFont"/>
    <w:link w:val="FootnoteText"/>
    <w:uiPriority w:val="99"/>
    <w:semiHidden/>
    <w:rsid w:val="004C3E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260</Words>
  <Characters>1461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NOTE TO REVIEWER:</vt:lpstr>
    </vt:vector>
  </TitlesOfParts>
  <Company>EBSA</Company>
  <LinksUpToDate>false</LinksUpToDate>
  <CharactersWithSpaces>1718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TO REVIEWER:</dc:title>
  <dc:creator>Anja Decressin</dc:creator>
  <cp:lastModifiedBy>Beckmann, Allan - EBSA</cp:lastModifiedBy>
  <cp:revision>3</cp:revision>
  <cp:lastPrinted>2009-08-18T14:00:00Z</cp:lastPrinted>
  <dcterms:created xsi:type="dcterms:W3CDTF">2016-07-06T21:37:00Z</dcterms:created>
  <dcterms:modified xsi:type="dcterms:W3CDTF">2016-07-08T19:31:00Z</dcterms:modified>
</cp:coreProperties>
</file>