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0" w:rsidRPr="005D177F" w:rsidRDefault="00F72D10" w:rsidP="00A156B1">
      <w:pPr>
        <w:jc w:val="center"/>
        <w:rPr>
          <w:rFonts w:ascii="Times New Roman" w:hAnsi="Times New Roman"/>
          <w:b/>
          <w:noProof w:val="0"/>
          <w:sz w:val="24"/>
          <w:szCs w:val="24"/>
        </w:rPr>
      </w:pPr>
      <w:bookmarkStart w:id="0" w:name="_GoBack"/>
      <w:bookmarkEnd w:id="0"/>
      <w:r w:rsidRPr="005D177F">
        <w:rPr>
          <w:rFonts w:ascii="Times New Roman" w:hAnsi="Times New Roman"/>
          <w:b/>
          <w:noProof w:val="0"/>
          <w:sz w:val="24"/>
          <w:szCs w:val="24"/>
        </w:rPr>
        <w:t>Supporting Statement for Paperwork Reduction Act Submission</w:t>
      </w:r>
    </w:p>
    <w:p w:rsidR="00DF16B1" w:rsidRPr="005D177F" w:rsidRDefault="00B70CE2" w:rsidP="00DF16B1">
      <w:pPr>
        <w:ind w:right="6"/>
        <w:jc w:val="center"/>
        <w:rPr>
          <w:rFonts w:ascii="Times New Roman" w:hAnsi="Times New Roman"/>
          <w:b/>
          <w:sz w:val="24"/>
        </w:rPr>
      </w:pPr>
      <w:r w:rsidRPr="005D177F">
        <w:rPr>
          <w:rFonts w:ascii="Times New Roman" w:hAnsi="Times New Roman"/>
          <w:b/>
          <w:sz w:val="24"/>
        </w:rPr>
        <w:t>Dispensing Records</w:t>
      </w:r>
      <w:r w:rsidR="009F3141" w:rsidRPr="005D177F">
        <w:rPr>
          <w:rFonts w:ascii="Times New Roman" w:hAnsi="Times New Roman"/>
          <w:b/>
          <w:sz w:val="24"/>
        </w:rPr>
        <w:t xml:space="preserve"> of Individual Practitioners</w:t>
      </w:r>
    </w:p>
    <w:p w:rsidR="00CC4093" w:rsidRDefault="00AE0415" w:rsidP="004559D2">
      <w:pPr>
        <w:ind w:right="6"/>
        <w:jc w:val="center"/>
        <w:rPr>
          <w:rFonts w:ascii="Times New Roman" w:hAnsi="Times New Roman"/>
          <w:b/>
          <w:noProof w:val="0"/>
          <w:sz w:val="24"/>
          <w:szCs w:val="24"/>
        </w:rPr>
      </w:pPr>
      <w:r>
        <w:rPr>
          <w:rFonts w:ascii="Times New Roman" w:hAnsi="Times New Roman"/>
          <w:b/>
          <w:noProof w:val="0"/>
          <w:sz w:val="24"/>
          <w:szCs w:val="24"/>
        </w:rPr>
        <w:t>OMB Approval #</w:t>
      </w:r>
      <w:r w:rsidR="00CC4093" w:rsidRPr="005D177F">
        <w:rPr>
          <w:rFonts w:ascii="Times New Roman" w:hAnsi="Times New Roman"/>
          <w:b/>
          <w:noProof w:val="0"/>
          <w:sz w:val="24"/>
          <w:szCs w:val="24"/>
        </w:rPr>
        <w:t xml:space="preserve"> 1117-00</w:t>
      </w:r>
      <w:r w:rsidR="00773BC4" w:rsidRPr="005D177F">
        <w:rPr>
          <w:rFonts w:ascii="Times New Roman" w:hAnsi="Times New Roman"/>
          <w:b/>
          <w:noProof w:val="0"/>
          <w:sz w:val="24"/>
          <w:szCs w:val="24"/>
        </w:rPr>
        <w:t>21</w:t>
      </w:r>
    </w:p>
    <w:p w:rsidR="005D177F" w:rsidRDefault="005D177F" w:rsidP="004559D2">
      <w:pPr>
        <w:ind w:right="6"/>
        <w:jc w:val="center"/>
        <w:rPr>
          <w:rFonts w:ascii="Times New Roman" w:hAnsi="Times New Roman"/>
          <w:b/>
          <w:noProof w:val="0"/>
          <w:sz w:val="24"/>
          <w:szCs w:val="24"/>
        </w:rPr>
      </w:pPr>
    </w:p>
    <w:p w:rsidR="00F72D10" w:rsidRPr="00E30DDA" w:rsidRDefault="005D177F" w:rsidP="00A20E5E">
      <w:pPr>
        <w:ind w:right="6"/>
        <w:rPr>
          <w:rFonts w:ascii="Times New Roman" w:hAnsi="Times New Roman"/>
          <w:noProof w:val="0"/>
          <w:sz w:val="24"/>
          <w:szCs w:val="24"/>
        </w:rPr>
      </w:pPr>
      <w:r>
        <w:rPr>
          <w:rFonts w:ascii="Times New Roman" w:hAnsi="Times New Roman"/>
          <w:noProof w:val="0"/>
          <w:sz w:val="24"/>
          <w:szCs w:val="24"/>
        </w:rPr>
        <w:t>The Drug Enforcement Administration (DEA) seeks</w:t>
      </w:r>
      <w:r w:rsidR="00301652">
        <w:rPr>
          <w:rFonts w:ascii="Times New Roman" w:hAnsi="Times New Roman"/>
          <w:noProof w:val="0"/>
          <w:sz w:val="24"/>
          <w:szCs w:val="24"/>
        </w:rPr>
        <w:t xml:space="preserve"> approval by the</w:t>
      </w:r>
      <w:r>
        <w:rPr>
          <w:rFonts w:ascii="Times New Roman" w:hAnsi="Times New Roman"/>
          <w:noProof w:val="0"/>
          <w:sz w:val="24"/>
          <w:szCs w:val="24"/>
        </w:rPr>
        <w:t xml:space="preserve"> </w:t>
      </w:r>
      <w:r w:rsidR="00A83D0B">
        <w:rPr>
          <w:rFonts w:ascii="Times New Roman" w:hAnsi="Times New Roman"/>
          <w:noProof w:val="0"/>
          <w:sz w:val="24"/>
          <w:szCs w:val="24"/>
        </w:rPr>
        <w:t>Office of Management and Budget (</w:t>
      </w:r>
      <w:r>
        <w:rPr>
          <w:rFonts w:ascii="Times New Roman" w:hAnsi="Times New Roman"/>
          <w:noProof w:val="0"/>
          <w:sz w:val="24"/>
          <w:szCs w:val="24"/>
        </w:rPr>
        <w:t>OMB</w:t>
      </w:r>
      <w:r w:rsidR="00A83D0B">
        <w:rPr>
          <w:rFonts w:ascii="Times New Roman" w:hAnsi="Times New Roman"/>
          <w:noProof w:val="0"/>
          <w:sz w:val="24"/>
          <w:szCs w:val="24"/>
        </w:rPr>
        <w:t>)</w:t>
      </w:r>
      <w:r w:rsidR="00301652">
        <w:rPr>
          <w:rFonts w:ascii="Times New Roman" w:hAnsi="Times New Roman"/>
          <w:noProof w:val="0"/>
          <w:sz w:val="24"/>
          <w:szCs w:val="24"/>
        </w:rPr>
        <w:t xml:space="preserve"> for an existing collection </w:t>
      </w:r>
      <w:r w:rsidR="00DA1E4C">
        <w:rPr>
          <w:rFonts w:ascii="Times New Roman" w:hAnsi="Times New Roman"/>
          <w:noProof w:val="0"/>
          <w:sz w:val="24"/>
          <w:szCs w:val="24"/>
        </w:rPr>
        <w:t xml:space="preserve">that was previously </w:t>
      </w:r>
      <w:r>
        <w:rPr>
          <w:rFonts w:ascii="Times New Roman" w:hAnsi="Times New Roman"/>
          <w:noProof w:val="0"/>
          <w:sz w:val="24"/>
          <w:szCs w:val="24"/>
        </w:rPr>
        <w:t>approved by OMB – OMB Approval Number 1117-0021, Dispensing Records of Individual Practitioners.</w:t>
      </w:r>
      <w:r w:rsidR="00717E2C">
        <w:rPr>
          <w:rFonts w:ascii="Times New Roman" w:hAnsi="Times New Roman"/>
          <w:noProof w:val="0"/>
          <w:sz w:val="24"/>
          <w:szCs w:val="24"/>
        </w:rPr>
        <w:t xml:space="preserve">  </w:t>
      </w:r>
    </w:p>
    <w:p w:rsidR="001A734B" w:rsidRDefault="001A734B" w:rsidP="00CC4093">
      <w:pPr>
        <w:ind w:right="1570"/>
        <w:rPr>
          <w:rFonts w:ascii="Times New Roman" w:hAnsi="Times New Roman"/>
          <w:b/>
          <w:noProof w:val="0"/>
          <w:sz w:val="24"/>
          <w:szCs w:val="24"/>
        </w:rPr>
      </w:pPr>
    </w:p>
    <w:p w:rsidR="00F72D10" w:rsidRPr="005D177F" w:rsidRDefault="00F72D10" w:rsidP="00CC4093">
      <w:pPr>
        <w:ind w:right="1570"/>
        <w:rPr>
          <w:rFonts w:ascii="Times New Roman" w:hAnsi="Times New Roman"/>
          <w:b/>
          <w:noProof w:val="0"/>
          <w:sz w:val="24"/>
          <w:szCs w:val="24"/>
        </w:rPr>
      </w:pPr>
      <w:r w:rsidRPr="005D177F">
        <w:rPr>
          <w:rFonts w:ascii="Times New Roman" w:hAnsi="Times New Roman"/>
          <w:b/>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0D45B5">
      <w:pPr>
        <w:rPr>
          <w:rFonts w:ascii="Times New Roman" w:hAnsi="Times New Roman"/>
          <w:sz w:val="24"/>
          <w:szCs w:val="24"/>
        </w:rPr>
      </w:pPr>
      <w:r w:rsidRPr="00861E66">
        <w:rPr>
          <w:rFonts w:ascii="Times New Roman" w:hAnsi="Times New Roman"/>
          <w:sz w:val="24"/>
          <w:szCs w:val="24"/>
        </w:rPr>
        <w:t xml:space="preserve">1.  </w:t>
      </w:r>
      <w:r w:rsidR="00192749" w:rsidRPr="00C439A5">
        <w:rPr>
          <w:rFonts w:ascii="Times New Roman" w:hAnsi="Times New Roman"/>
          <w:sz w:val="24"/>
          <w:szCs w:val="24"/>
          <w:u w:val="single"/>
        </w:rPr>
        <w:t>Necessity of Information</w:t>
      </w:r>
    </w:p>
    <w:p w:rsidR="00937C36" w:rsidRDefault="00937C36" w:rsidP="002B41CF">
      <w:pPr>
        <w:rPr>
          <w:rFonts w:ascii="Times New Roman" w:hAnsi="Times New Roman"/>
          <w:sz w:val="24"/>
          <w:szCs w:val="24"/>
        </w:rPr>
      </w:pPr>
    </w:p>
    <w:p w:rsidR="00937C36" w:rsidRDefault="009D3710" w:rsidP="006814E4">
      <w:pPr>
        <w:widowControl w:val="0"/>
        <w:tabs>
          <w:tab w:val="left" w:pos="450"/>
          <w:tab w:val="left" w:pos="720"/>
        </w:tabs>
        <w:rPr>
          <w:rFonts w:ascii="Times New Roman" w:hAnsi="Times New Roman"/>
          <w:iCs/>
          <w:sz w:val="24"/>
          <w:szCs w:val="24"/>
        </w:rPr>
      </w:pPr>
      <w:r>
        <w:rPr>
          <w:rFonts w:ascii="Times New Roman" w:hAnsi="Times New Roman"/>
          <w:sz w:val="24"/>
          <w:szCs w:val="24"/>
        </w:rPr>
        <w:t xml:space="preserve">     </w:t>
      </w:r>
      <w:r w:rsidR="00937C36" w:rsidRPr="006814E4">
        <w:rPr>
          <w:rFonts w:ascii="Times New Roman" w:hAnsi="Times New Roman"/>
          <w:sz w:val="24"/>
          <w:szCs w:val="24"/>
        </w:rPr>
        <w:t xml:space="preserve">In accordance with the </w:t>
      </w:r>
      <w:r w:rsidR="002F06C0">
        <w:rPr>
          <w:rFonts w:ascii="Times New Roman" w:hAnsi="Times New Roman"/>
          <w:sz w:val="24"/>
          <w:szCs w:val="24"/>
        </w:rPr>
        <w:t>Controlled Substances Act (</w:t>
      </w:r>
      <w:r w:rsidR="00D70FA4">
        <w:rPr>
          <w:rFonts w:ascii="Times New Roman" w:hAnsi="Times New Roman"/>
          <w:sz w:val="24"/>
          <w:szCs w:val="24"/>
        </w:rPr>
        <w:t>CSA</w:t>
      </w:r>
      <w:r w:rsidR="002F06C0">
        <w:rPr>
          <w:rFonts w:ascii="Times New Roman" w:hAnsi="Times New Roman"/>
          <w:sz w:val="24"/>
          <w:szCs w:val="24"/>
        </w:rPr>
        <w:t>)</w:t>
      </w:r>
      <w:r w:rsidR="00D70FA4">
        <w:rPr>
          <w:rFonts w:ascii="Times New Roman" w:hAnsi="Times New Roman"/>
          <w:sz w:val="24"/>
          <w:szCs w:val="24"/>
        </w:rPr>
        <w:t xml:space="preserve">, every DEA </w:t>
      </w:r>
      <w:r w:rsidR="00937C36" w:rsidRPr="006814E4">
        <w:rPr>
          <w:rFonts w:ascii="Times New Roman" w:hAnsi="Times New Roman"/>
          <w:sz w:val="24"/>
          <w:szCs w:val="24"/>
        </w:rPr>
        <w:t xml:space="preserve">registrant must make a biennial inventory and maintain, on a current basis, a complete and accurate record of each controlled substance manufactured, received, sold, delivered, or otherwise disposed of.  21 U.S.C. 827 and 958.  These records must be maintained separately from all other records of the registrant or, alternatively, in the case of non-narcotic controlled substances, be in such a form that required information is readily retrievable from the ordinary business records of the registrant.  21 U.S.C. 827(b)(2).  The records maintained by registrants must be kept and be available for at least two years for inspection and copying by officers or employees of the United States as authorized by the Attorney General.  21 U.S.C. 827(b)(3).  The DEA may promulgate regulations that specify the information that registrants </w:t>
      </w:r>
      <w:r w:rsidR="004973EB">
        <w:rPr>
          <w:rFonts w:ascii="Times New Roman" w:hAnsi="Times New Roman"/>
          <w:sz w:val="24"/>
          <w:szCs w:val="24"/>
        </w:rPr>
        <w:t>must</w:t>
      </w:r>
      <w:r w:rsidR="00937C36" w:rsidRPr="006814E4">
        <w:rPr>
          <w:rFonts w:ascii="Times New Roman" w:hAnsi="Times New Roman"/>
          <w:sz w:val="24"/>
          <w:szCs w:val="24"/>
        </w:rPr>
        <w:t xml:space="preserve"> maintain in the </w:t>
      </w:r>
      <w:r w:rsidR="004973EB">
        <w:rPr>
          <w:rFonts w:ascii="Times New Roman" w:hAnsi="Times New Roman"/>
          <w:sz w:val="24"/>
          <w:szCs w:val="24"/>
        </w:rPr>
        <w:t xml:space="preserve">required </w:t>
      </w:r>
      <w:r w:rsidR="00937C36" w:rsidRPr="006814E4">
        <w:rPr>
          <w:rFonts w:ascii="Times New Roman" w:hAnsi="Times New Roman"/>
          <w:sz w:val="24"/>
          <w:szCs w:val="24"/>
        </w:rPr>
        <w:t xml:space="preserve">records.  21 U.S.C. 827(b)(1).  </w:t>
      </w:r>
    </w:p>
    <w:p w:rsidR="00A92DFA" w:rsidRDefault="00A92DFA" w:rsidP="006814E4">
      <w:pPr>
        <w:widowControl w:val="0"/>
        <w:tabs>
          <w:tab w:val="left" w:pos="450"/>
          <w:tab w:val="left" w:pos="720"/>
        </w:tabs>
        <w:rPr>
          <w:rFonts w:ascii="Times New Roman" w:hAnsi="Times New Roman"/>
          <w:iCs/>
          <w:sz w:val="24"/>
          <w:szCs w:val="24"/>
        </w:rPr>
      </w:pPr>
    </w:p>
    <w:p w:rsidR="00A92DFA" w:rsidRDefault="009D3710" w:rsidP="006814E4">
      <w:pPr>
        <w:widowControl w:val="0"/>
        <w:tabs>
          <w:tab w:val="left" w:pos="450"/>
          <w:tab w:val="left" w:pos="720"/>
        </w:tabs>
        <w:rPr>
          <w:rFonts w:ascii="Times New Roman" w:hAnsi="Times New Roman"/>
          <w:iCs/>
          <w:sz w:val="24"/>
          <w:szCs w:val="24"/>
        </w:rPr>
      </w:pPr>
      <w:r>
        <w:rPr>
          <w:rFonts w:ascii="Times New Roman" w:hAnsi="Times New Roman"/>
          <w:iCs/>
          <w:sz w:val="24"/>
          <w:szCs w:val="24"/>
        </w:rPr>
        <w:t xml:space="preserve">     </w:t>
      </w:r>
      <w:r w:rsidR="00FD484D">
        <w:rPr>
          <w:rFonts w:ascii="Times New Roman" w:hAnsi="Times New Roman"/>
          <w:iCs/>
          <w:sz w:val="24"/>
          <w:szCs w:val="24"/>
        </w:rPr>
        <w:t>Pursuant to 21 U.S.C. 827(c), p</w:t>
      </w:r>
      <w:r w:rsidR="00A92DFA" w:rsidRPr="00A92DFA">
        <w:rPr>
          <w:rFonts w:ascii="Times New Roman" w:hAnsi="Times New Roman"/>
          <w:iCs/>
          <w:sz w:val="24"/>
          <w:szCs w:val="24"/>
        </w:rPr>
        <w:t xml:space="preserve">ractitioners who regularly dispense or administer controlled substances to patients and charge them for the substances </w:t>
      </w:r>
      <w:r w:rsidR="00FD484D">
        <w:rPr>
          <w:rFonts w:ascii="Times New Roman" w:hAnsi="Times New Roman"/>
          <w:iCs/>
          <w:sz w:val="24"/>
          <w:szCs w:val="24"/>
        </w:rPr>
        <w:t>and those practitioners who administer controlled substances in the course of maintenance or detoxification treatment shall</w:t>
      </w:r>
      <w:r w:rsidR="00A92DFA" w:rsidRPr="00A92DFA">
        <w:rPr>
          <w:rFonts w:ascii="Times New Roman" w:hAnsi="Times New Roman"/>
          <w:iCs/>
          <w:sz w:val="24"/>
          <w:szCs w:val="24"/>
        </w:rPr>
        <w:t xml:space="preserve"> </w:t>
      </w:r>
      <w:r w:rsidR="00FD484D">
        <w:rPr>
          <w:rFonts w:ascii="Times New Roman" w:hAnsi="Times New Roman"/>
          <w:iCs/>
          <w:sz w:val="24"/>
          <w:szCs w:val="24"/>
        </w:rPr>
        <w:t xml:space="preserve">keep records of such activities, and accordingly must </w:t>
      </w:r>
      <w:r w:rsidR="00A92DFA" w:rsidRPr="00A92DFA">
        <w:rPr>
          <w:rFonts w:ascii="Times New Roman" w:hAnsi="Times New Roman"/>
          <w:iCs/>
          <w:sz w:val="24"/>
          <w:szCs w:val="24"/>
        </w:rPr>
        <w:t xml:space="preserve">comply with the regulations on recordkeeping.  Paragraphs (b), (c), and (d) of 21 CFR 1304.03 identify when individual practitioners are required to maintain records of controlled substances.  The recordkeeping requirements for </w:t>
      </w:r>
      <w:r w:rsidR="001A292E">
        <w:rPr>
          <w:rFonts w:ascii="Times New Roman" w:hAnsi="Times New Roman"/>
          <w:iCs/>
          <w:sz w:val="24"/>
          <w:szCs w:val="24"/>
        </w:rPr>
        <w:t>these</w:t>
      </w:r>
      <w:r w:rsidR="00A92DFA" w:rsidRPr="00A92DFA">
        <w:rPr>
          <w:rFonts w:ascii="Times New Roman" w:hAnsi="Times New Roman"/>
          <w:iCs/>
          <w:sz w:val="24"/>
          <w:szCs w:val="24"/>
        </w:rPr>
        <w:t xml:space="preserve"> practitioners are contained in 1304.04(g), 1304.11, 1304.22</w:t>
      </w:r>
      <w:r w:rsidR="00A61845">
        <w:rPr>
          <w:rFonts w:ascii="Times New Roman" w:hAnsi="Times New Roman"/>
          <w:iCs/>
          <w:sz w:val="24"/>
          <w:szCs w:val="24"/>
        </w:rPr>
        <w:t>, and 1304.24</w:t>
      </w:r>
      <w:r w:rsidR="00A92DFA" w:rsidRPr="00A92DFA">
        <w:rPr>
          <w:rFonts w:ascii="Times New Roman" w:hAnsi="Times New Roman"/>
          <w:iCs/>
          <w:sz w:val="24"/>
          <w:szCs w:val="24"/>
        </w:rPr>
        <w:t>.</w:t>
      </w:r>
    </w:p>
    <w:p w:rsidR="004C43CE" w:rsidRDefault="004C43CE" w:rsidP="006814E4">
      <w:pPr>
        <w:widowControl w:val="0"/>
        <w:tabs>
          <w:tab w:val="left" w:pos="450"/>
          <w:tab w:val="left" w:pos="720"/>
        </w:tabs>
        <w:rPr>
          <w:rFonts w:ascii="Times New Roman" w:hAnsi="Times New Roman"/>
          <w:iCs/>
          <w:sz w:val="24"/>
          <w:szCs w:val="24"/>
        </w:rPr>
      </w:pPr>
    </w:p>
    <w:p w:rsidR="005D177F" w:rsidRDefault="000D45B5" w:rsidP="00A20E5E">
      <w:pPr>
        <w:widowControl w:val="0"/>
        <w:tabs>
          <w:tab w:val="left" w:pos="450"/>
          <w:tab w:val="left" w:pos="720"/>
        </w:tabs>
        <w:rPr>
          <w:szCs w:val="24"/>
        </w:rPr>
      </w:pPr>
      <w:r>
        <w:rPr>
          <w:rFonts w:ascii="Times New Roman" w:hAnsi="Times New Roman"/>
          <w:iCs/>
          <w:sz w:val="24"/>
          <w:szCs w:val="24"/>
        </w:rPr>
        <w:tab/>
      </w:r>
    </w:p>
    <w:p w:rsidR="00FE6F5A" w:rsidRPr="00861E66" w:rsidRDefault="00FE6F5A" w:rsidP="000D45B5">
      <w:pPr>
        <w:pStyle w:val="BodyText"/>
        <w:spacing w:line="240" w:lineRule="auto"/>
        <w:rPr>
          <w:szCs w:val="24"/>
        </w:rPr>
      </w:pPr>
      <w:r w:rsidRPr="00861E66">
        <w:rPr>
          <w:szCs w:val="24"/>
        </w:rPr>
        <w:t xml:space="preserve">2. </w:t>
      </w:r>
      <w:r w:rsidR="00AC1DBA" w:rsidRPr="00861E66">
        <w:rPr>
          <w:szCs w:val="24"/>
        </w:rPr>
        <w:t xml:space="preserve"> </w:t>
      </w:r>
      <w:r w:rsidRPr="00A20E5E">
        <w:rPr>
          <w:szCs w:val="24"/>
          <w:u w:val="single"/>
        </w:rPr>
        <w:t>Needs and Uses</w:t>
      </w:r>
    </w:p>
    <w:p w:rsidR="00CC4093" w:rsidRDefault="00CC4093" w:rsidP="00CC4093">
      <w:pPr>
        <w:rPr>
          <w:rFonts w:ascii="Times New Roman" w:hAnsi="Times New Roman"/>
          <w:noProof w:val="0"/>
          <w:sz w:val="24"/>
          <w:szCs w:val="24"/>
        </w:rPr>
      </w:pPr>
    </w:p>
    <w:p w:rsidR="00CC4093" w:rsidRDefault="00B911FD" w:rsidP="00A20E5E">
      <w:pPr>
        <w:rPr>
          <w:rFonts w:ascii="Times New Roman" w:hAnsi="Times New Roman"/>
          <w:sz w:val="24"/>
          <w:szCs w:val="24"/>
        </w:rPr>
      </w:pPr>
      <w:r>
        <w:rPr>
          <w:rFonts w:ascii="Times New Roman" w:hAnsi="Times New Roman"/>
          <w:sz w:val="24"/>
          <w:szCs w:val="24"/>
        </w:rPr>
        <w:t xml:space="preserve">     </w:t>
      </w:r>
      <w:r w:rsidR="007D0F1B" w:rsidRPr="007D0F1B">
        <w:rPr>
          <w:rFonts w:ascii="Times New Roman" w:hAnsi="Times New Roman"/>
          <w:sz w:val="24"/>
          <w:szCs w:val="24"/>
        </w:rPr>
        <w:t xml:space="preserve">The </w:t>
      </w:r>
      <w:r w:rsidR="005D177F">
        <w:rPr>
          <w:rFonts w:ascii="Times New Roman" w:hAnsi="Times New Roman"/>
          <w:sz w:val="24"/>
          <w:szCs w:val="24"/>
        </w:rPr>
        <w:t>DEA</w:t>
      </w:r>
      <w:r w:rsidR="005929F8" w:rsidRPr="007D0F1B">
        <w:rPr>
          <w:rFonts w:ascii="Times New Roman" w:hAnsi="Times New Roman"/>
          <w:sz w:val="24"/>
          <w:szCs w:val="24"/>
        </w:rPr>
        <w:t xml:space="preserve"> and </w:t>
      </w:r>
      <w:r w:rsidR="00717E2C">
        <w:rPr>
          <w:rFonts w:ascii="Times New Roman" w:hAnsi="Times New Roman"/>
          <w:sz w:val="24"/>
          <w:szCs w:val="24"/>
        </w:rPr>
        <w:t>registrants</w:t>
      </w:r>
      <w:r w:rsidR="005929F8" w:rsidRPr="007D0F1B">
        <w:rPr>
          <w:rFonts w:ascii="Times New Roman" w:hAnsi="Times New Roman"/>
          <w:sz w:val="24"/>
          <w:szCs w:val="24"/>
        </w:rPr>
        <w:t xml:space="preserve"> use the required records to maintain accountability for controlled substances</w:t>
      </w:r>
      <w:r w:rsidR="0056784E">
        <w:rPr>
          <w:rFonts w:ascii="Times New Roman" w:hAnsi="Times New Roman"/>
          <w:sz w:val="24"/>
          <w:szCs w:val="24"/>
        </w:rPr>
        <w:t xml:space="preserve">, and </w:t>
      </w:r>
      <w:r w:rsidR="00275B42">
        <w:rPr>
          <w:rFonts w:ascii="Times New Roman" w:hAnsi="Times New Roman"/>
          <w:sz w:val="24"/>
          <w:szCs w:val="24"/>
        </w:rPr>
        <w:t xml:space="preserve">to </w:t>
      </w:r>
      <w:r w:rsidR="0056784E">
        <w:rPr>
          <w:rFonts w:ascii="Times New Roman" w:hAnsi="Times New Roman"/>
          <w:sz w:val="24"/>
          <w:szCs w:val="24"/>
        </w:rPr>
        <w:t>deter and detect diversion</w:t>
      </w:r>
      <w:r w:rsidR="00246FDA">
        <w:rPr>
          <w:rFonts w:ascii="Times New Roman" w:hAnsi="Times New Roman"/>
          <w:sz w:val="24"/>
          <w:szCs w:val="24"/>
        </w:rPr>
        <w:t xml:space="preserve">.  </w:t>
      </w:r>
      <w:r w:rsidR="00105438" w:rsidRPr="00105438">
        <w:rPr>
          <w:rFonts w:ascii="Times New Roman" w:hAnsi="Times New Roman"/>
          <w:sz w:val="24"/>
          <w:szCs w:val="24"/>
        </w:rPr>
        <w:t>Without</w:t>
      </w:r>
      <w:r w:rsidR="00105438">
        <w:rPr>
          <w:rFonts w:ascii="Times New Roman" w:hAnsi="Times New Roman"/>
          <w:sz w:val="24"/>
          <w:szCs w:val="24"/>
        </w:rPr>
        <w:t xml:space="preserve"> these recordkeeping requirements,</w:t>
      </w:r>
      <w:r w:rsidR="00105438" w:rsidRPr="00105438">
        <w:rPr>
          <w:rFonts w:ascii="Times New Roman" w:hAnsi="Times New Roman"/>
          <w:sz w:val="24"/>
          <w:szCs w:val="24"/>
        </w:rPr>
        <w:t xml:space="preserve"> </w:t>
      </w:r>
      <w:r w:rsidR="0056784E">
        <w:rPr>
          <w:rFonts w:ascii="Times New Roman" w:hAnsi="Times New Roman"/>
          <w:sz w:val="24"/>
          <w:szCs w:val="24"/>
        </w:rPr>
        <w:t>the</w:t>
      </w:r>
      <w:r w:rsidR="00105438" w:rsidRPr="00105438">
        <w:rPr>
          <w:rFonts w:ascii="Times New Roman" w:hAnsi="Times New Roman"/>
          <w:sz w:val="24"/>
          <w:szCs w:val="24"/>
        </w:rPr>
        <w:t xml:space="preserve"> closed system of distribution would be </w:t>
      </w:r>
      <w:r w:rsidR="0056784E">
        <w:rPr>
          <w:rFonts w:ascii="Times New Roman" w:hAnsi="Times New Roman"/>
          <w:sz w:val="24"/>
          <w:szCs w:val="24"/>
        </w:rPr>
        <w:t>compromised.  C</w:t>
      </w:r>
      <w:r w:rsidR="00105438">
        <w:rPr>
          <w:rFonts w:ascii="Times New Roman" w:hAnsi="Times New Roman"/>
          <w:sz w:val="24"/>
          <w:szCs w:val="24"/>
        </w:rPr>
        <w:t>ontrolled substances that are</w:t>
      </w:r>
      <w:r w:rsidR="00105438" w:rsidRPr="00105438">
        <w:rPr>
          <w:rFonts w:ascii="Times New Roman" w:hAnsi="Times New Roman"/>
          <w:sz w:val="24"/>
          <w:szCs w:val="24"/>
        </w:rPr>
        <w:t xml:space="preserve"> dispensed or administer</w:t>
      </w:r>
      <w:r w:rsidR="00231A1C">
        <w:rPr>
          <w:rFonts w:ascii="Times New Roman" w:hAnsi="Times New Roman"/>
          <w:sz w:val="24"/>
          <w:szCs w:val="24"/>
        </w:rPr>
        <w:t>ed could easily be diverted without detection</w:t>
      </w:r>
      <w:r w:rsidR="00105438" w:rsidRPr="00105438">
        <w:rPr>
          <w:rFonts w:ascii="Times New Roman" w:hAnsi="Times New Roman"/>
          <w:sz w:val="24"/>
          <w:szCs w:val="24"/>
        </w:rPr>
        <w:t>.</w:t>
      </w:r>
      <w:r w:rsidR="00105438">
        <w:rPr>
          <w:rFonts w:ascii="Times New Roman" w:hAnsi="Times New Roman"/>
          <w:sz w:val="24"/>
          <w:szCs w:val="24"/>
        </w:rPr>
        <w:t xml:space="preserve">  </w:t>
      </w:r>
    </w:p>
    <w:p w:rsidR="004C43CE" w:rsidRDefault="004C43CE" w:rsidP="007D0F1B">
      <w:pPr>
        <w:rPr>
          <w:rFonts w:ascii="Times New Roman" w:hAnsi="Times New Roman"/>
          <w:sz w:val="24"/>
          <w:szCs w:val="24"/>
        </w:rPr>
      </w:pPr>
    </w:p>
    <w:p w:rsidR="00006EFA" w:rsidRPr="00006EFA" w:rsidRDefault="00006EFA" w:rsidP="006814E4">
      <w:pPr>
        <w:ind w:left="720"/>
        <w:rPr>
          <w:rFonts w:ascii="Times New Roman" w:hAnsi="Times New Roman"/>
          <w:i/>
          <w:sz w:val="24"/>
          <w:szCs w:val="24"/>
        </w:rPr>
      </w:pPr>
    </w:p>
    <w:p w:rsidR="00006EFA" w:rsidRPr="00006EFA" w:rsidRDefault="00B911FD" w:rsidP="00A20E5E">
      <w:pPr>
        <w:rPr>
          <w:rFonts w:ascii="Times New Roman" w:hAnsi="Times New Roman"/>
          <w:sz w:val="24"/>
          <w:szCs w:val="24"/>
        </w:rPr>
      </w:pPr>
      <w:r>
        <w:rPr>
          <w:rFonts w:ascii="Times New Roman" w:hAnsi="Times New Roman"/>
          <w:sz w:val="24"/>
          <w:szCs w:val="24"/>
        </w:rPr>
        <w:t xml:space="preserve">     </w:t>
      </w:r>
      <w:r w:rsidR="00006EFA" w:rsidRPr="00006EFA">
        <w:rPr>
          <w:rFonts w:ascii="Times New Roman" w:hAnsi="Times New Roman"/>
          <w:sz w:val="24"/>
          <w:szCs w:val="24"/>
        </w:rPr>
        <w:t>The DEA is auth</w:t>
      </w:r>
      <w:r w:rsidR="007E2566">
        <w:rPr>
          <w:rFonts w:ascii="Times New Roman" w:hAnsi="Times New Roman"/>
          <w:sz w:val="24"/>
          <w:szCs w:val="24"/>
        </w:rPr>
        <w:t>orizing reverse distributors</w:t>
      </w:r>
      <w:r w:rsidR="00006EFA" w:rsidRPr="00006EFA">
        <w:rPr>
          <w:rFonts w:ascii="Times New Roman" w:hAnsi="Times New Roman"/>
          <w:sz w:val="24"/>
          <w:szCs w:val="24"/>
        </w:rPr>
        <w:t xml:space="preserve"> to acquire controlled substances from law enforcement and authorized collectors that have acquired those substances from ultimate users and other non-registrants through one of the approved collection methods:  take back event, </w:t>
      </w:r>
      <w:r w:rsidR="00150AA5">
        <w:rPr>
          <w:rFonts w:ascii="Times New Roman" w:hAnsi="Times New Roman"/>
          <w:sz w:val="24"/>
          <w:szCs w:val="24"/>
        </w:rPr>
        <w:t>mail-back</w:t>
      </w:r>
      <w:r w:rsidR="00006EFA" w:rsidRPr="00006EFA">
        <w:rPr>
          <w:rFonts w:ascii="Times New Roman" w:hAnsi="Times New Roman"/>
          <w:sz w:val="24"/>
          <w:szCs w:val="24"/>
        </w:rPr>
        <w:t xml:space="preserve"> program,</w:t>
      </w:r>
      <w:r w:rsidR="002806C1">
        <w:rPr>
          <w:rFonts w:ascii="Times New Roman" w:hAnsi="Times New Roman"/>
          <w:sz w:val="24"/>
          <w:szCs w:val="24"/>
        </w:rPr>
        <w:t xml:space="preserve"> or collection receptacle.  T</w:t>
      </w:r>
      <w:r w:rsidR="00006EFA" w:rsidRPr="00006EFA">
        <w:rPr>
          <w:rFonts w:ascii="Times New Roman" w:hAnsi="Times New Roman"/>
          <w:sz w:val="24"/>
          <w:szCs w:val="24"/>
        </w:rPr>
        <w:t xml:space="preserve">he DEA is also authorizing distributors to acquire controlled substances from authorized collectors that have acquired those substances from </w:t>
      </w:r>
      <w:r w:rsidR="00006EFA" w:rsidRPr="00006EFA">
        <w:rPr>
          <w:rFonts w:ascii="Times New Roman" w:hAnsi="Times New Roman"/>
          <w:sz w:val="24"/>
          <w:szCs w:val="24"/>
        </w:rPr>
        <w:lastRenderedPageBreak/>
        <w:t xml:space="preserve">ultimate users and other non-registrants through one of the above-listed collection methods.  The </w:t>
      </w:r>
      <w:r w:rsidR="00006EFA" w:rsidRPr="00006EFA">
        <w:rPr>
          <w:rFonts w:ascii="Times New Roman" w:hAnsi="Times New Roman"/>
          <w:iCs/>
          <w:sz w:val="24"/>
          <w:szCs w:val="24"/>
        </w:rPr>
        <w:t xml:space="preserve">DEA is requiring these </w:t>
      </w:r>
      <w:r w:rsidR="00006EFA" w:rsidRPr="00006EFA">
        <w:rPr>
          <w:rFonts w:ascii="Times New Roman" w:hAnsi="Times New Roman"/>
          <w:sz w:val="24"/>
          <w:szCs w:val="24"/>
        </w:rPr>
        <w:t xml:space="preserve">reverse distributors and distributors </w:t>
      </w:r>
      <w:r w:rsidR="00006EFA" w:rsidRPr="00006EFA">
        <w:rPr>
          <w:rFonts w:ascii="Times New Roman" w:hAnsi="Times New Roman"/>
          <w:iCs/>
          <w:sz w:val="24"/>
          <w:szCs w:val="24"/>
        </w:rPr>
        <w:t xml:space="preserve">to maintain </w:t>
      </w:r>
      <w:r w:rsidR="00006EFA" w:rsidRPr="00006EFA">
        <w:rPr>
          <w:rFonts w:ascii="Times New Roman" w:hAnsi="Times New Roman"/>
          <w:sz w:val="24"/>
          <w:szCs w:val="24"/>
        </w:rPr>
        <w:t>complete and accurate records of controlled substances received, delivered, or otherwise disposed of</w:t>
      </w:r>
      <w:r w:rsidR="00006EFA" w:rsidRPr="00006EFA">
        <w:rPr>
          <w:rFonts w:ascii="Times New Roman" w:hAnsi="Times New Roman"/>
          <w:iCs/>
          <w:sz w:val="24"/>
          <w:szCs w:val="24"/>
        </w:rPr>
        <w:t>.</w:t>
      </w:r>
    </w:p>
    <w:p w:rsidR="005D177F" w:rsidRDefault="005D177F"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9D3710">
        <w:rPr>
          <w:szCs w:val="24"/>
          <w:u w:val="single"/>
        </w:rPr>
        <w:t>Use of Technology</w:t>
      </w:r>
    </w:p>
    <w:p w:rsidR="00CC4093" w:rsidRDefault="00CC4093" w:rsidP="00CC4093">
      <w:pPr>
        <w:pStyle w:val="BodyText"/>
        <w:spacing w:line="240" w:lineRule="auto"/>
        <w:rPr>
          <w:noProof/>
          <w:szCs w:val="24"/>
        </w:rPr>
      </w:pPr>
    </w:p>
    <w:p w:rsidR="008618F3" w:rsidRDefault="009D3710" w:rsidP="00CC4093">
      <w:pPr>
        <w:tabs>
          <w:tab w:val="left" w:pos="720"/>
        </w:tabs>
        <w:rPr>
          <w:rFonts w:ascii="Times New Roman" w:hAnsi="Times New Roman"/>
          <w:sz w:val="24"/>
          <w:szCs w:val="24"/>
        </w:rPr>
      </w:pPr>
      <w:r>
        <w:rPr>
          <w:rFonts w:ascii="Times New Roman" w:hAnsi="Times New Roman"/>
          <w:sz w:val="24"/>
          <w:szCs w:val="24"/>
        </w:rPr>
        <w:t xml:space="preserve">     </w:t>
      </w:r>
      <w:r w:rsidR="0074611F">
        <w:rPr>
          <w:rFonts w:ascii="Times New Roman" w:hAnsi="Times New Roman"/>
          <w:sz w:val="24"/>
          <w:szCs w:val="24"/>
        </w:rPr>
        <w:t>Th</w:t>
      </w:r>
      <w:r w:rsidR="004C0E22">
        <w:rPr>
          <w:rFonts w:ascii="Times New Roman" w:hAnsi="Times New Roman"/>
          <w:sz w:val="24"/>
          <w:szCs w:val="24"/>
        </w:rPr>
        <w:t>ese</w:t>
      </w:r>
      <w:r w:rsidR="0074611F">
        <w:rPr>
          <w:rFonts w:ascii="Times New Roman" w:hAnsi="Times New Roman"/>
          <w:sz w:val="24"/>
          <w:szCs w:val="24"/>
        </w:rPr>
        <w:t xml:space="preserve"> requirement</w:t>
      </w:r>
      <w:r w:rsidR="004C0E22">
        <w:rPr>
          <w:rFonts w:ascii="Times New Roman" w:hAnsi="Times New Roman"/>
          <w:sz w:val="24"/>
          <w:szCs w:val="24"/>
        </w:rPr>
        <w:t>s</w:t>
      </w:r>
      <w:r w:rsidR="0074611F">
        <w:rPr>
          <w:rFonts w:ascii="Times New Roman" w:hAnsi="Times New Roman"/>
          <w:sz w:val="24"/>
          <w:szCs w:val="24"/>
        </w:rPr>
        <w:t xml:space="preserve"> do not involve reporting and, ther</w:t>
      </w:r>
      <w:r w:rsidR="007D0F1B">
        <w:rPr>
          <w:rFonts w:ascii="Times New Roman" w:hAnsi="Times New Roman"/>
          <w:sz w:val="24"/>
          <w:szCs w:val="24"/>
        </w:rPr>
        <w:t>e</w:t>
      </w:r>
      <w:r w:rsidR="0074611F">
        <w:rPr>
          <w:rFonts w:ascii="Times New Roman" w:hAnsi="Times New Roman"/>
          <w:sz w:val="24"/>
          <w:szCs w:val="24"/>
        </w:rPr>
        <w:t xml:space="preserve">fore, issues related to electronic submission are not applicable.  </w:t>
      </w:r>
      <w:r w:rsidR="005D177F">
        <w:rPr>
          <w:rFonts w:ascii="Times New Roman" w:hAnsi="Times New Roman"/>
          <w:sz w:val="24"/>
          <w:szCs w:val="24"/>
        </w:rPr>
        <w:t xml:space="preserve">The </w:t>
      </w:r>
      <w:r w:rsidR="0074611F">
        <w:rPr>
          <w:rFonts w:ascii="Times New Roman" w:hAnsi="Times New Roman"/>
          <w:sz w:val="24"/>
          <w:szCs w:val="24"/>
        </w:rPr>
        <w:t>DEA’s regulations allo</w:t>
      </w:r>
      <w:r w:rsidR="00773BC4">
        <w:rPr>
          <w:rFonts w:ascii="Times New Roman" w:hAnsi="Times New Roman"/>
          <w:sz w:val="24"/>
          <w:szCs w:val="24"/>
        </w:rPr>
        <w:t>w</w:t>
      </w:r>
      <w:r w:rsidR="00F8242C">
        <w:rPr>
          <w:rFonts w:ascii="Times New Roman" w:hAnsi="Times New Roman"/>
          <w:sz w:val="24"/>
          <w:szCs w:val="24"/>
        </w:rPr>
        <w:t xml:space="preserve"> </w:t>
      </w:r>
      <w:r w:rsidR="00EE15DA">
        <w:rPr>
          <w:rFonts w:ascii="Times New Roman" w:hAnsi="Times New Roman"/>
          <w:sz w:val="24"/>
          <w:szCs w:val="24"/>
        </w:rPr>
        <w:t>registrants</w:t>
      </w:r>
      <w:r w:rsidR="00773BC4">
        <w:rPr>
          <w:rFonts w:ascii="Times New Roman" w:hAnsi="Times New Roman"/>
          <w:sz w:val="24"/>
          <w:szCs w:val="24"/>
        </w:rPr>
        <w:t xml:space="preserve"> to maintain the</w:t>
      </w:r>
      <w:r w:rsidR="004C0E22">
        <w:rPr>
          <w:rFonts w:ascii="Times New Roman" w:hAnsi="Times New Roman"/>
          <w:sz w:val="24"/>
          <w:szCs w:val="24"/>
        </w:rPr>
        <w:t xml:space="preserve"> required</w:t>
      </w:r>
      <w:r w:rsidR="0074611F">
        <w:rPr>
          <w:rFonts w:ascii="Times New Roman" w:hAnsi="Times New Roman"/>
          <w:sz w:val="24"/>
          <w:szCs w:val="24"/>
        </w:rPr>
        <w:t xml:space="preserve"> records in any format they find appropriate, including electronically. </w:t>
      </w:r>
    </w:p>
    <w:p w:rsidR="008618F3" w:rsidRDefault="008618F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5D177F">
        <w:rPr>
          <w:rFonts w:ascii="Times New Roman" w:hAnsi="Times New Roman"/>
          <w:sz w:val="24"/>
          <w:szCs w:val="24"/>
          <w:u w:val="single"/>
        </w:rPr>
        <w:t>E</w:t>
      </w:r>
      <w:r w:rsidRPr="005D177F">
        <w:rPr>
          <w:rFonts w:ascii="Times New Roman" w:hAnsi="Times New Roman"/>
          <w:sz w:val="24"/>
          <w:szCs w:val="24"/>
          <w:u w:val="single"/>
        </w:rPr>
        <w:t xml:space="preserve">fforts to </w:t>
      </w:r>
      <w:r w:rsidR="00AC1DBA" w:rsidRPr="005D177F">
        <w:rPr>
          <w:rFonts w:ascii="Times New Roman" w:hAnsi="Times New Roman"/>
          <w:sz w:val="24"/>
          <w:szCs w:val="24"/>
          <w:u w:val="single"/>
        </w:rPr>
        <w:t>I</w:t>
      </w:r>
      <w:r w:rsidRPr="005D177F">
        <w:rPr>
          <w:rFonts w:ascii="Times New Roman" w:hAnsi="Times New Roman"/>
          <w:sz w:val="24"/>
          <w:szCs w:val="24"/>
          <w:u w:val="single"/>
        </w:rPr>
        <w:t xml:space="preserve">dentify </w:t>
      </w:r>
      <w:r w:rsidR="00AC1DBA" w:rsidRPr="005D177F">
        <w:rPr>
          <w:rFonts w:ascii="Times New Roman" w:hAnsi="Times New Roman"/>
          <w:sz w:val="24"/>
          <w:szCs w:val="24"/>
          <w:u w:val="single"/>
        </w:rPr>
        <w:t>Duplication</w:t>
      </w:r>
    </w:p>
    <w:p w:rsidR="00CC4093" w:rsidRDefault="00CC4093" w:rsidP="00CC4093">
      <w:pPr>
        <w:rPr>
          <w:rFonts w:ascii="Times New Roman" w:hAnsi="Times New Roman"/>
          <w:noProof w:val="0"/>
          <w:sz w:val="24"/>
          <w:szCs w:val="24"/>
        </w:rPr>
      </w:pPr>
    </w:p>
    <w:p w:rsidR="005D177F" w:rsidRDefault="009D3710" w:rsidP="009D3710">
      <w:pPr>
        <w:rPr>
          <w:rFonts w:ascii="Times New Roman" w:hAnsi="Times New Roman"/>
          <w:noProof w:val="0"/>
          <w:sz w:val="24"/>
          <w:szCs w:val="24"/>
        </w:rPr>
      </w:pPr>
      <w:r>
        <w:rPr>
          <w:rFonts w:ascii="Times New Roman" w:hAnsi="Times New Roman"/>
          <w:sz w:val="24"/>
          <w:szCs w:val="24"/>
        </w:rPr>
        <w:t xml:space="preserve">     </w:t>
      </w:r>
      <w:r w:rsidR="007E2566" w:rsidRPr="007E2566">
        <w:rPr>
          <w:rFonts w:ascii="Times New Roman" w:hAnsi="Times New Roman"/>
          <w:sz w:val="24"/>
          <w:szCs w:val="24"/>
        </w:rPr>
        <w:t xml:space="preserve">The DEA made efforts to identify and prevent duplication of the collection of information.  </w:t>
      </w:r>
      <w:r w:rsidR="0074611F">
        <w:rPr>
          <w:rFonts w:ascii="Times New Roman" w:hAnsi="Times New Roman"/>
          <w:sz w:val="24"/>
          <w:szCs w:val="24"/>
        </w:rPr>
        <w:t xml:space="preserve">Although </w:t>
      </w:r>
      <w:r w:rsidR="005D177F">
        <w:rPr>
          <w:rFonts w:ascii="Times New Roman" w:hAnsi="Times New Roman"/>
          <w:sz w:val="24"/>
          <w:szCs w:val="24"/>
        </w:rPr>
        <w:t xml:space="preserve">the </w:t>
      </w:r>
      <w:r w:rsidR="0074611F">
        <w:rPr>
          <w:rFonts w:ascii="Times New Roman" w:hAnsi="Times New Roman"/>
          <w:sz w:val="24"/>
          <w:szCs w:val="24"/>
        </w:rPr>
        <w:t xml:space="preserve">DEA </w:t>
      </w:r>
      <w:r w:rsidR="004962E8">
        <w:rPr>
          <w:rFonts w:ascii="Times New Roman" w:hAnsi="Times New Roman"/>
          <w:sz w:val="24"/>
          <w:szCs w:val="24"/>
        </w:rPr>
        <w:t>specifies</w:t>
      </w:r>
      <w:r w:rsidR="0074611F">
        <w:rPr>
          <w:rFonts w:ascii="Times New Roman" w:hAnsi="Times New Roman"/>
          <w:sz w:val="24"/>
          <w:szCs w:val="24"/>
        </w:rPr>
        <w:t xml:space="preserve"> the data that must be </w:t>
      </w:r>
      <w:r w:rsidR="00882E00">
        <w:rPr>
          <w:rFonts w:ascii="Times New Roman" w:hAnsi="Times New Roman"/>
          <w:sz w:val="24"/>
          <w:szCs w:val="24"/>
        </w:rPr>
        <w:t xml:space="preserve">recorded and </w:t>
      </w:r>
      <w:r w:rsidR="0074611F">
        <w:rPr>
          <w:rFonts w:ascii="Times New Roman" w:hAnsi="Times New Roman"/>
          <w:sz w:val="24"/>
          <w:szCs w:val="24"/>
        </w:rPr>
        <w:t>maintained, it does not specify the forma</w:t>
      </w:r>
      <w:r w:rsidR="009F3141">
        <w:rPr>
          <w:rFonts w:ascii="Times New Roman" w:hAnsi="Times New Roman"/>
          <w:sz w:val="24"/>
          <w:szCs w:val="24"/>
        </w:rPr>
        <w:t xml:space="preserve">t.  </w:t>
      </w:r>
      <w:r w:rsidR="00EE15DA">
        <w:rPr>
          <w:rFonts w:ascii="Times New Roman" w:hAnsi="Times New Roman"/>
          <w:sz w:val="24"/>
          <w:szCs w:val="24"/>
        </w:rPr>
        <w:t xml:space="preserve">Registrants </w:t>
      </w:r>
      <w:r w:rsidR="009F3141">
        <w:rPr>
          <w:rFonts w:ascii="Times New Roman" w:hAnsi="Times New Roman"/>
          <w:sz w:val="24"/>
          <w:szCs w:val="24"/>
        </w:rPr>
        <w:t>may use existi</w:t>
      </w:r>
      <w:r w:rsidR="0074611F">
        <w:rPr>
          <w:rFonts w:ascii="Times New Roman" w:hAnsi="Times New Roman"/>
          <w:sz w:val="24"/>
          <w:szCs w:val="24"/>
        </w:rPr>
        <w:t>ng records to meet the requirem</w:t>
      </w:r>
      <w:r w:rsidR="007D0F1B">
        <w:rPr>
          <w:rFonts w:ascii="Times New Roman" w:hAnsi="Times New Roman"/>
          <w:sz w:val="24"/>
          <w:szCs w:val="24"/>
        </w:rPr>
        <w:t>en</w:t>
      </w:r>
      <w:r w:rsidR="0074611F">
        <w:rPr>
          <w:rFonts w:ascii="Times New Roman" w:hAnsi="Times New Roman"/>
          <w:sz w:val="24"/>
          <w:szCs w:val="24"/>
        </w:rPr>
        <w:t>t</w:t>
      </w:r>
      <w:r w:rsidR="00882E00">
        <w:rPr>
          <w:rFonts w:ascii="Times New Roman" w:hAnsi="Times New Roman"/>
          <w:sz w:val="24"/>
          <w:szCs w:val="24"/>
        </w:rPr>
        <w:t>s</w:t>
      </w:r>
      <w:r w:rsidR="0074611F">
        <w:rPr>
          <w:rFonts w:ascii="Times New Roman" w:hAnsi="Times New Roman"/>
          <w:sz w:val="24"/>
          <w:szCs w:val="24"/>
        </w:rPr>
        <w:t xml:space="preserve"> if those records include the data </w:t>
      </w:r>
      <w:r w:rsidR="007D0F1B">
        <w:rPr>
          <w:rFonts w:ascii="Times New Roman" w:hAnsi="Times New Roman"/>
          <w:sz w:val="24"/>
          <w:szCs w:val="24"/>
        </w:rPr>
        <w:t>that must be maintained</w:t>
      </w:r>
      <w:r w:rsidR="0074611F">
        <w:rPr>
          <w:rFonts w:ascii="Times New Roman" w:hAnsi="Times New Roman"/>
          <w:sz w:val="24"/>
          <w:szCs w:val="24"/>
        </w:rPr>
        <w:t xml:space="preserve">. </w:t>
      </w:r>
      <w:r w:rsidR="007E2566" w:rsidRPr="007E2566">
        <w:rPr>
          <w:rFonts w:ascii="Times New Roman" w:hAnsi="Times New Roman"/>
          <w:noProof w:val="0"/>
          <w:sz w:val="24"/>
          <w:szCs w:val="24"/>
        </w:rPr>
        <w:t xml:space="preserve">The DEA does not believe that there is a duplication of an existing collection of information.  </w:t>
      </w:r>
    </w:p>
    <w:p w:rsidR="007E2566" w:rsidRDefault="007E2566" w:rsidP="007E2566">
      <w:pPr>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5D177F" w:rsidRPr="005D177F">
        <w:rPr>
          <w:szCs w:val="24"/>
          <w:u w:val="single"/>
        </w:rPr>
        <w:t>Impact on Small Businesses or Entities</w:t>
      </w:r>
    </w:p>
    <w:p w:rsidR="00CC4093" w:rsidRDefault="00CC4093" w:rsidP="00CC4093">
      <w:pPr>
        <w:rPr>
          <w:rFonts w:ascii="Times New Roman" w:hAnsi="Times New Roman"/>
          <w:noProof w:val="0"/>
          <w:sz w:val="24"/>
          <w:szCs w:val="24"/>
        </w:rPr>
      </w:pPr>
    </w:p>
    <w:p w:rsidR="00CC4093" w:rsidRDefault="009D3710" w:rsidP="009D3710">
      <w:pPr>
        <w:pStyle w:val="BodyTextIndent3"/>
        <w:spacing w:line="240" w:lineRule="auto"/>
        <w:ind w:firstLine="0"/>
        <w:jc w:val="left"/>
        <w:rPr>
          <w:szCs w:val="24"/>
        </w:rPr>
      </w:pPr>
      <w:r>
        <w:rPr>
          <w:noProof/>
          <w:szCs w:val="24"/>
        </w:rPr>
        <w:t xml:space="preserve">     </w:t>
      </w:r>
      <w:r w:rsidR="007E2566" w:rsidRPr="007E2566">
        <w:rPr>
          <w:noProof/>
          <w:szCs w:val="24"/>
        </w:rPr>
        <w:t xml:space="preserve">The DEA </w:t>
      </w:r>
      <w:r w:rsidR="00B911FD">
        <w:rPr>
          <w:noProof/>
          <w:szCs w:val="24"/>
        </w:rPr>
        <w:t>has concluded that the collection will not have a significant economic impact on small entities within the meaning and intent of the Regulatory Flexibility Act, 5 U.S.C. 601-612.</w:t>
      </w:r>
    </w:p>
    <w:p w:rsidR="005D177F" w:rsidRDefault="005D177F"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5D177F">
        <w:rPr>
          <w:szCs w:val="24"/>
          <w:u w:val="single"/>
        </w:rPr>
        <w:t>Consequences of Less Frequent Collection</w:t>
      </w:r>
    </w:p>
    <w:p w:rsidR="00CC4093" w:rsidRDefault="00CC4093" w:rsidP="00CC4093">
      <w:pPr>
        <w:pStyle w:val="BodyTextIndent2"/>
        <w:spacing w:line="240" w:lineRule="auto"/>
        <w:ind w:firstLine="0"/>
        <w:rPr>
          <w:noProof/>
          <w:szCs w:val="24"/>
        </w:rPr>
      </w:pPr>
    </w:p>
    <w:p w:rsidR="00DA4F2D" w:rsidRDefault="009D3710" w:rsidP="009D3710">
      <w:pPr>
        <w:rPr>
          <w:rFonts w:ascii="Times New Roman" w:hAnsi="Times New Roman"/>
          <w:sz w:val="24"/>
          <w:szCs w:val="24"/>
        </w:rPr>
      </w:pPr>
      <w:r>
        <w:rPr>
          <w:rFonts w:ascii="Times New Roman" w:hAnsi="Times New Roman"/>
          <w:sz w:val="24"/>
          <w:szCs w:val="24"/>
        </w:rPr>
        <w:t xml:space="preserve">     </w:t>
      </w:r>
      <w:r w:rsidR="00B911FD">
        <w:rPr>
          <w:rFonts w:ascii="Times New Roman" w:hAnsi="Times New Roman"/>
          <w:sz w:val="24"/>
          <w:szCs w:val="24"/>
        </w:rPr>
        <w:t xml:space="preserve">Pursuant to </w:t>
      </w:r>
      <w:r w:rsidR="007E2566" w:rsidRPr="007D0F1B">
        <w:rPr>
          <w:rFonts w:ascii="Times New Roman" w:hAnsi="Times New Roman"/>
          <w:sz w:val="24"/>
          <w:szCs w:val="24"/>
        </w:rPr>
        <w:t>21 U.S.C. 827</w:t>
      </w:r>
      <w:r w:rsidR="007E2566">
        <w:rPr>
          <w:rFonts w:ascii="Times New Roman" w:hAnsi="Times New Roman"/>
          <w:sz w:val="24"/>
          <w:szCs w:val="24"/>
        </w:rPr>
        <w:t>(b)</w:t>
      </w:r>
      <w:r w:rsidR="007E2566" w:rsidRPr="007D0F1B">
        <w:rPr>
          <w:rFonts w:ascii="Times New Roman" w:hAnsi="Times New Roman"/>
          <w:sz w:val="24"/>
          <w:szCs w:val="24"/>
        </w:rPr>
        <w:t xml:space="preserve"> requires that records be maintained for a period of</w:t>
      </w:r>
      <w:r w:rsidR="007E2566">
        <w:rPr>
          <w:rFonts w:ascii="Times New Roman" w:hAnsi="Times New Roman"/>
          <w:sz w:val="24"/>
          <w:szCs w:val="24"/>
        </w:rPr>
        <w:t xml:space="preserve"> at least</w:t>
      </w:r>
      <w:r w:rsidR="007E2566" w:rsidRPr="007D0F1B">
        <w:rPr>
          <w:rFonts w:ascii="Times New Roman" w:hAnsi="Times New Roman"/>
          <w:sz w:val="24"/>
          <w:szCs w:val="24"/>
        </w:rPr>
        <w:t xml:space="preserve"> two years.  </w:t>
      </w:r>
      <w:r w:rsidR="007E2566">
        <w:rPr>
          <w:rFonts w:ascii="Times New Roman" w:hAnsi="Times New Roman"/>
          <w:sz w:val="24"/>
          <w:szCs w:val="24"/>
        </w:rPr>
        <w:t xml:space="preserve">The </w:t>
      </w:r>
      <w:r w:rsidR="007E2566" w:rsidRPr="007D0F1B">
        <w:rPr>
          <w:rFonts w:ascii="Times New Roman" w:hAnsi="Times New Roman"/>
          <w:sz w:val="24"/>
          <w:szCs w:val="24"/>
        </w:rPr>
        <w:t>DEA does not have the authority to reduce the bur</w:t>
      </w:r>
      <w:r w:rsidR="007E2566">
        <w:rPr>
          <w:rFonts w:ascii="Times New Roman" w:hAnsi="Times New Roman"/>
          <w:sz w:val="24"/>
          <w:szCs w:val="24"/>
        </w:rPr>
        <w:t xml:space="preserve">den or period of recordkeeping.  </w:t>
      </w:r>
      <w:r w:rsidR="00330236">
        <w:rPr>
          <w:rFonts w:ascii="Times New Roman" w:hAnsi="Times New Roman"/>
          <w:sz w:val="24"/>
          <w:szCs w:val="24"/>
        </w:rPr>
        <w:t xml:space="preserve">Failure to </w:t>
      </w:r>
      <w:r w:rsidR="007E2566" w:rsidRPr="007E2566">
        <w:rPr>
          <w:rFonts w:ascii="Times New Roman" w:hAnsi="Times New Roman"/>
          <w:sz w:val="24"/>
          <w:szCs w:val="24"/>
        </w:rPr>
        <w:t xml:space="preserve">collect </w:t>
      </w:r>
      <w:r w:rsidR="00330236">
        <w:rPr>
          <w:rFonts w:ascii="Times New Roman" w:hAnsi="Times New Roman"/>
          <w:sz w:val="24"/>
          <w:szCs w:val="24"/>
        </w:rPr>
        <w:t>the</w:t>
      </w:r>
      <w:r w:rsidR="007E2566" w:rsidRPr="007E2566">
        <w:rPr>
          <w:rFonts w:ascii="Times New Roman" w:hAnsi="Times New Roman"/>
          <w:sz w:val="24"/>
          <w:szCs w:val="24"/>
        </w:rPr>
        <w:t xml:space="preserve"> information </w:t>
      </w:r>
      <w:r w:rsidR="00330236">
        <w:rPr>
          <w:rFonts w:ascii="Times New Roman" w:hAnsi="Times New Roman"/>
          <w:sz w:val="24"/>
          <w:szCs w:val="24"/>
        </w:rPr>
        <w:t xml:space="preserve">or to conduct the collection less frequently will </w:t>
      </w:r>
      <w:r w:rsidR="006F628D">
        <w:rPr>
          <w:rFonts w:ascii="Times New Roman" w:hAnsi="Times New Roman"/>
          <w:sz w:val="24"/>
          <w:szCs w:val="24"/>
        </w:rPr>
        <w:t>contravene the CSA</w:t>
      </w:r>
      <w:r w:rsidR="00817D95">
        <w:rPr>
          <w:rFonts w:ascii="Times New Roman" w:hAnsi="Times New Roman"/>
          <w:sz w:val="24"/>
          <w:szCs w:val="24"/>
        </w:rPr>
        <w:t>, reduce accountability,</w:t>
      </w:r>
      <w:r w:rsidR="006F628D">
        <w:rPr>
          <w:rFonts w:ascii="Times New Roman" w:hAnsi="Times New Roman"/>
          <w:sz w:val="24"/>
          <w:szCs w:val="24"/>
        </w:rPr>
        <w:t xml:space="preserve"> and </w:t>
      </w:r>
      <w:r w:rsidR="007E2566" w:rsidRPr="007E2566">
        <w:rPr>
          <w:rFonts w:ascii="Times New Roman" w:hAnsi="Times New Roman"/>
          <w:sz w:val="24"/>
          <w:szCs w:val="24"/>
        </w:rPr>
        <w:t>increase</w:t>
      </w:r>
      <w:r w:rsidR="006F628D">
        <w:rPr>
          <w:rFonts w:ascii="Times New Roman" w:hAnsi="Times New Roman"/>
          <w:sz w:val="24"/>
          <w:szCs w:val="24"/>
        </w:rPr>
        <w:t xml:space="preserve"> the</w:t>
      </w:r>
      <w:r w:rsidR="007E2566" w:rsidRPr="007E2566">
        <w:rPr>
          <w:rFonts w:ascii="Times New Roman" w:hAnsi="Times New Roman"/>
          <w:sz w:val="24"/>
          <w:szCs w:val="24"/>
        </w:rPr>
        <w:t xml:space="preserve"> risk</w:t>
      </w:r>
      <w:r w:rsidR="006F628D">
        <w:rPr>
          <w:rFonts w:ascii="Times New Roman" w:hAnsi="Times New Roman"/>
          <w:sz w:val="24"/>
          <w:szCs w:val="24"/>
        </w:rPr>
        <w:t>s</w:t>
      </w:r>
      <w:r w:rsidR="007E2566" w:rsidRPr="007E2566">
        <w:rPr>
          <w:rFonts w:ascii="Times New Roman" w:hAnsi="Times New Roman"/>
          <w:sz w:val="24"/>
          <w:szCs w:val="24"/>
        </w:rPr>
        <w:t xml:space="preserve"> of diversion.  The information collected </w:t>
      </w:r>
      <w:r w:rsidR="007E2566">
        <w:rPr>
          <w:rFonts w:ascii="Times New Roman" w:hAnsi="Times New Roman"/>
          <w:sz w:val="24"/>
          <w:szCs w:val="24"/>
        </w:rPr>
        <w:t>in accordance with the Disposal Act</w:t>
      </w:r>
      <w:r w:rsidR="007E2566" w:rsidRPr="007E2566">
        <w:rPr>
          <w:rFonts w:ascii="Times New Roman" w:hAnsi="Times New Roman"/>
          <w:sz w:val="24"/>
          <w:szCs w:val="24"/>
        </w:rPr>
        <w:t xml:space="preserve"> is vital to the enforcement of the CSA, ensures accountability, and helps to deter and detect the diversion of controlled substances outside of legitimate channels into the illicit market.  Furthermore, the information collected, in accordance with the Disposal Act, helps to </w:t>
      </w:r>
      <w:r w:rsidR="006F628D">
        <w:rPr>
          <w:rFonts w:ascii="Times New Roman" w:hAnsi="Times New Roman"/>
          <w:sz w:val="24"/>
          <w:szCs w:val="24"/>
        </w:rPr>
        <w:t>deter and detect the diversion of</w:t>
      </w:r>
      <w:r w:rsidR="007E2566" w:rsidRPr="007E2566">
        <w:rPr>
          <w:rFonts w:ascii="Times New Roman" w:hAnsi="Times New Roman"/>
          <w:sz w:val="24"/>
          <w:szCs w:val="24"/>
        </w:rPr>
        <w:t xml:space="preserve"> controlled substances during the disposal process.  In implementing the Disposal Act, the DEA was required to </w:t>
      </w:r>
      <w:r w:rsidR="000E14A3">
        <w:rPr>
          <w:rFonts w:ascii="Times New Roman" w:hAnsi="Times New Roman"/>
          <w:sz w:val="24"/>
          <w:szCs w:val="24"/>
        </w:rPr>
        <w:t>promulgate</w:t>
      </w:r>
      <w:r w:rsidR="007E2566" w:rsidRPr="007E2566">
        <w:rPr>
          <w:rFonts w:ascii="Times New Roman" w:hAnsi="Times New Roman"/>
          <w:sz w:val="24"/>
          <w:szCs w:val="24"/>
        </w:rPr>
        <w:t xml:space="preserve"> disposal regulations that prevent the diversion of controlled substances.  21 U.S.C. 822(g)(1).  </w:t>
      </w:r>
    </w:p>
    <w:p w:rsidR="00A444DF" w:rsidRDefault="00A444DF"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5D177F">
        <w:rPr>
          <w:szCs w:val="24"/>
          <w:u w:val="single"/>
        </w:rPr>
        <w:t>Special Circumstances Influencing Collection</w:t>
      </w:r>
    </w:p>
    <w:p w:rsidR="00CC4093" w:rsidRDefault="00CC4093" w:rsidP="00CC4093">
      <w:pPr>
        <w:rPr>
          <w:rFonts w:ascii="Times New Roman" w:hAnsi="Times New Roman"/>
          <w:noProof w:val="0"/>
          <w:sz w:val="24"/>
          <w:szCs w:val="24"/>
        </w:rPr>
      </w:pPr>
    </w:p>
    <w:p w:rsidR="00DF16B1" w:rsidRPr="00DF16B1" w:rsidRDefault="00B911FD" w:rsidP="00A20E5E">
      <w:pPr>
        <w:rPr>
          <w:rFonts w:ascii="Times New Roman" w:hAnsi="Times New Roman"/>
          <w:sz w:val="24"/>
          <w:szCs w:val="24"/>
        </w:rPr>
      </w:pPr>
      <w:r>
        <w:rPr>
          <w:rFonts w:ascii="Times New Roman" w:hAnsi="Times New Roman"/>
          <w:sz w:val="24"/>
          <w:szCs w:val="24"/>
        </w:rPr>
        <w:t xml:space="preserve">     </w:t>
      </w:r>
      <w:r w:rsidR="00AC24D5" w:rsidRPr="00AC24D5">
        <w:rPr>
          <w:rFonts w:ascii="Times New Roman" w:hAnsi="Times New Roman"/>
          <w:sz w:val="24"/>
          <w:szCs w:val="24"/>
        </w:rPr>
        <w:t>The DEA does not foresee any special circumstances that would cause an information collection</w:t>
      </w:r>
      <w:r>
        <w:rPr>
          <w:rFonts w:ascii="Times New Roman" w:hAnsi="Times New Roman"/>
          <w:sz w:val="24"/>
          <w:szCs w:val="24"/>
        </w:rPr>
        <w:t>.</w:t>
      </w:r>
      <w:r w:rsidR="00AC24D5" w:rsidRPr="00AC24D5">
        <w:rPr>
          <w:rFonts w:ascii="Times New Roman" w:hAnsi="Times New Roman"/>
          <w:sz w:val="24"/>
          <w:szCs w:val="24"/>
        </w:rPr>
        <w:t xml:space="preserve"> </w:t>
      </w:r>
    </w:p>
    <w:p w:rsidR="005D177F" w:rsidRDefault="005D177F" w:rsidP="00CC4093">
      <w:pPr>
        <w:rPr>
          <w:rFonts w:ascii="Times New Roman" w:hAnsi="Times New Roman"/>
          <w:noProof w:val="0"/>
          <w:sz w:val="24"/>
          <w:szCs w:val="24"/>
        </w:rPr>
      </w:pPr>
    </w:p>
    <w:p w:rsidR="000F64A0" w:rsidRDefault="00F72D10" w:rsidP="00CC4093">
      <w:pPr>
        <w:rPr>
          <w:rFonts w:ascii="Times New Roman" w:hAnsi="Times New Roman"/>
          <w:noProof w:val="0"/>
          <w:sz w:val="24"/>
          <w:szCs w:val="24"/>
          <w:u w:val="single"/>
        </w:rPr>
      </w:pPr>
      <w:r w:rsidRPr="00861E66">
        <w:rPr>
          <w:rFonts w:ascii="Times New Roman" w:hAnsi="Times New Roman"/>
          <w:noProof w:val="0"/>
          <w:sz w:val="24"/>
          <w:szCs w:val="24"/>
        </w:rPr>
        <w:t xml:space="preserve">8.  </w:t>
      </w:r>
      <w:r w:rsidR="005D177F" w:rsidRPr="005D177F">
        <w:rPr>
          <w:rFonts w:ascii="Times New Roman" w:hAnsi="Times New Roman"/>
          <w:noProof w:val="0"/>
          <w:sz w:val="24"/>
          <w:szCs w:val="24"/>
          <w:u w:val="single"/>
        </w:rPr>
        <w:t xml:space="preserve">Consultation with </w:t>
      </w:r>
      <w:r w:rsidR="00C439A5">
        <w:rPr>
          <w:rFonts w:ascii="Times New Roman" w:hAnsi="Times New Roman"/>
          <w:noProof w:val="0"/>
          <w:sz w:val="24"/>
          <w:szCs w:val="24"/>
          <w:u w:val="single"/>
        </w:rPr>
        <w:t>p</w:t>
      </w:r>
      <w:r w:rsidR="005D177F" w:rsidRPr="005D177F">
        <w:rPr>
          <w:rFonts w:ascii="Times New Roman" w:hAnsi="Times New Roman"/>
          <w:noProof w:val="0"/>
          <w:sz w:val="24"/>
          <w:szCs w:val="24"/>
          <w:u w:val="single"/>
        </w:rPr>
        <w:t xml:space="preserve">ersons </w:t>
      </w:r>
      <w:r w:rsidR="00C439A5">
        <w:rPr>
          <w:rFonts w:ascii="Times New Roman" w:hAnsi="Times New Roman"/>
          <w:noProof w:val="0"/>
          <w:sz w:val="24"/>
          <w:szCs w:val="24"/>
          <w:u w:val="single"/>
        </w:rPr>
        <w:t>o</w:t>
      </w:r>
      <w:r w:rsidR="005D177F" w:rsidRPr="005D177F">
        <w:rPr>
          <w:rFonts w:ascii="Times New Roman" w:hAnsi="Times New Roman"/>
          <w:noProof w:val="0"/>
          <w:sz w:val="24"/>
          <w:szCs w:val="24"/>
          <w:u w:val="single"/>
        </w:rPr>
        <w:t>utside the Agency</w:t>
      </w:r>
    </w:p>
    <w:p w:rsidR="00A20E5E" w:rsidRDefault="00A20E5E" w:rsidP="00CC4093">
      <w:pPr>
        <w:rPr>
          <w:rFonts w:ascii="Times New Roman" w:hAnsi="Times New Roman"/>
          <w:noProof w:val="0"/>
          <w:sz w:val="24"/>
          <w:szCs w:val="24"/>
          <w:u w:val="single"/>
        </w:rPr>
      </w:pPr>
    </w:p>
    <w:p w:rsidR="00A20E5E" w:rsidRDefault="00B911FD" w:rsidP="00A20E5E">
      <w:pPr>
        <w:rPr>
          <w:rFonts w:ascii="Times New Roman" w:hAnsi="Times New Roman"/>
          <w:sz w:val="24"/>
          <w:szCs w:val="24"/>
        </w:rPr>
      </w:pPr>
      <w:r>
        <w:rPr>
          <w:rFonts w:ascii="Times New Roman" w:hAnsi="Times New Roman"/>
          <w:sz w:val="24"/>
          <w:szCs w:val="24"/>
        </w:rPr>
        <w:t xml:space="preserve">     </w:t>
      </w:r>
      <w:r w:rsidR="00A20E5E" w:rsidRPr="00A52C58">
        <w:rPr>
          <w:rFonts w:ascii="Times New Roman" w:hAnsi="Times New Roman"/>
          <w:sz w:val="24"/>
          <w:szCs w:val="24"/>
        </w:rPr>
        <w:t>Public comment was solicited in the 60</w:t>
      </w:r>
      <w:r w:rsidR="00A20E5E">
        <w:rPr>
          <w:rFonts w:ascii="Times New Roman" w:hAnsi="Times New Roman"/>
          <w:sz w:val="24"/>
          <w:szCs w:val="24"/>
        </w:rPr>
        <w:t>-</w:t>
      </w:r>
      <w:r w:rsidR="00A20E5E" w:rsidRPr="00A52C58">
        <w:rPr>
          <w:rFonts w:ascii="Times New Roman" w:hAnsi="Times New Roman"/>
          <w:sz w:val="24"/>
          <w:szCs w:val="24"/>
        </w:rPr>
        <w:t>day Federal Register Notice of Information Collection</w:t>
      </w:r>
      <w:r w:rsidR="00A20E5E">
        <w:rPr>
          <w:rFonts w:ascii="Times New Roman" w:hAnsi="Times New Roman"/>
          <w:sz w:val="24"/>
          <w:szCs w:val="24"/>
        </w:rPr>
        <w:t>, 82</w:t>
      </w:r>
      <w:r w:rsidR="00A20E5E" w:rsidRPr="00A52C58">
        <w:rPr>
          <w:rFonts w:ascii="Times New Roman" w:hAnsi="Times New Roman"/>
          <w:sz w:val="24"/>
          <w:szCs w:val="24"/>
        </w:rPr>
        <w:t xml:space="preserve"> FR </w:t>
      </w:r>
      <w:r w:rsidR="005477BC">
        <w:rPr>
          <w:rFonts w:ascii="Times New Roman" w:hAnsi="Times New Roman"/>
          <w:sz w:val="24"/>
          <w:szCs w:val="24"/>
        </w:rPr>
        <w:t xml:space="preserve">29330, published on June 28, </w:t>
      </w:r>
      <w:r w:rsidR="00A20E5E">
        <w:rPr>
          <w:rFonts w:ascii="Times New Roman" w:hAnsi="Times New Roman"/>
          <w:sz w:val="24"/>
          <w:szCs w:val="24"/>
        </w:rPr>
        <w:t>2017</w:t>
      </w:r>
      <w:r w:rsidR="00A20E5E" w:rsidRPr="00A52C58">
        <w:rPr>
          <w:rFonts w:ascii="Times New Roman" w:hAnsi="Times New Roman"/>
          <w:sz w:val="24"/>
          <w:szCs w:val="24"/>
        </w:rPr>
        <w:t xml:space="preserve"> and the 30</w:t>
      </w:r>
      <w:r w:rsidR="00A20E5E">
        <w:rPr>
          <w:rFonts w:ascii="Times New Roman" w:hAnsi="Times New Roman"/>
          <w:sz w:val="24"/>
          <w:szCs w:val="24"/>
        </w:rPr>
        <w:t>-</w:t>
      </w:r>
      <w:r w:rsidR="00A20E5E" w:rsidRPr="00A52C58">
        <w:rPr>
          <w:rFonts w:ascii="Times New Roman" w:hAnsi="Times New Roman"/>
          <w:sz w:val="24"/>
          <w:szCs w:val="24"/>
        </w:rPr>
        <w:t xml:space="preserve">day Federal Register Notice of </w:t>
      </w:r>
      <w:r w:rsidR="00A20E5E" w:rsidRPr="00A52C58">
        <w:rPr>
          <w:rFonts w:ascii="Times New Roman" w:hAnsi="Times New Roman"/>
          <w:sz w:val="24"/>
          <w:szCs w:val="24"/>
        </w:rPr>
        <w:lastRenderedPageBreak/>
        <w:t>Information Collection</w:t>
      </w:r>
      <w:r w:rsidR="00A20E5E">
        <w:rPr>
          <w:rFonts w:ascii="Times New Roman" w:hAnsi="Times New Roman"/>
          <w:sz w:val="24"/>
          <w:szCs w:val="24"/>
        </w:rPr>
        <w:t>,</w:t>
      </w:r>
      <w:r w:rsidR="00A20E5E" w:rsidRPr="00A52C58">
        <w:rPr>
          <w:rFonts w:ascii="Times New Roman" w:hAnsi="Times New Roman"/>
          <w:sz w:val="24"/>
          <w:szCs w:val="24"/>
        </w:rPr>
        <w:t xml:space="preserve"> </w:t>
      </w:r>
      <w:r w:rsidR="005477BC">
        <w:rPr>
          <w:rFonts w:ascii="Times New Roman" w:hAnsi="Times New Roman"/>
          <w:sz w:val="24"/>
          <w:szCs w:val="24"/>
        </w:rPr>
        <w:t xml:space="preserve">82 FR 41658, published on September 1, </w:t>
      </w:r>
      <w:r w:rsidR="00A20E5E">
        <w:rPr>
          <w:rFonts w:ascii="Times New Roman" w:hAnsi="Times New Roman"/>
          <w:sz w:val="24"/>
          <w:szCs w:val="24"/>
        </w:rPr>
        <w:t>2017.</w:t>
      </w:r>
      <w:r w:rsidR="00A20E5E" w:rsidRPr="00A52C58">
        <w:rPr>
          <w:rFonts w:ascii="Times New Roman" w:hAnsi="Times New Roman"/>
          <w:sz w:val="24"/>
          <w:szCs w:val="24"/>
        </w:rPr>
        <w:t xml:space="preserve">  The DEA did not receive any comments concerning this collection.</w:t>
      </w:r>
    </w:p>
    <w:p w:rsidR="00A20E5E" w:rsidRDefault="00A20E5E" w:rsidP="00A20E5E">
      <w:pPr>
        <w:rPr>
          <w:rFonts w:ascii="Times New Roman" w:hAnsi="Times New Roman"/>
          <w:sz w:val="24"/>
          <w:szCs w:val="24"/>
        </w:rPr>
      </w:pPr>
    </w:p>
    <w:p w:rsidR="00A20E5E" w:rsidRDefault="00B911FD" w:rsidP="00A20E5E">
      <w:pPr>
        <w:rPr>
          <w:rFonts w:ascii="Times New Roman" w:hAnsi="Times New Roman"/>
          <w:sz w:val="24"/>
          <w:szCs w:val="24"/>
        </w:rPr>
      </w:pPr>
      <w:r>
        <w:rPr>
          <w:rFonts w:ascii="Times New Roman" w:hAnsi="Times New Roman"/>
          <w:sz w:val="24"/>
          <w:szCs w:val="24"/>
        </w:rPr>
        <w:t xml:space="preserve">     </w:t>
      </w:r>
      <w:r w:rsidR="00A20E5E"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A20E5E" w:rsidRPr="00A00BBC" w:rsidRDefault="00A20E5E" w:rsidP="00A20E5E">
      <w:pPr>
        <w:rPr>
          <w:rFonts w:ascii="Times New Roman" w:hAnsi="Times New Roman"/>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5D177F">
        <w:rPr>
          <w:noProof/>
          <w:szCs w:val="24"/>
          <w:u w:val="single"/>
        </w:rPr>
        <w:t>Payment or Gift to Claimants</w:t>
      </w:r>
    </w:p>
    <w:p w:rsidR="00152183" w:rsidRDefault="00152183" w:rsidP="00CC4093">
      <w:pPr>
        <w:rPr>
          <w:rFonts w:ascii="Times New Roman" w:hAnsi="Times New Roman"/>
          <w:noProof w:val="0"/>
          <w:sz w:val="24"/>
          <w:szCs w:val="24"/>
        </w:rPr>
      </w:pPr>
    </w:p>
    <w:p w:rsidR="00F72D10" w:rsidRPr="00E30DDA" w:rsidRDefault="00B911FD" w:rsidP="00A20E5E">
      <w:pPr>
        <w:rPr>
          <w:rFonts w:ascii="Times New Roman" w:hAnsi="Times New Roman"/>
          <w:noProof w:val="0"/>
          <w:sz w:val="24"/>
          <w:szCs w:val="24"/>
        </w:rPr>
      </w:pPr>
      <w:r>
        <w:rPr>
          <w:rFonts w:ascii="Times New Roman" w:hAnsi="Times New Roman"/>
          <w:noProof w:val="0"/>
          <w:sz w:val="24"/>
          <w:szCs w:val="24"/>
        </w:rPr>
        <w:t xml:space="preserve">     </w:t>
      </w:r>
      <w:r w:rsidR="001B3C18">
        <w:rPr>
          <w:rFonts w:ascii="Times New Roman" w:hAnsi="Times New Roman"/>
          <w:noProof w:val="0"/>
          <w:sz w:val="24"/>
          <w:szCs w:val="24"/>
        </w:rPr>
        <w:t>This collection of information does not propose to provide any payment or gift to respondents.</w:t>
      </w:r>
    </w:p>
    <w:p w:rsidR="005D177F" w:rsidRDefault="005D177F"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5D177F">
        <w:rPr>
          <w:szCs w:val="24"/>
          <w:u w:val="single"/>
        </w:rPr>
        <w:t>A</w:t>
      </w:r>
      <w:r w:rsidRPr="005D177F">
        <w:rPr>
          <w:szCs w:val="24"/>
          <w:u w:val="single"/>
        </w:rPr>
        <w:t xml:space="preserve">ssurance of </w:t>
      </w:r>
      <w:r w:rsidR="005363DC" w:rsidRPr="005D177F">
        <w:rPr>
          <w:szCs w:val="24"/>
          <w:u w:val="single"/>
        </w:rPr>
        <w:t>C</w:t>
      </w:r>
      <w:r w:rsidRPr="005D177F">
        <w:rPr>
          <w:szCs w:val="24"/>
          <w:u w:val="single"/>
        </w:rPr>
        <w:t>onfidentiality</w:t>
      </w:r>
    </w:p>
    <w:p w:rsidR="005D177F" w:rsidRPr="005D177F" w:rsidRDefault="005D177F" w:rsidP="005D177F">
      <w:pPr>
        <w:rPr>
          <w:rFonts w:ascii="Times New Roman" w:hAnsi="Times New Roman"/>
          <w:sz w:val="24"/>
          <w:szCs w:val="24"/>
        </w:rPr>
      </w:pPr>
    </w:p>
    <w:p w:rsidR="00A35B05" w:rsidRDefault="00B911FD" w:rsidP="00A20E5E">
      <w:pPr>
        <w:rPr>
          <w:rFonts w:ascii="Times New Roman" w:hAnsi="Times New Roman"/>
          <w:sz w:val="24"/>
          <w:szCs w:val="24"/>
        </w:rPr>
      </w:pPr>
      <w:r>
        <w:rPr>
          <w:rFonts w:ascii="Times New Roman" w:hAnsi="Times New Roman"/>
          <w:sz w:val="24"/>
          <w:szCs w:val="24"/>
        </w:rPr>
        <w:t xml:space="preserve">     </w:t>
      </w:r>
      <w:r w:rsidR="000D45B5" w:rsidRPr="000D45B5">
        <w:rPr>
          <w:rFonts w:ascii="Times New Roman" w:hAnsi="Times New Roman"/>
          <w:sz w:val="24"/>
          <w:szCs w:val="24"/>
        </w:rPr>
        <w:t>In</w:t>
      </w:r>
      <w:r>
        <w:rPr>
          <w:rFonts w:ascii="Times New Roman" w:hAnsi="Times New Roman"/>
          <w:sz w:val="24"/>
          <w:szCs w:val="24"/>
        </w:rPr>
        <w:t xml:space="preserve">formation provided pursuant to </w:t>
      </w:r>
      <w:r w:rsidR="000D45B5" w:rsidRPr="000D45B5">
        <w:rPr>
          <w:rFonts w:ascii="Times New Roman" w:hAnsi="Times New Roman"/>
          <w:sz w:val="24"/>
          <w:szCs w:val="24"/>
        </w:rPr>
        <w:t xml:space="preserve">21 U.S.C. 827(b)(3) may be considered confidential business information if marked as such in accordance with 28 CFR 16.8(c) and Exemption 4 of the Freedom of Information Act.  The information is protected by the DEA through secure storage, limited access, and federal regulatory and DEA procedures.  </w:t>
      </w:r>
    </w:p>
    <w:p w:rsidR="005D177F" w:rsidRDefault="005D177F" w:rsidP="005D177F">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5D177F">
        <w:rPr>
          <w:rFonts w:ascii="Times New Roman" w:hAnsi="Times New Roman"/>
          <w:noProof w:val="0"/>
          <w:sz w:val="24"/>
          <w:szCs w:val="24"/>
          <w:u w:val="single"/>
        </w:rPr>
        <w:t>Justification for Sensitive Questions</w:t>
      </w:r>
    </w:p>
    <w:p w:rsidR="00152183" w:rsidRDefault="00152183" w:rsidP="00CC4093">
      <w:pPr>
        <w:pStyle w:val="BodyText"/>
        <w:spacing w:line="240" w:lineRule="auto"/>
        <w:rPr>
          <w:szCs w:val="24"/>
        </w:rPr>
      </w:pPr>
    </w:p>
    <w:p w:rsidR="006476F0" w:rsidRDefault="00B911FD" w:rsidP="00A20E5E">
      <w:pPr>
        <w:pStyle w:val="BodyText"/>
        <w:spacing w:line="240" w:lineRule="auto"/>
        <w:rPr>
          <w:szCs w:val="24"/>
        </w:rPr>
      </w:pPr>
      <w:r>
        <w:t xml:space="preserve">     </w:t>
      </w:r>
      <w:r w:rsidR="005D177F">
        <w:t xml:space="preserve">This collection of information does not ask any questions of a sensitive nature.  </w:t>
      </w:r>
    </w:p>
    <w:p w:rsidR="006476F0" w:rsidRDefault="006476F0" w:rsidP="00CC4093">
      <w:pPr>
        <w:pStyle w:val="BodyText"/>
        <w:spacing w:line="240" w:lineRule="auto"/>
        <w:rPr>
          <w:szCs w:val="24"/>
        </w:rPr>
      </w:pPr>
    </w:p>
    <w:p w:rsidR="008D4FBD" w:rsidRPr="00C439A5" w:rsidRDefault="008D4FBD" w:rsidP="00CC4093">
      <w:pPr>
        <w:pStyle w:val="BodyText"/>
        <w:spacing w:line="240" w:lineRule="auto"/>
        <w:rPr>
          <w:szCs w:val="24"/>
        </w:rPr>
      </w:pPr>
      <w:r w:rsidRPr="006814E4">
        <w:rPr>
          <w:szCs w:val="24"/>
        </w:rPr>
        <w:t xml:space="preserve">12.  </w:t>
      </w:r>
      <w:r w:rsidRPr="00B911FD">
        <w:rPr>
          <w:szCs w:val="24"/>
          <w:u w:val="single"/>
        </w:rPr>
        <w:t>E</w:t>
      </w:r>
      <w:r w:rsidR="004338B6" w:rsidRPr="00B911FD">
        <w:rPr>
          <w:szCs w:val="24"/>
          <w:u w:val="single"/>
        </w:rPr>
        <w:t xml:space="preserve">stimated </w:t>
      </w:r>
      <w:r w:rsidRPr="00B911FD">
        <w:rPr>
          <w:szCs w:val="24"/>
          <w:u w:val="single"/>
        </w:rPr>
        <w:t>H</w:t>
      </w:r>
      <w:r w:rsidR="00F72D10" w:rsidRPr="00B911FD">
        <w:rPr>
          <w:szCs w:val="24"/>
          <w:u w:val="single"/>
        </w:rPr>
        <w:t xml:space="preserve">our </w:t>
      </w:r>
      <w:r w:rsidRPr="00B911FD">
        <w:rPr>
          <w:szCs w:val="24"/>
          <w:u w:val="single"/>
        </w:rPr>
        <w:t>B</w:t>
      </w:r>
      <w:r w:rsidR="00F72D10" w:rsidRPr="00B911FD">
        <w:rPr>
          <w:szCs w:val="24"/>
          <w:u w:val="single"/>
        </w:rPr>
        <w:t>urden</w:t>
      </w:r>
    </w:p>
    <w:p w:rsidR="00557D1D" w:rsidRPr="00C439A5" w:rsidRDefault="00557D1D" w:rsidP="00CC4093">
      <w:pPr>
        <w:pStyle w:val="BodyText"/>
        <w:spacing w:line="240" w:lineRule="auto"/>
        <w:rPr>
          <w:szCs w:val="24"/>
        </w:rPr>
      </w:pPr>
    </w:p>
    <w:p w:rsidR="00DE059D" w:rsidRDefault="00DE059D" w:rsidP="006476F0">
      <w:pPr>
        <w:pStyle w:val="BodyText"/>
        <w:numPr>
          <w:ilvl w:val="0"/>
          <w:numId w:val="35"/>
        </w:numPr>
        <w:spacing w:line="240" w:lineRule="auto"/>
        <w:rPr>
          <w:i/>
          <w:szCs w:val="24"/>
        </w:rPr>
      </w:pPr>
      <w:r>
        <w:rPr>
          <w:i/>
          <w:szCs w:val="24"/>
        </w:rPr>
        <w:t>Dispensing Records of Individual Practitioners</w:t>
      </w:r>
    </w:p>
    <w:p w:rsidR="00DE059D" w:rsidRDefault="00DE059D" w:rsidP="00DE059D">
      <w:pPr>
        <w:pStyle w:val="BodyText"/>
        <w:spacing w:line="240" w:lineRule="auto"/>
        <w:rPr>
          <w:b/>
          <w:szCs w:val="24"/>
        </w:rPr>
      </w:pPr>
    </w:p>
    <w:p w:rsidR="00DE059D" w:rsidRDefault="00301652" w:rsidP="00DE059D">
      <w:pPr>
        <w:rPr>
          <w:rFonts w:ascii="Times New Roman" w:hAnsi="Times New Roman"/>
          <w:noProof w:val="0"/>
          <w:sz w:val="24"/>
          <w:szCs w:val="24"/>
        </w:rPr>
      </w:pPr>
      <w:r>
        <w:rPr>
          <w:rFonts w:ascii="Times New Roman" w:hAnsi="Times New Roman"/>
          <w:noProof w:val="0"/>
          <w:sz w:val="24"/>
          <w:szCs w:val="24"/>
        </w:rPr>
        <w:t xml:space="preserve">     </w:t>
      </w:r>
      <w:r w:rsidR="00DE059D">
        <w:rPr>
          <w:rFonts w:ascii="Times New Roman" w:hAnsi="Times New Roman"/>
          <w:noProof w:val="0"/>
          <w:sz w:val="24"/>
          <w:szCs w:val="24"/>
        </w:rPr>
        <w:t xml:space="preserve">The DEA estimates that </w:t>
      </w:r>
      <w:r w:rsidR="003F378B">
        <w:rPr>
          <w:rFonts w:ascii="Times New Roman" w:hAnsi="Times New Roman"/>
          <w:noProof w:val="0"/>
          <w:sz w:val="24"/>
          <w:szCs w:val="24"/>
        </w:rPr>
        <w:t>62,392</w:t>
      </w:r>
      <w:r w:rsidR="00DE059D">
        <w:rPr>
          <w:rFonts w:ascii="Times New Roman" w:hAnsi="Times New Roman"/>
          <w:noProof w:val="0"/>
          <w:sz w:val="24"/>
          <w:szCs w:val="24"/>
        </w:rPr>
        <w:t xml:space="preserve"> </w:t>
      </w:r>
      <w:r w:rsidR="003F378B">
        <w:rPr>
          <w:rFonts w:ascii="Times New Roman" w:hAnsi="Times New Roman"/>
          <w:noProof w:val="0"/>
          <w:sz w:val="24"/>
          <w:szCs w:val="24"/>
        </w:rPr>
        <w:t xml:space="preserve">individual </w:t>
      </w:r>
      <w:r w:rsidR="00DE059D">
        <w:rPr>
          <w:rFonts w:ascii="Times New Roman" w:hAnsi="Times New Roman"/>
          <w:noProof w:val="0"/>
          <w:sz w:val="24"/>
          <w:szCs w:val="24"/>
        </w:rPr>
        <w:t xml:space="preserve">practitioners are subject to these rules because they routinely administer and dispense controlled substances. </w:t>
      </w:r>
    </w:p>
    <w:p w:rsidR="00DE059D" w:rsidRDefault="00DE059D" w:rsidP="00DE059D">
      <w:pPr>
        <w:rPr>
          <w:rFonts w:ascii="Times New Roman" w:hAnsi="Times New Roman"/>
          <w:noProof w:val="0"/>
          <w:sz w:val="24"/>
          <w:szCs w:val="24"/>
        </w:rPr>
      </w:pPr>
    </w:p>
    <w:p w:rsidR="00DE059D" w:rsidRDefault="00301652" w:rsidP="00DE059D">
      <w:pPr>
        <w:rPr>
          <w:rFonts w:ascii="Times New Roman" w:hAnsi="Times New Roman"/>
          <w:noProof w:val="0"/>
          <w:sz w:val="24"/>
          <w:szCs w:val="24"/>
        </w:rPr>
      </w:pPr>
      <w:r>
        <w:rPr>
          <w:rFonts w:ascii="Times New Roman" w:hAnsi="Times New Roman"/>
          <w:noProof w:val="0"/>
          <w:sz w:val="24"/>
          <w:szCs w:val="24"/>
        </w:rPr>
        <w:t xml:space="preserve">     </w:t>
      </w:r>
      <w:r w:rsidR="00DE059D">
        <w:rPr>
          <w:rFonts w:ascii="Times New Roman" w:hAnsi="Times New Roman"/>
          <w:noProof w:val="0"/>
          <w:sz w:val="24"/>
          <w:szCs w:val="24"/>
        </w:rPr>
        <w:t>Practitioners who routinely administer or dispense controlled substances must do the following:</w:t>
      </w:r>
    </w:p>
    <w:p w:rsidR="00DE059D" w:rsidRDefault="00DE059D" w:rsidP="00DE059D">
      <w:pPr>
        <w:rPr>
          <w:rFonts w:ascii="Times New Roman" w:hAnsi="Times New Roman"/>
          <w:noProof w:val="0"/>
          <w:sz w:val="24"/>
          <w:szCs w:val="24"/>
        </w:rPr>
      </w:pPr>
      <w:r>
        <w:rPr>
          <w:rFonts w:ascii="Times New Roman" w:hAnsi="Times New Roman"/>
          <w:noProof w:val="0"/>
          <w:sz w:val="24"/>
          <w:szCs w:val="24"/>
        </w:rPr>
        <w:t xml:space="preserve"> </w:t>
      </w:r>
    </w:p>
    <w:p w:rsidR="00DE059D" w:rsidRDefault="00DE059D" w:rsidP="00DE059D">
      <w:pPr>
        <w:numPr>
          <w:ilvl w:val="0"/>
          <w:numId w:val="32"/>
        </w:numPr>
        <w:rPr>
          <w:rFonts w:ascii="Times New Roman" w:hAnsi="Times New Roman"/>
          <w:noProof w:val="0"/>
          <w:sz w:val="24"/>
          <w:szCs w:val="24"/>
        </w:rPr>
      </w:pPr>
      <w:r>
        <w:rPr>
          <w:rFonts w:ascii="Times New Roman" w:hAnsi="Times New Roman"/>
          <w:noProof w:val="0"/>
          <w:sz w:val="24"/>
          <w:szCs w:val="24"/>
        </w:rPr>
        <w:t>Once every two years, conduct an inventory of controlled substances present at the time of the inventory.  The information that must be recorded for each controlled substance includes the name of the substance, the finished form (e.g., 10 mg tablet), the number of units, and the number of containers.  For Schedule II substances, the practitioner must provide an exact count of the units on hand; for Schedule III-V substances, the practitioner may estimate the number if it is less than 1,000.</w:t>
      </w:r>
    </w:p>
    <w:p w:rsidR="00DE059D" w:rsidRDefault="00DE059D" w:rsidP="00DE059D">
      <w:pPr>
        <w:numPr>
          <w:ilvl w:val="0"/>
          <w:numId w:val="32"/>
        </w:numPr>
        <w:rPr>
          <w:rFonts w:ascii="Times New Roman" w:hAnsi="Times New Roman"/>
          <w:noProof w:val="0"/>
          <w:sz w:val="24"/>
          <w:szCs w:val="24"/>
        </w:rPr>
      </w:pPr>
      <w:r>
        <w:rPr>
          <w:rFonts w:ascii="Times New Roman" w:hAnsi="Times New Roman"/>
          <w:noProof w:val="0"/>
          <w:sz w:val="24"/>
          <w:szCs w:val="24"/>
        </w:rPr>
        <w:t>On a continuing basis, maintain records of controlled substances, including the name, the finished form, and the number of units on hand, and the name and address of the person to whom the drug was dispensed, the number of units dispensed, and the name or initials of the person dispensing.</w:t>
      </w:r>
    </w:p>
    <w:p w:rsidR="00DE059D" w:rsidRDefault="00DE059D" w:rsidP="00DE059D">
      <w:pPr>
        <w:numPr>
          <w:ilvl w:val="0"/>
          <w:numId w:val="32"/>
        </w:numPr>
        <w:rPr>
          <w:rFonts w:ascii="Times New Roman" w:hAnsi="Times New Roman"/>
          <w:noProof w:val="0"/>
          <w:sz w:val="24"/>
          <w:szCs w:val="24"/>
        </w:rPr>
      </w:pPr>
      <w:r>
        <w:rPr>
          <w:rFonts w:ascii="Times New Roman" w:hAnsi="Times New Roman"/>
          <w:noProof w:val="0"/>
          <w:sz w:val="24"/>
          <w:szCs w:val="24"/>
        </w:rPr>
        <w:t>Maintain records of Schedule II substances separately from other records.  Schedule III-V records must be readily retrievable from other files.</w:t>
      </w:r>
    </w:p>
    <w:p w:rsidR="00DE059D" w:rsidRDefault="00DE059D" w:rsidP="00DE059D">
      <w:pPr>
        <w:rPr>
          <w:rFonts w:ascii="Times New Roman" w:hAnsi="Times New Roman"/>
          <w:noProof w:val="0"/>
          <w:sz w:val="24"/>
          <w:szCs w:val="24"/>
        </w:rPr>
      </w:pPr>
    </w:p>
    <w:p w:rsidR="00DE059D" w:rsidRDefault="00301652" w:rsidP="00DE059D">
      <w:pPr>
        <w:rPr>
          <w:rFonts w:ascii="Times New Roman" w:hAnsi="Times New Roman"/>
          <w:noProof w:val="0"/>
          <w:sz w:val="24"/>
          <w:szCs w:val="24"/>
        </w:rPr>
      </w:pPr>
      <w:r>
        <w:rPr>
          <w:rFonts w:ascii="Times New Roman" w:hAnsi="Times New Roman"/>
          <w:noProof w:val="0"/>
          <w:sz w:val="24"/>
          <w:szCs w:val="24"/>
        </w:rPr>
        <w:t xml:space="preserve">     </w:t>
      </w:r>
      <w:r w:rsidR="00DE059D">
        <w:rPr>
          <w:rFonts w:ascii="Times New Roman" w:hAnsi="Times New Roman"/>
          <w:noProof w:val="0"/>
          <w:sz w:val="24"/>
          <w:szCs w:val="24"/>
        </w:rPr>
        <w:t xml:space="preserve">The requirement of continuing records is not a perpetual inventory.  Practitioners must keep a record of substances received; for Schedule II substances, this record is the annotated order form required under a separate rule; for Schedule III-V controlled substances, the shipping record.  After that point, the practitioner must maintain a log of the substances dispensed. </w:t>
      </w:r>
    </w:p>
    <w:p w:rsidR="00DE059D" w:rsidRDefault="00DE059D" w:rsidP="00DE059D">
      <w:pPr>
        <w:rPr>
          <w:rFonts w:ascii="Times New Roman" w:hAnsi="Times New Roman"/>
          <w:noProof w:val="0"/>
          <w:sz w:val="24"/>
          <w:szCs w:val="24"/>
        </w:rPr>
      </w:pPr>
    </w:p>
    <w:p w:rsidR="00DE059D" w:rsidRDefault="00301652" w:rsidP="00DE059D">
      <w:pPr>
        <w:rPr>
          <w:rFonts w:ascii="Times New Roman" w:hAnsi="Times New Roman"/>
          <w:noProof w:val="0"/>
          <w:sz w:val="24"/>
          <w:szCs w:val="24"/>
        </w:rPr>
      </w:pPr>
      <w:r>
        <w:rPr>
          <w:rFonts w:ascii="Times New Roman" w:hAnsi="Times New Roman"/>
          <w:noProof w:val="0"/>
          <w:sz w:val="24"/>
          <w:szCs w:val="24"/>
        </w:rPr>
        <w:t xml:space="preserve">     </w:t>
      </w:r>
      <w:r w:rsidR="00DE059D">
        <w:rPr>
          <w:rFonts w:ascii="Times New Roman" w:hAnsi="Times New Roman"/>
          <w:noProof w:val="0"/>
          <w:sz w:val="24"/>
          <w:szCs w:val="24"/>
        </w:rPr>
        <w:t xml:space="preserve">The DEA estimates that it takes 30 minutes per year to maintain the log and, biennially, to conduct the inventory.  Most practitioners keep very limited stocks of controlled substances and, therefore, require little time to record the information on a log.  The DEA assumes that most practitioner offices either record the information by hand or enter the information into an electronic log. </w:t>
      </w:r>
      <w:r w:rsidR="00C073A3">
        <w:rPr>
          <w:rFonts w:ascii="Times New Roman" w:hAnsi="Times New Roman"/>
          <w:noProof w:val="0"/>
          <w:sz w:val="24"/>
          <w:szCs w:val="24"/>
        </w:rPr>
        <w:t xml:space="preserve"> </w:t>
      </w:r>
      <w:r w:rsidR="00C073A3" w:rsidRPr="00C073A3">
        <w:rPr>
          <w:rFonts w:ascii="Times New Roman" w:hAnsi="Times New Roman"/>
          <w:noProof w:val="0"/>
          <w:sz w:val="24"/>
          <w:szCs w:val="24"/>
        </w:rPr>
        <w:t>The table below presents the burden hour calculations</w:t>
      </w:r>
      <w:r w:rsidR="00C073A3">
        <w:rPr>
          <w:rFonts w:ascii="Times New Roman" w:hAnsi="Times New Roman"/>
          <w:noProof w:val="0"/>
          <w:sz w:val="24"/>
          <w:szCs w:val="24"/>
        </w:rPr>
        <w:t>.</w:t>
      </w:r>
    </w:p>
    <w:p w:rsidR="00DE059D" w:rsidRDefault="00DE059D" w:rsidP="00DE059D">
      <w:pPr>
        <w:rPr>
          <w:rFonts w:ascii="Times New Roman" w:hAnsi="Times New Roman"/>
          <w:noProof w:val="0"/>
          <w:sz w:val="24"/>
          <w:szCs w:val="24"/>
        </w:rPr>
      </w:pPr>
    </w:p>
    <w:p w:rsidR="006476F0" w:rsidRPr="00C439A5" w:rsidRDefault="006476F0" w:rsidP="006476F0">
      <w:pPr>
        <w:pStyle w:val="BodyText"/>
        <w:numPr>
          <w:ilvl w:val="0"/>
          <w:numId w:val="35"/>
        </w:numPr>
        <w:spacing w:line="240" w:lineRule="auto"/>
        <w:rPr>
          <w:i/>
          <w:szCs w:val="24"/>
        </w:rPr>
      </w:pPr>
      <w:r w:rsidRPr="00C439A5">
        <w:rPr>
          <w:i/>
          <w:szCs w:val="24"/>
        </w:rPr>
        <w:t>Recordkeeping Requirements for DEA Registrants Authorized to Collect</w:t>
      </w:r>
    </w:p>
    <w:p w:rsidR="006476F0" w:rsidRPr="00C439A5" w:rsidRDefault="006476F0" w:rsidP="006814E4">
      <w:pPr>
        <w:pStyle w:val="BodyText"/>
        <w:spacing w:line="240" w:lineRule="auto"/>
        <w:ind w:left="720"/>
        <w:rPr>
          <w:i/>
          <w:szCs w:val="24"/>
        </w:rPr>
      </w:pPr>
    </w:p>
    <w:p w:rsidR="007D0502" w:rsidRDefault="00301652" w:rsidP="006814E4">
      <w:pPr>
        <w:pStyle w:val="BodyText"/>
        <w:spacing w:line="240" w:lineRule="auto"/>
        <w:rPr>
          <w:szCs w:val="24"/>
        </w:rPr>
      </w:pPr>
      <w:r>
        <w:rPr>
          <w:szCs w:val="24"/>
        </w:rPr>
        <w:t xml:space="preserve">     </w:t>
      </w:r>
      <w:r w:rsidR="002228FB" w:rsidRPr="00C439A5">
        <w:rPr>
          <w:szCs w:val="24"/>
        </w:rPr>
        <w:t>I</w:t>
      </w:r>
      <w:r w:rsidR="006476F0" w:rsidRPr="00C439A5">
        <w:rPr>
          <w:szCs w:val="24"/>
        </w:rPr>
        <w:t xml:space="preserve">n accordance with 21 U.S.C. 827(a), registrants make an initial and biennial inventory and maintain, on a current basis, a complete and accurate record of each controlled substance manufactured, received, sold, delivered, or otherwise disposed of.   </w:t>
      </w:r>
      <w:r w:rsidR="008B78A5">
        <w:rPr>
          <w:szCs w:val="24"/>
        </w:rPr>
        <w:t>Collectors operating collection receptacles and mail-back programs are required to conduct</w:t>
      </w:r>
      <w:r w:rsidR="006476F0" w:rsidRPr="00C439A5">
        <w:rPr>
          <w:szCs w:val="24"/>
        </w:rPr>
        <w:t xml:space="preserve"> initial one-time instruction development for mail-back program operators and signage for collection receptacle operators as well as information collection responses based on certain operational events, such as collection receptacle </w:t>
      </w:r>
      <w:r w:rsidR="00A448E2" w:rsidRPr="00C439A5">
        <w:rPr>
          <w:szCs w:val="24"/>
        </w:rPr>
        <w:t xml:space="preserve">inner </w:t>
      </w:r>
      <w:r w:rsidR="006476F0" w:rsidRPr="00C439A5">
        <w:rPr>
          <w:szCs w:val="24"/>
        </w:rPr>
        <w:t>liner replacements.  While all respondents will have initial and biennial information collection events, the frequency of responses based on operational events is estimated to vary by business activity.</w:t>
      </w:r>
      <w:r w:rsidR="007D0502">
        <w:rPr>
          <w:szCs w:val="24"/>
        </w:rPr>
        <w:t xml:space="preserve"> </w:t>
      </w:r>
    </w:p>
    <w:p w:rsidR="007D0502" w:rsidRDefault="007D0502" w:rsidP="006814E4">
      <w:pPr>
        <w:pStyle w:val="BodyText"/>
        <w:spacing w:line="240" w:lineRule="auto"/>
        <w:rPr>
          <w:szCs w:val="24"/>
        </w:rPr>
      </w:pPr>
    </w:p>
    <w:p w:rsidR="00EE3EEE" w:rsidRDefault="00301652" w:rsidP="006814E4">
      <w:pPr>
        <w:pStyle w:val="BodyText"/>
        <w:spacing w:line="240" w:lineRule="auto"/>
        <w:rPr>
          <w:szCs w:val="24"/>
        </w:rPr>
      </w:pPr>
      <w:r>
        <w:rPr>
          <w:szCs w:val="24"/>
        </w:rPr>
        <w:t xml:space="preserve">     </w:t>
      </w:r>
      <w:r w:rsidR="00EE3EEE">
        <w:rPr>
          <w:szCs w:val="24"/>
        </w:rPr>
        <w:t xml:space="preserve">Based on the actual number of collectors as of June 9, 2017, the DEA estimates there </w:t>
      </w:r>
      <w:r w:rsidR="00DD321A">
        <w:rPr>
          <w:szCs w:val="24"/>
        </w:rPr>
        <w:t>are</w:t>
      </w:r>
      <w:r w:rsidR="00EE3EEE">
        <w:rPr>
          <w:szCs w:val="24"/>
        </w:rPr>
        <w:t xml:space="preserve"> 2,359 respondents</w:t>
      </w:r>
      <w:r w:rsidR="00825E0D">
        <w:rPr>
          <w:szCs w:val="24"/>
        </w:rPr>
        <w:t>.</w:t>
      </w:r>
      <w:r w:rsidR="00EE3EEE">
        <w:rPr>
          <w:szCs w:val="24"/>
        </w:rPr>
        <w:t xml:space="preserve">  Collectors include 2,339 collection receptacle operators, 6 mail-back program operators, and 14 operators of both collection receptacle and mail-back programs.</w:t>
      </w:r>
      <w:r w:rsidR="00825E0D">
        <w:rPr>
          <w:szCs w:val="24"/>
        </w:rPr>
        <w:t xml:space="preserve">  While the actual burden hours may vary between collectors, the DEA estimates that it takes an average of 30 minutes per year to comply with the above requirements.  </w:t>
      </w:r>
      <w:r w:rsidR="00825E0D" w:rsidRPr="00C073A3">
        <w:rPr>
          <w:szCs w:val="24"/>
        </w:rPr>
        <w:t>The table below presents the burden hour calculations</w:t>
      </w:r>
      <w:r w:rsidR="00825E0D">
        <w:rPr>
          <w:szCs w:val="24"/>
        </w:rPr>
        <w:t>.</w:t>
      </w:r>
    </w:p>
    <w:p w:rsidR="000B4C6D" w:rsidRDefault="000B4C6D" w:rsidP="006814E4">
      <w:pPr>
        <w:pStyle w:val="BodyText"/>
        <w:spacing w:line="240" w:lineRule="auto"/>
        <w:rPr>
          <w:szCs w:val="24"/>
        </w:rPr>
      </w:pPr>
    </w:p>
    <w:tbl>
      <w:tblPr>
        <w:tblW w:w="9735" w:type="dxa"/>
        <w:tblInd w:w="93" w:type="dxa"/>
        <w:tblLook w:val="04A0" w:firstRow="1" w:lastRow="0" w:firstColumn="1" w:lastColumn="0" w:noHBand="0" w:noVBand="1"/>
      </w:tblPr>
      <w:tblGrid>
        <w:gridCol w:w="3696"/>
        <w:gridCol w:w="1629"/>
        <w:gridCol w:w="1530"/>
        <w:gridCol w:w="1530"/>
        <w:gridCol w:w="1350"/>
      </w:tblGrid>
      <w:tr w:rsidR="00BC3FC0" w:rsidRPr="000B4C6D" w:rsidTr="00BC3FC0">
        <w:trPr>
          <w:cantSplit/>
          <w:trHeight w:val="780"/>
          <w:tblHeader/>
        </w:trPr>
        <w:tc>
          <w:tcPr>
            <w:tcW w:w="3696"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0B4C6D" w:rsidRPr="000B4C6D" w:rsidRDefault="000B4C6D" w:rsidP="000B4C6D">
            <w:pPr>
              <w:rPr>
                <w:rFonts w:ascii="Times New Roman" w:hAnsi="Times New Roman"/>
                <w:b/>
                <w:bCs/>
                <w:noProof w:val="0"/>
                <w:color w:val="000000"/>
              </w:rPr>
            </w:pPr>
            <w:r w:rsidRPr="000B4C6D">
              <w:rPr>
                <w:rFonts w:ascii="Times New Roman" w:hAnsi="Times New Roman"/>
                <w:b/>
                <w:bCs/>
                <w:noProof w:val="0"/>
                <w:color w:val="000000"/>
              </w:rPr>
              <w:t>Activity</w:t>
            </w:r>
          </w:p>
        </w:tc>
        <w:tc>
          <w:tcPr>
            <w:tcW w:w="1629" w:type="dxa"/>
            <w:tcBorders>
              <w:top w:val="single" w:sz="4" w:space="0" w:color="auto"/>
              <w:left w:val="nil"/>
              <w:bottom w:val="single" w:sz="4" w:space="0" w:color="auto"/>
              <w:right w:val="single" w:sz="4" w:space="0" w:color="auto"/>
            </w:tcBorders>
            <w:shd w:val="clear" w:color="000000" w:fill="B8CCE4"/>
            <w:vAlign w:val="center"/>
            <w:hideMark/>
          </w:tcPr>
          <w:p w:rsidR="000B4C6D" w:rsidRPr="000B4C6D" w:rsidRDefault="000B4C6D" w:rsidP="000B4C6D">
            <w:pPr>
              <w:jc w:val="center"/>
              <w:rPr>
                <w:rFonts w:ascii="Times New Roman" w:hAnsi="Times New Roman"/>
                <w:b/>
                <w:bCs/>
                <w:noProof w:val="0"/>
                <w:color w:val="000000"/>
              </w:rPr>
            </w:pPr>
            <w:r w:rsidRPr="000B4C6D">
              <w:rPr>
                <w:rFonts w:ascii="Times New Roman" w:hAnsi="Times New Roman"/>
                <w:b/>
                <w:bCs/>
                <w:noProof w:val="0"/>
                <w:color w:val="000000"/>
              </w:rPr>
              <w:t>Number of Annual Respondents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0B4C6D" w:rsidRPr="000B4C6D" w:rsidRDefault="000B4C6D" w:rsidP="000B4C6D">
            <w:pPr>
              <w:jc w:val="center"/>
              <w:rPr>
                <w:rFonts w:ascii="Times New Roman" w:hAnsi="Times New Roman"/>
                <w:b/>
                <w:bCs/>
                <w:noProof w:val="0"/>
                <w:color w:val="000000"/>
              </w:rPr>
            </w:pPr>
            <w:r w:rsidRPr="000B4C6D">
              <w:rPr>
                <w:rFonts w:ascii="Times New Roman" w:hAnsi="Times New Roman"/>
                <w:b/>
                <w:bCs/>
                <w:noProof w:val="0"/>
                <w:color w:val="000000"/>
              </w:rPr>
              <w:t>Number of Annual Responses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0B4C6D" w:rsidRPr="000B4C6D" w:rsidRDefault="000B4C6D" w:rsidP="000B4C6D">
            <w:pPr>
              <w:jc w:val="center"/>
              <w:rPr>
                <w:rFonts w:ascii="Times New Roman" w:hAnsi="Times New Roman"/>
                <w:b/>
                <w:bCs/>
                <w:noProof w:val="0"/>
                <w:color w:val="000000"/>
              </w:rPr>
            </w:pPr>
            <w:r w:rsidRPr="000B4C6D">
              <w:rPr>
                <w:rFonts w:ascii="Times New Roman" w:hAnsi="Times New Roman"/>
                <w:b/>
                <w:bCs/>
                <w:noProof w:val="0"/>
                <w:color w:val="000000"/>
              </w:rPr>
              <w:t>Average</w:t>
            </w:r>
            <w:r w:rsidR="000F06D9">
              <w:rPr>
                <w:rFonts w:ascii="Times New Roman" w:hAnsi="Times New Roman"/>
                <w:b/>
                <w:bCs/>
                <w:noProof w:val="0"/>
                <w:color w:val="000000"/>
              </w:rPr>
              <w:t xml:space="preserve"> Annual</w:t>
            </w:r>
            <w:r w:rsidRPr="000B4C6D">
              <w:rPr>
                <w:rFonts w:ascii="Times New Roman" w:hAnsi="Times New Roman"/>
                <w:b/>
                <w:bCs/>
                <w:noProof w:val="0"/>
                <w:color w:val="000000"/>
              </w:rPr>
              <w:t xml:space="preserve"> Time per Response (minutes)</w:t>
            </w:r>
          </w:p>
        </w:tc>
        <w:tc>
          <w:tcPr>
            <w:tcW w:w="1350" w:type="dxa"/>
            <w:tcBorders>
              <w:top w:val="single" w:sz="4" w:space="0" w:color="auto"/>
              <w:left w:val="nil"/>
              <w:bottom w:val="single" w:sz="4" w:space="0" w:color="auto"/>
              <w:right w:val="single" w:sz="4" w:space="0" w:color="auto"/>
            </w:tcBorders>
            <w:shd w:val="clear" w:color="000000" w:fill="B8CCE4"/>
            <w:vAlign w:val="bottom"/>
            <w:hideMark/>
          </w:tcPr>
          <w:p w:rsidR="000B4C6D" w:rsidRPr="000B4C6D" w:rsidRDefault="000B4C6D" w:rsidP="000B4C6D">
            <w:pPr>
              <w:jc w:val="center"/>
              <w:rPr>
                <w:rFonts w:ascii="Times New Roman" w:hAnsi="Times New Roman"/>
                <w:b/>
                <w:bCs/>
                <w:noProof w:val="0"/>
                <w:color w:val="000000"/>
              </w:rPr>
            </w:pPr>
            <w:r w:rsidRPr="000B4C6D">
              <w:rPr>
                <w:rFonts w:ascii="Times New Roman" w:hAnsi="Times New Roman"/>
                <w:b/>
                <w:bCs/>
                <w:noProof w:val="0"/>
                <w:color w:val="000000"/>
              </w:rPr>
              <w:t>Total Annual Hours</w:t>
            </w:r>
          </w:p>
        </w:tc>
      </w:tr>
      <w:tr w:rsidR="00BC3FC0" w:rsidRPr="000B4C6D" w:rsidTr="00BC3FC0">
        <w:trPr>
          <w:cantSplit/>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Dispensing records of individual practitioners</w:t>
            </w:r>
          </w:p>
        </w:tc>
        <w:tc>
          <w:tcPr>
            <w:tcW w:w="1629" w:type="dxa"/>
            <w:tcBorders>
              <w:top w:val="nil"/>
              <w:left w:val="nil"/>
              <w:bottom w:val="nil"/>
              <w:right w:val="single" w:sz="4" w:space="0" w:color="auto"/>
            </w:tcBorders>
            <w:shd w:val="clear" w:color="auto" w:fill="auto"/>
            <w:noWrap/>
            <w:vAlign w:val="bottom"/>
            <w:hideMark/>
          </w:tcPr>
          <w:p w:rsidR="000B4C6D" w:rsidRPr="000B4C6D" w:rsidRDefault="000B4C6D" w:rsidP="00BC3FC0">
            <w:pPr>
              <w:jc w:val="right"/>
              <w:rPr>
                <w:rFonts w:ascii="Times New Roman" w:hAnsi="Times New Roman"/>
                <w:noProof w:val="0"/>
                <w:color w:val="000000"/>
              </w:rPr>
            </w:pPr>
            <w:r w:rsidRPr="000B4C6D">
              <w:rPr>
                <w:rFonts w:ascii="Times New Roman" w:hAnsi="Times New Roman"/>
                <w:noProof w:val="0"/>
                <w:color w:val="000000"/>
              </w:rPr>
              <w:t xml:space="preserve">                62,392 </w:t>
            </w:r>
          </w:p>
        </w:tc>
        <w:tc>
          <w:tcPr>
            <w:tcW w:w="1530" w:type="dxa"/>
            <w:tcBorders>
              <w:top w:val="nil"/>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62,392 </w:t>
            </w:r>
          </w:p>
        </w:tc>
        <w:tc>
          <w:tcPr>
            <w:tcW w:w="1530" w:type="dxa"/>
            <w:tcBorders>
              <w:top w:val="nil"/>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30 </w:t>
            </w:r>
          </w:p>
        </w:tc>
        <w:tc>
          <w:tcPr>
            <w:tcW w:w="1350" w:type="dxa"/>
            <w:tcBorders>
              <w:top w:val="nil"/>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31,196 </w:t>
            </w:r>
          </w:p>
        </w:tc>
      </w:tr>
      <w:tr w:rsidR="00BC3FC0" w:rsidRPr="000B4C6D" w:rsidTr="00BC3FC0">
        <w:trPr>
          <w:cantSplit/>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Recordkeeping requirements of collectors</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2,359 </w:t>
            </w:r>
          </w:p>
        </w:tc>
        <w:tc>
          <w:tcPr>
            <w:tcW w:w="1530" w:type="dxa"/>
            <w:tcBorders>
              <w:top w:val="nil"/>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2,359 </w:t>
            </w:r>
          </w:p>
        </w:tc>
        <w:tc>
          <w:tcPr>
            <w:tcW w:w="1530" w:type="dxa"/>
            <w:tcBorders>
              <w:top w:val="nil"/>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30 </w:t>
            </w:r>
          </w:p>
        </w:tc>
        <w:tc>
          <w:tcPr>
            <w:tcW w:w="1350" w:type="dxa"/>
            <w:tcBorders>
              <w:top w:val="nil"/>
              <w:left w:val="nil"/>
              <w:bottom w:val="single" w:sz="4" w:space="0" w:color="auto"/>
              <w:right w:val="single" w:sz="4" w:space="0" w:color="auto"/>
            </w:tcBorders>
            <w:shd w:val="clear" w:color="auto" w:fill="auto"/>
            <w:noWrap/>
            <w:vAlign w:val="bottom"/>
            <w:hideMark/>
          </w:tcPr>
          <w:p w:rsidR="000B4C6D" w:rsidRPr="000B4C6D" w:rsidRDefault="000B4C6D" w:rsidP="000B4C6D">
            <w:pPr>
              <w:rPr>
                <w:rFonts w:ascii="Times New Roman" w:hAnsi="Times New Roman"/>
                <w:noProof w:val="0"/>
                <w:color w:val="000000"/>
              </w:rPr>
            </w:pPr>
            <w:r w:rsidRPr="000B4C6D">
              <w:rPr>
                <w:rFonts w:ascii="Times New Roman" w:hAnsi="Times New Roman"/>
                <w:noProof w:val="0"/>
                <w:color w:val="000000"/>
              </w:rPr>
              <w:t xml:space="preserve">            1,180 </w:t>
            </w:r>
          </w:p>
        </w:tc>
      </w:tr>
      <w:tr w:rsidR="00BC3FC0" w:rsidRPr="000B4C6D" w:rsidTr="00BC3FC0">
        <w:trPr>
          <w:cantSplit/>
          <w:trHeight w:val="300"/>
        </w:trPr>
        <w:tc>
          <w:tcPr>
            <w:tcW w:w="3696" w:type="dxa"/>
            <w:tcBorders>
              <w:top w:val="nil"/>
              <w:left w:val="single" w:sz="4" w:space="0" w:color="auto"/>
              <w:bottom w:val="single" w:sz="4" w:space="0" w:color="auto"/>
              <w:right w:val="single" w:sz="4" w:space="0" w:color="auto"/>
            </w:tcBorders>
            <w:shd w:val="clear" w:color="000000" w:fill="B8CCE4"/>
            <w:noWrap/>
            <w:vAlign w:val="bottom"/>
            <w:hideMark/>
          </w:tcPr>
          <w:p w:rsidR="000B4C6D" w:rsidRPr="000B4C6D" w:rsidRDefault="000B4C6D" w:rsidP="000B4C6D">
            <w:pPr>
              <w:rPr>
                <w:rFonts w:ascii="Times New Roman" w:hAnsi="Times New Roman"/>
                <w:b/>
                <w:bCs/>
                <w:noProof w:val="0"/>
                <w:color w:val="000000"/>
              </w:rPr>
            </w:pPr>
            <w:r w:rsidRPr="000B4C6D">
              <w:rPr>
                <w:rFonts w:ascii="Times New Roman" w:hAnsi="Times New Roman"/>
                <w:b/>
                <w:bCs/>
                <w:noProof w:val="0"/>
                <w:color w:val="000000"/>
              </w:rPr>
              <w:t>Total</w:t>
            </w:r>
          </w:p>
        </w:tc>
        <w:tc>
          <w:tcPr>
            <w:tcW w:w="1629" w:type="dxa"/>
            <w:tcBorders>
              <w:top w:val="nil"/>
              <w:left w:val="nil"/>
              <w:bottom w:val="single" w:sz="4" w:space="0" w:color="auto"/>
              <w:right w:val="single" w:sz="4" w:space="0" w:color="auto"/>
            </w:tcBorders>
            <w:shd w:val="clear" w:color="000000" w:fill="B8CCE4"/>
            <w:noWrap/>
            <w:vAlign w:val="bottom"/>
            <w:hideMark/>
          </w:tcPr>
          <w:p w:rsidR="000B4C6D" w:rsidRPr="000B4C6D" w:rsidRDefault="000B4C6D" w:rsidP="000B4C6D">
            <w:pPr>
              <w:rPr>
                <w:rFonts w:ascii="Times New Roman" w:hAnsi="Times New Roman"/>
                <w:b/>
                <w:bCs/>
                <w:noProof w:val="0"/>
                <w:color w:val="000000"/>
              </w:rPr>
            </w:pPr>
            <w:r w:rsidRPr="000B4C6D">
              <w:rPr>
                <w:rFonts w:ascii="Times New Roman" w:hAnsi="Times New Roman"/>
                <w:b/>
                <w:bCs/>
                <w:noProof w:val="0"/>
                <w:color w:val="000000"/>
              </w:rPr>
              <w:t xml:space="preserve">               64,751 </w:t>
            </w:r>
          </w:p>
        </w:tc>
        <w:tc>
          <w:tcPr>
            <w:tcW w:w="1530" w:type="dxa"/>
            <w:tcBorders>
              <w:top w:val="nil"/>
              <w:left w:val="nil"/>
              <w:bottom w:val="single" w:sz="4" w:space="0" w:color="auto"/>
              <w:right w:val="single" w:sz="4" w:space="0" w:color="auto"/>
            </w:tcBorders>
            <w:shd w:val="clear" w:color="000000" w:fill="B8CCE4"/>
            <w:noWrap/>
            <w:vAlign w:val="bottom"/>
            <w:hideMark/>
          </w:tcPr>
          <w:p w:rsidR="000B4C6D" w:rsidRPr="000B4C6D" w:rsidRDefault="000B4C6D" w:rsidP="000B4C6D">
            <w:pPr>
              <w:rPr>
                <w:rFonts w:ascii="Times New Roman" w:hAnsi="Times New Roman"/>
                <w:b/>
                <w:bCs/>
                <w:noProof w:val="0"/>
                <w:color w:val="000000"/>
              </w:rPr>
            </w:pPr>
            <w:r w:rsidRPr="000B4C6D">
              <w:rPr>
                <w:rFonts w:ascii="Times New Roman" w:hAnsi="Times New Roman"/>
                <w:b/>
                <w:bCs/>
                <w:noProof w:val="0"/>
                <w:color w:val="000000"/>
              </w:rPr>
              <w:t xml:space="preserve">             64,751 </w:t>
            </w:r>
          </w:p>
        </w:tc>
        <w:tc>
          <w:tcPr>
            <w:tcW w:w="1530" w:type="dxa"/>
            <w:tcBorders>
              <w:top w:val="nil"/>
              <w:left w:val="nil"/>
              <w:bottom w:val="single" w:sz="4" w:space="0" w:color="auto"/>
              <w:right w:val="single" w:sz="4" w:space="0" w:color="auto"/>
            </w:tcBorders>
            <w:shd w:val="clear" w:color="000000" w:fill="B8CCE4"/>
            <w:noWrap/>
            <w:vAlign w:val="bottom"/>
            <w:hideMark/>
          </w:tcPr>
          <w:p w:rsidR="000B4C6D" w:rsidRPr="000B4C6D" w:rsidRDefault="000B4C6D" w:rsidP="000B4C6D">
            <w:pPr>
              <w:jc w:val="center"/>
              <w:rPr>
                <w:rFonts w:ascii="Times New Roman" w:hAnsi="Times New Roman"/>
                <w:b/>
                <w:bCs/>
                <w:noProof w:val="0"/>
                <w:color w:val="000000"/>
              </w:rPr>
            </w:pPr>
            <w:r w:rsidRPr="000B4C6D">
              <w:rPr>
                <w:rFonts w:ascii="Times New Roman" w:hAnsi="Times New Roman"/>
                <w:b/>
                <w:bCs/>
                <w:noProof w:val="0"/>
                <w:color w:val="000000"/>
              </w:rPr>
              <w:t>N/A</w:t>
            </w:r>
          </w:p>
        </w:tc>
        <w:tc>
          <w:tcPr>
            <w:tcW w:w="1350" w:type="dxa"/>
            <w:tcBorders>
              <w:top w:val="nil"/>
              <w:left w:val="nil"/>
              <w:bottom w:val="single" w:sz="4" w:space="0" w:color="auto"/>
              <w:right w:val="single" w:sz="4" w:space="0" w:color="auto"/>
            </w:tcBorders>
            <w:shd w:val="clear" w:color="000000" w:fill="B8CCE4"/>
            <w:noWrap/>
            <w:vAlign w:val="bottom"/>
            <w:hideMark/>
          </w:tcPr>
          <w:p w:rsidR="000B4C6D" w:rsidRPr="000B4C6D" w:rsidRDefault="000B4C6D" w:rsidP="000B4C6D">
            <w:pPr>
              <w:rPr>
                <w:rFonts w:ascii="Times New Roman" w:hAnsi="Times New Roman"/>
                <w:b/>
                <w:bCs/>
                <w:noProof w:val="0"/>
                <w:color w:val="000000"/>
              </w:rPr>
            </w:pPr>
            <w:r w:rsidRPr="000B4C6D">
              <w:rPr>
                <w:rFonts w:ascii="Times New Roman" w:hAnsi="Times New Roman"/>
                <w:b/>
                <w:bCs/>
                <w:noProof w:val="0"/>
                <w:color w:val="000000"/>
              </w:rPr>
              <w:t xml:space="preserve">        32,376 </w:t>
            </w:r>
          </w:p>
        </w:tc>
      </w:tr>
    </w:tbl>
    <w:p w:rsidR="000B4C6D" w:rsidRDefault="000B4C6D" w:rsidP="006814E4">
      <w:pPr>
        <w:pStyle w:val="BodyText"/>
        <w:spacing w:line="240" w:lineRule="auto"/>
        <w:rPr>
          <w:szCs w:val="24"/>
        </w:rPr>
      </w:pPr>
    </w:p>
    <w:p w:rsidR="00EE3EEE" w:rsidRPr="000F06D9" w:rsidRDefault="00EE3EEE" w:rsidP="006814E4">
      <w:pPr>
        <w:pStyle w:val="BodyText"/>
        <w:spacing w:line="240" w:lineRule="auto"/>
        <w:rPr>
          <w:szCs w:val="24"/>
        </w:rPr>
      </w:pP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 xml:space="preserve">Total number of respondents:  </w:t>
      </w:r>
      <w:r>
        <w:rPr>
          <w:rFonts w:ascii="Times New Roman" w:hAnsi="Times New Roman"/>
          <w:sz w:val="24"/>
          <w:szCs w:val="24"/>
        </w:rPr>
        <w:t>64,751</w:t>
      </w: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Number of response</w:t>
      </w:r>
      <w:r>
        <w:rPr>
          <w:rFonts w:ascii="Times New Roman" w:hAnsi="Times New Roman"/>
          <w:sz w:val="24"/>
          <w:szCs w:val="24"/>
        </w:rPr>
        <w:t>s per respondent per year:  1 (see footnote</w:t>
      </w:r>
      <w:r>
        <w:rPr>
          <w:rStyle w:val="FootnoteReference"/>
          <w:rFonts w:ascii="Times New Roman" w:hAnsi="Times New Roman"/>
          <w:sz w:val="24"/>
          <w:szCs w:val="24"/>
        </w:rPr>
        <w:footnoteReference w:id="1"/>
      </w:r>
      <w:r>
        <w:rPr>
          <w:rFonts w:ascii="Times New Roman" w:hAnsi="Times New Roman"/>
          <w:sz w:val="24"/>
          <w:szCs w:val="24"/>
        </w:rPr>
        <w:t>)</w:t>
      </w: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 xml:space="preserve">Total annual responses:  </w:t>
      </w:r>
      <w:r>
        <w:rPr>
          <w:rFonts w:ascii="Times New Roman" w:hAnsi="Times New Roman"/>
          <w:sz w:val="24"/>
          <w:szCs w:val="24"/>
        </w:rPr>
        <w:t>64,751</w:t>
      </w: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 xml:space="preserve">Total annual hour burden:  </w:t>
      </w:r>
      <w:r>
        <w:rPr>
          <w:rFonts w:ascii="Times New Roman" w:hAnsi="Times New Roman"/>
          <w:sz w:val="24"/>
          <w:szCs w:val="24"/>
        </w:rPr>
        <w:t>32,576</w:t>
      </w:r>
    </w:p>
    <w:p w:rsidR="000F06D9" w:rsidRPr="000F06D9" w:rsidRDefault="000F06D9" w:rsidP="000F06D9">
      <w:pPr>
        <w:rPr>
          <w:rFonts w:ascii="Times New Roman" w:hAnsi="Times New Roman"/>
          <w:sz w:val="24"/>
          <w:szCs w:val="24"/>
        </w:rPr>
      </w:pP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Average Burden:</w:t>
      </w:r>
      <w:r w:rsidRPr="000F06D9">
        <w:rPr>
          <w:rFonts w:ascii="Times New Roman" w:hAnsi="Times New Roman"/>
          <w:sz w:val="24"/>
          <w:szCs w:val="24"/>
        </w:rPr>
        <w:tab/>
        <w:t>Per Collection:  0.</w:t>
      </w:r>
      <w:r w:rsidR="005D5E73">
        <w:rPr>
          <w:rFonts w:ascii="Times New Roman" w:hAnsi="Times New Roman"/>
          <w:sz w:val="24"/>
          <w:szCs w:val="24"/>
        </w:rPr>
        <w:t>5</w:t>
      </w:r>
      <w:r w:rsidRPr="000F06D9">
        <w:rPr>
          <w:rFonts w:ascii="Times New Roman" w:hAnsi="Times New Roman"/>
          <w:sz w:val="24"/>
          <w:szCs w:val="24"/>
        </w:rPr>
        <w:t xml:space="preserve"> hour</w:t>
      </w: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ab/>
      </w:r>
      <w:r w:rsidRPr="000F06D9">
        <w:rPr>
          <w:rFonts w:ascii="Times New Roman" w:hAnsi="Times New Roman"/>
          <w:sz w:val="24"/>
          <w:szCs w:val="24"/>
        </w:rPr>
        <w:tab/>
      </w:r>
      <w:r w:rsidRPr="000F06D9">
        <w:rPr>
          <w:rFonts w:ascii="Times New Roman" w:hAnsi="Times New Roman"/>
          <w:sz w:val="24"/>
          <w:szCs w:val="24"/>
        </w:rPr>
        <w:tab/>
        <w:t>Per Respondent: 0.</w:t>
      </w:r>
      <w:r w:rsidR="005D5E73">
        <w:rPr>
          <w:rFonts w:ascii="Times New Roman" w:hAnsi="Times New Roman"/>
          <w:sz w:val="24"/>
          <w:szCs w:val="24"/>
        </w:rPr>
        <w:t>5</w:t>
      </w:r>
      <w:r w:rsidRPr="000F06D9">
        <w:rPr>
          <w:rFonts w:ascii="Times New Roman" w:hAnsi="Times New Roman"/>
          <w:sz w:val="24"/>
          <w:szCs w:val="24"/>
        </w:rPr>
        <w:t xml:space="preserve"> hour</w:t>
      </w:r>
    </w:p>
    <w:p w:rsidR="000F06D9" w:rsidRPr="000F06D9" w:rsidRDefault="000F06D9" w:rsidP="000F06D9">
      <w:pPr>
        <w:rPr>
          <w:rFonts w:ascii="Times New Roman" w:hAnsi="Times New Roman"/>
          <w:sz w:val="24"/>
          <w:szCs w:val="24"/>
        </w:rPr>
      </w:pPr>
    </w:p>
    <w:p w:rsidR="000F06D9" w:rsidRPr="000F06D9" w:rsidRDefault="000F06D9" w:rsidP="000F06D9">
      <w:pPr>
        <w:rPr>
          <w:rFonts w:ascii="Times New Roman" w:hAnsi="Times New Roman"/>
          <w:sz w:val="24"/>
          <w:szCs w:val="24"/>
        </w:rPr>
      </w:pPr>
      <w:r w:rsidRPr="000F06D9">
        <w:rPr>
          <w:rFonts w:ascii="Times New Roman" w:hAnsi="Times New Roman"/>
          <w:sz w:val="24"/>
          <w:szCs w:val="24"/>
        </w:rPr>
        <w:t>Burden dollars:</w:t>
      </w:r>
    </w:p>
    <w:p w:rsidR="000F06D9" w:rsidRPr="000F06D9" w:rsidRDefault="000F06D9" w:rsidP="000F06D9">
      <w:pPr>
        <w:rPr>
          <w:rFonts w:ascii="Times New Roman" w:hAnsi="Times New Roman"/>
          <w:sz w:val="24"/>
          <w:szCs w:val="24"/>
        </w:rPr>
      </w:pPr>
    </w:p>
    <w:tbl>
      <w:tblPr>
        <w:tblW w:w="8475" w:type="dxa"/>
        <w:tblInd w:w="93" w:type="dxa"/>
        <w:tblLayout w:type="fixed"/>
        <w:tblLook w:val="04A0" w:firstRow="1" w:lastRow="0" w:firstColumn="1" w:lastColumn="0" w:noHBand="0" w:noVBand="1"/>
      </w:tblPr>
      <w:tblGrid>
        <w:gridCol w:w="4245"/>
        <w:gridCol w:w="2430"/>
        <w:gridCol w:w="1800"/>
      </w:tblGrid>
      <w:tr w:rsidR="005D5E73" w:rsidRPr="000F06D9" w:rsidTr="005D5E73">
        <w:trPr>
          <w:trHeight w:val="780"/>
        </w:trPr>
        <w:tc>
          <w:tcPr>
            <w:tcW w:w="4245" w:type="dxa"/>
            <w:shd w:val="clear" w:color="auto" w:fill="auto"/>
            <w:noWrap/>
            <w:vAlign w:val="bottom"/>
            <w:hideMark/>
          </w:tcPr>
          <w:p w:rsidR="005D5E73" w:rsidRPr="000F06D9" w:rsidRDefault="005D5E73" w:rsidP="00D83478">
            <w:pPr>
              <w:rPr>
                <w:rFonts w:ascii="Times New Roman" w:hAnsi="Times New Roman"/>
                <w:color w:val="000000"/>
                <w:sz w:val="24"/>
                <w:szCs w:val="24"/>
              </w:rPr>
            </w:pPr>
          </w:p>
        </w:tc>
        <w:tc>
          <w:tcPr>
            <w:tcW w:w="2430" w:type="dxa"/>
            <w:shd w:val="clear" w:color="auto" w:fill="auto"/>
            <w:vAlign w:val="bottom"/>
            <w:hideMark/>
          </w:tcPr>
          <w:p w:rsidR="005D5E73" w:rsidRPr="005D5E73" w:rsidRDefault="005D5E73" w:rsidP="00D83478">
            <w:pPr>
              <w:jc w:val="center"/>
              <w:rPr>
                <w:rFonts w:ascii="Times New Roman" w:hAnsi="Times New Roman"/>
                <w:color w:val="000000"/>
                <w:sz w:val="24"/>
                <w:szCs w:val="24"/>
                <w:u w:val="single"/>
              </w:rPr>
            </w:pPr>
            <w:r w:rsidRPr="005D5E73">
              <w:rPr>
                <w:rFonts w:ascii="Times New Roman" w:hAnsi="Times New Roman"/>
                <w:color w:val="000000"/>
                <w:sz w:val="24"/>
                <w:szCs w:val="24"/>
                <w:u w:val="single"/>
              </w:rPr>
              <w:t>Medical Records and Health Information Technician</w:t>
            </w:r>
          </w:p>
        </w:tc>
        <w:tc>
          <w:tcPr>
            <w:tcW w:w="1800" w:type="dxa"/>
            <w:shd w:val="clear" w:color="auto" w:fill="auto"/>
            <w:vAlign w:val="bottom"/>
            <w:hideMark/>
          </w:tcPr>
          <w:p w:rsidR="005D5E73" w:rsidRPr="005D5E73" w:rsidRDefault="005D5E73" w:rsidP="00D83478">
            <w:pPr>
              <w:jc w:val="center"/>
              <w:rPr>
                <w:rFonts w:ascii="Times New Roman" w:hAnsi="Times New Roman"/>
                <w:color w:val="000000"/>
                <w:sz w:val="24"/>
                <w:szCs w:val="24"/>
                <w:u w:val="single"/>
              </w:rPr>
            </w:pPr>
            <w:r w:rsidRPr="005D5E73">
              <w:rPr>
                <w:rFonts w:ascii="Times New Roman" w:hAnsi="Times New Roman"/>
                <w:color w:val="000000"/>
                <w:sz w:val="24"/>
                <w:szCs w:val="24"/>
                <w:u w:val="single"/>
              </w:rPr>
              <w:t>Pharmacy technicians</w:t>
            </w:r>
          </w:p>
        </w:tc>
      </w:tr>
      <w:tr w:rsidR="005D5E73" w:rsidRPr="000F06D9" w:rsidTr="005D5E73">
        <w:trPr>
          <w:trHeight w:val="300"/>
        </w:trPr>
        <w:tc>
          <w:tcPr>
            <w:tcW w:w="4245" w:type="dxa"/>
            <w:shd w:val="clear" w:color="auto" w:fill="auto"/>
            <w:noWrap/>
            <w:vAlign w:val="bottom"/>
            <w:hideMark/>
          </w:tcPr>
          <w:p w:rsidR="005D5E73" w:rsidRPr="000F06D9" w:rsidRDefault="005D5E73" w:rsidP="00D83478">
            <w:pPr>
              <w:rPr>
                <w:rFonts w:ascii="Times New Roman" w:hAnsi="Times New Roman"/>
                <w:color w:val="000000"/>
                <w:sz w:val="24"/>
                <w:szCs w:val="24"/>
              </w:rPr>
            </w:pPr>
            <w:r w:rsidRPr="000F06D9">
              <w:rPr>
                <w:rFonts w:ascii="Times New Roman" w:eastAsia="SimSun" w:hAnsi="Times New Roman"/>
                <w:color w:val="000000"/>
                <w:sz w:val="24"/>
                <w:szCs w:val="24"/>
              </w:rPr>
              <w:t>Estimate hourly wage ($/hour):</w:t>
            </w:r>
            <w:r w:rsidRPr="000F06D9">
              <w:rPr>
                <w:rStyle w:val="FootnoteReference"/>
                <w:rFonts w:ascii="Times New Roman" w:eastAsia="SimSun" w:hAnsi="Times New Roman"/>
                <w:sz w:val="24"/>
                <w:szCs w:val="24"/>
              </w:rPr>
              <w:footnoteReference w:id="2"/>
            </w:r>
          </w:p>
        </w:tc>
        <w:tc>
          <w:tcPr>
            <w:tcW w:w="2430" w:type="dxa"/>
            <w:shd w:val="clear" w:color="auto" w:fill="auto"/>
            <w:noWrap/>
            <w:vAlign w:val="bottom"/>
            <w:hideMark/>
          </w:tcPr>
          <w:p w:rsidR="005D5E73" w:rsidRPr="005D5E73" w:rsidRDefault="005D5E73" w:rsidP="00D83478">
            <w:pPr>
              <w:jc w:val="center"/>
              <w:rPr>
                <w:rFonts w:ascii="Times New Roman" w:hAnsi="Times New Roman"/>
                <w:color w:val="000000"/>
                <w:sz w:val="24"/>
                <w:szCs w:val="24"/>
              </w:rPr>
            </w:pPr>
            <w:r w:rsidRPr="005D5E73">
              <w:rPr>
                <w:rFonts w:ascii="Times New Roman" w:hAnsi="Times New Roman"/>
                <w:color w:val="000000"/>
                <w:sz w:val="24"/>
                <w:szCs w:val="24"/>
              </w:rPr>
              <w:t>18.29</w:t>
            </w:r>
          </w:p>
        </w:tc>
        <w:tc>
          <w:tcPr>
            <w:tcW w:w="1800" w:type="dxa"/>
            <w:shd w:val="clear" w:color="auto" w:fill="auto"/>
            <w:noWrap/>
            <w:vAlign w:val="bottom"/>
            <w:hideMark/>
          </w:tcPr>
          <w:p w:rsidR="005D5E73" w:rsidRPr="005D5E73" w:rsidRDefault="005D5E73" w:rsidP="00D83478">
            <w:pPr>
              <w:jc w:val="center"/>
              <w:rPr>
                <w:rFonts w:ascii="Times New Roman" w:hAnsi="Times New Roman"/>
                <w:color w:val="000000"/>
                <w:sz w:val="24"/>
                <w:szCs w:val="24"/>
              </w:rPr>
            </w:pPr>
            <w:r w:rsidRPr="005D5E73">
              <w:rPr>
                <w:rFonts w:ascii="Times New Roman" w:hAnsi="Times New Roman"/>
                <w:color w:val="000000"/>
                <w:sz w:val="24"/>
                <w:szCs w:val="24"/>
              </w:rPr>
              <w:t xml:space="preserve">14.86 </w:t>
            </w:r>
          </w:p>
        </w:tc>
      </w:tr>
      <w:tr w:rsidR="005D5E73" w:rsidRPr="000F06D9" w:rsidTr="005D5E73">
        <w:trPr>
          <w:trHeight w:val="300"/>
        </w:trPr>
        <w:tc>
          <w:tcPr>
            <w:tcW w:w="4245" w:type="dxa"/>
            <w:shd w:val="clear" w:color="auto" w:fill="auto"/>
            <w:noWrap/>
            <w:vAlign w:val="bottom"/>
            <w:hideMark/>
          </w:tcPr>
          <w:p w:rsidR="005D5E73" w:rsidRPr="000F06D9" w:rsidRDefault="005D5E73" w:rsidP="00D83478">
            <w:pPr>
              <w:rPr>
                <w:rFonts w:ascii="Times New Roman" w:hAnsi="Times New Roman"/>
                <w:color w:val="000000"/>
                <w:sz w:val="24"/>
                <w:szCs w:val="24"/>
              </w:rPr>
            </w:pPr>
            <w:r w:rsidRPr="000F06D9">
              <w:rPr>
                <w:rFonts w:ascii="Times New Roman" w:eastAsia="SimSun" w:hAnsi="Times New Roman"/>
                <w:color w:val="000000"/>
                <w:sz w:val="24"/>
                <w:szCs w:val="24"/>
              </w:rPr>
              <w:t>Load for benefits (percent of labor rate):</w:t>
            </w:r>
            <w:r w:rsidRPr="000F06D9">
              <w:rPr>
                <w:rStyle w:val="FootnoteReference"/>
                <w:rFonts w:ascii="Times New Roman" w:eastAsia="SimSun" w:hAnsi="Times New Roman"/>
                <w:sz w:val="24"/>
                <w:szCs w:val="24"/>
              </w:rPr>
              <w:footnoteReference w:id="3"/>
            </w:r>
          </w:p>
        </w:tc>
        <w:tc>
          <w:tcPr>
            <w:tcW w:w="2430" w:type="dxa"/>
            <w:shd w:val="clear" w:color="auto" w:fill="auto"/>
            <w:noWrap/>
            <w:vAlign w:val="bottom"/>
            <w:hideMark/>
          </w:tcPr>
          <w:p w:rsidR="005D5E73" w:rsidRPr="005D5E73" w:rsidRDefault="00D83478" w:rsidP="00D83478">
            <w:pPr>
              <w:jc w:val="center"/>
              <w:rPr>
                <w:rFonts w:ascii="Times New Roman" w:hAnsi="Times New Roman"/>
                <w:color w:val="000000"/>
                <w:sz w:val="24"/>
                <w:szCs w:val="24"/>
                <w:u w:val="single"/>
              </w:rPr>
            </w:pPr>
            <w:r>
              <w:rPr>
                <w:rFonts w:ascii="Times New Roman" w:hAnsi="Times New Roman"/>
                <w:color w:val="000000"/>
                <w:sz w:val="24"/>
                <w:szCs w:val="24"/>
              </w:rPr>
              <w:t>43.7</w:t>
            </w:r>
            <w:r w:rsidR="005D5E73" w:rsidRPr="005D5E73">
              <w:rPr>
                <w:rFonts w:ascii="Times New Roman" w:hAnsi="Times New Roman"/>
                <w:color w:val="000000"/>
                <w:sz w:val="24"/>
                <w:szCs w:val="24"/>
              </w:rPr>
              <w:t>%</w:t>
            </w:r>
          </w:p>
        </w:tc>
        <w:tc>
          <w:tcPr>
            <w:tcW w:w="1800" w:type="dxa"/>
            <w:shd w:val="clear" w:color="auto" w:fill="auto"/>
            <w:noWrap/>
            <w:vAlign w:val="bottom"/>
            <w:hideMark/>
          </w:tcPr>
          <w:p w:rsidR="005D5E73" w:rsidRPr="005D5E73" w:rsidRDefault="00D83478" w:rsidP="00D83478">
            <w:pPr>
              <w:jc w:val="center"/>
              <w:rPr>
                <w:rFonts w:ascii="Times New Roman" w:hAnsi="Times New Roman"/>
                <w:color w:val="000000"/>
                <w:sz w:val="24"/>
                <w:szCs w:val="24"/>
                <w:u w:val="single"/>
              </w:rPr>
            </w:pPr>
            <w:r>
              <w:rPr>
                <w:rFonts w:ascii="Times New Roman" w:hAnsi="Times New Roman"/>
                <w:color w:val="000000"/>
                <w:sz w:val="24"/>
                <w:szCs w:val="24"/>
              </w:rPr>
              <w:t>43.7</w:t>
            </w:r>
            <w:r w:rsidR="005D5E73" w:rsidRPr="005D5E73">
              <w:rPr>
                <w:rFonts w:ascii="Times New Roman" w:hAnsi="Times New Roman"/>
                <w:color w:val="000000"/>
                <w:sz w:val="24"/>
                <w:szCs w:val="24"/>
              </w:rPr>
              <w:t>%</w:t>
            </w:r>
          </w:p>
        </w:tc>
      </w:tr>
      <w:tr w:rsidR="005D5E73" w:rsidRPr="000F06D9" w:rsidTr="005D5E73">
        <w:trPr>
          <w:trHeight w:val="300"/>
        </w:trPr>
        <w:tc>
          <w:tcPr>
            <w:tcW w:w="4245" w:type="dxa"/>
            <w:shd w:val="clear" w:color="auto" w:fill="auto"/>
            <w:noWrap/>
            <w:vAlign w:val="bottom"/>
            <w:hideMark/>
          </w:tcPr>
          <w:p w:rsidR="005D5E73" w:rsidRPr="000F06D9" w:rsidRDefault="005D5E73" w:rsidP="00D83478">
            <w:pPr>
              <w:rPr>
                <w:rFonts w:ascii="Times New Roman" w:hAnsi="Times New Roman"/>
                <w:color w:val="000000"/>
                <w:sz w:val="24"/>
                <w:szCs w:val="24"/>
              </w:rPr>
            </w:pPr>
            <w:r w:rsidRPr="000F06D9">
              <w:rPr>
                <w:rFonts w:ascii="Times New Roman" w:eastAsia="SimSun" w:hAnsi="Times New Roman"/>
                <w:color w:val="000000"/>
                <w:sz w:val="24"/>
                <w:szCs w:val="24"/>
              </w:rPr>
              <w:t>Loaded labor rate ($/hour):</w:t>
            </w:r>
            <w:r w:rsidRPr="000F06D9">
              <w:rPr>
                <w:rStyle w:val="FootnoteReference"/>
                <w:rFonts w:ascii="Times New Roman" w:eastAsia="SimSun" w:hAnsi="Times New Roman"/>
                <w:sz w:val="24"/>
                <w:szCs w:val="24"/>
              </w:rPr>
              <w:footnoteReference w:id="4"/>
            </w:r>
          </w:p>
        </w:tc>
        <w:tc>
          <w:tcPr>
            <w:tcW w:w="2430" w:type="dxa"/>
            <w:shd w:val="clear" w:color="auto" w:fill="auto"/>
            <w:noWrap/>
            <w:vAlign w:val="bottom"/>
            <w:hideMark/>
          </w:tcPr>
          <w:p w:rsidR="005D5E73" w:rsidRPr="005D5E73" w:rsidRDefault="005D5E73" w:rsidP="00D83478">
            <w:pPr>
              <w:jc w:val="center"/>
              <w:rPr>
                <w:rFonts w:ascii="Times New Roman" w:hAnsi="Times New Roman"/>
                <w:color w:val="000000"/>
                <w:sz w:val="24"/>
                <w:szCs w:val="24"/>
              </w:rPr>
            </w:pPr>
            <w:r w:rsidRPr="005D5E73">
              <w:rPr>
                <w:rFonts w:ascii="Times New Roman" w:hAnsi="Times New Roman"/>
                <w:color w:val="000000"/>
                <w:sz w:val="24"/>
                <w:szCs w:val="24"/>
              </w:rPr>
              <w:t>26.28</w:t>
            </w:r>
          </w:p>
        </w:tc>
        <w:tc>
          <w:tcPr>
            <w:tcW w:w="1800" w:type="dxa"/>
            <w:shd w:val="clear" w:color="auto" w:fill="auto"/>
            <w:noWrap/>
            <w:vAlign w:val="bottom"/>
            <w:hideMark/>
          </w:tcPr>
          <w:p w:rsidR="005D5E73" w:rsidRPr="005D5E73" w:rsidRDefault="005D5E73" w:rsidP="00D83478">
            <w:pPr>
              <w:jc w:val="center"/>
              <w:rPr>
                <w:rFonts w:ascii="Times New Roman" w:hAnsi="Times New Roman"/>
                <w:color w:val="000000"/>
                <w:sz w:val="24"/>
                <w:szCs w:val="24"/>
              </w:rPr>
            </w:pPr>
            <w:r w:rsidRPr="005D5E73">
              <w:rPr>
                <w:rFonts w:ascii="Times New Roman" w:hAnsi="Times New Roman"/>
                <w:color w:val="000000"/>
                <w:sz w:val="24"/>
                <w:szCs w:val="24"/>
              </w:rPr>
              <w:t xml:space="preserve">21.35 </w:t>
            </w:r>
          </w:p>
        </w:tc>
      </w:tr>
    </w:tbl>
    <w:p w:rsidR="000F06D9" w:rsidRDefault="000F06D9" w:rsidP="000F06D9"/>
    <w:tbl>
      <w:tblPr>
        <w:tblW w:w="8475" w:type="dxa"/>
        <w:tblInd w:w="93" w:type="dxa"/>
        <w:tblLayout w:type="fixed"/>
        <w:tblLook w:val="04A0" w:firstRow="1" w:lastRow="0" w:firstColumn="1" w:lastColumn="0" w:noHBand="0" w:noVBand="1"/>
      </w:tblPr>
      <w:tblGrid>
        <w:gridCol w:w="3255"/>
        <w:gridCol w:w="1980"/>
        <w:gridCol w:w="1710"/>
        <w:gridCol w:w="1530"/>
      </w:tblGrid>
      <w:tr w:rsidR="006B5D05" w:rsidRPr="00D83478" w:rsidTr="006B5D05">
        <w:trPr>
          <w:cantSplit/>
          <w:trHeight w:val="1035"/>
          <w:tblHeader/>
        </w:trPr>
        <w:tc>
          <w:tcPr>
            <w:tcW w:w="325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D83478" w:rsidRPr="00D83478" w:rsidRDefault="00D83478" w:rsidP="00D83478">
            <w:pPr>
              <w:rPr>
                <w:rFonts w:ascii="Times New Roman" w:hAnsi="Times New Roman"/>
                <w:b/>
                <w:bCs/>
                <w:noProof w:val="0"/>
                <w:color w:val="000000"/>
              </w:rPr>
            </w:pPr>
            <w:r w:rsidRPr="00D83478">
              <w:rPr>
                <w:rFonts w:ascii="Times New Roman" w:hAnsi="Times New Roman"/>
                <w:b/>
                <w:bCs/>
                <w:noProof w:val="0"/>
                <w:color w:val="000000"/>
              </w:rPr>
              <w:t> </w:t>
            </w:r>
          </w:p>
        </w:tc>
        <w:tc>
          <w:tcPr>
            <w:tcW w:w="1980" w:type="dxa"/>
            <w:tcBorders>
              <w:top w:val="single" w:sz="4" w:space="0" w:color="auto"/>
              <w:left w:val="nil"/>
              <w:bottom w:val="single" w:sz="4" w:space="0" w:color="auto"/>
              <w:right w:val="single" w:sz="4" w:space="0" w:color="auto"/>
            </w:tcBorders>
            <w:shd w:val="clear" w:color="000000" w:fill="B8CCE4"/>
            <w:vAlign w:val="bottom"/>
            <w:hideMark/>
          </w:tcPr>
          <w:p w:rsidR="00D83478" w:rsidRPr="00D83478" w:rsidRDefault="00D83478" w:rsidP="00D83478">
            <w:pPr>
              <w:jc w:val="center"/>
              <w:rPr>
                <w:rFonts w:ascii="Times New Roman" w:hAnsi="Times New Roman"/>
                <w:b/>
                <w:bCs/>
                <w:noProof w:val="0"/>
                <w:color w:val="000000"/>
              </w:rPr>
            </w:pPr>
            <w:r w:rsidRPr="00D83478">
              <w:rPr>
                <w:rFonts w:ascii="Times New Roman" w:hAnsi="Times New Roman"/>
                <w:b/>
                <w:bCs/>
                <w:noProof w:val="0"/>
                <w:color w:val="000000"/>
              </w:rPr>
              <w:t>Dispensing records of individual practitioners</w:t>
            </w:r>
          </w:p>
        </w:tc>
        <w:tc>
          <w:tcPr>
            <w:tcW w:w="1710" w:type="dxa"/>
            <w:tcBorders>
              <w:top w:val="single" w:sz="4" w:space="0" w:color="auto"/>
              <w:left w:val="nil"/>
              <w:bottom w:val="single" w:sz="4" w:space="0" w:color="auto"/>
              <w:right w:val="single" w:sz="4" w:space="0" w:color="auto"/>
            </w:tcBorders>
            <w:shd w:val="clear" w:color="000000" w:fill="B8CCE4"/>
            <w:vAlign w:val="bottom"/>
            <w:hideMark/>
          </w:tcPr>
          <w:p w:rsidR="00D83478" w:rsidRPr="00D83478" w:rsidRDefault="00D83478" w:rsidP="00D83478">
            <w:pPr>
              <w:jc w:val="center"/>
              <w:rPr>
                <w:rFonts w:ascii="Times New Roman" w:hAnsi="Times New Roman"/>
                <w:b/>
                <w:bCs/>
                <w:noProof w:val="0"/>
                <w:color w:val="000000"/>
              </w:rPr>
            </w:pPr>
            <w:r w:rsidRPr="00D83478">
              <w:rPr>
                <w:rFonts w:ascii="Times New Roman" w:hAnsi="Times New Roman"/>
                <w:b/>
                <w:bCs/>
                <w:noProof w:val="0"/>
                <w:color w:val="000000"/>
              </w:rPr>
              <w:t>Recordkeeping requirements of collectors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D83478" w:rsidRPr="00D83478" w:rsidRDefault="006B5D05" w:rsidP="00D83478">
            <w:pPr>
              <w:jc w:val="center"/>
              <w:rPr>
                <w:rFonts w:ascii="Times New Roman" w:hAnsi="Times New Roman"/>
                <w:b/>
                <w:bCs/>
                <w:noProof w:val="0"/>
                <w:color w:val="000000"/>
              </w:rPr>
            </w:pPr>
            <w:r>
              <w:rPr>
                <w:rFonts w:ascii="Times New Roman" w:hAnsi="Times New Roman"/>
                <w:b/>
                <w:bCs/>
                <w:noProof w:val="0"/>
                <w:color w:val="000000"/>
              </w:rPr>
              <w:t xml:space="preserve">Combined </w:t>
            </w:r>
            <w:r w:rsidR="00D83478" w:rsidRPr="00D83478">
              <w:rPr>
                <w:rFonts w:ascii="Times New Roman" w:hAnsi="Times New Roman"/>
                <w:b/>
                <w:bCs/>
                <w:noProof w:val="0"/>
                <w:color w:val="000000"/>
              </w:rPr>
              <w:t>Total</w:t>
            </w:r>
          </w:p>
        </w:tc>
      </w:tr>
      <w:tr w:rsidR="006B5D05" w:rsidRPr="00D83478" w:rsidTr="006B5D05">
        <w:trPr>
          <w:cantSplit/>
          <w:trHeight w:val="300"/>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Number of responses</w:t>
            </w:r>
          </w:p>
        </w:tc>
        <w:tc>
          <w:tcPr>
            <w:tcW w:w="198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62,392 </w:t>
            </w:r>
          </w:p>
        </w:tc>
        <w:tc>
          <w:tcPr>
            <w:tcW w:w="171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2,359 </w:t>
            </w:r>
          </w:p>
        </w:tc>
        <w:tc>
          <w:tcPr>
            <w:tcW w:w="153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64,751 </w:t>
            </w:r>
          </w:p>
        </w:tc>
      </w:tr>
      <w:tr w:rsidR="006B5D05" w:rsidRPr="00D83478" w:rsidTr="006B5D05">
        <w:trPr>
          <w:cantSplit/>
          <w:trHeight w:val="300"/>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Total annual hours</w:t>
            </w:r>
          </w:p>
        </w:tc>
        <w:tc>
          <w:tcPr>
            <w:tcW w:w="198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31,196 </w:t>
            </w:r>
          </w:p>
        </w:tc>
        <w:tc>
          <w:tcPr>
            <w:tcW w:w="171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1,180 </w:t>
            </w:r>
          </w:p>
        </w:tc>
        <w:tc>
          <w:tcPr>
            <w:tcW w:w="153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32,376 </w:t>
            </w:r>
          </w:p>
        </w:tc>
      </w:tr>
      <w:tr w:rsidR="006B5D05" w:rsidRPr="00D83478" w:rsidTr="006B5D05">
        <w:trPr>
          <w:cantSplit/>
          <w:trHeight w:val="510"/>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Average burden per response (hour)</w:t>
            </w:r>
          </w:p>
        </w:tc>
        <w:tc>
          <w:tcPr>
            <w:tcW w:w="198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0.5000 </w:t>
            </w:r>
          </w:p>
        </w:tc>
        <w:tc>
          <w:tcPr>
            <w:tcW w:w="171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0.5000 </w:t>
            </w:r>
          </w:p>
        </w:tc>
        <w:tc>
          <w:tcPr>
            <w:tcW w:w="153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0.5000 </w:t>
            </w:r>
          </w:p>
        </w:tc>
      </w:tr>
      <w:tr w:rsidR="006B5D05" w:rsidRPr="00D83478" w:rsidTr="006B5D05">
        <w:trPr>
          <w:cantSplit/>
          <w:trHeight w:val="510"/>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Burden dollars per response ($)</w:t>
            </w:r>
          </w:p>
        </w:tc>
        <w:tc>
          <w:tcPr>
            <w:tcW w:w="1980" w:type="dxa"/>
            <w:tcBorders>
              <w:top w:val="nil"/>
              <w:left w:val="nil"/>
              <w:bottom w:val="single" w:sz="4" w:space="0" w:color="auto"/>
              <w:right w:val="single" w:sz="4" w:space="0" w:color="auto"/>
            </w:tcBorders>
            <w:shd w:val="clear" w:color="auto" w:fill="auto"/>
            <w:noWrap/>
            <w:vAlign w:val="bottom"/>
            <w:hideMark/>
          </w:tcPr>
          <w:p w:rsidR="00D83478" w:rsidRPr="00D83478" w:rsidRDefault="00D83478" w:rsidP="00D83478">
            <w:pPr>
              <w:rPr>
                <w:rFonts w:ascii="Times New Roman" w:hAnsi="Times New Roman"/>
                <w:noProof w:val="0"/>
                <w:color w:val="000000"/>
              </w:rPr>
            </w:pPr>
            <w:r w:rsidRPr="00D83478">
              <w:rPr>
                <w:rFonts w:ascii="Times New Roman" w:hAnsi="Times New Roman"/>
                <w:noProof w:val="0"/>
                <w:color w:val="000000"/>
              </w:rPr>
              <w:t xml:space="preserve">   </w:t>
            </w:r>
            <w:r w:rsidR="006B5D05">
              <w:rPr>
                <w:rFonts w:ascii="Times New Roman" w:hAnsi="Times New Roman"/>
                <w:noProof w:val="0"/>
                <w:color w:val="000000"/>
              </w:rPr>
              <w:t xml:space="preserve">           13.1394</w:t>
            </w:r>
            <w:r w:rsidRPr="00D83478">
              <w:rPr>
                <w:rFonts w:ascii="Times New Roman" w:hAnsi="Times New Roman"/>
                <w:noProof w:val="0"/>
                <w:color w:val="00000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rsidR="00D83478" w:rsidRPr="00D83478" w:rsidRDefault="006B5D05" w:rsidP="00D83478">
            <w:pPr>
              <w:rPr>
                <w:rFonts w:ascii="Times New Roman" w:hAnsi="Times New Roman"/>
                <w:noProof w:val="0"/>
                <w:color w:val="000000"/>
              </w:rPr>
            </w:pPr>
            <w:r>
              <w:rPr>
                <w:rFonts w:ascii="Times New Roman" w:hAnsi="Times New Roman"/>
                <w:noProof w:val="0"/>
                <w:color w:val="000000"/>
              </w:rPr>
              <w:t xml:space="preserve">            10.6753</w:t>
            </w:r>
            <w:r w:rsidR="00D83478" w:rsidRPr="00D83478">
              <w:rPr>
                <w:rFonts w:ascii="Times New Roman" w:hAnsi="Times New Roman"/>
                <w:noProof w:val="0"/>
                <w:color w:val="000000"/>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rsidR="00D83478" w:rsidRPr="00D83478" w:rsidRDefault="006B5D05" w:rsidP="006B5D05">
            <w:pPr>
              <w:rPr>
                <w:rFonts w:ascii="Times New Roman" w:hAnsi="Times New Roman"/>
                <w:noProof w:val="0"/>
                <w:color w:val="000000"/>
              </w:rPr>
            </w:pPr>
            <w:r>
              <w:rPr>
                <w:rFonts w:ascii="Times New Roman" w:hAnsi="Times New Roman"/>
                <w:noProof w:val="0"/>
                <w:color w:val="000000"/>
              </w:rPr>
              <w:t xml:space="preserve">       </w:t>
            </w:r>
            <w:r w:rsidR="00D83478" w:rsidRPr="00D83478">
              <w:rPr>
                <w:rFonts w:ascii="Times New Roman" w:hAnsi="Times New Roman"/>
                <w:noProof w:val="0"/>
                <w:color w:val="000000"/>
              </w:rPr>
              <w:t>13.0</w:t>
            </w:r>
            <w:r>
              <w:rPr>
                <w:rFonts w:ascii="Times New Roman" w:hAnsi="Times New Roman"/>
                <w:noProof w:val="0"/>
                <w:color w:val="000000"/>
              </w:rPr>
              <w:t>496</w:t>
            </w:r>
            <w:r w:rsidR="00D83478" w:rsidRPr="00D83478">
              <w:rPr>
                <w:rFonts w:ascii="Times New Roman" w:hAnsi="Times New Roman"/>
                <w:noProof w:val="0"/>
                <w:color w:val="000000"/>
              </w:rPr>
              <w:t xml:space="preserve"> </w:t>
            </w:r>
          </w:p>
        </w:tc>
      </w:tr>
      <w:tr w:rsidR="006B5D05" w:rsidRPr="00D83478" w:rsidTr="006B5D05">
        <w:trPr>
          <w:cantSplit/>
          <w:trHeight w:val="300"/>
        </w:trPr>
        <w:tc>
          <w:tcPr>
            <w:tcW w:w="3255" w:type="dxa"/>
            <w:tcBorders>
              <w:top w:val="nil"/>
              <w:left w:val="single" w:sz="4" w:space="0" w:color="auto"/>
              <w:bottom w:val="single" w:sz="4" w:space="0" w:color="auto"/>
              <w:right w:val="single" w:sz="4" w:space="0" w:color="auto"/>
            </w:tcBorders>
            <w:shd w:val="clear" w:color="000000" w:fill="B8CCE4"/>
            <w:vAlign w:val="center"/>
            <w:hideMark/>
          </w:tcPr>
          <w:p w:rsidR="00D83478" w:rsidRPr="00D83478" w:rsidRDefault="00D83478" w:rsidP="00D83478">
            <w:pPr>
              <w:rPr>
                <w:rFonts w:ascii="Times New Roman" w:hAnsi="Times New Roman"/>
                <w:b/>
                <w:bCs/>
                <w:noProof w:val="0"/>
                <w:color w:val="000000"/>
              </w:rPr>
            </w:pPr>
            <w:r w:rsidRPr="00D83478">
              <w:rPr>
                <w:rFonts w:ascii="Times New Roman" w:hAnsi="Times New Roman"/>
                <w:b/>
                <w:bCs/>
                <w:noProof w:val="0"/>
                <w:color w:val="000000"/>
              </w:rPr>
              <w:t>Total burden dollars</w:t>
            </w:r>
            <w:r w:rsidR="006B5D05">
              <w:rPr>
                <w:rFonts w:ascii="Times New Roman" w:hAnsi="Times New Roman"/>
                <w:b/>
                <w:bCs/>
                <w:noProof w:val="0"/>
                <w:color w:val="000000"/>
              </w:rPr>
              <w:t xml:space="preserve"> ($)</w:t>
            </w:r>
          </w:p>
        </w:tc>
        <w:tc>
          <w:tcPr>
            <w:tcW w:w="1980" w:type="dxa"/>
            <w:tcBorders>
              <w:top w:val="nil"/>
              <w:left w:val="nil"/>
              <w:bottom w:val="single" w:sz="4" w:space="0" w:color="auto"/>
              <w:right w:val="single" w:sz="4" w:space="0" w:color="auto"/>
            </w:tcBorders>
            <w:shd w:val="clear" w:color="000000" w:fill="B8CCE4"/>
            <w:noWrap/>
            <w:vAlign w:val="bottom"/>
            <w:hideMark/>
          </w:tcPr>
          <w:p w:rsidR="00D83478" w:rsidRPr="00D83478" w:rsidRDefault="00D83478" w:rsidP="00D83478">
            <w:pPr>
              <w:rPr>
                <w:rFonts w:ascii="Times New Roman" w:hAnsi="Times New Roman"/>
                <w:b/>
                <w:bCs/>
                <w:noProof w:val="0"/>
                <w:color w:val="000000"/>
              </w:rPr>
            </w:pPr>
            <w:r w:rsidRPr="00D83478">
              <w:rPr>
                <w:rFonts w:ascii="Times New Roman" w:hAnsi="Times New Roman"/>
                <w:b/>
                <w:bCs/>
                <w:noProof w:val="0"/>
                <w:color w:val="000000"/>
              </w:rPr>
              <w:t xml:space="preserve">            819,791 </w:t>
            </w:r>
          </w:p>
        </w:tc>
        <w:tc>
          <w:tcPr>
            <w:tcW w:w="1710" w:type="dxa"/>
            <w:tcBorders>
              <w:top w:val="nil"/>
              <w:left w:val="nil"/>
              <w:bottom w:val="single" w:sz="4" w:space="0" w:color="auto"/>
              <w:right w:val="single" w:sz="4" w:space="0" w:color="auto"/>
            </w:tcBorders>
            <w:shd w:val="clear" w:color="000000" w:fill="B8CCE4"/>
            <w:noWrap/>
            <w:vAlign w:val="bottom"/>
            <w:hideMark/>
          </w:tcPr>
          <w:p w:rsidR="00D83478" w:rsidRPr="00D83478" w:rsidRDefault="00D83478" w:rsidP="00D83478">
            <w:pPr>
              <w:rPr>
                <w:rFonts w:ascii="Times New Roman" w:hAnsi="Times New Roman"/>
                <w:b/>
                <w:bCs/>
                <w:noProof w:val="0"/>
                <w:color w:val="000000"/>
              </w:rPr>
            </w:pPr>
            <w:r w:rsidRPr="00D83478">
              <w:rPr>
                <w:rFonts w:ascii="Times New Roman" w:hAnsi="Times New Roman"/>
                <w:b/>
                <w:bCs/>
                <w:noProof w:val="0"/>
                <w:color w:val="000000"/>
              </w:rPr>
              <w:t xml:space="preserve">             25,183 </w:t>
            </w:r>
          </w:p>
        </w:tc>
        <w:tc>
          <w:tcPr>
            <w:tcW w:w="1530" w:type="dxa"/>
            <w:tcBorders>
              <w:top w:val="nil"/>
              <w:left w:val="nil"/>
              <w:bottom w:val="single" w:sz="4" w:space="0" w:color="auto"/>
              <w:right w:val="single" w:sz="4" w:space="0" w:color="auto"/>
            </w:tcBorders>
            <w:shd w:val="clear" w:color="000000" w:fill="B8CCE4"/>
            <w:noWrap/>
            <w:vAlign w:val="bottom"/>
            <w:hideMark/>
          </w:tcPr>
          <w:p w:rsidR="00D83478" w:rsidRPr="00D83478" w:rsidRDefault="00D83478" w:rsidP="00D83478">
            <w:pPr>
              <w:rPr>
                <w:rFonts w:ascii="Times New Roman" w:hAnsi="Times New Roman"/>
                <w:b/>
                <w:bCs/>
                <w:noProof w:val="0"/>
                <w:color w:val="000000"/>
              </w:rPr>
            </w:pPr>
            <w:r w:rsidRPr="00D83478">
              <w:rPr>
                <w:rFonts w:ascii="Times New Roman" w:hAnsi="Times New Roman"/>
                <w:b/>
                <w:bCs/>
                <w:noProof w:val="0"/>
                <w:color w:val="000000"/>
              </w:rPr>
              <w:t xml:space="preserve">     844,974 </w:t>
            </w:r>
          </w:p>
        </w:tc>
      </w:tr>
    </w:tbl>
    <w:p w:rsidR="007D0502" w:rsidRPr="00C439A5" w:rsidRDefault="007D0502" w:rsidP="006814E4">
      <w:pPr>
        <w:pStyle w:val="BodyText"/>
        <w:spacing w:line="240" w:lineRule="auto"/>
        <w:rPr>
          <w:szCs w:val="24"/>
          <w:u w:val="single"/>
        </w:rPr>
      </w:pPr>
    </w:p>
    <w:p w:rsidR="0081607A" w:rsidRPr="000D45B5" w:rsidRDefault="0081607A" w:rsidP="006814E4">
      <w:pPr>
        <w:pStyle w:val="BodyText"/>
        <w:spacing w:line="240" w:lineRule="auto"/>
        <w:rPr>
          <w:szCs w:val="24"/>
        </w:rPr>
      </w:pPr>
    </w:p>
    <w:p w:rsidR="006476F0" w:rsidRPr="000D45B5" w:rsidRDefault="006476F0" w:rsidP="006814E4">
      <w:pPr>
        <w:pStyle w:val="BodyText"/>
        <w:numPr>
          <w:ilvl w:val="0"/>
          <w:numId w:val="36"/>
        </w:numPr>
        <w:spacing w:line="240" w:lineRule="auto"/>
        <w:rPr>
          <w:szCs w:val="24"/>
          <w:u w:val="single"/>
        </w:rPr>
      </w:pPr>
      <w:r w:rsidRPr="000D45B5">
        <w:rPr>
          <w:szCs w:val="24"/>
          <w:u w:val="single"/>
        </w:rPr>
        <w:t>Estimated Total Annual Cost Burden</w:t>
      </w:r>
    </w:p>
    <w:p w:rsidR="006476F0" w:rsidRPr="000D45B5" w:rsidRDefault="006476F0" w:rsidP="006814E4">
      <w:pPr>
        <w:pStyle w:val="BodyText"/>
        <w:spacing w:line="240" w:lineRule="auto"/>
        <w:rPr>
          <w:szCs w:val="24"/>
        </w:rPr>
      </w:pPr>
    </w:p>
    <w:p w:rsidR="006476F0" w:rsidRPr="000D45B5" w:rsidRDefault="00301652">
      <w:pPr>
        <w:pStyle w:val="BodyText"/>
        <w:spacing w:line="240" w:lineRule="auto"/>
        <w:rPr>
          <w:szCs w:val="24"/>
        </w:rPr>
      </w:pPr>
      <w:r>
        <w:t xml:space="preserve">     </w:t>
      </w:r>
      <w:r w:rsidR="00CC6BE5">
        <w:t xml:space="preserve">The estimated annual cost burden is zero.  Respondents are not estimated to incur any    a) additional start-up cost or capital expenditure, or b) additional operation and maintenance costs or purchase services </w:t>
      </w:r>
      <w:r>
        <w:t>because</w:t>
      </w:r>
      <w:r w:rsidR="00CC6BE5">
        <w:t xml:space="preserve"> of this information collection.</w:t>
      </w:r>
      <w:r w:rsidR="006476F0" w:rsidRPr="000D45B5">
        <w:rPr>
          <w:szCs w:val="24"/>
        </w:rPr>
        <w:t xml:space="preserve"> </w:t>
      </w:r>
    </w:p>
    <w:p w:rsidR="006476F0" w:rsidRPr="000D45B5" w:rsidRDefault="006476F0" w:rsidP="006814E4">
      <w:pPr>
        <w:pStyle w:val="BodyText"/>
        <w:spacing w:line="240" w:lineRule="auto"/>
        <w:rPr>
          <w:szCs w:val="24"/>
        </w:rPr>
      </w:pPr>
    </w:p>
    <w:p w:rsidR="00301652" w:rsidRDefault="00301652" w:rsidP="009D3710">
      <w:pPr>
        <w:pStyle w:val="BodyTextIndent2"/>
        <w:spacing w:line="240" w:lineRule="auto"/>
        <w:ind w:firstLine="0"/>
        <w:rPr>
          <w:szCs w:val="24"/>
        </w:rPr>
      </w:pPr>
    </w:p>
    <w:p w:rsidR="00301652" w:rsidRDefault="00301652" w:rsidP="009D3710">
      <w:pPr>
        <w:pStyle w:val="BodyTextIndent2"/>
        <w:spacing w:line="240" w:lineRule="auto"/>
        <w:ind w:firstLine="0"/>
        <w:rPr>
          <w:szCs w:val="24"/>
        </w:rPr>
      </w:pPr>
      <w:r>
        <w:rPr>
          <w:szCs w:val="24"/>
        </w:rPr>
        <w:t xml:space="preserve">   </w:t>
      </w:r>
    </w:p>
    <w:p w:rsidR="00301652" w:rsidRDefault="00301652" w:rsidP="009D3710">
      <w:pPr>
        <w:pStyle w:val="BodyTextIndent2"/>
        <w:spacing w:line="240" w:lineRule="auto"/>
        <w:ind w:firstLine="0"/>
        <w:rPr>
          <w:szCs w:val="24"/>
        </w:rPr>
      </w:pPr>
    </w:p>
    <w:p w:rsidR="00301652" w:rsidRDefault="00301652" w:rsidP="009D3710">
      <w:pPr>
        <w:pStyle w:val="BodyTextIndent2"/>
        <w:spacing w:line="240" w:lineRule="auto"/>
        <w:ind w:firstLine="0"/>
        <w:rPr>
          <w:szCs w:val="24"/>
        </w:rPr>
      </w:pPr>
      <w:r>
        <w:rPr>
          <w:szCs w:val="24"/>
        </w:rPr>
        <w:t xml:space="preserve">    </w:t>
      </w:r>
    </w:p>
    <w:p w:rsidR="00301652" w:rsidRPr="000D45B5" w:rsidRDefault="00301652" w:rsidP="00301652">
      <w:pPr>
        <w:pStyle w:val="BodyText"/>
        <w:numPr>
          <w:ilvl w:val="0"/>
          <w:numId w:val="36"/>
        </w:numPr>
        <w:spacing w:line="240" w:lineRule="auto"/>
        <w:rPr>
          <w:szCs w:val="24"/>
          <w:u w:val="single"/>
        </w:rPr>
      </w:pPr>
      <w:r w:rsidRPr="000D45B5">
        <w:rPr>
          <w:szCs w:val="24"/>
          <w:u w:val="single"/>
        </w:rPr>
        <w:t>Estimated Annualized Costs to the Federal Government</w:t>
      </w:r>
    </w:p>
    <w:p w:rsidR="00301652" w:rsidRDefault="00301652" w:rsidP="009D3710">
      <w:pPr>
        <w:pStyle w:val="BodyTextIndent2"/>
        <w:spacing w:line="240" w:lineRule="auto"/>
        <w:ind w:firstLine="0"/>
        <w:rPr>
          <w:szCs w:val="24"/>
        </w:rPr>
      </w:pPr>
    </w:p>
    <w:p w:rsidR="00F94797" w:rsidRPr="006814E4" w:rsidRDefault="00301652" w:rsidP="009D3710">
      <w:pPr>
        <w:pStyle w:val="BodyTextIndent2"/>
        <w:spacing w:line="240" w:lineRule="auto"/>
        <w:ind w:firstLine="0"/>
        <w:rPr>
          <w:noProof/>
          <w:szCs w:val="24"/>
        </w:rPr>
      </w:pPr>
      <w:r>
        <w:rPr>
          <w:szCs w:val="24"/>
        </w:rPr>
        <w:t xml:space="preserve">     </w:t>
      </w:r>
      <w:r w:rsidR="006476F0" w:rsidRPr="000D45B5">
        <w:rPr>
          <w:szCs w:val="24"/>
        </w:rPr>
        <w:t>Information re</w:t>
      </w:r>
      <w:r w:rsidR="00F67985">
        <w:rPr>
          <w:szCs w:val="24"/>
        </w:rPr>
        <w:t>corded</w:t>
      </w:r>
      <w:r w:rsidR="006476F0" w:rsidRPr="000D45B5">
        <w:rPr>
          <w:szCs w:val="24"/>
        </w:rPr>
        <w:t xml:space="preserve"> </w:t>
      </w:r>
      <w:r w:rsidR="00F67985">
        <w:rPr>
          <w:szCs w:val="24"/>
        </w:rPr>
        <w:t xml:space="preserve">by </w:t>
      </w:r>
      <w:r>
        <w:rPr>
          <w:szCs w:val="24"/>
        </w:rPr>
        <w:t>those affected</w:t>
      </w:r>
      <w:r w:rsidR="006476F0" w:rsidRPr="000D45B5">
        <w:rPr>
          <w:szCs w:val="24"/>
        </w:rPr>
        <w:t xml:space="preserve"> is not submitted to the DEA.  </w:t>
      </w:r>
      <w:r w:rsidR="00CC6BE5">
        <w:rPr>
          <w:szCs w:val="24"/>
        </w:rPr>
        <w:t xml:space="preserve">The cost to the Federal Government </w:t>
      </w:r>
      <w:r>
        <w:rPr>
          <w:szCs w:val="24"/>
        </w:rPr>
        <w:t>for</w:t>
      </w:r>
      <w:r w:rsidR="00CC6BE5">
        <w:rPr>
          <w:szCs w:val="24"/>
        </w:rPr>
        <w:t xml:space="preserve"> this information</w:t>
      </w:r>
      <w:r>
        <w:rPr>
          <w:szCs w:val="24"/>
        </w:rPr>
        <w:t xml:space="preserve"> collection</w:t>
      </w:r>
      <w:r w:rsidR="00CC6BE5">
        <w:rPr>
          <w:szCs w:val="24"/>
        </w:rPr>
        <w:t xml:space="preserve"> is zero.  </w:t>
      </w:r>
      <w:r w:rsidR="00CC6BE5" w:rsidRPr="00CC6BE5">
        <w:rPr>
          <w:szCs w:val="24"/>
        </w:rPr>
        <w:t>Furthermore, all costs are recovered from the registrants through registration fees, as required by the CSA.  21 U.S.C. 886a.</w:t>
      </w:r>
    </w:p>
    <w:p w:rsidR="005D177F" w:rsidRDefault="005D177F"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 xml:space="preserve">15.  </w:t>
      </w:r>
      <w:r w:rsidRPr="005D177F">
        <w:rPr>
          <w:noProof/>
          <w:szCs w:val="24"/>
          <w:u w:val="single"/>
        </w:rPr>
        <w:t>Reasons for Change in Burden</w:t>
      </w:r>
    </w:p>
    <w:p w:rsidR="00152183" w:rsidRDefault="00152183" w:rsidP="00CC4093">
      <w:pPr>
        <w:pStyle w:val="BodyTextIndent2"/>
        <w:spacing w:line="240" w:lineRule="auto"/>
        <w:ind w:firstLine="0"/>
        <w:rPr>
          <w:szCs w:val="24"/>
        </w:rPr>
      </w:pPr>
    </w:p>
    <w:p w:rsidR="00087BA3" w:rsidRPr="00087BA3" w:rsidRDefault="00301652">
      <w:pPr>
        <w:rPr>
          <w:rFonts w:ascii="Times New Roman" w:hAnsi="Times New Roman"/>
          <w:sz w:val="24"/>
          <w:szCs w:val="24"/>
        </w:rPr>
      </w:pPr>
      <w:r>
        <w:rPr>
          <w:rFonts w:ascii="Times New Roman" w:hAnsi="Times New Roman"/>
          <w:sz w:val="24"/>
          <w:szCs w:val="24"/>
        </w:rPr>
        <w:t xml:space="preserve">     </w:t>
      </w:r>
      <w:r w:rsidR="00087BA3" w:rsidRPr="00087BA3">
        <w:rPr>
          <w:rFonts w:ascii="Times New Roman" w:hAnsi="Times New Roman"/>
          <w:sz w:val="24"/>
          <w:szCs w:val="24"/>
        </w:rPr>
        <w:t xml:space="preserve">The decrease in annual responses reflects </w:t>
      </w:r>
      <w:r w:rsidR="00087BA3">
        <w:rPr>
          <w:rFonts w:ascii="Times New Roman" w:hAnsi="Times New Roman"/>
          <w:sz w:val="24"/>
          <w:szCs w:val="24"/>
        </w:rPr>
        <w:t xml:space="preserve">the removal of redundant responses that were added in the 2014 information collection request.  </w:t>
      </w:r>
      <w:r w:rsidR="00087BA3" w:rsidRPr="00087BA3">
        <w:rPr>
          <w:rFonts w:ascii="Times New Roman" w:hAnsi="Times New Roman"/>
          <w:sz w:val="24"/>
          <w:szCs w:val="24"/>
        </w:rPr>
        <w:t xml:space="preserve">The decrease in annual burden hours </w:t>
      </w:r>
      <w:r w:rsidR="00087BA3">
        <w:rPr>
          <w:rFonts w:ascii="Times New Roman" w:hAnsi="Times New Roman"/>
          <w:sz w:val="24"/>
          <w:szCs w:val="24"/>
        </w:rPr>
        <w:t>is primarily due to</w:t>
      </w:r>
      <w:r w:rsidR="00087BA3" w:rsidRPr="00087BA3">
        <w:rPr>
          <w:rFonts w:ascii="Times New Roman" w:hAnsi="Times New Roman"/>
          <w:sz w:val="24"/>
          <w:szCs w:val="24"/>
        </w:rPr>
        <w:t xml:space="preserve"> the </w:t>
      </w:r>
      <w:r w:rsidR="00087BA3">
        <w:rPr>
          <w:rFonts w:ascii="Times New Roman" w:hAnsi="Times New Roman"/>
          <w:sz w:val="24"/>
          <w:szCs w:val="24"/>
        </w:rPr>
        <w:t xml:space="preserve">revised estimated number of respondents for the record keeping requirements of collectors.  </w:t>
      </w:r>
      <w:r w:rsidR="00087BA3" w:rsidRPr="00087BA3">
        <w:rPr>
          <w:rFonts w:ascii="Times New Roman" w:hAnsi="Times New Roman"/>
          <w:sz w:val="24"/>
          <w:szCs w:val="24"/>
        </w:rPr>
        <w:t xml:space="preserve">The </w:t>
      </w:r>
      <w:r w:rsidR="00087BA3">
        <w:rPr>
          <w:rFonts w:ascii="Times New Roman" w:hAnsi="Times New Roman"/>
          <w:sz w:val="24"/>
          <w:szCs w:val="24"/>
        </w:rPr>
        <w:t>decrease</w:t>
      </w:r>
      <w:r w:rsidR="00087BA3" w:rsidRPr="00087BA3">
        <w:rPr>
          <w:rFonts w:ascii="Times New Roman" w:hAnsi="Times New Roman"/>
          <w:sz w:val="24"/>
          <w:szCs w:val="24"/>
        </w:rPr>
        <w:t xml:space="preserve"> in annual burden dollars in 2017 requested annual burden dollars reflects the </w:t>
      </w:r>
      <w:r w:rsidR="00087BA3">
        <w:rPr>
          <w:rFonts w:ascii="Times New Roman" w:hAnsi="Times New Roman"/>
          <w:sz w:val="24"/>
          <w:szCs w:val="24"/>
        </w:rPr>
        <w:t>decrease in burden hours</w:t>
      </w:r>
      <w:r w:rsidR="00087BA3" w:rsidRPr="00087BA3">
        <w:rPr>
          <w:rFonts w:ascii="Times New Roman" w:hAnsi="Times New Roman"/>
          <w:sz w:val="24"/>
          <w:szCs w:val="24"/>
        </w:rPr>
        <w:t>.  There are no statutory or regulatory changes related to this information collection.</w:t>
      </w:r>
    </w:p>
    <w:p w:rsidR="00087BA3" w:rsidRDefault="00087BA3" w:rsidP="000D45B5">
      <w:pPr>
        <w:ind w:firstLine="720"/>
        <w:rPr>
          <w:rFonts w:ascii="Times New Roman" w:hAnsi="Times New Roman"/>
          <w:sz w:val="24"/>
          <w:szCs w:val="24"/>
        </w:rPr>
      </w:pPr>
    </w:p>
    <w:tbl>
      <w:tblPr>
        <w:tblW w:w="6495" w:type="dxa"/>
        <w:tblInd w:w="93" w:type="dxa"/>
        <w:tblLook w:val="04A0" w:firstRow="1" w:lastRow="0" w:firstColumn="1" w:lastColumn="0" w:noHBand="0" w:noVBand="1"/>
      </w:tblPr>
      <w:tblGrid>
        <w:gridCol w:w="2105"/>
        <w:gridCol w:w="1600"/>
        <w:gridCol w:w="1620"/>
        <w:gridCol w:w="1170"/>
      </w:tblGrid>
      <w:tr w:rsidR="00087BA3" w:rsidRPr="00531FC9" w:rsidTr="00087BA3">
        <w:trPr>
          <w:cantSplit/>
          <w:trHeight w:val="619"/>
          <w:tblHeader/>
        </w:trPr>
        <w:tc>
          <w:tcPr>
            <w:tcW w:w="2105"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531FC9" w:rsidRPr="00531FC9" w:rsidRDefault="00531FC9" w:rsidP="00531FC9">
            <w:pPr>
              <w:rPr>
                <w:rFonts w:ascii="Times New Roman" w:hAnsi="Times New Roman"/>
                <w:noProof w:val="0"/>
                <w:color w:val="000000"/>
              </w:rPr>
            </w:pPr>
          </w:p>
        </w:tc>
        <w:tc>
          <w:tcPr>
            <w:tcW w:w="1600" w:type="dxa"/>
            <w:tcBorders>
              <w:top w:val="single" w:sz="8" w:space="0" w:color="auto"/>
              <w:left w:val="nil"/>
              <w:bottom w:val="single" w:sz="8" w:space="0" w:color="auto"/>
              <w:right w:val="single" w:sz="8" w:space="0" w:color="auto"/>
            </w:tcBorders>
            <w:shd w:val="clear" w:color="000000" w:fill="B8CCE4"/>
            <w:vAlign w:val="center"/>
            <w:hideMark/>
          </w:tcPr>
          <w:p w:rsidR="00531FC9" w:rsidRPr="00531FC9" w:rsidRDefault="00531FC9" w:rsidP="00531FC9">
            <w:pPr>
              <w:jc w:val="center"/>
              <w:rPr>
                <w:rFonts w:ascii="Times New Roman" w:hAnsi="Times New Roman"/>
                <w:b/>
                <w:bCs/>
                <w:noProof w:val="0"/>
                <w:color w:val="000000"/>
              </w:rPr>
            </w:pPr>
            <w:r w:rsidRPr="00531FC9">
              <w:rPr>
                <w:rFonts w:ascii="Times New Roman" w:hAnsi="Times New Roman"/>
                <w:b/>
                <w:bCs/>
                <w:noProof w:val="0"/>
                <w:color w:val="000000"/>
              </w:rPr>
              <w:t>2014 Approved Burden</w:t>
            </w:r>
          </w:p>
        </w:tc>
        <w:tc>
          <w:tcPr>
            <w:tcW w:w="1620" w:type="dxa"/>
            <w:tcBorders>
              <w:top w:val="single" w:sz="8" w:space="0" w:color="auto"/>
              <w:left w:val="nil"/>
              <w:bottom w:val="single" w:sz="8" w:space="0" w:color="auto"/>
              <w:right w:val="single" w:sz="8" w:space="0" w:color="auto"/>
            </w:tcBorders>
            <w:shd w:val="clear" w:color="000000" w:fill="B8CCE4"/>
            <w:vAlign w:val="center"/>
            <w:hideMark/>
          </w:tcPr>
          <w:p w:rsidR="00531FC9" w:rsidRPr="00531FC9" w:rsidRDefault="00531FC9" w:rsidP="00531FC9">
            <w:pPr>
              <w:jc w:val="center"/>
              <w:rPr>
                <w:rFonts w:ascii="Times New Roman" w:hAnsi="Times New Roman"/>
                <w:b/>
                <w:bCs/>
                <w:noProof w:val="0"/>
                <w:color w:val="000000"/>
              </w:rPr>
            </w:pPr>
            <w:r w:rsidRPr="00531FC9">
              <w:rPr>
                <w:rFonts w:ascii="Times New Roman" w:hAnsi="Times New Roman"/>
                <w:b/>
                <w:bCs/>
                <w:noProof w:val="0"/>
                <w:color w:val="000000"/>
              </w:rPr>
              <w:t>2017 Requested Burden</w:t>
            </w:r>
          </w:p>
        </w:tc>
        <w:tc>
          <w:tcPr>
            <w:tcW w:w="1170" w:type="dxa"/>
            <w:tcBorders>
              <w:top w:val="single" w:sz="8" w:space="0" w:color="auto"/>
              <w:left w:val="nil"/>
              <w:bottom w:val="single" w:sz="8" w:space="0" w:color="auto"/>
              <w:right w:val="single" w:sz="8" w:space="0" w:color="auto"/>
            </w:tcBorders>
            <w:shd w:val="clear" w:color="000000" w:fill="B8CCE4"/>
            <w:vAlign w:val="center"/>
            <w:hideMark/>
          </w:tcPr>
          <w:p w:rsidR="00531FC9" w:rsidRPr="00531FC9" w:rsidRDefault="00531FC9" w:rsidP="00531FC9">
            <w:pPr>
              <w:jc w:val="center"/>
              <w:rPr>
                <w:rFonts w:ascii="Times New Roman" w:hAnsi="Times New Roman"/>
                <w:b/>
                <w:bCs/>
                <w:noProof w:val="0"/>
                <w:color w:val="000000"/>
              </w:rPr>
            </w:pPr>
            <w:r w:rsidRPr="00531FC9">
              <w:rPr>
                <w:rFonts w:ascii="Times New Roman" w:hAnsi="Times New Roman"/>
                <w:b/>
                <w:bCs/>
                <w:noProof w:val="0"/>
                <w:color w:val="000000"/>
              </w:rPr>
              <w:t>Difference</w:t>
            </w:r>
          </w:p>
        </w:tc>
      </w:tr>
      <w:tr w:rsidR="00087BA3" w:rsidRPr="00531FC9" w:rsidTr="00087BA3">
        <w:trPr>
          <w:cantSplit/>
          <w:trHeight w:val="315"/>
        </w:trPr>
        <w:tc>
          <w:tcPr>
            <w:tcW w:w="2105" w:type="dxa"/>
            <w:tcBorders>
              <w:top w:val="nil"/>
              <w:left w:val="single" w:sz="8" w:space="0" w:color="auto"/>
              <w:bottom w:val="single" w:sz="8" w:space="0" w:color="auto"/>
              <w:right w:val="single" w:sz="8" w:space="0" w:color="auto"/>
            </w:tcBorders>
            <w:shd w:val="clear" w:color="auto" w:fill="auto"/>
            <w:vAlign w:val="center"/>
            <w:hideMark/>
          </w:tcPr>
          <w:p w:rsidR="00531FC9" w:rsidRPr="00531FC9" w:rsidRDefault="00531FC9" w:rsidP="00531FC9">
            <w:pPr>
              <w:rPr>
                <w:rFonts w:ascii="Times New Roman" w:hAnsi="Times New Roman"/>
                <w:noProof w:val="0"/>
                <w:color w:val="000000"/>
              </w:rPr>
            </w:pPr>
            <w:r w:rsidRPr="00531FC9">
              <w:rPr>
                <w:rFonts w:ascii="Times New Roman" w:hAnsi="Times New Roman"/>
                <w:noProof w:val="0"/>
                <w:color w:val="000000"/>
              </w:rPr>
              <w:t>Annual responses</w:t>
            </w:r>
          </w:p>
        </w:tc>
        <w:tc>
          <w:tcPr>
            <w:tcW w:w="160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1,511,389 </w:t>
            </w:r>
          </w:p>
        </w:tc>
        <w:tc>
          <w:tcPr>
            <w:tcW w:w="162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64,751 </w:t>
            </w:r>
          </w:p>
        </w:tc>
        <w:tc>
          <w:tcPr>
            <w:tcW w:w="117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Pr>
                <w:rFonts w:ascii="Times New Roman" w:hAnsi="Times New Roman"/>
                <w:noProof w:val="0"/>
                <w:color w:val="000000"/>
              </w:rPr>
              <w:t>(1,446,638)</w:t>
            </w:r>
          </w:p>
        </w:tc>
      </w:tr>
      <w:tr w:rsidR="00087BA3" w:rsidRPr="00531FC9" w:rsidTr="00087BA3">
        <w:trPr>
          <w:cantSplit/>
          <w:trHeight w:val="315"/>
        </w:trPr>
        <w:tc>
          <w:tcPr>
            <w:tcW w:w="2105" w:type="dxa"/>
            <w:tcBorders>
              <w:top w:val="nil"/>
              <w:left w:val="single" w:sz="8" w:space="0" w:color="auto"/>
              <w:bottom w:val="single" w:sz="8" w:space="0" w:color="auto"/>
              <w:right w:val="single" w:sz="8" w:space="0" w:color="auto"/>
            </w:tcBorders>
            <w:shd w:val="clear" w:color="auto" w:fill="auto"/>
            <w:vAlign w:val="center"/>
            <w:hideMark/>
          </w:tcPr>
          <w:p w:rsidR="00531FC9" w:rsidRPr="00531FC9" w:rsidRDefault="00531FC9" w:rsidP="00531FC9">
            <w:pPr>
              <w:rPr>
                <w:rFonts w:ascii="Times New Roman" w:hAnsi="Times New Roman"/>
                <w:noProof w:val="0"/>
                <w:color w:val="000000"/>
              </w:rPr>
            </w:pPr>
            <w:r w:rsidRPr="00531FC9">
              <w:rPr>
                <w:rFonts w:ascii="Times New Roman" w:hAnsi="Times New Roman"/>
                <w:noProof w:val="0"/>
                <w:color w:val="000000"/>
              </w:rPr>
              <w:t>Annual burden hours</w:t>
            </w:r>
          </w:p>
        </w:tc>
        <w:tc>
          <w:tcPr>
            <w:tcW w:w="160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89,912 </w:t>
            </w:r>
          </w:p>
        </w:tc>
        <w:tc>
          <w:tcPr>
            <w:tcW w:w="162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32,376 </w:t>
            </w:r>
          </w:p>
        </w:tc>
        <w:tc>
          <w:tcPr>
            <w:tcW w:w="117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(57,537)</w:t>
            </w:r>
          </w:p>
        </w:tc>
      </w:tr>
      <w:tr w:rsidR="00087BA3" w:rsidRPr="00531FC9" w:rsidTr="00087BA3">
        <w:trPr>
          <w:cantSplit/>
          <w:trHeight w:val="315"/>
        </w:trPr>
        <w:tc>
          <w:tcPr>
            <w:tcW w:w="2105" w:type="dxa"/>
            <w:tcBorders>
              <w:top w:val="nil"/>
              <w:left w:val="single" w:sz="8" w:space="0" w:color="auto"/>
              <w:bottom w:val="single" w:sz="8" w:space="0" w:color="auto"/>
              <w:right w:val="single" w:sz="8" w:space="0" w:color="auto"/>
            </w:tcBorders>
            <w:shd w:val="clear" w:color="auto" w:fill="auto"/>
            <w:vAlign w:val="center"/>
            <w:hideMark/>
          </w:tcPr>
          <w:p w:rsidR="00531FC9" w:rsidRPr="00531FC9" w:rsidRDefault="00531FC9" w:rsidP="00531FC9">
            <w:pPr>
              <w:rPr>
                <w:rFonts w:ascii="Times New Roman" w:hAnsi="Times New Roman"/>
                <w:noProof w:val="0"/>
                <w:color w:val="000000"/>
              </w:rPr>
            </w:pPr>
            <w:r w:rsidRPr="00531FC9">
              <w:rPr>
                <w:rFonts w:ascii="Times New Roman" w:hAnsi="Times New Roman"/>
                <w:noProof w:val="0"/>
                <w:color w:val="000000"/>
              </w:rPr>
              <w:t>Annual burden dollars</w:t>
            </w:r>
          </w:p>
        </w:tc>
        <w:tc>
          <w:tcPr>
            <w:tcW w:w="160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1,680,820 </w:t>
            </w:r>
          </w:p>
        </w:tc>
        <w:tc>
          <w:tcPr>
            <w:tcW w:w="162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844,974 </w:t>
            </w:r>
          </w:p>
        </w:tc>
        <w:tc>
          <w:tcPr>
            <w:tcW w:w="1170" w:type="dxa"/>
            <w:tcBorders>
              <w:top w:val="nil"/>
              <w:left w:val="nil"/>
              <w:bottom w:val="single" w:sz="8" w:space="0" w:color="auto"/>
              <w:right w:val="single" w:sz="8" w:space="0" w:color="auto"/>
            </w:tcBorders>
            <w:shd w:val="clear" w:color="auto" w:fill="auto"/>
            <w:vAlign w:val="center"/>
            <w:hideMark/>
          </w:tcPr>
          <w:p w:rsidR="00531FC9" w:rsidRPr="00531FC9" w:rsidRDefault="00531FC9" w:rsidP="00531FC9">
            <w:pPr>
              <w:jc w:val="right"/>
              <w:rPr>
                <w:rFonts w:ascii="Times New Roman" w:hAnsi="Times New Roman"/>
                <w:noProof w:val="0"/>
                <w:color w:val="000000"/>
              </w:rPr>
            </w:pPr>
            <w:r w:rsidRPr="00531FC9">
              <w:rPr>
                <w:rFonts w:ascii="Times New Roman" w:hAnsi="Times New Roman"/>
                <w:noProof w:val="0"/>
                <w:color w:val="000000"/>
              </w:rPr>
              <w:t xml:space="preserve">   (835,846)</w:t>
            </w:r>
          </w:p>
        </w:tc>
      </w:tr>
    </w:tbl>
    <w:p w:rsidR="00531FC9" w:rsidRDefault="00531FC9" w:rsidP="000D45B5">
      <w:pPr>
        <w:ind w:firstLine="720"/>
        <w:rPr>
          <w:rFonts w:ascii="Times New Roman" w:hAnsi="Times New Roman"/>
          <w:noProof w:val="0"/>
          <w:sz w:val="24"/>
          <w:szCs w:val="24"/>
        </w:rPr>
      </w:pPr>
    </w:p>
    <w:p w:rsidR="005D177F" w:rsidRDefault="005D177F"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 xml:space="preserve">16.  </w:t>
      </w:r>
      <w:r w:rsidRPr="005D177F">
        <w:rPr>
          <w:rFonts w:ascii="Times New Roman" w:hAnsi="Times New Roman"/>
          <w:noProof w:val="0"/>
          <w:sz w:val="24"/>
          <w:szCs w:val="24"/>
          <w:u w:val="single"/>
        </w:rPr>
        <w:t>Plans for Publication</w:t>
      </w:r>
    </w:p>
    <w:p w:rsidR="00152183" w:rsidRDefault="00152183" w:rsidP="00CC4093">
      <w:pPr>
        <w:rPr>
          <w:rFonts w:ascii="Times New Roman" w:hAnsi="Times New Roman"/>
          <w:noProof w:val="0"/>
          <w:sz w:val="24"/>
          <w:szCs w:val="24"/>
        </w:rPr>
      </w:pPr>
    </w:p>
    <w:p w:rsidR="005D177F" w:rsidRDefault="00301652" w:rsidP="00301652">
      <w:pPr>
        <w:pStyle w:val="BodyTextIndent2"/>
        <w:spacing w:line="240" w:lineRule="auto"/>
        <w:ind w:firstLine="0"/>
        <w:rPr>
          <w:szCs w:val="24"/>
        </w:rPr>
      </w:pPr>
      <w:r>
        <w:rPr>
          <w:szCs w:val="24"/>
        </w:rPr>
        <w:t xml:space="preserve">     </w:t>
      </w:r>
      <w:r w:rsidR="005D177F" w:rsidRPr="005D177F">
        <w:rPr>
          <w:szCs w:val="24"/>
        </w:rPr>
        <w:t xml:space="preserve">The DEA will not publish the results of the information collected.    </w:t>
      </w:r>
    </w:p>
    <w:p w:rsidR="005D177F" w:rsidRDefault="005D177F"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 xml:space="preserve">17.  </w:t>
      </w:r>
      <w:r w:rsidRPr="005D177F">
        <w:rPr>
          <w:szCs w:val="24"/>
          <w:u w:val="single"/>
        </w:rPr>
        <w:t xml:space="preserve">Expiration Date </w:t>
      </w:r>
      <w:r w:rsidR="0059272A">
        <w:rPr>
          <w:szCs w:val="24"/>
          <w:u w:val="single"/>
        </w:rPr>
        <w:t xml:space="preserve">of </w:t>
      </w:r>
      <w:r w:rsidRPr="005D177F">
        <w:rPr>
          <w:szCs w:val="24"/>
          <w:u w:val="single"/>
        </w:rPr>
        <w:t>Approval</w:t>
      </w:r>
    </w:p>
    <w:p w:rsidR="00152183" w:rsidRDefault="00152183" w:rsidP="00CC4093">
      <w:pPr>
        <w:pStyle w:val="BodyText"/>
        <w:spacing w:line="240" w:lineRule="auto"/>
        <w:rPr>
          <w:szCs w:val="24"/>
        </w:rPr>
      </w:pPr>
    </w:p>
    <w:p w:rsidR="005D177F" w:rsidRDefault="00301652" w:rsidP="00301652">
      <w:pPr>
        <w:rPr>
          <w:rFonts w:ascii="Times New Roman" w:hAnsi="Times New Roman"/>
          <w:sz w:val="24"/>
          <w:szCs w:val="24"/>
        </w:rPr>
      </w:pPr>
      <w:r>
        <w:rPr>
          <w:rFonts w:ascii="Times New Roman" w:hAnsi="Times New Roman"/>
          <w:sz w:val="24"/>
          <w:szCs w:val="24"/>
        </w:rPr>
        <w:t xml:space="preserve">     </w:t>
      </w:r>
      <w:r w:rsidR="004338B6" w:rsidRPr="004338B6">
        <w:rPr>
          <w:rFonts w:ascii="Times New Roman" w:hAnsi="Times New Roman"/>
          <w:sz w:val="24"/>
          <w:szCs w:val="24"/>
        </w:rPr>
        <w:t xml:space="preserve">The DEA </w:t>
      </w:r>
      <w:r w:rsidR="000D45B5">
        <w:rPr>
          <w:rFonts w:ascii="Times New Roman" w:hAnsi="Times New Roman"/>
          <w:sz w:val="24"/>
          <w:szCs w:val="24"/>
        </w:rPr>
        <w:t>is not seeking approval</w:t>
      </w:r>
      <w:r w:rsidR="000B1620">
        <w:rPr>
          <w:rFonts w:ascii="Times New Roman" w:hAnsi="Times New Roman"/>
          <w:sz w:val="24"/>
          <w:szCs w:val="24"/>
        </w:rPr>
        <w:t xml:space="preserve"> to display </w:t>
      </w:r>
      <w:r w:rsidR="000D45B5">
        <w:rPr>
          <w:rFonts w:ascii="Times New Roman" w:hAnsi="Times New Roman"/>
          <w:sz w:val="24"/>
          <w:szCs w:val="24"/>
        </w:rPr>
        <w:t>an</w:t>
      </w:r>
      <w:r w:rsidR="000B1620">
        <w:rPr>
          <w:rFonts w:ascii="Times New Roman" w:hAnsi="Times New Roman"/>
          <w:sz w:val="24"/>
          <w:szCs w:val="24"/>
        </w:rPr>
        <w:t xml:space="preserve"> expiration date</w:t>
      </w:r>
      <w:r w:rsidR="000D45B5">
        <w:rPr>
          <w:rFonts w:ascii="Times New Roman" w:hAnsi="Times New Roman"/>
          <w:sz w:val="24"/>
          <w:szCs w:val="24"/>
        </w:rPr>
        <w:t xml:space="preserve"> for this Information Collection</w:t>
      </w:r>
      <w:r w:rsidR="004338B6" w:rsidRPr="004338B6">
        <w:rPr>
          <w:rFonts w:ascii="Times New Roman" w:hAnsi="Times New Roman"/>
          <w:sz w:val="24"/>
          <w:szCs w:val="24"/>
        </w:rPr>
        <w:t xml:space="preserve">.   </w:t>
      </w:r>
    </w:p>
    <w:p w:rsidR="005D177F" w:rsidRDefault="005D177F"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5D177F">
        <w:rPr>
          <w:rFonts w:ascii="Times New Roman" w:hAnsi="Times New Roman"/>
          <w:noProof w:val="0"/>
          <w:sz w:val="24"/>
          <w:szCs w:val="24"/>
          <w:u w:val="single"/>
        </w:rPr>
        <w:t>Exceptions</w:t>
      </w:r>
    </w:p>
    <w:p w:rsidR="00152183" w:rsidRDefault="00152183" w:rsidP="00CC4093">
      <w:pPr>
        <w:pStyle w:val="BodyText"/>
        <w:spacing w:line="240" w:lineRule="auto"/>
        <w:rPr>
          <w:szCs w:val="24"/>
        </w:rPr>
      </w:pPr>
    </w:p>
    <w:p w:rsidR="004338B6" w:rsidRDefault="00301652" w:rsidP="00301652">
      <w:pPr>
        <w:rPr>
          <w:rFonts w:ascii="Times New Roman" w:hAnsi="Times New Roman"/>
          <w:noProof w:val="0"/>
          <w:sz w:val="24"/>
          <w:szCs w:val="24"/>
        </w:rPr>
      </w:pPr>
      <w:r>
        <w:rPr>
          <w:rFonts w:ascii="Times New Roman" w:hAnsi="Times New Roman"/>
          <w:noProof w:val="0"/>
          <w:sz w:val="24"/>
          <w:szCs w:val="24"/>
        </w:rPr>
        <w:t xml:space="preserve">     </w:t>
      </w:r>
      <w:r w:rsidR="000D45B5" w:rsidRPr="000D45B5">
        <w:rPr>
          <w:rFonts w:ascii="Times New Roman" w:hAnsi="Times New Roman"/>
          <w:noProof w:val="0"/>
          <w:sz w:val="24"/>
          <w:szCs w:val="24"/>
        </w:rPr>
        <w:t>The DEA is not seeking an exception to the certification statement “Certification for Paperwork Reduction Act Submissions” for</w:t>
      </w:r>
      <w:r w:rsidR="00A444DF">
        <w:rPr>
          <w:rFonts w:ascii="Times New Roman" w:hAnsi="Times New Roman"/>
          <w:noProof w:val="0"/>
          <w:sz w:val="24"/>
          <w:szCs w:val="24"/>
        </w:rPr>
        <w:t xml:space="preserve"> this collection of information</w:t>
      </w:r>
    </w:p>
    <w:p w:rsidR="00A444DF" w:rsidRDefault="00A444DF" w:rsidP="00A444DF">
      <w:pPr>
        <w:ind w:firstLine="720"/>
        <w:rPr>
          <w:rFonts w:ascii="Times New Roman" w:hAnsi="Times New Roman"/>
          <w:noProof w:val="0"/>
          <w:sz w:val="24"/>
          <w:szCs w:val="24"/>
        </w:rPr>
      </w:pPr>
    </w:p>
    <w:p w:rsidR="0026551B" w:rsidRPr="005D177F" w:rsidRDefault="0026551B" w:rsidP="00CC4093">
      <w:pPr>
        <w:rPr>
          <w:rFonts w:ascii="Times New Roman" w:hAnsi="Times New Roman"/>
          <w:b/>
          <w:sz w:val="24"/>
          <w:szCs w:val="24"/>
        </w:rPr>
      </w:pPr>
      <w:r w:rsidRPr="005D177F">
        <w:rPr>
          <w:rFonts w:ascii="Times New Roman" w:hAnsi="Times New Roman"/>
          <w:b/>
          <w:sz w:val="24"/>
          <w:szCs w:val="24"/>
        </w:rPr>
        <w:t>B. Statistical Methods</w:t>
      </w:r>
    </w:p>
    <w:p w:rsidR="00152183" w:rsidRDefault="00152183" w:rsidP="00CC4093">
      <w:pPr>
        <w:rPr>
          <w:rFonts w:ascii="Times New Roman" w:hAnsi="Times New Roman"/>
          <w:sz w:val="24"/>
          <w:szCs w:val="24"/>
        </w:rPr>
      </w:pPr>
    </w:p>
    <w:p w:rsidR="0026551B" w:rsidRPr="00E30DDA" w:rsidRDefault="00301652" w:rsidP="00301652">
      <w:pPr>
        <w:rPr>
          <w:rFonts w:ascii="Times New Roman" w:hAnsi="Times New Roman"/>
          <w:sz w:val="24"/>
          <w:szCs w:val="24"/>
        </w:rPr>
      </w:pPr>
      <w:r>
        <w:rPr>
          <w:rFonts w:ascii="Times New Roman" w:hAnsi="Times New Roman"/>
          <w:sz w:val="24"/>
          <w:szCs w:val="24"/>
        </w:rPr>
        <w:t xml:space="preserve">     </w:t>
      </w:r>
      <w:r w:rsidR="0026551B" w:rsidRPr="00E30DDA">
        <w:rPr>
          <w:rFonts w:ascii="Times New Roman" w:hAnsi="Times New Roman"/>
          <w:sz w:val="24"/>
          <w:szCs w:val="24"/>
        </w:rPr>
        <w:t xml:space="preserve">The </w:t>
      </w:r>
      <w:r w:rsidR="000B1620">
        <w:rPr>
          <w:rFonts w:ascii="Times New Roman" w:hAnsi="Times New Roman"/>
          <w:sz w:val="24"/>
          <w:szCs w:val="24"/>
        </w:rPr>
        <w:t>DEA</w:t>
      </w:r>
      <w:r w:rsidR="0026551B" w:rsidRPr="00E30DDA">
        <w:rPr>
          <w:rFonts w:ascii="Times New Roman" w:hAnsi="Times New Roman"/>
          <w:sz w:val="24"/>
          <w:szCs w:val="24"/>
        </w:rPr>
        <w:t xml:space="preserve"> </w:t>
      </w:r>
      <w:r w:rsidR="00211FFB">
        <w:rPr>
          <w:rFonts w:ascii="Times New Roman" w:hAnsi="Times New Roman"/>
          <w:sz w:val="24"/>
          <w:szCs w:val="24"/>
        </w:rPr>
        <w:t xml:space="preserve">does </w:t>
      </w:r>
      <w:r w:rsidR="0026551B" w:rsidRPr="00E30DDA">
        <w:rPr>
          <w:rFonts w:ascii="Times New Roman" w:hAnsi="Times New Roman"/>
          <w:sz w:val="24"/>
          <w:szCs w:val="24"/>
        </w:rPr>
        <w:t xml:space="preserve">not employ statistical methods in this </w:t>
      </w:r>
      <w:r w:rsidR="000B1620">
        <w:rPr>
          <w:rFonts w:ascii="Times New Roman" w:hAnsi="Times New Roman"/>
          <w:sz w:val="24"/>
          <w:szCs w:val="24"/>
        </w:rPr>
        <w:t>I</w:t>
      </w:r>
      <w:r w:rsidR="0026551B" w:rsidRPr="00E30DDA">
        <w:rPr>
          <w:rFonts w:ascii="Times New Roman" w:hAnsi="Times New Roman"/>
          <w:sz w:val="24"/>
          <w:szCs w:val="24"/>
        </w:rPr>
        <w:t xml:space="preserve">nformation </w:t>
      </w:r>
      <w:r w:rsidR="000B1620">
        <w:rPr>
          <w:rFonts w:ascii="Times New Roman" w:hAnsi="Times New Roman"/>
          <w:sz w:val="24"/>
          <w:szCs w:val="24"/>
        </w:rPr>
        <w:t>C</w:t>
      </w:r>
      <w:r w:rsidR="0026551B" w:rsidRPr="00E30DDA">
        <w:rPr>
          <w:rFonts w:ascii="Times New Roman" w:hAnsi="Times New Roman"/>
          <w:sz w:val="24"/>
          <w:szCs w:val="24"/>
        </w:rPr>
        <w:t>ollection.</w:t>
      </w:r>
    </w:p>
    <w:sectPr w:rsidR="0026551B" w:rsidRPr="00E30DDA">
      <w:headerReference w:type="default" r:id="rId9"/>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78" w:rsidRDefault="00D83478">
      <w:r>
        <w:separator/>
      </w:r>
    </w:p>
  </w:endnote>
  <w:endnote w:type="continuationSeparator" w:id="0">
    <w:p w:rsidR="00D83478" w:rsidRDefault="00D8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78" w:rsidRDefault="00D83478">
      <w:r>
        <w:separator/>
      </w:r>
    </w:p>
  </w:footnote>
  <w:footnote w:type="continuationSeparator" w:id="0">
    <w:p w:rsidR="00D83478" w:rsidRDefault="00D83478">
      <w:r>
        <w:continuationSeparator/>
      </w:r>
    </w:p>
  </w:footnote>
  <w:footnote w:id="1">
    <w:p w:rsidR="00D83478" w:rsidRDefault="00D83478">
      <w:pPr>
        <w:pStyle w:val="FootnoteText"/>
      </w:pPr>
      <w:r>
        <w:rPr>
          <w:rStyle w:val="FootnoteReference"/>
        </w:rPr>
        <w:footnoteRef/>
      </w:r>
      <w:r>
        <w:t xml:space="preserve"> Includes various one-time, event-based, and biennial responses.  DEA has no basis to estimate the number of event-based responses.  For simplicity, the entire information collection for collectors is modeled as a single requirement occurring annually at an annual burden of 30 minutes per response.</w:t>
      </w:r>
    </w:p>
  </w:footnote>
  <w:footnote w:id="2">
    <w:p w:rsidR="00D83478" w:rsidRDefault="00D83478" w:rsidP="000F06D9">
      <w:pPr>
        <w:pStyle w:val="FootnoteText"/>
      </w:pPr>
      <w:r w:rsidRPr="00D34495">
        <w:rPr>
          <w:rStyle w:val="FootnoteReference"/>
        </w:rPr>
        <w:footnoteRef/>
      </w:r>
      <w:r w:rsidRPr="00D34495">
        <w:t xml:space="preserve"> </w:t>
      </w:r>
      <w:r>
        <w:t xml:space="preserve">The vast majority of collectors are pharmacies.  The median hourly wages </w:t>
      </w:r>
      <w:r w:rsidRPr="00E40367">
        <w:t xml:space="preserve">for </w:t>
      </w:r>
      <w:r>
        <w:t>29-2071 Medical Records and Health Information Technician was used for dispensing records of individual practitioners and 29-2052 P</w:t>
      </w:r>
      <w:r w:rsidRPr="00E40367">
        <w:t>harmacy technicians</w:t>
      </w:r>
      <w:r>
        <w:t xml:space="preserve"> was used for record keeping requirements of collectors based on the </w:t>
      </w:r>
      <w:r w:rsidRPr="007E7E4A">
        <w:t xml:space="preserve">Bureau of Labor Statistics (BLS) May </w:t>
      </w:r>
      <w:r>
        <w:t>2016</w:t>
      </w:r>
      <w:r w:rsidRPr="007E7E4A">
        <w:t xml:space="preserve"> National Occupationa</w:t>
      </w:r>
      <w:r>
        <w:t xml:space="preserve">l Employment and Wage Estimates.  </w:t>
      </w:r>
      <w:hyperlink r:id="rId1" w:history="1">
        <w:r w:rsidRPr="001A3233">
          <w:rPr>
            <w:rStyle w:val="Hyperlink"/>
          </w:rPr>
          <w:t>http://www.bls.gov/oes/current/oes_nat.htm</w:t>
        </w:r>
      </w:hyperlink>
      <w:r>
        <w:t>.  (accessed 6/9/2017)</w:t>
      </w:r>
    </w:p>
  </w:footnote>
  <w:footnote w:id="3">
    <w:p w:rsidR="00D83478" w:rsidRDefault="00D83478" w:rsidP="000F06D9">
      <w:pPr>
        <w:pStyle w:val="FootnoteText"/>
      </w:pPr>
      <w:r w:rsidRPr="007B3740">
        <w:rPr>
          <w:rStyle w:val="FootnoteReference"/>
        </w:rPr>
        <w:footnoteRef/>
      </w:r>
      <w:r w:rsidRPr="007B3740">
        <w:t xml:space="preserve"> Bureau of Labor Statistics, “Employer Costs for Employee Compensation – </w:t>
      </w:r>
      <w:r>
        <w:t>March</w:t>
      </w:r>
      <w:r w:rsidRPr="007B3740">
        <w:t xml:space="preserve"> 201</w:t>
      </w:r>
      <w:r>
        <w:t>7</w:t>
      </w:r>
      <w:r w:rsidRPr="007B3740">
        <w:t xml:space="preserve">” </w:t>
      </w:r>
      <w:r>
        <w:t xml:space="preserve">(ECEC) </w:t>
      </w:r>
      <w:r w:rsidRPr="007B3740">
        <w:t xml:space="preserve">reports that </w:t>
      </w:r>
      <w:r>
        <w:t xml:space="preserve">average </w:t>
      </w:r>
      <w:r w:rsidRPr="007B3740">
        <w:t>benef</w:t>
      </w:r>
      <w:r>
        <w:t>its for private industry is 30.4</w:t>
      </w:r>
      <w:r w:rsidRPr="007B3740">
        <w:t xml:space="preserve">% </w:t>
      </w:r>
      <w:r>
        <w:t>of total compensation.  The 30.4</w:t>
      </w:r>
      <w:r w:rsidRPr="007B3740">
        <w:t>% of total com</w:t>
      </w:r>
      <w:r>
        <w:t>pensation equates to 43.7% (30.4% / 69.6</w:t>
      </w:r>
      <w:r w:rsidRPr="007B3740">
        <w:t>%) load on wages and salaries.</w:t>
      </w:r>
    </w:p>
  </w:footnote>
  <w:footnote w:id="4">
    <w:p w:rsidR="00D83478" w:rsidRDefault="00D83478" w:rsidP="000F06D9">
      <w:pPr>
        <w:pStyle w:val="FootnoteText"/>
      </w:pPr>
      <w:r w:rsidRPr="007B3740">
        <w:rPr>
          <w:rStyle w:val="FootnoteReference"/>
        </w:rPr>
        <w:footnoteRef/>
      </w:r>
      <w:r>
        <w:t xml:space="preserve"> $18.29 x (1 + 0.437) = $26.28.  $14.86 x (1 + 0.437) = $21.35.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78" w:rsidRDefault="00D83478">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366612"/>
    <w:multiLevelType w:val="hybridMultilevel"/>
    <w:tmpl w:val="31BC6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8DC1902"/>
    <w:multiLevelType w:val="hybridMultilevel"/>
    <w:tmpl w:val="0928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24F0A"/>
    <w:multiLevelType w:val="hybridMultilevel"/>
    <w:tmpl w:val="31BC6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4476D9"/>
    <w:multiLevelType w:val="hybridMultilevel"/>
    <w:tmpl w:val="1B5297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8">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4">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5">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DF54870"/>
    <w:multiLevelType w:val="hybridMultilevel"/>
    <w:tmpl w:val="7E2E4F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8">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D5A6F57"/>
    <w:multiLevelType w:val="hybridMultilevel"/>
    <w:tmpl w:val="7B3AE3D0"/>
    <w:lvl w:ilvl="0" w:tplc="DECE31EA">
      <w:start w:val="13"/>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32">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9E216E"/>
    <w:multiLevelType w:val="singleLevel"/>
    <w:tmpl w:val="57C801EA"/>
    <w:lvl w:ilvl="0">
      <w:start w:val="1"/>
      <w:numFmt w:val="decimal"/>
      <w:lvlText w:val="%1."/>
      <w:lvlJc w:val="left"/>
      <w:pPr>
        <w:tabs>
          <w:tab w:val="num" w:pos="1080"/>
        </w:tabs>
        <w:ind w:left="1080" w:hanging="360"/>
      </w:pPr>
      <w:rPr>
        <w:rFonts w:hint="default"/>
      </w:rPr>
    </w:lvl>
  </w:abstractNum>
  <w:abstractNum w:abstractNumId="35">
    <w:nsid w:val="78AF1971"/>
    <w:multiLevelType w:val="hybridMultilevel"/>
    <w:tmpl w:val="7FFEAF80"/>
    <w:lvl w:ilvl="0" w:tplc="C3308CC4">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13074E"/>
    <w:multiLevelType w:val="multilevel"/>
    <w:tmpl w:val="7E2E4F3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5"/>
  </w:num>
  <w:num w:numId="3">
    <w:abstractNumId w:val="5"/>
  </w:num>
  <w:num w:numId="4">
    <w:abstractNumId w:val="4"/>
  </w:num>
  <w:num w:numId="5">
    <w:abstractNumId w:val="24"/>
  </w:num>
  <w:num w:numId="6">
    <w:abstractNumId w:val="10"/>
  </w:num>
  <w:num w:numId="7">
    <w:abstractNumId w:val="6"/>
  </w:num>
  <w:num w:numId="8">
    <w:abstractNumId w:val="0"/>
  </w:num>
  <w:num w:numId="9">
    <w:abstractNumId w:val="27"/>
  </w:num>
  <w:num w:numId="10">
    <w:abstractNumId w:val="21"/>
  </w:num>
  <w:num w:numId="11">
    <w:abstractNumId w:val="17"/>
  </w:num>
  <w:num w:numId="12">
    <w:abstractNumId w:val="15"/>
  </w:num>
  <w:num w:numId="13">
    <w:abstractNumId w:val="11"/>
  </w:num>
  <w:num w:numId="14">
    <w:abstractNumId w:val="33"/>
  </w:num>
  <w:num w:numId="15">
    <w:abstractNumId w:val="23"/>
  </w:num>
  <w:num w:numId="16">
    <w:abstractNumId w:val="31"/>
  </w:num>
  <w:num w:numId="17">
    <w:abstractNumId w:val="20"/>
  </w:num>
  <w:num w:numId="18">
    <w:abstractNumId w:val="16"/>
  </w:num>
  <w:num w:numId="19">
    <w:abstractNumId w:val="19"/>
  </w:num>
  <w:num w:numId="20">
    <w:abstractNumId w:val="1"/>
  </w:num>
  <w:num w:numId="21">
    <w:abstractNumId w:val="22"/>
  </w:num>
  <w:num w:numId="22">
    <w:abstractNumId w:val="28"/>
  </w:num>
  <w:num w:numId="23">
    <w:abstractNumId w:val="7"/>
  </w:num>
  <w:num w:numId="24">
    <w:abstractNumId w:val="9"/>
  </w:num>
  <w:num w:numId="25">
    <w:abstractNumId w:val="3"/>
  </w:num>
  <w:num w:numId="26">
    <w:abstractNumId w:val="29"/>
  </w:num>
  <w:num w:numId="27">
    <w:abstractNumId w:val="32"/>
  </w:num>
  <w:num w:numId="28">
    <w:abstractNumId w:val="18"/>
  </w:num>
  <w:num w:numId="29">
    <w:abstractNumId w:val="2"/>
  </w:num>
  <w:num w:numId="30">
    <w:abstractNumId w:val="26"/>
  </w:num>
  <w:num w:numId="31">
    <w:abstractNumId w:val="36"/>
  </w:num>
  <w:num w:numId="32">
    <w:abstractNumId w:val="35"/>
  </w:num>
  <w:num w:numId="33">
    <w:abstractNumId w:val="12"/>
  </w:num>
  <w:num w:numId="34">
    <w:abstractNumId w:val="14"/>
  </w:num>
  <w:num w:numId="35">
    <w:abstractNumId w:val="8"/>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37D0"/>
    <w:rsid w:val="0000467D"/>
    <w:rsid w:val="00006EFA"/>
    <w:rsid w:val="000108FF"/>
    <w:rsid w:val="00014DA1"/>
    <w:rsid w:val="00015FAD"/>
    <w:rsid w:val="00047A78"/>
    <w:rsid w:val="0005338C"/>
    <w:rsid w:val="0007719B"/>
    <w:rsid w:val="00077B8B"/>
    <w:rsid w:val="0008278E"/>
    <w:rsid w:val="00087BA3"/>
    <w:rsid w:val="00092245"/>
    <w:rsid w:val="000B0E17"/>
    <w:rsid w:val="000B1620"/>
    <w:rsid w:val="000B3D78"/>
    <w:rsid w:val="000B4C6D"/>
    <w:rsid w:val="000B6867"/>
    <w:rsid w:val="000C2B1F"/>
    <w:rsid w:val="000D1F4D"/>
    <w:rsid w:val="000D45B5"/>
    <w:rsid w:val="000E129D"/>
    <w:rsid w:val="000E14A3"/>
    <w:rsid w:val="000E3823"/>
    <w:rsid w:val="000F06D9"/>
    <w:rsid w:val="000F6116"/>
    <w:rsid w:val="000F64A0"/>
    <w:rsid w:val="000F7E8B"/>
    <w:rsid w:val="00100D1C"/>
    <w:rsid w:val="00105438"/>
    <w:rsid w:val="00106E8C"/>
    <w:rsid w:val="001129C6"/>
    <w:rsid w:val="00117F9A"/>
    <w:rsid w:val="00126EC9"/>
    <w:rsid w:val="0013624B"/>
    <w:rsid w:val="00140A2E"/>
    <w:rsid w:val="0014169F"/>
    <w:rsid w:val="00144575"/>
    <w:rsid w:val="00150AA5"/>
    <w:rsid w:val="00152183"/>
    <w:rsid w:val="00164606"/>
    <w:rsid w:val="00165CE0"/>
    <w:rsid w:val="00167BA3"/>
    <w:rsid w:val="00170ED4"/>
    <w:rsid w:val="00180060"/>
    <w:rsid w:val="00192276"/>
    <w:rsid w:val="00192749"/>
    <w:rsid w:val="0019750C"/>
    <w:rsid w:val="001A292E"/>
    <w:rsid w:val="001A2BA5"/>
    <w:rsid w:val="001A734B"/>
    <w:rsid w:val="001B128C"/>
    <w:rsid w:val="001B3C18"/>
    <w:rsid w:val="001B56F9"/>
    <w:rsid w:val="001C2325"/>
    <w:rsid w:val="001C396E"/>
    <w:rsid w:val="001D1439"/>
    <w:rsid w:val="001D1D54"/>
    <w:rsid w:val="001D6EB0"/>
    <w:rsid w:val="001F395D"/>
    <w:rsid w:val="00200DBF"/>
    <w:rsid w:val="00211FFB"/>
    <w:rsid w:val="0021252E"/>
    <w:rsid w:val="00221497"/>
    <w:rsid w:val="002228FB"/>
    <w:rsid w:val="00231231"/>
    <w:rsid w:val="00231A1C"/>
    <w:rsid w:val="002408FE"/>
    <w:rsid w:val="0024187C"/>
    <w:rsid w:val="00243641"/>
    <w:rsid w:val="00246FDA"/>
    <w:rsid w:val="002524F9"/>
    <w:rsid w:val="00256F16"/>
    <w:rsid w:val="00257AE3"/>
    <w:rsid w:val="00261248"/>
    <w:rsid w:val="00264B73"/>
    <w:rsid w:val="00265155"/>
    <w:rsid w:val="00265401"/>
    <w:rsid w:val="0026551B"/>
    <w:rsid w:val="002660D9"/>
    <w:rsid w:val="002669AD"/>
    <w:rsid w:val="00275B42"/>
    <w:rsid w:val="002806C1"/>
    <w:rsid w:val="002B41CF"/>
    <w:rsid w:val="002B7191"/>
    <w:rsid w:val="002F06C0"/>
    <w:rsid w:val="002F1413"/>
    <w:rsid w:val="002F2840"/>
    <w:rsid w:val="00301652"/>
    <w:rsid w:val="0030282A"/>
    <w:rsid w:val="00303869"/>
    <w:rsid w:val="00306CB1"/>
    <w:rsid w:val="00311DF9"/>
    <w:rsid w:val="00313CF6"/>
    <w:rsid w:val="00314D57"/>
    <w:rsid w:val="00317DD5"/>
    <w:rsid w:val="00330236"/>
    <w:rsid w:val="003306A3"/>
    <w:rsid w:val="00331AEF"/>
    <w:rsid w:val="00343AD2"/>
    <w:rsid w:val="00363B08"/>
    <w:rsid w:val="00370319"/>
    <w:rsid w:val="00372065"/>
    <w:rsid w:val="0038020E"/>
    <w:rsid w:val="00380782"/>
    <w:rsid w:val="00384E6C"/>
    <w:rsid w:val="00394100"/>
    <w:rsid w:val="00395C3C"/>
    <w:rsid w:val="003C6558"/>
    <w:rsid w:val="003C7A6D"/>
    <w:rsid w:val="003D09F6"/>
    <w:rsid w:val="003E05A6"/>
    <w:rsid w:val="003E306F"/>
    <w:rsid w:val="003E57D9"/>
    <w:rsid w:val="003F378B"/>
    <w:rsid w:val="00400B6B"/>
    <w:rsid w:val="0040178A"/>
    <w:rsid w:val="00402BFE"/>
    <w:rsid w:val="00417961"/>
    <w:rsid w:val="00421595"/>
    <w:rsid w:val="0042507A"/>
    <w:rsid w:val="0043003D"/>
    <w:rsid w:val="00430670"/>
    <w:rsid w:val="004338B6"/>
    <w:rsid w:val="0044240D"/>
    <w:rsid w:val="00447313"/>
    <w:rsid w:val="004559D2"/>
    <w:rsid w:val="004701BA"/>
    <w:rsid w:val="00471EBB"/>
    <w:rsid w:val="00474007"/>
    <w:rsid w:val="004930AD"/>
    <w:rsid w:val="004962E8"/>
    <w:rsid w:val="004973EB"/>
    <w:rsid w:val="004978EF"/>
    <w:rsid w:val="004B2CB8"/>
    <w:rsid w:val="004C0E22"/>
    <w:rsid w:val="004C293A"/>
    <w:rsid w:val="004C43CE"/>
    <w:rsid w:val="004D001F"/>
    <w:rsid w:val="004D5071"/>
    <w:rsid w:val="004D50B6"/>
    <w:rsid w:val="004E5A70"/>
    <w:rsid w:val="004F0C3E"/>
    <w:rsid w:val="004F27F2"/>
    <w:rsid w:val="00517827"/>
    <w:rsid w:val="00523AC6"/>
    <w:rsid w:val="00524583"/>
    <w:rsid w:val="00531FC9"/>
    <w:rsid w:val="00532D83"/>
    <w:rsid w:val="005363DC"/>
    <w:rsid w:val="005477BC"/>
    <w:rsid w:val="00557D1D"/>
    <w:rsid w:val="0056784E"/>
    <w:rsid w:val="00577D3E"/>
    <w:rsid w:val="00581E09"/>
    <w:rsid w:val="0059272A"/>
    <w:rsid w:val="005929F8"/>
    <w:rsid w:val="00596CAB"/>
    <w:rsid w:val="005A3118"/>
    <w:rsid w:val="005B0F47"/>
    <w:rsid w:val="005B2ACD"/>
    <w:rsid w:val="005B316D"/>
    <w:rsid w:val="005B595D"/>
    <w:rsid w:val="005B7A5E"/>
    <w:rsid w:val="005C1BED"/>
    <w:rsid w:val="005C6626"/>
    <w:rsid w:val="005D177F"/>
    <w:rsid w:val="005D55B2"/>
    <w:rsid w:val="005D5E73"/>
    <w:rsid w:val="005D6D58"/>
    <w:rsid w:val="005E170B"/>
    <w:rsid w:val="00612814"/>
    <w:rsid w:val="00612B3B"/>
    <w:rsid w:val="00615FF8"/>
    <w:rsid w:val="0063747C"/>
    <w:rsid w:val="0064060A"/>
    <w:rsid w:val="0064599B"/>
    <w:rsid w:val="006476F0"/>
    <w:rsid w:val="00647B21"/>
    <w:rsid w:val="006814E4"/>
    <w:rsid w:val="006B5D05"/>
    <w:rsid w:val="006D653B"/>
    <w:rsid w:val="006F628D"/>
    <w:rsid w:val="006F7C87"/>
    <w:rsid w:val="00704E5B"/>
    <w:rsid w:val="00707863"/>
    <w:rsid w:val="007119C0"/>
    <w:rsid w:val="00717E2C"/>
    <w:rsid w:val="00725326"/>
    <w:rsid w:val="0074611F"/>
    <w:rsid w:val="00747DDA"/>
    <w:rsid w:val="00751EFB"/>
    <w:rsid w:val="00757733"/>
    <w:rsid w:val="00762ECE"/>
    <w:rsid w:val="007634B2"/>
    <w:rsid w:val="00773BC4"/>
    <w:rsid w:val="00775772"/>
    <w:rsid w:val="007767E8"/>
    <w:rsid w:val="00782BF5"/>
    <w:rsid w:val="00785198"/>
    <w:rsid w:val="00785B7B"/>
    <w:rsid w:val="0079063F"/>
    <w:rsid w:val="00797696"/>
    <w:rsid w:val="007B2FF5"/>
    <w:rsid w:val="007B3A2D"/>
    <w:rsid w:val="007C285A"/>
    <w:rsid w:val="007C2CF3"/>
    <w:rsid w:val="007C448A"/>
    <w:rsid w:val="007C79ED"/>
    <w:rsid w:val="007D0502"/>
    <w:rsid w:val="007D0A09"/>
    <w:rsid w:val="007D0F1B"/>
    <w:rsid w:val="007D10E1"/>
    <w:rsid w:val="007D26CA"/>
    <w:rsid w:val="007D7469"/>
    <w:rsid w:val="007E2566"/>
    <w:rsid w:val="007E3A39"/>
    <w:rsid w:val="007E5B0B"/>
    <w:rsid w:val="007E6679"/>
    <w:rsid w:val="007F1BD4"/>
    <w:rsid w:val="00805E45"/>
    <w:rsid w:val="00806F23"/>
    <w:rsid w:val="00813705"/>
    <w:rsid w:val="00813C94"/>
    <w:rsid w:val="0081607A"/>
    <w:rsid w:val="00817D95"/>
    <w:rsid w:val="0082026D"/>
    <w:rsid w:val="00825E0D"/>
    <w:rsid w:val="00833227"/>
    <w:rsid w:val="00835B91"/>
    <w:rsid w:val="00840DE7"/>
    <w:rsid w:val="008618F3"/>
    <w:rsid w:val="00861E66"/>
    <w:rsid w:val="00871D7A"/>
    <w:rsid w:val="00872131"/>
    <w:rsid w:val="0087563F"/>
    <w:rsid w:val="00882E00"/>
    <w:rsid w:val="00891FEB"/>
    <w:rsid w:val="008A35F9"/>
    <w:rsid w:val="008B78A5"/>
    <w:rsid w:val="008D42C8"/>
    <w:rsid w:val="008D4FBD"/>
    <w:rsid w:val="008D6CB4"/>
    <w:rsid w:val="008E1BA0"/>
    <w:rsid w:val="008F6FA0"/>
    <w:rsid w:val="008F7718"/>
    <w:rsid w:val="00900620"/>
    <w:rsid w:val="00915747"/>
    <w:rsid w:val="00924C9A"/>
    <w:rsid w:val="009270FE"/>
    <w:rsid w:val="00934675"/>
    <w:rsid w:val="00934AB8"/>
    <w:rsid w:val="00936E2E"/>
    <w:rsid w:val="00937C36"/>
    <w:rsid w:val="00943B05"/>
    <w:rsid w:val="00945503"/>
    <w:rsid w:val="00952FAC"/>
    <w:rsid w:val="00957EA6"/>
    <w:rsid w:val="009614FB"/>
    <w:rsid w:val="00974607"/>
    <w:rsid w:val="00975833"/>
    <w:rsid w:val="009875C1"/>
    <w:rsid w:val="009D3710"/>
    <w:rsid w:val="009F2D48"/>
    <w:rsid w:val="009F3141"/>
    <w:rsid w:val="00A05252"/>
    <w:rsid w:val="00A113E7"/>
    <w:rsid w:val="00A156B1"/>
    <w:rsid w:val="00A20E5E"/>
    <w:rsid w:val="00A25299"/>
    <w:rsid w:val="00A31913"/>
    <w:rsid w:val="00A35B05"/>
    <w:rsid w:val="00A368C1"/>
    <w:rsid w:val="00A444DF"/>
    <w:rsid w:val="00A448E2"/>
    <w:rsid w:val="00A47CCB"/>
    <w:rsid w:val="00A52F4C"/>
    <w:rsid w:val="00A57537"/>
    <w:rsid w:val="00A60F80"/>
    <w:rsid w:val="00A613EE"/>
    <w:rsid w:val="00A61845"/>
    <w:rsid w:val="00A667D9"/>
    <w:rsid w:val="00A67052"/>
    <w:rsid w:val="00A7091E"/>
    <w:rsid w:val="00A7124E"/>
    <w:rsid w:val="00A71F87"/>
    <w:rsid w:val="00A83D0B"/>
    <w:rsid w:val="00A83E98"/>
    <w:rsid w:val="00A8518A"/>
    <w:rsid w:val="00A92DFA"/>
    <w:rsid w:val="00AA765B"/>
    <w:rsid w:val="00AC1DBA"/>
    <w:rsid w:val="00AC24D5"/>
    <w:rsid w:val="00AE0415"/>
    <w:rsid w:val="00AE658B"/>
    <w:rsid w:val="00AF5675"/>
    <w:rsid w:val="00AF6197"/>
    <w:rsid w:val="00B021D3"/>
    <w:rsid w:val="00B0543B"/>
    <w:rsid w:val="00B058D6"/>
    <w:rsid w:val="00B17BBA"/>
    <w:rsid w:val="00B30E00"/>
    <w:rsid w:val="00B407DA"/>
    <w:rsid w:val="00B40AA1"/>
    <w:rsid w:val="00B67D15"/>
    <w:rsid w:val="00B70CE2"/>
    <w:rsid w:val="00B75F45"/>
    <w:rsid w:val="00B911FD"/>
    <w:rsid w:val="00B92938"/>
    <w:rsid w:val="00B96C78"/>
    <w:rsid w:val="00BA14DB"/>
    <w:rsid w:val="00BA4D69"/>
    <w:rsid w:val="00BA7BEE"/>
    <w:rsid w:val="00BB0097"/>
    <w:rsid w:val="00BB4157"/>
    <w:rsid w:val="00BC1121"/>
    <w:rsid w:val="00BC157B"/>
    <w:rsid w:val="00BC3FC0"/>
    <w:rsid w:val="00BF01A0"/>
    <w:rsid w:val="00BF3562"/>
    <w:rsid w:val="00BF3EF2"/>
    <w:rsid w:val="00C073A3"/>
    <w:rsid w:val="00C1371C"/>
    <w:rsid w:val="00C13F7C"/>
    <w:rsid w:val="00C25E4D"/>
    <w:rsid w:val="00C323DD"/>
    <w:rsid w:val="00C36571"/>
    <w:rsid w:val="00C439A5"/>
    <w:rsid w:val="00C60D80"/>
    <w:rsid w:val="00C65E78"/>
    <w:rsid w:val="00C6706B"/>
    <w:rsid w:val="00C6798D"/>
    <w:rsid w:val="00C71B1D"/>
    <w:rsid w:val="00C77354"/>
    <w:rsid w:val="00C81348"/>
    <w:rsid w:val="00C87DC7"/>
    <w:rsid w:val="00C9445A"/>
    <w:rsid w:val="00CA25EE"/>
    <w:rsid w:val="00CB1E53"/>
    <w:rsid w:val="00CC4093"/>
    <w:rsid w:val="00CC5033"/>
    <w:rsid w:val="00CC69B5"/>
    <w:rsid w:val="00CC6BE5"/>
    <w:rsid w:val="00CD321D"/>
    <w:rsid w:val="00CE0AC0"/>
    <w:rsid w:val="00CE4751"/>
    <w:rsid w:val="00CE481A"/>
    <w:rsid w:val="00D33EA4"/>
    <w:rsid w:val="00D429F5"/>
    <w:rsid w:val="00D53CC6"/>
    <w:rsid w:val="00D67746"/>
    <w:rsid w:val="00D70FA4"/>
    <w:rsid w:val="00D76124"/>
    <w:rsid w:val="00D83478"/>
    <w:rsid w:val="00D86C26"/>
    <w:rsid w:val="00D87533"/>
    <w:rsid w:val="00D878E7"/>
    <w:rsid w:val="00DA1E4C"/>
    <w:rsid w:val="00DA4F2D"/>
    <w:rsid w:val="00DA5788"/>
    <w:rsid w:val="00DB1A18"/>
    <w:rsid w:val="00DC706F"/>
    <w:rsid w:val="00DD321A"/>
    <w:rsid w:val="00DE059D"/>
    <w:rsid w:val="00DE3D1A"/>
    <w:rsid w:val="00DF16B1"/>
    <w:rsid w:val="00DF3BF5"/>
    <w:rsid w:val="00DF3D6D"/>
    <w:rsid w:val="00E11550"/>
    <w:rsid w:val="00E12988"/>
    <w:rsid w:val="00E204C9"/>
    <w:rsid w:val="00E24BBD"/>
    <w:rsid w:val="00E25559"/>
    <w:rsid w:val="00E30DDA"/>
    <w:rsid w:val="00E3390E"/>
    <w:rsid w:val="00E346FF"/>
    <w:rsid w:val="00E359DC"/>
    <w:rsid w:val="00E375CA"/>
    <w:rsid w:val="00E77C21"/>
    <w:rsid w:val="00E82777"/>
    <w:rsid w:val="00E96BA7"/>
    <w:rsid w:val="00EA0189"/>
    <w:rsid w:val="00EA7066"/>
    <w:rsid w:val="00EB5A7C"/>
    <w:rsid w:val="00ED0B85"/>
    <w:rsid w:val="00EE15DA"/>
    <w:rsid w:val="00EE3EEE"/>
    <w:rsid w:val="00EF0AD1"/>
    <w:rsid w:val="00F01C3C"/>
    <w:rsid w:val="00F02502"/>
    <w:rsid w:val="00F0265A"/>
    <w:rsid w:val="00F045A0"/>
    <w:rsid w:val="00F1007A"/>
    <w:rsid w:val="00F33405"/>
    <w:rsid w:val="00F451FC"/>
    <w:rsid w:val="00F51C69"/>
    <w:rsid w:val="00F6588E"/>
    <w:rsid w:val="00F67985"/>
    <w:rsid w:val="00F72D10"/>
    <w:rsid w:val="00F8242C"/>
    <w:rsid w:val="00F85C36"/>
    <w:rsid w:val="00F94797"/>
    <w:rsid w:val="00F96165"/>
    <w:rsid w:val="00FD1F2D"/>
    <w:rsid w:val="00FD484D"/>
    <w:rsid w:val="00FE36A1"/>
    <w:rsid w:val="00FE5249"/>
    <w:rsid w:val="00FE6F5A"/>
    <w:rsid w:val="00FE75A9"/>
    <w:rsid w:val="00FF2463"/>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tLeast"/>
      <w:ind w:left="360" w:hanging="360"/>
    </w:pPr>
    <w:rPr>
      <w:rFonts w:ascii="Times" w:hAnsi="Times"/>
      <w:noProof w:val="0"/>
      <w:sz w:val="22"/>
    </w:rPr>
  </w:style>
  <w:style w:type="paragraph" w:styleId="BodyText">
    <w:name w:val="Body Text"/>
    <w:basedOn w:val="Normal"/>
    <w:pPr>
      <w:spacing w:line="480" w:lineRule="atLeast"/>
    </w:pPr>
    <w:rPr>
      <w:rFonts w:ascii="Times New Roman" w:hAnsi="Times New Roman"/>
      <w:noProof w:val="0"/>
      <w:sz w:val="24"/>
    </w:rPr>
  </w:style>
  <w:style w:type="paragraph" w:styleId="BodyTextIndent2">
    <w:name w:val="Body Text Indent 2"/>
    <w:basedOn w:val="Normal"/>
    <w:pPr>
      <w:spacing w:line="480" w:lineRule="atLeast"/>
      <w:ind w:firstLine="720"/>
    </w:pPr>
    <w:rPr>
      <w:rFonts w:ascii="Times New Roman" w:hAnsi="Times New Roman"/>
      <w:noProof w:val="0"/>
      <w:sz w:val="24"/>
    </w:rPr>
  </w:style>
  <w:style w:type="paragraph" w:styleId="BodyText2">
    <w:name w:val="Body Text 2"/>
    <w:basedOn w:val="Normal"/>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pPr>
      <w:spacing w:line="480" w:lineRule="atLeast"/>
      <w:ind w:firstLine="720"/>
      <w:jc w:val="both"/>
    </w:pPr>
    <w:rPr>
      <w:rFonts w:ascii="Times New Roman" w:hAnsi="Times New Roman"/>
      <w:noProof w:val="0"/>
      <w:sz w:val="24"/>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styleId="Revision">
    <w:name w:val="Revision"/>
    <w:hidden/>
    <w:uiPriority w:val="99"/>
    <w:semiHidden/>
    <w:rsid w:val="007634B2"/>
    <w:rPr>
      <w:noProof/>
    </w:rPr>
  </w:style>
  <w:style w:type="character" w:styleId="CommentReference">
    <w:name w:val="annotation reference"/>
    <w:basedOn w:val="DefaultParagraphFont"/>
    <w:uiPriority w:val="99"/>
    <w:semiHidden/>
    <w:unhideWhenUsed/>
    <w:rsid w:val="00EA0189"/>
    <w:rPr>
      <w:sz w:val="16"/>
      <w:szCs w:val="16"/>
    </w:rPr>
  </w:style>
  <w:style w:type="paragraph" w:styleId="CommentText">
    <w:name w:val="annotation text"/>
    <w:basedOn w:val="Normal"/>
    <w:link w:val="CommentTextChar"/>
    <w:uiPriority w:val="99"/>
    <w:semiHidden/>
    <w:unhideWhenUsed/>
    <w:rsid w:val="00EA0189"/>
  </w:style>
  <w:style w:type="character" w:customStyle="1" w:styleId="CommentTextChar">
    <w:name w:val="Comment Text Char"/>
    <w:basedOn w:val="DefaultParagraphFont"/>
    <w:link w:val="CommentText"/>
    <w:uiPriority w:val="99"/>
    <w:semiHidden/>
    <w:rsid w:val="00EA0189"/>
    <w:rPr>
      <w:noProof/>
    </w:rPr>
  </w:style>
  <w:style w:type="paragraph" w:styleId="CommentSubject">
    <w:name w:val="annotation subject"/>
    <w:basedOn w:val="CommentText"/>
    <w:next w:val="CommentText"/>
    <w:link w:val="CommentSubjectChar"/>
    <w:uiPriority w:val="99"/>
    <w:semiHidden/>
    <w:unhideWhenUsed/>
    <w:rsid w:val="00EA0189"/>
    <w:rPr>
      <w:b/>
      <w:bCs/>
    </w:rPr>
  </w:style>
  <w:style w:type="character" w:customStyle="1" w:styleId="CommentSubjectChar">
    <w:name w:val="Comment Subject Char"/>
    <w:basedOn w:val="CommentTextChar"/>
    <w:link w:val="CommentSubject"/>
    <w:uiPriority w:val="99"/>
    <w:semiHidden/>
    <w:rsid w:val="00EA0189"/>
    <w:rPr>
      <w:b/>
      <w:bCs/>
      <w:noProof/>
    </w:rPr>
  </w:style>
  <w:style w:type="paragraph" w:styleId="FootnoteText">
    <w:name w:val="footnote text"/>
    <w:basedOn w:val="Normal"/>
    <w:link w:val="FootnoteTextChar"/>
    <w:uiPriority w:val="99"/>
    <w:semiHidden/>
    <w:rsid w:val="000F06D9"/>
    <w:rPr>
      <w:rFonts w:ascii="Times New Roman" w:hAnsi="Times New Roman"/>
      <w:noProof w:val="0"/>
    </w:rPr>
  </w:style>
  <w:style w:type="character" w:customStyle="1" w:styleId="FootnoteTextChar">
    <w:name w:val="Footnote Text Char"/>
    <w:basedOn w:val="DefaultParagraphFont"/>
    <w:link w:val="FootnoteText"/>
    <w:uiPriority w:val="99"/>
    <w:semiHidden/>
    <w:rsid w:val="000F06D9"/>
    <w:rPr>
      <w:rFonts w:ascii="Times New Roman" w:hAnsi="Times New Roman"/>
    </w:rPr>
  </w:style>
  <w:style w:type="character" w:styleId="FootnoteReference">
    <w:name w:val="footnote reference"/>
    <w:basedOn w:val="DefaultParagraphFont"/>
    <w:uiPriority w:val="99"/>
    <w:semiHidden/>
    <w:rsid w:val="000F06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tLeast"/>
      <w:ind w:left="360" w:hanging="360"/>
    </w:pPr>
    <w:rPr>
      <w:rFonts w:ascii="Times" w:hAnsi="Times"/>
      <w:noProof w:val="0"/>
      <w:sz w:val="22"/>
    </w:rPr>
  </w:style>
  <w:style w:type="paragraph" w:styleId="BodyText">
    <w:name w:val="Body Text"/>
    <w:basedOn w:val="Normal"/>
    <w:pPr>
      <w:spacing w:line="480" w:lineRule="atLeast"/>
    </w:pPr>
    <w:rPr>
      <w:rFonts w:ascii="Times New Roman" w:hAnsi="Times New Roman"/>
      <w:noProof w:val="0"/>
      <w:sz w:val="24"/>
    </w:rPr>
  </w:style>
  <w:style w:type="paragraph" w:styleId="BodyTextIndent2">
    <w:name w:val="Body Text Indent 2"/>
    <w:basedOn w:val="Normal"/>
    <w:pPr>
      <w:spacing w:line="480" w:lineRule="atLeast"/>
      <w:ind w:firstLine="720"/>
    </w:pPr>
    <w:rPr>
      <w:rFonts w:ascii="Times New Roman" w:hAnsi="Times New Roman"/>
      <w:noProof w:val="0"/>
      <w:sz w:val="24"/>
    </w:rPr>
  </w:style>
  <w:style w:type="paragraph" w:styleId="BodyText2">
    <w:name w:val="Body Text 2"/>
    <w:basedOn w:val="Normal"/>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pPr>
      <w:spacing w:line="480" w:lineRule="atLeast"/>
      <w:ind w:firstLine="720"/>
      <w:jc w:val="both"/>
    </w:pPr>
    <w:rPr>
      <w:rFonts w:ascii="Times New Roman" w:hAnsi="Times New Roman"/>
      <w:noProof w:val="0"/>
      <w:sz w:val="24"/>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styleId="Revision">
    <w:name w:val="Revision"/>
    <w:hidden/>
    <w:uiPriority w:val="99"/>
    <w:semiHidden/>
    <w:rsid w:val="007634B2"/>
    <w:rPr>
      <w:noProof/>
    </w:rPr>
  </w:style>
  <w:style w:type="character" w:styleId="CommentReference">
    <w:name w:val="annotation reference"/>
    <w:basedOn w:val="DefaultParagraphFont"/>
    <w:uiPriority w:val="99"/>
    <w:semiHidden/>
    <w:unhideWhenUsed/>
    <w:rsid w:val="00EA0189"/>
    <w:rPr>
      <w:sz w:val="16"/>
      <w:szCs w:val="16"/>
    </w:rPr>
  </w:style>
  <w:style w:type="paragraph" w:styleId="CommentText">
    <w:name w:val="annotation text"/>
    <w:basedOn w:val="Normal"/>
    <w:link w:val="CommentTextChar"/>
    <w:uiPriority w:val="99"/>
    <w:semiHidden/>
    <w:unhideWhenUsed/>
    <w:rsid w:val="00EA0189"/>
  </w:style>
  <w:style w:type="character" w:customStyle="1" w:styleId="CommentTextChar">
    <w:name w:val="Comment Text Char"/>
    <w:basedOn w:val="DefaultParagraphFont"/>
    <w:link w:val="CommentText"/>
    <w:uiPriority w:val="99"/>
    <w:semiHidden/>
    <w:rsid w:val="00EA0189"/>
    <w:rPr>
      <w:noProof/>
    </w:rPr>
  </w:style>
  <w:style w:type="paragraph" w:styleId="CommentSubject">
    <w:name w:val="annotation subject"/>
    <w:basedOn w:val="CommentText"/>
    <w:next w:val="CommentText"/>
    <w:link w:val="CommentSubjectChar"/>
    <w:uiPriority w:val="99"/>
    <w:semiHidden/>
    <w:unhideWhenUsed/>
    <w:rsid w:val="00EA0189"/>
    <w:rPr>
      <w:b/>
      <w:bCs/>
    </w:rPr>
  </w:style>
  <w:style w:type="character" w:customStyle="1" w:styleId="CommentSubjectChar">
    <w:name w:val="Comment Subject Char"/>
    <w:basedOn w:val="CommentTextChar"/>
    <w:link w:val="CommentSubject"/>
    <w:uiPriority w:val="99"/>
    <w:semiHidden/>
    <w:rsid w:val="00EA0189"/>
    <w:rPr>
      <w:b/>
      <w:bCs/>
      <w:noProof/>
    </w:rPr>
  </w:style>
  <w:style w:type="paragraph" w:styleId="FootnoteText">
    <w:name w:val="footnote text"/>
    <w:basedOn w:val="Normal"/>
    <w:link w:val="FootnoteTextChar"/>
    <w:uiPriority w:val="99"/>
    <w:semiHidden/>
    <w:rsid w:val="000F06D9"/>
    <w:rPr>
      <w:rFonts w:ascii="Times New Roman" w:hAnsi="Times New Roman"/>
      <w:noProof w:val="0"/>
    </w:rPr>
  </w:style>
  <w:style w:type="character" w:customStyle="1" w:styleId="FootnoteTextChar">
    <w:name w:val="Footnote Text Char"/>
    <w:basedOn w:val="DefaultParagraphFont"/>
    <w:link w:val="FootnoteText"/>
    <w:uiPriority w:val="99"/>
    <w:semiHidden/>
    <w:rsid w:val="000F06D9"/>
    <w:rPr>
      <w:rFonts w:ascii="Times New Roman" w:hAnsi="Times New Roman"/>
    </w:rPr>
  </w:style>
  <w:style w:type="character" w:styleId="FootnoteReference">
    <w:name w:val="footnote reference"/>
    <w:basedOn w:val="DefaultParagraphFont"/>
    <w:uiPriority w:val="99"/>
    <w:semiHidden/>
    <w:rsid w:val="000F0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7488">
      <w:bodyDiv w:val="1"/>
      <w:marLeft w:val="0"/>
      <w:marRight w:val="0"/>
      <w:marTop w:val="0"/>
      <w:marBottom w:val="0"/>
      <w:divBdr>
        <w:top w:val="none" w:sz="0" w:space="0" w:color="auto"/>
        <w:left w:val="none" w:sz="0" w:space="0" w:color="auto"/>
        <w:bottom w:val="none" w:sz="0" w:space="0" w:color="auto"/>
        <w:right w:val="none" w:sz="0" w:space="0" w:color="auto"/>
      </w:divBdr>
    </w:div>
    <w:div w:id="421489246">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731613965">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4E797-6B6C-4318-8BA2-ECD98BBB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Coward, Clifton A</dc:creator>
  <cp:lastModifiedBy>SYSTEM</cp:lastModifiedBy>
  <cp:revision>2</cp:revision>
  <dcterms:created xsi:type="dcterms:W3CDTF">2017-10-05T13:53:00Z</dcterms:created>
  <dcterms:modified xsi:type="dcterms:W3CDTF">2017-10-05T13:53:00Z</dcterms:modified>
</cp:coreProperties>
</file>