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537" w:rsidRPr="00B051D2" w:rsidRDefault="000C1537" w:rsidP="00603426">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jc w:val="center"/>
        <w:rPr>
          <w:rFonts w:ascii="Times New Roman" w:hAnsi="Times New Roman"/>
          <w:b/>
          <w:noProof w:val="0"/>
          <w:sz w:val="24"/>
        </w:rPr>
      </w:pPr>
      <w:bookmarkStart w:id="0" w:name="_GoBack"/>
      <w:bookmarkEnd w:id="0"/>
      <w:r w:rsidRPr="00B051D2">
        <w:rPr>
          <w:rFonts w:ascii="Times New Roman" w:hAnsi="Times New Roman"/>
          <w:b/>
          <w:noProof w:val="0"/>
          <w:sz w:val="24"/>
        </w:rPr>
        <w:t>Supporting Statement for Paperwork Reduction Act Submissions</w:t>
      </w:r>
    </w:p>
    <w:p w:rsidR="004C5F91" w:rsidRPr="0015767F" w:rsidRDefault="004C5F91" w:rsidP="004C5F91">
      <w:pPr>
        <w:ind w:right="6"/>
        <w:jc w:val="center"/>
        <w:rPr>
          <w:rFonts w:ascii="Times New Roman" w:hAnsi="Times New Roman"/>
          <w:b/>
          <w:sz w:val="24"/>
        </w:rPr>
      </w:pPr>
      <w:r w:rsidRPr="0015767F">
        <w:rPr>
          <w:rFonts w:ascii="Times New Roman" w:hAnsi="Times New Roman"/>
          <w:b/>
          <w:sz w:val="24"/>
        </w:rPr>
        <w:t>ARCOS Transaction Reporting -- DEA Form 333</w:t>
      </w:r>
    </w:p>
    <w:p w:rsidR="001A64B0" w:rsidRDefault="004C5F91" w:rsidP="004C5F91">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jc w:val="center"/>
        <w:rPr>
          <w:rFonts w:ascii="Times New Roman" w:hAnsi="Times New Roman"/>
          <w:b/>
          <w:noProof w:val="0"/>
          <w:sz w:val="24"/>
        </w:rPr>
      </w:pPr>
      <w:r w:rsidRPr="0015767F">
        <w:rPr>
          <w:rFonts w:ascii="Times New Roman" w:hAnsi="Times New Roman"/>
          <w:b/>
          <w:noProof w:val="0"/>
          <w:sz w:val="24"/>
          <w:szCs w:val="24"/>
        </w:rPr>
        <w:t>OMB Approval # 1117-0003</w:t>
      </w:r>
    </w:p>
    <w:p w:rsidR="00B051D2" w:rsidRDefault="00B051D2" w:rsidP="002106E7">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rPr>
          <w:rFonts w:ascii="Times New Roman" w:hAnsi="Times New Roman"/>
          <w:b/>
          <w:noProof w:val="0"/>
          <w:sz w:val="24"/>
        </w:rPr>
      </w:pPr>
    </w:p>
    <w:p w:rsidR="00B051D2" w:rsidRDefault="00B051D2" w:rsidP="00B051D2">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rPr>
          <w:rFonts w:ascii="Times New Roman" w:hAnsi="Times New Roman"/>
          <w:noProof w:val="0"/>
          <w:sz w:val="24"/>
        </w:rPr>
      </w:pPr>
      <w:r>
        <w:rPr>
          <w:rFonts w:ascii="Times New Roman" w:hAnsi="Times New Roman"/>
          <w:noProof w:val="0"/>
          <w:sz w:val="24"/>
        </w:rPr>
        <w:t>The Drug Enforcement Administration (DEA) seeks</w:t>
      </w:r>
      <w:r w:rsidR="00090C0E">
        <w:rPr>
          <w:rFonts w:ascii="Times New Roman" w:hAnsi="Times New Roman"/>
          <w:noProof w:val="0"/>
          <w:sz w:val="24"/>
        </w:rPr>
        <w:t xml:space="preserve"> approval by</w:t>
      </w:r>
      <w:r>
        <w:rPr>
          <w:rFonts w:ascii="Times New Roman" w:hAnsi="Times New Roman"/>
          <w:noProof w:val="0"/>
          <w:sz w:val="24"/>
        </w:rPr>
        <w:t xml:space="preserve"> </w:t>
      </w:r>
      <w:r w:rsidR="009151B2">
        <w:rPr>
          <w:rFonts w:ascii="Times New Roman" w:hAnsi="Times New Roman"/>
          <w:noProof w:val="0"/>
          <w:sz w:val="24"/>
        </w:rPr>
        <w:t xml:space="preserve">the </w:t>
      </w:r>
      <w:r>
        <w:rPr>
          <w:rFonts w:ascii="Times New Roman" w:hAnsi="Times New Roman"/>
          <w:noProof w:val="0"/>
          <w:sz w:val="24"/>
        </w:rPr>
        <w:t xml:space="preserve">Office of Management and Budget (OMB) </w:t>
      </w:r>
      <w:r w:rsidR="007B0BA3">
        <w:rPr>
          <w:rFonts w:ascii="Times New Roman" w:hAnsi="Times New Roman"/>
          <w:noProof w:val="0"/>
          <w:sz w:val="24"/>
        </w:rPr>
        <w:t>for</w:t>
      </w:r>
      <w:r>
        <w:rPr>
          <w:rFonts w:ascii="Times New Roman" w:hAnsi="Times New Roman"/>
          <w:noProof w:val="0"/>
          <w:sz w:val="24"/>
        </w:rPr>
        <w:t xml:space="preserve"> an existing collection of information that was previously approved by OMB</w:t>
      </w:r>
      <w:r w:rsidR="00FB41E0">
        <w:rPr>
          <w:rFonts w:ascii="Times New Roman" w:hAnsi="Times New Roman"/>
          <w:noProof w:val="0"/>
          <w:sz w:val="24"/>
        </w:rPr>
        <w:t xml:space="preserve"> </w:t>
      </w:r>
      <w:r w:rsidR="00FB41E0" w:rsidRPr="00FB41E0">
        <w:rPr>
          <w:rFonts w:ascii="Times New Roman" w:hAnsi="Times New Roman"/>
          <w:noProof w:val="0"/>
          <w:sz w:val="24"/>
        </w:rPr>
        <w:t xml:space="preserve">– </w:t>
      </w:r>
      <w:r w:rsidR="00813BD7">
        <w:rPr>
          <w:rFonts w:ascii="Times New Roman" w:hAnsi="Times New Roman"/>
          <w:noProof w:val="0"/>
          <w:sz w:val="24"/>
        </w:rPr>
        <w:t xml:space="preserve">OMB Approval </w:t>
      </w:r>
      <w:r w:rsidR="00090C0E">
        <w:rPr>
          <w:rFonts w:ascii="Times New Roman" w:hAnsi="Times New Roman"/>
          <w:noProof w:val="0"/>
          <w:sz w:val="24"/>
        </w:rPr>
        <w:t>#</w:t>
      </w:r>
      <w:r w:rsidR="00813BD7">
        <w:rPr>
          <w:rFonts w:ascii="Times New Roman" w:hAnsi="Times New Roman"/>
          <w:noProof w:val="0"/>
          <w:sz w:val="24"/>
        </w:rPr>
        <w:t xml:space="preserve"> </w:t>
      </w:r>
      <w:r w:rsidR="00204E3E" w:rsidRPr="00204E3E">
        <w:rPr>
          <w:rFonts w:ascii="Times New Roman" w:hAnsi="Times New Roman"/>
          <w:noProof w:val="0"/>
          <w:sz w:val="24"/>
        </w:rPr>
        <w:t>1117-0003</w:t>
      </w:r>
      <w:r>
        <w:rPr>
          <w:rFonts w:ascii="Times New Roman" w:hAnsi="Times New Roman"/>
          <w:noProof w:val="0"/>
          <w:sz w:val="24"/>
        </w:rPr>
        <w:t xml:space="preserve">, </w:t>
      </w:r>
      <w:r w:rsidR="00204E3E" w:rsidRPr="00204E3E">
        <w:rPr>
          <w:rFonts w:ascii="Times New Roman" w:hAnsi="Times New Roman"/>
          <w:noProof w:val="0"/>
          <w:sz w:val="24"/>
        </w:rPr>
        <w:t>ARCOS Transaction Reporting, DEA Form 333</w:t>
      </w:r>
      <w:r w:rsidR="00204E3E">
        <w:rPr>
          <w:rFonts w:ascii="Times New Roman" w:hAnsi="Times New Roman"/>
          <w:noProof w:val="0"/>
          <w:sz w:val="24"/>
        </w:rPr>
        <w:t>.</w:t>
      </w:r>
    </w:p>
    <w:p w:rsidR="000C1537" w:rsidRPr="00B051D2" w:rsidRDefault="000C1537" w:rsidP="001A64B0">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rPr>
          <w:rFonts w:ascii="Times New Roman" w:hAnsi="Times New Roman"/>
          <w:b/>
          <w:noProof w:val="0"/>
          <w:sz w:val="24"/>
        </w:rPr>
      </w:pPr>
    </w:p>
    <w:p w:rsidR="000C1537" w:rsidRPr="00B051D2" w:rsidRDefault="001A64B0" w:rsidP="001A64B0">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rPr>
          <w:rFonts w:ascii="Times New Roman" w:hAnsi="Times New Roman"/>
          <w:b/>
          <w:noProof w:val="0"/>
          <w:sz w:val="24"/>
        </w:rPr>
      </w:pPr>
      <w:r w:rsidRPr="00B051D2">
        <w:rPr>
          <w:rFonts w:ascii="Times New Roman" w:hAnsi="Times New Roman"/>
          <w:b/>
          <w:noProof w:val="0"/>
          <w:sz w:val="24"/>
        </w:rPr>
        <w:t xml:space="preserve">Part </w:t>
      </w:r>
      <w:r w:rsidR="000C1537" w:rsidRPr="00B051D2">
        <w:rPr>
          <w:rFonts w:ascii="Times New Roman" w:hAnsi="Times New Roman"/>
          <w:b/>
          <w:noProof w:val="0"/>
          <w:sz w:val="24"/>
        </w:rPr>
        <w:t xml:space="preserve">A. </w:t>
      </w:r>
      <w:r w:rsidR="00D52432">
        <w:rPr>
          <w:rFonts w:ascii="Times New Roman" w:hAnsi="Times New Roman"/>
          <w:b/>
          <w:noProof w:val="0"/>
          <w:sz w:val="24"/>
        </w:rPr>
        <w:t>Justification</w:t>
      </w:r>
    </w:p>
    <w:p w:rsidR="001A64B0" w:rsidRDefault="001A64B0" w:rsidP="001A64B0">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rPr>
          <w:rFonts w:ascii="Times New Roman" w:hAnsi="Times New Roman"/>
          <w:noProof w:val="0"/>
          <w:sz w:val="24"/>
        </w:rPr>
      </w:pPr>
    </w:p>
    <w:p w:rsidR="004202AA" w:rsidRDefault="000C1537" w:rsidP="001A64B0">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1. </w:t>
      </w:r>
      <w:r w:rsidR="00090C0E">
        <w:rPr>
          <w:rFonts w:ascii="Times New Roman" w:hAnsi="Times New Roman"/>
          <w:noProof w:val="0"/>
          <w:sz w:val="24"/>
        </w:rPr>
        <w:t xml:space="preserve"> </w:t>
      </w:r>
      <w:r w:rsidR="004202AA" w:rsidRPr="00B051D2">
        <w:rPr>
          <w:rFonts w:ascii="Times New Roman" w:hAnsi="Times New Roman"/>
          <w:noProof w:val="0"/>
          <w:sz w:val="24"/>
          <w:u w:val="single"/>
        </w:rPr>
        <w:t>Necessity of Information:</w:t>
      </w:r>
    </w:p>
    <w:p w:rsidR="00204E3E" w:rsidRDefault="00204E3E" w:rsidP="001A64B0">
      <w:pPr>
        <w:tabs>
          <w:tab w:val="left" w:pos="720"/>
          <w:tab w:val="left" w:pos="1440"/>
          <w:tab w:val="left" w:pos="2160"/>
        </w:tabs>
        <w:rPr>
          <w:rFonts w:ascii="Times New Roman" w:hAnsi="Times New Roman"/>
          <w:noProof w:val="0"/>
          <w:sz w:val="24"/>
        </w:rPr>
      </w:pPr>
    </w:p>
    <w:p w:rsidR="00CE207E" w:rsidRPr="00204E3E" w:rsidRDefault="00204E3E" w:rsidP="00204E3E">
      <w:pPr>
        <w:tabs>
          <w:tab w:val="left" w:pos="720"/>
          <w:tab w:val="left" w:pos="1440"/>
          <w:tab w:val="left" w:pos="2160"/>
        </w:tabs>
        <w:rPr>
          <w:rFonts w:ascii="Times New Roman" w:hAnsi="Times New Roman"/>
          <w:noProof w:val="0"/>
          <w:sz w:val="24"/>
        </w:rPr>
      </w:pPr>
      <w:r w:rsidRPr="00204E3E">
        <w:rPr>
          <w:rFonts w:ascii="Times New Roman" w:hAnsi="Times New Roman"/>
          <w:noProof w:val="0"/>
          <w:sz w:val="24"/>
        </w:rPr>
        <w:t>Title 21 U.S.C. 827 requires controlled substance manufacturers and distributors to make periodic reports to the DEA regarding the sale, delivery, and other disposal of certain controlled substances.</w:t>
      </w:r>
      <w:r w:rsidR="00D37AA2" w:rsidRPr="00204E3E">
        <w:rPr>
          <w:rFonts w:ascii="Times New Roman" w:hAnsi="Times New Roman"/>
          <w:noProof w:val="0"/>
          <w:sz w:val="24"/>
        </w:rPr>
        <w:t xml:space="preserve">  The implementing regulations are found at 21 CFR 1304.33.</w:t>
      </w:r>
      <w:r w:rsidRPr="00204E3E">
        <w:rPr>
          <w:rFonts w:ascii="Times New Roman" w:hAnsi="Times New Roman"/>
          <w:noProof w:val="0"/>
          <w:sz w:val="24"/>
        </w:rPr>
        <w:t xml:space="preserve">  </w:t>
      </w:r>
      <w:r w:rsidR="006F5C3D">
        <w:rPr>
          <w:rFonts w:ascii="Times New Roman" w:hAnsi="Times New Roman"/>
          <w:noProof w:val="0"/>
          <w:sz w:val="24"/>
        </w:rPr>
        <w:t>T</w:t>
      </w:r>
      <w:r w:rsidR="006F5C3D" w:rsidRPr="00204E3E">
        <w:rPr>
          <w:rFonts w:ascii="Times New Roman" w:hAnsi="Times New Roman"/>
          <w:noProof w:val="0"/>
          <w:sz w:val="24"/>
        </w:rPr>
        <w:t xml:space="preserve">he </w:t>
      </w:r>
      <w:r w:rsidRPr="00204E3E">
        <w:rPr>
          <w:rFonts w:ascii="Times New Roman" w:hAnsi="Times New Roman"/>
          <w:noProof w:val="0"/>
          <w:sz w:val="24"/>
        </w:rPr>
        <w:t>Single Convention on Narcotic Drugs, 1961, and the Convention on Psychotropic Substances, 1971</w:t>
      </w:r>
      <w:r w:rsidR="006F5C3D">
        <w:rPr>
          <w:rFonts w:ascii="Times New Roman" w:hAnsi="Times New Roman"/>
          <w:noProof w:val="0"/>
          <w:sz w:val="24"/>
        </w:rPr>
        <w:t xml:space="preserve">, impose </w:t>
      </w:r>
      <w:r w:rsidR="00695EB5">
        <w:rPr>
          <w:rFonts w:ascii="Times New Roman" w:hAnsi="Times New Roman"/>
          <w:noProof w:val="0"/>
          <w:sz w:val="24"/>
        </w:rPr>
        <w:t xml:space="preserve">certain </w:t>
      </w:r>
      <w:r w:rsidR="006F5C3D">
        <w:rPr>
          <w:rFonts w:ascii="Times New Roman" w:hAnsi="Times New Roman"/>
          <w:noProof w:val="0"/>
          <w:sz w:val="24"/>
        </w:rPr>
        <w:t>reporting obligations on the United States</w:t>
      </w:r>
      <w:r w:rsidR="00695EB5">
        <w:rPr>
          <w:rFonts w:ascii="Times New Roman" w:hAnsi="Times New Roman"/>
          <w:noProof w:val="0"/>
          <w:sz w:val="24"/>
        </w:rPr>
        <w:t xml:space="preserve">, and aggregate data from Form 333s </w:t>
      </w:r>
      <w:r w:rsidR="00695EB5" w:rsidRPr="00204E3E">
        <w:rPr>
          <w:rFonts w:ascii="Times New Roman" w:hAnsi="Times New Roman"/>
          <w:noProof w:val="0"/>
          <w:sz w:val="24"/>
        </w:rPr>
        <w:t>are provided to the International Narcotics Control Board</w:t>
      </w:r>
      <w:r w:rsidR="00695EB5">
        <w:rPr>
          <w:rFonts w:ascii="Times New Roman" w:hAnsi="Times New Roman"/>
          <w:noProof w:val="0"/>
          <w:sz w:val="24"/>
        </w:rPr>
        <w:t xml:space="preserve"> to meet those obligations</w:t>
      </w:r>
      <w:r w:rsidRPr="00204E3E">
        <w:rPr>
          <w:rFonts w:ascii="Times New Roman" w:hAnsi="Times New Roman"/>
          <w:noProof w:val="0"/>
          <w:sz w:val="24"/>
        </w:rPr>
        <w:t>.</w:t>
      </w:r>
    </w:p>
    <w:p w:rsidR="00695627" w:rsidRDefault="00695627" w:rsidP="001A64B0">
      <w:pPr>
        <w:tabs>
          <w:tab w:val="left" w:pos="720"/>
          <w:tab w:val="left" w:pos="1440"/>
          <w:tab w:val="left" w:pos="2160"/>
        </w:tabs>
        <w:rPr>
          <w:rFonts w:ascii="Times New Roman" w:hAnsi="Times New Roman"/>
          <w:noProof w:val="0"/>
          <w:sz w:val="24"/>
        </w:rPr>
      </w:pPr>
    </w:p>
    <w:p w:rsidR="004202AA" w:rsidRDefault="000C1537" w:rsidP="001A64B0">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2. </w:t>
      </w:r>
      <w:r w:rsidR="00090C0E">
        <w:rPr>
          <w:rFonts w:ascii="Times New Roman" w:hAnsi="Times New Roman"/>
          <w:noProof w:val="0"/>
          <w:sz w:val="24"/>
        </w:rPr>
        <w:t xml:space="preserve"> </w:t>
      </w:r>
      <w:r w:rsidR="004202AA" w:rsidRPr="00B051D2">
        <w:rPr>
          <w:rFonts w:ascii="Times New Roman" w:hAnsi="Times New Roman"/>
          <w:noProof w:val="0"/>
          <w:sz w:val="24"/>
          <w:u w:val="single"/>
        </w:rPr>
        <w:t>Needs and Uses:</w:t>
      </w:r>
    </w:p>
    <w:p w:rsidR="001A64B0" w:rsidRDefault="001A64B0" w:rsidP="001A64B0">
      <w:pPr>
        <w:rPr>
          <w:rFonts w:ascii="Times New Roman" w:hAnsi="Times New Roman"/>
          <w:noProof w:val="0"/>
          <w:sz w:val="24"/>
        </w:rPr>
      </w:pPr>
    </w:p>
    <w:p w:rsidR="00204E3E" w:rsidRDefault="00204E3E" w:rsidP="001A64B0">
      <w:pPr>
        <w:rPr>
          <w:rFonts w:ascii="Times New Roman" w:hAnsi="Times New Roman"/>
          <w:noProof w:val="0"/>
          <w:sz w:val="24"/>
        </w:rPr>
      </w:pPr>
      <w:r w:rsidRPr="00204E3E">
        <w:rPr>
          <w:rFonts w:ascii="Times New Roman" w:hAnsi="Times New Roman"/>
          <w:noProof w:val="0"/>
          <w:sz w:val="24"/>
        </w:rPr>
        <w:t xml:space="preserve">The information </w:t>
      </w:r>
      <w:r w:rsidR="006F5C3D">
        <w:rPr>
          <w:rFonts w:ascii="Times New Roman" w:hAnsi="Times New Roman"/>
          <w:noProof w:val="0"/>
          <w:sz w:val="24"/>
        </w:rPr>
        <w:t xml:space="preserve">collected in Form 333 </w:t>
      </w:r>
      <w:r w:rsidRPr="00204E3E">
        <w:rPr>
          <w:rFonts w:ascii="Times New Roman" w:hAnsi="Times New Roman"/>
          <w:noProof w:val="0"/>
          <w:sz w:val="24"/>
        </w:rPr>
        <w:t xml:space="preserve">is used by the DEA </w:t>
      </w:r>
      <w:r w:rsidR="006F5C3D" w:rsidRPr="00204E3E">
        <w:rPr>
          <w:rFonts w:ascii="Times New Roman" w:hAnsi="Times New Roman"/>
          <w:noProof w:val="0"/>
          <w:sz w:val="24"/>
        </w:rPr>
        <w:t xml:space="preserve">to </w:t>
      </w:r>
      <w:r w:rsidR="00695EB5">
        <w:rPr>
          <w:rFonts w:ascii="Times New Roman" w:hAnsi="Times New Roman"/>
          <w:noProof w:val="0"/>
          <w:sz w:val="24"/>
        </w:rPr>
        <w:t>monitor</w:t>
      </w:r>
      <w:r w:rsidR="00695EB5" w:rsidRPr="00204E3E">
        <w:rPr>
          <w:rFonts w:ascii="Times New Roman" w:hAnsi="Times New Roman"/>
          <w:noProof w:val="0"/>
          <w:sz w:val="24"/>
        </w:rPr>
        <w:t xml:space="preserve"> controlled substances through the closed system of distribution</w:t>
      </w:r>
      <w:r w:rsidR="00695EB5">
        <w:rPr>
          <w:rFonts w:ascii="Times New Roman" w:hAnsi="Times New Roman"/>
          <w:noProof w:val="0"/>
          <w:sz w:val="24"/>
        </w:rPr>
        <w:t xml:space="preserve"> and</w:t>
      </w:r>
      <w:r w:rsidR="00695EB5" w:rsidRPr="00204E3E">
        <w:rPr>
          <w:rFonts w:ascii="Times New Roman" w:hAnsi="Times New Roman"/>
          <w:noProof w:val="0"/>
          <w:sz w:val="24"/>
        </w:rPr>
        <w:t xml:space="preserve"> </w:t>
      </w:r>
      <w:r w:rsidR="006F5C3D" w:rsidRPr="00204E3E">
        <w:rPr>
          <w:rFonts w:ascii="Times New Roman" w:hAnsi="Times New Roman"/>
          <w:noProof w:val="0"/>
          <w:sz w:val="24"/>
        </w:rPr>
        <w:t>identify potential diversion of controlled substances</w:t>
      </w:r>
      <w:r w:rsidR="0063648E">
        <w:rPr>
          <w:rFonts w:ascii="Times New Roman" w:hAnsi="Times New Roman"/>
          <w:noProof w:val="0"/>
          <w:sz w:val="24"/>
        </w:rPr>
        <w:t>.</w:t>
      </w:r>
      <w:r w:rsidR="006F5C3D">
        <w:rPr>
          <w:rFonts w:ascii="Times New Roman" w:hAnsi="Times New Roman"/>
          <w:noProof w:val="0"/>
          <w:sz w:val="24"/>
        </w:rPr>
        <w:t xml:space="preserve"> </w:t>
      </w:r>
      <w:r w:rsidR="0063648E">
        <w:rPr>
          <w:rFonts w:ascii="Times New Roman" w:hAnsi="Times New Roman"/>
          <w:noProof w:val="0"/>
          <w:sz w:val="24"/>
        </w:rPr>
        <w:t xml:space="preserve"> S</w:t>
      </w:r>
      <w:r w:rsidRPr="00204E3E">
        <w:rPr>
          <w:rFonts w:ascii="Times New Roman" w:hAnsi="Times New Roman"/>
          <w:noProof w:val="0"/>
          <w:sz w:val="24"/>
        </w:rPr>
        <w:t>elected substances</w:t>
      </w:r>
      <w:r w:rsidR="006F5C3D">
        <w:rPr>
          <w:rFonts w:ascii="Times New Roman" w:hAnsi="Times New Roman"/>
          <w:noProof w:val="0"/>
          <w:sz w:val="24"/>
        </w:rPr>
        <w:t xml:space="preserve"> are tracked</w:t>
      </w:r>
      <w:r w:rsidRPr="00204E3E">
        <w:rPr>
          <w:rFonts w:ascii="Times New Roman" w:hAnsi="Times New Roman"/>
          <w:noProof w:val="0"/>
          <w:sz w:val="24"/>
        </w:rPr>
        <w:t xml:space="preserve"> from point of manufacture to point of sale, distribution, or other disposition to the dispensing (consumption) level.  </w:t>
      </w:r>
      <w:r w:rsidR="006F5C3D">
        <w:rPr>
          <w:rFonts w:ascii="Times New Roman" w:hAnsi="Times New Roman"/>
          <w:noProof w:val="0"/>
          <w:sz w:val="24"/>
        </w:rPr>
        <w:t xml:space="preserve">In addition to </w:t>
      </w:r>
      <w:r w:rsidR="006F5C3D" w:rsidRPr="00204E3E">
        <w:rPr>
          <w:rFonts w:ascii="Times New Roman" w:hAnsi="Times New Roman"/>
          <w:noProof w:val="0"/>
          <w:sz w:val="24"/>
        </w:rPr>
        <w:t>provid</w:t>
      </w:r>
      <w:r w:rsidR="006F5C3D">
        <w:rPr>
          <w:rFonts w:ascii="Times New Roman" w:hAnsi="Times New Roman"/>
          <w:noProof w:val="0"/>
          <w:sz w:val="24"/>
        </w:rPr>
        <w:t>ing</w:t>
      </w:r>
      <w:r w:rsidR="006F5C3D" w:rsidRPr="00204E3E">
        <w:rPr>
          <w:rFonts w:ascii="Times New Roman" w:hAnsi="Times New Roman"/>
          <w:noProof w:val="0"/>
          <w:sz w:val="24"/>
        </w:rPr>
        <w:t xml:space="preserve"> </w:t>
      </w:r>
      <w:r w:rsidR="006F5C3D">
        <w:rPr>
          <w:rFonts w:ascii="Times New Roman" w:hAnsi="Times New Roman"/>
          <w:noProof w:val="0"/>
          <w:sz w:val="24"/>
        </w:rPr>
        <w:t xml:space="preserve">an important </w:t>
      </w:r>
      <w:r w:rsidR="0063648E">
        <w:rPr>
          <w:rFonts w:ascii="Times New Roman" w:hAnsi="Times New Roman"/>
          <w:noProof w:val="0"/>
          <w:sz w:val="24"/>
        </w:rPr>
        <w:t>enforcement mechanism for the DEA</w:t>
      </w:r>
      <w:r w:rsidR="00695EB5">
        <w:rPr>
          <w:rFonts w:ascii="Times New Roman" w:hAnsi="Times New Roman"/>
          <w:noProof w:val="0"/>
          <w:sz w:val="24"/>
        </w:rPr>
        <w:t>,</w:t>
      </w:r>
      <w:r w:rsidR="006F5C3D" w:rsidRPr="00204E3E">
        <w:rPr>
          <w:rFonts w:ascii="Times New Roman" w:hAnsi="Times New Roman"/>
          <w:noProof w:val="0"/>
          <w:sz w:val="24"/>
        </w:rPr>
        <w:t xml:space="preserve"> </w:t>
      </w:r>
      <w:r w:rsidR="00695EB5">
        <w:rPr>
          <w:rFonts w:ascii="Times New Roman" w:hAnsi="Times New Roman"/>
          <w:noProof w:val="0"/>
          <w:sz w:val="24"/>
        </w:rPr>
        <w:t>t</w:t>
      </w:r>
      <w:r w:rsidRPr="00204E3E">
        <w:rPr>
          <w:rFonts w:ascii="Times New Roman" w:hAnsi="Times New Roman"/>
          <w:noProof w:val="0"/>
          <w:sz w:val="24"/>
        </w:rPr>
        <w:t xml:space="preserve">he consumption figures are </w:t>
      </w:r>
      <w:r w:rsidR="00695EB5">
        <w:rPr>
          <w:rFonts w:ascii="Times New Roman" w:hAnsi="Times New Roman"/>
          <w:noProof w:val="0"/>
          <w:sz w:val="24"/>
        </w:rPr>
        <w:t xml:space="preserve">used </w:t>
      </w:r>
      <w:r w:rsidRPr="00204E3E">
        <w:rPr>
          <w:rFonts w:ascii="Times New Roman" w:hAnsi="Times New Roman"/>
          <w:noProof w:val="0"/>
          <w:sz w:val="24"/>
        </w:rPr>
        <w:t xml:space="preserve">to fulfill </w:t>
      </w:r>
      <w:r w:rsidR="0063648E">
        <w:rPr>
          <w:rFonts w:ascii="Times New Roman" w:hAnsi="Times New Roman"/>
          <w:noProof w:val="0"/>
          <w:sz w:val="24"/>
        </w:rPr>
        <w:t xml:space="preserve">the United States’ </w:t>
      </w:r>
      <w:r w:rsidRPr="00204E3E">
        <w:rPr>
          <w:rFonts w:ascii="Times New Roman" w:hAnsi="Times New Roman"/>
          <w:noProof w:val="0"/>
          <w:sz w:val="24"/>
        </w:rPr>
        <w:t>international treaty obligations.</w:t>
      </w:r>
    </w:p>
    <w:p w:rsidR="00204E3E" w:rsidRDefault="00204E3E" w:rsidP="001A64B0">
      <w:pPr>
        <w:rPr>
          <w:rFonts w:ascii="Times New Roman" w:hAnsi="Times New Roman"/>
          <w:noProof w:val="0"/>
          <w:sz w:val="24"/>
        </w:rPr>
      </w:pPr>
    </w:p>
    <w:p w:rsidR="004202AA" w:rsidRDefault="000C1537" w:rsidP="00823529">
      <w:pPr>
        <w:rPr>
          <w:rFonts w:ascii="Times New Roman" w:hAnsi="Times New Roman"/>
          <w:noProof w:val="0"/>
          <w:sz w:val="24"/>
        </w:rPr>
      </w:pPr>
      <w:r>
        <w:rPr>
          <w:rFonts w:ascii="Times New Roman" w:hAnsi="Times New Roman"/>
          <w:noProof w:val="0"/>
          <w:sz w:val="24"/>
        </w:rPr>
        <w:t xml:space="preserve">3. </w:t>
      </w:r>
      <w:r w:rsidR="00090C0E">
        <w:rPr>
          <w:rFonts w:ascii="Times New Roman" w:hAnsi="Times New Roman"/>
          <w:noProof w:val="0"/>
          <w:sz w:val="24"/>
        </w:rPr>
        <w:t xml:space="preserve"> </w:t>
      </w:r>
      <w:r w:rsidR="00F304A0" w:rsidRPr="0068163E">
        <w:rPr>
          <w:rFonts w:ascii="Times New Roman" w:hAnsi="Times New Roman"/>
          <w:noProof w:val="0"/>
          <w:sz w:val="24"/>
          <w:u w:val="single"/>
        </w:rPr>
        <w:t xml:space="preserve">Use of Information </w:t>
      </w:r>
      <w:r w:rsidR="004202AA" w:rsidRPr="0068163E">
        <w:rPr>
          <w:rFonts w:ascii="Times New Roman" w:hAnsi="Times New Roman"/>
          <w:noProof w:val="0"/>
          <w:sz w:val="24"/>
          <w:u w:val="single"/>
        </w:rPr>
        <w:t>Technology</w:t>
      </w:r>
      <w:r w:rsidR="004202AA" w:rsidRPr="00CE3759">
        <w:rPr>
          <w:rFonts w:ascii="Times New Roman" w:hAnsi="Times New Roman"/>
          <w:noProof w:val="0"/>
          <w:sz w:val="24"/>
          <w:u w:val="single"/>
        </w:rPr>
        <w:t>:</w:t>
      </w:r>
    </w:p>
    <w:p w:rsidR="00B91C3E" w:rsidRDefault="00B91C3E" w:rsidP="00B91C3E">
      <w:pPr>
        <w:tabs>
          <w:tab w:val="left" w:pos="720"/>
          <w:tab w:val="left" w:pos="1440"/>
          <w:tab w:val="left" w:pos="2160"/>
        </w:tabs>
        <w:rPr>
          <w:rFonts w:ascii="Times New Roman" w:hAnsi="Times New Roman"/>
          <w:sz w:val="24"/>
        </w:rPr>
      </w:pPr>
    </w:p>
    <w:p w:rsidR="00204E3E" w:rsidRDefault="00204E3E" w:rsidP="00B91C3E">
      <w:pPr>
        <w:tabs>
          <w:tab w:val="left" w:pos="720"/>
          <w:tab w:val="left" w:pos="1440"/>
          <w:tab w:val="left" w:pos="2160"/>
        </w:tabs>
        <w:rPr>
          <w:rFonts w:ascii="Times New Roman" w:hAnsi="Times New Roman"/>
          <w:sz w:val="24"/>
        </w:rPr>
      </w:pPr>
      <w:r w:rsidRPr="00204E3E">
        <w:rPr>
          <w:rFonts w:ascii="Times New Roman" w:hAnsi="Times New Roman"/>
          <w:sz w:val="24"/>
        </w:rPr>
        <w:t xml:space="preserve">Since the reporting requirement is applied to an industry, the overall burden is controlled by the number of firms in the industry and the amount of business conducted.  The burden is eased by </w:t>
      </w:r>
      <w:r w:rsidR="002C7A4E">
        <w:rPr>
          <w:rFonts w:ascii="Times New Roman" w:hAnsi="Times New Roman"/>
          <w:sz w:val="24"/>
        </w:rPr>
        <w:t xml:space="preserve">reporting </w:t>
      </w:r>
      <w:r w:rsidR="002131C5">
        <w:rPr>
          <w:rFonts w:ascii="Times New Roman" w:hAnsi="Times New Roman"/>
          <w:sz w:val="24"/>
        </w:rPr>
        <w:t>options provide</w:t>
      </w:r>
      <w:r w:rsidR="002C7A4E">
        <w:rPr>
          <w:rFonts w:ascii="Times New Roman" w:hAnsi="Times New Roman"/>
          <w:sz w:val="24"/>
        </w:rPr>
        <w:t>d</w:t>
      </w:r>
      <w:r w:rsidR="002131C5">
        <w:rPr>
          <w:rFonts w:ascii="Times New Roman" w:hAnsi="Times New Roman"/>
          <w:sz w:val="24"/>
        </w:rPr>
        <w:t xml:space="preserve"> by automation of data exchange through an online application and/or</w:t>
      </w:r>
      <w:r w:rsidRPr="00204E3E">
        <w:rPr>
          <w:rFonts w:ascii="Times New Roman" w:hAnsi="Times New Roman"/>
          <w:sz w:val="24"/>
        </w:rPr>
        <w:t xml:space="preserve"> </w:t>
      </w:r>
      <w:r w:rsidRPr="00A00FEF">
        <w:rPr>
          <w:rFonts w:ascii="Times New Roman" w:hAnsi="Times New Roman"/>
          <w:sz w:val="24"/>
        </w:rPr>
        <w:t xml:space="preserve">electronic data interchange, as an alternative to the standard </w:t>
      </w:r>
      <w:r w:rsidR="002131C5">
        <w:rPr>
          <w:rFonts w:ascii="Times New Roman" w:hAnsi="Times New Roman"/>
          <w:sz w:val="24"/>
        </w:rPr>
        <w:t xml:space="preserve">manual </w:t>
      </w:r>
      <w:r w:rsidRPr="00A00FEF">
        <w:rPr>
          <w:rFonts w:ascii="Times New Roman" w:hAnsi="Times New Roman"/>
          <w:sz w:val="24"/>
        </w:rPr>
        <w:t xml:space="preserve">reporting form.  Currently, electronic reporting makes up </w:t>
      </w:r>
      <w:r w:rsidR="00660DED">
        <w:rPr>
          <w:rFonts w:ascii="Times New Roman" w:hAnsi="Times New Roman"/>
          <w:sz w:val="24"/>
        </w:rPr>
        <w:t>9</w:t>
      </w:r>
      <w:r w:rsidR="00AB512E">
        <w:rPr>
          <w:rFonts w:ascii="Times New Roman" w:hAnsi="Times New Roman"/>
          <w:sz w:val="24"/>
        </w:rPr>
        <w:t>7</w:t>
      </w:r>
      <w:r w:rsidRPr="00A00FEF">
        <w:rPr>
          <w:rFonts w:ascii="Times New Roman" w:hAnsi="Times New Roman"/>
          <w:sz w:val="24"/>
        </w:rPr>
        <w:t>% of the data collected.</w:t>
      </w:r>
    </w:p>
    <w:p w:rsidR="002C7A4E" w:rsidRDefault="002C7A4E" w:rsidP="00B91C3E">
      <w:pPr>
        <w:tabs>
          <w:tab w:val="left" w:pos="720"/>
          <w:tab w:val="left" w:pos="1440"/>
          <w:tab w:val="left" w:pos="2160"/>
        </w:tabs>
        <w:rPr>
          <w:rFonts w:ascii="Times New Roman" w:hAnsi="Times New Roman"/>
          <w:sz w:val="24"/>
        </w:rPr>
      </w:pPr>
    </w:p>
    <w:p w:rsidR="004202AA" w:rsidRDefault="000C1537" w:rsidP="00823529">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4. </w:t>
      </w:r>
      <w:r w:rsidR="00090C0E">
        <w:rPr>
          <w:rFonts w:ascii="Times New Roman" w:hAnsi="Times New Roman"/>
          <w:noProof w:val="0"/>
          <w:sz w:val="24"/>
        </w:rPr>
        <w:t xml:space="preserve"> </w:t>
      </w:r>
      <w:r w:rsidR="004202AA" w:rsidRPr="00B051D2">
        <w:rPr>
          <w:rFonts w:ascii="Times New Roman" w:hAnsi="Times New Roman"/>
          <w:noProof w:val="0"/>
          <w:sz w:val="24"/>
          <w:u w:val="single"/>
        </w:rPr>
        <w:t>Efforts to Identify Duplication:</w:t>
      </w:r>
    </w:p>
    <w:p w:rsidR="00204E3E" w:rsidRDefault="00204E3E" w:rsidP="00A00BBC">
      <w:pPr>
        <w:tabs>
          <w:tab w:val="left" w:pos="720"/>
          <w:tab w:val="left" w:pos="1440"/>
          <w:tab w:val="left" w:pos="2160"/>
        </w:tabs>
        <w:rPr>
          <w:rFonts w:ascii="Times New Roman" w:hAnsi="Times New Roman"/>
          <w:noProof w:val="0"/>
          <w:sz w:val="24"/>
        </w:rPr>
      </w:pPr>
    </w:p>
    <w:p w:rsidR="00204E3E" w:rsidRDefault="00204E3E" w:rsidP="00A00BBC">
      <w:pPr>
        <w:tabs>
          <w:tab w:val="left" w:pos="720"/>
          <w:tab w:val="left" w:pos="1440"/>
          <w:tab w:val="left" w:pos="2160"/>
        </w:tabs>
        <w:rPr>
          <w:rFonts w:ascii="Times New Roman" w:hAnsi="Times New Roman"/>
          <w:noProof w:val="0"/>
          <w:sz w:val="24"/>
        </w:rPr>
      </w:pPr>
      <w:r w:rsidRPr="00204E3E">
        <w:rPr>
          <w:rFonts w:ascii="Times New Roman" w:hAnsi="Times New Roman"/>
          <w:noProof w:val="0"/>
          <w:sz w:val="24"/>
        </w:rPr>
        <w:t>The DEA has made efforts to identify and prevent duplication of the collect</w:t>
      </w:r>
      <w:r>
        <w:rPr>
          <w:rFonts w:ascii="Times New Roman" w:hAnsi="Times New Roman"/>
          <w:noProof w:val="0"/>
          <w:sz w:val="24"/>
        </w:rPr>
        <w:t>i</w:t>
      </w:r>
      <w:r w:rsidRPr="00204E3E">
        <w:rPr>
          <w:rFonts w:ascii="Times New Roman" w:hAnsi="Times New Roman"/>
          <w:noProof w:val="0"/>
          <w:sz w:val="24"/>
        </w:rPr>
        <w:t>on of information.</w:t>
      </w:r>
      <w:r>
        <w:rPr>
          <w:rFonts w:ascii="Times New Roman" w:hAnsi="Times New Roman"/>
          <w:noProof w:val="0"/>
          <w:sz w:val="24"/>
        </w:rPr>
        <w:t xml:space="preserve">  </w:t>
      </w:r>
      <w:r w:rsidRPr="00204E3E">
        <w:rPr>
          <w:rFonts w:ascii="Times New Roman" w:hAnsi="Times New Roman"/>
          <w:noProof w:val="0"/>
          <w:sz w:val="24"/>
        </w:rPr>
        <w:t>DEA Form 333</w:t>
      </w:r>
      <w:r w:rsidR="00B954D8">
        <w:rPr>
          <w:rFonts w:ascii="Times New Roman" w:hAnsi="Times New Roman"/>
          <w:noProof w:val="0"/>
          <w:sz w:val="24"/>
        </w:rPr>
        <w:t xml:space="preserve"> has been reviewed for possible duplication, and been determined not to be</w:t>
      </w:r>
      <w:r w:rsidRPr="00204E3E">
        <w:rPr>
          <w:rFonts w:ascii="Times New Roman" w:hAnsi="Times New Roman"/>
          <w:noProof w:val="0"/>
          <w:sz w:val="24"/>
        </w:rPr>
        <w:t xml:space="preserve"> duplicative.  The collection of </w:t>
      </w:r>
      <w:r w:rsidR="00B954D8">
        <w:rPr>
          <w:rFonts w:ascii="Times New Roman" w:hAnsi="Times New Roman"/>
          <w:noProof w:val="0"/>
          <w:sz w:val="24"/>
        </w:rPr>
        <w:t xml:space="preserve">the </w:t>
      </w:r>
      <w:r w:rsidRPr="00204E3E">
        <w:rPr>
          <w:rFonts w:ascii="Times New Roman" w:hAnsi="Times New Roman"/>
          <w:noProof w:val="0"/>
          <w:sz w:val="24"/>
        </w:rPr>
        <w:t xml:space="preserve">information </w:t>
      </w:r>
      <w:r w:rsidR="00B954D8">
        <w:rPr>
          <w:rFonts w:ascii="Times New Roman" w:hAnsi="Times New Roman"/>
          <w:noProof w:val="0"/>
          <w:sz w:val="24"/>
        </w:rPr>
        <w:t xml:space="preserve">in Form 333 </w:t>
      </w:r>
      <w:r w:rsidRPr="00204E3E">
        <w:rPr>
          <w:rFonts w:ascii="Times New Roman" w:hAnsi="Times New Roman"/>
          <w:noProof w:val="0"/>
          <w:sz w:val="24"/>
        </w:rPr>
        <w:t>is unique to the DEA</w:t>
      </w:r>
      <w:r w:rsidR="000C0B70">
        <w:rPr>
          <w:rFonts w:ascii="Times New Roman" w:hAnsi="Times New Roman"/>
          <w:noProof w:val="0"/>
          <w:sz w:val="24"/>
        </w:rPr>
        <w:t xml:space="preserve">; </w:t>
      </w:r>
      <w:r w:rsidR="000C0B70" w:rsidRPr="00204E3E">
        <w:rPr>
          <w:rFonts w:ascii="Times New Roman" w:hAnsi="Times New Roman"/>
          <w:noProof w:val="0"/>
          <w:sz w:val="24"/>
        </w:rPr>
        <w:t xml:space="preserve">this </w:t>
      </w:r>
      <w:r w:rsidR="00B954D8">
        <w:rPr>
          <w:rFonts w:ascii="Times New Roman" w:hAnsi="Times New Roman"/>
          <w:noProof w:val="0"/>
          <w:sz w:val="24"/>
        </w:rPr>
        <w:t>reporting</w:t>
      </w:r>
      <w:r w:rsidR="00B954D8" w:rsidRPr="00204E3E">
        <w:rPr>
          <w:rFonts w:ascii="Times New Roman" w:hAnsi="Times New Roman"/>
          <w:noProof w:val="0"/>
          <w:sz w:val="24"/>
        </w:rPr>
        <w:t xml:space="preserve"> </w:t>
      </w:r>
      <w:r w:rsidR="000C0B70" w:rsidRPr="00204E3E">
        <w:rPr>
          <w:rFonts w:ascii="Times New Roman" w:hAnsi="Times New Roman"/>
          <w:noProof w:val="0"/>
          <w:sz w:val="24"/>
        </w:rPr>
        <w:t xml:space="preserve">system is the only one of its kind in the United States, </w:t>
      </w:r>
      <w:r w:rsidR="000C0B70">
        <w:rPr>
          <w:rFonts w:ascii="Times New Roman" w:hAnsi="Times New Roman"/>
          <w:noProof w:val="0"/>
          <w:sz w:val="24"/>
        </w:rPr>
        <w:t xml:space="preserve">and </w:t>
      </w:r>
      <w:r w:rsidR="000C0B70" w:rsidRPr="00204E3E">
        <w:rPr>
          <w:rFonts w:ascii="Times New Roman" w:hAnsi="Times New Roman"/>
          <w:noProof w:val="0"/>
          <w:sz w:val="24"/>
        </w:rPr>
        <w:t>the aggregated information cannot be obtained anywhere else.</w:t>
      </w:r>
    </w:p>
    <w:p w:rsidR="000C7227" w:rsidRDefault="000C7227" w:rsidP="00A00BBC">
      <w:pPr>
        <w:tabs>
          <w:tab w:val="left" w:pos="720"/>
          <w:tab w:val="left" w:pos="1440"/>
          <w:tab w:val="left" w:pos="2160"/>
        </w:tabs>
        <w:rPr>
          <w:rFonts w:ascii="Times New Roman" w:hAnsi="Times New Roman"/>
          <w:noProof w:val="0"/>
          <w:sz w:val="24"/>
        </w:rPr>
      </w:pPr>
    </w:p>
    <w:p w:rsidR="00BE1BD3" w:rsidRDefault="00BE1BD3" w:rsidP="00A00BBC">
      <w:pPr>
        <w:tabs>
          <w:tab w:val="left" w:pos="720"/>
          <w:tab w:val="left" w:pos="1440"/>
          <w:tab w:val="left" w:pos="2160"/>
        </w:tabs>
        <w:rPr>
          <w:rFonts w:ascii="Times New Roman" w:hAnsi="Times New Roman"/>
          <w:noProof w:val="0"/>
          <w:sz w:val="24"/>
        </w:rPr>
      </w:pPr>
    </w:p>
    <w:p w:rsidR="00BE1BD3" w:rsidRDefault="00BE1BD3" w:rsidP="00A00BBC">
      <w:pPr>
        <w:tabs>
          <w:tab w:val="left" w:pos="720"/>
          <w:tab w:val="left" w:pos="1440"/>
          <w:tab w:val="left" w:pos="2160"/>
        </w:tabs>
        <w:rPr>
          <w:rFonts w:ascii="Times New Roman" w:hAnsi="Times New Roman"/>
          <w:noProof w:val="0"/>
          <w:sz w:val="24"/>
        </w:rPr>
      </w:pPr>
    </w:p>
    <w:p w:rsidR="004202AA" w:rsidRDefault="000C1537" w:rsidP="004C5F91">
      <w:pPr>
        <w:tabs>
          <w:tab w:val="left" w:pos="720"/>
          <w:tab w:val="left" w:pos="1440"/>
          <w:tab w:val="left" w:pos="2160"/>
        </w:tabs>
        <w:rPr>
          <w:rFonts w:ascii="Times New Roman" w:hAnsi="Times New Roman"/>
          <w:noProof w:val="0"/>
          <w:sz w:val="24"/>
        </w:rPr>
      </w:pPr>
      <w:r>
        <w:rPr>
          <w:rFonts w:ascii="Times New Roman" w:hAnsi="Times New Roman"/>
          <w:noProof w:val="0"/>
          <w:sz w:val="24"/>
        </w:rPr>
        <w:lastRenderedPageBreak/>
        <w:t xml:space="preserve">5. </w:t>
      </w:r>
      <w:r w:rsidR="00090C0E">
        <w:rPr>
          <w:rFonts w:ascii="Times New Roman" w:hAnsi="Times New Roman"/>
          <w:noProof w:val="0"/>
          <w:sz w:val="24"/>
        </w:rPr>
        <w:t xml:space="preserve"> </w:t>
      </w:r>
      <w:r w:rsidR="00B051D2" w:rsidRPr="00B051D2">
        <w:rPr>
          <w:rFonts w:ascii="Times New Roman" w:hAnsi="Times New Roman"/>
          <w:noProof w:val="0"/>
          <w:sz w:val="24"/>
          <w:u w:val="single"/>
        </w:rPr>
        <w:t>Impact on Small Businesses or Entities</w:t>
      </w:r>
      <w:r w:rsidR="004202AA" w:rsidRPr="00B051D2">
        <w:rPr>
          <w:rFonts w:ascii="Times New Roman" w:hAnsi="Times New Roman"/>
          <w:noProof w:val="0"/>
          <w:sz w:val="24"/>
          <w:u w:val="single"/>
        </w:rPr>
        <w:t>:</w:t>
      </w:r>
    </w:p>
    <w:p w:rsidR="001A64B0" w:rsidRDefault="001A64B0" w:rsidP="00A00BBC">
      <w:pPr>
        <w:rPr>
          <w:rFonts w:ascii="Times New Roman" w:hAnsi="Times New Roman"/>
          <w:noProof w:val="0"/>
          <w:sz w:val="24"/>
        </w:rPr>
      </w:pPr>
    </w:p>
    <w:p w:rsidR="00204E3E" w:rsidRDefault="00204E3E" w:rsidP="00A00BBC">
      <w:pPr>
        <w:rPr>
          <w:rFonts w:ascii="Times New Roman" w:hAnsi="Times New Roman"/>
          <w:noProof w:val="0"/>
          <w:sz w:val="24"/>
        </w:rPr>
      </w:pPr>
      <w:r w:rsidRPr="00204E3E">
        <w:rPr>
          <w:rFonts w:ascii="Times New Roman" w:hAnsi="Times New Roman"/>
          <w:noProof w:val="0"/>
          <w:sz w:val="24"/>
        </w:rPr>
        <w:t>The DEA does not anticipate any additional impact on small businesses or other small entities since the initial approval of this form</w:t>
      </w:r>
      <w:r w:rsidR="0062505D">
        <w:rPr>
          <w:rFonts w:ascii="Times New Roman" w:hAnsi="Times New Roman"/>
          <w:noProof w:val="0"/>
          <w:sz w:val="24"/>
        </w:rPr>
        <w:t>.</w:t>
      </w:r>
      <w:r w:rsidRPr="00204E3E">
        <w:rPr>
          <w:rFonts w:ascii="Times New Roman" w:hAnsi="Times New Roman"/>
          <w:noProof w:val="0"/>
          <w:sz w:val="24"/>
        </w:rPr>
        <w:t xml:space="preserve"> </w:t>
      </w:r>
      <w:r w:rsidR="0062505D">
        <w:rPr>
          <w:rFonts w:ascii="Times New Roman" w:hAnsi="Times New Roman"/>
          <w:noProof w:val="0"/>
          <w:sz w:val="24"/>
        </w:rPr>
        <w:t xml:space="preserve"> </w:t>
      </w:r>
      <w:r w:rsidR="00D970F8">
        <w:rPr>
          <w:rFonts w:ascii="Times New Roman" w:hAnsi="Times New Roman"/>
          <w:noProof w:val="0"/>
          <w:sz w:val="24"/>
        </w:rPr>
        <w:t>T</w:t>
      </w:r>
      <w:r w:rsidR="00D970F8" w:rsidRPr="00204E3E">
        <w:rPr>
          <w:rFonts w:ascii="Times New Roman" w:hAnsi="Times New Roman"/>
          <w:noProof w:val="0"/>
          <w:sz w:val="24"/>
        </w:rPr>
        <w:t xml:space="preserve">he </w:t>
      </w:r>
      <w:r w:rsidRPr="00204E3E">
        <w:rPr>
          <w:rFonts w:ascii="Times New Roman" w:hAnsi="Times New Roman"/>
          <w:noProof w:val="0"/>
          <w:sz w:val="24"/>
        </w:rPr>
        <w:t>collection will not have a significant economic impact on small businesses or other small entities within the meaning and intent of the Regulatory Flexibility Act, 5 U.S.C. 601-612.</w:t>
      </w:r>
    </w:p>
    <w:p w:rsidR="00E975C5" w:rsidRDefault="00E975C5" w:rsidP="00A00BBC">
      <w:pPr>
        <w:rPr>
          <w:rFonts w:ascii="Times New Roman" w:hAnsi="Times New Roman"/>
          <w:noProof w:val="0"/>
          <w:sz w:val="24"/>
        </w:rPr>
      </w:pPr>
    </w:p>
    <w:p w:rsidR="004202AA" w:rsidRDefault="000C1537" w:rsidP="00A00BBC">
      <w:pPr>
        <w:rPr>
          <w:rFonts w:ascii="Times New Roman" w:hAnsi="Times New Roman"/>
          <w:noProof w:val="0"/>
          <w:sz w:val="24"/>
        </w:rPr>
      </w:pPr>
      <w:r>
        <w:rPr>
          <w:rFonts w:ascii="Times New Roman" w:hAnsi="Times New Roman"/>
          <w:noProof w:val="0"/>
          <w:sz w:val="24"/>
        </w:rPr>
        <w:t xml:space="preserve">6. </w:t>
      </w:r>
      <w:r w:rsidR="00090C0E">
        <w:rPr>
          <w:rFonts w:ascii="Times New Roman" w:hAnsi="Times New Roman"/>
          <w:noProof w:val="0"/>
          <w:sz w:val="24"/>
        </w:rPr>
        <w:t xml:space="preserve"> </w:t>
      </w:r>
      <w:r w:rsidR="004202AA" w:rsidRPr="00B051D2">
        <w:rPr>
          <w:rFonts w:ascii="Times New Roman" w:hAnsi="Times New Roman"/>
          <w:noProof w:val="0"/>
          <w:sz w:val="24"/>
          <w:u w:val="single"/>
        </w:rPr>
        <w:t>Consequences of Less Frequent Collection:</w:t>
      </w:r>
    </w:p>
    <w:p w:rsidR="001A64B0" w:rsidRDefault="001A64B0" w:rsidP="00A00BBC">
      <w:pPr>
        <w:rPr>
          <w:rFonts w:ascii="Times New Roman" w:hAnsi="Times New Roman"/>
          <w:noProof w:val="0"/>
          <w:sz w:val="24"/>
        </w:rPr>
      </w:pPr>
    </w:p>
    <w:p w:rsidR="00204E3E" w:rsidRDefault="00204E3E" w:rsidP="00A00BBC">
      <w:pPr>
        <w:rPr>
          <w:rFonts w:ascii="Times New Roman" w:hAnsi="Times New Roman"/>
          <w:noProof w:val="0"/>
          <w:sz w:val="24"/>
        </w:rPr>
      </w:pPr>
      <w:r w:rsidRPr="00204E3E">
        <w:rPr>
          <w:rFonts w:ascii="Times New Roman" w:hAnsi="Times New Roman"/>
          <w:noProof w:val="0"/>
          <w:sz w:val="24"/>
        </w:rPr>
        <w:t xml:space="preserve">The DEA uses the information collected to monitor the movement of certain controlled substances.  If </w:t>
      </w:r>
      <w:r w:rsidR="00BB09FA">
        <w:rPr>
          <w:rFonts w:ascii="Times New Roman" w:hAnsi="Times New Roman"/>
          <w:noProof w:val="0"/>
          <w:sz w:val="24"/>
        </w:rPr>
        <w:t>collection</w:t>
      </w:r>
      <w:r w:rsidR="00BB09FA" w:rsidRPr="00204E3E">
        <w:rPr>
          <w:rFonts w:ascii="Times New Roman" w:hAnsi="Times New Roman"/>
          <w:noProof w:val="0"/>
          <w:sz w:val="24"/>
        </w:rPr>
        <w:t xml:space="preserve"> were</w:t>
      </w:r>
      <w:r w:rsidR="00941C45" w:rsidRPr="00204E3E">
        <w:rPr>
          <w:rFonts w:ascii="Times New Roman" w:hAnsi="Times New Roman"/>
          <w:noProof w:val="0"/>
          <w:sz w:val="24"/>
        </w:rPr>
        <w:t xml:space="preserve"> </w:t>
      </w:r>
      <w:r w:rsidRPr="00204E3E">
        <w:rPr>
          <w:rFonts w:ascii="Times New Roman" w:hAnsi="Times New Roman"/>
          <w:noProof w:val="0"/>
          <w:sz w:val="24"/>
        </w:rPr>
        <w:t>not conducted</w:t>
      </w:r>
      <w:r w:rsidR="00D76C8D">
        <w:rPr>
          <w:rFonts w:ascii="Times New Roman" w:hAnsi="Times New Roman"/>
          <w:noProof w:val="0"/>
          <w:sz w:val="24"/>
        </w:rPr>
        <w:t>,</w:t>
      </w:r>
      <w:r w:rsidRPr="00204E3E">
        <w:rPr>
          <w:rFonts w:ascii="Times New Roman" w:hAnsi="Times New Roman"/>
          <w:noProof w:val="0"/>
          <w:sz w:val="24"/>
        </w:rPr>
        <w:t xml:space="preserve"> or </w:t>
      </w:r>
      <w:r w:rsidR="007B69F5">
        <w:rPr>
          <w:rFonts w:ascii="Times New Roman" w:hAnsi="Times New Roman"/>
          <w:noProof w:val="0"/>
          <w:sz w:val="24"/>
        </w:rPr>
        <w:t xml:space="preserve">were </w:t>
      </w:r>
      <w:r w:rsidRPr="00204E3E">
        <w:rPr>
          <w:rFonts w:ascii="Times New Roman" w:hAnsi="Times New Roman"/>
          <w:noProof w:val="0"/>
          <w:sz w:val="24"/>
        </w:rPr>
        <w:t>conducted less frequently, the DEA would lose this valuable method of identifying potential areas of diversion, and would be severely restricted from complying with international</w:t>
      </w:r>
      <w:r w:rsidR="0062505D">
        <w:rPr>
          <w:rFonts w:ascii="Times New Roman" w:hAnsi="Times New Roman"/>
          <w:noProof w:val="0"/>
          <w:sz w:val="24"/>
        </w:rPr>
        <w:t xml:space="preserve"> treaty</w:t>
      </w:r>
      <w:r w:rsidRPr="00204E3E">
        <w:rPr>
          <w:rFonts w:ascii="Times New Roman" w:hAnsi="Times New Roman"/>
          <w:noProof w:val="0"/>
          <w:sz w:val="24"/>
        </w:rPr>
        <w:t xml:space="preserve"> obligations.  The </w:t>
      </w:r>
      <w:r w:rsidR="00FD3EB1">
        <w:rPr>
          <w:rFonts w:ascii="Times New Roman" w:hAnsi="Times New Roman"/>
          <w:noProof w:val="0"/>
          <w:sz w:val="24"/>
        </w:rPr>
        <w:t xml:space="preserve">regular collection of the </w:t>
      </w:r>
      <w:r w:rsidRPr="00204E3E">
        <w:rPr>
          <w:rFonts w:ascii="Times New Roman" w:hAnsi="Times New Roman"/>
          <w:noProof w:val="0"/>
          <w:sz w:val="24"/>
        </w:rPr>
        <w:t xml:space="preserve">information </w:t>
      </w:r>
      <w:r w:rsidR="00FD3EB1">
        <w:rPr>
          <w:rFonts w:ascii="Times New Roman" w:hAnsi="Times New Roman"/>
          <w:noProof w:val="0"/>
          <w:sz w:val="24"/>
        </w:rPr>
        <w:t>in</w:t>
      </w:r>
      <w:r w:rsidRPr="00204E3E">
        <w:rPr>
          <w:rFonts w:ascii="Times New Roman" w:hAnsi="Times New Roman"/>
          <w:noProof w:val="0"/>
          <w:sz w:val="24"/>
        </w:rPr>
        <w:t xml:space="preserve"> DEA Form 333 is vital to the enforcement of the </w:t>
      </w:r>
      <w:r w:rsidR="00E34CDA" w:rsidRPr="00E34CDA">
        <w:rPr>
          <w:rFonts w:ascii="Times New Roman" w:hAnsi="Times New Roman"/>
          <w:noProof w:val="0"/>
          <w:sz w:val="24"/>
        </w:rPr>
        <w:t xml:space="preserve">Controlled Substances Act </w:t>
      </w:r>
      <w:r w:rsidR="00E34CDA">
        <w:rPr>
          <w:rFonts w:ascii="Times New Roman" w:hAnsi="Times New Roman"/>
          <w:noProof w:val="0"/>
          <w:sz w:val="24"/>
        </w:rPr>
        <w:t>(</w:t>
      </w:r>
      <w:r w:rsidRPr="00204E3E">
        <w:rPr>
          <w:rFonts w:ascii="Times New Roman" w:hAnsi="Times New Roman"/>
          <w:noProof w:val="0"/>
          <w:sz w:val="24"/>
        </w:rPr>
        <w:t>CSA</w:t>
      </w:r>
      <w:r w:rsidR="00E34CDA">
        <w:rPr>
          <w:rFonts w:ascii="Times New Roman" w:hAnsi="Times New Roman"/>
          <w:noProof w:val="0"/>
          <w:sz w:val="24"/>
        </w:rPr>
        <w:t>)</w:t>
      </w:r>
      <w:r w:rsidRPr="00204E3E">
        <w:rPr>
          <w:rFonts w:ascii="Times New Roman" w:hAnsi="Times New Roman"/>
          <w:noProof w:val="0"/>
          <w:sz w:val="24"/>
        </w:rPr>
        <w:t>.</w:t>
      </w:r>
    </w:p>
    <w:p w:rsidR="008964A5" w:rsidRDefault="008964A5" w:rsidP="00A00BBC">
      <w:pPr>
        <w:rPr>
          <w:rFonts w:ascii="Times New Roman" w:hAnsi="Times New Roman"/>
          <w:noProof w:val="0"/>
          <w:sz w:val="24"/>
        </w:rPr>
      </w:pPr>
    </w:p>
    <w:p w:rsidR="004202AA" w:rsidRDefault="000C1537" w:rsidP="00A00BBC">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7. </w:t>
      </w:r>
      <w:r w:rsidR="00090C0E">
        <w:rPr>
          <w:rFonts w:ascii="Times New Roman" w:hAnsi="Times New Roman"/>
          <w:noProof w:val="0"/>
          <w:sz w:val="24"/>
        </w:rPr>
        <w:t xml:space="preserve"> </w:t>
      </w:r>
      <w:r w:rsidR="004202AA" w:rsidRPr="00B051D2">
        <w:rPr>
          <w:rFonts w:ascii="Times New Roman" w:hAnsi="Times New Roman"/>
          <w:noProof w:val="0"/>
          <w:sz w:val="24"/>
          <w:u w:val="single"/>
        </w:rPr>
        <w:t>Special Circumstances Influencing Collection:</w:t>
      </w:r>
    </w:p>
    <w:p w:rsidR="001A64B0" w:rsidRDefault="001A64B0" w:rsidP="00A00BBC">
      <w:pPr>
        <w:rPr>
          <w:rFonts w:ascii="Times New Roman" w:hAnsi="Times New Roman"/>
          <w:noProof w:val="0"/>
          <w:sz w:val="24"/>
        </w:rPr>
      </w:pPr>
    </w:p>
    <w:p w:rsidR="00204E3E" w:rsidRDefault="00204E3E" w:rsidP="00A00BBC">
      <w:pPr>
        <w:rPr>
          <w:rFonts w:ascii="Times New Roman" w:hAnsi="Times New Roman"/>
          <w:noProof w:val="0"/>
          <w:sz w:val="24"/>
        </w:rPr>
      </w:pPr>
      <w:r w:rsidRPr="00204E3E">
        <w:rPr>
          <w:rFonts w:ascii="Times New Roman" w:hAnsi="Times New Roman"/>
          <w:noProof w:val="0"/>
          <w:sz w:val="24"/>
        </w:rPr>
        <w:t xml:space="preserve">There are no special circumstances </w:t>
      </w:r>
      <w:r>
        <w:rPr>
          <w:rFonts w:ascii="Times New Roman" w:hAnsi="Times New Roman"/>
          <w:noProof w:val="0"/>
          <w:sz w:val="24"/>
        </w:rPr>
        <w:t xml:space="preserve">applicable </w:t>
      </w:r>
      <w:r w:rsidRPr="00204E3E">
        <w:rPr>
          <w:rFonts w:ascii="Times New Roman" w:hAnsi="Times New Roman"/>
          <w:noProof w:val="0"/>
          <w:sz w:val="24"/>
        </w:rPr>
        <w:t>to this information collection.</w:t>
      </w:r>
    </w:p>
    <w:p w:rsidR="00695627" w:rsidRDefault="00695627" w:rsidP="00A00BBC">
      <w:pPr>
        <w:rPr>
          <w:rFonts w:ascii="Times New Roman" w:hAnsi="Times New Roman"/>
          <w:noProof w:val="0"/>
          <w:sz w:val="24"/>
        </w:rPr>
      </w:pPr>
    </w:p>
    <w:p w:rsidR="008E7B3E" w:rsidRDefault="000C1537" w:rsidP="00A00BBC">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8. </w:t>
      </w:r>
      <w:r w:rsidR="00090C0E">
        <w:rPr>
          <w:rFonts w:ascii="Times New Roman" w:hAnsi="Times New Roman"/>
          <w:noProof w:val="0"/>
          <w:sz w:val="24"/>
        </w:rPr>
        <w:t xml:space="preserve"> </w:t>
      </w:r>
      <w:r w:rsidR="00B051D2" w:rsidRPr="00B051D2">
        <w:rPr>
          <w:rFonts w:ascii="Times New Roman" w:hAnsi="Times New Roman"/>
          <w:noProof w:val="0"/>
          <w:sz w:val="24"/>
          <w:u w:val="single"/>
        </w:rPr>
        <w:t>Consultation with persons outside the Agency</w:t>
      </w:r>
      <w:r w:rsidR="008E7B3E" w:rsidRPr="00B051D2">
        <w:rPr>
          <w:rFonts w:ascii="Times New Roman" w:hAnsi="Times New Roman"/>
          <w:noProof w:val="0"/>
          <w:sz w:val="24"/>
          <w:u w:val="single"/>
        </w:rPr>
        <w:t>:</w:t>
      </w:r>
    </w:p>
    <w:p w:rsidR="001A64B0" w:rsidRDefault="001A64B0" w:rsidP="00A00BBC">
      <w:pPr>
        <w:rPr>
          <w:rFonts w:ascii="Times New Roman" w:hAnsi="Times New Roman"/>
          <w:noProof w:val="0"/>
          <w:sz w:val="24"/>
        </w:rPr>
      </w:pPr>
    </w:p>
    <w:p w:rsidR="00072531" w:rsidRDefault="00A52C58" w:rsidP="00A00BBC">
      <w:pPr>
        <w:rPr>
          <w:rFonts w:ascii="Times New Roman" w:hAnsi="Times New Roman"/>
          <w:sz w:val="24"/>
          <w:szCs w:val="24"/>
        </w:rPr>
      </w:pPr>
      <w:r w:rsidRPr="00A52C58">
        <w:rPr>
          <w:rFonts w:ascii="Times New Roman" w:hAnsi="Times New Roman"/>
          <w:sz w:val="24"/>
          <w:szCs w:val="24"/>
        </w:rPr>
        <w:t>Public comment was solicited in the 60</w:t>
      </w:r>
      <w:r w:rsidR="0080166A">
        <w:rPr>
          <w:rFonts w:ascii="Times New Roman" w:hAnsi="Times New Roman"/>
          <w:sz w:val="24"/>
          <w:szCs w:val="24"/>
        </w:rPr>
        <w:t>-</w:t>
      </w:r>
      <w:r w:rsidRPr="00A52C58">
        <w:rPr>
          <w:rFonts w:ascii="Times New Roman" w:hAnsi="Times New Roman"/>
          <w:sz w:val="24"/>
          <w:szCs w:val="24"/>
        </w:rPr>
        <w:t>day Federal Register Notice of Information Collection</w:t>
      </w:r>
      <w:r w:rsidR="009151B2">
        <w:rPr>
          <w:rFonts w:ascii="Times New Roman" w:hAnsi="Times New Roman"/>
          <w:sz w:val="24"/>
          <w:szCs w:val="24"/>
        </w:rPr>
        <w:t>,</w:t>
      </w:r>
      <w:r w:rsidR="001E72F7">
        <w:rPr>
          <w:rFonts w:ascii="Times New Roman" w:hAnsi="Times New Roman"/>
          <w:sz w:val="24"/>
          <w:szCs w:val="24"/>
        </w:rPr>
        <w:t xml:space="preserve"> </w:t>
      </w:r>
      <w:r w:rsidR="00BB09FA">
        <w:rPr>
          <w:rFonts w:ascii="Times New Roman" w:hAnsi="Times New Roman"/>
          <w:sz w:val="24"/>
          <w:szCs w:val="24"/>
        </w:rPr>
        <w:t>82</w:t>
      </w:r>
      <w:r w:rsidRPr="00A52C58">
        <w:rPr>
          <w:rFonts w:ascii="Times New Roman" w:hAnsi="Times New Roman"/>
          <w:sz w:val="24"/>
          <w:szCs w:val="24"/>
        </w:rPr>
        <w:t xml:space="preserve"> FR </w:t>
      </w:r>
      <w:r w:rsidR="00BB09FA">
        <w:rPr>
          <w:rFonts w:ascii="Times New Roman" w:hAnsi="Times New Roman"/>
          <w:sz w:val="24"/>
          <w:szCs w:val="24"/>
        </w:rPr>
        <w:t>37613</w:t>
      </w:r>
      <w:r w:rsidR="009151B2">
        <w:rPr>
          <w:rFonts w:ascii="Times New Roman" w:hAnsi="Times New Roman"/>
          <w:sz w:val="24"/>
          <w:szCs w:val="24"/>
        </w:rPr>
        <w:t>,</w:t>
      </w:r>
      <w:r w:rsidR="00BB09FA">
        <w:rPr>
          <w:rFonts w:ascii="Times New Roman" w:hAnsi="Times New Roman"/>
          <w:sz w:val="24"/>
          <w:szCs w:val="24"/>
        </w:rPr>
        <w:t xml:space="preserve"> published on August 11, 2017</w:t>
      </w:r>
      <w:r w:rsidRPr="00A52C58">
        <w:rPr>
          <w:rFonts w:ascii="Times New Roman" w:hAnsi="Times New Roman"/>
          <w:sz w:val="24"/>
          <w:szCs w:val="24"/>
        </w:rPr>
        <w:t xml:space="preserve"> and the 30</w:t>
      </w:r>
      <w:r w:rsidR="0080166A">
        <w:rPr>
          <w:rFonts w:ascii="Times New Roman" w:hAnsi="Times New Roman"/>
          <w:sz w:val="24"/>
          <w:szCs w:val="24"/>
        </w:rPr>
        <w:t>-</w:t>
      </w:r>
      <w:r w:rsidRPr="00A52C58">
        <w:rPr>
          <w:rFonts w:ascii="Times New Roman" w:hAnsi="Times New Roman"/>
          <w:sz w:val="24"/>
          <w:szCs w:val="24"/>
        </w:rPr>
        <w:t>day Federal Register Notice of Information Collection</w:t>
      </w:r>
      <w:r w:rsidR="009151B2">
        <w:rPr>
          <w:rFonts w:ascii="Times New Roman" w:hAnsi="Times New Roman"/>
          <w:sz w:val="24"/>
          <w:szCs w:val="24"/>
        </w:rPr>
        <w:t>,</w:t>
      </w:r>
      <w:r w:rsidRPr="00A52C58">
        <w:rPr>
          <w:rFonts w:ascii="Times New Roman" w:hAnsi="Times New Roman"/>
          <w:sz w:val="24"/>
          <w:szCs w:val="24"/>
        </w:rPr>
        <w:t xml:space="preserve"> </w:t>
      </w:r>
      <w:r w:rsidR="00A15DA3">
        <w:rPr>
          <w:rFonts w:ascii="Times New Roman" w:hAnsi="Times New Roman"/>
          <w:sz w:val="24"/>
          <w:szCs w:val="24"/>
        </w:rPr>
        <w:t>82</w:t>
      </w:r>
      <w:r w:rsidR="009151B2">
        <w:rPr>
          <w:rFonts w:ascii="Times New Roman" w:hAnsi="Times New Roman"/>
          <w:sz w:val="24"/>
          <w:szCs w:val="24"/>
        </w:rPr>
        <w:t xml:space="preserve"> FR </w:t>
      </w:r>
      <w:r w:rsidR="00A15DA3">
        <w:rPr>
          <w:rFonts w:ascii="Times New Roman" w:hAnsi="Times New Roman"/>
          <w:sz w:val="24"/>
          <w:szCs w:val="24"/>
        </w:rPr>
        <w:t>47580</w:t>
      </w:r>
      <w:r w:rsidR="00BD00C7">
        <w:rPr>
          <w:rFonts w:ascii="Times New Roman" w:hAnsi="Times New Roman"/>
          <w:sz w:val="24"/>
          <w:szCs w:val="24"/>
        </w:rPr>
        <w:t>,</w:t>
      </w:r>
      <w:r w:rsidR="005825C6">
        <w:rPr>
          <w:rFonts w:ascii="Times New Roman" w:hAnsi="Times New Roman"/>
          <w:sz w:val="24"/>
          <w:szCs w:val="24"/>
        </w:rPr>
        <w:t xml:space="preserve"> </w:t>
      </w:r>
      <w:r w:rsidR="009151B2">
        <w:rPr>
          <w:rFonts w:ascii="Times New Roman" w:hAnsi="Times New Roman"/>
          <w:sz w:val="24"/>
          <w:szCs w:val="24"/>
        </w:rPr>
        <w:t xml:space="preserve">published on </w:t>
      </w:r>
      <w:r w:rsidR="00A15DA3">
        <w:rPr>
          <w:rFonts w:ascii="Times New Roman" w:hAnsi="Times New Roman"/>
          <w:sz w:val="24"/>
          <w:szCs w:val="24"/>
        </w:rPr>
        <w:t>October 12</w:t>
      </w:r>
      <w:r w:rsidR="00615C92">
        <w:rPr>
          <w:rFonts w:ascii="Times New Roman" w:hAnsi="Times New Roman"/>
          <w:sz w:val="24"/>
          <w:szCs w:val="24"/>
        </w:rPr>
        <w:t xml:space="preserve">, </w:t>
      </w:r>
      <w:r w:rsidR="00381749">
        <w:rPr>
          <w:rFonts w:ascii="Times New Roman" w:hAnsi="Times New Roman"/>
          <w:sz w:val="24"/>
          <w:szCs w:val="24"/>
        </w:rPr>
        <w:t>20</w:t>
      </w:r>
      <w:r w:rsidR="00A15DA3">
        <w:rPr>
          <w:rFonts w:ascii="Times New Roman" w:hAnsi="Times New Roman"/>
          <w:sz w:val="24"/>
          <w:szCs w:val="24"/>
        </w:rPr>
        <w:t>17</w:t>
      </w:r>
      <w:r w:rsidR="00AF2AFA">
        <w:rPr>
          <w:rFonts w:ascii="Times New Roman" w:hAnsi="Times New Roman"/>
          <w:sz w:val="24"/>
          <w:szCs w:val="24"/>
        </w:rPr>
        <w:t>.</w:t>
      </w:r>
      <w:r w:rsidRPr="00A52C58">
        <w:rPr>
          <w:rFonts w:ascii="Times New Roman" w:hAnsi="Times New Roman"/>
          <w:sz w:val="24"/>
          <w:szCs w:val="24"/>
        </w:rPr>
        <w:t xml:space="preserve">  The DEA did not receive any comments concerning this collection.</w:t>
      </w:r>
    </w:p>
    <w:p w:rsidR="009151B2" w:rsidRDefault="009151B2" w:rsidP="00A00BBC">
      <w:pPr>
        <w:rPr>
          <w:rFonts w:ascii="Times New Roman" w:hAnsi="Times New Roman"/>
          <w:sz w:val="24"/>
          <w:szCs w:val="24"/>
        </w:rPr>
      </w:pPr>
    </w:p>
    <w:p w:rsidR="00695627" w:rsidRDefault="009151B2" w:rsidP="00A00BBC">
      <w:pPr>
        <w:rPr>
          <w:rFonts w:ascii="Times New Roman" w:hAnsi="Times New Roman"/>
          <w:sz w:val="24"/>
          <w:szCs w:val="24"/>
        </w:rPr>
      </w:pPr>
      <w:r w:rsidRPr="009151B2">
        <w:rPr>
          <w:rFonts w:ascii="Times New Roman" w:hAnsi="Times New Roman"/>
          <w:sz w:val="24"/>
          <w:szCs w:val="24"/>
        </w:rPr>
        <w:t>The DEA meets regularly with the affected industry to discuss policies, programs, and regulations.  These meetings provide an open forum to discuss matters of mutual concern with representatives of those entities from whom the information is obtained.</w:t>
      </w:r>
    </w:p>
    <w:p w:rsidR="003E411E" w:rsidRPr="00A00BBC" w:rsidRDefault="003E411E" w:rsidP="00A00BBC">
      <w:pPr>
        <w:rPr>
          <w:rFonts w:ascii="Times New Roman" w:hAnsi="Times New Roman"/>
          <w:sz w:val="24"/>
          <w:szCs w:val="24"/>
        </w:rPr>
      </w:pPr>
    </w:p>
    <w:p w:rsidR="008E7B3E" w:rsidRDefault="000C1537" w:rsidP="00A00BBC">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9. </w:t>
      </w:r>
      <w:r w:rsidR="00090C0E">
        <w:rPr>
          <w:rFonts w:ascii="Times New Roman" w:hAnsi="Times New Roman"/>
          <w:noProof w:val="0"/>
          <w:sz w:val="24"/>
        </w:rPr>
        <w:t xml:space="preserve"> </w:t>
      </w:r>
      <w:r w:rsidR="008E7B3E" w:rsidRPr="00B051D2">
        <w:rPr>
          <w:rFonts w:ascii="Times New Roman" w:hAnsi="Times New Roman"/>
          <w:noProof w:val="0"/>
          <w:sz w:val="24"/>
          <w:u w:val="single"/>
        </w:rPr>
        <w:t>Payment or Gift to Claimants:</w:t>
      </w:r>
    </w:p>
    <w:p w:rsidR="001A64B0" w:rsidRDefault="001A64B0" w:rsidP="00A00BBC">
      <w:pPr>
        <w:rPr>
          <w:rFonts w:ascii="Times New Roman" w:hAnsi="Times New Roman"/>
          <w:noProof w:val="0"/>
          <w:sz w:val="24"/>
        </w:rPr>
      </w:pPr>
    </w:p>
    <w:p w:rsidR="00072531" w:rsidRDefault="00A52C58" w:rsidP="00A00BBC">
      <w:pPr>
        <w:rPr>
          <w:rFonts w:ascii="Times New Roman" w:hAnsi="Times New Roman"/>
          <w:noProof w:val="0"/>
          <w:sz w:val="24"/>
        </w:rPr>
      </w:pPr>
      <w:r w:rsidRPr="00A52C58">
        <w:rPr>
          <w:rFonts w:ascii="Times New Roman" w:hAnsi="Times New Roman"/>
          <w:noProof w:val="0"/>
          <w:sz w:val="24"/>
        </w:rPr>
        <w:t>This collection of information does not propose to provide any payment or gift to respondents.</w:t>
      </w:r>
    </w:p>
    <w:p w:rsidR="00A52C58" w:rsidRDefault="00A52C58" w:rsidP="00A00BBC">
      <w:pPr>
        <w:rPr>
          <w:rFonts w:ascii="Times New Roman" w:hAnsi="Times New Roman"/>
          <w:noProof w:val="0"/>
          <w:sz w:val="24"/>
        </w:rPr>
      </w:pPr>
    </w:p>
    <w:p w:rsidR="008E7B3E" w:rsidRDefault="000C1537" w:rsidP="00A00BBC">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10. </w:t>
      </w:r>
      <w:r w:rsidR="00090C0E">
        <w:rPr>
          <w:rFonts w:ascii="Times New Roman" w:hAnsi="Times New Roman"/>
          <w:noProof w:val="0"/>
          <w:sz w:val="24"/>
        </w:rPr>
        <w:t xml:space="preserve"> </w:t>
      </w:r>
      <w:r w:rsidR="008E7B3E" w:rsidRPr="00B051D2">
        <w:rPr>
          <w:rFonts w:ascii="Times New Roman" w:hAnsi="Times New Roman"/>
          <w:noProof w:val="0"/>
          <w:sz w:val="24"/>
          <w:u w:val="single"/>
        </w:rPr>
        <w:t>Assurance of Confidentiality:</w:t>
      </w:r>
    </w:p>
    <w:p w:rsidR="001A64B0" w:rsidRDefault="001A64B0" w:rsidP="00A00BBC">
      <w:pPr>
        <w:rPr>
          <w:rFonts w:ascii="Times New Roman" w:hAnsi="Times New Roman"/>
          <w:noProof w:val="0"/>
          <w:sz w:val="24"/>
        </w:rPr>
      </w:pPr>
    </w:p>
    <w:p w:rsidR="001A64B0" w:rsidRDefault="009151B2" w:rsidP="00A00BBC">
      <w:pPr>
        <w:rPr>
          <w:rFonts w:ascii="Times New Roman" w:hAnsi="Times New Roman"/>
          <w:sz w:val="24"/>
          <w:szCs w:val="24"/>
        </w:rPr>
      </w:pPr>
      <w:r w:rsidRPr="009151B2">
        <w:rPr>
          <w:rFonts w:ascii="Times New Roman" w:hAnsi="Times New Roman"/>
          <w:sz w:val="24"/>
          <w:szCs w:val="24"/>
        </w:rPr>
        <w:t>Information requested in this collection may be considered confidential business information if marked as such in accordance with 28 CFR 16.8(c) and Exemption 4 of the Freedom of Information Act (FOIA).  Submitters who are required to furnish commercial or financial information to the government are protected from the competitive disadvantages that could result from disclosure of such information.  The information is protected by the DEA through secure storage, limited access, and federal regulatory and DEA procedures.  In the event a FOIA request is made to obtain information that has been designated as confidential business information per 28 CFR 16.8(c) and Exemption 4 of FOIA, the DEA will give written notice to the submitter to allow an opportunity to object within a reasonable time prior to any disclosure by the DEA.</w:t>
      </w:r>
    </w:p>
    <w:p w:rsidR="008E7B3E" w:rsidRDefault="000C1537" w:rsidP="00A00BBC">
      <w:pPr>
        <w:tabs>
          <w:tab w:val="left" w:pos="720"/>
          <w:tab w:val="left" w:pos="1440"/>
          <w:tab w:val="left" w:pos="2160"/>
        </w:tabs>
        <w:rPr>
          <w:rFonts w:ascii="Times New Roman" w:hAnsi="Times New Roman"/>
          <w:noProof w:val="0"/>
          <w:sz w:val="24"/>
        </w:rPr>
      </w:pPr>
      <w:r>
        <w:rPr>
          <w:rFonts w:ascii="Times New Roman" w:hAnsi="Times New Roman"/>
          <w:noProof w:val="0"/>
          <w:sz w:val="24"/>
        </w:rPr>
        <w:lastRenderedPageBreak/>
        <w:t xml:space="preserve">11. </w:t>
      </w:r>
      <w:r w:rsidR="00090C0E">
        <w:rPr>
          <w:rFonts w:ascii="Times New Roman" w:hAnsi="Times New Roman"/>
          <w:noProof w:val="0"/>
          <w:sz w:val="24"/>
        </w:rPr>
        <w:t xml:space="preserve"> </w:t>
      </w:r>
      <w:r w:rsidR="008E7B3E" w:rsidRPr="00B051D2">
        <w:rPr>
          <w:rFonts w:ascii="Times New Roman" w:hAnsi="Times New Roman"/>
          <w:noProof w:val="0"/>
          <w:sz w:val="24"/>
          <w:u w:val="single"/>
        </w:rPr>
        <w:t>Justification for Sensitive Questions:</w:t>
      </w:r>
    </w:p>
    <w:p w:rsidR="001A64B0" w:rsidRDefault="001A64B0" w:rsidP="00A00BBC">
      <w:pPr>
        <w:tabs>
          <w:tab w:val="left" w:pos="720"/>
          <w:tab w:val="left" w:pos="1440"/>
          <w:tab w:val="left" w:pos="2160"/>
        </w:tabs>
        <w:rPr>
          <w:rFonts w:ascii="Times New Roman" w:hAnsi="Times New Roman"/>
          <w:noProof w:val="0"/>
          <w:sz w:val="24"/>
        </w:rPr>
      </w:pPr>
    </w:p>
    <w:p w:rsidR="00072531" w:rsidRDefault="00B051D2" w:rsidP="00A00BBC">
      <w:pPr>
        <w:tabs>
          <w:tab w:val="left" w:pos="720"/>
          <w:tab w:val="left" w:pos="1440"/>
          <w:tab w:val="left" w:pos="2160"/>
        </w:tabs>
        <w:rPr>
          <w:rFonts w:ascii="Times New Roman" w:hAnsi="Times New Roman"/>
          <w:noProof w:val="0"/>
          <w:sz w:val="24"/>
        </w:rPr>
      </w:pPr>
      <w:r w:rsidRPr="00B051D2">
        <w:rPr>
          <w:rFonts w:ascii="Times New Roman" w:hAnsi="Times New Roman"/>
          <w:noProof w:val="0"/>
          <w:sz w:val="24"/>
        </w:rPr>
        <w:t>This collection of information does not ask any questions of a sensitive nature.</w:t>
      </w:r>
    </w:p>
    <w:p w:rsidR="00B051D2" w:rsidRDefault="00B051D2" w:rsidP="00A00BBC">
      <w:pPr>
        <w:tabs>
          <w:tab w:val="left" w:pos="720"/>
          <w:tab w:val="left" w:pos="1440"/>
          <w:tab w:val="left" w:pos="2160"/>
        </w:tabs>
        <w:rPr>
          <w:rFonts w:ascii="Times New Roman" w:hAnsi="Times New Roman"/>
          <w:noProof w:val="0"/>
          <w:sz w:val="24"/>
        </w:rPr>
      </w:pPr>
    </w:p>
    <w:p w:rsidR="008E7B3E" w:rsidRDefault="000C1537" w:rsidP="00A00BBC">
      <w:pPr>
        <w:pStyle w:val="BodyText2"/>
        <w:spacing w:line="240" w:lineRule="auto"/>
      </w:pPr>
      <w:r>
        <w:t>12</w:t>
      </w:r>
      <w:r w:rsidRPr="007A0905">
        <w:t>.</w:t>
      </w:r>
      <w:r w:rsidR="00090C0E" w:rsidRPr="007A0905">
        <w:t xml:space="preserve"> </w:t>
      </w:r>
      <w:r w:rsidRPr="007A0905">
        <w:t xml:space="preserve"> </w:t>
      </w:r>
      <w:r w:rsidR="008E7B3E" w:rsidRPr="007A7866">
        <w:rPr>
          <w:u w:val="single"/>
        </w:rPr>
        <w:t>Estimate of Hour Burden</w:t>
      </w:r>
      <w:r w:rsidR="008E7B3E" w:rsidRPr="007A0905">
        <w:rPr>
          <w:u w:val="single"/>
        </w:rPr>
        <w:t>:</w:t>
      </w:r>
    </w:p>
    <w:p w:rsidR="00C42F38" w:rsidRDefault="00C42F38" w:rsidP="00A00BBC">
      <w:pPr>
        <w:rPr>
          <w:rFonts w:ascii="Times New Roman" w:hAnsi="Times New Roman"/>
          <w:noProof w:val="0"/>
          <w:sz w:val="24"/>
        </w:rPr>
      </w:pPr>
    </w:p>
    <w:tbl>
      <w:tblPr>
        <w:tblW w:w="7305" w:type="dxa"/>
        <w:tblInd w:w="93" w:type="dxa"/>
        <w:tblLayout w:type="fixed"/>
        <w:tblLook w:val="04A0" w:firstRow="1" w:lastRow="0" w:firstColumn="1" w:lastColumn="0" w:noHBand="0" w:noVBand="1"/>
      </w:tblPr>
      <w:tblGrid>
        <w:gridCol w:w="1995"/>
        <w:gridCol w:w="1350"/>
        <w:gridCol w:w="1260"/>
        <w:gridCol w:w="1440"/>
        <w:gridCol w:w="1260"/>
      </w:tblGrid>
      <w:tr w:rsidR="00102B56" w:rsidRPr="00572EEB" w:rsidTr="00102B56">
        <w:trPr>
          <w:trHeight w:val="1020"/>
        </w:trPr>
        <w:tc>
          <w:tcPr>
            <w:tcW w:w="199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102B56" w:rsidRPr="00572EEB" w:rsidRDefault="00102B56" w:rsidP="00572EEB">
            <w:pPr>
              <w:rPr>
                <w:rFonts w:ascii="Times New Roman" w:hAnsi="Times New Roman"/>
                <w:noProof w:val="0"/>
                <w:color w:val="000000"/>
              </w:rPr>
            </w:pPr>
            <w:bookmarkStart w:id="1" w:name="RANGE!A3"/>
            <w:r w:rsidRPr="00572EEB">
              <w:rPr>
                <w:rFonts w:ascii="Times New Roman" w:hAnsi="Times New Roman"/>
                <w:noProof w:val="0"/>
                <w:color w:val="000000"/>
              </w:rPr>
              <w:t> </w:t>
            </w:r>
            <w:bookmarkEnd w:id="1"/>
          </w:p>
        </w:tc>
        <w:tc>
          <w:tcPr>
            <w:tcW w:w="1350"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rsidR="00102B56" w:rsidRPr="00572EEB" w:rsidRDefault="00102B56" w:rsidP="00AB4B8C">
            <w:pPr>
              <w:jc w:val="center"/>
              <w:rPr>
                <w:rFonts w:ascii="Times New Roman" w:hAnsi="Times New Roman"/>
                <w:b/>
                <w:bCs/>
                <w:noProof w:val="0"/>
                <w:color w:val="000000"/>
              </w:rPr>
            </w:pPr>
            <w:r w:rsidRPr="00572EEB">
              <w:rPr>
                <w:rFonts w:ascii="Times New Roman" w:hAnsi="Times New Roman"/>
                <w:b/>
                <w:bCs/>
                <w:noProof w:val="0"/>
                <w:color w:val="000000"/>
              </w:rPr>
              <w:t>Number of Annual Respondents</w:t>
            </w:r>
          </w:p>
        </w:tc>
        <w:tc>
          <w:tcPr>
            <w:tcW w:w="1260"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rsidR="00102B56" w:rsidRPr="00572EEB" w:rsidRDefault="00102B56" w:rsidP="00275230">
            <w:pPr>
              <w:jc w:val="center"/>
              <w:rPr>
                <w:rFonts w:ascii="Times New Roman" w:hAnsi="Times New Roman"/>
                <w:b/>
                <w:bCs/>
                <w:noProof w:val="0"/>
                <w:color w:val="000000"/>
              </w:rPr>
            </w:pPr>
            <w:r w:rsidRPr="00572EEB">
              <w:rPr>
                <w:rFonts w:ascii="Times New Roman" w:hAnsi="Times New Roman"/>
                <w:b/>
                <w:bCs/>
                <w:noProof w:val="0"/>
                <w:color w:val="000000"/>
              </w:rPr>
              <w:t xml:space="preserve">Number of Annual </w:t>
            </w:r>
            <w:r>
              <w:rPr>
                <w:rFonts w:ascii="Times New Roman" w:hAnsi="Times New Roman"/>
                <w:b/>
                <w:bCs/>
                <w:noProof w:val="0"/>
                <w:color w:val="000000"/>
              </w:rPr>
              <w:t>R</w:t>
            </w:r>
            <w:r w:rsidRPr="00572EEB">
              <w:rPr>
                <w:rFonts w:ascii="Times New Roman" w:hAnsi="Times New Roman"/>
                <w:b/>
                <w:bCs/>
                <w:noProof w:val="0"/>
                <w:color w:val="000000"/>
              </w:rPr>
              <w:t>esponses</w:t>
            </w:r>
          </w:p>
        </w:tc>
        <w:tc>
          <w:tcPr>
            <w:tcW w:w="144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102B56" w:rsidRPr="00572EEB" w:rsidRDefault="00102B56" w:rsidP="000C7227">
            <w:pPr>
              <w:jc w:val="center"/>
              <w:rPr>
                <w:rFonts w:ascii="Times New Roman" w:hAnsi="Times New Roman"/>
                <w:b/>
                <w:bCs/>
                <w:noProof w:val="0"/>
                <w:color w:val="000000"/>
              </w:rPr>
            </w:pPr>
            <w:r w:rsidRPr="00572EEB">
              <w:rPr>
                <w:rFonts w:ascii="Times New Roman" w:hAnsi="Times New Roman"/>
                <w:b/>
                <w:bCs/>
                <w:noProof w:val="0"/>
                <w:color w:val="000000"/>
              </w:rPr>
              <w:t xml:space="preserve">Average </w:t>
            </w:r>
            <w:r>
              <w:rPr>
                <w:rFonts w:ascii="Times New Roman" w:hAnsi="Times New Roman"/>
                <w:b/>
                <w:bCs/>
                <w:noProof w:val="0"/>
                <w:color w:val="000000"/>
              </w:rPr>
              <w:t>Hours</w:t>
            </w:r>
            <w:r w:rsidRPr="00572EEB">
              <w:rPr>
                <w:rFonts w:ascii="Times New Roman" w:hAnsi="Times New Roman"/>
                <w:b/>
                <w:bCs/>
                <w:noProof w:val="0"/>
                <w:color w:val="000000"/>
              </w:rPr>
              <w:t xml:space="preserve"> per Response</w:t>
            </w:r>
          </w:p>
        </w:tc>
        <w:tc>
          <w:tcPr>
            <w:tcW w:w="1260"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rsidR="00102B56" w:rsidRPr="00572EEB" w:rsidRDefault="00102B56" w:rsidP="00572EEB">
            <w:pPr>
              <w:jc w:val="center"/>
              <w:rPr>
                <w:rFonts w:ascii="Times New Roman" w:hAnsi="Times New Roman"/>
                <w:b/>
                <w:bCs/>
                <w:noProof w:val="0"/>
                <w:color w:val="000000"/>
              </w:rPr>
            </w:pPr>
            <w:r w:rsidRPr="00572EEB">
              <w:rPr>
                <w:rFonts w:ascii="Times New Roman" w:hAnsi="Times New Roman"/>
                <w:b/>
                <w:bCs/>
                <w:noProof w:val="0"/>
                <w:color w:val="000000"/>
              </w:rPr>
              <w:t>Total Annual Hours</w:t>
            </w:r>
          </w:p>
        </w:tc>
      </w:tr>
      <w:tr w:rsidR="00102B56" w:rsidRPr="00572EEB" w:rsidTr="00102B56">
        <w:trPr>
          <w:trHeight w:val="300"/>
        </w:trPr>
        <w:tc>
          <w:tcPr>
            <w:tcW w:w="1995" w:type="dxa"/>
            <w:tcBorders>
              <w:top w:val="nil"/>
              <w:left w:val="single" w:sz="4" w:space="0" w:color="auto"/>
              <w:bottom w:val="single" w:sz="4" w:space="0" w:color="auto"/>
              <w:right w:val="single" w:sz="4" w:space="0" w:color="auto"/>
            </w:tcBorders>
            <w:shd w:val="clear" w:color="auto" w:fill="auto"/>
            <w:vAlign w:val="center"/>
            <w:hideMark/>
          </w:tcPr>
          <w:p w:rsidR="00102B56" w:rsidRPr="00572EEB" w:rsidRDefault="00102B56" w:rsidP="00D65E26">
            <w:pPr>
              <w:rPr>
                <w:rFonts w:ascii="Times New Roman" w:hAnsi="Times New Roman"/>
                <w:noProof w:val="0"/>
                <w:color w:val="000000"/>
              </w:rPr>
            </w:pPr>
            <w:r w:rsidRPr="00572EEB">
              <w:rPr>
                <w:rFonts w:ascii="Times New Roman" w:hAnsi="Times New Roman"/>
                <w:noProof w:val="0"/>
                <w:color w:val="000000"/>
              </w:rPr>
              <w:t>DEA-</w:t>
            </w:r>
            <w:r>
              <w:rPr>
                <w:rFonts w:ascii="Times New Roman" w:hAnsi="Times New Roman"/>
                <w:noProof w:val="0"/>
                <w:color w:val="000000"/>
              </w:rPr>
              <w:t>333</w:t>
            </w:r>
            <w:r w:rsidRPr="00572EEB">
              <w:rPr>
                <w:rFonts w:ascii="Times New Roman" w:hAnsi="Times New Roman"/>
                <w:noProof w:val="0"/>
                <w:color w:val="000000"/>
              </w:rPr>
              <w:t xml:space="preserve"> (paper)</w:t>
            </w:r>
          </w:p>
        </w:tc>
        <w:tc>
          <w:tcPr>
            <w:tcW w:w="1350" w:type="dxa"/>
            <w:tcBorders>
              <w:top w:val="nil"/>
              <w:left w:val="single" w:sz="4" w:space="0" w:color="auto"/>
              <w:bottom w:val="single" w:sz="4" w:space="0" w:color="auto"/>
              <w:right w:val="single" w:sz="4" w:space="0" w:color="auto"/>
            </w:tcBorders>
            <w:shd w:val="clear" w:color="auto" w:fill="auto"/>
            <w:vAlign w:val="center"/>
            <w:hideMark/>
          </w:tcPr>
          <w:p w:rsidR="00102B56" w:rsidRPr="00A00FEF" w:rsidRDefault="00102B56" w:rsidP="00D65E26">
            <w:pPr>
              <w:jc w:val="right"/>
              <w:rPr>
                <w:rFonts w:ascii="Times New Roman" w:hAnsi="Times New Roman"/>
                <w:noProof w:val="0"/>
                <w:color w:val="000000"/>
              </w:rPr>
            </w:pPr>
            <w:r>
              <w:rPr>
                <w:rFonts w:ascii="Times New Roman" w:hAnsi="Times New Roman"/>
                <w:noProof w:val="0"/>
                <w:color w:val="000000"/>
              </w:rPr>
              <w:t>70</w:t>
            </w:r>
          </w:p>
        </w:tc>
        <w:tc>
          <w:tcPr>
            <w:tcW w:w="1260" w:type="dxa"/>
            <w:tcBorders>
              <w:top w:val="nil"/>
              <w:left w:val="nil"/>
              <w:bottom w:val="single" w:sz="4" w:space="0" w:color="auto"/>
              <w:right w:val="single" w:sz="4" w:space="0" w:color="auto"/>
            </w:tcBorders>
            <w:shd w:val="clear" w:color="auto" w:fill="auto"/>
            <w:vAlign w:val="center"/>
            <w:hideMark/>
          </w:tcPr>
          <w:p w:rsidR="00102B56" w:rsidRPr="00A00FEF" w:rsidRDefault="00102B56" w:rsidP="00696D5B">
            <w:pPr>
              <w:jc w:val="right"/>
              <w:rPr>
                <w:rFonts w:ascii="Times New Roman" w:hAnsi="Times New Roman"/>
                <w:noProof w:val="0"/>
                <w:color w:val="000000"/>
              </w:rPr>
            </w:pPr>
            <w:r>
              <w:rPr>
                <w:rFonts w:ascii="Times New Roman" w:hAnsi="Times New Roman"/>
                <w:noProof w:val="0"/>
                <w:color w:val="000000"/>
              </w:rPr>
              <w:t>379</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rsidR="00102B56" w:rsidRPr="00A00FEF" w:rsidRDefault="00102B56" w:rsidP="00572EEB">
            <w:pPr>
              <w:jc w:val="right"/>
              <w:rPr>
                <w:rFonts w:ascii="Times New Roman" w:hAnsi="Times New Roman"/>
                <w:noProof w:val="0"/>
                <w:color w:val="000000"/>
              </w:rPr>
            </w:pPr>
            <w:r w:rsidRPr="00A00FEF">
              <w:rPr>
                <w:rFonts w:ascii="Times New Roman" w:hAnsi="Times New Roman"/>
                <w:noProof w:val="0"/>
                <w:color w:val="000000"/>
              </w:rPr>
              <w:t>1</w:t>
            </w:r>
          </w:p>
        </w:tc>
        <w:tc>
          <w:tcPr>
            <w:tcW w:w="1260" w:type="dxa"/>
            <w:tcBorders>
              <w:top w:val="nil"/>
              <w:left w:val="nil"/>
              <w:bottom w:val="single" w:sz="4" w:space="0" w:color="auto"/>
              <w:right w:val="single" w:sz="4" w:space="0" w:color="auto"/>
            </w:tcBorders>
            <w:shd w:val="clear" w:color="auto" w:fill="auto"/>
            <w:vAlign w:val="center"/>
            <w:hideMark/>
          </w:tcPr>
          <w:p w:rsidR="00102B56" w:rsidRPr="00A00FEF" w:rsidRDefault="00102B56" w:rsidP="00572EEB">
            <w:pPr>
              <w:jc w:val="right"/>
              <w:rPr>
                <w:rFonts w:ascii="Times New Roman" w:hAnsi="Times New Roman"/>
                <w:noProof w:val="0"/>
                <w:color w:val="000000"/>
              </w:rPr>
            </w:pPr>
            <w:r>
              <w:rPr>
                <w:rFonts w:ascii="Times New Roman" w:hAnsi="Times New Roman"/>
                <w:noProof w:val="0"/>
                <w:color w:val="000000"/>
              </w:rPr>
              <w:t>379</w:t>
            </w:r>
          </w:p>
        </w:tc>
      </w:tr>
      <w:tr w:rsidR="00102B56" w:rsidRPr="00572EEB" w:rsidTr="00102B56">
        <w:trPr>
          <w:trHeight w:val="300"/>
        </w:trPr>
        <w:tc>
          <w:tcPr>
            <w:tcW w:w="1995" w:type="dxa"/>
            <w:tcBorders>
              <w:top w:val="nil"/>
              <w:left w:val="single" w:sz="4" w:space="0" w:color="auto"/>
              <w:bottom w:val="single" w:sz="4" w:space="0" w:color="auto"/>
              <w:right w:val="single" w:sz="4" w:space="0" w:color="auto"/>
            </w:tcBorders>
            <w:shd w:val="clear" w:color="auto" w:fill="auto"/>
            <w:vAlign w:val="center"/>
            <w:hideMark/>
          </w:tcPr>
          <w:p w:rsidR="00102B56" w:rsidRPr="00572EEB" w:rsidRDefault="00102B56" w:rsidP="00D65E26">
            <w:pPr>
              <w:rPr>
                <w:rFonts w:ascii="Times New Roman" w:hAnsi="Times New Roman"/>
                <w:noProof w:val="0"/>
                <w:color w:val="000000"/>
              </w:rPr>
            </w:pPr>
            <w:r w:rsidRPr="00572EEB">
              <w:rPr>
                <w:rFonts w:ascii="Times New Roman" w:hAnsi="Times New Roman"/>
                <w:noProof w:val="0"/>
                <w:color w:val="000000"/>
              </w:rPr>
              <w:t>DEA-</w:t>
            </w:r>
            <w:r>
              <w:rPr>
                <w:rFonts w:ascii="Times New Roman" w:hAnsi="Times New Roman"/>
                <w:noProof w:val="0"/>
                <w:color w:val="000000"/>
              </w:rPr>
              <w:t>333</w:t>
            </w:r>
            <w:r w:rsidRPr="00572EEB">
              <w:rPr>
                <w:rFonts w:ascii="Times New Roman" w:hAnsi="Times New Roman"/>
                <w:noProof w:val="0"/>
                <w:color w:val="000000"/>
              </w:rPr>
              <w:t xml:space="preserve"> (</w:t>
            </w:r>
            <w:r>
              <w:rPr>
                <w:rFonts w:ascii="Times New Roman" w:hAnsi="Times New Roman"/>
                <w:noProof w:val="0"/>
                <w:color w:val="000000"/>
              </w:rPr>
              <w:t>electronic</w:t>
            </w:r>
            <w:r w:rsidRPr="00572EEB">
              <w:rPr>
                <w:rFonts w:ascii="Times New Roman" w:hAnsi="Times New Roman"/>
                <w:noProof w:val="0"/>
                <w:color w:val="000000"/>
              </w:rPr>
              <w:t>)</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B56" w:rsidRPr="00A00FEF" w:rsidRDefault="00102B56" w:rsidP="00D65E26">
            <w:pPr>
              <w:jc w:val="right"/>
              <w:rPr>
                <w:rFonts w:ascii="Times New Roman" w:hAnsi="Times New Roman"/>
                <w:noProof w:val="0"/>
                <w:color w:val="000000"/>
              </w:rPr>
            </w:pPr>
            <w:r>
              <w:rPr>
                <w:rFonts w:ascii="Times New Roman" w:hAnsi="Times New Roman"/>
                <w:noProof w:val="0"/>
                <w:color w:val="000000"/>
              </w:rPr>
              <w:t>1,552</w:t>
            </w:r>
          </w:p>
        </w:tc>
        <w:tc>
          <w:tcPr>
            <w:tcW w:w="1260" w:type="dxa"/>
            <w:tcBorders>
              <w:top w:val="nil"/>
              <w:left w:val="nil"/>
              <w:bottom w:val="single" w:sz="4" w:space="0" w:color="auto"/>
              <w:right w:val="single" w:sz="4" w:space="0" w:color="auto"/>
            </w:tcBorders>
            <w:shd w:val="clear" w:color="auto" w:fill="auto"/>
            <w:vAlign w:val="center"/>
            <w:hideMark/>
          </w:tcPr>
          <w:p w:rsidR="00102B56" w:rsidRPr="00A00FEF" w:rsidRDefault="00102B56" w:rsidP="00572EEB">
            <w:pPr>
              <w:jc w:val="right"/>
              <w:rPr>
                <w:rFonts w:ascii="Times New Roman" w:hAnsi="Times New Roman"/>
                <w:noProof w:val="0"/>
                <w:color w:val="000000"/>
              </w:rPr>
            </w:pPr>
            <w:r>
              <w:rPr>
                <w:rFonts w:ascii="Times New Roman" w:hAnsi="Times New Roman"/>
                <w:noProof w:val="0"/>
                <w:color w:val="000000"/>
              </w:rPr>
              <w:t>11,777</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rsidR="00102B56" w:rsidRDefault="00102B56" w:rsidP="00572EEB">
            <w:pPr>
              <w:jc w:val="right"/>
              <w:rPr>
                <w:rFonts w:ascii="Times New Roman" w:hAnsi="Times New Roman"/>
                <w:noProof w:val="0"/>
                <w:color w:val="000000"/>
              </w:rPr>
            </w:pPr>
            <w:r>
              <w:rPr>
                <w:rFonts w:ascii="Times New Roman" w:hAnsi="Times New Roman"/>
                <w:noProof w:val="0"/>
                <w:color w:val="000000"/>
              </w:rPr>
              <w:t>0.</w:t>
            </w:r>
            <w:r w:rsidRPr="00A00FEF">
              <w:rPr>
                <w:rFonts w:ascii="Times New Roman" w:hAnsi="Times New Roman"/>
                <w:noProof w:val="0"/>
                <w:color w:val="000000"/>
              </w:rPr>
              <w:t>1</w:t>
            </w:r>
            <w:r>
              <w:rPr>
                <w:rFonts w:ascii="Times New Roman" w:hAnsi="Times New Roman"/>
                <w:noProof w:val="0"/>
                <w:color w:val="000000"/>
              </w:rPr>
              <w:t>667</w:t>
            </w:r>
          </w:p>
          <w:p w:rsidR="00102B56" w:rsidRPr="00A00FEF" w:rsidRDefault="00102B56" w:rsidP="00572EEB">
            <w:pPr>
              <w:jc w:val="right"/>
              <w:rPr>
                <w:rFonts w:ascii="Times New Roman" w:hAnsi="Times New Roman"/>
                <w:noProof w:val="0"/>
                <w:color w:val="000000"/>
              </w:rPr>
            </w:pPr>
            <w:r>
              <w:rPr>
                <w:rFonts w:ascii="Times New Roman" w:hAnsi="Times New Roman"/>
                <w:noProof w:val="0"/>
                <w:color w:val="000000"/>
              </w:rPr>
              <w:t>(10 minutes)</w:t>
            </w:r>
          </w:p>
        </w:tc>
        <w:tc>
          <w:tcPr>
            <w:tcW w:w="1260" w:type="dxa"/>
            <w:tcBorders>
              <w:top w:val="nil"/>
              <w:left w:val="nil"/>
              <w:bottom w:val="single" w:sz="4" w:space="0" w:color="auto"/>
              <w:right w:val="single" w:sz="4" w:space="0" w:color="auto"/>
            </w:tcBorders>
            <w:shd w:val="clear" w:color="auto" w:fill="auto"/>
            <w:vAlign w:val="center"/>
            <w:hideMark/>
          </w:tcPr>
          <w:p w:rsidR="00102B56" w:rsidRPr="00A00FEF" w:rsidRDefault="00102B56" w:rsidP="00572EEB">
            <w:pPr>
              <w:jc w:val="right"/>
              <w:rPr>
                <w:rFonts w:ascii="Times New Roman" w:hAnsi="Times New Roman"/>
                <w:noProof w:val="0"/>
                <w:color w:val="000000"/>
              </w:rPr>
            </w:pPr>
            <w:r>
              <w:rPr>
                <w:rFonts w:ascii="Times New Roman" w:hAnsi="Times New Roman"/>
                <w:noProof w:val="0"/>
                <w:color w:val="000000"/>
              </w:rPr>
              <w:t>1,963</w:t>
            </w:r>
          </w:p>
        </w:tc>
      </w:tr>
      <w:tr w:rsidR="00102B56" w:rsidRPr="00572EEB" w:rsidTr="00102B56">
        <w:trPr>
          <w:trHeight w:val="300"/>
        </w:trPr>
        <w:tc>
          <w:tcPr>
            <w:tcW w:w="1995"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rsidR="00102B56" w:rsidRPr="00572EEB" w:rsidRDefault="00102B56" w:rsidP="00572EEB">
            <w:pPr>
              <w:rPr>
                <w:rFonts w:ascii="Times New Roman" w:hAnsi="Times New Roman"/>
                <w:b/>
                <w:bCs/>
                <w:noProof w:val="0"/>
                <w:color w:val="000000"/>
              </w:rPr>
            </w:pPr>
            <w:r w:rsidRPr="00572EEB">
              <w:rPr>
                <w:rFonts w:ascii="Times New Roman" w:hAnsi="Times New Roman"/>
                <w:b/>
                <w:bCs/>
                <w:noProof w:val="0"/>
                <w:color w:val="000000"/>
              </w:rPr>
              <w:t>Total</w:t>
            </w:r>
          </w:p>
        </w:tc>
        <w:tc>
          <w:tcPr>
            <w:tcW w:w="1350"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rsidR="00102B56" w:rsidRPr="00A00FEF" w:rsidRDefault="00102B56" w:rsidP="00696D5B">
            <w:pPr>
              <w:jc w:val="right"/>
              <w:rPr>
                <w:rFonts w:ascii="Times New Roman" w:hAnsi="Times New Roman"/>
                <w:b/>
                <w:bCs/>
                <w:noProof w:val="0"/>
                <w:color w:val="000000"/>
              </w:rPr>
            </w:pPr>
            <w:r>
              <w:rPr>
                <w:rFonts w:ascii="Times New Roman" w:hAnsi="Times New Roman"/>
                <w:b/>
                <w:bCs/>
                <w:noProof w:val="0"/>
                <w:color w:val="000000"/>
              </w:rPr>
              <w:t>1,622</w:t>
            </w:r>
          </w:p>
        </w:tc>
        <w:tc>
          <w:tcPr>
            <w:tcW w:w="1260" w:type="dxa"/>
            <w:tcBorders>
              <w:top w:val="nil"/>
              <w:left w:val="nil"/>
              <w:bottom w:val="single" w:sz="4" w:space="0" w:color="auto"/>
              <w:right w:val="single" w:sz="4" w:space="0" w:color="auto"/>
            </w:tcBorders>
            <w:shd w:val="clear" w:color="auto" w:fill="B8CCE4" w:themeFill="accent1" w:themeFillTint="66"/>
            <w:vAlign w:val="center"/>
            <w:hideMark/>
          </w:tcPr>
          <w:p w:rsidR="00102B56" w:rsidRPr="00A00FEF" w:rsidRDefault="00102B56" w:rsidP="00572EEB">
            <w:pPr>
              <w:jc w:val="right"/>
              <w:rPr>
                <w:rFonts w:ascii="Times New Roman" w:hAnsi="Times New Roman"/>
                <w:b/>
                <w:bCs/>
                <w:noProof w:val="0"/>
                <w:color w:val="000000"/>
              </w:rPr>
            </w:pPr>
            <w:r>
              <w:rPr>
                <w:rFonts w:ascii="Times New Roman" w:hAnsi="Times New Roman"/>
                <w:b/>
                <w:bCs/>
                <w:noProof w:val="0"/>
                <w:color w:val="000000"/>
              </w:rPr>
              <w:t>12,156</w:t>
            </w:r>
          </w:p>
        </w:tc>
        <w:tc>
          <w:tcPr>
            <w:tcW w:w="1440"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rsidR="00102B56" w:rsidRPr="00A00FEF" w:rsidRDefault="00102B56" w:rsidP="00D65E26">
            <w:pPr>
              <w:jc w:val="right"/>
              <w:rPr>
                <w:rFonts w:ascii="Times New Roman" w:hAnsi="Times New Roman"/>
                <w:b/>
                <w:bCs/>
                <w:noProof w:val="0"/>
                <w:color w:val="000000"/>
              </w:rPr>
            </w:pPr>
          </w:p>
        </w:tc>
        <w:tc>
          <w:tcPr>
            <w:tcW w:w="1260" w:type="dxa"/>
            <w:tcBorders>
              <w:top w:val="nil"/>
              <w:left w:val="nil"/>
              <w:bottom w:val="single" w:sz="4" w:space="0" w:color="auto"/>
              <w:right w:val="single" w:sz="4" w:space="0" w:color="auto"/>
            </w:tcBorders>
            <w:shd w:val="clear" w:color="auto" w:fill="B8CCE4" w:themeFill="accent1" w:themeFillTint="66"/>
            <w:vAlign w:val="center"/>
            <w:hideMark/>
          </w:tcPr>
          <w:p w:rsidR="00102B56" w:rsidRPr="00A00FEF" w:rsidRDefault="00102B56" w:rsidP="00102B56">
            <w:pPr>
              <w:jc w:val="right"/>
              <w:rPr>
                <w:rFonts w:ascii="Times New Roman" w:hAnsi="Times New Roman"/>
                <w:b/>
                <w:bCs/>
                <w:noProof w:val="0"/>
                <w:color w:val="000000"/>
              </w:rPr>
            </w:pPr>
            <w:r>
              <w:rPr>
                <w:rFonts w:ascii="Times New Roman" w:hAnsi="Times New Roman"/>
                <w:b/>
                <w:bCs/>
                <w:noProof w:val="0"/>
                <w:color w:val="000000"/>
              </w:rPr>
              <w:t>2,342</w:t>
            </w:r>
          </w:p>
        </w:tc>
      </w:tr>
    </w:tbl>
    <w:p w:rsidR="00D72AA4" w:rsidRDefault="00D72AA4" w:rsidP="005A1D74">
      <w:pPr>
        <w:rPr>
          <w:rFonts w:ascii="Times New Roman" w:hAnsi="Times New Roman"/>
          <w:sz w:val="24"/>
          <w:szCs w:val="24"/>
        </w:rPr>
      </w:pPr>
    </w:p>
    <w:p w:rsidR="00102B56" w:rsidRDefault="00102B56" w:rsidP="00040C64">
      <w:pPr>
        <w:rPr>
          <w:rFonts w:ascii="Times New Roman" w:hAnsi="Times New Roman"/>
          <w:sz w:val="24"/>
          <w:szCs w:val="24"/>
        </w:rPr>
      </w:pPr>
      <w:r>
        <w:rPr>
          <w:rFonts w:ascii="Times New Roman" w:hAnsi="Times New Roman"/>
          <w:sz w:val="24"/>
          <w:szCs w:val="24"/>
        </w:rPr>
        <w:t>Average burden per response:  0.1927 hour</w:t>
      </w:r>
    </w:p>
    <w:p w:rsidR="00102B56" w:rsidRDefault="00102B56" w:rsidP="00040C64">
      <w:pPr>
        <w:rPr>
          <w:rFonts w:ascii="Times New Roman" w:hAnsi="Times New Roman"/>
          <w:sz w:val="24"/>
          <w:szCs w:val="24"/>
        </w:rPr>
      </w:pPr>
    </w:p>
    <w:p w:rsidR="00040C64" w:rsidRPr="00040C64" w:rsidRDefault="004C4279" w:rsidP="00040C64">
      <w:pPr>
        <w:rPr>
          <w:rFonts w:ascii="Times New Roman" w:hAnsi="Times New Roman"/>
          <w:sz w:val="24"/>
          <w:szCs w:val="24"/>
        </w:rPr>
      </w:pPr>
      <w:r>
        <w:rPr>
          <w:rFonts w:ascii="Times New Roman" w:hAnsi="Times New Roman"/>
          <w:sz w:val="24"/>
          <w:szCs w:val="24"/>
        </w:rPr>
        <w:t>H</w:t>
      </w:r>
      <w:r w:rsidR="00D72AA4">
        <w:rPr>
          <w:rFonts w:ascii="Times New Roman" w:hAnsi="Times New Roman"/>
          <w:sz w:val="24"/>
          <w:szCs w:val="24"/>
        </w:rPr>
        <w:t>our</w:t>
      </w:r>
      <w:r>
        <w:rPr>
          <w:rFonts w:ascii="Times New Roman" w:hAnsi="Times New Roman"/>
          <w:sz w:val="24"/>
          <w:szCs w:val="24"/>
        </w:rPr>
        <w:t xml:space="preserve"> burden</w:t>
      </w:r>
      <w:r w:rsidR="00D72AA4">
        <w:rPr>
          <w:rFonts w:ascii="Times New Roman" w:hAnsi="Times New Roman"/>
          <w:sz w:val="24"/>
          <w:szCs w:val="24"/>
        </w:rPr>
        <w:t xml:space="preserve"> cost</w:t>
      </w:r>
      <w:r w:rsidR="00040C64" w:rsidRPr="00040C64">
        <w:rPr>
          <w:rFonts w:ascii="Times New Roman" w:hAnsi="Times New Roman"/>
          <w:sz w:val="24"/>
          <w:szCs w:val="24"/>
        </w:rPr>
        <w:t>:</w:t>
      </w:r>
    </w:p>
    <w:p w:rsidR="00040C64" w:rsidRPr="00040C64" w:rsidRDefault="00040C64" w:rsidP="00040C64">
      <w:pPr>
        <w:rPr>
          <w:rFonts w:ascii="Times New Roman" w:hAnsi="Times New Roman"/>
          <w:sz w:val="24"/>
          <w:szCs w:val="24"/>
        </w:rPr>
      </w:pPr>
    </w:p>
    <w:tbl>
      <w:tblPr>
        <w:tblW w:w="0" w:type="auto"/>
        <w:tblInd w:w="720" w:type="dxa"/>
        <w:tblLayout w:type="fixed"/>
        <w:tblLook w:val="04A0" w:firstRow="1" w:lastRow="0" w:firstColumn="1" w:lastColumn="0" w:noHBand="0" w:noVBand="1"/>
      </w:tblPr>
      <w:tblGrid>
        <w:gridCol w:w="4295"/>
        <w:gridCol w:w="1956"/>
      </w:tblGrid>
      <w:tr w:rsidR="00040C64" w:rsidRPr="00040C64" w:rsidTr="00C36D7B">
        <w:tc>
          <w:tcPr>
            <w:tcW w:w="4295" w:type="dxa"/>
          </w:tcPr>
          <w:p w:rsidR="00040C64" w:rsidRPr="00040C64" w:rsidRDefault="00040C64" w:rsidP="007B13CF">
            <w:pPr>
              <w:rPr>
                <w:rFonts w:ascii="Times New Roman" w:eastAsia="SimSun" w:hAnsi="Times New Roman"/>
                <w:sz w:val="24"/>
                <w:szCs w:val="24"/>
              </w:rPr>
            </w:pPr>
            <w:r w:rsidRPr="00040C64">
              <w:rPr>
                <w:rFonts w:ascii="Times New Roman" w:eastAsia="SimSun" w:hAnsi="Times New Roman"/>
                <w:sz w:val="24"/>
                <w:szCs w:val="24"/>
              </w:rPr>
              <w:t>Estimate</w:t>
            </w:r>
            <w:r w:rsidR="004658FF">
              <w:rPr>
                <w:rFonts w:ascii="Times New Roman" w:eastAsia="SimSun" w:hAnsi="Times New Roman"/>
                <w:sz w:val="24"/>
                <w:szCs w:val="24"/>
              </w:rPr>
              <w:t>d</w:t>
            </w:r>
            <w:r w:rsidRPr="00040C64">
              <w:rPr>
                <w:rFonts w:ascii="Times New Roman" w:eastAsia="SimSun" w:hAnsi="Times New Roman"/>
                <w:sz w:val="24"/>
                <w:szCs w:val="24"/>
              </w:rPr>
              <w:t xml:space="preserve"> hourly wage</w:t>
            </w:r>
            <w:r w:rsidRPr="00040C64">
              <w:rPr>
                <w:rStyle w:val="FootnoteReference"/>
                <w:rFonts w:ascii="Times New Roman" w:eastAsia="SimSun" w:hAnsi="Times New Roman"/>
                <w:sz w:val="24"/>
                <w:szCs w:val="24"/>
                <w:vertAlign w:val="superscript"/>
              </w:rPr>
              <w:footnoteReference w:id="1"/>
            </w:r>
          </w:p>
        </w:tc>
        <w:tc>
          <w:tcPr>
            <w:tcW w:w="1956" w:type="dxa"/>
          </w:tcPr>
          <w:p w:rsidR="00040C64" w:rsidRPr="00040C64" w:rsidRDefault="00040C64" w:rsidP="00A87C73">
            <w:pPr>
              <w:jc w:val="right"/>
              <w:rPr>
                <w:rFonts w:ascii="Times New Roman" w:eastAsia="SimSun" w:hAnsi="Times New Roman"/>
                <w:sz w:val="24"/>
                <w:szCs w:val="24"/>
              </w:rPr>
            </w:pPr>
            <w:r w:rsidRPr="00040C64">
              <w:rPr>
                <w:rFonts w:ascii="Times New Roman" w:eastAsia="SimSun" w:hAnsi="Times New Roman"/>
                <w:sz w:val="24"/>
                <w:szCs w:val="24"/>
              </w:rPr>
              <w:t>$</w:t>
            </w:r>
            <w:r w:rsidR="00A87C73" w:rsidRPr="00A00FEF">
              <w:rPr>
                <w:rFonts w:ascii="Times New Roman" w:eastAsia="SimSun" w:hAnsi="Times New Roman"/>
                <w:sz w:val="24"/>
                <w:szCs w:val="24"/>
              </w:rPr>
              <w:t>42.88</w:t>
            </w:r>
          </w:p>
        </w:tc>
      </w:tr>
      <w:tr w:rsidR="00040C64" w:rsidRPr="00040C64" w:rsidTr="00C36D7B">
        <w:tc>
          <w:tcPr>
            <w:tcW w:w="4295" w:type="dxa"/>
          </w:tcPr>
          <w:p w:rsidR="00040C64" w:rsidRPr="00040C64" w:rsidRDefault="00040C64" w:rsidP="007B13CF">
            <w:pPr>
              <w:rPr>
                <w:rFonts w:ascii="Times New Roman" w:eastAsia="SimSun" w:hAnsi="Times New Roman"/>
                <w:sz w:val="24"/>
                <w:szCs w:val="24"/>
              </w:rPr>
            </w:pPr>
            <w:r w:rsidRPr="00040C64">
              <w:rPr>
                <w:rFonts w:ascii="Times New Roman" w:eastAsia="SimSun" w:hAnsi="Times New Roman"/>
                <w:sz w:val="24"/>
                <w:szCs w:val="24"/>
              </w:rPr>
              <w:t>Load for benefits (percent of labor rate)</w:t>
            </w:r>
            <w:r w:rsidRPr="00040C64">
              <w:rPr>
                <w:rStyle w:val="FootnoteReference"/>
                <w:rFonts w:ascii="Times New Roman" w:eastAsia="SimSun" w:hAnsi="Times New Roman"/>
                <w:sz w:val="24"/>
                <w:szCs w:val="24"/>
                <w:vertAlign w:val="superscript"/>
              </w:rPr>
              <w:footnoteReference w:id="2"/>
            </w:r>
          </w:p>
        </w:tc>
        <w:tc>
          <w:tcPr>
            <w:tcW w:w="1956" w:type="dxa"/>
            <w:tcBorders>
              <w:bottom w:val="single" w:sz="4" w:space="0" w:color="auto"/>
            </w:tcBorders>
          </w:tcPr>
          <w:p w:rsidR="00040C64" w:rsidRPr="00040C64" w:rsidRDefault="00215F46" w:rsidP="00215F46">
            <w:pPr>
              <w:jc w:val="right"/>
              <w:rPr>
                <w:rFonts w:ascii="Times New Roman" w:eastAsia="SimSun" w:hAnsi="Times New Roman"/>
                <w:sz w:val="24"/>
                <w:szCs w:val="24"/>
              </w:rPr>
            </w:pPr>
            <w:r w:rsidRPr="00A00FEF">
              <w:rPr>
                <w:rFonts w:ascii="Times New Roman" w:eastAsia="SimSun" w:hAnsi="Times New Roman"/>
                <w:sz w:val="24"/>
                <w:szCs w:val="24"/>
              </w:rPr>
              <w:t>47</w:t>
            </w:r>
            <w:r w:rsidR="00040C64" w:rsidRPr="00A00FEF">
              <w:rPr>
                <w:rFonts w:ascii="Times New Roman" w:eastAsia="SimSun" w:hAnsi="Times New Roman"/>
                <w:sz w:val="24"/>
                <w:szCs w:val="24"/>
              </w:rPr>
              <w:t>.</w:t>
            </w:r>
            <w:r w:rsidRPr="00A00FEF">
              <w:rPr>
                <w:rFonts w:ascii="Times New Roman" w:eastAsia="SimSun" w:hAnsi="Times New Roman"/>
                <w:sz w:val="24"/>
                <w:szCs w:val="24"/>
              </w:rPr>
              <w:t>1</w:t>
            </w:r>
            <w:r w:rsidR="00040C64" w:rsidRPr="00040C64">
              <w:rPr>
                <w:rFonts w:ascii="Times New Roman" w:eastAsia="SimSun" w:hAnsi="Times New Roman"/>
                <w:sz w:val="24"/>
                <w:szCs w:val="24"/>
              </w:rPr>
              <w:t>%</w:t>
            </w:r>
          </w:p>
        </w:tc>
      </w:tr>
      <w:tr w:rsidR="00040C64" w:rsidRPr="00040C64" w:rsidTr="00C36D7B">
        <w:tc>
          <w:tcPr>
            <w:tcW w:w="4295" w:type="dxa"/>
          </w:tcPr>
          <w:p w:rsidR="00040C64" w:rsidRPr="00040C64" w:rsidRDefault="00040C64" w:rsidP="007B13CF">
            <w:pPr>
              <w:rPr>
                <w:rFonts w:ascii="Times New Roman" w:eastAsia="SimSun" w:hAnsi="Times New Roman"/>
                <w:sz w:val="24"/>
                <w:szCs w:val="24"/>
              </w:rPr>
            </w:pPr>
            <w:r w:rsidRPr="00040C64">
              <w:rPr>
                <w:rFonts w:ascii="Times New Roman" w:eastAsia="SimSun" w:hAnsi="Times New Roman"/>
                <w:sz w:val="24"/>
                <w:szCs w:val="24"/>
              </w:rPr>
              <w:t>Loaded labor rate</w:t>
            </w:r>
            <w:r w:rsidRPr="00040C64">
              <w:rPr>
                <w:rStyle w:val="FootnoteReference"/>
                <w:rFonts w:ascii="Times New Roman" w:eastAsia="SimSun" w:hAnsi="Times New Roman"/>
                <w:sz w:val="24"/>
                <w:szCs w:val="24"/>
                <w:vertAlign w:val="superscript"/>
              </w:rPr>
              <w:footnoteReference w:id="3"/>
            </w:r>
          </w:p>
        </w:tc>
        <w:tc>
          <w:tcPr>
            <w:tcW w:w="1956" w:type="dxa"/>
            <w:tcBorders>
              <w:top w:val="single" w:sz="4" w:space="0" w:color="auto"/>
            </w:tcBorders>
          </w:tcPr>
          <w:p w:rsidR="00040C64" w:rsidRPr="00040C64" w:rsidRDefault="00040C64" w:rsidP="00215F46">
            <w:pPr>
              <w:jc w:val="right"/>
              <w:rPr>
                <w:rFonts w:ascii="Times New Roman" w:eastAsia="SimSun" w:hAnsi="Times New Roman"/>
                <w:sz w:val="24"/>
                <w:szCs w:val="24"/>
              </w:rPr>
            </w:pPr>
            <w:r w:rsidRPr="00040C64">
              <w:rPr>
                <w:rFonts w:ascii="Times New Roman" w:eastAsia="SimSun" w:hAnsi="Times New Roman"/>
                <w:sz w:val="24"/>
                <w:szCs w:val="24"/>
              </w:rPr>
              <w:t>$</w:t>
            </w:r>
            <w:r w:rsidR="00215F46" w:rsidRPr="00A00FEF">
              <w:rPr>
                <w:rFonts w:ascii="Times New Roman" w:eastAsia="SimSun" w:hAnsi="Times New Roman"/>
                <w:sz w:val="24"/>
                <w:szCs w:val="24"/>
              </w:rPr>
              <w:t>63.08</w:t>
            </w:r>
          </w:p>
        </w:tc>
      </w:tr>
      <w:tr w:rsidR="00C36D7B" w:rsidRPr="00040C64" w:rsidTr="00C36D7B">
        <w:tc>
          <w:tcPr>
            <w:tcW w:w="4295" w:type="dxa"/>
            <w:vAlign w:val="bottom"/>
          </w:tcPr>
          <w:p w:rsidR="00C36D7B" w:rsidRPr="00040C64" w:rsidRDefault="00C36D7B" w:rsidP="007A0905">
            <w:pPr>
              <w:rPr>
                <w:rFonts w:ascii="Times New Roman" w:hAnsi="Times New Roman"/>
                <w:b/>
                <w:bCs/>
                <w:color w:val="000000"/>
                <w:sz w:val="24"/>
                <w:szCs w:val="24"/>
              </w:rPr>
            </w:pPr>
            <w:r>
              <w:rPr>
                <w:rFonts w:ascii="Times New Roman" w:hAnsi="Times New Roman"/>
                <w:color w:val="000000"/>
                <w:sz w:val="24"/>
                <w:szCs w:val="24"/>
              </w:rPr>
              <w:t>Average burden per response (hour)</w:t>
            </w:r>
          </w:p>
        </w:tc>
        <w:tc>
          <w:tcPr>
            <w:tcW w:w="1956" w:type="dxa"/>
            <w:tcBorders>
              <w:bottom w:val="single" w:sz="4" w:space="0" w:color="auto"/>
            </w:tcBorders>
            <w:vAlign w:val="bottom"/>
          </w:tcPr>
          <w:p w:rsidR="00C36D7B" w:rsidRPr="00040C64" w:rsidRDefault="00C36D7B" w:rsidP="00215F46">
            <w:pPr>
              <w:jc w:val="right"/>
              <w:rPr>
                <w:rFonts w:ascii="Times New Roman" w:hAnsi="Times New Roman"/>
                <w:bCs/>
                <w:color w:val="000000"/>
                <w:sz w:val="24"/>
                <w:szCs w:val="24"/>
                <w:u w:val="single"/>
              </w:rPr>
            </w:pPr>
            <w:r>
              <w:rPr>
                <w:rFonts w:ascii="Times New Roman" w:hAnsi="Times New Roman"/>
                <w:sz w:val="24"/>
                <w:szCs w:val="24"/>
              </w:rPr>
              <w:t>0.1927</w:t>
            </w:r>
          </w:p>
        </w:tc>
      </w:tr>
      <w:tr w:rsidR="00040C64" w:rsidRPr="00040C64" w:rsidTr="00C36D7B">
        <w:tc>
          <w:tcPr>
            <w:tcW w:w="4295" w:type="dxa"/>
            <w:vAlign w:val="bottom"/>
          </w:tcPr>
          <w:p w:rsidR="00040C64" w:rsidRPr="00040C64" w:rsidRDefault="00C36D7B" w:rsidP="007A0905">
            <w:pPr>
              <w:rPr>
                <w:rFonts w:ascii="Times New Roman" w:hAnsi="Times New Roman"/>
                <w:b/>
                <w:bCs/>
                <w:color w:val="000000"/>
                <w:sz w:val="24"/>
                <w:szCs w:val="24"/>
              </w:rPr>
            </w:pPr>
            <w:r>
              <w:rPr>
                <w:rFonts w:ascii="Times New Roman" w:hAnsi="Times New Roman"/>
                <w:color w:val="000000"/>
                <w:sz w:val="24"/>
                <w:szCs w:val="24"/>
              </w:rPr>
              <w:t>Burden cost per response</w:t>
            </w:r>
          </w:p>
        </w:tc>
        <w:tc>
          <w:tcPr>
            <w:tcW w:w="1956" w:type="dxa"/>
            <w:tcBorders>
              <w:top w:val="single" w:sz="4" w:space="0" w:color="auto"/>
            </w:tcBorders>
            <w:vAlign w:val="bottom"/>
          </w:tcPr>
          <w:p w:rsidR="00040C64" w:rsidRPr="00040C64" w:rsidRDefault="00C36D7B" w:rsidP="00215F46">
            <w:pPr>
              <w:jc w:val="right"/>
              <w:rPr>
                <w:rFonts w:ascii="Times New Roman" w:hAnsi="Times New Roman"/>
                <w:bCs/>
                <w:color w:val="000000"/>
                <w:sz w:val="24"/>
                <w:szCs w:val="24"/>
                <w:u w:val="single"/>
              </w:rPr>
            </w:pPr>
            <w:r w:rsidRPr="000C7227">
              <w:rPr>
                <w:rFonts w:ascii="Times New Roman" w:hAnsi="Times New Roman"/>
                <w:color w:val="000000"/>
                <w:sz w:val="24"/>
                <w:szCs w:val="24"/>
              </w:rPr>
              <w:t>$</w:t>
            </w:r>
            <w:r>
              <w:rPr>
                <w:rFonts w:ascii="Times New Roman" w:hAnsi="Times New Roman"/>
                <w:color w:val="000000"/>
                <w:sz w:val="24"/>
                <w:szCs w:val="24"/>
              </w:rPr>
              <w:t>12.16</w:t>
            </w:r>
          </w:p>
        </w:tc>
      </w:tr>
      <w:tr w:rsidR="0025033A" w:rsidRPr="00040C64" w:rsidTr="0025033A">
        <w:tc>
          <w:tcPr>
            <w:tcW w:w="4295" w:type="dxa"/>
            <w:vAlign w:val="center"/>
          </w:tcPr>
          <w:p w:rsidR="0025033A" w:rsidRPr="007A0905" w:rsidRDefault="00C36D7B" w:rsidP="00C36D7B">
            <w:pPr>
              <w:rPr>
                <w:rFonts w:ascii="Times New Roman" w:hAnsi="Times New Roman"/>
                <w:b/>
                <w:bCs/>
                <w:color w:val="000000"/>
                <w:sz w:val="24"/>
                <w:szCs w:val="24"/>
              </w:rPr>
            </w:pPr>
            <w:r>
              <w:rPr>
                <w:rFonts w:ascii="Times New Roman" w:hAnsi="Times New Roman"/>
                <w:color w:val="000000"/>
                <w:sz w:val="24"/>
                <w:szCs w:val="24"/>
              </w:rPr>
              <w:t>Number of annual responses</w:t>
            </w:r>
          </w:p>
        </w:tc>
        <w:tc>
          <w:tcPr>
            <w:tcW w:w="1956" w:type="dxa"/>
            <w:tcBorders>
              <w:bottom w:val="single" w:sz="4" w:space="0" w:color="auto"/>
            </w:tcBorders>
            <w:vAlign w:val="bottom"/>
          </w:tcPr>
          <w:p w:rsidR="0025033A" w:rsidRPr="00CF122E" w:rsidRDefault="00C36D7B" w:rsidP="00950ACC">
            <w:pPr>
              <w:jc w:val="right"/>
              <w:rPr>
                <w:rFonts w:ascii="Times New Roman" w:hAnsi="Times New Roman"/>
                <w:b/>
                <w:bCs/>
                <w:color w:val="000000"/>
                <w:sz w:val="24"/>
                <w:szCs w:val="24"/>
              </w:rPr>
            </w:pPr>
            <w:r>
              <w:rPr>
                <w:rFonts w:ascii="Times New Roman" w:hAnsi="Times New Roman"/>
                <w:color w:val="000000"/>
                <w:sz w:val="24"/>
                <w:szCs w:val="24"/>
              </w:rPr>
              <w:t>12,156</w:t>
            </w:r>
          </w:p>
        </w:tc>
      </w:tr>
      <w:tr w:rsidR="0025033A" w:rsidRPr="00040C64" w:rsidTr="0025033A">
        <w:tc>
          <w:tcPr>
            <w:tcW w:w="4295" w:type="dxa"/>
            <w:vAlign w:val="center"/>
          </w:tcPr>
          <w:p w:rsidR="0025033A" w:rsidRPr="007A0905" w:rsidRDefault="0025033A" w:rsidP="004C4279">
            <w:pPr>
              <w:rPr>
                <w:rFonts w:ascii="Times New Roman" w:hAnsi="Times New Roman"/>
                <w:b/>
                <w:bCs/>
                <w:color w:val="000000"/>
                <w:sz w:val="24"/>
                <w:szCs w:val="24"/>
              </w:rPr>
            </w:pPr>
            <w:r w:rsidRPr="007A0905">
              <w:rPr>
                <w:rFonts w:ascii="Times New Roman" w:hAnsi="Times New Roman"/>
                <w:b/>
                <w:bCs/>
                <w:color w:val="000000"/>
                <w:sz w:val="24"/>
                <w:szCs w:val="24"/>
              </w:rPr>
              <w:t xml:space="preserve">Total </w:t>
            </w:r>
            <w:r>
              <w:rPr>
                <w:rFonts w:ascii="Times New Roman" w:hAnsi="Times New Roman"/>
                <w:b/>
                <w:bCs/>
                <w:color w:val="000000"/>
                <w:sz w:val="24"/>
                <w:szCs w:val="24"/>
              </w:rPr>
              <w:t>hour</w:t>
            </w:r>
            <w:r w:rsidR="004C4279">
              <w:rPr>
                <w:rFonts w:ascii="Times New Roman" w:hAnsi="Times New Roman"/>
                <w:b/>
                <w:bCs/>
                <w:color w:val="000000"/>
                <w:sz w:val="24"/>
                <w:szCs w:val="24"/>
              </w:rPr>
              <w:t xml:space="preserve"> burden</w:t>
            </w:r>
            <w:r w:rsidRPr="007A0905">
              <w:rPr>
                <w:rFonts w:ascii="Times New Roman" w:hAnsi="Times New Roman"/>
                <w:b/>
                <w:bCs/>
                <w:color w:val="000000"/>
                <w:sz w:val="24"/>
                <w:szCs w:val="24"/>
              </w:rPr>
              <w:t xml:space="preserve"> </w:t>
            </w:r>
            <w:r>
              <w:rPr>
                <w:rFonts w:ascii="Times New Roman" w:hAnsi="Times New Roman"/>
                <w:b/>
                <w:bCs/>
                <w:color w:val="000000"/>
                <w:sz w:val="24"/>
                <w:szCs w:val="24"/>
              </w:rPr>
              <w:t>cost</w:t>
            </w:r>
          </w:p>
        </w:tc>
        <w:tc>
          <w:tcPr>
            <w:tcW w:w="1956" w:type="dxa"/>
            <w:tcBorders>
              <w:top w:val="single" w:sz="4" w:space="0" w:color="auto"/>
            </w:tcBorders>
            <w:vAlign w:val="bottom"/>
          </w:tcPr>
          <w:p w:rsidR="0025033A" w:rsidRPr="00040C64" w:rsidRDefault="0025033A" w:rsidP="00950ACC">
            <w:pPr>
              <w:jc w:val="right"/>
              <w:rPr>
                <w:rFonts w:ascii="Times New Roman" w:hAnsi="Times New Roman"/>
                <w:bCs/>
                <w:color w:val="000000"/>
                <w:sz w:val="24"/>
                <w:szCs w:val="24"/>
              </w:rPr>
            </w:pPr>
            <w:r w:rsidRPr="00CF122E">
              <w:rPr>
                <w:rFonts w:ascii="Times New Roman" w:hAnsi="Times New Roman"/>
                <w:b/>
                <w:bCs/>
                <w:color w:val="000000"/>
                <w:sz w:val="24"/>
                <w:szCs w:val="24"/>
              </w:rPr>
              <w:t>$</w:t>
            </w:r>
            <w:r w:rsidR="00C36D7B">
              <w:rPr>
                <w:rFonts w:ascii="Times New Roman" w:hAnsi="Times New Roman"/>
                <w:b/>
                <w:bCs/>
                <w:color w:val="000000"/>
                <w:sz w:val="24"/>
                <w:szCs w:val="24"/>
              </w:rPr>
              <w:t>147,817</w:t>
            </w:r>
          </w:p>
        </w:tc>
      </w:tr>
    </w:tbl>
    <w:p w:rsidR="00803904" w:rsidRDefault="00803904" w:rsidP="005A1D74">
      <w:pPr>
        <w:rPr>
          <w:rFonts w:ascii="Times New Roman" w:hAnsi="Times New Roman"/>
          <w:sz w:val="24"/>
          <w:szCs w:val="24"/>
        </w:rPr>
      </w:pPr>
    </w:p>
    <w:p w:rsidR="005A1D74" w:rsidRPr="005A1D74" w:rsidDel="00D72AA4" w:rsidRDefault="005A1D74" w:rsidP="005A1D74">
      <w:pPr>
        <w:rPr>
          <w:rFonts w:ascii="Times New Roman" w:hAnsi="Times New Roman"/>
          <w:sz w:val="24"/>
          <w:szCs w:val="24"/>
        </w:rPr>
      </w:pPr>
      <w:r w:rsidRPr="005A1D74" w:rsidDel="00D72AA4">
        <w:rPr>
          <w:rFonts w:ascii="Times New Roman" w:hAnsi="Times New Roman"/>
          <w:sz w:val="24"/>
          <w:szCs w:val="24"/>
        </w:rPr>
        <w:t xml:space="preserve">13.  </w:t>
      </w:r>
      <w:r w:rsidRPr="007A7866" w:rsidDel="00D72AA4">
        <w:rPr>
          <w:rFonts w:ascii="Times New Roman" w:hAnsi="Times New Roman"/>
          <w:sz w:val="24"/>
          <w:szCs w:val="24"/>
          <w:u w:val="single"/>
        </w:rPr>
        <w:t>Estimate of Cost Burden</w:t>
      </w:r>
      <w:r w:rsidRPr="00E75B77" w:rsidDel="00D72AA4">
        <w:rPr>
          <w:rFonts w:ascii="Times New Roman" w:hAnsi="Times New Roman"/>
          <w:sz w:val="24"/>
          <w:szCs w:val="24"/>
          <w:u w:val="single"/>
        </w:rPr>
        <w:t>:</w:t>
      </w:r>
    </w:p>
    <w:p w:rsidR="005A1D74" w:rsidRPr="005A1D74" w:rsidRDefault="005A1D74" w:rsidP="005A1D74">
      <w:pPr>
        <w:rPr>
          <w:rFonts w:ascii="Times New Roman" w:hAnsi="Times New Roman"/>
          <w:sz w:val="24"/>
          <w:szCs w:val="24"/>
        </w:rPr>
      </w:pPr>
    </w:p>
    <w:p w:rsidR="004C501D" w:rsidRDefault="004C501D" w:rsidP="00F14FEE">
      <w:pPr>
        <w:rPr>
          <w:rFonts w:ascii="Times New Roman" w:hAnsi="Times New Roman"/>
          <w:sz w:val="24"/>
          <w:szCs w:val="24"/>
        </w:rPr>
      </w:pPr>
      <w:r w:rsidRPr="007B5C32">
        <w:rPr>
          <w:rFonts w:ascii="Times New Roman" w:hAnsi="Times New Roman"/>
          <w:sz w:val="24"/>
          <w:szCs w:val="24"/>
        </w:rPr>
        <w:t>Respondents are not estimated to incur any additional start-up cost</w:t>
      </w:r>
      <w:r w:rsidR="002B530A">
        <w:rPr>
          <w:rFonts w:ascii="Times New Roman" w:hAnsi="Times New Roman"/>
          <w:sz w:val="24"/>
          <w:szCs w:val="24"/>
        </w:rPr>
        <w:t>s</w:t>
      </w:r>
      <w:r w:rsidRPr="007B5C32">
        <w:rPr>
          <w:rFonts w:ascii="Times New Roman" w:hAnsi="Times New Roman"/>
          <w:sz w:val="24"/>
          <w:szCs w:val="24"/>
        </w:rPr>
        <w:t xml:space="preserve"> or capital expenditure</w:t>
      </w:r>
      <w:r w:rsidR="002B530A">
        <w:rPr>
          <w:rFonts w:ascii="Times New Roman" w:hAnsi="Times New Roman"/>
          <w:sz w:val="24"/>
          <w:szCs w:val="24"/>
        </w:rPr>
        <w:t>s</w:t>
      </w:r>
      <w:r w:rsidRPr="007B5C32">
        <w:rPr>
          <w:rFonts w:ascii="Times New Roman" w:hAnsi="Times New Roman"/>
          <w:sz w:val="24"/>
          <w:szCs w:val="24"/>
        </w:rPr>
        <w:t xml:space="preserve"> as a result of this information collection.  </w:t>
      </w:r>
      <w:r w:rsidR="00803E02">
        <w:rPr>
          <w:rFonts w:ascii="Times New Roman" w:hAnsi="Times New Roman"/>
          <w:sz w:val="24"/>
          <w:szCs w:val="24"/>
        </w:rPr>
        <w:t>Any cost</w:t>
      </w:r>
      <w:r w:rsidR="002B530A">
        <w:rPr>
          <w:rFonts w:ascii="Times New Roman" w:hAnsi="Times New Roman"/>
          <w:sz w:val="24"/>
          <w:szCs w:val="24"/>
        </w:rPr>
        <w:t>s</w:t>
      </w:r>
      <w:r w:rsidR="00803E02">
        <w:rPr>
          <w:rFonts w:ascii="Times New Roman" w:hAnsi="Times New Roman"/>
          <w:sz w:val="24"/>
          <w:szCs w:val="24"/>
        </w:rPr>
        <w:t xml:space="preserve"> associated with retention is nominal.  </w:t>
      </w:r>
      <w:r w:rsidRPr="007B5C32">
        <w:rPr>
          <w:rFonts w:ascii="Times New Roman" w:hAnsi="Times New Roman"/>
          <w:sz w:val="24"/>
          <w:szCs w:val="24"/>
        </w:rPr>
        <w:t xml:space="preserve">However, respondents are </w:t>
      </w:r>
      <w:r w:rsidR="00803E02">
        <w:rPr>
          <w:rFonts w:ascii="Times New Roman" w:hAnsi="Times New Roman"/>
          <w:sz w:val="24"/>
          <w:szCs w:val="24"/>
        </w:rPr>
        <w:t>estimated</w:t>
      </w:r>
      <w:r w:rsidRPr="007B5C32">
        <w:rPr>
          <w:rFonts w:ascii="Times New Roman" w:hAnsi="Times New Roman"/>
          <w:sz w:val="24"/>
          <w:szCs w:val="24"/>
        </w:rPr>
        <w:t xml:space="preserve"> to incur shipping costs</w:t>
      </w:r>
      <w:r w:rsidR="00F14FEE">
        <w:rPr>
          <w:rFonts w:ascii="Times New Roman" w:hAnsi="Times New Roman"/>
          <w:sz w:val="24"/>
          <w:szCs w:val="24"/>
        </w:rPr>
        <w:t xml:space="preserve"> for paper responses</w:t>
      </w:r>
      <w:r w:rsidRPr="007B5C32">
        <w:rPr>
          <w:rFonts w:ascii="Times New Roman" w:hAnsi="Times New Roman"/>
          <w:sz w:val="24"/>
          <w:szCs w:val="24"/>
        </w:rPr>
        <w:t>.</w:t>
      </w:r>
    </w:p>
    <w:p w:rsidR="00D72AA4" w:rsidRDefault="00D72AA4" w:rsidP="00254B07">
      <w:pPr>
        <w:rPr>
          <w:rFonts w:ascii="Times New Roman" w:hAnsi="Times New Roman"/>
          <w:sz w:val="24"/>
          <w:szCs w:val="24"/>
        </w:rPr>
      </w:pPr>
    </w:p>
    <w:tbl>
      <w:tblPr>
        <w:tblW w:w="0" w:type="auto"/>
        <w:tblInd w:w="720" w:type="dxa"/>
        <w:tblLayout w:type="fixed"/>
        <w:tblLook w:val="04A0" w:firstRow="1" w:lastRow="0" w:firstColumn="1" w:lastColumn="0" w:noHBand="0" w:noVBand="1"/>
      </w:tblPr>
      <w:tblGrid>
        <w:gridCol w:w="4295"/>
        <w:gridCol w:w="1956"/>
      </w:tblGrid>
      <w:tr w:rsidR="00D72AA4" w:rsidRPr="00040C64" w:rsidTr="00F85D04">
        <w:tc>
          <w:tcPr>
            <w:tcW w:w="4295" w:type="dxa"/>
            <w:vAlign w:val="center"/>
          </w:tcPr>
          <w:p w:rsidR="00D72AA4" w:rsidRPr="00040C64" w:rsidRDefault="00D72AA4" w:rsidP="00B837D2">
            <w:pPr>
              <w:rPr>
                <w:rFonts w:ascii="Times New Roman" w:hAnsi="Times New Roman"/>
                <w:color w:val="000000"/>
                <w:sz w:val="24"/>
                <w:szCs w:val="24"/>
              </w:rPr>
            </w:pPr>
            <w:r w:rsidRPr="00040C64">
              <w:rPr>
                <w:rFonts w:ascii="Times New Roman" w:hAnsi="Times New Roman"/>
                <w:color w:val="000000"/>
                <w:sz w:val="24"/>
                <w:szCs w:val="24"/>
              </w:rPr>
              <w:t xml:space="preserve">Number of </w:t>
            </w:r>
            <w:r>
              <w:rPr>
                <w:rFonts w:ascii="Times New Roman" w:hAnsi="Times New Roman"/>
                <w:color w:val="000000"/>
                <w:sz w:val="24"/>
                <w:szCs w:val="24"/>
              </w:rPr>
              <w:t xml:space="preserve">paper </w:t>
            </w:r>
            <w:r w:rsidRPr="00040C64">
              <w:rPr>
                <w:rFonts w:ascii="Times New Roman" w:hAnsi="Times New Roman"/>
                <w:color w:val="000000"/>
                <w:sz w:val="24"/>
                <w:szCs w:val="24"/>
              </w:rPr>
              <w:t>responses</w:t>
            </w:r>
          </w:p>
        </w:tc>
        <w:tc>
          <w:tcPr>
            <w:tcW w:w="1956" w:type="dxa"/>
            <w:vAlign w:val="bottom"/>
          </w:tcPr>
          <w:p w:rsidR="00D72AA4" w:rsidRPr="00040C64" w:rsidRDefault="007B149A" w:rsidP="00B837D2">
            <w:pPr>
              <w:jc w:val="right"/>
              <w:rPr>
                <w:rFonts w:ascii="Times New Roman" w:hAnsi="Times New Roman"/>
                <w:color w:val="000000"/>
                <w:sz w:val="24"/>
                <w:szCs w:val="24"/>
              </w:rPr>
            </w:pPr>
            <w:r w:rsidRPr="007B149A">
              <w:rPr>
                <w:rFonts w:ascii="Times New Roman" w:hAnsi="Times New Roman"/>
                <w:color w:val="000000"/>
                <w:sz w:val="24"/>
                <w:szCs w:val="24"/>
              </w:rPr>
              <w:t>379</w:t>
            </w:r>
          </w:p>
        </w:tc>
      </w:tr>
      <w:tr w:rsidR="00D72AA4" w:rsidRPr="00040C64" w:rsidTr="00F85D04">
        <w:tc>
          <w:tcPr>
            <w:tcW w:w="4295" w:type="dxa"/>
            <w:vAlign w:val="center"/>
          </w:tcPr>
          <w:p w:rsidR="00D72AA4" w:rsidRPr="00040C64" w:rsidRDefault="00D72AA4" w:rsidP="00F85D04">
            <w:pPr>
              <w:rPr>
                <w:rFonts w:ascii="Times New Roman" w:hAnsi="Times New Roman"/>
                <w:color w:val="000000"/>
                <w:sz w:val="24"/>
                <w:szCs w:val="24"/>
              </w:rPr>
            </w:pPr>
            <w:r>
              <w:rPr>
                <w:rFonts w:ascii="Times New Roman" w:hAnsi="Times New Roman"/>
                <w:color w:val="000000"/>
                <w:sz w:val="24"/>
                <w:szCs w:val="24"/>
              </w:rPr>
              <w:t>Shipping cost per paper response</w:t>
            </w:r>
          </w:p>
        </w:tc>
        <w:tc>
          <w:tcPr>
            <w:tcW w:w="1956" w:type="dxa"/>
            <w:tcBorders>
              <w:bottom w:val="single" w:sz="4" w:space="0" w:color="auto"/>
            </w:tcBorders>
            <w:vAlign w:val="bottom"/>
          </w:tcPr>
          <w:p w:rsidR="00D72AA4" w:rsidRPr="00F85D04" w:rsidRDefault="00D72AA4" w:rsidP="00D72AA4">
            <w:pPr>
              <w:jc w:val="right"/>
              <w:rPr>
                <w:rFonts w:ascii="Times New Roman" w:hAnsi="Times New Roman"/>
                <w:sz w:val="24"/>
                <w:szCs w:val="24"/>
              </w:rPr>
            </w:pPr>
            <w:r>
              <w:rPr>
                <w:rFonts w:ascii="Times New Roman" w:hAnsi="Times New Roman"/>
                <w:sz w:val="24"/>
                <w:szCs w:val="24"/>
              </w:rPr>
              <w:t>$</w:t>
            </w:r>
            <w:r w:rsidRPr="00A00FEF">
              <w:rPr>
                <w:rFonts w:ascii="Times New Roman" w:hAnsi="Times New Roman"/>
                <w:sz w:val="24"/>
                <w:szCs w:val="24"/>
              </w:rPr>
              <w:t>0.49</w:t>
            </w:r>
          </w:p>
        </w:tc>
      </w:tr>
      <w:tr w:rsidR="00D72AA4" w:rsidRPr="00040C64" w:rsidTr="00F85D04">
        <w:tc>
          <w:tcPr>
            <w:tcW w:w="4295" w:type="dxa"/>
            <w:vAlign w:val="center"/>
          </w:tcPr>
          <w:p w:rsidR="00D72AA4" w:rsidRPr="00F85D04" w:rsidRDefault="00D72AA4" w:rsidP="002E0C7A">
            <w:pPr>
              <w:rPr>
                <w:rFonts w:ascii="Times New Roman" w:hAnsi="Times New Roman"/>
                <w:b/>
                <w:color w:val="000000"/>
                <w:sz w:val="24"/>
                <w:szCs w:val="24"/>
              </w:rPr>
            </w:pPr>
            <w:r>
              <w:rPr>
                <w:rFonts w:ascii="Times New Roman" w:hAnsi="Times New Roman"/>
                <w:b/>
                <w:color w:val="000000"/>
                <w:sz w:val="24"/>
                <w:szCs w:val="24"/>
              </w:rPr>
              <w:t>Total shipping cost</w:t>
            </w:r>
          </w:p>
        </w:tc>
        <w:tc>
          <w:tcPr>
            <w:tcW w:w="1956" w:type="dxa"/>
            <w:tcBorders>
              <w:top w:val="single" w:sz="4" w:space="0" w:color="auto"/>
            </w:tcBorders>
            <w:vAlign w:val="bottom"/>
          </w:tcPr>
          <w:p w:rsidR="00D72AA4" w:rsidRPr="00F85D04" w:rsidRDefault="00D72AA4" w:rsidP="00BC15E0">
            <w:pPr>
              <w:jc w:val="right"/>
              <w:rPr>
                <w:rFonts w:ascii="Times New Roman" w:hAnsi="Times New Roman"/>
                <w:b/>
                <w:sz w:val="24"/>
                <w:szCs w:val="24"/>
              </w:rPr>
            </w:pPr>
            <w:r w:rsidRPr="00F85D04">
              <w:rPr>
                <w:rFonts w:ascii="Times New Roman" w:hAnsi="Times New Roman"/>
                <w:b/>
                <w:sz w:val="24"/>
                <w:szCs w:val="24"/>
              </w:rPr>
              <w:t>$</w:t>
            </w:r>
            <w:r w:rsidR="00BC15E0">
              <w:rPr>
                <w:rFonts w:ascii="Times New Roman" w:hAnsi="Times New Roman"/>
                <w:b/>
                <w:sz w:val="24"/>
                <w:szCs w:val="24"/>
              </w:rPr>
              <w:t>186</w:t>
            </w:r>
          </w:p>
        </w:tc>
      </w:tr>
    </w:tbl>
    <w:p w:rsidR="00733125" w:rsidRDefault="00733125" w:rsidP="005A1D74">
      <w:pPr>
        <w:rPr>
          <w:rFonts w:ascii="Times New Roman" w:hAnsi="Times New Roman"/>
          <w:sz w:val="24"/>
          <w:szCs w:val="24"/>
        </w:rPr>
      </w:pPr>
    </w:p>
    <w:p w:rsidR="00733125" w:rsidRDefault="00733125" w:rsidP="005A1D74">
      <w:pPr>
        <w:rPr>
          <w:rFonts w:ascii="Times New Roman" w:hAnsi="Times New Roman"/>
          <w:sz w:val="24"/>
          <w:szCs w:val="24"/>
        </w:rPr>
      </w:pPr>
    </w:p>
    <w:p w:rsidR="00733125" w:rsidRDefault="00733125" w:rsidP="005A1D74">
      <w:pPr>
        <w:rPr>
          <w:rFonts w:ascii="Times New Roman" w:hAnsi="Times New Roman"/>
          <w:sz w:val="24"/>
          <w:szCs w:val="24"/>
        </w:rPr>
      </w:pPr>
    </w:p>
    <w:p w:rsidR="00733125" w:rsidRDefault="00733125" w:rsidP="002F4F5E">
      <w:pPr>
        <w:rPr>
          <w:rFonts w:ascii="Times New Roman" w:hAnsi="Times New Roman"/>
          <w:sz w:val="24"/>
          <w:szCs w:val="24"/>
        </w:rPr>
      </w:pPr>
    </w:p>
    <w:p w:rsidR="005A1D74" w:rsidRPr="00E75B77" w:rsidRDefault="005A1D74" w:rsidP="005A1D74">
      <w:pPr>
        <w:rPr>
          <w:rFonts w:ascii="Times New Roman" w:hAnsi="Times New Roman"/>
          <w:sz w:val="24"/>
          <w:szCs w:val="24"/>
        </w:rPr>
      </w:pPr>
      <w:r w:rsidRPr="00E75B77">
        <w:rPr>
          <w:rFonts w:ascii="Times New Roman" w:hAnsi="Times New Roman"/>
          <w:sz w:val="24"/>
          <w:szCs w:val="24"/>
        </w:rPr>
        <w:t xml:space="preserve">14.  </w:t>
      </w:r>
      <w:r w:rsidRPr="00E75B77">
        <w:rPr>
          <w:rFonts w:ascii="Times New Roman" w:hAnsi="Times New Roman"/>
          <w:sz w:val="24"/>
          <w:szCs w:val="24"/>
          <w:u w:val="single"/>
        </w:rPr>
        <w:t>Estimated Annualized Cost</w:t>
      </w:r>
      <w:r w:rsidR="00E75B77" w:rsidRPr="00E75B77">
        <w:rPr>
          <w:rFonts w:ascii="Times New Roman" w:hAnsi="Times New Roman"/>
          <w:sz w:val="24"/>
          <w:szCs w:val="24"/>
          <w:u w:val="single"/>
        </w:rPr>
        <w:t>s</w:t>
      </w:r>
      <w:r w:rsidRPr="00E75B77">
        <w:rPr>
          <w:rFonts w:ascii="Times New Roman" w:hAnsi="Times New Roman"/>
          <w:sz w:val="24"/>
          <w:szCs w:val="24"/>
          <w:u w:val="single"/>
        </w:rPr>
        <w:t xml:space="preserve"> to Federal Government:</w:t>
      </w:r>
    </w:p>
    <w:p w:rsidR="005A1D74" w:rsidRPr="005A1D74" w:rsidRDefault="005A1D74" w:rsidP="005A1D74">
      <w:pPr>
        <w:rPr>
          <w:rFonts w:ascii="Times New Roman" w:hAnsi="Times New Roman"/>
          <w:sz w:val="24"/>
          <w:szCs w:val="24"/>
        </w:rPr>
      </w:pPr>
    </w:p>
    <w:p w:rsidR="005A1D74" w:rsidRDefault="005A1D74" w:rsidP="005A1D74">
      <w:pPr>
        <w:rPr>
          <w:rFonts w:ascii="Times New Roman" w:hAnsi="Times New Roman"/>
          <w:sz w:val="24"/>
          <w:szCs w:val="24"/>
        </w:rPr>
      </w:pPr>
      <w:bookmarkStart w:id="2" w:name="OLE_LINK5"/>
      <w:bookmarkStart w:id="3" w:name="OLE_LINK6"/>
      <w:r w:rsidRPr="005A1D74">
        <w:rPr>
          <w:rFonts w:ascii="Times New Roman" w:hAnsi="Times New Roman"/>
          <w:sz w:val="24"/>
          <w:szCs w:val="24"/>
        </w:rPr>
        <w:t>Estimated annual cost to the Federal government:</w:t>
      </w:r>
    </w:p>
    <w:p w:rsidR="00D22ADC" w:rsidRDefault="00D22ADC" w:rsidP="005A1D74">
      <w:pPr>
        <w:rPr>
          <w:rFonts w:ascii="Times New Roman" w:hAnsi="Times New Roman"/>
          <w:sz w:val="24"/>
          <w:szCs w:val="24"/>
        </w:rPr>
      </w:pPr>
    </w:p>
    <w:tbl>
      <w:tblPr>
        <w:tblW w:w="4525" w:type="dxa"/>
        <w:tblInd w:w="720" w:type="dxa"/>
        <w:tblLook w:val="04A0" w:firstRow="1" w:lastRow="0" w:firstColumn="1" w:lastColumn="0" w:noHBand="0" w:noVBand="1"/>
      </w:tblPr>
      <w:tblGrid>
        <w:gridCol w:w="2689"/>
        <w:gridCol w:w="1836"/>
      </w:tblGrid>
      <w:tr w:rsidR="00D22ADC" w:rsidRPr="00D22ADC" w:rsidTr="00F85D04">
        <w:trPr>
          <w:trHeight w:val="315"/>
        </w:trPr>
        <w:tc>
          <w:tcPr>
            <w:tcW w:w="2689" w:type="dxa"/>
            <w:tcBorders>
              <w:top w:val="nil"/>
              <w:left w:val="nil"/>
              <w:bottom w:val="nil"/>
              <w:right w:val="nil"/>
            </w:tcBorders>
            <w:shd w:val="clear" w:color="auto" w:fill="auto"/>
            <w:noWrap/>
            <w:vAlign w:val="center"/>
            <w:hideMark/>
          </w:tcPr>
          <w:p w:rsidR="00D22ADC" w:rsidRPr="00A00FEF" w:rsidRDefault="00215F46" w:rsidP="00D22ADC">
            <w:pPr>
              <w:rPr>
                <w:rFonts w:ascii="Times New Roman" w:hAnsi="Times New Roman"/>
                <w:noProof w:val="0"/>
                <w:color w:val="000000"/>
                <w:sz w:val="24"/>
                <w:szCs w:val="24"/>
              </w:rPr>
            </w:pPr>
            <w:r w:rsidRPr="00A00FEF">
              <w:rPr>
                <w:rFonts w:ascii="Times New Roman" w:hAnsi="Times New Roman"/>
                <w:noProof w:val="0"/>
                <w:color w:val="000000"/>
                <w:sz w:val="24"/>
                <w:szCs w:val="24"/>
              </w:rPr>
              <w:t>Data Support</w:t>
            </w:r>
          </w:p>
        </w:tc>
        <w:tc>
          <w:tcPr>
            <w:tcW w:w="1836" w:type="dxa"/>
            <w:tcBorders>
              <w:top w:val="nil"/>
              <w:left w:val="nil"/>
              <w:bottom w:val="single" w:sz="4" w:space="0" w:color="auto"/>
              <w:right w:val="nil"/>
            </w:tcBorders>
            <w:shd w:val="clear" w:color="auto" w:fill="auto"/>
            <w:noWrap/>
            <w:vAlign w:val="bottom"/>
            <w:hideMark/>
          </w:tcPr>
          <w:p w:rsidR="00D22ADC" w:rsidRPr="00A00FEF" w:rsidRDefault="00D22ADC" w:rsidP="008D7177">
            <w:pPr>
              <w:jc w:val="right"/>
              <w:rPr>
                <w:rFonts w:ascii="Times New Roman" w:hAnsi="Times New Roman"/>
                <w:noProof w:val="0"/>
                <w:color w:val="000000"/>
                <w:sz w:val="24"/>
                <w:szCs w:val="24"/>
              </w:rPr>
            </w:pPr>
            <w:r w:rsidRPr="00A00FEF">
              <w:rPr>
                <w:rFonts w:ascii="Times New Roman" w:hAnsi="Times New Roman"/>
                <w:noProof w:val="0"/>
                <w:color w:val="000000"/>
                <w:sz w:val="24"/>
                <w:szCs w:val="24"/>
              </w:rPr>
              <w:t>$</w:t>
            </w:r>
            <w:r w:rsidR="00215F46" w:rsidRPr="00A00FEF">
              <w:rPr>
                <w:rFonts w:ascii="Times New Roman" w:hAnsi="Times New Roman"/>
                <w:noProof w:val="0"/>
                <w:color w:val="000000"/>
                <w:sz w:val="24"/>
                <w:szCs w:val="24"/>
              </w:rPr>
              <w:t>150,000</w:t>
            </w:r>
          </w:p>
        </w:tc>
      </w:tr>
      <w:tr w:rsidR="00D22ADC" w:rsidRPr="00D22ADC" w:rsidTr="00F85D04">
        <w:trPr>
          <w:trHeight w:val="315"/>
        </w:trPr>
        <w:tc>
          <w:tcPr>
            <w:tcW w:w="2689" w:type="dxa"/>
            <w:tcBorders>
              <w:top w:val="nil"/>
              <w:left w:val="nil"/>
              <w:bottom w:val="nil"/>
              <w:right w:val="nil"/>
            </w:tcBorders>
            <w:shd w:val="clear" w:color="auto" w:fill="auto"/>
            <w:noWrap/>
            <w:vAlign w:val="center"/>
            <w:hideMark/>
          </w:tcPr>
          <w:p w:rsidR="00D22ADC" w:rsidRPr="00D22ADC" w:rsidRDefault="00D22ADC" w:rsidP="00D22ADC">
            <w:pPr>
              <w:rPr>
                <w:rFonts w:ascii="Times New Roman" w:hAnsi="Times New Roman"/>
                <w:b/>
                <w:bCs/>
                <w:noProof w:val="0"/>
                <w:color w:val="000000"/>
                <w:sz w:val="24"/>
                <w:szCs w:val="24"/>
              </w:rPr>
            </w:pPr>
            <w:r w:rsidRPr="00D22ADC">
              <w:rPr>
                <w:rFonts w:ascii="Times New Roman" w:hAnsi="Times New Roman"/>
                <w:b/>
                <w:bCs/>
                <w:noProof w:val="0"/>
                <w:color w:val="000000"/>
                <w:sz w:val="24"/>
                <w:szCs w:val="24"/>
              </w:rPr>
              <w:t>Total</w:t>
            </w:r>
          </w:p>
        </w:tc>
        <w:tc>
          <w:tcPr>
            <w:tcW w:w="1836" w:type="dxa"/>
            <w:tcBorders>
              <w:top w:val="single" w:sz="4" w:space="0" w:color="auto"/>
              <w:left w:val="nil"/>
              <w:bottom w:val="nil"/>
              <w:right w:val="nil"/>
            </w:tcBorders>
            <w:shd w:val="clear" w:color="auto" w:fill="auto"/>
            <w:noWrap/>
            <w:vAlign w:val="bottom"/>
            <w:hideMark/>
          </w:tcPr>
          <w:p w:rsidR="00D22ADC" w:rsidRPr="00A00FEF" w:rsidRDefault="00D22ADC" w:rsidP="00260CCD">
            <w:pPr>
              <w:jc w:val="right"/>
              <w:rPr>
                <w:rFonts w:ascii="Times New Roman" w:hAnsi="Times New Roman"/>
                <w:b/>
                <w:bCs/>
                <w:noProof w:val="0"/>
                <w:color w:val="000000"/>
                <w:sz w:val="24"/>
                <w:szCs w:val="24"/>
              </w:rPr>
            </w:pPr>
            <w:r w:rsidRPr="00A00FEF">
              <w:rPr>
                <w:rFonts w:ascii="Times New Roman" w:hAnsi="Times New Roman"/>
                <w:b/>
                <w:bCs/>
                <w:noProof w:val="0"/>
                <w:color w:val="000000"/>
                <w:sz w:val="24"/>
                <w:szCs w:val="24"/>
              </w:rPr>
              <w:t>$</w:t>
            </w:r>
            <w:r w:rsidR="00215F46" w:rsidRPr="00A00FEF">
              <w:rPr>
                <w:rFonts w:ascii="Times New Roman" w:hAnsi="Times New Roman"/>
                <w:b/>
                <w:bCs/>
                <w:noProof w:val="0"/>
                <w:color w:val="000000"/>
                <w:sz w:val="24"/>
                <w:szCs w:val="24"/>
              </w:rPr>
              <w:t>150,000</w:t>
            </w:r>
          </w:p>
        </w:tc>
      </w:tr>
    </w:tbl>
    <w:p w:rsidR="00D22ADC" w:rsidRPr="005A1D74" w:rsidRDefault="00D22ADC" w:rsidP="005A1D74">
      <w:pPr>
        <w:rPr>
          <w:rFonts w:ascii="Times New Roman" w:hAnsi="Times New Roman"/>
          <w:sz w:val="24"/>
          <w:szCs w:val="24"/>
        </w:rPr>
      </w:pPr>
    </w:p>
    <w:bookmarkEnd w:id="2"/>
    <w:bookmarkEnd w:id="3"/>
    <w:p w:rsidR="005A1D74" w:rsidRDefault="00E75B77" w:rsidP="005A1D74">
      <w:pPr>
        <w:rPr>
          <w:rFonts w:ascii="Times New Roman" w:hAnsi="Times New Roman"/>
          <w:sz w:val="24"/>
          <w:szCs w:val="24"/>
        </w:rPr>
      </w:pPr>
      <w:r w:rsidRPr="00E75B77">
        <w:rPr>
          <w:rFonts w:ascii="Times New Roman" w:hAnsi="Times New Roman"/>
          <w:sz w:val="24"/>
          <w:szCs w:val="24"/>
        </w:rPr>
        <w:t xml:space="preserve">All costs are recovered from the registrants through registration fees, as required by the CSA.  </w:t>
      </w:r>
      <w:r w:rsidR="007D58E1">
        <w:rPr>
          <w:rFonts w:ascii="Times New Roman" w:hAnsi="Times New Roman"/>
          <w:sz w:val="24"/>
          <w:szCs w:val="24"/>
        </w:rPr>
        <w:t xml:space="preserve"> </w:t>
      </w:r>
      <w:r w:rsidR="002106E7">
        <w:rPr>
          <w:rFonts w:ascii="Times New Roman" w:hAnsi="Times New Roman"/>
          <w:sz w:val="24"/>
          <w:szCs w:val="24"/>
        </w:rPr>
        <w:t>21 U.S.C. 886a.</w:t>
      </w:r>
    </w:p>
    <w:p w:rsidR="00E75B77" w:rsidRPr="005A1D74" w:rsidRDefault="00E75B77" w:rsidP="005A1D74">
      <w:pPr>
        <w:rPr>
          <w:rFonts w:ascii="Times New Roman" w:hAnsi="Times New Roman"/>
          <w:sz w:val="24"/>
          <w:szCs w:val="24"/>
        </w:rPr>
      </w:pPr>
    </w:p>
    <w:p w:rsidR="00331303" w:rsidRDefault="000C1537" w:rsidP="001A64B0">
      <w:pPr>
        <w:tabs>
          <w:tab w:val="left" w:pos="720"/>
          <w:tab w:val="left" w:pos="1440"/>
          <w:tab w:val="left" w:pos="2160"/>
        </w:tabs>
        <w:jc w:val="both"/>
        <w:rPr>
          <w:rFonts w:ascii="Times New Roman" w:hAnsi="Times New Roman"/>
          <w:noProof w:val="0"/>
          <w:sz w:val="24"/>
        </w:rPr>
      </w:pPr>
      <w:r>
        <w:rPr>
          <w:rFonts w:ascii="Times New Roman" w:hAnsi="Times New Roman"/>
          <w:noProof w:val="0"/>
          <w:sz w:val="24"/>
        </w:rPr>
        <w:t>15.</w:t>
      </w:r>
      <w:r w:rsidR="00090C0E">
        <w:rPr>
          <w:rFonts w:ascii="Times New Roman" w:hAnsi="Times New Roman"/>
          <w:noProof w:val="0"/>
          <w:sz w:val="24"/>
        </w:rPr>
        <w:t xml:space="preserve"> </w:t>
      </w:r>
      <w:r>
        <w:rPr>
          <w:rFonts w:ascii="Times New Roman" w:hAnsi="Times New Roman"/>
          <w:noProof w:val="0"/>
          <w:sz w:val="24"/>
        </w:rPr>
        <w:t xml:space="preserve"> </w:t>
      </w:r>
      <w:r w:rsidR="00331303" w:rsidRPr="00B051D2">
        <w:rPr>
          <w:rFonts w:ascii="Times New Roman" w:hAnsi="Times New Roman"/>
          <w:noProof w:val="0"/>
          <w:sz w:val="24"/>
          <w:u w:val="single"/>
        </w:rPr>
        <w:t>Reasons for Change in Burden:</w:t>
      </w:r>
    </w:p>
    <w:p w:rsidR="001A64B0" w:rsidRDefault="001A64B0" w:rsidP="001A64B0">
      <w:pPr>
        <w:rPr>
          <w:rFonts w:ascii="Times New Roman" w:hAnsi="Times New Roman"/>
          <w:noProof w:val="0"/>
          <w:sz w:val="24"/>
        </w:rPr>
      </w:pPr>
    </w:p>
    <w:p w:rsidR="00035A7F" w:rsidRPr="002C062D" w:rsidRDefault="00035A7F" w:rsidP="001A64B0">
      <w:pPr>
        <w:rPr>
          <w:rFonts w:ascii="Times New Roman" w:hAnsi="Times New Roman"/>
          <w:sz w:val="24"/>
          <w:szCs w:val="24"/>
        </w:rPr>
      </w:pPr>
      <w:r w:rsidRPr="002C062D">
        <w:rPr>
          <w:rFonts w:ascii="Times New Roman" w:hAnsi="Times New Roman"/>
          <w:sz w:val="24"/>
          <w:szCs w:val="24"/>
        </w:rPr>
        <w:t>The increase in annual responses reflects adjustments related to normal business activity.  The decrease in annual burden hours reflects the</w:t>
      </w:r>
      <w:r w:rsidR="00A867CD" w:rsidRPr="002C062D">
        <w:rPr>
          <w:rFonts w:ascii="Times New Roman" w:hAnsi="Times New Roman"/>
          <w:sz w:val="24"/>
          <w:szCs w:val="24"/>
        </w:rPr>
        <w:t xml:space="preserve"> </w:t>
      </w:r>
      <w:r w:rsidRPr="002C062D">
        <w:rPr>
          <w:rFonts w:ascii="Times New Roman" w:hAnsi="Times New Roman"/>
          <w:sz w:val="24"/>
          <w:szCs w:val="24"/>
        </w:rPr>
        <w:t xml:space="preserve">adjustment to estimated burden per </w:t>
      </w:r>
      <w:r w:rsidR="00A867CD" w:rsidRPr="002C062D">
        <w:rPr>
          <w:rFonts w:ascii="Times New Roman" w:hAnsi="Times New Roman"/>
          <w:sz w:val="24"/>
          <w:szCs w:val="24"/>
        </w:rPr>
        <w:t xml:space="preserve">electronic response, from one hour </w:t>
      </w:r>
      <w:r w:rsidRPr="002C062D">
        <w:rPr>
          <w:rFonts w:ascii="Times New Roman" w:hAnsi="Times New Roman"/>
          <w:sz w:val="24"/>
          <w:szCs w:val="24"/>
        </w:rPr>
        <w:t xml:space="preserve">to </w:t>
      </w:r>
      <w:r w:rsidR="00A00BE7">
        <w:rPr>
          <w:rFonts w:ascii="Times New Roman" w:hAnsi="Times New Roman"/>
          <w:sz w:val="24"/>
          <w:szCs w:val="24"/>
        </w:rPr>
        <w:t>ten</w:t>
      </w:r>
      <w:r w:rsidR="00A00BE7" w:rsidRPr="002C062D">
        <w:rPr>
          <w:rFonts w:ascii="Times New Roman" w:hAnsi="Times New Roman"/>
          <w:sz w:val="24"/>
          <w:szCs w:val="24"/>
        </w:rPr>
        <w:t xml:space="preserve"> </w:t>
      </w:r>
      <w:r w:rsidRPr="002C062D">
        <w:rPr>
          <w:rFonts w:ascii="Times New Roman" w:hAnsi="Times New Roman"/>
          <w:sz w:val="24"/>
          <w:szCs w:val="24"/>
        </w:rPr>
        <w:t>minute</w:t>
      </w:r>
      <w:r w:rsidR="00A867CD" w:rsidRPr="002C062D">
        <w:rPr>
          <w:rFonts w:ascii="Times New Roman" w:hAnsi="Times New Roman"/>
          <w:sz w:val="24"/>
          <w:szCs w:val="24"/>
        </w:rPr>
        <w:t>s</w:t>
      </w:r>
      <w:r w:rsidR="00A00BE7">
        <w:rPr>
          <w:rFonts w:ascii="Times New Roman" w:hAnsi="Times New Roman"/>
          <w:sz w:val="24"/>
          <w:szCs w:val="24"/>
        </w:rPr>
        <w:t>,</w:t>
      </w:r>
      <w:r w:rsidR="00A867CD" w:rsidRPr="002C062D">
        <w:rPr>
          <w:rFonts w:ascii="Times New Roman" w:hAnsi="Times New Roman"/>
          <w:sz w:val="24"/>
          <w:szCs w:val="24"/>
        </w:rPr>
        <w:t xml:space="preserve"> and the increase in the portion of total responses that are electronic responses.</w:t>
      </w:r>
      <w:r w:rsidRPr="002C062D">
        <w:rPr>
          <w:rFonts w:ascii="Times New Roman" w:hAnsi="Times New Roman"/>
          <w:sz w:val="24"/>
          <w:szCs w:val="24"/>
        </w:rPr>
        <w:t xml:space="preserve">  The 2014 annual burden dollars erroneously excluded labor burden in the annual burden dollars calculation </w:t>
      </w:r>
      <w:r w:rsidR="00A867CD" w:rsidRPr="002C062D">
        <w:rPr>
          <w:rFonts w:ascii="Times New Roman" w:hAnsi="Times New Roman"/>
          <w:sz w:val="24"/>
          <w:szCs w:val="24"/>
        </w:rPr>
        <w:t>and should have been $455,046</w:t>
      </w:r>
      <w:r w:rsidRPr="002C062D">
        <w:rPr>
          <w:rFonts w:ascii="Times New Roman" w:hAnsi="Times New Roman"/>
          <w:sz w:val="24"/>
          <w:szCs w:val="24"/>
        </w:rPr>
        <w:t xml:space="preserve">. </w:t>
      </w:r>
      <w:r w:rsidR="002C062D">
        <w:rPr>
          <w:rFonts w:ascii="Times New Roman" w:hAnsi="Times New Roman"/>
          <w:sz w:val="24"/>
          <w:szCs w:val="24"/>
        </w:rPr>
        <w:t xml:space="preserve"> </w:t>
      </w:r>
      <w:r w:rsidR="002C062D" w:rsidRPr="002C062D">
        <w:rPr>
          <w:rFonts w:ascii="Times New Roman" w:hAnsi="Times New Roman"/>
          <w:sz w:val="24"/>
          <w:szCs w:val="24"/>
        </w:rPr>
        <w:t xml:space="preserve">The increase in 2017 requested annual burden dollars reflects the </w:t>
      </w:r>
      <w:r w:rsidR="002C062D">
        <w:rPr>
          <w:rFonts w:ascii="Times New Roman" w:hAnsi="Times New Roman"/>
          <w:sz w:val="24"/>
          <w:szCs w:val="24"/>
        </w:rPr>
        <w:t>inclusion of labor burden.</w:t>
      </w:r>
      <w:r w:rsidR="002C062D" w:rsidRPr="002C062D">
        <w:rPr>
          <w:rFonts w:ascii="Times New Roman" w:hAnsi="Times New Roman"/>
          <w:sz w:val="24"/>
          <w:szCs w:val="24"/>
        </w:rPr>
        <w:t xml:space="preserve"> </w:t>
      </w:r>
      <w:r w:rsidRPr="002C062D">
        <w:rPr>
          <w:rFonts w:ascii="Times New Roman" w:hAnsi="Times New Roman"/>
          <w:sz w:val="24"/>
          <w:szCs w:val="24"/>
        </w:rPr>
        <w:t xml:space="preserve"> </w:t>
      </w:r>
      <w:r w:rsidR="002C062D" w:rsidRPr="002C062D">
        <w:rPr>
          <w:rFonts w:ascii="Times New Roman" w:hAnsi="Times New Roman"/>
          <w:sz w:val="24"/>
          <w:szCs w:val="24"/>
        </w:rPr>
        <w:t xml:space="preserve">If the labor burden had been included in 2014, the 2017 requested annual burden dollars would be a decrease that is consistent with the decrease in annual burden hours.  </w:t>
      </w:r>
      <w:r w:rsidRPr="002C062D">
        <w:rPr>
          <w:rFonts w:ascii="Times New Roman" w:hAnsi="Times New Roman"/>
          <w:sz w:val="24"/>
          <w:szCs w:val="24"/>
        </w:rPr>
        <w:t>There are no statutory or regulatory changes related to this information collection.</w:t>
      </w:r>
    </w:p>
    <w:p w:rsidR="00035A7F" w:rsidRDefault="00035A7F" w:rsidP="001A64B0">
      <w:pPr>
        <w:rPr>
          <w:rFonts w:ascii="Times New Roman" w:hAnsi="Times New Roman"/>
          <w:sz w:val="24"/>
          <w:szCs w:val="24"/>
        </w:rPr>
      </w:pPr>
    </w:p>
    <w:tbl>
      <w:tblPr>
        <w:tblW w:w="6775" w:type="dxa"/>
        <w:tblInd w:w="93" w:type="dxa"/>
        <w:tblLook w:val="04A0" w:firstRow="1" w:lastRow="0" w:firstColumn="1" w:lastColumn="0" w:noHBand="0" w:noVBand="1"/>
      </w:tblPr>
      <w:tblGrid>
        <w:gridCol w:w="2005"/>
        <w:gridCol w:w="1610"/>
        <w:gridCol w:w="1710"/>
        <w:gridCol w:w="1450"/>
      </w:tblGrid>
      <w:tr w:rsidR="00035A7F" w:rsidRPr="00035A7F" w:rsidTr="00035A7F">
        <w:trPr>
          <w:trHeight w:val="765"/>
        </w:trPr>
        <w:tc>
          <w:tcPr>
            <w:tcW w:w="2005" w:type="dxa"/>
            <w:tcBorders>
              <w:top w:val="single" w:sz="4" w:space="0" w:color="auto"/>
              <w:left w:val="single" w:sz="4" w:space="0" w:color="auto"/>
              <w:bottom w:val="single" w:sz="4" w:space="0" w:color="auto"/>
              <w:right w:val="single" w:sz="4" w:space="0" w:color="auto"/>
            </w:tcBorders>
            <w:shd w:val="clear" w:color="000000" w:fill="B8CCE4"/>
            <w:vAlign w:val="center"/>
            <w:hideMark/>
          </w:tcPr>
          <w:p w:rsidR="00035A7F" w:rsidRPr="00035A7F" w:rsidRDefault="00035A7F" w:rsidP="00035A7F">
            <w:pPr>
              <w:rPr>
                <w:rFonts w:ascii="Times New Roman" w:hAnsi="Times New Roman"/>
                <w:noProof w:val="0"/>
                <w:color w:val="000000"/>
              </w:rPr>
            </w:pPr>
            <w:r w:rsidRPr="00035A7F">
              <w:rPr>
                <w:rFonts w:ascii="Times New Roman" w:hAnsi="Times New Roman"/>
                <w:noProof w:val="0"/>
                <w:color w:val="000000"/>
              </w:rPr>
              <w:t> </w:t>
            </w:r>
          </w:p>
        </w:tc>
        <w:tc>
          <w:tcPr>
            <w:tcW w:w="1610" w:type="dxa"/>
            <w:tcBorders>
              <w:top w:val="single" w:sz="4" w:space="0" w:color="auto"/>
              <w:left w:val="nil"/>
              <w:bottom w:val="single" w:sz="4" w:space="0" w:color="auto"/>
              <w:right w:val="single" w:sz="4" w:space="0" w:color="auto"/>
            </w:tcBorders>
            <w:shd w:val="clear" w:color="000000" w:fill="B8CCE4"/>
            <w:vAlign w:val="center"/>
            <w:hideMark/>
          </w:tcPr>
          <w:p w:rsidR="00035A7F" w:rsidRPr="00035A7F" w:rsidRDefault="00035A7F" w:rsidP="00035A7F">
            <w:pPr>
              <w:jc w:val="center"/>
              <w:rPr>
                <w:rFonts w:ascii="Times New Roman" w:hAnsi="Times New Roman"/>
                <w:b/>
                <w:bCs/>
                <w:noProof w:val="0"/>
                <w:color w:val="000000"/>
              </w:rPr>
            </w:pPr>
            <w:r w:rsidRPr="00035A7F">
              <w:rPr>
                <w:rFonts w:ascii="Times New Roman" w:hAnsi="Times New Roman"/>
                <w:b/>
                <w:bCs/>
                <w:noProof w:val="0"/>
                <w:color w:val="000000"/>
              </w:rPr>
              <w:t>2014 Approved Burden</w:t>
            </w:r>
          </w:p>
        </w:tc>
        <w:tc>
          <w:tcPr>
            <w:tcW w:w="1710" w:type="dxa"/>
            <w:tcBorders>
              <w:top w:val="single" w:sz="4" w:space="0" w:color="auto"/>
              <w:left w:val="nil"/>
              <w:bottom w:val="single" w:sz="4" w:space="0" w:color="auto"/>
              <w:right w:val="single" w:sz="4" w:space="0" w:color="auto"/>
            </w:tcBorders>
            <w:shd w:val="clear" w:color="000000" w:fill="B8CCE4"/>
            <w:vAlign w:val="center"/>
            <w:hideMark/>
          </w:tcPr>
          <w:p w:rsidR="00035A7F" w:rsidRPr="00035A7F" w:rsidRDefault="00035A7F" w:rsidP="00035A7F">
            <w:pPr>
              <w:jc w:val="center"/>
              <w:rPr>
                <w:rFonts w:ascii="Times New Roman" w:hAnsi="Times New Roman"/>
                <w:b/>
                <w:bCs/>
                <w:noProof w:val="0"/>
                <w:color w:val="000000"/>
              </w:rPr>
            </w:pPr>
            <w:r w:rsidRPr="00035A7F">
              <w:rPr>
                <w:rFonts w:ascii="Times New Roman" w:hAnsi="Times New Roman"/>
                <w:b/>
                <w:bCs/>
                <w:noProof w:val="0"/>
                <w:color w:val="000000"/>
              </w:rPr>
              <w:t>2017 Requested Burden</w:t>
            </w:r>
          </w:p>
        </w:tc>
        <w:tc>
          <w:tcPr>
            <w:tcW w:w="1450" w:type="dxa"/>
            <w:tcBorders>
              <w:top w:val="single" w:sz="4" w:space="0" w:color="auto"/>
              <w:left w:val="nil"/>
              <w:bottom w:val="single" w:sz="4" w:space="0" w:color="auto"/>
              <w:right w:val="single" w:sz="4" w:space="0" w:color="auto"/>
            </w:tcBorders>
            <w:shd w:val="clear" w:color="000000" w:fill="B8CCE4"/>
            <w:vAlign w:val="center"/>
            <w:hideMark/>
          </w:tcPr>
          <w:p w:rsidR="00035A7F" w:rsidRPr="00035A7F" w:rsidRDefault="00035A7F" w:rsidP="00035A7F">
            <w:pPr>
              <w:jc w:val="center"/>
              <w:rPr>
                <w:rFonts w:ascii="Times New Roman" w:hAnsi="Times New Roman"/>
                <w:b/>
                <w:bCs/>
                <w:noProof w:val="0"/>
                <w:color w:val="000000"/>
              </w:rPr>
            </w:pPr>
            <w:r w:rsidRPr="00035A7F">
              <w:rPr>
                <w:rFonts w:ascii="Times New Roman" w:hAnsi="Times New Roman"/>
                <w:b/>
                <w:bCs/>
                <w:noProof w:val="0"/>
                <w:color w:val="000000"/>
              </w:rPr>
              <w:t>Difference</w:t>
            </w:r>
          </w:p>
        </w:tc>
      </w:tr>
      <w:tr w:rsidR="00035A7F" w:rsidRPr="00035A7F" w:rsidTr="00035A7F">
        <w:trPr>
          <w:trHeight w:val="300"/>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035A7F" w:rsidRPr="00035A7F" w:rsidRDefault="00035A7F" w:rsidP="00035A7F">
            <w:pPr>
              <w:rPr>
                <w:rFonts w:ascii="Times New Roman" w:hAnsi="Times New Roman"/>
                <w:noProof w:val="0"/>
                <w:color w:val="000000"/>
              </w:rPr>
            </w:pPr>
            <w:r w:rsidRPr="00035A7F">
              <w:rPr>
                <w:rFonts w:ascii="Times New Roman" w:hAnsi="Times New Roman"/>
                <w:noProof w:val="0"/>
                <w:color w:val="000000"/>
              </w:rPr>
              <w:t>Annual responses</w:t>
            </w:r>
          </w:p>
        </w:tc>
        <w:tc>
          <w:tcPr>
            <w:tcW w:w="1610" w:type="dxa"/>
            <w:tcBorders>
              <w:top w:val="nil"/>
              <w:left w:val="nil"/>
              <w:bottom w:val="single" w:sz="4" w:space="0" w:color="auto"/>
              <w:right w:val="single" w:sz="4" w:space="0" w:color="auto"/>
            </w:tcBorders>
            <w:shd w:val="clear" w:color="auto" w:fill="auto"/>
            <w:vAlign w:val="center"/>
            <w:hideMark/>
          </w:tcPr>
          <w:p w:rsidR="00035A7F" w:rsidRPr="00035A7F" w:rsidRDefault="00035A7F" w:rsidP="00035A7F">
            <w:pPr>
              <w:jc w:val="right"/>
              <w:rPr>
                <w:rFonts w:ascii="Times New Roman" w:hAnsi="Times New Roman"/>
                <w:noProof w:val="0"/>
                <w:color w:val="000000"/>
              </w:rPr>
            </w:pPr>
            <w:r w:rsidRPr="00035A7F">
              <w:rPr>
                <w:rFonts w:ascii="Times New Roman" w:hAnsi="Times New Roman"/>
                <w:noProof w:val="0"/>
                <w:color w:val="000000"/>
              </w:rPr>
              <w:t xml:space="preserve">               7,932 </w:t>
            </w:r>
          </w:p>
        </w:tc>
        <w:tc>
          <w:tcPr>
            <w:tcW w:w="1710" w:type="dxa"/>
            <w:tcBorders>
              <w:top w:val="nil"/>
              <w:left w:val="nil"/>
              <w:bottom w:val="single" w:sz="4" w:space="0" w:color="auto"/>
              <w:right w:val="single" w:sz="4" w:space="0" w:color="auto"/>
            </w:tcBorders>
            <w:shd w:val="clear" w:color="auto" w:fill="auto"/>
            <w:vAlign w:val="center"/>
            <w:hideMark/>
          </w:tcPr>
          <w:p w:rsidR="00035A7F" w:rsidRPr="00035A7F" w:rsidRDefault="00035A7F" w:rsidP="00035A7F">
            <w:pPr>
              <w:jc w:val="right"/>
              <w:rPr>
                <w:rFonts w:ascii="Times New Roman" w:hAnsi="Times New Roman"/>
                <w:noProof w:val="0"/>
                <w:color w:val="000000"/>
              </w:rPr>
            </w:pPr>
            <w:r w:rsidRPr="00035A7F">
              <w:rPr>
                <w:rFonts w:ascii="Times New Roman" w:hAnsi="Times New Roman"/>
                <w:noProof w:val="0"/>
                <w:color w:val="000000"/>
              </w:rPr>
              <w:t xml:space="preserve">           12,156 </w:t>
            </w:r>
          </w:p>
        </w:tc>
        <w:tc>
          <w:tcPr>
            <w:tcW w:w="1450" w:type="dxa"/>
            <w:tcBorders>
              <w:top w:val="nil"/>
              <w:left w:val="nil"/>
              <w:bottom w:val="single" w:sz="4" w:space="0" w:color="auto"/>
              <w:right w:val="single" w:sz="4" w:space="0" w:color="auto"/>
            </w:tcBorders>
            <w:shd w:val="clear" w:color="auto" w:fill="auto"/>
            <w:vAlign w:val="center"/>
            <w:hideMark/>
          </w:tcPr>
          <w:p w:rsidR="00035A7F" w:rsidRPr="00035A7F" w:rsidRDefault="00035A7F" w:rsidP="00035A7F">
            <w:pPr>
              <w:jc w:val="right"/>
              <w:rPr>
                <w:rFonts w:ascii="Times New Roman" w:hAnsi="Times New Roman"/>
                <w:noProof w:val="0"/>
                <w:color w:val="000000"/>
              </w:rPr>
            </w:pPr>
            <w:r w:rsidRPr="00035A7F">
              <w:rPr>
                <w:rFonts w:ascii="Times New Roman" w:hAnsi="Times New Roman"/>
                <w:noProof w:val="0"/>
                <w:color w:val="000000"/>
              </w:rPr>
              <w:t xml:space="preserve">            4,224 </w:t>
            </w:r>
          </w:p>
        </w:tc>
      </w:tr>
      <w:tr w:rsidR="00035A7F" w:rsidRPr="00035A7F" w:rsidTr="00035A7F">
        <w:trPr>
          <w:trHeight w:val="300"/>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035A7F" w:rsidRPr="00035A7F" w:rsidRDefault="00035A7F" w:rsidP="00035A7F">
            <w:pPr>
              <w:rPr>
                <w:rFonts w:ascii="Times New Roman" w:hAnsi="Times New Roman"/>
                <w:noProof w:val="0"/>
                <w:color w:val="000000"/>
              </w:rPr>
            </w:pPr>
            <w:r w:rsidRPr="00035A7F">
              <w:rPr>
                <w:rFonts w:ascii="Times New Roman" w:hAnsi="Times New Roman"/>
                <w:noProof w:val="0"/>
                <w:color w:val="000000"/>
              </w:rPr>
              <w:t>Annual burden hours</w:t>
            </w:r>
          </w:p>
        </w:tc>
        <w:tc>
          <w:tcPr>
            <w:tcW w:w="1610" w:type="dxa"/>
            <w:tcBorders>
              <w:top w:val="nil"/>
              <w:left w:val="nil"/>
              <w:bottom w:val="single" w:sz="4" w:space="0" w:color="auto"/>
              <w:right w:val="single" w:sz="4" w:space="0" w:color="auto"/>
            </w:tcBorders>
            <w:shd w:val="clear" w:color="auto" w:fill="auto"/>
            <w:vAlign w:val="center"/>
            <w:hideMark/>
          </w:tcPr>
          <w:p w:rsidR="00035A7F" w:rsidRPr="00035A7F" w:rsidRDefault="00035A7F" w:rsidP="00035A7F">
            <w:pPr>
              <w:jc w:val="right"/>
              <w:rPr>
                <w:rFonts w:ascii="Times New Roman" w:hAnsi="Times New Roman"/>
                <w:noProof w:val="0"/>
                <w:color w:val="000000"/>
              </w:rPr>
            </w:pPr>
            <w:r w:rsidRPr="00035A7F">
              <w:rPr>
                <w:rFonts w:ascii="Times New Roman" w:hAnsi="Times New Roman"/>
                <w:noProof w:val="0"/>
                <w:color w:val="000000"/>
              </w:rPr>
              <w:t xml:space="preserve">               7,932 </w:t>
            </w:r>
          </w:p>
        </w:tc>
        <w:tc>
          <w:tcPr>
            <w:tcW w:w="1710" w:type="dxa"/>
            <w:tcBorders>
              <w:top w:val="nil"/>
              <w:left w:val="nil"/>
              <w:bottom w:val="single" w:sz="4" w:space="0" w:color="auto"/>
              <w:right w:val="single" w:sz="4" w:space="0" w:color="auto"/>
            </w:tcBorders>
            <w:shd w:val="clear" w:color="auto" w:fill="auto"/>
            <w:vAlign w:val="center"/>
            <w:hideMark/>
          </w:tcPr>
          <w:p w:rsidR="00035A7F" w:rsidRPr="00035A7F" w:rsidRDefault="00035A7F" w:rsidP="00035A7F">
            <w:pPr>
              <w:jc w:val="right"/>
              <w:rPr>
                <w:rFonts w:ascii="Times New Roman" w:hAnsi="Times New Roman"/>
                <w:noProof w:val="0"/>
                <w:color w:val="000000"/>
              </w:rPr>
            </w:pPr>
            <w:r w:rsidRPr="00035A7F">
              <w:rPr>
                <w:rFonts w:ascii="Times New Roman" w:hAnsi="Times New Roman"/>
                <w:noProof w:val="0"/>
                <w:color w:val="000000"/>
              </w:rPr>
              <w:t xml:space="preserve">             2,342 </w:t>
            </w:r>
          </w:p>
        </w:tc>
        <w:tc>
          <w:tcPr>
            <w:tcW w:w="1450" w:type="dxa"/>
            <w:tcBorders>
              <w:top w:val="nil"/>
              <w:left w:val="nil"/>
              <w:bottom w:val="single" w:sz="4" w:space="0" w:color="auto"/>
              <w:right w:val="single" w:sz="4" w:space="0" w:color="auto"/>
            </w:tcBorders>
            <w:shd w:val="clear" w:color="auto" w:fill="auto"/>
            <w:vAlign w:val="center"/>
            <w:hideMark/>
          </w:tcPr>
          <w:p w:rsidR="00035A7F" w:rsidRPr="00035A7F" w:rsidRDefault="00035A7F" w:rsidP="00035A7F">
            <w:pPr>
              <w:jc w:val="right"/>
              <w:rPr>
                <w:rFonts w:ascii="Times New Roman" w:hAnsi="Times New Roman"/>
                <w:noProof w:val="0"/>
                <w:color w:val="000000"/>
              </w:rPr>
            </w:pPr>
            <w:r w:rsidRPr="00035A7F">
              <w:rPr>
                <w:rFonts w:ascii="Times New Roman" w:hAnsi="Times New Roman"/>
                <w:noProof w:val="0"/>
                <w:color w:val="000000"/>
              </w:rPr>
              <w:t xml:space="preserve">           (5,590)</w:t>
            </w:r>
          </w:p>
        </w:tc>
      </w:tr>
      <w:tr w:rsidR="00035A7F" w:rsidRPr="00035A7F" w:rsidTr="00035A7F">
        <w:trPr>
          <w:trHeight w:val="300"/>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035A7F" w:rsidRPr="00035A7F" w:rsidRDefault="00035A7F" w:rsidP="00035A7F">
            <w:pPr>
              <w:rPr>
                <w:rFonts w:ascii="Times New Roman" w:hAnsi="Times New Roman"/>
                <w:noProof w:val="0"/>
                <w:color w:val="000000"/>
              </w:rPr>
            </w:pPr>
            <w:r w:rsidRPr="00035A7F">
              <w:rPr>
                <w:rFonts w:ascii="Times New Roman" w:hAnsi="Times New Roman"/>
                <w:noProof w:val="0"/>
                <w:color w:val="000000"/>
              </w:rPr>
              <w:t xml:space="preserve">Annual </w:t>
            </w:r>
            <w:r w:rsidR="00A867CD">
              <w:rPr>
                <w:rFonts w:ascii="Times New Roman" w:hAnsi="Times New Roman"/>
                <w:noProof w:val="0"/>
                <w:color w:val="000000"/>
              </w:rPr>
              <w:t xml:space="preserve">burden </w:t>
            </w:r>
            <w:r w:rsidRPr="00035A7F">
              <w:rPr>
                <w:rFonts w:ascii="Times New Roman" w:hAnsi="Times New Roman"/>
                <w:noProof w:val="0"/>
                <w:color w:val="000000"/>
              </w:rPr>
              <w:t>dollars</w:t>
            </w:r>
          </w:p>
        </w:tc>
        <w:tc>
          <w:tcPr>
            <w:tcW w:w="1610" w:type="dxa"/>
            <w:tcBorders>
              <w:top w:val="nil"/>
              <w:left w:val="nil"/>
              <w:bottom w:val="single" w:sz="4" w:space="0" w:color="auto"/>
              <w:right w:val="single" w:sz="4" w:space="0" w:color="auto"/>
            </w:tcBorders>
            <w:shd w:val="clear" w:color="auto" w:fill="auto"/>
            <w:vAlign w:val="center"/>
            <w:hideMark/>
          </w:tcPr>
          <w:p w:rsidR="00035A7F" w:rsidRPr="00035A7F" w:rsidRDefault="00035A7F" w:rsidP="00035A7F">
            <w:pPr>
              <w:jc w:val="right"/>
              <w:rPr>
                <w:rFonts w:ascii="Times New Roman" w:hAnsi="Times New Roman"/>
                <w:noProof w:val="0"/>
                <w:color w:val="000000"/>
              </w:rPr>
            </w:pPr>
            <w:r w:rsidRPr="00035A7F">
              <w:rPr>
                <w:rFonts w:ascii="Times New Roman" w:hAnsi="Times New Roman"/>
                <w:noProof w:val="0"/>
                <w:color w:val="000000"/>
              </w:rPr>
              <w:t xml:space="preserve">                  272 </w:t>
            </w:r>
          </w:p>
        </w:tc>
        <w:tc>
          <w:tcPr>
            <w:tcW w:w="1710" w:type="dxa"/>
            <w:tcBorders>
              <w:top w:val="nil"/>
              <w:left w:val="nil"/>
              <w:bottom w:val="single" w:sz="4" w:space="0" w:color="auto"/>
              <w:right w:val="single" w:sz="4" w:space="0" w:color="auto"/>
            </w:tcBorders>
            <w:shd w:val="clear" w:color="auto" w:fill="auto"/>
            <w:vAlign w:val="center"/>
            <w:hideMark/>
          </w:tcPr>
          <w:p w:rsidR="00035A7F" w:rsidRPr="00035A7F" w:rsidRDefault="00035A7F" w:rsidP="00BC15E0">
            <w:pPr>
              <w:jc w:val="right"/>
              <w:rPr>
                <w:rFonts w:ascii="Times New Roman" w:hAnsi="Times New Roman"/>
                <w:noProof w:val="0"/>
                <w:color w:val="000000"/>
              </w:rPr>
            </w:pPr>
            <w:r w:rsidRPr="00035A7F">
              <w:rPr>
                <w:rFonts w:ascii="Times New Roman" w:hAnsi="Times New Roman"/>
                <w:noProof w:val="0"/>
                <w:color w:val="000000"/>
              </w:rPr>
              <w:t xml:space="preserve">         </w:t>
            </w:r>
            <w:r w:rsidR="00BC15E0">
              <w:rPr>
                <w:rFonts w:ascii="Times New Roman" w:hAnsi="Times New Roman"/>
                <w:noProof w:val="0"/>
                <w:color w:val="000000"/>
              </w:rPr>
              <w:t>147,817</w:t>
            </w:r>
            <w:r w:rsidRPr="00035A7F">
              <w:rPr>
                <w:rFonts w:ascii="Times New Roman" w:hAnsi="Times New Roman"/>
                <w:noProof w:val="0"/>
                <w:color w:val="000000"/>
              </w:rPr>
              <w:t xml:space="preserve"> </w:t>
            </w:r>
          </w:p>
        </w:tc>
        <w:tc>
          <w:tcPr>
            <w:tcW w:w="1450" w:type="dxa"/>
            <w:tcBorders>
              <w:top w:val="nil"/>
              <w:left w:val="nil"/>
              <w:bottom w:val="single" w:sz="4" w:space="0" w:color="auto"/>
              <w:right w:val="single" w:sz="4" w:space="0" w:color="auto"/>
            </w:tcBorders>
            <w:shd w:val="clear" w:color="auto" w:fill="auto"/>
            <w:vAlign w:val="center"/>
            <w:hideMark/>
          </w:tcPr>
          <w:p w:rsidR="00035A7F" w:rsidRPr="00035A7F" w:rsidRDefault="00035A7F" w:rsidP="00BC15E0">
            <w:pPr>
              <w:jc w:val="right"/>
              <w:rPr>
                <w:rFonts w:ascii="Times New Roman" w:hAnsi="Times New Roman"/>
                <w:noProof w:val="0"/>
                <w:color w:val="000000"/>
              </w:rPr>
            </w:pPr>
            <w:r w:rsidRPr="00035A7F">
              <w:rPr>
                <w:rFonts w:ascii="Times New Roman" w:hAnsi="Times New Roman"/>
                <w:noProof w:val="0"/>
                <w:color w:val="000000"/>
              </w:rPr>
              <w:t xml:space="preserve">        147,</w:t>
            </w:r>
            <w:r w:rsidR="00BC15E0">
              <w:rPr>
                <w:rFonts w:ascii="Times New Roman" w:hAnsi="Times New Roman"/>
                <w:noProof w:val="0"/>
                <w:color w:val="000000"/>
              </w:rPr>
              <w:t>545</w:t>
            </w:r>
          </w:p>
        </w:tc>
      </w:tr>
    </w:tbl>
    <w:p w:rsidR="00035A7F" w:rsidRDefault="00035A7F" w:rsidP="001A64B0">
      <w:pPr>
        <w:rPr>
          <w:rFonts w:ascii="Times New Roman" w:hAnsi="Times New Roman"/>
          <w:noProof w:val="0"/>
          <w:sz w:val="24"/>
        </w:rPr>
      </w:pPr>
    </w:p>
    <w:p w:rsidR="00331303" w:rsidRDefault="000C1537" w:rsidP="001A64B0">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16. </w:t>
      </w:r>
      <w:r w:rsidR="00090C0E">
        <w:rPr>
          <w:rFonts w:ascii="Times New Roman" w:hAnsi="Times New Roman"/>
          <w:noProof w:val="0"/>
          <w:sz w:val="24"/>
        </w:rPr>
        <w:t xml:space="preserve"> </w:t>
      </w:r>
      <w:r w:rsidR="00331303" w:rsidRPr="00B051D2">
        <w:rPr>
          <w:rFonts w:ascii="Times New Roman" w:hAnsi="Times New Roman"/>
          <w:noProof w:val="0"/>
          <w:sz w:val="24"/>
          <w:u w:val="single"/>
        </w:rPr>
        <w:t>Plans for Publication:</w:t>
      </w:r>
    </w:p>
    <w:p w:rsidR="001A64B0" w:rsidRDefault="001A64B0" w:rsidP="001A64B0">
      <w:pPr>
        <w:tabs>
          <w:tab w:val="left" w:pos="720"/>
          <w:tab w:val="left" w:pos="1440"/>
          <w:tab w:val="left" w:pos="2160"/>
        </w:tabs>
        <w:rPr>
          <w:rFonts w:ascii="Times New Roman" w:hAnsi="Times New Roman"/>
          <w:noProof w:val="0"/>
          <w:sz w:val="24"/>
        </w:rPr>
      </w:pPr>
    </w:p>
    <w:p w:rsidR="000C1537" w:rsidRDefault="00B051D2" w:rsidP="001A64B0">
      <w:pPr>
        <w:tabs>
          <w:tab w:val="left" w:pos="720"/>
          <w:tab w:val="left" w:pos="1440"/>
          <w:tab w:val="left" w:pos="2160"/>
        </w:tabs>
        <w:rPr>
          <w:rFonts w:ascii="Times New Roman" w:hAnsi="Times New Roman"/>
          <w:noProof w:val="0"/>
          <w:sz w:val="24"/>
        </w:rPr>
      </w:pPr>
      <w:r>
        <w:rPr>
          <w:rFonts w:ascii="Times New Roman" w:hAnsi="Times New Roman"/>
          <w:noProof w:val="0"/>
          <w:sz w:val="24"/>
        </w:rPr>
        <w:t>The DEA will not publish the results of the information collected</w:t>
      </w:r>
      <w:r w:rsidR="000C1537">
        <w:rPr>
          <w:rFonts w:ascii="Times New Roman" w:hAnsi="Times New Roman"/>
          <w:noProof w:val="0"/>
          <w:sz w:val="24"/>
        </w:rPr>
        <w:t>.</w:t>
      </w:r>
    </w:p>
    <w:p w:rsidR="00695627" w:rsidRDefault="00695627" w:rsidP="001A64B0">
      <w:pPr>
        <w:tabs>
          <w:tab w:val="left" w:pos="720"/>
        </w:tabs>
        <w:jc w:val="both"/>
        <w:rPr>
          <w:rFonts w:ascii="Times New Roman" w:hAnsi="Times New Roman"/>
          <w:noProof w:val="0"/>
          <w:sz w:val="24"/>
        </w:rPr>
      </w:pPr>
    </w:p>
    <w:p w:rsidR="000C1537" w:rsidRDefault="000C1537" w:rsidP="001A64B0">
      <w:pPr>
        <w:tabs>
          <w:tab w:val="left" w:pos="720"/>
        </w:tabs>
        <w:jc w:val="both"/>
        <w:rPr>
          <w:rFonts w:ascii="Times New Roman" w:hAnsi="Times New Roman"/>
          <w:noProof w:val="0"/>
          <w:sz w:val="24"/>
        </w:rPr>
      </w:pPr>
      <w:r>
        <w:rPr>
          <w:rFonts w:ascii="Times New Roman" w:hAnsi="Times New Roman"/>
          <w:noProof w:val="0"/>
          <w:sz w:val="24"/>
        </w:rPr>
        <w:t xml:space="preserve">17. </w:t>
      </w:r>
      <w:r w:rsidR="00090C0E">
        <w:rPr>
          <w:rFonts w:ascii="Times New Roman" w:hAnsi="Times New Roman"/>
          <w:noProof w:val="0"/>
          <w:sz w:val="24"/>
        </w:rPr>
        <w:t xml:space="preserve"> </w:t>
      </w:r>
      <w:r w:rsidRPr="00B051D2">
        <w:rPr>
          <w:rFonts w:ascii="Times New Roman" w:hAnsi="Times New Roman"/>
          <w:noProof w:val="0"/>
          <w:sz w:val="24"/>
          <w:u w:val="single"/>
        </w:rPr>
        <w:t>Expiration Date Approval:</w:t>
      </w:r>
    </w:p>
    <w:p w:rsidR="001A64B0" w:rsidRDefault="001A64B0" w:rsidP="001A64B0">
      <w:pPr>
        <w:tabs>
          <w:tab w:val="left" w:pos="720"/>
        </w:tabs>
        <w:jc w:val="both"/>
        <w:rPr>
          <w:rFonts w:ascii="Times New Roman" w:hAnsi="Times New Roman"/>
          <w:noProof w:val="0"/>
          <w:sz w:val="24"/>
        </w:rPr>
      </w:pPr>
    </w:p>
    <w:p w:rsidR="000C1537" w:rsidRDefault="002D26F7" w:rsidP="001A64B0">
      <w:pPr>
        <w:rPr>
          <w:rFonts w:ascii="Times New Roman" w:hAnsi="Times New Roman"/>
          <w:noProof w:val="0"/>
          <w:sz w:val="24"/>
        </w:rPr>
      </w:pPr>
      <w:r>
        <w:rPr>
          <w:rFonts w:ascii="Times New Roman" w:hAnsi="Times New Roman"/>
          <w:sz w:val="24"/>
          <w:szCs w:val="24"/>
        </w:rPr>
        <w:t>The DEA does not object to OMB displaying the expiration date.</w:t>
      </w:r>
    </w:p>
    <w:p w:rsidR="00072531" w:rsidRDefault="00072531" w:rsidP="001A64B0">
      <w:pPr>
        <w:rPr>
          <w:rFonts w:ascii="Times New Roman" w:hAnsi="Times New Roman"/>
          <w:noProof w:val="0"/>
          <w:sz w:val="24"/>
        </w:rPr>
      </w:pPr>
    </w:p>
    <w:p w:rsidR="000C1537" w:rsidRDefault="000C1537" w:rsidP="001A64B0">
      <w:pPr>
        <w:tabs>
          <w:tab w:val="left" w:pos="720"/>
          <w:tab w:val="left" w:pos="1440"/>
          <w:tab w:val="left" w:pos="2160"/>
        </w:tabs>
        <w:jc w:val="both"/>
        <w:rPr>
          <w:rFonts w:ascii="Times New Roman" w:hAnsi="Times New Roman"/>
          <w:noProof w:val="0"/>
          <w:sz w:val="24"/>
        </w:rPr>
      </w:pPr>
      <w:r>
        <w:rPr>
          <w:rFonts w:ascii="Times New Roman" w:hAnsi="Times New Roman"/>
          <w:noProof w:val="0"/>
          <w:sz w:val="24"/>
        </w:rPr>
        <w:t xml:space="preserve">18. </w:t>
      </w:r>
      <w:r w:rsidR="00090C0E">
        <w:rPr>
          <w:rFonts w:ascii="Times New Roman" w:hAnsi="Times New Roman"/>
          <w:noProof w:val="0"/>
          <w:sz w:val="24"/>
        </w:rPr>
        <w:t xml:space="preserve"> </w:t>
      </w:r>
      <w:r w:rsidRPr="00B051D2">
        <w:rPr>
          <w:rFonts w:ascii="Times New Roman" w:hAnsi="Times New Roman"/>
          <w:noProof w:val="0"/>
          <w:sz w:val="24"/>
          <w:u w:val="single"/>
        </w:rPr>
        <w:t>Exceptions to the Certification Statement:</w:t>
      </w:r>
    </w:p>
    <w:p w:rsidR="001A64B0" w:rsidRDefault="001A64B0" w:rsidP="001A64B0">
      <w:pPr>
        <w:tabs>
          <w:tab w:val="left" w:pos="720"/>
          <w:tab w:val="left" w:pos="1440"/>
          <w:tab w:val="left" w:pos="2160"/>
        </w:tabs>
        <w:jc w:val="both"/>
        <w:rPr>
          <w:rFonts w:ascii="Times New Roman" w:hAnsi="Times New Roman"/>
          <w:noProof w:val="0"/>
          <w:sz w:val="24"/>
        </w:rPr>
      </w:pPr>
    </w:p>
    <w:p w:rsidR="00CE3759" w:rsidRDefault="00B051D2" w:rsidP="001A64B0">
      <w:pPr>
        <w:rPr>
          <w:rFonts w:ascii="Times New Roman" w:hAnsi="Times New Roman"/>
          <w:b/>
          <w:sz w:val="24"/>
          <w:szCs w:val="24"/>
        </w:rPr>
      </w:pPr>
      <w:r>
        <w:rPr>
          <w:rFonts w:ascii="Times New Roman" w:hAnsi="Times New Roman"/>
          <w:noProof w:val="0"/>
          <w:sz w:val="24"/>
        </w:rPr>
        <w:t>The DEA is not seeking an exception to the certification statement “Certification for Paperwork Reduction Act Submissions” for this collection of information.</w:t>
      </w:r>
    </w:p>
    <w:p w:rsidR="00CE3759" w:rsidRDefault="00CE3759" w:rsidP="001A64B0">
      <w:pPr>
        <w:rPr>
          <w:rFonts w:ascii="Times New Roman" w:hAnsi="Times New Roman"/>
          <w:b/>
          <w:sz w:val="24"/>
          <w:szCs w:val="24"/>
        </w:rPr>
      </w:pPr>
    </w:p>
    <w:p w:rsidR="000C1537" w:rsidRPr="00B051D2" w:rsidRDefault="000C1537" w:rsidP="001A64B0">
      <w:pPr>
        <w:rPr>
          <w:rFonts w:ascii="Times New Roman" w:hAnsi="Times New Roman"/>
          <w:b/>
          <w:sz w:val="24"/>
          <w:szCs w:val="24"/>
        </w:rPr>
      </w:pPr>
      <w:r w:rsidRPr="00B051D2">
        <w:rPr>
          <w:rFonts w:ascii="Times New Roman" w:hAnsi="Times New Roman"/>
          <w:b/>
          <w:sz w:val="24"/>
          <w:szCs w:val="24"/>
        </w:rPr>
        <w:t>Part B. Statistical Methods</w:t>
      </w:r>
    </w:p>
    <w:p w:rsidR="001A64B0" w:rsidRPr="000C1537" w:rsidRDefault="001A64B0" w:rsidP="001A64B0">
      <w:pPr>
        <w:rPr>
          <w:rFonts w:ascii="Times New Roman" w:hAnsi="Times New Roman"/>
          <w:sz w:val="24"/>
          <w:szCs w:val="24"/>
        </w:rPr>
      </w:pPr>
    </w:p>
    <w:p w:rsidR="000C1537" w:rsidRPr="000C1537" w:rsidRDefault="000C1537" w:rsidP="001A64B0">
      <w:pPr>
        <w:rPr>
          <w:rFonts w:ascii="Times New Roman" w:hAnsi="Times New Roman"/>
          <w:sz w:val="24"/>
          <w:szCs w:val="24"/>
        </w:rPr>
      </w:pPr>
      <w:r w:rsidRPr="000C1537">
        <w:rPr>
          <w:rFonts w:ascii="Times New Roman" w:hAnsi="Times New Roman"/>
          <w:sz w:val="24"/>
          <w:szCs w:val="24"/>
        </w:rPr>
        <w:t xml:space="preserve">The </w:t>
      </w:r>
      <w:r w:rsidR="00B35B59">
        <w:rPr>
          <w:rFonts w:ascii="Times New Roman" w:hAnsi="Times New Roman"/>
          <w:sz w:val="24"/>
          <w:szCs w:val="24"/>
        </w:rPr>
        <w:t>Drug Enforcement Administration will not be</w:t>
      </w:r>
      <w:r w:rsidR="00B35B59" w:rsidRPr="000C1537">
        <w:rPr>
          <w:rFonts w:ascii="Times New Roman" w:hAnsi="Times New Roman"/>
          <w:sz w:val="24"/>
          <w:szCs w:val="24"/>
        </w:rPr>
        <w:t xml:space="preserve"> </w:t>
      </w:r>
      <w:r w:rsidRPr="000C1537">
        <w:rPr>
          <w:rFonts w:ascii="Times New Roman" w:hAnsi="Times New Roman"/>
          <w:sz w:val="24"/>
          <w:szCs w:val="24"/>
        </w:rPr>
        <w:t>employ</w:t>
      </w:r>
      <w:r w:rsidR="00B35B59">
        <w:rPr>
          <w:rFonts w:ascii="Times New Roman" w:hAnsi="Times New Roman"/>
          <w:sz w:val="24"/>
          <w:szCs w:val="24"/>
        </w:rPr>
        <w:t>ing</w:t>
      </w:r>
      <w:r w:rsidRPr="000C1537">
        <w:rPr>
          <w:rFonts w:ascii="Times New Roman" w:hAnsi="Times New Roman"/>
          <w:sz w:val="24"/>
          <w:szCs w:val="24"/>
        </w:rPr>
        <w:t xml:space="preserve"> statistical methods in this information collection.</w:t>
      </w:r>
    </w:p>
    <w:sectPr w:rsidR="000C1537" w:rsidRPr="000C1537" w:rsidSect="001576A9">
      <w:headerReference w:type="default" r:id="rId9"/>
      <w:footerReference w:type="default" r:id="rId10"/>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468" w:rsidRDefault="00A64468">
      <w:r>
        <w:separator/>
      </w:r>
    </w:p>
  </w:endnote>
  <w:endnote w:type="continuationSeparator" w:id="0">
    <w:p w:rsidR="00A64468" w:rsidRDefault="00A64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stem">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142312181"/>
      <w:docPartObj>
        <w:docPartGallery w:val="Page Numbers (Bottom of Page)"/>
        <w:docPartUnique/>
      </w:docPartObj>
    </w:sdtPr>
    <w:sdtEndPr>
      <w:rPr>
        <w:rFonts w:ascii="Times New Roman" w:hAnsi="Times New Roman"/>
        <w:noProof/>
        <w:sz w:val="24"/>
      </w:rPr>
    </w:sdtEndPr>
    <w:sdtContent>
      <w:p w:rsidR="00572EEB" w:rsidRPr="002B530A" w:rsidRDefault="00572EEB">
        <w:pPr>
          <w:pStyle w:val="Footer"/>
          <w:jc w:val="center"/>
          <w:rPr>
            <w:rFonts w:ascii="Times New Roman" w:hAnsi="Times New Roman"/>
            <w:sz w:val="24"/>
          </w:rPr>
        </w:pPr>
        <w:r w:rsidRPr="002B530A">
          <w:rPr>
            <w:rFonts w:ascii="Times New Roman" w:hAnsi="Times New Roman"/>
            <w:noProof w:val="0"/>
            <w:sz w:val="24"/>
          </w:rPr>
          <w:fldChar w:fldCharType="begin"/>
        </w:r>
        <w:r w:rsidRPr="002B530A">
          <w:rPr>
            <w:rFonts w:ascii="Times New Roman" w:hAnsi="Times New Roman"/>
            <w:sz w:val="24"/>
          </w:rPr>
          <w:instrText xml:space="preserve"> PAGE   \* MERGEFORMAT </w:instrText>
        </w:r>
        <w:r w:rsidRPr="002B530A">
          <w:rPr>
            <w:rFonts w:ascii="Times New Roman" w:hAnsi="Times New Roman"/>
            <w:noProof w:val="0"/>
            <w:sz w:val="24"/>
          </w:rPr>
          <w:fldChar w:fldCharType="separate"/>
        </w:r>
        <w:r w:rsidR="008846C8">
          <w:rPr>
            <w:rFonts w:ascii="Times New Roman" w:hAnsi="Times New Roman"/>
            <w:sz w:val="24"/>
          </w:rPr>
          <w:t>1</w:t>
        </w:r>
        <w:r w:rsidRPr="002B530A">
          <w:rPr>
            <w:rFonts w:ascii="Times New Roman" w:hAnsi="Times New Roman"/>
            <w:sz w:val="24"/>
          </w:rPr>
          <w:fldChar w:fldCharType="end"/>
        </w:r>
      </w:p>
    </w:sdtContent>
  </w:sdt>
  <w:p w:rsidR="00572EEB" w:rsidRDefault="00572E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468" w:rsidRDefault="00A64468">
      <w:r>
        <w:separator/>
      </w:r>
    </w:p>
  </w:footnote>
  <w:footnote w:type="continuationSeparator" w:id="0">
    <w:p w:rsidR="00A64468" w:rsidRDefault="00A64468">
      <w:r>
        <w:continuationSeparator/>
      </w:r>
    </w:p>
  </w:footnote>
  <w:footnote w:id="1">
    <w:p w:rsidR="00040C64" w:rsidRDefault="00040C64" w:rsidP="001E3629">
      <w:pPr>
        <w:pStyle w:val="FootnoteText"/>
      </w:pPr>
      <w:r w:rsidRPr="00D34495">
        <w:rPr>
          <w:rStyle w:val="FootnoteReference"/>
          <w:rFonts w:ascii="Times New Roman" w:hAnsi="Times New Roman"/>
          <w:vertAlign w:val="superscript"/>
        </w:rPr>
        <w:footnoteRef/>
      </w:r>
      <w:r w:rsidRPr="00D34495">
        <w:rPr>
          <w:rFonts w:ascii="Times New Roman" w:hAnsi="Times New Roman"/>
        </w:rPr>
        <w:t xml:space="preserve"> </w:t>
      </w:r>
      <w:r w:rsidR="00260CCD">
        <w:rPr>
          <w:rFonts w:ascii="Times New Roman" w:hAnsi="Times New Roman"/>
        </w:rPr>
        <w:t>M</w:t>
      </w:r>
      <w:r w:rsidR="002039F4">
        <w:rPr>
          <w:rFonts w:ascii="Times New Roman" w:hAnsi="Times New Roman"/>
        </w:rPr>
        <w:t xml:space="preserve">edian hourly wage </w:t>
      </w:r>
      <w:r w:rsidR="001B509D">
        <w:rPr>
          <w:rFonts w:ascii="Times New Roman" w:hAnsi="Times New Roman"/>
        </w:rPr>
        <w:t>for</w:t>
      </w:r>
      <w:r w:rsidR="00215F46">
        <w:rPr>
          <w:rFonts w:ascii="Times New Roman" w:hAnsi="Times New Roman"/>
        </w:rPr>
        <w:t xml:space="preserve"> a</w:t>
      </w:r>
      <w:r w:rsidR="002039F4">
        <w:rPr>
          <w:rFonts w:ascii="Times New Roman" w:hAnsi="Times New Roman"/>
        </w:rPr>
        <w:t xml:space="preserve"> </w:t>
      </w:r>
      <w:r w:rsidR="00A87C73" w:rsidRPr="00A87C73">
        <w:rPr>
          <w:rFonts w:ascii="Times New Roman" w:hAnsi="Times New Roman"/>
        </w:rPr>
        <w:t>transportation, storage, and distribution manager (SOC 11-3071)</w:t>
      </w:r>
      <w:r w:rsidR="002039F4">
        <w:rPr>
          <w:rFonts w:ascii="Times New Roman" w:hAnsi="Times New Roman"/>
        </w:rPr>
        <w:t xml:space="preserve">.  </w:t>
      </w:r>
      <w:r w:rsidR="001E3629" w:rsidRPr="0005150B">
        <w:rPr>
          <w:rFonts w:ascii="Times New Roman" w:hAnsi="Times New Roman"/>
          <w:i/>
        </w:rPr>
        <w:t>May 2016 National Occupational Employment and Wage Estimates, United States</w:t>
      </w:r>
      <w:r w:rsidR="001E3629">
        <w:rPr>
          <w:rFonts w:ascii="Times New Roman" w:hAnsi="Times New Roman"/>
        </w:rPr>
        <w:t>,</w:t>
      </w:r>
      <w:r w:rsidR="00EC70FA">
        <w:rPr>
          <w:rFonts w:ascii="Times New Roman" w:hAnsi="Times New Roman"/>
        </w:rPr>
        <w:t xml:space="preserve"> </w:t>
      </w:r>
      <w:r w:rsidR="00EC70FA" w:rsidRPr="0005150B">
        <w:rPr>
          <w:rFonts w:ascii="Times New Roman" w:hAnsi="Times New Roman"/>
          <w:smallCaps/>
        </w:rPr>
        <w:t>Bureau of Labor Statistics</w:t>
      </w:r>
      <w:r w:rsidR="00EC70FA">
        <w:rPr>
          <w:rFonts w:ascii="Times New Roman" w:hAnsi="Times New Roman"/>
        </w:rPr>
        <w:t>,</w:t>
      </w:r>
      <w:r w:rsidR="001E3629">
        <w:rPr>
          <w:rFonts w:ascii="Times New Roman" w:hAnsi="Times New Roman"/>
        </w:rPr>
        <w:t xml:space="preserve"> </w:t>
      </w:r>
      <w:hyperlink r:id="rId1" w:history="1">
        <w:r w:rsidR="002039F4" w:rsidRPr="001A3233">
          <w:rPr>
            <w:rStyle w:val="Hyperlink"/>
            <w:rFonts w:ascii="Times New Roman" w:hAnsi="Times New Roman"/>
          </w:rPr>
          <w:t>http://www.bls.gov/oes/current/oes_nat.htm</w:t>
        </w:r>
      </w:hyperlink>
      <w:r w:rsidR="00EC70FA">
        <w:rPr>
          <w:rFonts w:ascii="Times New Roman" w:hAnsi="Times New Roman"/>
        </w:rPr>
        <w:t xml:space="preserve"> (last visited July 14, 2017).</w:t>
      </w:r>
    </w:p>
  </w:footnote>
  <w:footnote w:id="2">
    <w:p w:rsidR="00040C64" w:rsidRDefault="00040C64" w:rsidP="00040C64">
      <w:pPr>
        <w:pStyle w:val="FootnoteText"/>
      </w:pPr>
      <w:r w:rsidRPr="007B3740">
        <w:rPr>
          <w:rStyle w:val="FootnoteReference"/>
          <w:rFonts w:ascii="Times New Roman" w:hAnsi="Times New Roman"/>
          <w:vertAlign w:val="superscript"/>
        </w:rPr>
        <w:footnoteRef/>
      </w:r>
      <w:r w:rsidRPr="007B3740">
        <w:rPr>
          <w:rFonts w:ascii="Times New Roman" w:hAnsi="Times New Roman"/>
        </w:rPr>
        <w:t xml:space="preserve"> </w:t>
      </w:r>
      <w:r w:rsidR="00F82D49">
        <w:rPr>
          <w:rFonts w:ascii="Times New Roman" w:hAnsi="Times New Roman"/>
        </w:rPr>
        <w:t>A</w:t>
      </w:r>
      <w:r>
        <w:rPr>
          <w:rFonts w:ascii="Times New Roman" w:hAnsi="Times New Roman"/>
        </w:rPr>
        <w:t xml:space="preserve">verage </w:t>
      </w:r>
      <w:r w:rsidRPr="007B3740">
        <w:rPr>
          <w:rFonts w:ascii="Times New Roman" w:hAnsi="Times New Roman"/>
        </w:rPr>
        <w:t>benef</w:t>
      </w:r>
      <w:r>
        <w:rPr>
          <w:rFonts w:ascii="Times New Roman" w:hAnsi="Times New Roman"/>
        </w:rPr>
        <w:t xml:space="preserve">its for </w:t>
      </w:r>
      <w:r w:rsidR="00C40A4B">
        <w:rPr>
          <w:rFonts w:ascii="Times New Roman" w:hAnsi="Times New Roman"/>
        </w:rPr>
        <w:t>civilian workers</w:t>
      </w:r>
      <w:r>
        <w:rPr>
          <w:rFonts w:ascii="Times New Roman" w:hAnsi="Times New Roman"/>
        </w:rPr>
        <w:t xml:space="preserve"> </w:t>
      </w:r>
      <w:r w:rsidR="00C40A4B">
        <w:rPr>
          <w:rFonts w:ascii="Times New Roman" w:hAnsi="Times New Roman"/>
        </w:rPr>
        <w:t xml:space="preserve">are </w:t>
      </w:r>
      <w:r w:rsidR="00F82D49">
        <w:rPr>
          <w:rFonts w:ascii="Times New Roman" w:hAnsi="Times New Roman"/>
        </w:rPr>
        <w:t>32</w:t>
      </w:r>
      <w:r w:rsidRPr="007B3740">
        <w:rPr>
          <w:rFonts w:ascii="Times New Roman" w:hAnsi="Times New Roman"/>
        </w:rPr>
        <w:t xml:space="preserve">% </w:t>
      </w:r>
      <w:r w:rsidR="00A87C73">
        <w:rPr>
          <w:rFonts w:ascii="Times New Roman" w:hAnsi="Times New Roman"/>
        </w:rPr>
        <w:t>of total compensation.</w:t>
      </w:r>
      <w:r w:rsidR="00F82D49">
        <w:rPr>
          <w:rFonts w:ascii="Times New Roman" w:hAnsi="Times New Roman"/>
        </w:rPr>
        <w:t xml:space="preserve">  </w:t>
      </w:r>
      <w:r w:rsidR="00F82D49" w:rsidRPr="0005150B">
        <w:rPr>
          <w:rFonts w:ascii="Times New Roman" w:hAnsi="Times New Roman"/>
          <w:i/>
        </w:rPr>
        <w:t>Employer Costs for Employee Compensation – March 2017</w:t>
      </w:r>
      <w:r w:rsidR="00F82D49">
        <w:rPr>
          <w:rFonts w:ascii="Times New Roman" w:hAnsi="Times New Roman"/>
        </w:rPr>
        <w:t xml:space="preserve">, </w:t>
      </w:r>
      <w:r w:rsidR="00F82D49" w:rsidRPr="00B837D2">
        <w:rPr>
          <w:rFonts w:ascii="Times New Roman" w:hAnsi="Times New Roman"/>
          <w:smallCaps/>
        </w:rPr>
        <w:t>Bureau of Labor Statistics</w:t>
      </w:r>
      <w:r w:rsidR="00F82D49">
        <w:rPr>
          <w:rFonts w:ascii="Times New Roman" w:hAnsi="Times New Roman"/>
          <w:smallCaps/>
        </w:rPr>
        <w:t>,</w:t>
      </w:r>
      <w:r w:rsidR="00F82D49">
        <w:rPr>
          <w:rFonts w:ascii="Times New Roman" w:hAnsi="Times New Roman"/>
        </w:rPr>
        <w:t xml:space="preserve"> </w:t>
      </w:r>
      <w:r w:rsidR="00F82D49" w:rsidRPr="00F82D49">
        <w:rPr>
          <w:rFonts w:ascii="Times New Roman" w:hAnsi="Times New Roman"/>
        </w:rPr>
        <w:t>https://www.bls.gov/news.release/pdf/ecec.pdf</w:t>
      </w:r>
      <w:r w:rsidR="00F82D49">
        <w:rPr>
          <w:rFonts w:ascii="Times New Roman" w:hAnsi="Times New Roman"/>
        </w:rPr>
        <w:t xml:space="preserve"> (last visited July 14, 2017).</w:t>
      </w:r>
      <w:r w:rsidR="00A87C73">
        <w:rPr>
          <w:rFonts w:ascii="Times New Roman" w:hAnsi="Times New Roman"/>
        </w:rPr>
        <w:t xml:space="preserve">  The 32</w:t>
      </w:r>
      <w:r w:rsidRPr="007B3740">
        <w:rPr>
          <w:rFonts w:ascii="Times New Roman" w:hAnsi="Times New Roman"/>
        </w:rPr>
        <w:t>% of total com</w:t>
      </w:r>
      <w:r w:rsidR="00A87C73">
        <w:rPr>
          <w:rFonts w:ascii="Times New Roman" w:hAnsi="Times New Roman"/>
        </w:rPr>
        <w:t>pensation equates to 47</w:t>
      </w:r>
      <w:r>
        <w:rPr>
          <w:rFonts w:ascii="Times New Roman" w:hAnsi="Times New Roman"/>
        </w:rPr>
        <w:t>.</w:t>
      </w:r>
      <w:r w:rsidR="00A87C73">
        <w:rPr>
          <w:rFonts w:ascii="Times New Roman" w:hAnsi="Times New Roman"/>
        </w:rPr>
        <w:t>1</w:t>
      </w:r>
      <w:r>
        <w:rPr>
          <w:rFonts w:ascii="Times New Roman" w:hAnsi="Times New Roman"/>
        </w:rPr>
        <w:t>% (3</w:t>
      </w:r>
      <w:r w:rsidR="00215F46">
        <w:rPr>
          <w:rFonts w:ascii="Times New Roman" w:hAnsi="Times New Roman"/>
        </w:rPr>
        <w:t>2</w:t>
      </w:r>
      <w:r>
        <w:rPr>
          <w:rFonts w:ascii="Times New Roman" w:hAnsi="Times New Roman"/>
        </w:rPr>
        <w:t>% / 6</w:t>
      </w:r>
      <w:r w:rsidR="00215F46">
        <w:rPr>
          <w:rFonts w:ascii="Times New Roman" w:hAnsi="Times New Roman"/>
        </w:rPr>
        <w:t>8</w:t>
      </w:r>
      <w:r w:rsidRPr="007B3740">
        <w:rPr>
          <w:rFonts w:ascii="Times New Roman" w:hAnsi="Times New Roman"/>
        </w:rPr>
        <w:t>%) load on wages and salaries.</w:t>
      </w:r>
    </w:p>
  </w:footnote>
  <w:footnote w:id="3">
    <w:p w:rsidR="00040C64" w:rsidRDefault="00040C64" w:rsidP="00040C64">
      <w:pPr>
        <w:pStyle w:val="FootnoteText"/>
      </w:pPr>
      <w:r w:rsidRPr="007B3740">
        <w:rPr>
          <w:rStyle w:val="FootnoteReference"/>
          <w:rFonts w:ascii="Times New Roman" w:hAnsi="Times New Roman"/>
          <w:vertAlign w:val="superscript"/>
        </w:rPr>
        <w:footnoteRef/>
      </w:r>
      <w:r>
        <w:rPr>
          <w:rFonts w:ascii="Times New Roman" w:hAnsi="Times New Roman"/>
        </w:rPr>
        <w:t xml:space="preserve"> $</w:t>
      </w:r>
      <w:r w:rsidR="00215F46">
        <w:rPr>
          <w:rFonts w:ascii="Times New Roman" w:hAnsi="Times New Roman"/>
        </w:rPr>
        <w:t>42.88</w:t>
      </w:r>
      <w:r>
        <w:rPr>
          <w:rFonts w:ascii="Times New Roman" w:hAnsi="Times New Roman"/>
        </w:rPr>
        <w:t xml:space="preserve"> x (1 + 0.</w:t>
      </w:r>
      <w:r w:rsidR="008333E1">
        <w:rPr>
          <w:rFonts w:ascii="Times New Roman" w:hAnsi="Times New Roman"/>
        </w:rPr>
        <w:t>4</w:t>
      </w:r>
      <w:r w:rsidR="00A87C73">
        <w:rPr>
          <w:rFonts w:ascii="Times New Roman" w:hAnsi="Times New Roman"/>
        </w:rPr>
        <w:t>71</w:t>
      </w:r>
      <w:r>
        <w:rPr>
          <w:rFonts w:ascii="Times New Roman" w:hAnsi="Times New Roman"/>
        </w:rPr>
        <w:t>) = $</w:t>
      </w:r>
      <w:r w:rsidR="00215F46">
        <w:rPr>
          <w:rFonts w:ascii="Times New Roman" w:hAnsi="Times New Roman"/>
        </w:rPr>
        <w:t>63.08</w:t>
      </w:r>
      <w:r>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EEB" w:rsidRDefault="00572EEB">
    <w:pPr>
      <w:rPr>
        <w:sz w:val="22"/>
      </w:rPr>
    </w:pPr>
    <w:r>
      <w:rPr>
        <w:sz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C1BD6"/>
    <w:multiLevelType w:val="hybridMultilevel"/>
    <w:tmpl w:val="1576D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6135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8DB35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E924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0866F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1CC4C73"/>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6">
    <w:nsid w:val="24C302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9A25C74"/>
    <w:multiLevelType w:val="singleLevel"/>
    <w:tmpl w:val="EBA2601C"/>
    <w:lvl w:ilvl="0">
      <w:start w:val="16"/>
      <w:numFmt w:val="decimal"/>
      <w:lvlText w:val="%1."/>
      <w:lvlJc w:val="left"/>
      <w:pPr>
        <w:tabs>
          <w:tab w:val="num" w:pos="1080"/>
        </w:tabs>
        <w:ind w:left="1080" w:hanging="360"/>
      </w:pPr>
      <w:rPr>
        <w:rFonts w:hint="default"/>
      </w:rPr>
    </w:lvl>
  </w:abstractNum>
  <w:abstractNum w:abstractNumId="8">
    <w:nsid w:val="2C9B6EE7"/>
    <w:multiLevelType w:val="singleLevel"/>
    <w:tmpl w:val="EBA2601C"/>
    <w:lvl w:ilvl="0">
      <w:start w:val="16"/>
      <w:numFmt w:val="decimal"/>
      <w:lvlText w:val="%1."/>
      <w:lvlJc w:val="left"/>
      <w:pPr>
        <w:tabs>
          <w:tab w:val="num" w:pos="1080"/>
        </w:tabs>
        <w:ind w:left="1080" w:hanging="360"/>
      </w:pPr>
      <w:rPr>
        <w:rFonts w:hint="default"/>
      </w:rPr>
    </w:lvl>
  </w:abstractNum>
  <w:abstractNum w:abstractNumId="9">
    <w:nsid w:val="2CA919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2EB64842"/>
    <w:multiLevelType w:val="hybridMultilevel"/>
    <w:tmpl w:val="896C9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0712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2E250EC"/>
    <w:multiLevelType w:val="singleLevel"/>
    <w:tmpl w:val="8CA2C114"/>
    <w:lvl w:ilvl="0">
      <w:start w:val="1"/>
      <w:numFmt w:val="decimal"/>
      <w:lvlText w:val="%1."/>
      <w:lvlJc w:val="left"/>
      <w:pPr>
        <w:tabs>
          <w:tab w:val="num" w:pos="1080"/>
        </w:tabs>
        <w:ind w:left="1080" w:hanging="360"/>
      </w:pPr>
      <w:rPr>
        <w:rFonts w:hint="default"/>
      </w:rPr>
    </w:lvl>
  </w:abstractNum>
  <w:abstractNum w:abstractNumId="13">
    <w:nsid w:val="3613223B"/>
    <w:multiLevelType w:val="multilevel"/>
    <w:tmpl w:val="1A9E6A9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nsid w:val="36B20D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38F144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D8A1B6F"/>
    <w:multiLevelType w:val="hybridMultilevel"/>
    <w:tmpl w:val="4DA67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330AB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8">
    <w:nsid w:val="646E0D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5A65D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EA9232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775A00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98A7E3E"/>
    <w:multiLevelType w:val="singleLevel"/>
    <w:tmpl w:val="A55EB0CE"/>
    <w:lvl w:ilvl="0">
      <w:start w:val="8"/>
      <w:numFmt w:val="decimal"/>
      <w:lvlText w:val="%1."/>
      <w:lvlJc w:val="left"/>
      <w:pPr>
        <w:tabs>
          <w:tab w:val="num" w:pos="1080"/>
        </w:tabs>
        <w:ind w:left="1080" w:hanging="360"/>
      </w:pPr>
      <w:rPr>
        <w:rFonts w:hint="default"/>
      </w:rPr>
    </w:lvl>
  </w:abstractNum>
  <w:abstractNum w:abstractNumId="23">
    <w:nsid w:val="7C4F46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17"/>
  </w:num>
  <w:num w:numId="3">
    <w:abstractNumId w:val="22"/>
  </w:num>
  <w:num w:numId="4">
    <w:abstractNumId w:val="8"/>
  </w:num>
  <w:num w:numId="5">
    <w:abstractNumId w:val="20"/>
  </w:num>
  <w:num w:numId="6">
    <w:abstractNumId w:val="7"/>
  </w:num>
  <w:num w:numId="7">
    <w:abstractNumId w:val="1"/>
  </w:num>
  <w:num w:numId="8">
    <w:abstractNumId w:val="21"/>
  </w:num>
  <w:num w:numId="9">
    <w:abstractNumId w:val="23"/>
  </w:num>
  <w:num w:numId="10">
    <w:abstractNumId w:val="4"/>
  </w:num>
  <w:num w:numId="11">
    <w:abstractNumId w:val="18"/>
  </w:num>
  <w:num w:numId="12">
    <w:abstractNumId w:val="9"/>
  </w:num>
  <w:num w:numId="13">
    <w:abstractNumId w:val="19"/>
  </w:num>
  <w:num w:numId="14">
    <w:abstractNumId w:val="15"/>
  </w:num>
  <w:num w:numId="15">
    <w:abstractNumId w:val="6"/>
  </w:num>
  <w:num w:numId="16">
    <w:abstractNumId w:val="14"/>
  </w:num>
  <w:num w:numId="17">
    <w:abstractNumId w:val="2"/>
  </w:num>
  <w:num w:numId="18">
    <w:abstractNumId w:val="3"/>
  </w:num>
  <w:num w:numId="19">
    <w:abstractNumId w:val="11"/>
  </w:num>
  <w:num w:numId="20">
    <w:abstractNumId w:val="10"/>
  </w:num>
  <w:num w:numId="21">
    <w:abstractNumId w:val="0"/>
  </w:num>
  <w:num w:numId="22">
    <w:abstractNumId w:val="16"/>
  </w:num>
  <w:num w:numId="23">
    <w:abstractNumId w:val="13"/>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2AA"/>
    <w:rsid w:val="00003CA9"/>
    <w:rsid w:val="0001166E"/>
    <w:rsid w:val="00014C4D"/>
    <w:rsid w:val="0001533B"/>
    <w:rsid w:val="00024E2B"/>
    <w:rsid w:val="000307CF"/>
    <w:rsid w:val="00035A7F"/>
    <w:rsid w:val="00040C64"/>
    <w:rsid w:val="00047F50"/>
    <w:rsid w:val="0005150B"/>
    <w:rsid w:val="00072531"/>
    <w:rsid w:val="00072975"/>
    <w:rsid w:val="000729D4"/>
    <w:rsid w:val="00073D7B"/>
    <w:rsid w:val="0008230E"/>
    <w:rsid w:val="00090C0E"/>
    <w:rsid w:val="00090EEB"/>
    <w:rsid w:val="000936D4"/>
    <w:rsid w:val="0009395B"/>
    <w:rsid w:val="000B05CC"/>
    <w:rsid w:val="000B0778"/>
    <w:rsid w:val="000B2518"/>
    <w:rsid w:val="000B30D6"/>
    <w:rsid w:val="000C0B70"/>
    <w:rsid w:val="000C1537"/>
    <w:rsid w:val="000C233D"/>
    <w:rsid w:val="000C46D6"/>
    <w:rsid w:val="000C697C"/>
    <w:rsid w:val="000C7227"/>
    <w:rsid w:val="000E3695"/>
    <w:rsid w:val="000E4A77"/>
    <w:rsid w:val="000E728F"/>
    <w:rsid w:val="0010264F"/>
    <w:rsid w:val="00102B56"/>
    <w:rsid w:val="00103A27"/>
    <w:rsid w:val="00106AAC"/>
    <w:rsid w:val="00115747"/>
    <w:rsid w:val="001200DB"/>
    <w:rsid w:val="001275B6"/>
    <w:rsid w:val="00132072"/>
    <w:rsid w:val="001370C4"/>
    <w:rsid w:val="0013751E"/>
    <w:rsid w:val="00146805"/>
    <w:rsid w:val="001576A9"/>
    <w:rsid w:val="00160BA0"/>
    <w:rsid w:val="001610B9"/>
    <w:rsid w:val="0017134A"/>
    <w:rsid w:val="0017483E"/>
    <w:rsid w:val="001801C1"/>
    <w:rsid w:val="001843B9"/>
    <w:rsid w:val="00187730"/>
    <w:rsid w:val="001945E3"/>
    <w:rsid w:val="001948C7"/>
    <w:rsid w:val="001A64B0"/>
    <w:rsid w:val="001A6B52"/>
    <w:rsid w:val="001A7C2B"/>
    <w:rsid w:val="001B2FC8"/>
    <w:rsid w:val="001B3C46"/>
    <w:rsid w:val="001B509D"/>
    <w:rsid w:val="001B5A61"/>
    <w:rsid w:val="001B6D6B"/>
    <w:rsid w:val="001C0567"/>
    <w:rsid w:val="001C1292"/>
    <w:rsid w:val="001C37A9"/>
    <w:rsid w:val="001D70F6"/>
    <w:rsid w:val="001E1407"/>
    <w:rsid w:val="001E3629"/>
    <w:rsid w:val="001E3A04"/>
    <w:rsid w:val="001E6B15"/>
    <w:rsid w:val="001E72F7"/>
    <w:rsid w:val="001F24F2"/>
    <w:rsid w:val="001F31A3"/>
    <w:rsid w:val="001F328F"/>
    <w:rsid w:val="0020105A"/>
    <w:rsid w:val="00202FD8"/>
    <w:rsid w:val="002039F4"/>
    <w:rsid w:val="00204598"/>
    <w:rsid w:val="00204E3E"/>
    <w:rsid w:val="00204F60"/>
    <w:rsid w:val="002061BE"/>
    <w:rsid w:val="002106E7"/>
    <w:rsid w:val="002131C5"/>
    <w:rsid w:val="00213992"/>
    <w:rsid w:val="00215F46"/>
    <w:rsid w:val="00221401"/>
    <w:rsid w:val="00231B9C"/>
    <w:rsid w:val="002364CB"/>
    <w:rsid w:val="0023781B"/>
    <w:rsid w:val="0025033A"/>
    <w:rsid w:val="00253917"/>
    <w:rsid w:val="00254B07"/>
    <w:rsid w:val="00256291"/>
    <w:rsid w:val="00260CCD"/>
    <w:rsid w:val="00264BA6"/>
    <w:rsid w:val="00266EDA"/>
    <w:rsid w:val="00267D10"/>
    <w:rsid w:val="0027229C"/>
    <w:rsid w:val="002727CA"/>
    <w:rsid w:val="00275230"/>
    <w:rsid w:val="0028737B"/>
    <w:rsid w:val="00287834"/>
    <w:rsid w:val="002939D5"/>
    <w:rsid w:val="00296FD9"/>
    <w:rsid w:val="002A6634"/>
    <w:rsid w:val="002A785B"/>
    <w:rsid w:val="002B530A"/>
    <w:rsid w:val="002C062D"/>
    <w:rsid w:val="002C5672"/>
    <w:rsid w:val="002C7A4E"/>
    <w:rsid w:val="002D03DF"/>
    <w:rsid w:val="002D26F7"/>
    <w:rsid w:val="002D2CA4"/>
    <w:rsid w:val="002D7617"/>
    <w:rsid w:val="002E0C7A"/>
    <w:rsid w:val="002E364E"/>
    <w:rsid w:val="002E3BAD"/>
    <w:rsid w:val="002E4B64"/>
    <w:rsid w:val="002F0759"/>
    <w:rsid w:val="002F4F5E"/>
    <w:rsid w:val="003045D7"/>
    <w:rsid w:val="00310BF5"/>
    <w:rsid w:val="00316039"/>
    <w:rsid w:val="00317FEB"/>
    <w:rsid w:val="003238E0"/>
    <w:rsid w:val="00331303"/>
    <w:rsid w:val="003323BE"/>
    <w:rsid w:val="00335B7D"/>
    <w:rsid w:val="00340835"/>
    <w:rsid w:val="003415E1"/>
    <w:rsid w:val="00345CFB"/>
    <w:rsid w:val="00347A3F"/>
    <w:rsid w:val="00355983"/>
    <w:rsid w:val="0035613D"/>
    <w:rsid w:val="00356C68"/>
    <w:rsid w:val="003632C4"/>
    <w:rsid w:val="003744B7"/>
    <w:rsid w:val="00381749"/>
    <w:rsid w:val="003853E3"/>
    <w:rsid w:val="003865AE"/>
    <w:rsid w:val="00392CFD"/>
    <w:rsid w:val="00393556"/>
    <w:rsid w:val="00397627"/>
    <w:rsid w:val="003A0729"/>
    <w:rsid w:val="003A2653"/>
    <w:rsid w:val="003A3EC5"/>
    <w:rsid w:val="003A47A0"/>
    <w:rsid w:val="003A75B2"/>
    <w:rsid w:val="003B1894"/>
    <w:rsid w:val="003B2C51"/>
    <w:rsid w:val="003B462C"/>
    <w:rsid w:val="003B51FF"/>
    <w:rsid w:val="003B565A"/>
    <w:rsid w:val="003B5B37"/>
    <w:rsid w:val="003C6B62"/>
    <w:rsid w:val="003C7787"/>
    <w:rsid w:val="003D62DF"/>
    <w:rsid w:val="003E055A"/>
    <w:rsid w:val="003E19B7"/>
    <w:rsid w:val="003E411E"/>
    <w:rsid w:val="003E759F"/>
    <w:rsid w:val="003F4AC8"/>
    <w:rsid w:val="003F708C"/>
    <w:rsid w:val="00403678"/>
    <w:rsid w:val="00406E88"/>
    <w:rsid w:val="00417CC2"/>
    <w:rsid w:val="004202AA"/>
    <w:rsid w:val="00434C26"/>
    <w:rsid w:val="00436B13"/>
    <w:rsid w:val="004374B0"/>
    <w:rsid w:val="00441C24"/>
    <w:rsid w:val="004457EC"/>
    <w:rsid w:val="00447D09"/>
    <w:rsid w:val="00451D6C"/>
    <w:rsid w:val="004523E4"/>
    <w:rsid w:val="004547B8"/>
    <w:rsid w:val="00460751"/>
    <w:rsid w:val="00465100"/>
    <w:rsid w:val="004658FF"/>
    <w:rsid w:val="00467313"/>
    <w:rsid w:val="004679E7"/>
    <w:rsid w:val="00473372"/>
    <w:rsid w:val="00480BEE"/>
    <w:rsid w:val="00484015"/>
    <w:rsid w:val="00485B3F"/>
    <w:rsid w:val="004878FE"/>
    <w:rsid w:val="004965E6"/>
    <w:rsid w:val="004A0B75"/>
    <w:rsid w:val="004A1D5E"/>
    <w:rsid w:val="004A6D84"/>
    <w:rsid w:val="004B6259"/>
    <w:rsid w:val="004C31A0"/>
    <w:rsid w:val="004C4279"/>
    <w:rsid w:val="004C501D"/>
    <w:rsid w:val="004C57AA"/>
    <w:rsid w:val="004C5F91"/>
    <w:rsid w:val="004D68DA"/>
    <w:rsid w:val="004E5AD0"/>
    <w:rsid w:val="004E7783"/>
    <w:rsid w:val="004F2230"/>
    <w:rsid w:val="004F5024"/>
    <w:rsid w:val="00503848"/>
    <w:rsid w:val="00516270"/>
    <w:rsid w:val="00520B1C"/>
    <w:rsid w:val="005322C9"/>
    <w:rsid w:val="0053425E"/>
    <w:rsid w:val="00562D6D"/>
    <w:rsid w:val="00563B33"/>
    <w:rsid w:val="00564F07"/>
    <w:rsid w:val="00565AAA"/>
    <w:rsid w:val="00572EEB"/>
    <w:rsid w:val="005825C6"/>
    <w:rsid w:val="00583984"/>
    <w:rsid w:val="00584F45"/>
    <w:rsid w:val="0059407C"/>
    <w:rsid w:val="005A0509"/>
    <w:rsid w:val="005A1D74"/>
    <w:rsid w:val="005A4781"/>
    <w:rsid w:val="005C3B74"/>
    <w:rsid w:val="005C6149"/>
    <w:rsid w:val="005D5AAF"/>
    <w:rsid w:val="005D7A95"/>
    <w:rsid w:val="005E1C3C"/>
    <w:rsid w:val="005E70FF"/>
    <w:rsid w:val="005F45D8"/>
    <w:rsid w:val="00603426"/>
    <w:rsid w:val="00606C77"/>
    <w:rsid w:val="00615C92"/>
    <w:rsid w:val="0062505D"/>
    <w:rsid w:val="00630832"/>
    <w:rsid w:val="00630964"/>
    <w:rsid w:val="0063648E"/>
    <w:rsid w:val="006365D8"/>
    <w:rsid w:val="00640CC3"/>
    <w:rsid w:val="00640EAE"/>
    <w:rsid w:val="00645EBD"/>
    <w:rsid w:val="0065322F"/>
    <w:rsid w:val="00653760"/>
    <w:rsid w:val="00653D0F"/>
    <w:rsid w:val="00655AD9"/>
    <w:rsid w:val="00660C66"/>
    <w:rsid w:val="00660DED"/>
    <w:rsid w:val="00662A09"/>
    <w:rsid w:val="00665335"/>
    <w:rsid w:val="00674684"/>
    <w:rsid w:val="0068163E"/>
    <w:rsid w:val="00695627"/>
    <w:rsid w:val="00695EB5"/>
    <w:rsid w:val="00696D5B"/>
    <w:rsid w:val="0069717E"/>
    <w:rsid w:val="00697A45"/>
    <w:rsid w:val="00697EC4"/>
    <w:rsid w:val="006A278B"/>
    <w:rsid w:val="006A44AB"/>
    <w:rsid w:val="006A5FAE"/>
    <w:rsid w:val="006A7390"/>
    <w:rsid w:val="006A7E04"/>
    <w:rsid w:val="006B1E12"/>
    <w:rsid w:val="006B1E52"/>
    <w:rsid w:val="006B63F1"/>
    <w:rsid w:val="006D3114"/>
    <w:rsid w:val="006D6E52"/>
    <w:rsid w:val="006D7F5D"/>
    <w:rsid w:val="006E0755"/>
    <w:rsid w:val="006F18E4"/>
    <w:rsid w:val="006F5C3D"/>
    <w:rsid w:val="006F5F73"/>
    <w:rsid w:val="0070093C"/>
    <w:rsid w:val="00707072"/>
    <w:rsid w:val="00711DA2"/>
    <w:rsid w:val="00713B1A"/>
    <w:rsid w:val="007164CA"/>
    <w:rsid w:val="0072448E"/>
    <w:rsid w:val="007257A3"/>
    <w:rsid w:val="00727DE4"/>
    <w:rsid w:val="00733125"/>
    <w:rsid w:val="00733CBE"/>
    <w:rsid w:val="007341E2"/>
    <w:rsid w:val="007403FB"/>
    <w:rsid w:val="00743F18"/>
    <w:rsid w:val="0074466F"/>
    <w:rsid w:val="00753F1E"/>
    <w:rsid w:val="00760231"/>
    <w:rsid w:val="00762166"/>
    <w:rsid w:val="007706D5"/>
    <w:rsid w:val="00776F7B"/>
    <w:rsid w:val="0078590F"/>
    <w:rsid w:val="0079012C"/>
    <w:rsid w:val="007A0905"/>
    <w:rsid w:val="007A6E5F"/>
    <w:rsid w:val="007A7866"/>
    <w:rsid w:val="007B06D5"/>
    <w:rsid w:val="007B0BA3"/>
    <w:rsid w:val="007B13CF"/>
    <w:rsid w:val="007B149A"/>
    <w:rsid w:val="007B20CA"/>
    <w:rsid w:val="007B69F5"/>
    <w:rsid w:val="007C1A51"/>
    <w:rsid w:val="007C1FFE"/>
    <w:rsid w:val="007C46F8"/>
    <w:rsid w:val="007C787E"/>
    <w:rsid w:val="007D347B"/>
    <w:rsid w:val="007D58E1"/>
    <w:rsid w:val="007D6549"/>
    <w:rsid w:val="007E493D"/>
    <w:rsid w:val="007E4956"/>
    <w:rsid w:val="007F1BC8"/>
    <w:rsid w:val="007F1D5F"/>
    <w:rsid w:val="007F5D87"/>
    <w:rsid w:val="0080166A"/>
    <w:rsid w:val="00802AF9"/>
    <w:rsid w:val="00803904"/>
    <w:rsid w:val="00803E02"/>
    <w:rsid w:val="00805055"/>
    <w:rsid w:val="0080720C"/>
    <w:rsid w:val="008118F0"/>
    <w:rsid w:val="00811CC3"/>
    <w:rsid w:val="00813BD7"/>
    <w:rsid w:val="00822772"/>
    <w:rsid w:val="00823529"/>
    <w:rsid w:val="008248A2"/>
    <w:rsid w:val="0082680D"/>
    <w:rsid w:val="00827400"/>
    <w:rsid w:val="00827435"/>
    <w:rsid w:val="008333E1"/>
    <w:rsid w:val="00833B1E"/>
    <w:rsid w:val="00837798"/>
    <w:rsid w:val="0084494A"/>
    <w:rsid w:val="008458D9"/>
    <w:rsid w:val="008535D1"/>
    <w:rsid w:val="00860ED2"/>
    <w:rsid w:val="0086467C"/>
    <w:rsid w:val="00867199"/>
    <w:rsid w:val="00875C53"/>
    <w:rsid w:val="00875FE9"/>
    <w:rsid w:val="00882D9D"/>
    <w:rsid w:val="008846C8"/>
    <w:rsid w:val="00885594"/>
    <w:rsid w:val="008964A5"/>
    <w:rsid w:val="008970AF"/>
    <w:rsid w:val="008A3424"/>
    <w:rsid w:val="008B12B1"/>
    <w:rsid w:val="008B3F71"/>
    <w:rsid w:val="008B5B93"/>
    <w:rsid w:val="008B7B24"/>
    <w:rsid w:val="008C00BD"/>
    <w:rsid w:val="008C26E1"/>
    <w:rsid w:val="008C5125"/>
    <w:rsid w:val="008D2D46"/>
    <w:rsid w:val="008D7177"/>
    <w:rsid w:val="008E0063"/>
    <w:rsid w:val="008E1FB0"/>
    <w:rsid w:val="008E7B3E"/>
    <w:rsid w:val="008F7D40"/>
    <w:rsid w:val="00904E80"/>
    <w:rsid w:val="00905192"/>
    <w:rsid w:val="009105A3"/>
    <w:rsid w:val="00912BEB"/>
    <w:rsid w:val="009151B2"/>
    <w:rsid w:val="009173BD"/>
    <w:rsid w:val="00921795"/>
    <w:rsid w:val="00922573"/>
    <w:rsid w:val="009356AB"/>
    <w:rsid w:val="00936A27"/>
    <w:rsid w:val="00941C45"/>
    <w:rsid w:val="00942B59"/>
    <w:rsid w:val="009439C2"/>
    <w:rsid w:val="00950ACC"/>
    <w:rsid w:val="009523DE"/>
    <w:rsid w:val="00956DC2"/>
    <w:rsid w:val="00970E8B"/>
    <w:rsid w:val="009822CD"/>
    <w:rsid w:val="00982C2B"/>
    <w:rsid w:val="00983989"/>
    <w:rsid w:val="00984D1A"/>
    <w:rsid w:val="00985D10"/>
    <w:rsid w:val="009910FC"/>
    <w:rsid w:val="0099333D"/>
    <w:rsid w:val="009B3EBD"/>
    <w:rsid w:val="009B71F1"/>
    <w:rsid w:val="009B79FF"/>
    <w:rsid w:val="009C5ECB"/>
    <w:rsid w:val="009C7698"/>
    <w:rsid w:val="009D37E6"/>
    <w:rsid w:val="009D6B26"/>
    <w:rsid w:val="009E10CB"/>
    <w:rsid w:val="009E27BB"/>
    <w:rsid w:val="009E418A"/>
    <w:rsid w:val="009E4BFA"/>
    <w:rsid w:val="009E5DAC"/>
    <w:rsid w:val="009F38A1"/>
    <w:rsid w:val="00A00BBC"/>
    <w:rsid w:val="00A00BE7"/>
    <w:rsid w:val="00A00FEF"/>
    <w:rsid w:val="00A03B7A"/>
    <w:rsid w:val="00A07710"/>
    <w:rsid w:val="00A13A11"/>
    <w:rsid w:val="00A15DA3"/>
    <w:rsid w:val="00A32B3D"/>
    <w:rsid w:val="00A338B6"/>
    <w:rsid w:val="00A4256B"/>
    <w:rsid w:val="00A42A92"/>
    <w:rsid w:val="00A5110C"/>
    <w:rsid w:val="00A52C58"/>
    <w:rsid w:val="00A52E4C"/>
    <w:rsid w:val="00A64468"/>
    <w:rsid w:val="00A65D73"/>
    <w:rsid w:val="00A65E30"/>
    <w:rsid w:val="00A71AA6"/>
    <w:rsid w:val="00A808A3"/>
    <w:rsid w:val="00A80C70"/>
    <w:rsid w:val="00A83187"/>
    <w:rsid w:val="00A867CD"/>
    <w:rsid w:val="00A87C73"/>
    <w:rsid w:val="00A903BA"/>
    <w:rsid w:val="00AA6AD4"/>
    <w:rsid w:val="00AB4176"/>
    <w:rsid w:val="00AB4B8C"/>
    <w:rsid w:val="00AB512E"/>
    <w:rsid w:val="00AD005D"/>
    <w:rsid w:val="00AD0446"/>
    <w:rsid w:val="00AD18ED"/>
    <w:rsid w:val="00AD6472"/>
    <w:rsid w:val="00AE52E1"/>
    <w:rsid w:val="00AF2AFA"/>
    <w:rsid w:val="00B02534"/>
    <w:rsid w:val="00B051D2"/>
    <w:rsid w:val="00B17FFB"/>
    <w:rsid w:val="00B200CE"/>
    <w:rsid w:val="00B251B2"/>
    <w:rsid w:val="00B346F1"/>
    <w:rsid w:val="00B35B59"/>
    <w:rsid w:val="00B37310"/>
    <w:rsid w:val="00B40956"/>
    <w:rsid w:val="00B412AC"/>
    <w:rsid w:val="00B50163"/>
    <w:rsid w:val="00B50F48"/>
    <w:rsid w:val="00B51820"/>
    <w:rsid w:val="00B558D9"/>
    <w:rsid w:val="00B55AE0"/>
    <w:rsid w:val="00B561F4"/>
    <w:rsid w:val="00B577EF"/>
    <w:rsid w:val="00B6707D"/>
    <w:rsid w:val="00B71445"/>
    <w:rsid w:val="00B91C3E"/>
    <w:rsid w:val="00B954D8"/>
    <w:rsid w:val="00B96EE6"/>
    <w:rsid w:val="00BA2667"/>
    <w:rsid w:val="00BA6FC2"/>
    <w:rsid w:val="00BB09FA"/>
    <w:rsid w:val="00BB1DBD"/>
    <w:rsid w:val="00BB3A79"/>
    <w:rsid w:val="00BC15E0"/>
    <w:rsid w:val="00BC7AA4"/>
    <w:rsid w:val="00BD00C7"/>
    <w:rsid w:val="00BD4078"/>
    <w:rsid w:val="00BD5FE2"/>
    <w:rsid w:val="00BE16A2"/>
    <w:rsid w:val="00BE1BD3"/>
    <w:rsid w:val="00BF25A0"/>
    <w:rsid w:val="00BF2C0B"/>
    <w:rsid w:val="00BF5CF4"/>
    <w:rsid w:val="00C002A3"/>
    <w:rsid w:val="00C052D7"/>
    <w:rsid w:val="00C11AD3"/>
    <w:rsid w:val="00C20074"/>
    <w:rsid w:val="00C209E3"/>
    <w:rsid w:val="00C21AF9"/>
    <w:rsid w:val="00C2303D"/>
    <w:rsid w:val="00C23E21"/>
    <w:rsid w:val="00C31749"/>
    <w:rsid w:val="00C3623C"/>
    <w:rsid w:val="00C36D7B"/>
    <w:rsid w:val="00C409B9"/>
    <w:rsid w:val="00C40A4B"/>
    <w:rsid w:val="00C41304"/>
    <w:rsid w:val="00C42F38"/>
    <w:rsid w:val="00C44FE6"/>
    <w:rsid w:val="00C462E8"/>
    <w:rsid w:val="00C46DA6"/>
    <w:rsid w:val="00C5178D"/>
    <w:rsid w:val="00C55291"/>
    <w:rsid w:val="00C55954"/>
    <w:rsid w:val="00C61884"/>
    <w:rsid w:val="00C74CAA"/>
    <w:rsid w:val="00C76348"/>
    <w:rsid w:val="00C774F4"/>
    <w:rsid w:val="00C777C7"/>
    <w:rsid w:val="00C84076"/>
    <w:rsid w:val="00C84F6F"/>
    <w:rsid w:val="00C87399"/>
    <w:rsid w:val="00C87B94"/>
    <w:rsid w:val="00C90095"/>
    <w:rsid w:val="00C927C6"/>
    <w:rsid w:val="00C96846"/>
    <w:rsid w:val="00CA0464"/>
    <w:rsid w:val="00CA3BC6"/>
    <w:rsid w:val="00CB0C55"/>
    <w:rsid w:val="00CB1429"/>
    <w:rsid w:val="00CB24B8"/>
    <w:rsid w:val="00CB38EE"/>
    <w:rsid w:val="00CB7F7B"/>
    <w:rsid w:val="00CC2D44"/>
    <w:rsid w:val="00CC40DC"/>
    <w:rsid w:val="00CD6F66"/>
    <w:rsid w:val="00CE1499"/>
    <w:rsid w:val="00CE207E"/>
    <w:rsid w:val="00CE36A7"/>
    <w:rsid w:val="00CE3759"/>
    <w:rsid w:val="00CE4844"/>
    <w:rsid w:val="00CE7CB0"/>
    <w:rsid w:val="00CF122E"/>
    <w:rsid w:val="00D03E0F"/>
    <w:rsid w:val="00D05010"/>
    <w:rsid w:val="00D11975"/>
    <w:rsid w:val="00D167D9"/>
    <w:rsid w:val="00D22ADC"/>
    <w:rsid w:val="00D274B8"/>
    <w:rsid w:val="00D3631A"/>
    <w:rsid w:val="00D377A7"/>
    <w:rsid w:val="00D37AA2"/>
    <w:rsid w:val="00D401C9"/>
    <w:rsid w:val="00D41931"/>
    <w:rsid w:val="00D511DB"/>
    <w:rsid w:val="00D52432"/>
    <w:rsid w:val="00D65E26"/>
    <w:rsid w:val="00D66333"/>
    <w:rsid w:val="00D673B5"/>
    <w:rsid w:val="00D72AA4"/>
    <w:rsid w:val="00D76C8D"/>
    <w:rsid w:val="00D81D93"/>
    <w:rsid w:val="00D848FC"/>
    <w:rsid w:val="00D84EDF"/>
    <w:rsid w:val="00D90F04"/>
    <w:rsid w:val="00D970F8"/>
    <w:rsid w:val="00DA0FF4"/>
    <w:rsid w:val="00DB1B0A"/>
    <w:rsid w:val="00DB7313"/>
    <w:rsid w:val="00DC2025"/>
    <w:rsid w:val="00DC5A96"/>
    <w:rsid w:val="00DD1915"/>
    <w:rsid w:val="00DD1F7C"/>
    <w:rsid w:val="00DD603C"/>
    <w:rsid w:val="00DD7DA6"/>
    <w:rsid w:val="00DE1F57"/>
    <w:rsid w:val="00DF1722"/>
    <w:rsid w:val="00DF3ECA"/>
    <w:rsid w:val="00DF4F33"/>
    <w:rsid w:val="00DF505F"/>
    <w:rsid w:val="00E018CC"/>
    <w:rsid w:val="00E16393"/>
    <w:rsid w:val="00E23899"/>
    <w:rsid w:val="00E27D78"/>
    <w:rsid w:val="00E32DD0"/>
    <w:rsid w:val="00E34CDA"/>
    <w:rsid w:val="00E357DE"/>
    <w:rsid w:val="00E41DE5"/>
    <w:rsid w:val="00E42A97"/>
    <w:rsid w:val="00E451AF"/>
    <w:rsid w:val="00E55C83"/>
    <w:rsid w:val="00E564E0"/>
    <w:rsid w:val="00E57772"/>
    <w:rsid w:val="00E75B77"/>
    <w:rsid w:val="00E81566"/>
    <w:rsid w:val="00E820A7"/>
    <w:rsid w:val="00E85EDF"/>
    <w:rsid w:val="00E8666E"/>
    <w:rsid w:val="00E9198D"/>
    <w:rsid w:val="00E92365"/>
    <w:rsid w:val="00E9376C"/>
    <w:rsid w:val="00E975C5"/>
    <w:rsid w:val="00EA5A7C"/>
    <w:rsid w:val="00EA62D1"/>
    <w:rsid w:val="00EB48F5"/>
    <w:rsid w:val="00EC70FA"/>
    <w:rsid w:val="00ED0C58"/>
    <w:rsid w:val="00ED317F"/>
    <w:rsid w:val="00ED55A6"/>
    <w:rsid w:val="00ED7611"/>
    <w:rsid w:val="00EE1041"/>
    <w:rsid w:val="00EE7FA9"/>
    <w:rsid w:val="00EF0E84"/>
    <w:rsid w:val="00EF1933"/>
    <w:rsid w:val="00EF4675"/>
    <w:rsid w:val="00F03133"/>
    <w:rsid w:val="00F11648"/>
    <w:rsid w:val="00F13405"/>
    <w:rsid w:val="00F14FEE"/>
    <w:rsid w:val="00F16738"/>
    <w:rsid w:val="00F174BE"/>
    <w:rsid w:val="00F178A6"/>
    <w:rsid w:val="00F208C8"/>
    <w:rsid w:val="00F23297"/>
    <w:rsid w:val="00F27151"/>
    <w:rsid w:val="00F304A0"/>
    <w:rsid w:val="00F316B4"/>
    <w:rsid w:val="00F359E9"/>
    <w:rsid w:val="00F36B34"/>
    <w:rsid w:val="00F374E1"/>
    <w:rsid w:val="00F37A40"/>
    <w:rsid w:val="00F41ED7"/>
    <w:rsid w:val="00F43BDC"/>
    <w:rsid w:val="00F51D50"/>
    <w:rsid w:val="00F64EA5"/>
    <w:rsid w:val="00F750AE"/>
    <w:rsid w:val="00F804CC"/>
    <w:rsid w:val="00F80965"/>
    <w:rsid w:val="00F80B6A"/>
    <w:rsid w:val="00F82D49"/>
    <w:rsid w:val="00F83073"/>
    <w:rsid w:val="00F85D04"/>
    <w:rsid w:val="00F91DB5"/>
    <w:rsid w:val="00FB41E0"/>
    <w:rsid w:val="00FB4835"/>
    <w:rsid w:val="00FB7BDC"/>
    <w:rsid w:val="00FC3989"/>
    <w:rsid w:val="00FD3EB1"/>
    <w:rsid w:val="00FD41F2"/>
    <w:rsid w:val="00FE5729"/>
    <w:rsid w:val="00FE5CBD"/>
    <w:rsid w:val="00FE5CED"/>
    <w:rsid w:val="00FF5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stem" w:eastAsia="Times New Roman" w:hAnsi="System"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33B"/>
    <w:rPr>
      <w:noProof/>
    </w:rPr>
  </w:style>
  <w:style w:type="paragraph" w:styleId="Heading1">
    <w:name w:val="heading 1"/>
    <w:next w:val="Normal"/>
    <w:qFormat/>
    <w:rsid w:val="0001533B"/>
    <w:pPr>
      <w:numPr>
        <w:numId w:val="24"/>
      </w:numPr>
      <w:outlineLvl w:val="0"/>
    </w:pPr>
    <w:rPr>
      <w:rFonts w:ascii="Times New Roman" w:hAnsi="Times New Roman"/>
      <w:noProof/>
    </w:rPr>
  </w:style>
  <w:style w:type="paragraph" w:styleId="Heading2">
    <w:name w:val="heading 2"/>
    <w:next w:val="Normal"/>
    <w:qFormat/>
    <w:rsid w:val="0001533B"/>
    <w:pPr>
      <w:numPr>
        <w:ilvl w:val="1"/>
        <w:numId w:val="24"/>
      </w:numPr>
      <w:outlineLvl w:val="1"/>
    </w:pPr>
    <w:rPr>
      <w:rFonts w:ascii="Times New Roman" w:hAnsi="Times New Roman"/>
      <w:noProof/>
    </w:rPr>
  </w:style>
  <w:style w:type="paragraph" w:styleId="Heading3">
    <w:name w:val="heading 3"/>
    <w:next w:val="Normal"/>
    <w:qFormat/>
    <w:rsid w:val="0001533B"/>
    <w:pPr>
      <w:numPr>
        <w:ilvl w:val="2"/>
        <w:numId w:val="24"/>
      </w:numPr>
      <w:outlineLvl w:val="2"/>
    </w:pPr>
    <w:rPr>
      <w:rFonts w:ascii="Times New Roman" w:hAnsi="Times New Roman"/>
      <w:noProof/>
    </w:rPr>
  </w:style>
  <w:style w:type="paragraph" w:styleId="Heading4">
    <w:name w:val="heading 4"/>
    <w:next w:val="Normal"/>
    <w:qFormat/>
    <w:rsid w:val="0001533B"/>
    <w:pPr>
      <w:numPr>
        <w:ilvl w:val="3"/>
        <w:numId w:val="24"/>
      </w:numPr>
      <w:outlineLvl w:val="3"/>
    </w:pPr>
    <w:rPr>
      <w:rFonts w:ascii="Times New Roman" w:hAnsi="Times New Roman"/>
      <w:noProof/>
    </w:rPr>
  </w:style>
  <w:style w:type="paragraph" w:styleId="Heading5">
    <w:name w:val="heading 5"/>
    <w:next w:val="Normal"/>
    <w:qFormat/>
    <w:rsid w:val="0001533B"/>
    <w:pPr>
      <w:numPr>
        <w:ilvl w:val="4"/>
        <w:numId w:val="24"/>
      </w:numPr>
      <w:outlineLvl w:val="4"/>
    </w:pPr>
    <w:rPr>
      <w:rFonts w:ascii="Times New Roman" w:hAnsi="Times New Roman"/>
      <w:noProof/>
    </w:rPr>
  </w:style>
  <w:style w:type="paragraph" w:styleId="Heading6">
    <w:name w:val="heading 6"/>
    <w:next w:val="Normal"/>
    <w:qFormat/>
    <w:rsid w:val="0001533B"/>
    <w:pPr>
      <w:numPr>
        <w:ilvl w:val="5"/>
        <w:numId w:val="24"/>
      </w:numPr>
      <w:outlineLvl w:val="5"/>
    </w:pPr>
    <w:rPr>
      <w:rFonts w:ascii="Times New Roman" w:hAnsi="Times New Roman"/>
      <w:noProof/>
    </w:rPr>
  </w:style>
  <w:style w:type="paragraph" w:styleId="Heading7">
    <w:name w:val="heading 7"/>
    <w:next w:val="Normal"/>
    <w:qFormat/>
    <w:rsid w:val="0001533B"/>
    <w:pPr>
      <w:numPr>
        <w:ilvl w:val="6"/>
        <w:numId w:val="24"/>
      </w:numPr>
      <w:outlineLvl w:val="6"/>
    </w:pPr>
    <w:rPr>
      <w:rFonts w:ascii="Times New Roman" w:hAnsi="Times New Roman"/>
      <w:noProof/>
    </w:rPr>
  </w:style>
  <w:style w:type="paragraph" w:styleId="Heading8">
    <w:name w:val="heading 8"/>
    <w:next w:val="Normal"/>
    <w:qFormat/>
    <w:rsid w:val="0001533B"/>
    <w:pPr>
      <w:numPr>
        <w:ilvl w:val="7"/>
        <w:numId w:val="24"/>
      </w:numPr>
      <w:outlineLvl w:val="7"/>
    </w:pPr>
    <w:rPr>
      <w:rFonts w:ascii="Times New Roman" w:hAnsi="Times New Roman"/>
      <w:noProof/>
    </w:rPr>
  </w:style>
  <w:style w:type="paragraph" w:styleId="Heading9">
    <w:name w:val="heading 9"/>
    <w:next w:val="Normal"/>
    <w:qFormat/>
    <w:rsid w:val="0001533B"/>
    <w:pPr>
      <w:numPr>
        <w:ilvl w:val="8"/>
        <w:numId w:val="24"/>
      </w:numPr>
      <w:outlineLvl w:val="8"/>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13992"/>
    <w:pPr>
      <w:tabs>
        <w:tab w:val="center" w:pos="4320"/>
        <w:tab w:val="right" w:pos="8640"/>
      </w:tabs>
    </w:pPr>
  </w:style>
  <w:style w:type="paragraph" w:styleId="Footer">
    <w:name w:val="footer"/>
    <w:basedOn w:val="Normal"/>
    <w:link w:val="FooterChar"/>
    <w:uiPriority w:val="99"/>
    <w:rsid w:val="00213992"/>
    <w:pPr>
      <w:tabs>
        <w:tab w:val="center" w:pos="4320"/>
        <w:tab w:val="right" w:pos="8640"/>
      </w:tabs>
    </w:pPr>
  </w:style>
  <w:style w:type="paragraph" w:styleId="BodyText">
    <w:name w:val="Body Text"/>
    <w:basedOn w:val="Normal"/>
    <w:link w:val="BodyTextChar"/>
    <w:rsid w:val="00213992"/>
    <w:pPr>
      <w:spacing w:line="480" w:lineRule="atLeast"/>
      <w:jc w:val="both"/>
    </w:pPr>
    <w:rPr>
      <w:rFonts w:ascii="Times" w:hAnsi="Times"/>
      <w:noProof w:val="0"/>
      <w:sz w:val="22"/>
    </w:rPr>
  </w:style>
  <w:style w:type="paragraph" w:styleId="BodyTextIndent">
    <w:name w:val="Body Text Indent"/>
    <w:basedOn w:val="Normal"/>
    <w:link w:val="BodyTextIndentChar"/>
    <w:rsid w:val="00213992"/>
    <w:pPr>
      <w:spacing w:line="480" w:lineRule="atLeast"/>
      <w:ind w:left="360" w:hanging="360"/>
    </w:pPr>
    <w:rPr>
      <w:rFonts w:ascii="Times" w:hAnsi="Times"/>
      <w:noProof w:val="0"/>
      <w:sz w:val="22"/>
    </w:rPr>
  </w:style>
  <w:style w:type="paragraph" w:styleId="BodyText2">
    <w:name w:val="Body Text 2"/>
    <w:basedOn w:val="Normal"/>
    <w:rsid w:val="00213992"/>
    <w:pPr>
      <w:spacing w:line="480" w:lineRule="auto"/>
      <w:ind w:right="-354"/>
    </w:pPr>
    <w:rPr>
      <w:rFonts w:ascii="Times New Roman" w:hAnsi="Times New Roman"/>
      <w:noProof w:val="0"/>
      <w:sz w:val="24"/>
    </w:rPr>
  </w:style>
  <w:style w:type="paragraph" w:styleId="BodyText3">
    <w:name w:val="Body Text 3"/>
    <w:basedOn w:val="Normal"/>
    <w:rsid w:val="00213992"/>
    <w:pPr>
      <w:tabs>
        <w:tab w:val="left" w:pos="0"/>
        <w:tab w:val="left" w:pos="0"/>
      </w:tabs>
      <w:spacing w:line="480" w:lineRule="auto"/>
      <w:ind w:right="-444"/>
    </w:pPr>
    <w:rPr>
      <w:rFonts w:ascii="Times New Roman" w:hAnsi="Times New Roman"/>
      <w:noProof w:val="0"/>
      <w:sz w:val="24"/>
    </w:rPr>
  </w:style>
  <w:style w:type="paragraph" w:styleId="BodyTextIndent2">
    <w:name w:val="Body Text Indent 2"/>
    <w:basedOn w:val="Normal"/>
    <w:rsid w:val="00213992"/>
    <w:pPr>
      <w:tabs>
        <w:tab w:val="left" w:pos="540"/>
      </w:tabs>
      <w:spacing w:line="480" w:lineRule="auto"/>
      <w:ind w:left="540" w:hanging="630"/>
    </w:pPr>
    <w:rPr>
      <w:rFonts w:ascii="Times New Roman" w:hAnsi="Times New Roman"/>
      <w:noProof w:val="0"/>
      <w:sz w:val="24"/>
    </w:rPr>
  </w:style>
  <w:style w:type="paragraph" w:styleId="BodyTextIndent3">
    <w:name w:val="Body Text Indent 3"/>
    <w:basedOn w:val="Normal"/>
    <w:rsid w:val="00213992"/>
    <w:pPr>
      <w:spacing w:line="480" w:lineRule="auto"/>
      <w:ind w:right="-354" w:firstLine="540"/>
    </w:pPr>
    <w:rPr>
      <w:rFonts w:ascii="Times New Roman" w:hAnsi="Times New Roman"/>
      <w:noProof w:val="0"/>
      <w:sz w:val="24"/>
    </w:rPr>
  </w:style>
  <w:style w:type="paragraph" w:styleId="BalloonText">
    <w:name w:val="Balloon Text"/>
    <w:basedOn w:val="Normal"/>
    <w:semiHidden/>
    <w:rsid w:val="0001533B"/>
    <w:rPr>
      <w:rFonts w:asciiTheme="minorHAnsi" w:hAnsiTheme="minorHAnsi"/>
      <w:sz w:val="18"/>
      <w:szCs w:val="16"/>
    </w:rPr>
  </w:style>
  <w:style w:type="character" w:styleId="CommentReference">
    <w:name w:val="annotation reference"/>
    <w:basedOn w:val="DefaultParagraphFont"/>
    <w:uiPriority w:val="99"/>
    <w:semiHidden/>
    <w:unhideWhenUsed/>
    <w:rsid w:val="00202FD8"/>
    <w:rPr>
      <w:sz w:val="16"/>
      <w:szCs w:val="16"/>
    </w:rPr>
  </w:style>
  <w:style w:type="paragraph" w:styleId="CommentText">
    <w:name w:val="annotation text"/>
    <w:basedOn w:val="Normal"/>
    <w:link w:val="CommentTextChar"/>
    <w:uiPriority w:val="99"/>
    <w:semiHidden/>
    <w:unhideWhenUsed/>
    <w:rsid w:val="00202FD8"/>
  </w:style>
  <w:style w:type="character" w:customStyle="1" w:styleId="CommentTextChar">
    <w:name w:val="Comment Text Char"/>
    <w:basedOn w:val="DefaultParagraphFont"/>
    <w:link w:val="CommentText"/>
    <w:uiPriority w:val="99"/>
    <w:semiHidden/>
    <w:rsid w:val="00202FD8"/>
    <w:rPr>
      <w:noProof/>
    </w:rPr>
  </w:style>
  <w:style w:type="paragraph" w:styleId="CommentSubject">
    <w:name w:val="annotation subject"/>
    <w:basedOn w:val="CommentText"/>
    <w:next w:val="CommentText"/>
    <w:link w:val="CommentSubjectChar"/>
    <w:uiPriority w:val="99"/>
    <w:semiHidden/>
    <w:unhideWhenUsed/>
    <w:rsid w:val="00202FD8"/>
    <w:rPr>
      <w:b/>
      <w:bCs/>
    </w:rPr>
  </w:style>
  <w:style w:type="character" w:customStyle="1" w:styleId="CommentSubjectChar">
    <w:name w:val="Comment Subject Char"/>
    <w:basedOn w:val="CommentTextChar"/>
    <w:link w:val="CommentSubject"/>
    <w:uiPriority w:val="99"/>
    <w:semiHidden/>
    <w:rsid w:val="00202FD8"/>
    <w:rPr>
      <w:b/>
      <w:bCs/>
      <w:noProof/>
    </w:rPr>
  </w:style>
  <w:style w:type="paragraph" w:styleId="Revision">
    <w:name w:val="Revision"/>
    <w:hidden/>
    <w:uiPriority w:val="99"/>
    <w:semiHidden/>
    <w:rsid w:val="000E4A77"/>
    <w:rPr>
      <w:noProof/>
    </w:rPr>
  </w:style>
  <w:style w:type="character" w:customStyle="1" w:styleId="FooterChar">
    <w:name w:val="Footer Char"/>
    <w:basedOn w:val="DefaultParagraphFont"/>
    <w:link w:val="Footer"/>
    <w:uiPriority w:val="99"/>
    <w:rsid w:val="00DF4F33"/>
    <w:rPr>
      <w:noProof/>
    </w:rPr>
  </w:style>
  <w:style w:type="paragraph" w:styleId="FootnoteText">
    <w:name w:val="footnote text"/>
    <w:basedOn w:val="Normal"/>
    <w:link w:val="FootnoteTextChar"/>
    <w:uiPriority w:val="99"/>
    <w:semiHidden/>
    <w:unhideWhenUsed/>
    <w:rsid w:val="00040C64"/>
    <w:rPr>
      <w:rFonts w:ascii="Cambria" w:hAnsi="Cambria"/>
      <w:noProof w:val="0"/>
    </w:rPr>
  </w:style>
  <w:style w:type="character" w:customStyle="1" w:styleId="FootnoteTextChar">
    <w:name w:val="Footnote Text Char"/>
    <w:basedOn w:val="DefaultParagraphFont"/>
    <w:link w:val="FootnoteText"/>
    <w:uiPriority w:val="99"/>
    <w:semiHidden/>
    <w:rsid w:val="00040C64"/>
    <w:rPr>
      <w:rFonts w:ascii="Cambria" w:hAnsi="Cambria"/>
    </w:rPr>
  </w:style>
  <w:style w:type="character" w:styleId="FootnoteReference">
    <w:name w:val="footnote reference"/>
    <w:basedOn w:val="DefaultParagraphFont"/>
    <w:uiPriority w:val="99"/>
    <w:semiHidden/>
    <w:unhideWhenUsed/>
    <w:rsid w:val="00040C64"/>
    <w:rPr>
      <w:rFonts w:cs="Times New Roman"/>
    </w:rPr>
  </w:style>
  <w:style w:type="table" w:styleId="TableGrid">
    <w:name w:val="Table Grid"/>
    <w:basedOn w:val="TableNormal"/>
    <w:uiPriority w:val="59"/>
    <w:rsid w:val="007403FB"/>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39F4"/>
    <w:rPr>
      <w:color w:val="0000FF" w:themeColor="hyperlink"/>
      <w:u w:val="single"/>
    </w:rPr>
  </w:style>
  <w:style w:type="paragraph" w:styleId="ListParagraph">
    <w:name w:val="List Paragraph"/>
    <w:basedOn w:val="Normal"/>
    <w:uiPriority w:val="34"/>
    <w:qFormat/>
    <w:rsid w:val="00204E3E"/>
    <w:pPr>
      <w:ind w:left="720"/>
      <w:contextualSpacing/>
    </w:pPr>
  </w:style>
  <w:style w:type="character" w:styleId="FollowedHyperlink">
    <w:name w:val="FollowedHyperlink"/>
    <w:basedOn w:val="DefaultParagraphFont"/>
    <w:uiPriority w:val="99"/>
    <w:semiHidden/>
    <w:unhideWhenUsed/>
    <w:rsid w:val="00231B9C"/>
    <w:rPr>
      <w:color w:val="800080" w:themeColor="followedHyperlink"/>
      <w:u w:val="single"/>
    </w:rPr>
  </w:style>
  <w:style w:type="character" w:customStyle="1" w:styleId="BodyTextChar">
    <w:name w:val="Body Text Char"/>
    <w:basedOn w:val="DefaultParagraphFont"/>
    <w:link w:val="BodyText"/>
    <w:rsid w:val="0001533B"/>
    <w:rPr>
      <w:rFonts w:ascii="Times" w:hAnsi="Times"/>
      <w:sz w:val="22"/>
    </w:rPr>
  </w:style>
  <w:style w:type="character" w:customStyle="1" w:styleId="BodyTextIndentChar">
    <w:name w:val="Body Text Indent Char"/>
    <w:basedOn w:val="DefaultParagraphFont"/>
    <w:link w:val="BodyTextIndent"/>
    <w:rsid w:val="0001533B"/>
    <w:rPr>
      <w:rFonts w:ascii="Times" w:hAnsi="Time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stem" w:eastAsia="Times New Roman" w:hAnsi="System"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33B"/>
    <w:rPr>
      <w:noProof/>
    </w:rPr>
  </w:style>
  <w:style w:type="paragraph" w:styleId="Heading1">
    <w:name w:val="heading 1"/>
    <w:next w:val="Normal"/>
    <w:qFormat/>
    <w:rsid w:val="0001533B"/>
    <w:pPr>
      <w:numPr>
        <w:numId w:val="24"/>
      </w:numPr>
      <w:outlineLvl w:val="0"/>
    </w:pPr>
    <w:rPr>
      <w:rFonts w:ascii="Times New Roman" w:hAnsi="Times New Roman"/>
      <w:noProof/>
    </w:rPr>
  </w:style>
  <w:style w:type="paragraph" w:styleId="Heading2">
    <w:name w:val="heading 2"/>
    <w:next w:val="Normal"/>
    <w:qFormat/>
    <w:rsid w:val="0001533B"/>
    <w:pPr>
      <w:numPr>
        <w:ilvl w:val="1"/>
        <w:numId w:val="24"/>
      </w:numPr>
      <w:outlineLvl w:val="1"/>
    </w:pPr>
    <w:rPr>
      <w:rFonts w:ascii="Times New Roman" w:hAnsi="Times New Roman"/>
      <w:noProof/>
    </w:rPr>
  </w:style>
  <w:style w:type="paragraph" w:styleId="Heading3">
    <w:name w:val="heading 3"/>
    <w:next w:val="Normal"/>
    <w:qFormat/>
    <w:rsid w:val="0001533B"/>
    <w:pPr>
      <w:numPr>
        <w:ilvl w:val="2"/>
        <w:numId w:val="24"/>
      </w:numPr>
      <w:outlineLvl w:val="2"/>
    </w:pPr>
    <w:rPr>
      <w:rFonts w:ascii="Times New Roman" w:hAnsi="Times New Roman"/>
      <w:noProof/>
    </w:rPr>
  </w:style>
  <w:style w:type="paragraph" w:styleId="Heading4">
    <w:name w:val="heading 4"/>
    <w:next w:val="Normal"/>
    <w:qFormat/>
    <w:rsid w:val="0001533B"/>
    <w:pPr>
      <w:numPr>
        <w:ilvl w:val="3"/>
        <w:numId w:val="24"/>
      </w:numPr>
      <w:outlineLvl w:val="3"/>
    </w:pPr>
    <w:rPr>
      <w:rFonts w:ascii="Times New Roman" w:hAnsi="Times New Roman"/>
      <w:noProof/>
    </w:rPr>
  </w:style>
  <w:style w:type="paragraph" w:styleId="Heading5">
    <w:name w:val="heading 5"/>
    <w:next w:val="Normal"/>
    <w:qFormat/>
    <w:rsid w:val="0001533B"/>
    <w:pPr>
      <w:numPr>
        <w:ilvl w:val="4"/>
        <w:numId w:val="24"/>
      </w:numPr>
      <w:outlineLvl w:val="4"/>
    </w:pPr>
    <w:rPr>
      <w:rFonts w:ascii="Times New Roman" w:hAnsi="Times New Roman"/>
      <w:noProof/>
    </w:rPr>
  </w:style>
  <w:style w:type="paragraph" w:styleId="Heading6">
    <w:name w:val="heading 6"/>
    <w:next w:val="Normal"/>
    <w:qFormat/>
    <w:rsid w:val="0001533B"/>
    <w:pPr>
      <w:numPr>
        <w:ilvl w:val="5"/>
        <w:numId w:val="24"/>
      </w:numPr>
      <w:outlineLvl w:val="5"/>
    </w:pPr>
    <w:rPr>
      <w:rFonts w:ascii="Times New Roman" w:hAnsi="Times New Roman"/>
      <w:noProof/>
    </w:rPr>
  </w:style>
  <w:style w:type="paragraph" w:styleId="Heading7">
    <w:name w:val="heading 7"/>
    <w:next w:val="Normal"/>
    <w:qFormat/>
    <w:rsid w:val="0001533B"/>
    <w:pPr>
      <w:numPr>
        <w:ilvl w:val="6"/>
        <w:numId w:val="24"/>
      </w:numPr>
      <w:outlineLvl w:val="6"/>
    </w:pPr>
    <w:rPr>
      <w:rFonts w:ascii="Times New Roman" w:hAnsi="Times New Roman"/>
      <w:noProof/>
    </w:rPr>
  </w:style>
  <w:style w:type="paragraph" w:styleId="Heading8">
    <w:name w:val="heading 8"/>
    <w:next w:val="Normal"/>
    <w:qFormat/>
    <w:rsid w:val="0001533B"/>
    <w:pPr>
      <w:numPr>
        <w:ilvl w:val="7"/>
        <w:numId w:val="24"/>
      </w:numPr>
      <w:outlineLvl w:val="7"/>
    </w:pPr>
    <w:rPr>
      <w:rFonts w:ascii="Times New Roman" w:hAnsi="Times New Roman"/>
      <w:noProof/>
    </w:rPr>
  </w:style>
  <w:style w:type="paragraph" w:styleId="Heading9">
    <w:name w:val="heading 9"/>
    <w:next w:val="Normal"/>
    <w:qFormat/>
    <w:rsid w:val="0001533B"/>
    <w:pPr>
      <w:numPr>
        <w:ilvl w:val="8"/>
        <w:numId w:val="24"/>
      </w:numPr>
      <w:outlineLvl w:val="8"/>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13992"/>
    <w:pPr>
      <w:tabs>
        <w:tab w:val="center" w:pos="4320"/>
        <w:tab w:val="right" w:pos="8640"/>
      </w:tabs>
    </w:pPr>
  </w:style>
  <w:style w:type="paragraph" w:styleId="Footer">
    <w:name w:val="footer"/>
    <w:basedOn w:val="Normal"/>
    <w:link w:val="FooterChar"/>
    <w:uiPriority w:val="99"/>
    <w:rsid w:val="00213992"/>
    <w:pPr>
      <w:tabs>
        <w:tab w:val="center" w:pos="4320"/>
        <w:tab w:val="right" w:pos="8640"/>
      </w:tabs>
    </w:pPr>
  </w:style>
  <w:style w:type="paragraph" w:styleId="BodyText">
    <w:name w:val="Body Text"/>
    <w:basedOn w:val="Normal"/>
    <w:link w:val="BodyTextChar"/>
    <w:rsid w:val="00213992"/>
    <w:pPr>
      <w:spacing w:line="480" w:lineRule="atLeast"/>
      <w:jc w:val="both"/>
    </w:pPr>
    <w:rPr>
      <w:rFonts w:ascii="Times" w:hAnsi="Times"/>
      <w:noProof w:val="0"/>
      <w:sz w:val="22"/>
    </w:rPr>
  </w:style>
  <w:style w:type="paragraph" w:styleId="BodyTextIndent">
    <w:name w:val="Body Text Indent"/>
    <w:basedOn w:val="Normal"/>
    <w:link w:val="BodyTextIndentChar"/>
    <w:rsid w:val="00213992"/>
    <w:pPr>
      <w:spacing w:line="480" w:lineRule="atLeast"/>
      <w:ind w:left="360" w:hanging="360"/>
    </w:pPr>
    <w:rPr>
      <w:rFonts w:ascii="Times" w:hAnsi="Times"/>
      <w:noProof w:val="0"/>
      <w:sz w:val="22"/>
    </w:rPr>
  </w:style>
  <w:style w:type="paragraph" w:styleId="BodyText2">
    <w:name w:val="Body Text 2"/>
    <w:basedOn w:val="Normal"/>
    <w:rsid w:val="00213992"/>
    <w:pPr>
      <w:spacing w:line="480" w:lineRule="auto"/>
      <w:ind w:right="-354"/>
    </w:pPr>
    <w:rPr>
      <w:rFonts w:ascii="Times New Roman" w:hAnsi="Times New Roman"/>
      <w:noProof w:val="0"/>
      <w:sz w:val="24"/>
    </w:rPr>
  </w:style>
  <w:style w:type="paragraph" w:styleId="BodyText3">
    <w:name w:val="Body Text 3"/>
    <w:basedOn w:val="Normal"/>
    <w:rsid w:val="00213992"/>
    <w:pPr>
      <w:tabs>
        <w:tab w:val="left" w:pos="0"/>
        <w:tab w:val="left" w:pos="0"/>
      </w:tabs>
      <w:spacing w:line="480" w:lineRule="auto"/>
      <w:ind w:right="-444"/>
    </w:pPr>
    <w:rPr>
      <w:rFonts w:ascii="Times New Roman" w:hAnsi="Times New Roman"/>
      <w:noProof w:val="0"/>
      <w:sz w:val="24"/>
    </w:rPr>
  </w:style>
  <w:style w:type="paragraph" w:styleId="BodyTextIndent2">
    <w:name w:val="Body Text Indent 2"/>
    <w:basedOn w:val="Normal"/>
    <w:rsid w:val="00213992"/>
    <w:pPr>
      <w:tabs>
        <w:tab w:val="left" w:pos="540"/>
      </w:tabs>
      <w:spacing w:line="480" w:lineRule="auto"/>
      <w:ind w:left="540" w:hanging="630"/>
    </w:pPr>
    <w:rPr>
      <w:rFonts w:ascii="Times New Roman" w:hAnsi="Times New Roman"/>
      <w:noProof w:val="0"/>
      <w:sz w:val="24"/>
    </w:rPr>
  </w:style>
  <w:style w:type="paragraph" w:styleId="BodyTextIndent3">
    <w:name w:val="Body Text Indent 3"/>
    <w:basedOn w:val="Normal"/>
    <w:rsid w:val="00213992"/>
    <w:pPr>
      <w:spacing w:line="480" w:lineRule="auto"/>
      <w:ind w:right="-354" w:firstLine="540"/>
    </w:pPr>
    <w:rPr>
      <w:rFonts w:ascii="Times New Roman" w:hAnsi="Times New Roman"/>
      <w:noProof w:val="0"/>
      <w:sz w:val="24"/>
    </w:rPr>
  </w:style>
  <w:style w:type="paragraph" w:styleId="BalloonText">
    <w:name w:val="Balloon Text"/>
    <w:basedOn w:val="Normal"/>
    <w:semiHidden/>
    <w:rsid w:val="0001533B"/>
    <w:rPr>
      <w:rFonts w:asciiTheme="minorHAnsi" w:hAnsiTheme="minorHAnsi"/>
      <w:sz w:val="18"/>
      <w:szCs w:val="16"/>
    </w:rPr>
  </w:style>
  <w:style w:type="character" w:styleId="CommentReference">
    <w:name w:val="annotation reference"/>
    <w:basedOn w:val="DefaultParagraphFont"/>
    <w:uiPriority w:val="99"/>
    <w:semiHidden/>
    <w:unhideWhenUsed/>
    <w:rsid w:val="00202FD8"/>
    <w:rPr>
      <w:sz w:val="16"/>
      <w:szCs w:val="16"/>
    </w:rPr>
  </w:style>
  <w:style w:type="paragraph" w:styleId="CommentText">
    <w:name w:val="annotation text"/>
    <w:basedOn w:val="Normal"/>
    <w:link w:val="CommentTextChar"/>
    <w:uiPriority w:val="99"/>
    <w:semiHidden/>
    <w:unhideWhenUsed/>
    <w:rsid w:val="00202FD8"/>
  </w:style>
  <w:style w:type="character" w:customStyle="1" w:styleId="CommentTextChar">
    <w:name w:val="Comment Text Char"/>
    <w:basedOn w:val="DefaultParagraphFont"/>
    <w:link w:val="CommentText"/>
    <w:uiPriority w:val="99"/>
    <w:semiHidden/>
    <w:rsid w:val="00202FD8"/>
    <w:rPr>
      <w:noProof/>
    </w:rPr>
  </w:style>
  <w:style w:type="paragraph" w:styleId="CommentSubject">
    <w:name w:val="annotation subject"/>
    <w:basedOn w:val="CommentText"/>
    <w:next w:val="CommentText"/>
    <w:link w:val="CommentSubjectChar"/>
    <w:uiPriority w:val="99"/>
    <w:semiHidden/>
    <w:unhideWhenUsed/>
    <w:rsid w:val="00202FD8"/>
    <w:rPr>
      <w:b/>
      <w:bCs/>
    </w:rPr>
  </w:style>
  <w:style w:type="character" w:customStyle="1" w:styleId="CommentSubjectChar">
    <w:name w:val="Comment Subject Char"/>
    <w:basedOn w:val="CommentTextChar"/>
    <w:link w:val="CommentSubject"/>
    <w:uiPriority w:val="99"/>
    <w:semiHidden/>
    <w:rsid w:val="00202FD8"/>
    <w:rPr>
      <w:b/>
      <w:bCs/>
      <w:noProof/>
    </w:rPr>
  </w:style>
  <w:style w:type="paragraph" w:styleId="Revision">
    <w:name w:val="Revision"/>
    <w:hidden/>
    <w:uiPriority w:val="99"/>
    <w:semiHidden/>
    <w:rsid w:val="000E4A77"/>
    <w:rPr>
      <w:noProof/>
    </w:rPr>
  </w:style>
  <w:style w:type="character" w:customStyle="1" w:styleId="FooterChar">
    <w:name w:val="Footer Char"/>
    <w:basedOn w:val="DefaultParagraphFont"/>
    <w:link w:val="Footer"/>
    <w:uiPriority w:val="99"/>
    <w:rsid w:val="00DF4F33"/>
    <w:rPr>
      <w:noProof/>
    </w:rPr>
  </w:style>
  <w:style w:type="paragraph" w:styleId="FootnoteText">
    <w:name w:val="footnote text"/>
    <w:basedOn w:val="Normal"/>
    <w:link w:val="FootnoteTextChar"/>
    <w:uiPriority w:val="99"/>
    <w:semiHidden/>
    <w:unhideWhenUsed/>
    <w:rsid w:val="00040C64"/>
    <w:rPr>
      <w:rFonts w:ascii="Cambria" w:hAnsi="Cambria"/>
      <w:noProof w:val="0"/>
    </w:rPr>
  </w:style>
  <w:style w:type="character" w:customStyle="1" w:styleId="FootnoteTextChar">
    <w:name w:val="Footnote Text Char"/>
    <w:basedOn w:val="DefaultParagraphFont"/>
    <w:link w:val="FootnoteText"/>
    <w:uiPriority w:val="99"/>
    <w:semiHidden/>
    <w:rsid w:val="00040C64"/>
    <w:rPr>
      <w:rFonts w:ascii="Cambria" w:hAnsi="Cambria"/>
    </w:rPr>
  </w:style>
  <w:style w:type="character" w:styleId="FootnoteReference">
    <w:name w:val="footnote reference"/>
    <w:basedOn w:val="DefaultParagraphFont"/>
    <w:uiPriority w:val="99"/>
    <w:semiHidden/>
    <w:unhideWhenUsed/>
    <w:rsid w:val="00040C64"/>
    <w:rPr>
      <w:rFonts w:cs="Times New Roman"/>
    </w:rPr>
  </w:style>
  <w:style w:type="table" w:styleId="TableGrid">
    <w:name w:val="Table Grid"/>
    <w:basedOn w:val="TableNormal"/>
    <w:uiPriority w:val="59"/>
    <w:rsid w:val="007403FB"/>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39F4"/>
    <w:rPr>
      <w:color w:val="0000FF" w:themeColor="hyperlink"/>
      <w:u w:val="single"/>
    </w:rPr>
  </w:style>
  <w:style w:type="paragraph" w:styleId="ListParagraph">
    <w:name w:val="List Paragraph"/>
    <w:basedOn w:val="Normal"/>
    <w:uiPriority w:val="34"/>
    <w:qFormat/>
    <w:rsid w:val="00204E3E"/>
    <w:pPr>
      <w:ind w:left="720"/>
      <w:contextualSpacing/>
    </w:pPr>
  </w:style>
  <w:style w:type="character" w:styleId="FollowedHyperlink">
    <w:name w:val="FollowedHyperlink"/>
    <w:basedOn w:val="DefaultParagraphFont"/>
    <w:uiPriority w:val="99"/>
    <w:semiHidden/>
    <w:unhideWhenUsed/>
    <w:rsid w:val="00231B9C"/>
    <w:rPr>
      <w:color w:val="800080" w:themeColor="followedHyperlink"/>
      <w:u w:val="single"/>
    </w:rPr>
  </w:style>
  <w:style w:type="character" w:customStyle="1" w:styleId="BodyTextChar">
    <w:name w:val="Body Text Char"/>
    <w:basedOn w:val="DefaultParagraphFont"/>
    <w:link w:val="BodyText"/>
    <w:rsid w:val="0001533B"/>
    <w:rPr>
      <w:rFonts w:ascii="Times" w:hAnsi="Times"/>
      <w:sz w:val="22"/>
    </w:rPr>
  </w:style>
  <w:style w:type="character" w:customStyle="1" w:styleId="BodyTextIndentChar">
    <w:name w:val="Body Text Indent Char"/>
    <w:basedOn w:val="DefaultParagraphFont"/>
    <w:link w:val="BodyTextIndent"/>
    <w:rsid w:val="0001533B"/>
    <w:rPr>
      <w:rFonts w:ascii="Times" w:hAnsi="Time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15654">
      <w:bodyDiv w:val="1"/>
      <w:marLeft w:val="0"/>
      <w:marRight w:val="0"/>
      <w:marTop w:val="0"/>
      <w:marBottom w:val="0"/>
      <w:divBdr>
        <w:top w:val="none" w:sz="0" w:space="0" w:color="auto"/>
        <w:left w:val="none" w:sz="0" w:space="0" w:color="auto"/>
        <w:bottom w:val="none" w:sz="0" w:space="0" w:color="auto"/>
        <w:right w:val="none" w:sz="0" w:space="0" w:color="auto"/>
      </w:divBdr>
    </w:div>
    <w:div w:id="123961070">
      <w:bodyDiv w:val="1"/>
      <w:marLeft w:val="0"/>
      <w:marRight w:val="0"/>
      <w:marTop w:val="0"/>
      <w:marBottom w:val="0"/>
      <w:divBdr>
        <w:top w:val="none" w:sz="0" w:space="0" w:color="auto"/>
        <w:left w:val="none" w:sz="0" w:space="0" w:color="auto"/>
        <w:bottom w:val="none" w:sz="0" w:space="0" w:color="auto"/>
        <w:right w:val="none" w:sz="0" w:space="0" w:color="auto"/>
      </w:divBdr>
    </w:div>
    <w:div w:id="186063046">
      <w:bodyDiv w:val="1"/>
      <w:marLeft w:val="0"/>
      <w:marRight w:val="0"/>
      <w:marTop w:val="0"/>
      <w:marBottom w:val="0"/>
      <w:divBdr>
        <w:top w:val="none" w:sz="0" w:space="0" w:color="auto"/>
        <w:left w:val="none" w:sz="0" w:space="0" w:color="auto"/>
        <w:bottom w:val="none" w:sz="0" w:space="0" w:color="auto"/>
        <w:right w:val="none" w:sz="0" w:space="0" w:color="auto"/>
      </w:divBdr>
    </w:div>
    <w:div w:id="218708249">
      <w:bodyDiv w:val="1"/>
      <w:marLeft w:val="0"/>
      <w:marRight w:val="0"/>
      <w:marTop w:val="0"/>
      <w:marBottom w:val="0"/>
      <w:divBdr>
        <w:top w:val="none" w:sz="0" w:space="0" w:color="auto"/>
        <w:left w:val="none" w:sz="0" w:space="0" w:color="auto"/>
        <w:bottom w:val="none" w:sz="0" w:space="0" w:color="auto"/>
        <w:right w:val="none" w:sz="0" w:space="0" w:color="auto"/>
      </w:divBdr>
    </w:div>
    <w:div w:id="440883532">
      <w:bodyDiv w:val="1"/>
      <w:marLeft w:val="0"/>
      <w:marRight w:val="0"/>
      <w:marTop w:val="0"/>
      <w:marBottom w:val="0"/>
      <w:divBdr>
        <w:top w:val="none" w:sz="0" w:space="0" w:color="auto"/>
        <w:left w:val="none" w:sz="0" w:space="0" w:color="auto"/>
        <w:bottom w:val="none" w:sz="0" w:space="0" w:color="auto"/>
        <w:right w:val="none" w:sz="0" w:space="0" w:color="auto"/>
      </w:divBdr>
    </w:div>
    <w:div w:id="596331438">
      <w:bodyDiv w:val="1"/>
      <w:marLeft w:val="0"/>
      <w:marRight w:val="0"/>
      <w:marTop w:val="0"/>
      <w:marBottom w:val="0"/>
      <w:divBdr>
        <w:top w:val="none" w:sz="0" w:space="0" w:color="auto"/>
        <w:left w:val="none" w:sz="0" w:space="0" w:color="auto"/>
        <w:bottom w:val="none" w:sz="0" w:space="0" w:color="auto"/>
        <w:right w:val="none" w:sz="0" w:space="0" w:color="auto"/>
      </w:divBdr>
    </w:div>
    <w:div w:id="644631064">
      <w:bodyDiv w:val="1"/>
      <w:marLeft w:val="0"/>
      <w:marRight w:val="0"/>
      <w:marTop w:val="0"/>
      <w:marBottom w:val="0"/>
      <w:divBdr>
        <w:top w:val="none" w:sz="0" w:space="0" w:color="auto"/>
        <w:left w:val="none" w:sz="0" w:space="0" w:color="auto"/>
        <w:bottom w:val="none" w:sz="0" w:space="0" w:color="auto"/>
        <w:right w:val="none" w:sz="0" w:space="0" w:color="auto"/>
      </w:divBdr>
    </w:div>
    <w:div w:id="721371872">
      <w:bodyDiv w:val="1"/>
      <w:marLeft w:val="0"/>
      <w:marRight w:val="0"/>
      <w:marTop w:val="0"/>
      <w:marBottom w:val="0"/>
      <w:divBdr>
        <w:top w:val="none" w:sz="0" w:space="0" w:color="auto"/>
        <w:left w:val="none" w:sz="0" w:space="0" w:color="auto"/>
        <w:bottom w:val="none" w:sz="0" w:space="0" w:color="auto"/>
        <w:right w:val="none" w:sz="0" w:space="0" w:color="auto"/>
      </w:divBdr>
    </w:div>
    <w:div w:id="812479788">
      <w:bodyDiv w:val="1"/>
      <w:marLeft w:val="0"/>
      <w:marRight w:val="0"/>
      <w:marTop w:val="0"/>
      <w:marBottom w:val="0"/>
      <w:divBdr>
        <w:top w:val="none" w:sz="0" w:space="0" w:color="auto"/>
        <w:left w:val="none" w:sz="0" w:space="0" w:color="auto"/>
        <w:bottom w:val="none" w:sz="0" w:space="0" w:color="auto"/>
        <w:right w:val="none" w:sz="0" w:space="0" w:color="auto"/>
      </w:divBdr>
    </w:div>
    <w:div w:id="1099175479">
      <w:bodyDiv w:val="1"/>
      <w:marLeft w:val="0"/>
      <w:marRight w:val="0"/>
      <w:marTop w:val="0"/>
      <w:marBottom w:val="0"/>
      <w:divBdr>
        <w:top w:val="none" w:sz="0" w:space="0" w:color="auto"/>
        <w:left w:val="none" w:sz="0" w:space="0" w:color="auto"/>
        <w:bottom w:val="none" w:sz="0" w:space="0" w:color="auto"/>
        <w:right w:val="none" w:sz="0" w:space="0" w:color="auto"/>
      </w:divBdr>
    </w:div>
    <w:div w:id="1153983389">
      <w:bodyDiv w:val="1"/>
      <w:marLeft w:val="0"/>
      <w:marRight w:val="0"/>
      <w:marTop w:val="0"/>
      <w:marBottom w:val="0"/>
      <w:divBdr>
        <w:top w:val="none" w:sz="0" w:space="0" w:color="auto"/>
        <w:left w:val="none" w:sz="0" w:space="0" w:color="auto"/>
        <w:bottom w:val="none" w:sz="0" w:space="0" w:color="auto"/>
        <w:right w:val="none" w:sz="0" w:space="0" w:color="auto"/>
      </w:divBdr>
    </w:div>
    <w:div w:id="1180118014">
      <w:bodyDiv w:val="1"/>
      <w:marLeft w:val="0"/>
      <w:marRight w:val="0"/>
      <w:marTop w:val="0"/>
      <w:marBottom w:val="0"/>
      <w:divBdr>
        <w:top w:val="none" w:sz="0" w:space="0" w:color="auto"/>
        <w:left w:val="none" w:sz="0" w:space="0" w:color="auto"/>
        <w:bottom w:val="none" w:sz="0" w:space="0" w:color="auto"/>
        <w:right w:val="none" w:sz="0" w:space="0" w:color="auto"/>
      </w:divBdr>
    </w:div>
    <w:div w:id="1552116172">
      <w:bodyDiv w:val="1"/>
      <w:marLeft w:val="0"/>
      <w:marRight w:val="0"/>
      <w:marTop w:val="0"/>
      <w:marBottom w:val="0"/>
      <w:divBdr>
        <w:top w:val="none" w:sz="0" w:space="0" w:color="auto"/>
        <w:left w:val="none" w:sz="0" w:space="0" w:color="auto"/>
        <w:bottom w:val="none" w:sz="0" w:space="0" w:color="auto"/>
        <w:right w:val="none" w:sz="0" w:space="0" w:color="auto"/>
      </w:divBdr>
    </w:div>
    <w:div w:id="1959221399">
      <w:bodyDiv w:val="1"/>
      <w:marLeft w:val="0"/>
      <w:marRight w:val="0"/>
      <w:marTop w:val="0"/>
      <w:marBottom w:val="0"/>
      <w:divBdr>
        <w:top w:val="none" w:sz="0" w:space="0" w:color="auto"/>
        <w:left w:val="none" w:sz="0" w:space="0" w:color="auto"/>
        <w:bottom w:val="none" w:sz="0" w:space="0" w:color="auto"/>
        <w:right w:val="none" w:sz="0" w:space="0" w:color="auto"/>
      </w:divBdr>
    </w:div>
    <w:div w:id="211690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5DCEB-442A-4E94-8BDE-22F040129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1208</Words>
  <Characters>6888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DEA</Company>
  <LinksUpToDate>false</LinksUpToDate>
  <CharactersWithSpaces>8080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McLemore, Leslie B</dc:creator>
  <cp:lastModifiedBy>SYSTEM</cp:lastModifiedBy>
  <cp:revision>2</cp:revision>
  <cp:lastPrinted>2016-06-22T12:45:00Z</cp:lastPrinted>
  <dcterms:created xsi:type="dcterms:W3CDTF">2017-10-16T13:58:00Z</dcterms:created>
  <dcterms:modified xsi:type="dcterms:W3CDTF">2017-10-16T13:58:00Z</dcterms:modified>
</cp:coreProperties>
</file>